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87A" w:rsidRDefault="00B10CE3">
      <w:bookmarkStart w:id="0" w:name="_GoBack"/>
      <w:bookmarkEnd w:id="0"/>
      <w:r>
        <w:rPr>
          <w:noProof/>
          <w:lang w:eastAsia="en-AU"/>
        </w:rPr>
        <w:drawing>
          <wp:inline distT="0" distB="0" distL="0" distR="0">
            <wp:extent cx="7586321" cy="10591800"/>
            <wp:effectExtent l="0" t="0" r="0" b="0"/>
            <wp:docPr id="4" name="Picture 4" title="THS Annual Report 2015-16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6321" cy="10591800"/>
                    </a:xfrm>
                    <a:prstGeom prst="rect">
                      <a:avLst/>
                    </a:prstGeom>
                    <a:noFill/>
                    <a:ln>
                      <a:noFill/>
                    </a:ln>
                  </pic:spPr>
                </pic:pic>
              </a:graphicData>
            </a:graphic>
          </wp:inline>
        </w:drawing>
      </w:r>
    </w:p>
    <w:p w:rsidR="005929DD" w:rsidRDefault="005929DD" w:rsidP="005929DD">
      <w:pPr>
        <w:spacing w:before="11800"/>
        <w:sectPr w:rsidR="005929DD" w:rsidSect="00025D0E">
          <w:footerReference w:type="first" r:id="rId10"/>
          <w:pgSz w:w="11906" w:h="16838"/>
          <w:pgMar w:top="0" w:right="0" w:bottom="0" w:left="0" w:header="708" w:footer="708" w:gutter="0"/>
          <w:cols w:space="708"/>
          <w:docGrid w:linePitch="360"/>
        </w:sectPr>
      </w:pPr>
    </w:p>
    <w:p w:rsidR="005929DD" w:rsidRDefault="005929DD" w:rsidP="005929DD">
      <w:pPr>
        <w:spacing w:before="200"/>
      </w:pPr>
    </w:p>
    <w:p w:rsidR="002862F8" w:rsidRDefault="002862F8" w:rsidP="005A1CF2">
      <w:pPr>
        <w:pStyle w:val="Heading1"/>
        <w:spacing w:before="9800"/>
      </w:pPr>
      <w:bookmarkStart w:id="1" w:name="_Toc472581941"/>
      <w:r>
        <w:t>Tasmanian Health Service 2015-2016 Annual Report</w:t>
      </w:r>
      <w:bookmarkEnd w:id="1"/>
    </w:p>
    <w:p w:rsidR="00090C1D" w:rsidRPr="0040625C" w:rsidRDefault="00090C1D" w:rsidP="0080575E">
      <w:pPr>
        <w:pStyle w:val="BodyText"/>
        <w:spacing w:before="100"/>
        <w:ind w:left="113"/>
      </w:pPr>
      <w:r w:rsidRPr="0040625C">
        <w:t>Published by the Tasmanian Health Service</w:t>
      </w:r>
      <w:r w:rsidR="0080575E">
        <w:br/>
      </w:r>
      <w:r w:rsidRPr="0040625C">
        <w:t>Level 1, Northern Integrated Care Service, 41 Frankland Street, Launceston, Tasmania 7250</w:t>
      </w:r>
    </w:p>
    <w:p w:rsidR="005929DD" w:rsidRPr="0040625C" w:rsidRDefault="00090C1D" w:rsidP="002862F8">
      <w:pPr>
        <w:ind w:left="113"/>
        <w:rPr>
          <w:rFonts w:ascii="Gill Sans MT" w:hAnsi="Gill Sans MT"/>
        </w:rPr>
      </w:pPr>
      <w:r w:rsidRPr="0040625C">
        <w:rPr>
          <w:rFonts w:ascii="Gill Sans MT" w:hAnsi="Gill Sans MT"/>
          <w:position w:val="7"/>
          <w:sz w:val="13"/>
        </w:rPr>
        <w:t>©</w:t>
      </w:r>
      <w:r w:rsidRPr="0040625C">
        <w:rPr>
          <w:rFonts w:ascii="Gill Sans MT" w:hAnsi="Gill Sans MT"/>
        </w:rPr>
        <w:t>Crown in the Right of the State of Tasmania - Tasmanian Health Service 2016</w:t>
      </w:r>
    </w:p>
    <w:p w:rsidR="002862F8" w:rsidRPr="0040625C" w:rsidRDefault="002862F8" w:rsidP="002862F8">
      <w:pPr>
        <w:pStyle w:val="BodyText"/>
        <w:spacing w:before="100" w:line="268" w:lineRule="auto"/>
        <w:ind w:left="113"/>
      </w:pPr>
      <w:r w:rsidRPr="0040625C">
        <w:t>This publication is copyright. No part may reproduced by any process except in accordance with the provisions of the Copyright At 1968.</w:t>
      </w:r>
    </w:p>
    <w:p w:rsidR="005A1CF2" w:rsidRPr="0040625C" w:rsidRDefault="002862F8" w:rsidP="0080575E">
      <w:pPr>
        <w:pStyle w:val="BodyText"/>
        <w:spacing w:before="159" w:line="422" w:lineRule="auto"/>
        <w:ind w:left="113" w:right="665"/>
        <w:sectPr w:rsidR="005A1CF2" w:rsidRPr="0040625C" w:rsidSect="00B10CE3">
          <w:pgSz w:w="11906" w:h="16838"/>
          <w:pgMar w:top="1440" w:right="709" w:bottom="1440" w:left="1134" w:header="709" w:footer="709" w:gutter="0"/>
          <w:cols w:space="708"/>
          <w:titlePg/>
          <w:docGrid w:linePitch="360"/>
        </w:sectPr>
      </w:pPr>
      <w:r w:rsidRPr="0040625C">
        <w:t>Published o</w:t>
      </w:r>
      <w:hyperlink r:id="rId11">
        <w:r w:rsidRPr="0040625C">
          <w:t>n www.ths.tas.gov.au</w:t>
        </w:r>
      </w:hyperlink>
      <w:r w:rsidRPr="0040625C">
        <w:t xml:space="preserve"> September 2016</w:t>
      </w:r>
      <w:r w:rsidR="0080575E">
        <w:br/>
      </w:r>
      <w:r w:rsidRPr="0040625C">
        <w:t>ISSN 2206-9917</w:t>
      </w:r>
      <w:r w:rsidR="0080575E">
        <w:br/>
      </w:r>
      <w:r w:rsidRPr="0040625C">
        <w:t>ISSN 2206-9925 (Electronic version)</w:t>
      </w:r>
    </w:p>
    <w:p w:rsidR="00EF3419" w:rsidRDefault="00EF3419" w:rsidP="00EF3419">
      <w:pPr>
        <w:pStyle w:val="Heading2"/>
      </w:pPr>
      <w:bookmarkStart w:id="2" w:name="_Toc472581942"/>
      <w:r>
        <w:lastRenderedPageBreak/>
        <w:t>Introduction</w:t>
      </w:r>
      <w:bookmarkEnd w:id="2"/>
    </w:p>
    <w:p w:rsidR="0040625C" w:rsidRDefault="005631CB" w:rsidP="0040625C">
      <w:pPr>
        <w:pStyle w:val="Heading3"/>
      </w:pPr>
      <w:bookmarkStart w:id="3" w:name="_Toc472581943"/>
      <w:r>
        <w:t>Letter of Compliance</w:t>
      </w:r>
      <w:bookmarkEnd w:id="3"/>
    </w:p>
    <w:p w:rsidR="0040625C" w:rsidRPr="0040625C" w:rsidRDefault="0040625C" w:rsidP="0040625C">
      <w:pPr>
        <w:spacing w:before="317"/>
        <w:rPr>
          <w:rFonts w:ascii="Gill Sans MT" w:hAnsi="Gill Sans MT"/>
          <w:b/>
        </w:rPr>
      </w:pPr>
      <w:r w:rsidRPr="0040625C">
        <w:rPr>
          <w:rFonts w:ascii="Gill Sans MT" w:hAnsi="Gill Sans MT"/>
          <w:b/>
        </w:rPr>
        <w:t>Hon Michael Ferguson MP</w:t>
      </w:r>
    </w:p>
    <w:p w:rsidR="0040625C" w:rsidRPr="0040625C" w:rsidRDefault="0040625C" w:rsidP="0040625C">
      <w:pPr>
        <w:pStyle w:val="BodyText"/>
        <w:spacing w:before="107"/>
      </w:pPr>
      <w:r w:rsidRPr="0040625C">
        <w:t>Minister for Health</w:t>
      </w:r>
    </w:p>
    <w:p w:rsidR="0040625C" w:rsidRPr="0040625C" w:rsidRDefault="0040625C" w:rsidP="0040625C">
      <w:pPr>
        <w:pStyle w:val="BodyText"/>
        <w:spacing w:before="110" w:line="345" w:lineRule="auto"/>
        <w:ind w:right="5449"/>
      </w:pPr>
      <w:r w:rsidRPr="0040625C">
        <w:t>Minister</w:t>
      </w:r>
      <w:r w:rsidRPr="0040625C">
        <w:rPr>
          <w:spacing w:val="-11"/>
        </w:rPr>
        <w:t xml:space="preserve"> </w:t>
      </w:r>
      <w:r w:rsidRPr="0040625C">
        <w:t>for</w:t>
      </w:r>
      <w:r w:rsidRPr="0040625C">
        <w:rPr>
          <w:spacing w:val="-11"/>
        </w:rPr>
        <w:t xml:space="preserve"> </w:t>
      </w:r>
      <w:r w:rsidRPr="0040625C">
        <w:t>Information</w:t>
      </w:r>
      <w:r w:rsidRPr="0040625C">
        <w:rPr>
          <w:spacing w:val="-11"/>
        </w:rPr>
        <w:t xml:space="preserve"> </w:t>
      </w:r>
      <w:r w:rsidRPr="0040625C">
        <w:rPr>
          <w:spacing w:val="-3"/>
        </w:rPr>
        <w:t>Technology</w:t>
      </w:r>
      <w:r w:rsidRPr="0040625C">
        <w:rPr>
          <w:spacing w:val="-11"/>
        </w:rPr>
        <w:t xml:space="preserve"> </w:t>
      </w:r>
      <w:r w:rsidRPr="0040625C">
        <w:t>and</w:t>
      </w:r>
      <w:r w:rsidRPr="0040625C">
        <w:rPr>
          <w:spacing w:val="-11"/>
        </w:rPr>
        <w:t xml:space="preserve"> </w:t>
      </w:r>
      <w:r w:rsidRPr="0040625C">
        <w:t>Innovation</w:t>
      </w:r>
      <w:r w:rsidRPr="0040625C">
        <w:rPr>
          <w:spacing w:val="-6"/>
        </w:rPr>
        <w:t xml:space="preserve"> </w:t>
      </w:r>
      <w:r w:rsidRPr="0040625C">
        <w:t xml:space="preserve">Leader </w:t>
      </w:r>
      <w:r w:rsidRPr="0040625C">
        <w:rPr>
          <w:spacing w:val="-3"/>
        </w:rPr>
        <w:t xml:space="preserve">of </w:t>
      </w:r>
      <w:r w:rsidRPr="0040625C">
        <w:t xml:space="preserve">Government Business in the House </w:t>
      </w:r>
      <w:r w:rsidRPr="0040625C">
        <w:rPr>
          <w:spacing w:val="-3"/>
        </w:rPr>
        <w:t xml:space="preserve">of </w:t>
      </w:r>
      <w:r w:rsidRPr="0040625C">
        <w:t xml:space="preserve">Assembly Level 4, </w:t>
      </w:r>
      <w:r w:rsidRPr="0040625C">
        <w:rPr>
          <w:spacing w:val="-20"/>
        </w:rPr>
        <w:t xml:space="preserve">111 </w:t>
      </w:r>
      <w:r w:rsidRPr="0040625C">
        <w:t>Macquarie</w:t>
      </w:r>
      <w:r w:rsidRPr="0040625C">
        <w:rPr>
          <w:spacing w:val="-2"/>
        </w:rPr>
        <w:t xml:space="preserve"> </w:t>
      </w:r>
      <w:r w:rsidRPr="0040625C">
        <w:t>Street</w:t>
      </w:r>
    </w:p>
    <w:p w:rsidR="0040625C" w:rsidRPr="0040625C" w:rsidRDefault="0040625C" w:rsidP="0040625C">
      <w:pPr>
        <w:pStyle w:val="BodyText"/>
      </w:pPr>
      <w:r w:rsidRPr="0040625C">
        <w:t>Hobart Tasmania 7000</w:t>
      </w:r>
    </w:p>
    <w:p w:rsidR="0040625C" w:rsidRPr="0040625C" w:rsidRDefault="0040625C" w:rsidP="0040625C">
      <w:pPr>
        <w:pStyle w:val="BodyText"/>
        <w:rPr>
          <w:sz w:val="24"/>
        </w:rPr>
      </w:pPr>
    </w:p>
    <w:p w:rsidR="0040625C" w:rsidRPr="0040625C" w:rsidRDefault="0040625C" w:rsidP="0040625C">
      <w:pPr>
        <w:spacing w:before="187"/>
        <w:rPr>
          <w:rFonts w:ascii="Gill Sans MT" w:hAnsi="Gill Sans MT"/>
          <w:b/>
        </w:rPr>
      </w:pPr>
      <w:r w:rsidRPr="0040625C">
        <w:rPr>
          <w:rFonts w:ascii="Gill Sans MT" w:hAnsi="Gill Sans MT"/>
          <w:b/>
        </w:rPr>
        <w:t>Hon Peter Gutwein MP</w:t>
      </w:r>
    </w:p>
    <w:p w:rsidR="0040625C" w:rsidRPr="0040625C" w:rsidRDefault="0040625C" w:rsidP="0040625C">
      <w:pPr>
        <w:pStyle w:val="BodyText"/>
        <w:spacing w:before="107"/>
      </w:pPr>
      <w:r w:rsidRPr="0040625C">
        <w:t>Treasurer</w:t>
      </w:r>
    </w:p>
    <w:p w:rsidR="0040625C" w:rsidRPr="0040625C" w:rsidRDefault="0040625C" w:rsidP="0040625C">
      <w:pPr>
        <w:pStyle w:val="BodyText"/>
        <w:spacing w:before="110" w:line="345" w:lineRule="auto"/>
        <w:ind w:right="6624"/>
      </w:pPr>
      <w:r w:rsidRPr="0040625C">
        <w:t>Level 9, Executive Building, 15 Murray Street Hobart Tasmania 7000</w:t>
      </w:r>
    </w:p>
    <w:p w:rsidR="0040625C" w:rsidRPr="0040625C" w:rsidRDefault="0040625C" w:rsidP="0040625C">
      <w:pPr>
        <w:pStyle w:val="BodyText"/>
        <w:rPr>
          <w:sz w:val="24"/>
        </w:rPr>
      </w:pPr>
    </w:p>
    <w:p w:rsidR="0040625C" w:rsidRPr="0040625C" w:rsidRDefault="0040625C" w:rsidP="0040625C">
      <w:pPr>
        <w:pStyle w:val="BodyText"/>
        <w:spacing w:before="167"/>
      </w:pPr>
      <w:r w:rsidRPr="0040625C">
        <w:t>Dear Ministers</w:t>
      </w:r>
    </w:p>
    <w:p w:rsidR="0040625C" w:rsidRPr="0040625C" w:rsidRDefault="0040625C" w:rsidP="0040625C">
      <w:pPr>
        <w:spacing w:before="189" w:line="268" w:lineRule="auto"/>
        <w:ind w:right="1126"/>
        <w:jc w:val="both"/>
        <w:rPr>
          <w:rFonts w:ascii="Gill Sans MT" w:hAnsi="Gill Sans MT"/>
        </w:rPr>
      </w:pPr>
      <w:r w:rsidRPr="0040625C">
        <w:rPr>
          <w:rFonts w:ascii="Gill Sans MT" w:hAnsi="Gill Sans MT"/>
        </w:rPr>
        <w:t>In</w:t>
      </w:r>
      <w:r w:rsidRPr="0040625C">
        <w:rPr>
          <w:rFonts w:ascii="Gill Sans MT" w:hAnsi="Gill Sans MT"/>
          <w:spacing w:val="-6"/>
        </w:rPr>
        <w:t xml:space="preserve"> </w:t>
      </w:r>
      <w:r w:rsidRPr="0040625C">
        <w:rPr>
          <w:rFonts w:ascii="Gill Sans MT" w:hAnsi="Gill Sans MT"/>
        </w:rPr>
        <w:t>accordance</w:t>
      </w:r>
      <w:r w:rsidRPr="0040625C">
        <w:rPr>
          <w:rFonts w:ascii="Gill Sans MT" w:hAnsi="Gill Sans MT"/>
          <w:spacing w:val="-6"/>
        </w:rPr>
        <w:t xml:space="preserve"> </w:t>
      </w:r>
      <w:r w:rsidRPr="0040625C">
        <w:rPr>
          <w:rFonts w:ascii="Gill Sans MT" w:hAnsi="Gill Sans MT"/>
        </w:rPr>
        <w:t>with</w:t>
      </w:r>
      <w:r w:rsidRPr="0040625C">
        <w:rPr>
          <w:rFonts w:ascii="Gill Sans MT" w:hAnsi="Gill Sans MT"/>
          <w:spacing w:val="-6"/>
        </w:rPr>
        <w:t xml:space="preserve"> </w:t>
      </w:r>
      <w:r w:rsidRPr="0040625C">
        <w:rPr>
          <w:rFonts w:ascii="Gill Sans MT" w:hAnsi="Gill Sans MT"/>
        </w:rPr>
        <w:t>the</w:t>
      </w:r>
      <w:r w:rsidRPr="0040625C">
        <w:rPr>
          <w:rFonts w:ascii="Gill Sans MT" w:hAnsi="Gill Sans MT"/>
          <w:spacing w:val="-6"/>
        </w:rPr>
        <w:t xml:space="preserve"> </w:t>
      </w:r>
      <w:r w:rsidRPr="0040625C">
        <w:rPr>
          <w:rFonts w:ascii="Gill Sans MT" w:hAnsi="Gill Sans MT"/>
        </w:rPr>
        <w:t>requirements</w:t>
      </w:r>
      <w:r w:rsidRPr="0040625C">
        <w:rPr>
          <w:rFonts w:ascii="Gill Sans MT" w:hAnsi="Gill Sans MT"/>
          <w:spacing w:val="-6"/>
        </w:rPr>
        <w:t xml:space="preserve"> </w:t>
      </w:r>
      <w:r w:rsidRPr="0040625C">
        <w:rPr>
          <w:rFonts w:ascii="Gill Sans MT" w:hAnsi="Gill Sans MT"/>
          <w:spacing w:val="-3"/>
        </w:rPr>
        <w:t>of</w:t>
      </w:r>
      <w:r w:rsidRPr="0040625C">
        <w:rPr>
          <w:rFonts w:ascii="Gill Sans MT" w:hAnsi="Gill Sans MT"/>
          <w:spacing w:val="-6"/>
        </w:rPr>
        <w:t xml:space="preserve"> </w:t>
      </w:r>
      <w:r w:rsidRPr="0040625C">
        <w:rPr>
          <w:rFonts w:ascii="Gill Sans MT" w:hAnsi="Gill Sans MT"/>
        </w:rPr>
        <w:t>section</w:t>
      </w:r>
      <w:r w:rsidRPr="0040625C">
        <w:rPr>
          <w:rFonts w:ascii="Gill Sans MT" w:hAnsi="Gill Sans MT"/>
          <w:spacing w:val="-6"/>
        </w:rPr>
        <w:t xml:space="preserve"> </w:t>
      </w:r>
      <w:r w:rsidRPr="0040625C">
        <w:rPr>
          <w:rFonts w:ascii="Gill Sans MT" w:hAnsi="Gill Sans MT"/>
          <w:spacing w:val="-5"/>
        </w:rPr>
        <w:t>53</w:t>
      </w:r>
      <w:r w:rsidRPr="0040625C">
        <w:rPr>
          <w:rFonts w:ascii="Gill Sans MT" w:hAnsi="Gill Sans MT"/>
          <w:spacing w:val="-6"/>
        </w:rPr>
        <w:t xml:space="preserve"> </w:t>
      </w:r>
      <w:r w:rsidRPr="0040625C">
        <w:rPr>
          <w:rFonts w:ascii="Gill Sans MT" w:hAnsi="Gill Sans MT"/>
          <w:spacing w:val="-3"/>
        </w:rPr>
        <w:t>of</w:t>
      </w:r>
      <w:r w:rsidRPr="0040625C">
        <w:rPr>
          <w:rFonts w:ascii="Gill Sans MT" w:hAnsi="Gill Sans MT"/>
          <w:spacing w:val="-6"/>
        </w:rPr>
        <w:t xml:space="preserve"> </w:t>
      </w:r>
      <w:r w:rsidRPr="0040625C">
        <w:rPr>
          <w:rFonts w:ascii="Gill Sans MT" w:hAnsi="Gill Sans MT"/>
        </w:rPr>
        <w:t>the</w:t>
      </w:r>
      <w:r w:rsidRPr="0040625C">
        <w:rPr>
          <w:rFonts w:ascii="Gill Sans MT" w:hAnsi="Gill Sans MT"/>
          <w:spacing w:val="-6"/>
        </w:rPr>
        <w:t xml:space="preserve"> </w:t>
      </w:r>
      <w:r w:rsidRPr="0040625C">
        <w:rPr>
          <w:rFonts w:ascii="Gill Sans MT" w:hAnsi="Gill Sans MT"/>
          <w:i/>
          <w:spacing w:val="-4"/>
        </w:rPr>
        <w:t>Tasmanian</w:t>
      </w:r>
      <w:r w:rsidRPr="0040625C">
        <w:rPr>
          <w:rFonts w:ascii="Gill Sans MT" w:hAnsi="Gill Sans MT"/>
          <w:i/>
          <w:spacing w:val="-6"/>
        </w:rPr>
        <w:t xml:space="preserve"> </w:t>
      </w:r>
      <w:r w:rsidRPr="0040625C">
        <w:rPr>
          <w:rFonts w:ascii="Gill Sans MT" w:hAnsi="Gill Sans MT"/>
          <w:i/>
        </w:rPr>
        <w:t>Health</w:t>
      </w:r>
      <w:r w:rsidRPr="0040625C">
        <w:rPr>
          <w:rFonts w:ascii="Gill Sans MT" w:hAnsi="Gill Sans MT"/>
          <w:i/>
          <w:spacing w:val="-6"/>
        </w:rPr>
        <w:t xml:space="preserve"> </w:t>
      </w:r>
      <w:r w:rsidRPr="0040625C">
        <w:rPr>
          <w:rFonts w:ascii="Gill Sans MT" w:hAnsi="Gill Sans MT"/>
          <w:i/>
        </w:rPr>
        <w:t>Service</w:t>
      </w:r>
      <w:r w:rsidRPr="0040625C">
        <w:rPr>
          <w:rFonts w:ascii="Gill Sans MT" w:hAnsi="Gill Sans MT"/>
          <w:i/>
          <w:spacing w:val="-6"/>
        </w:rPr>
        <w:t xml:space="preserve"> </w:t>
      </w:r>
      <w:r w:rsidRPr="0040625C">
        <w:rPr>
          <w:rFonts w:ascii="Gill Sans MT" w:hAnsi="Gill Sans MT"/>
          <w:i/>
        </w:rPr>
        <w:t>Organisations</w:t>
      </w:r>
      <w:r w:rsidRPr="0040625C">
        <w:rPr>
          <w:rFonts w:ascii="Gill Sans MT" w:hAnsi="Gill Sans MT"/>
          <w:i/>
          <w:spacing w:val="-6"/>
        </w:rPr>
        <w:t xml:space="preserve"> </w:t>
      </w:r>
      <w:r w:rsidRPr="0040625C">
        <w:rPr>
          <w:rFonts w:ascii="Gill Sans MT" w:hAnsi="Gill Sans MT"/>
          <w:i/>
        </w:rPr>
        <w:t>Act</w:t>
      </w:r>
      <w:r w:rsidRPr="0040625C">
        <w:rPr>
          <w:rFonts w:ascii="Gill Sans MT" w:hAnsi="Gill Sans MT"/>
          <w:i/>
          <w:spacing w:val="-6"/>
        </w:rPr>
        <w:t xml:space="preserve"> </w:t>
      </w:r>
      <w:r w:rsidRPr="0040625C">
        <w:rPr>
          <w:rFonts w:ascii="Gill Sans MT" w:hAnsi="Gill Sans MT"/>
          <w:i/>
          <w:spacing w:val="-16"/>
        </w:rPr>
        <w:t>2011</w:t>
      </w:r>
      <w:r w:rsidRPr="0040625C">
        <w:rPr>
          <w:rFonts w:ascii="Gill Sans MT" w:hAnsi="Gill Sans MT"/>
          <w:i/>
          <w:spacing w:val="-6"/>
        </w:rPr>
        <w:t xml:space="preserve"> </w:t>
      </w:r>
      <w:r w:rsidRPr="0040625C">
        <w:rPr>
          <w:rFonts w:ascii="Gill Sans MT" w:hAnsi="Gill Sans MT"/>
        </w:rPr>
        <w:t>and section</w:t>
      </w:r>
      <w:r w:rsidRPr="0040625C">
        <w:rPr>
          <w:rFonts w:ascii="Gill Sans MT" w:hAnsi="Gill Sans MT"/>
          <w:spacing w:val="-15"/>
        </w:rPr>
        <w:t xml:space="preserve"> </w:t>
      </w:r>
      <w:r w:rsidRPr="0040625C">
        <w:rPr>
          <w:rFonts w:ascii="Gill Sans MT" w:hAnsi="Gill Sans MT"/>
          <w:spacing w:val="-4"/>
        </w:rPr>
        <w:t>27</w:t>
      </w:r>
      <w:r w:rsidRPr="0040625C">
        <w:rPr>
          <w:rFonts w:ascii="Gill Sans MT" w:hAnsi="Gill Sans MT"/>
          <w:spacing w:val="-15"/>
        </w:rPr>
        <w:t xml:space="preserve"> </w:t>
      </w:r>
      <w:r w:rsidRPr="0040625C">
        <w:rPr>
          <w:rFonts w:ascii="Gill Sans MT" w:hAnsi="Gill Sans MT"/>
          <w:spacing w:val="-3"/>
        </w:rPr>
        <w:t>of</w:t>
      </w:r>
      <w:r w:rsidRPr="0040625C">
        <w:rPr>
          <w:rFonts w:ascii="Gill Sans MT" w:hAnsi="Gill Sans MT"/>
          <w:spacing w:val="-15"/>
        </w:rPr>
        <w:t xml:space="preserve"> </w:t>
      </w:r>
      <w:r w:rsidRPr="0040625C">
        <w:rPr>
          <w:rFonts w:ascii="Gill Sans MT" w:hAnsi="Gill Sans MT"/>
        </w:rPr>
        <w:t>the</w:t>
      </w:r>
      <w:r w:rsidRPr="0040625C">
        <w:rPr>
          <w:rFonts w:ascii="Gill Sans MT" w:hAnsi="Gill Sans MT"/>
          <w:spacing w:val="-15"/>
        </w:rPr>
        <w:t xml:space="preserve"> </w:t>
      </w:r>
      <w:r w:rsidRPr="0040625C">
        <w:rPr>
          <w:rFonts w:ascii="Gill Sans MT" w:hAnsi="Gill Sans MT"/>
          <w:i/>
        </w:rPr>
        <w:t>Financial</w:t>
      </w:r>
      <w:r w:rsidRPr="0040625C">
        <w:rPr>
          <w:rFonts w:ascii="Gill Sans MT" w:hAnsi="Gill Sans MT"/>
          <w:i/>
          <w:spacing w:val="-14"/>
        </w:rPr>
        <w:t xml:space="preserve"> </w:t>
      </w:r>
      <w:r w:rsidRPr="0040625C">
        <w:rPr>
          <w:rFonts w:ascii="Gill Sans MT" w:hAnsi="Gill Sans MT"/>
          <w:i/>
          <w:spacing w:val="-3"/>
        </w:rPr>
        <w:t>Management</w:t>
      </w:r>
      <w:r w:rsidRPr="0040625C">
        <w:rPr>
          <w:rFonts w:ascii="Gill Sans MT" w:hAnsi="Gill Sans MT"/>
          <w:i/>
          <w:spacing w:val="-14"/>
        </w:rPr>
        <w:t xml:space="preserve"> </w:t>
      </w:r>
      <w:r w:rsidRPr="0040625C">
        <w:rPr>
          <w:rFonts w:ascii="Gill Sans MT" w:hAnsi="Gill Sans MT"/>
          <w:i/>
        </w:rPr>
        <w:t>and</w:t>
      </w:r>
      <w:r w:rsidRPr="0040625C">
        <w:rPr>
          <w:rFonts w:ascii="Gill Sans MT" w:hAnsi="Gill Sans MT"/>
          <w:i/>
          <w:spacing w:val="-15"/>
        </w:rPr>
        <w:t xml:space="preserve"> </w:t>
      </w:r>
      <w:r w:rsidRPr="0040625C">
        <w:rPr>
          <w:rFonts w:ascii="Gill Sans MT" w:hAnsi="Gill Sans MT"/>
          <w:i/>
        </w:rPr>
        <w:t>Audit</w:t>
      </w:r>
      <w:r w:rsidRPr="0040625C">
        <w:rPr>
          <w:rFonts w:ascii="Gill Sans MT" w:hAnsi="Gill Sans MT"/>
          <w:i/>
          <w:spacing w:val="-14"/>
        </w:rPr>
        <w:t xml:space="preserve"> </w:t>
      </w:r>
      <w:r w:rsidRPr="0040625C">
        <w:rPr>
          <w:rFonts w:ascii="Gill Sans MT" w:hAnsi="Gill Sans MT"/>
          <w:i/>
        </w:rPr>
        <w:t>Act</w:t>
      </w:r>
      <w:r w:rsidRPr="0040625C">
        <w:rPr>
          <w:rFonts w:ascii="Gill Sans MT" w:hAnsi="Gill Sans MT"/>
          <w:i/>
          <w:spacing w:val="-14"/>
        </w:rPr>
        <w:t xml:space="preserve"> </w:t>
      </w:r>
      <w:r w:rsidRPr="0040625C">
        <w:rPr>
          <w:rFonts w:ascii="Gill Sans MT" w:hAnsi="Gill Sans MT"/>
          <w:i/>
          <w:spacing w:val="-8"/>
        </w:rPr>
        <w:t>1990</w:t>
      </w:r>
      <w:r w:rsidRPr="0040625C">
        <w:rPr>
          <w:rFonts w:ascii="Gill Sans MT" w:hAnsi="Gill Sans MT"/>
          <w:spacing w:val="-8"/>
        </w:rPr>
        <w:t>,</w:t>
      </w:r>
      <w:r w:rsidRPr="0040625C">
        <w:rPr>
          <w:rFonts w:ascii="Gill Sans MT" w:hAnsi="Gill Sans MT"/>
          <w:spacing w:val="-14"/>
        </w:rPr>
        <w:t xml:space="preserve"> </w:t>
      </w:r>
      <w:r w:rsidRPr="0040625C">
        <w:rPr>
          <w:rFonts w:ascii="Gill Sans MT" w:hAnsi="Gill Sans MT"/>
        </w:rPr>
        <w:t>I</w:t>
      </w:r>
      <w:r w:rsidRPr="0040625C">
        <w:rPr>
          <w:rFonts w:ascii="Gill Sans MT" w:hAnsi="Gill Sans MT"/>
          <w:spacing w:val="-15"/>
        </w:rPr>
        <w:t xml:space="preserve"> </w:t>
      </w:r>
      <w:r w:rsidRPr="0040625C">
        <w:rPr>
          <w:rFonts w:ascii="Gill Sans MT" w:hAnsi="Gill Sans MT"/>
        </w:rPr>
        <w:t>am</w:t>
      </w:r>
      <w:r w:rsidRPr="0040625C">
        <w:rPr>
          <w:rFonts w:ascii="Gill Sans MT" w:hAnsi="Gill Sans MT"/>
          <w:spacing w:val="-15"/>
        </w:rPr>
        <w:t xml:space="preserve"> </w:t>
      </w:r>
      <w:r w:rsidRPr="0040625C">
        <w:rPr>
          <w:rFonts w:ascii="Gill Sans MT" w:hAnsi="Gill Sans MT"/>
        </w:rPr>
        <w:t>pleased</w:t>
      </w:r>
      <w:r w:rsidRPr="0040625C">
        <w:rPr>
          <w:rFonts w:ascii="Gill Sans MT" w:hAnsi="Gill Sans MT"/>
          <w:spacing w:val="-14"/>
        </w:rPr>
        <w:t xml:space="preserve"> </w:t>
      </w:r>
      <w:r w:rsidRPr="0040625C">
        <w:rPr>
          <w:rFonts w:ascii="Gill Sans MT" w:hAnsi="Gill Sans MT"/>
        </w:rPr>
        <w:t>to</w:t>
      </w:r>
      <w:r w:rsidRPr="0040625C">
        <w:rPr>
          <w:rFonts w:ascii="Gill Sans MT" w:hAnsi="Gill Sans MT"/>
          <w:spacing w:val="-15"/>
        </w:rPr>
        <w:t xml:space="preserve"> </w:t>
      </w:r>
      <w:r w:rsidRPr="0040625C">
        <w:rPr>
          <w:rFonts w:ascii="Gill Sans MT" w:hAnsi="Gill Sans MT"/>
        </w:rPr>
        <w:t>present</w:t>
      </w:r>
      <w:r w:rsidRPr="0040625C">
        <w:rPr>
          <w:rFonts w:ascii="Gill Sans MT" w:hAnsi="Gill Sans MT"/>
          <w:spacing w:val="-14"/>
        </w:rPr>
        <w:t xml:space="preserve"> </w:t>
      </w:r>
      <w:r w:rsidRPr="0040625C">
        <w:rPr>
          <w:rFonts w:ascii="Gill Sans MT" w:hAnsi="Gill Sans MT"/>
        </w:rPr>
        <w:t>the</w:t>
      </w:r>
      <w:r w:rsidRPr="0040625C">
        <w:rPr>
          <w:rFonts w:ascii="Gill Sans MT" w:hAnsi="Gill Sans MT"/>
          <w:spacing w:val="-15"/>
        </w:rPr>
        <w:t xml:space="preserve"> </w:t>
      </w:r>
      <w:r w:rsidRPr="0040625C">
        <w:rPr>
          <w:rFonts w:ascii="Gill Sans MT" w:hAnsi="Gill Sans MT"/>
        </w:rPr>
        <w:t>Annual</w:t>
      </w:r>
      <w:r w:rsidRPr="0040625C">
        <w:rPr>
          <w:rFonts w:ascii="Gill Sans MT" w:hAnsi="Gill Sans MT"/>
          <w:spacing w:val="-15"/>
        </w:rPr>
        <w:t xml:space="preserve"> </w:t>
      </w:r>
      <w:r w:rsidRPr="0040625C">
        <w:rPr>
          <w:rFonts w:ascii="Gill Sans MT" w:hAnsi="Gill Sans MT"/>
        </w:rPr>
        <w:t>Report</w:t>
      </w:r>
      <w:r w:rsidRPr="0040625C">
        <w:rPr>
          <w:rFonts w:ascii="Gill Sans MT" w:hAnsi="Gill Sans MT"/>
          <w:spacing w:val="-14"/>
        </w:rPr>
        <w:t xml:space="preserve"> </w:t>
      </w:r>
      <w:r w:rsidRPr="0040625C">
        <w:rPr>
          <w:rFonts w:ascii="Gill Sans MT" w:hAnsi="Gill Sans MT"/>
          <w:spacing w:val="-8"/>
        </w:rPr>
        <w:t xml:space="preserve">2015-16 </w:t>
      </w:r>
      <w:r w:rsidRPr="0040625C">
        <w:rPr>
          <w:rFonts w:ascii="Gill Sans MT" w:hAnsi="Gill Sans MT"/>
        </w:rPr>
        <w:t xml:space="preserve">and the financial statements for the </w:t>
      </w:r>
      <w:r w:rsidRPr="0040625C">
        <w:rPr>
          <w:rFonts w:ascii="Gill Sans MT" w:hAnsi="Gill Sans MT"/>
          <w:spacing w:val="-3"/>
        </w:rPr>
        <w:t xml:space="preserve">Tasmanian </w:t>
      </w:r>
      <w:r w:rsidRPr="0040625C">
        <w:rPr>
          <w:rFonts w:ascii="Gill Sans MT" w:hAnsi="Gill Sans MT"/>
        </w:rPr>
        <w:t>Health</w:t>
      </w:r>
      <w:r w:rsidRPr="0040625C">
        <w:rPr>
          <w:rFonts w:ascii="Gill Sans MT" w:hAnsi="Gill Sans MT"/>
          <w:spacing w:val="-31"/>
        </w:rPr>
        <w:t xml:space="preserve"> </w:t>
      </w:r>
      <w:r w:rsidRPr="0040625C">
        <w:rPr>
          <w:rFonts w:ascii="Gill Sans MT" w:hAnsi="Gill Sans MT"/>
        </w:rPr>
        <w:t>Service.</w:t>
      </w:r>
    </w:p>
    <w:p w:rsidR="0040625C" w:rsidRPr="0040625C" w:rsidRDefault="0040625C" w:rsidP="0040625C">
      <w:pPr>
        <w:pStyle w:val="BodyText"/>
        <w:rPr>
          <w:sz w:val="24"/>
        </w:rPr>
      </w:pPr>
    </w:p>
    <w:p w:rsidR="0040625C" w:rsidRPr="0040625C" w:rsidRDefault="0040625C" w:rsidP="0040625C">
      <w:pPr>
        <w:pStyle w:val="BodyText"/>
        <w:spacing w:before="8"/>
        <w:rPr>
          <w:sz w:val="28"/>
        </w:rPr>
      </w:pPr>
    </w:p>
    <w:p w:rsidR="0040625C" w:rsidRPr="0040625C" w:rsidRDefault="0040625C" w:rsidP="0040625C">
      <w:pPr>
        <w:pStyle w:val="BodyText"/>
      </w:pPr>
      <w:r w:rsidRPr="0040625C">
        <w:t>Yours sincerely</w:t>
      </w:r>
    </w:p>
    <w:p w:rsidR="0040625C" w:rsidRPr="0040625C" w:rsidRDefault="0040625C" w:rsidP="0040625C">
      <w:pPr>
        <w:rPr>
          <w:rFonts w:ascii="Gill Sans MT" w:hAnsi="Gill Sans MT"/>
          <w:b/>
        </w:rPr>
      </w:pPr>
      <w:r w:rsidRPr="0040625C">
        <w:rPr>
          <w:rFonts w:ascii="Gill Sans MT" w:hAnsi="Gill Sans MT"/>
          <w:b/>
        </w:rPr>
        <w:t>John Ramsay</w:t>
      </w:r>
    </w:p>
    <w:p w:rsidR="005A1CF2" w:rsidRDefault="0040625C" w:rsidP="0040625C">
      <w:pPr>
        <w:rPr>
          <w:rFonts w:ascii="Gill Sans MT" w:hAnsi="Gill Sans MT"/>
        </w:rPr>
      </w:pPr>
      <w:r w:rsidRPr="0040625C">
        <w:rPr>
          <w:rFonts w:ascii="Gill Sans MT" w:hAnsi="Gill Sans MT"/>
        </w:rPr>
        <w:t>Chair Tasmanian Health Service Governing Council 30 September 2016</w:t>
      </w:r>
    </w:p>
    <w:p w:rsidR="0040625C" w:rsidRDefault="0040625C">
      <w:pPr>
        <w:rPr>
          <w:rFonts w:ascii="Gill Sans MT" w:hAnsi="Gill Sans MT"/>
        </w:rPr>
      </w:pPr>
      <w:r>
        <w:rPr>
          <w:rFonts w:ascii="Gill Sans MT" w:hAnsi="Gill Sans MT"/>
        </w:rPr>
        <w:br w:type="page"/>
      </w:r>
    </w:p>
    <w:p w:rsidR="0040625C" w:rsidRDefault="0040625C" w:rsidP="0040625C">
      <w:pPr>
        <w:pStyle w:val="Heading3"/>
      </w:pPr>
      <w:bookmarkStart w:id="4" w:name="_Toc472581944"/>
      <w:r>
        <w:lastRenderedPageBreak/>
        <w:t>Facts and Figures</w:t>
      </w:r>
      <w:bookmarkEnd w:id="4"/>
    </w:p>
    <w:p w:rsidR="0040625C" w:rsidRDefault="0040625C" w:rsidP="0040625C">
      <w:pPr>
        <w:pStyle w:val="ListParagraph"/>
        <w:numPr>
          <w:ilvl w:val="0"/>
          <w:numId w:val="1"/>
        </w:numPr>
      </w:pPr>
      <w:r>
        <w:t>Population: approximately 523,000</w:t>
      </w:r>
    </w:p>
    <w:p w:rsidR="0040625C" w:rsidRDefault="0040625C" w:rsidP="0040625C">
      <w:pPr>
        <w:pStyle w:val="ListParagraph"/>
        <w:numPr>
          <w:ilvl w:val="0"/>
          <w:numId w:val="1"/>
        </w:numPr>
      </w:pPr>
      <w:r>
        <w:t>Total THS spending: 1.3 billion</w:t>
      </w:r>
    </w:p>
    <w:p w:rsidR="0040625C" w:rsidRDefault="0040625C" w:rsidP="0040625C">
      <w:pPr>
        <w:pStyle w:val="ListParagraph"/>
        <w:numPr>
          <w:ilvl w:val="0"/>
          <w:numId w:val="1"/>
        </w:numPr>
      </w:pPr>
      <w:r>
        <w:t>Number of Volunteers: 1,202</w:t>
      </w:r>
    </w:p>
    <w:p w:rsidR="0040625C" w:rsidRDefault="0040625C" w:rsidP="0040625C">
      <w:pPr>
        <w:pStyle w:val="ListParagraph"/>
        <w:numPr>
          <w:ilvl w:val="0"/>
          <w:numId w:val="1"/>
        </w:numPr>
      </w:pPr>
      <w:r>
        <w:t>Emergency Department Attendances: 153,693</w:t>
      </w:r>
    </w:p>
    <w:p w:rsidR="0040625C" w:rsidRDefault="0040625C" w:rsidP="0040625C">
      <w:pPr>
        <w:pStyle w:val="ListParagraph"/>
        <w:numPr>
          <w:ilvl w:val="0"/>
          <w:numId w:val="1"/>
        </w:numPr>
      </w:pPr>
      <w:r>
        <w:t>Raw Hospital Separations: 148,295</w:t>
      </w:r>
    </w:p>
    <w:p w:rsidR="0040625C" w:rsidRDefault="0040625C" w:rsidP="0040625C">
      <w:pPr>
        <w:pStyle w:val="ListParagraph"/>
        <w:numPr>
          <w:ilvl w:val="0"/>
          <w:numId w:val="1"/>
        </w:numPr>
      </w:pPr>
      <w:r>
        <w:t>Number of Paid Employees: 10,374</w:t>
      </w:r>
    </w:p>
    <w:p w:rsidR="0040625C" w:rsidRDefault="0040625C" w:rsidP="0040625C">
      <w:pPr>
        <w:pStyle w:val="ListParagraph"/>
        <w:numPr>
          <w:ilvl w:val="0"/>
          <w:numId w:val="1"/>
        </w:numPr>
      </w:pPr>
      <w:r>
        <w:t>Elective Surgery Procedures: 18,985</w:t>
      </w:r>
    </w:p>
    <w:p w:rsidR="0040625C" w:rsidRDefault="0040625C" w:rsidP="0040625C">
      <w:pPr>
        <w:pStyle w:val="ListParagraph"/>
        <w:numPr>
          <w:ilvl w:val="0"/>
          <w:numId w:val="1"/>
        </w:numPr>
      </w:pPr>
      <w:r>
        <w:t>Emergency Surgery: 10,106</w:t>
      </w:r>
    </w:p>
    <w:p w:rsidR="0040625C" w:rsidRDefault="0040625C" w:rsidP="0040625C">
      <w:pPr>
        <w:pStyle w:val="ListParagraph"/>
        <w:numPr>
          <w:ilvl w:val="0"/>
          <w:numId w:val="1"/>
        </w:numPr>
      </w:pPr>
      <w:r>
        <w:t>Outpatient Attendances: 380,310</w:t>
      </w:r>
    </w:p>
    <w:p w:rsidR="0040625C" w:rsidRDefault="0040625C" w:rsidP="0040625C">
      <w:pPr>
        <w:pStyle w:val="ListParagraph"/>
        <w:numPr>
          <w:ilvl w:val="0"/>
          <w:numId w:val="1"/>
        </w:numPr>
      </w:pPr>
      <w:r>
        <w:t>Births: 4,656</w:t>
      </w:r>
    </w:p>
    <w:p w:rsidR="0040625C" w:rsidRDefault="0040625C" w:rsidP="0040625C">
      <w:pPr>
        <w:pStyle w:val="ListParagraph"/>
        <w:numPr>
          <w:ilvl w:val="0"/>
          <w:numId w:val="1"/>
        </w:numPr>
      </w:pPr>
      <w:r>
        <w:t>Alcohol and Drug Services Supported Clients: 2,581</w:t>
      </w:r>
    </w:p>
    <w:p w:rsidR="0040625C" w:rsidRDefault="0040625C" w:rsidP="0040625C">
      <w:pPr>
        <w:pStyle w:val="ListParagraph"/>
        <w:numPr>
          <w:ilvl w:val="0"/>
          <w:numId w:val="1"/>
        </w:numPr>
      </w:pPr>
      <w:r>
        <w:t>Supported Pharmacotherapy Program Clients: 449</w:t>
      </w:r>
    </w:p>
    <w:p w:rsidR="0040625C" w:rsidRDefault="0040625C" w:rsidP="0040625C">
      <w:pPr>
        <w:pStyle w:val="ListParagraph"/>
        <w:numPr>
          <w:ilvl w:val="0"/>
          <w:numId w:val="1"/>
        </w:numPr>
      </w:pPr>
      <w:r>
        <w:t>Mental Health Services Occasions of Service: 148,873</w:t>
      </w:r>
    </w:p>
    <w:p w:rsidR="0040625C" w:rsidRDefault="0040625C" w:rsidP="0040625C">
      <w:pPr>
        <w:pStyle w:val="ListParagraph"/>
        <w:numPr>
          <w:ilvl w:val="0"/>
          <w:numId w:val="1"/>
        </w:numPr>
      </w:pPr>
      <w:r>
        <w:t>Oral Health Occasions of service – Children: 65,675 Adults: 67,469</w:t>
      </w:r>
    </w:p>
    <w:p w:rsidR="0040625C" w:rsidRDefault="0040625C" w:rsidP="0040625C">
      <w:pPr>
        <w:pStyle w:val="ListParagraph"/>
        <w:numPr>
          <w:ilvl w:val="0"/>
          <w:numId w:val="1"/>
        </w:numPr>
      </w:pPr>
      <w:r>
        <w:t>Meals prepared (3 meals per day): 2,681,185</w:t>
      </w:r>
    </w:p>
    <w:p w:rsidR="0040625C" w:rsidRDefault="0040625C" w:rsidP="0040625C">
      <w:pPr>
        <w:pStyle w:val="ListParagraph"/>
        <w:numPr>
          <w:ilvl w:val="0"/>
          <w:numId w:val="1"/>
        </w:numPr>
      </w:pPr>
      <w:r>
        <w:t>Scanned new medical record pages each week: 90,000</w:t>
      </w:r>
    </w:p>
    <w:p w:rsidR="0040625C" w:rsidRDefault="0040625C" w:rsidP="0040625C">
      <w:pPr>
        <w:pStyle w:val="ListParagraph"/>
        <w:numPr>
          <w:ilvl w:val="0"/>
          <w:numId w:val="1"/>
        </w:numPr>
      </w:pPr>
      <w:r>
        <w:t>Breast Screen Tasmania</w:t>
      </w:r>
      <w:r w:rsidR="002C0EDD">
        <w:t>: 31,600 eligible women screened</w:t>
      </w:r>
    </w:p>
    <w:p w:rsidR="00F36EB9" w:rsidRDefault="00F36EB9" w:rsidP="00F36EB9">
      <w:pPr>
        <w:ind w:left="360"/>
        <w:sectPr w:rsidR="00F36EB9" w:rsidSect="00025D0E">
          <w:pgSz w:w="11906" w:h="16838"/>
          <w:pgMar w:top="1440" w:right="707" w:bottom="1440" w:left="1134" w:header="708" w:footer="708" w:gutter="0"/>
          <w:cols w:space="708"/>
          <w:docGrid w:linePitch="360"/>
        </w:sectPr>
      </w:pPr>
    </w:p>
    <w:p w:rsidR="00F36EB9" w:rsidRPr="0040625C" w:rsidRDefault="00F36EB9" w:rsidP="00F36EB9">
      <w:pPr>
        <w:pStyle w:val="Heading3"/>
      </w:pPr>
      <w:bookmarkStart w:id="5" w:name="_Toc472581945"/>
      <w:r>
        <w:lastRenderedPageBreak/>
        <w:t>Table of Contents</w:t>
      </w:r>
      <w:bookmarkEnd w:id="5"/>
    </w:p>
    <w:p w:rsidR="002C0EDD" w:rsidRDefault="002C0EDD" w:rsidP="00F36EB9">
      <w:pPr>
        <w:pStyle w:val="Heading3"/>
      </w:pPr>
    </w:p>
    <w:sdt>
      <w:sdtPr>
        <w:rPr>
          <w:rFonts w:asciiTheme="minorHAnsi" w:eastAsiaTheme="minorHAnsi" w:hAnsiTheme="minorHAnsi" w:cstheme="minorBidi"/>
          <w:b w:val="0"/>
          <w:bCs w:val="0"/>
          <w:color w:val="auto"/>
          <w:sz w:val="22"/>
          <w:szCs w:val="22"/>
          <w:lang w:val="en-AU" w:eastAsia="en-US"/>
        </w:rPr>
        <w:id w:val="-1141564718"/>
        <w:docPartObj>
          <w:docPartGallery w:val="Table of Contents"/>
          <w:docPartUnique/>
        </w:docPartObj>
      </w:sdtPr>
      <w:sdtEndPr>
        <w:rPr>
          <w:noProof/>
        </w:rPr>
      </w:sdtEndPr>
      <w:sdtContent>
        <w:p w:rsidR="0092732F" w:rsidRDefault="0092732F">
          <w:pPr>
            <w:pStyle w:val="TOCHeading"/>
          </w:pPr>
          <w:r>
            <w:t>Table of Contents</w:t>
          </w:r>
        </w:p>
        <w:p w:rsidR="005631CB" w:rsidRDefault="0092732F">
          <w:pPr>
            <w:pStyle w:val="TOC1"/>
            <w:tabs>
              <w:tab w:val="right" w:leader="dot" w:pos="10055"/>
            </w:tabs>
            <w:rPr>
              <w:rFonts w:eastAsiaTheme="minorEastAsia"/>
              <w:noProof/>
              <w:lang w:eastAsia="en-AU"/>
            </w:rPr>
          </w:pPr>
          <w:r>
            <w:fldChar w:fldCharType="begin"/>
          </w:r>
          <w:r>
            <w:instrText xml:space="preserve"> TOC \o "1-3" \h \z \u </w:instrText>
          </w:r>
          <w:r>
            <w:fldChar w:fldCharType="separate"/>
          </w:r>
          <w:hyperlink w:anchor="_Toc472581941" w:history="1">
            <w:r w:rsidR="005631CB" w:rsidRPr="00452A9C">
              <w:rPr>
                <w:rStyle w:val="Hyperlink"/>
                <w:noProof/>
              </w:rPr>
              <w:t>Tasmanian Health Service 2015-2016 Annual Report</w:t>
            </w:r>
            <w:r w:rsidR="005631CB">
              <w:rPr>
                <w:noProof/>
                <w:webHidden/>
              </w:rPr>
              <w:tab/>
            </w:r>
            <w:r w:rsidR="005631CB">
              <w:rPr>
                <w:noProof/>
                <w:webHidden/>
              </w:rPr>
              <w:fldChar w:fldCharType="begin"/>
            </w:r>
            <w:r w:rsidR="005631CB">
              <w:rPr>
                <w:noProof/>
                <w:webHidden/>
              </w:rPr>
              <w:instrText xml:space="preserve"> PAGEREF _Toc472581941 \h </w:instrText>
            </w:r>
            <w:r w:rsidR="005631CB">
              <w:rPr>
                <w:noProof/>
                <w:webHidden/>
              </w:rPr>
            </w:r>
            <w:r w:rsidR="005631CB">
              <w:rPr>
                <w:noProof/>
                <w:webHidden/>
              </w:rPr>
              <w:fldChar w:fldCharType="separate"/>
            </w:r>
            <w:r w:rsidR="005631CB">
              <w:rPr>
                <w:noProof/>
                <w:webHidden/>
              </w:rPr>
              <w:t>2</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42" w:history="1">
            <w:r w:rsidR="005631CB" w:rsidRPr="00452A9C">
              <w:rPr>
                <w:rStyle w:val="Hyperlink"/>
                <w:noProof/>
              </w:rPr>
              <w:t>Introduction</w:t>
            </w:r>
            <w:r w:rsidR="005631CB">
              <w:rPr>
                <w:noProof/>
                <w:webHidden/>
              </w:rPr>
              <w:tab/>
            </w:r>
            <w:r w:rsidR="005631CB">
              <w:rPr>
                <w:noProof/>
                <w:webHidden/>
              </w:rPr>
              <w:fldChar w:fldCharType="begin"/>
            </w:r>
            <w:r w:rsidR="005631CB">
              <w:rPr>
                <w:noProof/>
                <w:webHidden/>
              </w:rPr>
              <w:instrText xml:space="preserve"> PAGEREF _Toc472581942 \h </w:instrText>
            </w:r>
            <w:r w:rsidR="005631CB">
              <w:rPr>
                <w:noProof/>
                <w:webHidden/>
              </w:rPr>
            </w:r>
            <w:r w:rsidR="005631CB">
              <w:rPr>
                <w:noProof/>
                <w:webHidden/>
              </w:rPr>
              <w:fldChar w:fldCharType="separate"/>
            </w:r>
            <w:r w:rsidR="005631CB">
              <w:rPr>
                <w:noProof/>
                <w:webHidden/>
              </w:rPr>
              <w:t>3</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3" w:history="1">
            <w:r w:rsidR="005631CB" w:rsidRPr="00452A9C">
              <w:rPr>
                <w:rStyle w:val="Hyperlink"/>
                <w:noProof/>
              </w:rPr>
              <w:t>Letter of Compliance</w:t>
            </w:r>
            <w:r w:rsidR="005631CB">
              <w:rPr>
                <w:noProof/>
                <w:webHidden/>
              </w:rPr>
              <w:tab/>
            </w:r>
            <w:r w:rsidR="005631CB">
              <w:rPr>
                <w:noProof/>
                <w:webHidden/>
              </w:rPr>
              <w:fldChar w:fldCharType="begin"/>
            </w:r>
            <w:r w:rsidR="005631CB">
              <w:rPr>
                <w:noProof/>
                <w:webHidden/>
              </w:rPr>
              <w:instrText xml:space="preserve"> PAGEREF _Toc472581943 \h </w:instrText>
            </w:r>
            <w:r w:rsidR="005631CB">
              <w:rPr>
                <w:noProof/>
                <w:webHidden/>
              </w:rPr>
            </w:r>
            <w:r w:rsidR="005631CB">
              <w:rPr>
                <w:noProof/>
                <w:webHidden/>
              </w:rPr>
              <w:fldChar w:fldCharType="separate"/>
            </w:r>
            <w:r w:rsidR="005631CB">
              <w:rPr>
                <w:noProof/>
                <w:webHidden/>
              </w:rPr>
              <w:t>3</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4" w:history="1">
            <w:r w:rsidR="005631CB" w:rsidRPr="00452A9C">
              <w:rPr>
                <w:rStyle w:val="Hyperlink"/>
                <w:noProof/>
              </w:rPr>
              <w:t>Facts and Figures</w:t>
            </w:r>
            <w:r w:rsidR="005631CB">
              <w:rPr>
                <w:noProof/>
                <w:webHidden/>
              </w:rPr>
              <w:tab/>
            </w:r>
            <w:r w:rsidR="005631CB">
              <w:rPr>
                <w:noProof/>
                <w:webHidden/>
              </w:rPr>
              <w:fldChar w:fldCharType="begin"/>
            </w:r>
            <w:r w:rsidR="005631CB">
              <w:rPr>
                <w:noProof/>
                <w:webHidden/>
              </w:rPr>
              <w:instrText xml:space="preserve"> PAGEREF _Toc472581944 \h </w:instrText>
            </w:r>
            <w:r w:rsidR="005631CB">
              <w:rPr>
                <w:noProof/>
                <w:webHidden/>
              </w:rPr>
            </w:r>
            <w:r w:rsidR="005631CB">
              <w:rPr>
                <w:noProof/>
                <w:webHidden/>
              </w:rPr>
              <w:fldChar w:fldCharType="separate"/>
            </w:r>
            <w:r w:rsidR="005631CB">
              <w:rPr>
                <w:noProof/>
                <w:webHidden/>
              </w:rPr>
              <w:t>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5" w:history="1">
            <w:r w:rsidR="005631CB" w:rsidRPr="00452A9C">
              <w:rPr>
                <w:rStyle w:val="Hyperlink"/>
                <w:noProof/>
              </w:rPr>
              <w:t>Table of Contents</w:t>
            </w:r>
            <w:r w:rsidR="005631CB">
              <w:rPr>
                <w:noProof/>
                <w:webHidden/>
              </w:rPr>
              <w:tab/>
            </w:r>
            <w:r w:rsidR="005631CB">
              <w:rPr>
                <w:noProof/>
                <w:webHidden/>
              </w:rPr>
              <w:fldChar w:fldCharType="begin"/>
            </w:r>
            <w:r w:rsidR="005631CB">
              <w:rPr>
                <w:noProof/>
                <w:webHidden/>
              </w:rPr>
              <w:instrText xml:space="preserve"> PAGEREF _Toc472581945 \h </w:instrText>
            </w:r>
            <w:r w:rsidR="005631CB">
              <w:rPr>
                <w:noProof/>
                <w:webHidden/>
              </w:rPr>
            </w:r>
            <w:r w:rsidR="005631CB">
              <w:rPr>
                <w:noProof/>
                <w:webHidden/>
              </w:rPr>
              <w:fldChar w:fldCharType="separate"/>
            </w:r>
            <w:r w:rsidR="005631CB">
              <w:rPr>
                <w:noProof/>
                <w:webHidden/>
              </w:rPr>
              <w:t>5</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6" w:history="1">
            <w:r w:rsidR="005631CB" w:rsidRPr="00452A9C">
              <w:rPr>
                <w:rStyle w:val="Hyperlink"/>
                <w:noProof/>
              </w:rPr>
              <w:t>NW Cancer Centre Radiation Therapy Service – Linear Accelerator Installed and Operational</w:t>
            </w:r>
            <w:r w:rsidR="005631CB">
              <w:rPr>
                <w:noProof/>
                <w:webHidden/>
              </w:rPr>
              <w:tab/>
            </w:r>
            <w:r w:rsidR="005631CB">
              <w:rPr>
                <w:noProof/>
                <w:webHidden/>
              </w:rPr>
              <w:fldChar w:fldCharType="begin"/>
            </w:r>
            <w:r w:rsidR="005631CB">
              <w:rPr>
                <w:noProof/>
                <w:webHidden/>
              </w:rPr>
              <w:instrText xml:space="preserve"> PAGEREF _Toc472581946 \h </w:instrText>
            </w:r>
            <w:r w:rsidR="005631CB">
              <w:rPr>
                <w:noProof/>
                <w:webHidden/>
              </w:rPr>
            </w:r>
            <w:r w:rsidR="005631CB">
              <w:rPr>
                <w:noProof/>
                <w:webHidden/>
              </w:rPr>
              <w:fldChar w:fldCharType="separate"/>
            </w:r>
            <w:r w:rsidR="005631CB">
              <w:rPr>
                <w:noProof/>
                <w:webHidden/>
              </w:rPr>
              <w:t>7</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47" w:history="1">
            <w:r w:rsidR="005631CB" w:rsidRPr="00452A9C">
              <w:rPr>
                <w:rStyle w:val="Hyperlink"/>
                <w:noProof/>
              </w:rPr>
              <w:t>Governance</w:t>
            </w:r>
            <w:r w:rsidR="005631CB">
              <w:rPr>
                <w:noProof/>
                <w:webHidden/>
              </w:rPr>
              <w:tab/>
            </w:r>
            <w:r w:rsidR="005631CB">
              <w:rPr>
                <w:noProof/>
                <w:webHidden/>
              </w:rPr>
              <w:fldChar w:fldCharType="begin"/>
            </w:r>
            <w:r w:rsidR="005631CB">
              <w:rPr>
                <w:noProof/>
                <w:webHidden/>
              </w:rPr>
              <w:instrText xml:space="preserve"> PAGEREF _Toc472581947 \h </w:instrText>
            </w:r>
            <w:r w:rsidR="005631CB">
              <w:rPr>
                <w:noProof/>
                <w:webHidden/>
              </w:rPr>
            </w:r>
            <w:r w:rsidR="005631CB">
              <w:rPr>
                <w:noProof/>
                <w:webHidden/>
              </w:rPr>
              <w:fldChar w:fldCharType="separate"/>
            </w:r>
            <w:r w:rsidR="005631CB">
              <w:rPr>
                <w:noProof/>
                <w:webHidden/>
              </w:rPr>
              <w:t>8</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8" w:history="1">
            <w:r w:rsidR="005631CB" w:rsidRPr="00452A9C">
              <w:rPr>
                <w:rStyle w:val="Hyperlink"/>
                <w:noProof/>
              </w:rPr>
              <w:t>Governing Council</w:t>
            </w:r>
            <w:r w:rsidR="005631CB">
              <w:rPr>
                <w:noProof/>
                <w:webHidden/>
              </w:rPr>
              <w:tab/>
            </w:r>
            <w:r w:rsidR="005631CB">
              <w:rPr>
                <w:noProof/>
                <w:webHidden/>
              </w:rPr>
              <w:fldChar w:fldCharType="begin"/>
            </w:r>
            <w:r w:rsidR="005631CB">
              <w:rPr>
                <w:noProof/>
                <w:webHidden/>
              </w:rPr>
              <w:instrText xml:space="preserve"> PAGEREF _Toc472581948 \h </w:instrText>
            </w:r>
            <w:r w:rsidR="005631CB">
              <w:rPr>
                <w:noProof/>
                <w:webHidden/>
              </w:rPr>
            </w:r>
            <w:r w:rsidR="005631CB">
              <w:rPr>
                <w:noProof/>
                <w:webHidden/>
              </w:rPr>
              <w:fldChar w:fldCharType="separate"/>
            </w:r>
            <w:r w:rsidR="005631CB">
              <w:rPr>
                <w:noProof/>
                <w:webHidden/>
              </w:rPr>
              <w:t>8</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49" w:history="1">
            <w:r w:rsidR="005631CB" w:rsidRPr="00452A9C">
              <w:rPr>
                <w:rStyle w:val="Hyperlink"/>
                <w:noProof/>
              </w:rPr>
              <w:t>Report from the Chair</w:t>
            </w:r>
            <w:r w:rsidR="005631CB">
              <w:rPr>
                <w:noProof/>
                <w:webHidden/>
              </w:rPr>
              <w:tab/>
            </w:r>
            <w:r w:rsidR="005631CB">
              <w:rPr>
                <w:noProof/>
                <w:webHidden/>
              </w:rPr>
              <w:fldChar w:fldCharType="begin"/>
            </w:r>
            <w:r w:rsidR="005631CB">
              <w:rPr>
                <w:noProof/>
                <w:webHidden/>
              </w:rPr>
              <w:instrText xml:space="preserve"> PAGEREF _Toc472581949 \h </w:instrText>
            </w:r>
            <w:r w:rsidR="005631CB">
              <w:rPr>
                <w:noProof/>
                <w:webHidden/>
              </w:rPr>
            </w:r>
            <w:r w:rsidR="005631CB">
              <w:rPr>
                <w:noProof/>
                <w:webHidden/>
              </w:rPr>
              <w:fldChar w:fldCharType="separate"/>
            </w:r>
            <w:r w:rsidR="005631CB">
              <w:rPr>
                <w:noProof/>
                <w:webHidden/>
              </w:rPr>
              <w:t>9</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0" w:history="1">
            <w:r w:rsidR="005631CB" w:rsidRPr="00452A9C">
              <w:rPr>
                <w:rStyle w:val="Hyperlink"/>
                <w:noProof/>
              </w:rPr>
              <w:t>Governing Council Members</w:t>
            </w:r>
            <w:r w:rsidR="005631CB">
              <w:rPr>
                <w:noProof/>
                <w:webHidden/>
              </w:rPr>
              <w:tab/>
            </w:r>
            <w:r w:rsidR="005631CB">
              <w:rPr>
                <w:noProof/>
                <w:webHidden/>
              </w:rPr>
              <w:fldChar w:fldCharType="begin"/>
            </w:r>
            <w:r w:rsidR="005631CB">
              <w:rPr>
                <w:noProof/>
                <w:webHidden/>
              </w:rPr>
              <w:instrText xml:space="preserve"> PAGEREF _Toc472581950 \h </w:instrText>
            </w:r>
            <w:r w:rsidR="005631CB">
              <w:rPr>
                <w:noProof/>
                <w:webHidden/>
              </w:rPr>
            </w:r>
            <w:r w:rsidR="005631CB">
              <w:rPr>
                <w:noProof/>
                <w:webHidden/>
              </w:rPr>
              <w:fldChar w:fldCharType="separate"/>
            </w:r>
            <w:r w:rsidR="005631CB">
              <w:rPr>
                <w:noProof/>
                <w:webHidden/>
              </w:rPr>
              <w:t>10</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1" w:history="1">
            <w:r w:rsidR="005631CB" w:rsidRPr="00452A9C">
              <w:rPr>
                <w:rStyle w:val="Hyperlink"/>
                <w:noProof/>
              </w:rPr>
              <w:t>Governing Council Attendance Records</w:t>
            </w:r>
            <w:r w:rsidR="005631CB">
              <w:rPr>
                <w:noProof/>
                <w:webHidden/>
              </w:rPr>
              <w:tab/>
            </w:r>
            <w:r w:rsidR="005631CB">
              <w:rPr>
                <w:noProof/>
                <w:webHidden/>
              </w:rPr>
              <w:fldChar w:fldCharType="begin"/>
            </w:r>
            <w:r w:rsidR="005631CB">
              <w:rPr>
                <w:noProof/>
                <w:webHidden/>
              </w:rPr>
              <w:instrText xml:space="preserve"> PAGEREF _Toc472581951 \h </w:instrText>
            </w:r>
            <w:r w:rsidR="005631CB">
              <w:rPr>
                <w:noProof/>
                <w:webHidden/>
              </w:rPr>
            </w:r>
            <w:r w:rsidR="005631CB">
              <w:rPr>
                <w:noProof/>
                <w:webHidden/>
              </w:rPr>
              <w:fldChar w:fldCharType="separate"/>
            </w:r>
            <w:r w:rsidR="005631CB">
              <w:rPr>
                <w:noProof/>
                <w:webHidden/>
              </w:rPr>
              <w:t>16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2" w:history="1">
            <w:r w:rsidR="005631CB" w:rsidRPr="00452A9C">
              <w:rPr>
                <w:rStyle w:val="Hyperlink"/>
                <w:noProof/>
              </w:rPr>
              <w:t>Subcommittee Reports</w:t>
            </w:r>
            <w:r w:rsidR="005631CB">
              <w:rPr>
                <w:noProof/>
                <w:webHidden/>
              </w:rPr>
              <w:tab/>
            </w:r>
            <w:r w:rsidR="005631CB">
              <w:rPr>
                <w:noProof/>
                <w:webHidden/>
              </w:rPr>
              <w:fldChar w:fldCharType="begin"/>
            </w:r>
            <w:r w:rsidR="005631CB">
              <w:rPr>
                <w:noProof/>
                <w:webHidden/>
              </w:rPr>
              <w:instrText xml:space="preserve"> PAGEREF _Toc472581952 \h </w:instrText>
            </w:r>
            <w:r w:rsidR="005631CB">
              <w:rPr>
                <w:noProof/>
                <w:webHidden/>
              </w:rPr>
            </w:r>
            <w:r w:rsidR="005631CB">
              <w:rPr>
                <w:noProof/>
                <w:webHidden/>
              </w:rPr>
              <w:fldChar w:fldCharType="separate"/>
            </w:r>
            <w:r w:rsidR="005631CB">
              <w:rPr>
                <w:noProof/>
                <w:webHidden/>
              </w:rPr>
              <w:t>18</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53" w:history="1">
            <w:r w:rsidR="005631CB" w:rsidRPr="00452A9C">
              <w:rPr>
                <w:rStyle w:val="Hyperlink"/>
                <w:noProof/>
              </w:rPr>
              <w:t>Operations</w:t>
            </w:r>
            <w:r w:rsidR="005631CB">
              <w:rPr>
                <w:noProof/>
                <w:webHidden/>
              </w:rPr>
              <w:tab/>
            </w:r>
            <w:r w:rsidR="005631CB">
              <w:rPr>
                <w:noProof/>
                <w:webHidden/>
              </w:rPr>
              <w:fldChar w:fldCharType="begin"/>
            </w:r>
            <w:r w:rsidR="005631CB">
              <w:rPr>
                <w:noProof/>
                <w:webHidden/>
              </w:rPr>
              <w:instrText xml:space="preserve"> PAGEREF _Toc472581953 \h </w:instrText>
            </w:r>
            <w:r w:rsidR="005631CB">
              <w:rPr>
                <w:noProof/>
                <w:webHidden/>
              </w:rPr>
            </w:r>
            <w:r w:rsidR="005631CB">
              <w:rPr>
                <w:noProof/>
                <w:webHidden/>
              </w:rPr>
              <w:fldChar w:fldCharType="separate"/>
            </w:r>
            <w:r w:rsidR="005631CB">
              <w:rPr>
                <w:noProof/>
                <w:webHidden/>
              </w:rPr>
              <w:t>24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4" w:history="1">
            <w:r w:rsidR="005631CB" w:rsidRPr="00452A9C">
              <w:rPr>
                <w:rStyle w:val="Hyperlink"/>
                <w:noProof/>
              </w:rPr>
              <w:t>CEO Report</w:t>
            </w:r>
            <w:r w:rsidR="005631CB">
              <w:rPr>
                <w:noProof/>
                <w:webHidden/>
              </w:rPr>
              <w:tab/>
            </w:r>
            <w:r w:rsidR="005631CB">
              <w:rPr>
                <w:noProof/>
                <w:webHidden/>
              </w:rPr>
              <w:fldChar w:fldCharType="begin"/>
            </w:r>
            <w:r w:rsidR="005631CB">
              <w:rPr>
                <w:noProof/>
                <w:webHidden/>
              </w:rPr>
              <w:instrText xml:space="preserve"> PAGEREF _Toc472581954 \h </w:instrText>
            </w:r>
            <w:r w:rsidR="005631CB">
              <w:rPr>
                <w:noProof/>
                <w:webHidden/>
              </w:rPr>
            </w:r>
            <w:r w:rsidR="005631CB">
              <w:rPr>
                <w:noProof/>
                <w:webHidden/>
              </w:rPr>
              <w:fldChar w:fldCharType="separate"/>
            </w:r>
            <w:r w:rsidR="005631CB">
              <w:rPr>
                <w:noProof/>
                <w:webHidden/>
              </w:rPr>
              <w:t>24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5" w:history="1">
            <w:r w:rsidR="005631CB" w:rsidRPr="00452A9C">
              <w:rPr>
                <w:rStyle w:val="Hyperlink"/>
                <w:noProof/>
              </w:rPr>
              <w:t>Organisational Structure</w:t>
            </w:r>
            <w:r w:rsidR="005631CB">
              <w:rPr>
                <w:noProof/>
                <w:webHidden/>
              </w:rPr>
              <w:tab/>
            </w:r>
            <w:r w:rsidR="005631CB">
              <w:rPr>
                <w:noProof/>
                <w:webHidden/>
              </w:rPr>
              <w:fldChar w:fldCharType="begin"/>
            </w:r>
            <w:r w:rsidR="005631CB">
              <w:rPr>
                <w:noProof/>
                <w:webHidden/>
              </w:rPr>
              <w:instrText xml:space="preserve"> PAGEREF _Toc472581955 \h </w:instrText>
            </w:r>
            <w:r w:rsidR="005631CB">
              <w:rPr>
                <w:noProof/>
                <w:webHidden/>
              </w:rPr>
            </w:r>
            <w:r w:rsidR="005631CB">
              <w:rPr>
                <w:noProof/>
                <w:webHidden/>
              </w:rPr>
              <w:fldChar w:fldCharType="separate"/>
            </w:r>
            <w:r w:rsidR="005631CB">
              <w:rPr>
                <w:noProof/>
                <w:webHidden/>
              </w:rPr>
              <w:t>25</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6" w:history="1">
            <w:r w:rsidR="005631CB" w:rsidRPr="00452A9C">
              <w:rPr>
                <w:rStyle w:val="Hyperlink"/>
                <w:noProof/>
              </w:rPr>
              <w:t>Executive Management Team</w:t>
            </w:r>
            <w:r w:rsidR="005631CB">
              <w:rPr>
                <w:noProof/>
                <w:webHidden/>
              </w:rPr>
              <w:tab/>
            </w:r>
            <w:r w:rsidR="005631CB">
              <w:rPr>
                <w:noProof/>
                <w:webHidden/>
              </w:rPr>
              <w:fldChar w:fldCharType="begin"/>
            </w:r>
            <w:r w:rsidR="005631CB">
              <w:rPr>
                <w:noProof/>
                <w:webHidden/>
              </w:rPr>
              <w:instrText xml:space="preserve"> PAGEREF _Toc472581956 \h </w:instrText>
            </w:r>
            <w:r w:rsidR="005631CB">
              <w:rPr>
                <w:noProof/>
                <w:webHidden/>
              </w:rPr>
            </w:r>
            <w:r w:rsidR="005631CB">
              <w:rPr>
                <w:noProof/>
                <w:webHidden/>
              </w:rPr>
              <w:fldChar w:fldCharType="separate"/>
            </w:r>
            <w:r w:rsidR="005631CB">
              <w:rPr>
                <w:noProof/>
                <w:webHidden/>
              </w:rPr>
              <w:t>26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7" w:history="1">
            <w:r w:rsidR="005631CB" w:rsidRPr="00452A9C">
              <w:rPr>
                <w:rStyle w:val="Hyperlink"/>
                <w:noProof/>
              </w:rPr>
              <w:t>Tasmanian Health Service – Service Profile</w:t>
            </w:r>
            <w:r w:rsidR="005631CB">
              <w:rPr>
                <w:noProof/>
                <w:webHidden/>
              </w:rPr>
              <w:tab/>
            </w:r>
            <w:r w:rsidR="005631CB">
              <w:rPr>
                <w:noProof/>
                <w:webHidden/>
              </w:rPr>
              <w:fldChar w:fldCharType="begin"/>
            </w:r>
            <w:r w:rsidR="005631CB">
              <w:rPr>
                <w:noProof/>
                <w:webHidden/>
              </w:rPr>
              <w:instrText xml:space="preserve"> PAGEREF _Toc472581957 \h </w:instrText>
            </w:r>
            <w:r w:rsidR="005631CB">
              <w:rPr>
                <w:noProof/>
                <w:webHidden/>
              </w:rPr>
            </w:r>
            <w:r w:rsidR="005631CB">
              <w:rPr>
                <w:noProof/>
                <w:webHidden/>
              </w:rPr>
              <w:fldChar w:fldCharType="separate"/>
            </w:r>
            <w:r w:rsidR="005631CB">
              <w:rPr>
                <w:noProof/>
                <w:webHidden/>
              </w:rPr>
              <w:t>28</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8" w:history="1">
            <w:r w:rsidR="005631CB" w:rsidRPr="00452A9C">
              <w:rPr>
                <w:rStyle w:val="Hyperlink"/>
                <w:noProof/>
              </w:rPr>
              <w:t>Services by region</w:t>
            </w:r>
            <w:r w:rsidR="005631CB">
              <w:rPr>
                <w:noProof/>
                <w:webHidden/>
              </w:rPr>
              <w:tab/>
            </w:r>
            <w:r w:rsidR="005631CB">
              <w:rPr>
                <w:noProof/>
                <w:webHidden/>
              </w:rPr>
              <w:fldChar w:fldCharType="begin"/>
            </w:r>
            <w:r w:rsidR="005631CB">
              <w:rPr>
                <w:noProof/>
                <w:webHidden/>
              </w:rPr>
              <w:instrText xml:space="preserve"> PAGEREF _Toc472581958 \h </w:instrText>
            </w:r>
            <w:r w:rsidR="005631CB">
              <w:rPr>
                <w:noProof/>
                <w:webHidden/>
              </w:rPr>
            </w:r>
            <w:r w:rsidR="005631CB">
              <w:rPr>
                <w:noProof/>
                <w:webHidden/>
              </w:rPr>
              <w:fldChar w:fldCharType="separate"/>
            </w:r>
            <w:r w:rsidR="005631CB">
              <w:rPr>
                <w:noProof/>
                <w:webHidden/>
              </w:rPr>
              <w:t>29</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59" w:history="1">
            <w:r w:rsidR="005631CB" w:rsidRPr="00452A9C">
              <w:rPr>
                <w:rStyle w:val="Hyperlink"/>
                <w:noProof/>
              </w:rPr>
              <w:t>Our Community and Volunteers</w:t>
            </w:r>
            <w:r w:rsidR="005631CB">
              <w:rPr>
                <w:noProof/>
                <w:webHidden/>
              </w:rPr>
              <w:tab/>
            </w:r>
            <w:r w:rsidR="005631CB">
              <w:rPr>
                <w:noProof/>
                <w:webHidden/>
              </w:rPr>
              <w:fldChar w:fldCharType="begin"/>
            </w:r>
            <w:r w:rsidR="005631CB">
              <w:rPr>
                <w:noProof/>
                <w:webHidden/>
              </w:rPr>
              <w:instrText xml:space="preserve"> PAGEREF _Toc472581959 \h </w:instrText>
            </w:r>
            <w:r w:rsidR="005631CB">
              <w:rPr>
                <w:noProof/>
                <w:webHidden/>
              </w:rPr>
            </w:r>
            <w:r w:rsidR="005631CB">
              <w:rPr>
                <w:noProof/>
                <w:webHidden/>
              </w:rPr>
              <w:fldChar w:fldCharType="separate"/>
            </w:r>
            <w:r w:rsidR="005631CB">
              <w:rPr>
                <w:noProof/>
                <w:webHidden/>
              </w:rPr>
              <w:t>31</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0" w:history="1">
            <w:r w:rsidR="005631CB" w:rsidRPr="00452A9C">
              <w:rPr>
                <w:rStyle w:val="Hyperlink"/>
                <w:noProof/>
              </w:rPr>
              <w:t>Report from South</w:t>
            </w:r>
            <w:r w:rsidR="005631CB">
              <w:rPr>
                <w:noProof/>
                <w:webHidden/>
              </w:rPr>
              <w:tab/>
            </w:r>
            <w:r w:rsidR="005631CB">
              <w:rPr>
                <w:noProof/>
                <w:webHidden/>
              </w:rPr>
              <w:fldChar w:fldCharType="begin"/>
            </w:r>
            <w:r w:rsidR="005631CB">
              <w:rPr>
                <w:noProof/>
                <w:webHidden/>
              </w:rPr>
              <w:instrText xml:space="preserve"> PAGEREF _Toc472581960 \h </w:instrText>
            </w:r>
            <w:r w:rsidR="005631CB">
              <w:rPr>
                <w:noProof/>
                <w:webHidden/>
              </w:rPr>
            </w:r>
            <w:r w:rsidR="005631CB">
              <w:rPr>
                <w:noProof/>
                <w:webHidden/>
              </w:rPr>
              <w:fldChar w:fldCharType="separate"/>
            </w:r>
            <w:r w:rsidR="005631CB">
              <w:rPr>
                <w:noProof/>
                <w:webHidden/>
              </w:rPr>
              <w:t>34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1" w:history="1">
            <w:r w:rsidR="005631CB" w:rsidRPr="00452A9C">
              <w:rPr>
                <w:rStyle w:val="Hyperlink"/>
                <w:noProof/>
              </w:rPr>
              <w:t>Royal Hobart Hospital Redevelopment</w:t>
            </w:r>
            <w:r w:rsidR="005631CB">
              <w:rPr>
                <w:noProof/>
                <w:webHidden/>
              </w:rPr>
              <w:tab/>
            </w:r>
            <w:r w:rsidR="005631CB">
              <w:rPr>
                <w:noProof/>
                <w:webHidden/>
              </w:rPr>
              <w:fldChar w:fldCharType="begin"/>
            </w:r>
            <w:r w:rsidR="005631CB">
              <w:rPr>
                <w:noProof/>
                <w:webHidden/>
              </w:rPr>
              <w:instrText xml:space="preserve"> PAGEREF _Toc472581961 \h </w:instrText>
            </w:r>
            <w:r w:rsidR="005631CB">
              <w:rPr>
                <w:noProof/>
                <w:webHidden/>
              </w:rPr>
            </w:r>
            <w:r w:rsidR="005631CB">
              <w:rPr>
                <w:noProof/>
                <w:webHidden/>
              </w:rPr>
              <w:fldChar w:fldCharType="separate"/>
            </w:r>
            <w:r w:rsidR="005631CB">
              <w:rPr>
                <w:noProof/>
                <w:webHidden/>
              </w:rPr>
              <w:t>35</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2" w:history="1">
            <w:r w:rsidR="005631CB" w:rsidRPr="00452A9C">
              <w:rPr>
                <w:rStyle w:val="Hyperlink"/>
                <w:noProof/>
              </w:rPr>
              <w:t>Report from North and North West</w:t>
            </w:r>
            <w:r w:rsidR="005631CB">
              <w:rPr>
                <w:noProof/>
                <w:webHidden/>
              </w:rPr>
              <w:tab/>
            </w:r>
            <w:r w:rsidR="005631CB">
              <w:rPr>
                <w:noProof/>
                <w:webHidden/>
              </w:rPr>
              <w:fldChar w:fldCharType="begin"/>
            </w:r>
            <w:r w:rsidR="005631CB">
              <w:rPr>
                <w:noProof/>
                <w:webHidden/>
              </w:rPr>
              <w:instrText xml:space="preserve"> PAGEREF _Toc472581962 \h </w:instrText>
            </w:r>
            <w:r w:rsidR="005631CB">
              <w:rPr>
                <w:noProof/>
                <w:webHidden/>
              </w:rPr>
            </w:r>
            <w:r w:rsidR="005631CB">
              <w:rPr>
                <w:noProof/>
                <w:webHidden/>
              </w:rPr>
              <w:fldChar w:fldCharType="separate"/>
            </w:r>
            <w:r w:rsidR="005631CB">
              <w:rPr>
                <w:noProof/>
                <w:webHidden/>
              </w:rPr>
              <w:t>37</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63" w:history="1">
            <w:r w:rsidR="005631CB" w:rsidRPr="00452A9C">
              <w:rPr>
                <w:rStyle w:val="Hyperlink"/>
                <w:noProof/>
              </w:rPr>
              <w:t>Our People</w:t>
            </w:r>
            <w:r w:rsidR="005631CB">
              <w:rPr>
                <w:noProof/>
                <w:webHidden/>
              </w:rPr>
              <w:tab/>
            </w:r>
            <w:r w:rsidR="005631CB">
              <w:rPr>
                <w:noProof/>
                <w:webHidden/>
              </w:rPr>
              <w:fldChar w:fldCharType="begin"/>
            </w:r>
            <w:r w:rsidR="005631CB">
              <w:rPr>
                <w:noProof/>
                <w:webHidden/>
              </w:rPr>
              <w:instrText xml:space="preserve"> PAGEREF _Toc472581963 \h </w:instrText>
            </w:r>
            <w:r w:rsidR="005631CB">
              <w:rPr>
                <w:noProof/>
                <w:webHidden/>
              </w:rPr>
            </w:r>
            <w:r w:rsidR="005631CB">
              <w:rPr>
                <w:noProof/>
                <w:webHidden/>
              </w:rPr>
              <w:fldChar w:fldCharType="separate"/>
            </w:r>
            <w:r w:rsidR="005631CB">
              <w:rPr>
                <w:noProof/>
                <w:webHidden/>
              </w:rPr>
              <w:t>45</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4" w:history="1">
            <w:r w:rsidR="005631CB" w:rsidRPr="00452A9C">
              <w:rPr>
                <w:rStyle w:val="Hyperlink"/>
                <w:noProof/>
              </w:rPr>
              <w:t>Human Resources Statistics</w:t>
            </w:r>
            <w:r w:rsidR="005631CB">
              <w:rPr>
                <w:noProof/>
                <w:webHidden/>
              </w:rPr>
              <w:tab/>
            </w:r>
            <w:r w:rsidR="005631CB">
              <w:rPr>
                <w:noProof/>
                <w:webHidden/>
              </w:rPr>
              <w:fldChar w:fldCharType="begin"/>
            </w:r>
            <w:r w:rsidR="005631CB">
              <w:rPr>
                <w:noProof/>
                <w:webHidden/>
              </w:rPr>
              <w:instrText xml:space="preserve"> PAGEREF _Toc472581964 \h </w:instrText>
            </w:r>
            <w:r w:rsidR="005631CB">
              <w:rPr>
                <w:noProof/>
                <w:webHidden/>
              </w:rPr>
            </w:r>
            <w:r w:rsidR="005631CB">
              <w:rPr>
                <w:noProof/>
                <w:webHidden/>
              </w:rPr>
              <w:fldChar w:fldCharType="separate"/>
            </w:r>
            <w:r w:rsidR="005631CB">
              <w:rPr>
                <w:noProof/>
                <w:webHidden/>
              </w:rPr>
              <w:t>46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5" w:history="1">
            <w:r w:rsidR="005631CB" w:rsidRPr="00452A9C">
              <w:rPr>
                <w:rStyle w:val="Hyperlink"/>
                <w:noProof/>
              </w:rPr>
              <w:t>Human Resource Policies and Programs</w:t>
            </w:r>
            <w:r w:rsidR="005631CB">
              <w:rPr>
                <w:noProof/>
                <w:webHidden/>
              </w:rPr>
              <w:tab/>
            </w:r>
            <w:r w:rsidR="005631CB">
              <w:rPr>
                <w:noProof/>
                <w:webHidden/>
              </w:rPr>
              <w:fldChar w:fldCharType="begin"/>
            </w:r>
            <w:r w:rsidR="005631CB">
              <w:rPr>
                <w:noProof/>
                <w:webHidden/>
              </w:rPr>
              <w:instrText xml:space="preserve"> PAGEREF _Toc472581965 \h </w:instrText>
            </w:r>
            <w:r w:rsidR="005631CB">
              <w:rPr>
                <w:noProof/>
                <w:webHidden/>
              </w:rPr>
            </w:r>
            <w:r w:rsidR="005631CB">
              <w:rPr>
                <w:noProof/>
                <w:webHidden/>
              </w:rPr>
              <w:fldChar w:fldCharType="separate"/>
            </w:r>
            <w:r w:rsidR="005631CB">
              <w:rPr>
                <w:noProof/>
                <w:webHidden/>
              </w:rPr>
              <w:t>50</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6" w:history="1">
            <w:r w:rsidR="005631CB" w:rsidRPr="00452A9C">
              <w:rPr>
                <w:rStyle w:val="Hyperlink"/>
                <w:noProof/>
              </w:rPr>
              <w:t>Work Health, safety and Wellbeing</w:t>
            </w:r>
            <w:r w:rsidR="005631CB">
              <w:rPr>
                <w:noProof/>
                <w:webHidden/>
              </w:rPr>
              <w:tab/>
            </w:r>
            <w:r w:rsidR="005631CB">
              <w:rPr>
                <w:noProof/>
                <w:webHidden/>
              </w:rPr>
              <w:fldChar w:fldCharType="begin"/>
            </w:r>
            <w:r w:rsidR="005631CB">
              <w:rPr>
                <w:noProof/>
                <w:webHidden/>
              </w:rPr>
              <w:instrText xml:space="preserve"> PAGEREF _Toc472581966 \h </w:instrText>
            </w:r>
            <w:r w:rsidR="005631CB">
              <w:rPr>
                <w:noProof/>
                <w:webHidden/>
              </w:rPr>
            </w:r>
            <w:r w:rsidR="005631CB">
              <w:rPr>
                <w:noProof/>
                <w:webHidden/>
              </w:rPr>
              <w:fldChar w:fldCharType="separate"/>
            </w:r>
            <w:r w:rsidR="005631CB">
              <w:rPr>
                <w:noProof/>
                <w:webHidden/>
              </w:rPr>
              <w:t>50</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7" w:history="1">
            <w:r w:rsidR="005631CB" w:rsidRPr="00452A9C">
              <w:rPr>
                <w:rStyle w:val="Hyperlink"/>
                <w:noProof/>
              </w:rPr>
              <w:t>Awards and Agreements</w:t>
            </w:r>
            <w:r w:rsidR="005631CB">
              <w:rPr>
                <w:noProof/>
                <w:webHidden/>
              </w:rPr>
              <w:tab/>
            </w:r>
            <w:r w:rsidR="005631CB">
              <w:rPr>
                <w:noProof/>
                <w:webHidden/>
              </w:rPr>
              <w:fldChar w:fldCharType="begin"/>
            </w:r>
            <w:r w:rsidR="005631CB">
              <w:rPr>
                <w:noProof/>
                <w:webHidden/>
              </w:rPr>
              <w:instrText xml:space="preserve"> PAGEREF _Toc472581967 \h </w:instrText>
            </w:r>
            <w:r w:rsidR="005631CB">
              <w:rPr>
                <w:noProof/>
                <w:webHidden/>
              </w:rPr>
            </w:r>
            <w:r w:rsidR="005631CB">
              <w:rPr>
                <w:noProof/>
                <w:webHidden/>
              </w:rPr>
              <w:fldChar w:fldCharType="separate"/>
            </w:r>
            <w:r w:rsidR="005631CB">
              <w:rPr>
                <w:noProof/>
                <w:webHidden/>
              </w:rPr>
              <w:t>52</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8" w:history="1">
            <w:r w:rsidR="005631CB" w:rsidRPr="00452A9C">
              <w:rPr>
                <w:rStyle w:val="Hyperlink"/>
                <w:noProof/>
              </w:rPr>
              <w:t>Education, Research and Clinical Trials</w:t>
            </w:r>
            <w:r w:rsidR="005631CB">
              <w:rPr>
                <w:noProof/>
                <w:webHidden/>
              </w:rPr>
              <w:tab/>
            </w:r>
            <w:r w:rsidR="005631CB">
              <w:rPr>
                <w:noProof/>
                <w:webHidden/>
              </w:rPr>
              <w:fldChar w:fldCharType="begin"/>
            </w:r>
            <w:r w:rsidR="005631CB">
              <w:rPr>
                <w:noProof/>
                <w:webHidden/>
              </w:rPr>
              <w:instrText xml:space="preserve"> PAGEREF _Toc472581968 \h </w:instrText>
            </w:r>
            <w:r w:rsidR="005631CB">
              <w:rPr>
                <w:noProof/>
                <w:webHidden/>
              </w:rPr>
            </w:r>
            <w:r w:rsidR="005631CB">
              <w:rPr>
                <w:noProof/>
                <w:webHidden/>
              </w:rPr>
              <w:fldChar w:fldCharType="separate"/>
            </w:r>
            <w:r w:rsidR="005631CB">
              <w:rPr>
                <w:noProof/>
                <w:webHidden/>
              </w:rPr>
              <w:t>53</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69" w:history="1">
            <w:r w:rsidR="005631CB" w:rsidRPr="00452A9C">
              <w:rPr>
                <w:rStyle w:val="Hyperlink"/>
                <w:noProof/>
              </w:rPr>
              <w:t>Conference Presentations</w:t>
            </w:r>
            <w:r w:rsidR="005631CB">
              <w:rPr>
                <w:noProof/>
                <w:webHidden/>
              </w:rPr>
              <w:tab/>
            </w:r>
            <w:r w:rsidR="005631CB">
              <w:rPr>
                <w:noProof/>
                <w:webHidden/>
              </w:rPr>
              <w:fldChar w:fldCharType="begin"/>
            </w:r>
            <w:r w:rsidR="005631CB">
              <w:rPr>
                <w:noProof/>
                <w:webHidden/>
              </w:rPr>
              <w:instrText xml:space="preserve"> PAGEREF _Toc472581969 \h </w:instrText>
            </w:r>
            <w:r w:rsidR="005631CB">
              <w:rPr>
                <w:noProof/>
                <w:webHidden/>
              </w:rPr>
            </w:r>
            <w:r w:rsidR="005631CB">
              <w:rPr>
                <w:noProof/>
                <w:webHidden/>
              </w:rPr>
              <w:fldChar w:fldCharType="separate"/>
            </w:r>
            <w:r w:rsidR="005631CB">
              <w:rPr>
                <w:noProof/>
                <w:webHidden/>
              </w:rPr>
              <w:t>54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0" w:history="1">
            <w:r w:rsidR="005631CB" w:rsidRPr="00452A9C">
              <w:rPr>
                <w:rStyle w:val="Hyperlink"/>
                <w:noProof/>
              </w:rPr>
              <w:t>Publications</w:t>
            </w:r>
            <w:r w:rsidR="005631CB">
              <w:rPr>
                <w:noProof/>
                <w:webHidden/>
              </w:rPr>
              <w:tab/>
            </w:r>
            <w:r w:rsidR="005631CB">
              <w:rPr>
                <w:noProof/>
                <w:webHidden/>
              </w:rPr>
              <w:fldChar w:fldCharType="begin"/>
            </w:r>
            <w:r w:rsidR="005631CB">
              <w:rPr>
                <w:noProof/>
                <w:webHidden/>
              </w:rPr>
              <w:instrText xml:space="preserve"> PAGEREF _Toc472581970 \h </w:instrText>
            </w:r>
            <w:r w:rsidR="005631CB">
              <w:rPr>
                <w:noProof/>
                <w:webHidden/>
              </w:rPr>
            </w:r>
            <w:r w:rsidR="005631CB">
              <w:rPr>
                <w:noProof/>
                <w:webHidden/>
              </w:rPr>
              <w:fldChar w:fldCharType="separate"/>
            </w:r>
            <w:r w:rsidR="005631CB">
              <w:rPr>
                <w:noProof/>
                <w:webHidden/>
              </w:rPr>
              <w:t>56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1" w:history="1">
            <w:r w:rsidR="005631CB" w:rsidRPr="00452A9C">
              <w:rPr>
                <w:rStyle w:val="Hyperlink"/>
                <w:noProof/>
              </w:rPr>
              <w:t>Clinical Advisory Groups</w:t>
            </w:r>
            <w:r w:rsidR="005631CB">
              <w:rPr>
                <w:noProof/>
                <w:webHidden/>
              </w:rPr>
              <w:tab/>
            </w:r>
            <w:r w:rsidR="005631CB">
              <w:rPr>
                <w:noProof/>
                <w:webHidden/>
              </w:rPr>
              <w:fldChar w:fldCharType="begin"/>
            </w:r>
            <w:r w:rsidR="005631CB">
              <w:rPr>
                <w:noProof/>
                <w:webHidden/>
              </w:rPr>
              <w:instrText xml:space="preserve"> PAGEREF _Toc472581971 \h </w:instrText>
            </w:r>
            <w:r w:rsidR="005631CB">
              <w:rPr>
                <w:noProof/>
                <w:webHidden/>
              </w:rPr>
            </w:r>
            <w:r w:rsidR="005631CB">
              <w:rPr>
                <w:noProof/>
                <w:webHidden/>
              </w:rPr>
              <w:fldChar w:fldCharType="separate"/>
            </w:r>
            <w:r w:rsidR="005631CB">
              <w:rPr>
                <w:noProof/>
                <w:webHidden/>
              </w:rPr>
              <w:t>73</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2" w:history="1">
            <w:r w:rsidR="005631CB" w:rsidRPr="00452A9C">
              <w:rPr>
                <w:rStyle w:val="Hyperlink"/>
                <w:noProof/>
              </w:rPr>
              <w:t>Accreditation</w:t>
            </w:r>
            <w:r w:rsidR="005631CB">
              <w:rPr>
                <w:noProof/>
                <w:webHidden/>
              </w:rPr>
              <w:tab/>
            </w:r>
            <w:r w:rsidR="005631CB">
              <w:rPr>
                <w:noProof/>
                <w:webHidden/>
              </w:rPr>
              <w:fldChar w:fldCharType="begin"/>
            </w:r>
            <w:r w:rsidR="005631CB">
              <w:rPr>
                <w:noProof/>
                <w:webHidden/>
              </w:rPr>
              <w:instrText xml:space="preserve"> PAGEREF _Toc472581972 \h </w:instrText>
            </w:r>
            <w:r w:rsidR="005631CB">
              <w:rPr>
                <w:noProof/>
                <w:webHidden/>
              </w:rPr>
            </w:r>
            <w:r w:rsidR="005631CB">
              <w:rPr>
                <w:noProof/>
                <w:webHidden/>
              </w:rPr>
              <w:fldChar w:fldCharType="separate"/>
            </w:r>
            <w:r w:rsidR="005631CB">
              <w:rPr>
                <w:noProof/>
                <w:webHidden/>
              </w:rPr>
              <w:t>87</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3" w:history="1">
            <w:r w:rsidR="005631CB" w:rsidRPr="00452A9C">
              <w:rPr>
                <w:rStyle w:val="Hyperlink"/>
                <w:noProof/>
              </w:rPr>
              <w:t>Quality and Safety</w:t>
            </w:r>
            <w:r w:rsidR="005631CB">
              <w:rPr>
                <w:noProof/>
                <w:webHidden/>
              </w:rPr>
              <w:tab/>
            </w:r>
            <w:r w:rsidR="005631CB">
              <w:rPr>
                <w:noProof/>
                <w:webHidden/>
              </w:rPr>
              <w:fldChar w:fldCharType="begin"/>
            </w:r>
            <w:r w:rsidR="005631CB">
              <w:rPr>
                <w:noProof/>
                <w:webHidden/>
              </w:rPr>
              <w:instrText xml:space="preserve"> PAGEREF _Toc472581973 \h </w:instrText>
            </w:r>
            <w:r w:rsidR="005631CB">
              <w:rPr>
                <w:noProof/>
                <w:webHidden/>
              </w:rPr>
            </w:r>
            <w:r w:rsidR="005631CB">
              <w:rPr>
                <w:noProof/>
                <w:webHidden/>
              </w:rPr>
              <w:fldChar w:fldCharType="separate"/>
            </w:r>
            <w:r w:rsidR="005631CB">
              <w:rPr>
                <w:noProof/>
                <w:webHidden/>
              </w:rPr>
              <w:t>88</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74" w:history="1">
            <w:r w:rsidR="005631CB" w:rsidRPr="00452A9C">
              <w:rPr>
                <w:rStyle w:val="Hyperlink"/>
                <w:noProof/>
              </w:rPr>
              <w:t>Our Performance</w:t>
            </w:r>
            <w:r w:rsidR="005631CB">
              <w:rPr>
                <w:noProof/>
                <w:webHidden/>
              </w:rPr>
              <w:tab/>
            </w:r>
            <w:r w:rsidR="005631CB">
              <w:rPr>
                <w:noProof/>
                <w:webHidden/>
              </w:rPr>
              <w:fldChar w:fldCharType="begin"/>
            </w:r>
            <w:r w:rsidR="005631CB">
              <w:rPr>
                <w:noProof/>
                <w:webHidden/>
              </w:rPr>
              <w:instrText xml:space="preserve"> PAGEREF _Toc472581974 \h </w:instrText>
            </w:r>
            <w:r w:rsidR="005631CB">
              <w:rPr>
                <w:noProof/>
                <w:webHidden/>
              </w:rPr>
            </w:r>
            <w:r w:rsidR="005631CB">
              <w:rPr>
                <w:noProof/>
                <w:webHidden/>
              </w:rPr>
              <w:fldChar w:fldCharType="separate"/>
            </w:r>
            <w:r w:rsidR="005631CB">
              <w:rPr>
                <w:noProof/>
                <w:webHidden/>
              </w:rPr>
              <w:t>88</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5" w:history="1">
            <w:r w:rsidR="005631CB" w:rsidRPr="00452A9C">
              <w:rPr>
                <w:rStyle w:val="Hyperlink"/>
                <w:noProof/>
              </w:rPr>
              <w:t>Performance against service agreement</w:t>
            </w:r>
            <w:r w:rsidR="005631CB">
              <w:rPr>
                <w:noProof/>
                <w:webHidden/>
              </w:rPr>
              <w:tab/>
            </w:r>
            <w:r w:rsidR="005631CB">
              <w:rPr>
                <w:noProof/>
                <w:webHidden/>
              </w:rPr>
              <w:fldChar w:fldCharType="begin"/>
            </w:r>
            <w:r w:rsidR="005631CB">
              <w:rPr>
                <w:noProof/>
                <w:webHidden/>
              </w:rPr>
              <w:instrText xml:space="preserve"> PAGEREF _Toc472581975 \h </w:instrText>
            </w:r>
            <w:r w:rsidR="005631CB">
              <w:rPr>
                <w:noProof/>
                <w:webHidden/>
              </w:rPr>
            </w:r>
            <w:r w:rsidR="005631CB">
              <w:rPr>
                <w:noProof/>
                <w:webHidden/>
              </w:rPr>
              <w:fldChar w:fldCharType="separate"/>
            </w:r>
            <w:r w:rsidR="005631CB">
              <w:rPr>
                <w:noProof/>
                <w:webHidden/>
              </w:rPr>
              <w:t>88</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76" w:history="1">
            <w:r w:rsidR="005631CB" w:rsidRPr="00452A9C">
              <w:rPr>
                <w:rStyle w:val="Hyperlink"/>
                <w:noProof/>
              </w:rPr>
              <w:t>Supplementary Information</w:t>
            </w:r>
            <w:r w:rsidR="005631CB">
              <w:rPr>
                <w:noProof/>
                <w:webHidden/>
              </w:rPr>
              <w:tab/>
            </w:r>
            <w:r w:rsidR="005631CB">
              <w:rPr>
                <w:noProof/>
                <w:webHidden/>
              </w:rPr>
              <w:fldChar w:fldCharType="begin"/>
            </w:r>
            <w:r w:rsidR="005631CB">
              <w:rPr>
                <w:noProof/>
                <w:webHidden/>
              </w:rPr>
              <w:instrText xml:space="preserve"> PAGEREF _Toc472581976 \h </w:instrText>
            </w:r>
            <w:r w:rsidR="005631CB">
              <w:rPr>
                <w:noProof/>
                <w:webHidden/>
              </w:rPr>
            </w:r>
            <w:r w:rsidR="005631CB">
              <w:rPr>
                <w:noProof/>
                <w:webHidden/>
              </w:rPr>
              <w:fldChar w:fldCharType="separate"/>
            </w:r>
            <w:r w:rsidR="005631CB">
              <w:rPr>
                <w:noProof/>
                <w:webHidden/>
              </w:rPr>
              <w:t>101</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7" w:history="1">
            <w:r w:rsidR="005631CB" w:rsidRPr="00452A9C">
              <w:rPr>
                <w:rStyle w:val="Hyperlink"/>
                <w:noProof/>
              </w:rPr>
              <w:t>Climate Change</w:t>
            </w:r>
            <w:r w:rsidR="005631CB">
              <w:rPr>
                <w:noProof/>
                <w:webHidden/>
              </w:rPr>
              <w:tab/>
            </w:r>
            <w:r w:rsidR="005631CB">
              <w:rPr>
                <w:noProof/>
                <w:webHidden/>
              </w:rPr>
              <w:fldChar w:fldCharType="begin"/>
            </w:r>
            <w:r w:rsidR="005631CB">
              <w:rPr>
                <w:noProof/>
                <w:webHidden/>
              </w:rPr>
              <w:instrText xml:space="preserve"> PAGEREF _Toc472581977 \h </w:instrText>
            </w:r>
            <w:r w:rsidR="005631CB">
              <w:rPr>
                <w:noProof/>
                <w:webHidden/>
              </w:rPr>
            </w:r>
            <w:r w:rsidR="005631CB">
              <w:rPr>
                <w:noProof/>
                <w:webHidden/>
              </w:rPr>
              <w:fldChar w:fldCharType="separate"/>
            </w:r>
            <w:r w:rsidR="005631CB">
              <w:rPr>
                <w:noProof/>
                <w:webHidden/>
              </w:rPr>
              <w:t>101</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8" w:history="1">
            <w:r w:rsidR="005631CB" w:rsidRPr="00452A9C">
              <w:rPr>
                <w:rStyle w:val="Hyperlink"/>
                <w:noProof/>
              </w:rPr>
              <w:t>Capital Works and Asset Management</w:t>
            </w:r>
            <w:r w:rsidR="005631CB">
              <w:rPr>
                <w:noProof/>
                <w:webHidden/>
              </w:rPr>
              <w:tab/>
            </w:r>
            <w:r w:rsidR="005631CB">
              <w:rPr>
                <w:noProof/>
                <w:webHidden/>
              </w:rPr>
              <w:fldChar w:fldCharType="begin"/>
            </w:r>
            <w:r w:rsidR="005631CB">
              <w:rPr>
                <w:noProof/>
                <w:webHidden/>
              </w:rPr>
              <w:instrText xml:space="preserve"> PAGEREF _Toc472581978 \h </w:instrText>
            </w:r>
            <w:r w:rsidR="005631CB">
              <w:rPr>
                <w:noProof/>
                <w:webHidden/>
              </w:rPr>
            </w:r>
            <w:r w:rsidR="005631CB">
              <w:rPr>
                <w:noProof/>
                <w:webHidden/>
              </w:rPr>
              <w:fldChar w:fldCharType="separate"/>
            </w:r>
            <w:r w:rsidR="005631CB">
              <w:rPr>
                <w:noProof/>
                <w:webHidden/>
              </w:rPr>
              <w:t>101</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79" w:history="1">
            <w:r w:rsidR="005631CB" w:rsidRPr="00452A9C">
              <w:rPr>
                <w:rStyle w:val="Hyperlink"/>
                <w:noProof/>
              </w:rPr>
              <w:t>Consultancies, Contracts and Tenders</w:t>
            </w:r>
            <w:r w:rsidR="005631CB">
              <w:rPr>
                <w:noProof/>
                <w:webHidden/>
              </w:rPr>
              <w:tab/>
            </w:r>
            <w:r w:rsidR="005631CB">
              <w:rPr>
                <w:noProof/>
                <w:webHidden/>
              </w:rPr>
              <w:fldChar w:fldCharType="begin"/>
            </w:r>
            <w:r w:rsidR="005631CB">
              <w:rPr>
                <w:noProof/>
                <w:webHidden/>
              </w:rPr>
              <w:instrText xml:space="preserve"> PAGEREF _Toc472581979 \h </w:instrText>
            </w:r>
            <w:r w:rsidR="005631CB">
              <w:rPr>
                <w:noProof/>
                <w:webHidden/>
              </w:rPr>
            </w:r>
            <w:r w:rsidR="005631CB">
              <w:rPr>
                <w:noProof/>
                <w:webHidden/>
              </w:rPr>
              <w:fldChar w:fldCharType="separate"/>
            </w:r>
            <w:r w:rsidR="005631CB">
              <w:rPr>
                <w:noProof/>
                <w:webHidden/>
              </w:rPr>
              <w:t>106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0" w:history="1">
            <w:r w:rsidR="005631CB" w:rsidRPr="00452A9C">
              <w:rPr>
                <w:rStyle w:val="Hyperlink"/>
                <w:noProof/>
              </w:rPr>
              <w:t>Right to Information</w:t>
            </w:r>
            <w:r w:rsidR="005631CB">
              <w:rPr>
                <w:noProof/>
                <w:webHidden/>
              </w:rPr>
              <w:tab/>
            </w:r>
            <w:r w:rsidR="005631CB">
              <w:rPr>
                <w:noProof/>
                <w:webHidden/>
              </w:rPr>
              <w:fldChar w:fldCharType="begin"/>
            </w:r>
            <w:r w:rsidR="005631CB">
              <w:rPr>
                <w:noProof/>
                <w:webHidden/>
              </w:rPr>
              <w:instrText xml:space="preserve"> PAGEREF _Toc472581980 \h </w:instrText>
            </w:r>
            <w:r w:rsidR="005631CB">
              <w:rPr>
                <w:noProof/>
                <w:webHidden/>
              </w:rPr>
            </w:r>
            <w:r w:rsidR="005631CB">
              <w:rPr>
                <w:noProof/>
                <w:webHidden/>
              </w:rPr>
              <w:fldChar w:fldCharType="separate"/>
            </w:r>
            <w:r w:rsidR="005631CB">
              <w:rPr>
                <w:noProof/>
                <w:webHidden/>
              </w:rPr>
              <w:t>117</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1" w:history="1">
            <w:r w:rsidR="005631CB" w:rsidRPr="00452A9C">
              <w:rPr>
                <w:rStyle w:val="Hyperlink"/>
                <w:noProof/>
              </w:rPr>
              <w:t>Publications</w:t>
            </w:r>
            <w:r w:rsidR="005631CB">
              <w:rPr>
                <w:noProof/>
                <w:webHidden/>
              </w:rPr>
              <w:tab/>
            </w:r>
            <w:r w:rsidR="005631CB">
              <w:rPr>
                <w:noProof/>
                <w:webHidden/>
              </w:rPr>
              <w:fldChar w:fldCharType="begin"/>
            </w:r>
            <w:r w:rsidR="005631CB">
              <w:rPr>
                <w:noProof/>
                <w:webHidden/>
              </w:rPr>
              <w:instrText xml:space="preserve"> PAGEREF _Toc472581981 \h </w:instrText>
            </w:r>
            <w:r w:rsidR="005631CB">
              <w:rPr>
                <w:noProof/>
                <w:webHidden/>
              </w:rPr>
            </w:r>
            <w:r w:rsidR="005631CB">
              <w:rPr>
                <w:noProof/>
                <w:webHidden/>
              </w:rPr>
              <w:fldChar w:fldCharType="separate"/>
            </w:r>
            <w:r w:rsidR="005631CB">
              <w:rPr>
                <w:noProof/>
                <w:webHidden/>
              </w:rPr>
              <w:t>120</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2" w:history="1">
            <w:r w:rsidR="005631CB" w:rsidRPr="00452A9C">
              <w:rPr>
                <w:rStyle w:val="Hyperlink"/>
                <w:noProof/>
              </w:rPr>
              <w:t>Glossary</w:t>
            </w:r>
            <w:r w:rsidR="005631CB">
              <w:rPr>
                <w:noProof/>
                <w:webHidden/>
              </w:rPr>
              <w:tab/>
            </w:r>
            <w:r w:rsidR="005631CB">
              <w:rPr>
                <w:noProof/>
                <w:webHidden/>
              </w:rPr>
              <w:fldChar w:fldCharType="begin"/>
            </w:r>
            <w:r w:rsidR="005631CB">
              <w:rPr>
                <w:noProof/>
                <w:webHidden/>
              </w:rPr>
              <w:instrText xml:space="preserve"> PAGEREF _Toc472581982 \h </w:instrText>
            </w:r>
            <w:r w:rsidR="005631CB">
              <w:rPr>
                <w:noProof/>
                <w:webHidden/>
              </w:rPr>
            </w:r>
            <w:r w:rsidR="005631CB">
              <w:rPr>
                <w:noProof/>
                <w:webHidden/>
              </w:rPr>
              <w:fldChar w:fldCharType="separate"/>
            </w:r>
            <w:r w:rsidR="005631CB">
              <w:rPr>
                <w:noProof/>
                <w:webHidden/>
              </w:rPr>
              <w:t>136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3" w:history="1">
            <w:r w:rsidR="005631CB" w:rsidRPr="00452A9C">
              <w:rPr>
                <w:rStyle w:val="Hyperlink"/>
                <w:noProof/>
              </w:rPr>
              <w:t>Legislation</w:t>
            </w:r>
            <w:r w:rsidR="005631CB">
              <w:rPr>
                <w:noProof/>
                <w:webHidden/>
              </w:rPr>
              <w:tab/>
            </w:r>
            <w:r w:rsidR="005631CB">
              <w:rPr>
                <w:noProof/>
                <w:webHidden/>
              </w:rPr>
              <w:fldChar w:fldCharType="begin"/>
            </w:r>
            <w:r w:rsidR="005631CB">
              <w:rPr>
                <w:noProof/>
                <w:webHidden/>
              </w:rPr>
              <w:instrText xml:space="preserve"> PAGEREF _Toc472581983 \h </w:instrText>
            </w:r>
            <w:r w:rsidR="005631CB">
              <w:rPr>
                <w:noProof/>
                <w:webHidden/>
              </w:rPr>
            </w:r>
            <w:r w:rsidR="005631CB">
              <w:rPr>
                <w:noProof/>
                <w:webHidden/>
              </w:rPr>
              <w:fldChar w:fldCharType="separate"/>
            </w:r>
            <w:r w:rsidR="005631CB">
              <w:rPr>
                <w:noProof/>
                <w:webHidden/>
              </w:rPr>
              <w:t>139</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4" w:history="1">
            <w:r w:rsidR="005631CB" w:rsidRPr="00452A9C">
              <w:rPr>
                <w:rStyle w:val="Hyperlink"/>
                <w:noProof/>
              </w:rPr>
              <w:t>SUPERANNUATION DECLARATION</w:t>
            </w:r>
            <w:r w:rsidR="005631CB">
              <w:rPr>
                <w:noProof/>
                <w:webHidden/>
              </w:rPr>
              <w:tab/>
            </w:r>
            <w:r w:rsidR="005631CB">
              <w:rPr>
                <w:noProof/>
                <w:webHidden/>
              </w:rPr>
              <w:fldChar w:fldCharType="begin"/>
            </w:r>
            <w:r w:rsidR="005631CB">
              <w:rPr>
                <w:noProof/>
                <w:webHidden/>
              </w:rPr>
              <w:instrText xml:space="preserve"> PAGEREF _Toc472581984 \h </w:instrText>
            </w:r>
            <w:r w:rsidR="005631CB">
              <w:rPr>
                <w:noProof/>
                <w:webHidden/>
              </w:rPr>
            </w:r>
            <w:r w:rsidR="005631CB">
              <w:rPr>
                <w:noProof/>
                <w:webHidden/>
              </w:rPr>
              <w:fldChar w:fldCharType="separate"/>
            </w:r>
            <w:r w:rsidR="005631CB">
              <w:rPr>
                <w:noProof/>
                <w:webHidden/>
              </w:rPr>
              <w:t>142</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5" w:history="1">
            <w:r w:rsidR="005631CB" w:rsidRPr="00452A9C">
              <w:rPr>
                <w:rStyle w:val="Hyperlink"/>
                <w:noProof/>
              </w:rPr>
              <w:t>PRICING POLICIES</w:t>
            </w:r>
            <w:r w:rsidR="005631CB">
              <w:rPr>
                <w:noProof/>
                <w:webHidden/>
              </w:rPr>
              <w:tab/>
            </w:r>
            <w:r w:rsidR="005631CB">
              <w:rPr>
                <w:noProof/>
                <w:webHidden/>
              </w:rPr>
              <w:fldChar w:fldCharType="begin"/>
            </w:r>
            <w:r w:rsidR="005631CB">
              <w:rPr>
                <w:noProof/>
                <w:webHidden/>
              </w:rPr>
              <w:instrText xml:space="preserve"> PAGEREF _Toc472581985 \h </w:instrText>
            </w:r>
            <w:r w:rsidR="005631CB">
              <w:rPr>
                <w:noProof/>
                <w:webHidden/>
              </w:rPr>
            </w:r>
            <w:r w:rsidR="005631CB">
              <w:rPr>
                <w:noProof/>
                <w:webHidden/>
              </w:rPr>
              <w:fldChar w:fldCharType="separate"/>
            </w:r>
            <w:r w:rsidR="005631CB">
              <w:rPr>
                <w:noProof/>
                <w:webHidden/>
              </w:rPr>
              <w:t>142</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6" w:history="1">
            <w:r w:rsidR="005631CB" w:rsidRPr="00452A9C">
              <w:rPr>
                <w:rStyle w:val="Hyperlink"/>
                <w:noProof/>
              </w:rPr>
              <w:t>PUBLIC INTEREST DISCLOSURE</w:t>
            </w:r>
            <w:r w:rsidR="005631CB">
              <w:rPr>
                <w:noProof/>
                <w:webHidden/>
              </w:rPr>
              <w:tab/>
            </w:r>
            <w:r w:rsidR="005631CB">
              <w:rPr>
                <w:noProof/>
                <w:webHidden/>
              </w:rPr>
              <w:fldChar w:fldCharType="begin"/>
            </w:r>
            <w:r w:rsidR="005631CB">
              <w:rPr>
                <w:noProof/>
                <w:webHidden/>
              </w:rPr>
              <w:instrText xml:space="preserve"> PAGEREF _Toc472581986 \h </w:instrText>
            </w:r>
            <w:r w:rsidR="005631CB">
              <w:rPr>
                <w:noProof/>
                <w:webHidden/>
              </w:rPr>
            </w:r>
            <w:r w:rsidR="005631CB">
              <w:rPr>
                <w:noProof/>
                <w:webHidden/>
              </w:rPr>
              <w:fldChar w:fldCharType="separate"/>
            </w:r>
            <w:r w:rsidR="005631CB">
              <w:rPr>
                <w:noProof/>
                <w:webHidden/>
              </w:rPr>
              <w:t>142</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7" w:history="1">
            <w:r w:rsidR="005631CB" w:rsidRPr="00452A9C">
              <w:rPr>
                <w:rStyle w:val="Hyperlink"/>
                <w:noProof/>
              </w:rPr>
              <w:t>Feature:  George Town Unit named in honour of donor family</w:t>
            </w:r>
            <w:r w:rsidR="005631CB">
              <w:rPr>
                <w:noProof/>
                <w:webHidden/>
              </w:rPr>
              <w:tab/>
            </w:r>
            <w:r w:rsidR="005631CB">
              <w:rPr>
                <w:noProof/>
                <w:webHidden/>
              </w:rPr>
              <w:fldChar w:fldCharType="begin"/>
            </w:r>
            <w:r w:rsidR="005631CB">
              <w:rPr>
                <w:noProof/>
                <w:webHidden/>
              </w:rPr>
              <w:instrText xml:space="preserve"> PAGEREF _Toc472581987 \h </w:instrText>
            </w:r>
            <w:r w:rsidR="005631CB">
              <w:rPr>
                <w:noProof/>
                <w:webHidden/>
              </w:rPr>
            </w:r>
            <w:r w:rsidR="005631CB">
              <w:rPr>
                <w:noProof/>
                <w:webHidden/>
              </w:rPr>
              <w:fldChar w:fldCharType="separate"/>
            </w:r>
            <w:r w:rsidR="005631CB">
              <w:rPr>
                <w:noProof/>
                <w:webHidden/>
              </w:rPr>
              <w:t>143</w:t>
            </w:r>
            <w:r w:rsidR="005631CB">
              <w:rPr>
                <w:noProof/>
                <w:webHidden/>
              </w:rPr>
              <w:fldChar w:fldCharType="end"/>
            </w:r>
          </w:hyperlink>
        </w:p>
        <w:p w:rsidR="005631CB" w:rsidRDefault="00B241E7">
          <w:pPr>
            <w:pStyle w:val="TOC2"/>
            <w:tabs>
              <w:tab w:val="right" w:leader="dot" w:pos="10055"/>
            </w:tabs>
            <w:rPr>
              <w:rFonts w:eastAsiaTheme="minorEastAsia"/>
              <w:noProof/>
              <w:lang w:eastAsia="en-AU"/>
            </w:rPr>
          </w:pPr>
          <w:hyperlink w:anchor="_Toc472581988" w:history="1">
            <w:r w:rsidR="005631CB" w:rsidRPr="00452A9C">
              <w:rPr>
                <w:rStyle w:val="Hyperlink"/>
                <w:noProof/>
              </w:rPr>
              <w:t>Financial Statements</w:t>
            </w:r>
            <w:r w:rsidR="005631CB">
              <w:rPr>
                <w:noProof/>
                <w:webHidden/>
              </w:rPr>
              <w:tab/>
            </w:r>
            <w:r w:rsidR="005631CB">
              <w:rPr>
                <w:noProof/>
                <w:webHidden/>
              </w:rPr>
              <w:fldChar w:fldCharType="begin"/>
            </w:r>
            <w:r w:rsidR="005631CB">
              <w:rPr>
                <w:noProof/>
                <w:webHidden/>
              </w:rPr>
              <w:instrText xml:space="preserve"> PAGEREF _Toc472581988 \h </w:instrText>
            </w:r>
            <w:r w:rsidR="005631CB">
              <w:rPr>
                <w:noProof/>
                <w:webHidden/>
              </w:rPr>
            </w:r>
            <w:r w:rsidR="005631CB">
              <w:rPr>
                <w:noProof/>
                <w:webHidden/>
              </w:rPr>
              <w:fldChar w:fldCharType="separate"/>
            </w:r>
            <w:r w:rsidR="005631CB">
              <w:rPr>
                <w:noProof/>
                <w:webHidden/>
              </w:rPr>
              <w:t>144</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89" w:history="1">
            <w:r w:rsidR="005631CB" w:rsidRPr="00452A9C">
              <w:rPr>
                <w:rStyle w:val="Hyperlink"/>
                <w:noProof/>
              </w:rPr>
              <w:t>Statement of Certification</w:t>
            </w:r>
            <w:r w:rsidR="005631CB">
              <w:rPr>
                <w:noProof/>
                <w:webHidden/>
              </w:rPr>
              <w:tab/>
            </w:r>
            <w:r w:rsidR="005631CB">
              <w:rPr>
                <w:noProof/>
                <w:webHidden/>
              </w:rPr>
              <w:fldChar w:fldCharType="begin"/>
            </w:r>
            <w:r w:rsidR="005631CB">
              <w:rPr>
                <w:noProof/>
                <w:webHidden/>
              </w:rPr>
              <w:instrText xml:space="preserve"> PAGEREF _Toc472581989 \h </w:instrText>
            </w:r>
            <w:r w:rsidR="005631CB">
              <w:rPr>
                <w:noProof/>
                <w:webHidden/>
              </w:rPr>
            </w:r>
            <w:r w:rsidR="005631CB">
              <w:rPr>
                <w:noProof/>
                <w:webHidden/>
              </w:rPr>
              <w:fldChar w:fldCharType="separate"/>
            </w:r>
            <w:r w:rsidR="005631CB">
              <w:rPr>
                <w:noProof/>
                <w:webHidden/>
              </w:rPr>
              <w:t>145</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90" w:history="1">
            <w:r w:rsidR="005631CB" w:rsidRPr="00452A9C">
              <w:rPr>
                <w:rStyle w:val="Hyperlink"/>
                <w:noProof/>
              </w:rPr>
              <w:t>Statement of Comprehensive Income</w:t>
            </w:r>
            <w:r w:rsidR="005631CB">
              <w:rPr>
                <w:noProof/>
                <w:webHidden/>
              </w:rPr>
              <w:tab/>
            </w:r>
            <w:r w:rsidR="005631CB">
              <w:rPr>
                <w:noProof/>
                <w:webHidden/>
              </w:rPr>
              <w:fldChar w:fldCharType="begin"/>
            </w:r>
            <w:r w:rsidR="005631CB">
              <w:rPr>
                <w:noProof/>
                <w:webHidden/>
              </w:rPr>
              <w:instrText xml:space="preserve"> PAGEREF _Toc472581990 \h </w:instrText>
            </w:r>
            <w:r w:rsidR="005631CB">
              <w:rPr>
                <w:noProof/>
                <w:webHidden/>
              </w:rPr>
            </w:r>
            <w:r w:rsidR="005631CB">
              <w:rPr>
                <w:noProof/>
                <w:webHidden/>
              </w:rPr>
              <w:fldChar w:fldCharType="separate"/>
            </w:r>
            <w:r w:rsidR="005631CB">
              <w:rPr>
                <w:noProof/>
                <w:webHidden/>
              </w:rPr>
              <w:t>146</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91" w:history="1">
            <w:r w:rsidR="005631CB" w:rsidRPr="00452A9C">
              <w:rPr>
                <w:rStyle w:val="Hyperlink"/>
                <w:noProof/>
              </w:rPr>
              <w:t>Statement of Financial Position</w:t>
            </w:r>
            <w:r w:rsidR="005631CB">
              <w:rPr>
                <w:noProof/>
                <w:webHidden/>
              </w:rPr>
              <w:tab/>
            </w:r>
            <w:r w:rsidR="005631CB">
              <w:rPr>
                <w:noProof/>
                <w:webHidden/>
              </w:rPr>
              <w:fldChar w:fldCharType="begin"/>
            </w:r>
            <w:r w:rsidR="005631CB">
              <w:rPr>
                <w:noProof/>
                <w:webHidden/>
              </w:rPr>
              <w:instrText xml:space="preserve"> PAGEREF _Toc472581991 \h </w:instrText>
            </w:r>
            <w:r w:rsidR="005631CB">
              <w:rPr>
                <w:noProof/>
                <w:webHidden/>
              </w:rPr>
            </w:r>
            <w:r w:rsidR="005631CB">
              <w:rPr>
                <w:noProof/>
                <w:webHidden/>
              </w:rPr>
              <w:fldChar w:fldCharType="separate"/>
            </w:r>
            <w:r w:rsidR="005631CB">
              <w:rPr>
                <w:noProof/>
                <w:webHidden/>
              </w:rPr>
              <w:t>147</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92" w:history="1">
            <w:r w:rsidR="005631CB" w:rsidRPr="00452A9C">
              <w:rPr>
                <w:rStyle w:val="Hyperlink"/>
                <w:noProof/>
              </w:rPr>
              <w:t>Statement of Cash Flows</w:t>
            </w:r>
            <w:r w:rsidR="005631CB">
              <w:rPr>
                <w:noProof/>
                <w:webHidden/>
              </w:rPr>
              <w:tab/>
            </w:r>
            <w:r w:rsidR="005631CB">
              <w:rPr>
                <w:noProof/>
                <w:webHidden/>
              </w:rPr>
              <w:fldChar w:fldCharType="begin"/>
            </w:r>
            <w:r w:rsidR="005631CB">
              <w:rPr>
                <w:noProof/>
                <w:webHidden/>
              </w:rPr>
              <w:instrText xml:space="preserve"> PAGEREF _Toc472581992 \h </w:instrText>
            </w:r>
            <w:r w:rsidR="005631CB">
              <w:rPr>
                <w:noProof/>
                <w:webHidden/>
              </w:rPr>
            </w:r>
            <w:r w:rsidR="005631CB">
              <w:rPr>
                <w:noProof/>
                <w:webHidden/>
              </w:rPr>
              <w:fldChar w:fldCharType="separate"/>
            </w:r>
            <w:r w:rsidR="005631CB">
              <w:rPr>
                <w:noProof/>
                <w:webHidden/>
              </w:rPr>
              <w:t>148</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93" w:history="1">
            <w:r w:rsidR="005631CB" w:rsidRPr="00452A9C">
              <w:rPr>
                <w:rStyle w:val="Hyperlink"/>
                <w:noProof/>
              </w:rPr>
              <w:t>Statement of Changes in Equity</w:t>
            </w:r>
            <w:r w:rsidR="005631CB">
              <w:rPr>
                <w:noProof/>
                <w:webHidden/>
              </w:rPr>
              <w:tab/>
            </w:r>
            <w:r w:rsidR="005631CB">
              <w:rPr>
                <w:noProof/>
                <w:webHidden/>
              </w:rPr>
              <w:fldChar w:fldCharType="begin"/>
            </w:r>
            <w:r w:rsidR="005631CB">
              <w:rPr>
                <w:noProof/>
                <w:webHidden/>
              </w:rPr>
              <w:instrText xml:space="preserve"> PAGEREF _Toc472581993 \h </w:instrText>
            </w:r>
            <w:r w:rsidR="005631CB">
              <w:rPr>
                <w:noProof/>
                <w:webHidden/>
              </w:rPr>
            </w:r>
            <w:r w:rsidR="005631CB">
              <w:rPr>
                <w:noProof/>
                <w:webHidden/>
              </w:rPr>
              <w:fldChar w:fldCharType="separate"/>
            </w:r>
            <w:r w:rsidR="005631CB">
              <w:rPr>
                <w:noProof/>
                <w:webHidden/>
              </w:rPr>
              <w:t>149</w:t>
            </w:r>
            <w:r w:rsidR="005631CB">
              <w:rPr>
                <w:noProof/>
                <w:webHidden/>
              </w:rPr>
              <w:fldChar w:fldCharType="end"/>
            </w:r>
          </w:hyperlink>
        </w:p>
        <w:p w:rsidR="005631CB" w:rsidRDefault="00B241E7">
          <w:pPr>
            <w:pStyle w:val="TOC3"/>
            <w:tabs>
              <w:tab w:val="right" w:leader="dot" w:pos="10055"/>
            </w:tabs>
            <w:rPr>
              <w:rFonts w:asciiTheme="minorHAnsi" w:eastAsiaTheme="minorEastAsia" w:hAnsiTheme="minorHAnsi" w:cstheme="minorBidi"/>
              <w:noProof/>
              <w:sz w:val="22"/>
              <w:szCs w:val="22"/>
              <w:lang w:val="en-AU" w:eastAsia="en-AU"/>
            </w:rPr>
          </w:pPr>
          <w:hyperlink w:anchor="_Toc472581994" w:history="1">
            <w:r w:rsidR="005631CB" w:rsidRPr="00452A9C">
              <w:rPr>
                <w:rStyle w:val="Hyperlink"/>
                <w:noProof/>
              </w:rPr>
              <w:t>Notes To and Forming Part of the Financial Statements</w:t>
            </w:r>
            <w:r w:rsidR="005631CB">
              <w:rPr>
                <w:noProof/>
                <w:webHidden/>
              </w:rPr>
              <w:tab/>
            </w:r>
            <w:r w:rsidR="005631CB">
              <w:rPr>
                <w:noProof/>
                <w:webHidden/>
              </w:rPr>
              <w:fldChar w:fldCharType="begin"/>
            </w:r>
            <w:r w:rsidR="005631CB">
              <w:rPr>
                <w:noProof/>
                <w:webHidden/>
              </w:rPr>
              <w:instrText xml:space="preserve"> PAGEREF _Toc472581994 \h </w:instrText>
            </w:r>
            <w:r w:rsidR="005631CB">
              <w:rPr>
                <w:noProof/>
                <w:webHidden/>
              </w:rPr>
            </w:r>
            <w:r w:rsidR="005631CB">
              <w:rPr>
                <w:noProof/>
                <w:webHidden/>
              </w:rPr>
              <w:fldChar w:fldCharType="separate"/>
            </w:r>
            <w:r w:rsidR="005631CB">
              <w:rPr>
                <w:noProof/>
                <w:webHidden/>
              </w:rPr>
              <w:t>150</w:t>
            </w:r>
            <w:r w:rsidR="005631CB">
              <w:rPr>
                <w:noProof/>
                <w:webHidden/>
              </w:rPr>
              <w:fldChar w:fldCharType="end"/>
            </w:r>
          </w:hyperlink>
        </w:p>
        <w:p w:rsidR="0092732F" w:rsidRDefault="0092732F">
          <w:r>
            <w:rPr>
              <w:b/>
              <w:bCs/>
              <w:noProof/>
            </w:rPr>
            <w:fldChar w:fldCharType="end"/>
          </w:r>
        </w:p>
      </w:sdtContent>
    </w:sdt>
    <w:p w:rsidR="0092732F" w:rsidRPr="0092732F" w:rsidRDefault="0092732F" w:rsidP="0092732F">
      <w:pPr>
        <w:sectPr w:rsidR="0092732F" w:rsidRPr="0092732F" w:rsidSect="00025D0E">
          <w:pgSz w:w="11906" w:h="16838"/>
          <w:pgMar w:top="1440" w:right="707" w:bottom="1440" w:left="1134" w:header="708" w:footer="708" w:gutter="0"/>
          <w:cols w:space="708"/>
          <w:docGrid w:linePitch="360"/>
        </w:sectPr>
      </w:pPr>
    </w:p>
    <w:p w:rsidR="002C0EDD" w:rsidRDefault="002C0EDD" w:rsidP="002C0EDD">
      <w:pPr>
        <w:pStyle w:val="Heading3"/>
      </w:pPr>
      <w:bookmarkStart w:id="6" w:name="_Toc472581946"/>
      <w:r>
        <w:lastRenderedPageBreak/>
        <w:t>NW Cancer Centre Radiation Therapy Service – Linear Accelerator Installed and Operational</w:t>
      </w:r>
      <w:bookmarkEnd w:id="6"/>
    </w:p>
    <w:p w:rsidR="00F36EB9" w:rsidRDefault="002C0EDD" w:rsidP="00F36EB9">
      <w:r>
        <w:rPr>
          <w:spacing w:val="-4"/>
        </w:rPr>
        <w:t xml:space="preserve">The </w:t>
      </w:r>
      <w:r>
        <w:rPr>
          <w:spacing w:val="-3"/>
        </w:rPr>
        <w:t xml:space="preserve">$3 </w:t>
      </w:r>
      <w:r>
        <w:t xml:space="preserve">million linear accelerator </w:t>
      </w:r>
      <w:r>
        <w:rPr>
          <w:spacing w:val="-4"/>
        </w:rPr>
        <w:t xml:space="preserve">was </w:t>
      </w:r>
      <w:r>
        <w:t xml:space="preserve">shipped into </w:t>
      </w:r>
      <w:r>
        <w:rPr>
          <w:spacing w:val="-8"/>
        </w:rPr>
        <w:t xml:space="preserve">Tasmania </w:t>
      </w:r>
      <w:r>
        <w:rPr>
          <w:spacing w:val="-3"/>
        </w:rPr>
        <w:t xml:space="preserve">on </w:t>
      </w:r>
      <w:r>
        <w:rPr>
          <w:spacing w:val="-6"/>
        </w:rPr>
        <w:t xml:space="preserve">November </w:t>
      </w:r>
      <w:r>
        <w:rPr>
          <w:spacing w:val="-4"/>
        </w:rPr>
        <w:t xml:space="preserve">13, 2015 and </w:t>
      </w:r>
      <w:r>
        <w:t xml:space="preserve">installed the following </w:t>
      </w:r>
      <w:r>
        <w:rPr>
          <w:spacing w:val="-10"/>
        </w:rPr>
        <w:t xml:space="preserve">day. </w:t>
      </w:r>
      <w:r>
        <w:t xml:space="preserve">A specialist </w:t>
      </w:r>
      <w:r>
        <w:rPr>
          <w:spacing w:val="-4"/>
        </w:rPr>
        <w:t xml:space="preserve">team from Computertrans </w:t>
      </w:r>
      <w:r>
        <w:t xml:space="preserve">handled </w:t>
      </w:r>
      <w:r>
        <w:rPr>
          <w:spacing w:val="-4"/>
        </w:rPr>
        <w:t xml:space="preserve">the </w:t>
      </w:r>
      <w:r>
        <w:t xml:space="preserve">installation, </w:t>
      </w:r>
      <w:r>
        <w:rPr>
          <w:spacing w:val="-4"/>
        </w:rPr>
        <w:t xml:space="preserve">with </w:t>
      </w:r>
      <w:r>
        <w:t xml:space="preserve">components </w:t>
      </w:r>
      <w:r>
        <w:rPr>
          <w:spacing w:val="-3"/>
        </w:rPr>
        <w:t xml:space="preserve">of </w:t>
      </w:r>
      <w:r>
        <w:t xml:space="preserve">the machine weighing </w:t>
      </w:r>
      <w:r>
        <w:rPr>
          <w:spacing w:val="-3"/>
        </w:rPr>
        <w:t xml:space="preserve">up to </w:t>
      </w:r>
      <w:r>
        <w:rPr>
          <w:spacing w:val="-4"/>
        </w:rPr>
        <w:t xml:space="preserve">4.5 </w:t>
      </w:r>
      <w:r>
        <w:t>tonnes including delicate electronic equipment.</w:t>
      </w:r>
    </w:p>
    <w:p w:rsidR="002C0EDD" w:rsidRDefault="002C0EDD" w:rsidP="00F36EB9">
      <w:r>
        <w:rPr>
          <w:spacing w:val="-4"/>
        </w:rPr>
        <w:t xml:space="preserve">The </w:t>
      </w:r>
      <w:r>
        <w:t xml:space="preserve">linear accelerator </w:t>
      </w:r>
      <w:r>
        <w:rPr>
          <w:spacing w:val="-3"/>
        </w:rPr>
        <w:t xml:space="preserve">is </w:t>
      </w:r>
      <w:r>
        <w:rPr>
          <w:spacing w:val="-4"/>
        </w:rPr>
        <w:t xml:space="preserve">the most </w:t>
      </w:r>
      <w:r>
        <w:t xml:space="preserve">advanced </w:t>
      </w:r>
      <w:r>
        <w:rPr>
          <w:spacing w:val="-6"/>
        </w:rPr>
        <w:t xml:space="preserve">available </w:t>
      </w:r>
      <w:r>
        <w:rPr>
          <w:spacing w:val="-4"/>
        </w:rPr>
        <w:t xml:space="preserve">and </w:t>
      </w:r>
      <w:r>
        <w:rPr>
          <w:spacing w:val="-3"/>
        </w:rPr>
        <w:t xml:space="preserve">is </w:t>
      </w:r>
      <w:r>
        <w:t xml:space="preserve">housed </w:t>
      </w:r>
      <w:r>
        <w:rPr>
          <w:spacing w:val="-3"/>
        </w:rPr>
        <w:t xml:space="preserve">in </w:t>
      </w:r>
      <w:r>
        <w:t xml:space="preserve">a bunker </w:t>
      </w:r>
      <w:r>
        <w:rPr>
          <w:spacing w:val="-4"/>
        </w:rPr>
        <w:t xml:space="preserve">with the side walls and </w:t>
      </w:r>
      <w:r>
        <w:t>roof</w:t>
      </w:r>
      <w:r w:rsidR="00F36EB9">
        <w:t xml:space="preserve"> </w:t>
      </w:r>
      <w:r>
        <w:rPr>
          <w:spacing w:val="-4"/>
        </w:rPr>
        <w:t xml:space="preserve">2.4 </w:t>
      </w:r>
      <w:r>
        <w:t xml:space="preserve">metres </w:t>
      </w:r>
      <w:r>
        <w:rPr>
          <w:spacing w:val="-3"/>
        </w:rPr>
        <w:t xml:space="preserve">of </w:t>
      </w:r>
      <w:r>
        <w:rPr>
          <w:spacing w:val="-4"/>
        </w:rPr>
        <w:t xml:space="preserve">thick </w:t>
      </w:r>
      <w:r>
        <w:t xml:space="preserve">concrete </w:t>
      </w:r>
      <w:r>
        <w:rPr>
          <w:spacing w:val="-4"/>
        </w:rPr>
        <w:t xml:space="preserve">and 1.2 </w:t>
      </w:r>
      <w:r>
        <w:t xml:space="preserve">metres </w:t>
      </w:r>
      <w:r>
        <w:rPr>
          <w:spacing w:val="-3"/>
        </w:rPr>
        <w:t xml:space="preserve">on </w:t>
      </w:r>
      <w:r>
        <w:rPr>
          <w:spacing w:val="-4"/>
        </w:rPr>
        <w:t xml:space="preserve">the </w:t>
      </w:r>
      <w:r>
        <w:t xml:space="preserve">end </w:t>
      </w:r>
      <w:r>
        <w:rPr>
          <w:spacing w:val="-4"/>
        </w:rPr>
        <w:t xml:space="preserve">walls </w:t>
      </w:r>
      <w:r>
        <w:rPr>
          <w:spacing w:val="-3"/>
        </w:rPr>
        <w:t xml:space="preserve">to </w:t>
      </w:r>
      <w:r>
        <w:t xml:space="preserve">prevent leakages </w:t>
      </w:r>
      <w:r>
        <w:rPr>
          <w:spacing w:val="-3"/>
        </w:rPr>
        <w:t xml:space="preserve">of </w:t>
      </w:r>
      <w:r>
        <w:t>radiation.</w:t>
      </w:r>
    </w:p>
    <w:p w:rsidR="002C0EDD" w:rsidRDefault="002C0EDD" w:rsidP="00F36EB9">
      <w:r>
        <w:rPr>
          <w:spacing w:val="-4"/>
        </w:rPr>
        <w:t xml:space="preserve">The </w:t>
      </w:r>
      <w:r>
        <w:rPr>
          <w:spacing w:val="-3"/>
        </w:rPr>
        <w:t xml:space="preserve">NW </w:t>
      </w:r>
      <w:r>
        <w:t xml:space="preserve">Cancer Centre Radiation </w:t>
      </w:r>
      <w:r>
        <w:rPr>
          <w:spacing w:val="-4"/>
        </w:rPr>
        <w:t xml:space="preserve">Therapy </w:t>
      </w:r>
      <w:r>
        <w:rPr>
          <w:spacing w:val="-3"/>
        </w:rPr>
        <w:t xml:space="preserve">Service </w:t>
      </w:r>
      <w:r>
        <w:t xml:space="preserve">commenced </w:t>
      </w:r>
      <w:r>
        <w:rPr>
          <w:spacing w:val="-3"/>
        </w:rPr>
        <w:t xml:space="preserve">on </w:t>
      </w:r>
      <w:r>
        <w:t xml:space="preserve">May </w:t>
      </w:r>
      <w:r>
        <w:rPr>
          <w:spacing w:val="-4"/>
        </w:rPr>
        <w:t xml:space="preserve">4th 2016 with 2-3 </w:t>
      </w:r>
      <w:r>
        <w:t xml:space="preserve">patients treated </w:t>
      </w:r>
      <w:r>
        <w:rPr>
          <w:spacing w:val="-4"/>
        </w:rPr>
        <w:t xml:space="preserve">per </w:t>
      </w:r>
      <w:r>
        <w:t xml:space="preserve">day </w:t>
      </w:r>
      <w:r>
        <w:rPr>
          <w:spacing w:val="-4"/>
        </w:rPr>
        <w:t xml:space="preserve">for the </w:t>
      </w:r>
      <w:r>
        <w:rPr>
          <w:spacing w:val="-3"/>
        </w:rPr>
        <w:t xml:space="preserve">first </w:t>
      </w:r>
      <w:r>
        <w:rPr>
          <w:spacing w:val="-6"/>
        </w:rPr>
        <w:t>week.</w:t>
      </w:r>
    </w:p>
    <w:p w:rsidR="002C0EDD" w:rsidRDefault="002C0EDD" w:rsidP="00F36EB9">
      <w:r>
        <w:rPr>
          <w:spacing w:val="-4"/>
        </w:rPr>
        <w:t xml:space="preserve">The </w:t>
      </w:r>
      <w:r>
        <w:t xml:space="preserve">number </w:t>
      </w:r>
      <w:r>
        <w:rPr>
          <w:spacing w:val="-3"/>
        </w:rPr>
        <w:t xml:space="preserve">of </w:t>
      </w:r>
      <w:r>
        <w:t xml:space="preserve">patients receiving </w:t>
      </w:r>
      <w:r>
        <w:rPr>
          <w:spacing w:val="-4"/>
        </w:rPr>
        <w:t xml:space="preserve">radiation </w:t>
      </w:r>
      <w:r>
        <w:t xml:space="preserve">therapy in </w:t>
      </w:r>
      <w:r>
        <w:rPr>
          <w:spacing w:val="-4"/>
        </w:rPr>
        <w:t xml:space="preserve">Burnie </w:t>
      </w:r>
      <w:r>
        <w:t xml:space="preserve">increased </w:t>
      </w:r>
      <w:r>
        <w:rPr>
          <w:spacing w:val="-4"/>
        </w:rPr>
        <w:t xml:space="preserve">quite </w:t>
      </w:r>
      <w:r>
        <w:t xml:space="preserve">quickly </w:t>
      </w:r>
      <w:r>
        <w:rPr>
          <w:spacing w:val="-4"/>
        </w:rPr>
        <w:t xml:space="preserve">and </w:t>
      </w:r>
      <w:r>
        <w:rPr>
          <w:spacing w:val="-3"/>
        </w:rPr>
        <w:t xml:space="preserve">in </w:t>
      </w:r>
      <w:r>
        <w:rPr>
          <w:spacing w:val="-4"/>
        </w:rPr>
        <w:t xml:space="preserve">June the </w:t>
      </w:r>
      <w:r>
        <w:rPr>
          <w:spacing w:val="-6"/>
        </w:rPr>
        <w:t xml:space="preserve">average </w:t>
      </w:r>
      <w:r>
        <w:t xml:space="preserve">number </w:t>
      </w:r>
      <w:r>
        <w:rPr>
          <w:spacing w:val="-3"/>
        </w:rPr>
        <w:t xml:space="preserve">of </w:t>
      </w:r>
      <w:r>
        <w:t xml:space="preserve">patients treated </w:t>
      </w:r>
      <w:r>
        <w:rPr>
          <w:spacing w:val="-4"/>
        </w:rPr>
        <w:t xml:space="preserve">with radiation </w:t>
      </w:r>
      <w:r>
        <w:t xml:space="preserve">therapy was around </w:t>
      </w:r>
      <w:r>
        <w:rPr>
          <w:spacing w:val="-3"/>
        </w:rPr>
        <w:t xml:space="preserve">28 </w:t>
      </w:r>
      <w:r>
        <w:t xml:space="preserve">patients </w:t>
      </w:r>
      <w:r>
        <w:rPr>
          <w:spacing w:val="-4"/>
        </w:rPr>
        <w:t>per</w:t>
      </w:r>
      <w:r>
        <w:rPr>
          <w:spacing w:val="-10"/>
        </w:rPr>
        <w:t xml:space="preserve"> day.</w:t>
      </w:r>
    </w:p>
    <w:p w:rsidR="002C0EDD" w:rsidRDefault="002C0EDD" w:rsidP="00F36EB9">
      <w:r>
        <w:rPr>
          <w:spacing w:val="-4"/>
        </w:rPr>
        <w:t xml:space="preserve">With </w:t>
      </w:r>
      <w:r>
        <w:t xml:space="preserve">a </w:t>
      </w:r>
      <w:r>
        <w:rPr>
          <w:spacing w:val="-4"/>
        </w:rPr>
        <w:t xml:space="preserve">new </w:t>
      </w:r>
      <w:r>
        <w:rPr>
          <w:spacing w:val="-3"/>
        </w:rPr>
        <w:t xml:space="preserve">CT </w:t>
      </w:r>
      <w:r>
        <w:t xml:space="preserve">simulator </w:t>
      </w:r>
      <w:r>
        <w:rPr>
          <w:spacing w:val="-3"/>
        </w:rPr>
        <w:t xml:space="preserve">on </w:t>
      </w:r>
      <w:r>
        <w:rPr>
          <w:spacing w:val="-4"/>
        </w:rPr>
        <w:t xml:space="preserve">site </w:t>
      </w:r>
      <w:r>
        <w:rPr>
          <w:spacing w:val="-3"/>
        </w:rPr>
        <w:t xml:space="preserve">as </w:t>
      </w:r>
      <w:r>
        <w:t xml:space="preserve">well </w:t>
      </w:r>
      <w:r>
        <w:rPr>
          <w:spacing w:val="-4"/>
        </w:rPr>
        <w:t xml:space="preserve">there </w:t>
      </w:r>
      <w:r>
        <w:t xml:space="preserve">were also </w:t>
      </w:r>
      <w:r>
        <w:rPr>
          <w:spacing w:val="-3"/>
        </w:rPr>
        <w:t xml:space="preserve">38 </w:t>
      </w:r>
      <w:r>
        <w:rPr>
          <w:spacing w:val="-4"/>
        </w:rPr>
        <w:t xml:space="preserve">new cases </w:t>
      </w:r>
      <w:r>
        <w:t xml:space="preserve">simulated </w:t>
      </w:r>
      <w:r>
        <w:rPr>
          <w:spacing w:val="-4"/>
        </w:rPr>
        <w:t xml:space="preserve">for radiation </w:t>
      </w:r>
      <w:r>
        <w:t xml:space="preserve">therapy treatment </w:t>
      </w:r>
      <w:r>
        <w:rPr>
          <w:spacing w:val="-4"/>
        </w:rPr>
        <w:t>during</w:t>
      </w:r>
      <w:r>
        <w:rPr>
          <w:spacing w:val="-3"/>
        </w:rPr>
        <w:t xml:space="preserve"> June.</w:t>
      </w:r>
    </w:p>
    <w:p w:rsidR="002C0EDD" w:rsidRDefault="002C0EDD" w:rsidP="00F36EB9">
      <w:r>
        <w:t>For</w:t>
      </w:r>
      <w:r>
        <w:rPr>
          <w:spacing w:val="-13"/>
        </w:rPr>
        <w:t xml:space="preserve"> </w:t>
      </w:r>
      <w:r>
        <w:rPr>
          <w:spacing w:val="-6"/>
        </w:rPr>
        <w:t>that</w:t>
      </w:r>
      <w:r>
        <w:rPr>
          <w:spacing w:val="-13"/>
        </w:rPr>
        <w:t xml:space="preserve"> </w:t>
      </w:r>
      <w:r>
        <w:rPr>
          <w:spacing w:val="-6"/>
        </w:rPr>
        <w:t>month</w:t>
      </w:r>
      <w:r>
        <w:rPr>
          <w:spacing w:val="-13"/>
        </w:rPr>
        <w:t xml:space="preserve"> </w:t>
      </w:r>
      <w:r>
        <w:rPr>
          <w:spacing w:val="-6"/>
        </w:rPr>
        <w:t>there</w:t>
      </w:r>
      <w:r>
        <w:rPr>
          <w:spacing w:val="-13"/>
        </w:rPr>
        <w:t xml:space="preserve"> </w:t>
      </w:r>
      <w:r>
        <w:rPr>
          <w:spacing w:val="-6"/>
        </w:rPr>
        <w:t>were</w:t>
      </w:r>
      <w:r>
        <w:rPr>
          <w:spacing w:val="-13"/>
        </w:rPr>
        <w:t xml:space="preserve"> </w:t>
      </w:r>
      <w:r>
        <w:t>583</w:t>
      </w:r>
      <w:r>
        <w:rPr>
          <w:spacing w:val="-13"/>
        </w:rPr>
        <w:t xml:space="preserve"> </w:t>
      </w:r>
      <w:proofErr w:type="gramStart"/>
      <w:r>
        <w:rPr>
          <w:spacing w:val="-6"/>
        </w:rPr>
        <w:t>radiation</w:t>
      </w:r>
      <w:proofErr w:type="gramEnd"/>
      <w:r>
        <w:rPr>
          <w:spacing w:val="-13"/>
        </w:rPr>
        <w:t xml:space="preserve"> </w:t>
      </w:r>
      <w:r>
        <w:rPr>
          <w:spacing w:val="-6"/>
        </w:rPr>
        <w:t>therapy</w:t>
      </w:r>
      <w:r>
        <w:rPr>
          <w:spacing w:val="-13"/>
        </w:rPr>
        <w:t xml:space="preserve"> </w:t>
      </w:r>
      <w:r>
        <w:rPr>
          <w:spacing w:val="-7"/>
        </w:rPr>
        <w:t xml:space="preserve">patient </w:t>
      </w:r>
      <w:r>
        <w:rPr>
          <w:spacing w:val="-6"/>
        </w:rPr>
        <w:t>visits</w:t>
      </w:r>
      <w:r>
        <w:rPr>
          <w:spacing w:val="-12"/>
        </w:rPr>
        <w:t xml:space="preserve"> </w:t>
      </w:r>
      <w:r>
        <w:rPr>
          <w:spacing w:val="-7"/>
        </w:rPr>
        <w:t>delivered</w:t>
      </w:r>
      <w:r>
        <w:rPr>
          <w:spacing w:val="-12"/>
        </w:rPr>
        <w:t xml:space="preserve"> </w:t>
      </w:r>
      <w:r>
        <w:rPr>
          <w:spacing w:val="-4"/>
        </w:rPr>
        <w:t>in</w:t>
      </w:r>
      <w:r>
        <w:rPr>
          <w:spacing w:val="-12"/>
        </w:rPr>
        <w:t xml:space="preserve"> </w:t>
      </w:r>
      <w:r>
        <w:t>Burnie</w:t>
      </w:r>
      <w:r>
        <w:rPr>
          <w:spacing w:val="-11"/>
        </w:rPr>
        <w:t xml:space="preserve"> </w:t>
      </w:r>
      <w:r>
        <w:rPr>
          <w:spacing w:val="-6"/>
        </w:rPr>
        <w:t>that</w:t>
      </w:r>
      <w:r>
        <w:rPr>
          <w:spacing w:val="-12"/>
        </w:rPr>
        <w:t xml:space="preserve"> </w:t>
      </w:r>
      <w:r>
        <w:rPr>
          <w:spacing w:val="-7"/>
        </w:rPr>
        <w:t>otherwise</w:t>
      </w:r>
      <w:r>
        <w:rPr>
          <w:spacing w:val="-12"/>
        </w:rPr>
        <w:t xml:space="preserve"> </w:t>
      </w:r>
      <w:r>
        <w:rPr>
          <w:spacing w:val="-7"/>
        </w:rPr>
        <w:t>would</w:t>
      </w:r>
      <w:r>
        <w:rPr>
          <w:spacing w:val="-12"/>
        </w:rPr>
        <w:t xml:space="preserve"> </w:t>
      </w:r>
      <w:r>
        <w:rPr>
          <w:spacing w:val="-8"/>
        </w:rPr>
        <w:t>have</w:t>
      </w:r>
      <w:r>
        <w:rPr>
          <w:spacing w:val="-12"/>
        </w:rPr>
        <w:t xml:space="preserve"> </w:t>
      </w:r>
      <w:r>
        <w:rPr>
          <w:spacing w:val="-7"/>
        </w:rPr>
        <w:t xml:space="preserve">been required </w:t>
      </w:r>
      <w:r>
        <w:rPr>
          <w:spacing w:val="-4"/>
        </w:rPr>
        <w:t xml:space="preserve">to </w:t>
      </w:r>
      <w:r>
        <w:rPr>
          <w:spacing w:val="-7"/>
        </w:rPr>
        <w:t xml:space="preserve">travel </w:t>
      </w:r>
      <w:r>
        <w:rPr>
          <w:spacing w:val="-4"/>
        </w:rPr>
        <w:t xml:space="preserve">to </w:t>
      </w:r>
      <w:r>
        <w:rPr>
          <w:spacing w:val="-7"/>
        </w:rPr>
        <w:t xml:space="preserve">Launceston </w:t>
      </w:r>
      <w:r>
        <w:rPr>
          <w:spacing w:val="-6"/>
        </w:rPr>
        <w:t>for</w:t>
      </w:r>
      <w:r>
        <w:rPr>
          <w:spacing w:val="-33"/>
        </w:rPr>
        <w:t xml:space="preserve"> </w:t>
      </w:r>
      <w:r>
        <w:rPr>
          <w:spacing w:val="-7"/>
        </w:rPr>
        <w:t>treatment.</w:t>
      </w:r>
    </w:p>
    <w:p w:rsidR="002C0EDD" w:rsidRDefault="002C0EDD" w:rsidP="00F36EB9">
      <w:pPr>
        <w:rPr>
          <w:spacing w:val="-9"/>
        </w:rPr>
      </w:pPr>
      <w:r>
        <w:rPr>
          <w:spacing w:val="-4"/>
        </w:rPr>
        <w:t xml:space="preserve">This </w:t>
      </w:r>
      <w:r>
        <w:t xml:space="preserve">activity </w:t>
      </w:r>
      <w:r>
        <w:rPr>
          <w:spacing w:val="-4"/>
        </w:rPr>
        <w:t xml:space="preserve">puts </w:t>
      </w:r>
      <w:r>
        <w:rPr>
          <w:spacing w:val="-3"/>
        </w:rPr>
        <w:t xml:space="preserve">us </w:t>
      </w:r>
      <w:r>
        <w:t xml:space="preserve">well </w:t>
      </w:r>
      <w:r>
        <w:rPr>
          <w:spacing w:val="-3"/>
        </w:rPr>
        <w:t xml:space="preserve">on track to </w:t>
      </w:r>
      <w:r>
        <w:rPr>
          <w:spacing w:val="-6"/>
        </w:rPr>
        <w:t xml:space="preserve">save </w:t>
      </w:r>
      <w:r>
        <w:t xml:space="preserve">7,500 patient visits </w:t>
      </w:r>
      <w:r>
        <w:rPr>
          <w:spacing w:val="-4"/>
        </w:rPr>
        <w:t xml:space="preserve">per </w:t>
      </w:r>
      <w:r>
        <w:t xml:space="preserve">year </w:t>
      </w:r>
      <w:r>
        <w:rPr>
          <w:spacing w:val="-4"/>
        </w:rPr>
        <w:t xml:space="preserve">from the </w:t>
      </w:r>
      <w:r>
        <w:t xml:space="preserve">North </w:t>
      </w:r>
      <w:r>
        <w:rPr>
          <w:spacing w:val="-8"/>
        </w:rPr>
        <w:t xml:space="preserve">West </w:t>
      </w:r>
      <w:r>
        <w:rPr>
          <w:spacing w:val="-4"/>
        </w:rPr>
        <w:t xml:space="preserve">Coast </w:t>
      </w:r>
      <w:r>
        <w:t xml:space="preserve">to Launceston </w:t>
      </w:r>
      <w:r>
        <w:rPr>
          <w:spacing w:val="-3"/>
        </w:rPr>
        <w:t xml:space="preserve">as </w:t>
      </w:r>
      <w:r>
        <w:t xml:space="preserve">outlined </w:t>
      </w:r>
      <w:r>
        <w:rPr>
          <w:spacing w:val="-3"/>
        </w:rPr>
        <w:t xml:space="preserve">in </w:t>
      </w:r>
      <w:r>
        <w:rPr>
          <w:spacing w:val="-4"/>
        </w:rPr>
        <w:t xml:space="preserve">the White </w:t>
      </w:r>
      <w:r>
        <w:rPr>
          <w:spacing w:val="-9"/>
        </w:rPr>
        <w:t>Paper.</w:t>
      </w:r>
    </w:p>
    <w:p w:rsidR="00F36EB9" w:rsidRDefault="00F36EB9" w:rsidP="00F36EB9">
      <w:r>
        <w:rPr>
          <w:spacing w:val="-4"/>
        </w:rPr>
        <w:t xml:space="preserve">The sky </w:t>
      </w:r>
      <w:r>
        <w:t xml:space="preserve">ceiling photographic installation (pictured) </w:t>
      </w:r>
      <w:r>
        <w:rPr>
          <w:spacing w:val="-3"/>
        </w:rPr>
        <w:t xml:space="preserve">in </w:t>
      </w:r>
      <w:r>
        <w:t xml:space="preserve">the linear accelerator bunker </w:t>
      </w:r>
      <w:r>
        <w:rPr>
          <w:spacing w:val="-4"/>
        </w:rPr>
        <w:t xml:space="preserve">has also been </w:t>
      </w:r>
      <w:r>
        <w:rPr>
          <w:spacing w:val="-6"/>
        </w:rPr>
        <w:t xml:space="preserve">unveiled. </w:t>
      </w:r>
      <w:r>
        <w:t xml:space="preserve">Local photographer </w:t>
      </w:r>
      <w:r>
        <w:rPr>
          <w:spacing w:val="-3"/>
        </w:rPr>
        <w:t xml:space="preserve">Grant </w:t>
      </w:r>
      <w:r>
        <w:rPr>
          <w:spacing w:val="-7"/>
        </w:rPr>
        <w:t xml:space="preserve">Wells </w:t>
      </w:r>
      <w:r>
        <w:t xml:space="preserve">captured </w:t>
      </w:r>
      <w:r>
        <w:rPr>
          <w:spacing w:val="-3"/>
        </w:rPr>
        <w:t xml:space="preserve">an </w:t>
      </w:r>
      <w:r>
        <w:rPr>
          <w:spacing w:val="-4"/>
        </w:rPr>
        <w:t xml:space="preserve">image </w:t>
      </w:r>
      <w:r>
        <w:rPr>
          <w:spacing w:val="-3"/>
        </w:rPr>
        <w:t xml:space="preserve">of </w:t>
      </w:r>
      <w:r>
        <w:t xml:space="preserve">an autumn </w:t>
      </w:r>
      <w:r>
        <w:rPr>
          <w:spacing w:val="-4"/>
        </w:rPr>
        <w:t xml:space="preserve">sky which </w:t>
      </w:r>
      <w:r>
        <w:rPr>
          <w:spacing w:val="-3"/>
        </w:rPr>
        <w:t xml:space="preserve">is </w:t>
      </w:r>
      <w:r>
        <w:rPr>
          <w:spacing w:val="-4"/>
        </w:rPr>
        <w:t xml:space="preserve">back lit and </w:t>
      </w:r>
      <w:r>
        <w:rPr>
          <w:spacing w:val="-3"/>
        </w:rPr>
        <w:t xml:space="preserve">is </w:t>
      </w:r>
      <w:r>
        <w:t xml:space="preserve">built </w:t>
      </w:r>
      <w:r>
        <w:rPr>
          <w:spacing w:val="-4"/>
        </w:rPr>
        <w:t xml:space="preserve">into the </w:t>
      </w:r>
      <w:r>
        <w:t xml:space="preserve">ceiling </w:t>
      </w:r>
      <w:r>
        <w:rPr>
          <w:spacing w:val="-3"/>
        </w:rPr>
        <w:t xml:space="preserve">of </w:t>
      </w:r>
      <w:r>
        <w:rPr>
          <w:spacing w:val="-4"/>
        </w:rPr>
        <w:t>the</w:t>
      </w:r>
      <w:r>
        <w:rPr>
          <w:spacing w:val="-10"/>
        </w:rPr>
        <w:t xml:space="preserve"> </w:t>
      </w:r>
      <w:r>
        <w:rPr>
          <w:spacing w:val="-8"/>
        </w:rPr>
        <w:t>bunker.</w:t>
      </w:r>
    </w:p>
    <w:p w:rsidR="0040625C" w:rsidRDefault="002C0EDD" w:rsidP="00F36EB9">
      <w:pPr>
        <w:rPr>
          <w:spacing w:val="-10"/>
        </w:rPr>
      </w:pPr>
      <w:r>
        <w:rPr>
          <w:spacing w:val="-3"/>
        </w:rPr>
        <w:t xml:space="preserve">Grant </w:t>
      </w:r>
      <w:r>
        <w:rPr>
          <w:spacing w:val="-4"/>
        </w:rPr>
        <w:t xml:space="preserve">said the image was </w:t>
      </w:r>
      <w:r>
        <w:t xml:space="preserve">chosen </w:t>
      </w:r>
      <w:r>
        <w:rPr>
          <w:spacing w:val="-3"/>
        </w:rPr>
        <w:t xml:space="preserve">to </w:t>
      </w:r>
      <w:r>
        <w:t xml:space="preserve">“keep your eye interested. </w:t>
      </w:r>
      <w:r>
        <w:rPr>
          <w:spacing w:val="-4"/>
        </w:rPr>
        <w:t xml:space="preserve">Each </w:t>
      </w:r>
      <w:r>
        <w:rPr>
          <w:spacing w:val="-3"/>
        </w:rPr>
        <w:t xml:space="preserve">of </w:t>
      </w:r>
      <w:r>
        <w:rPr>
          <w:spacing w:val="-4"/>
        </w:rPr>
        <w:t xml:space="preserve">the </w:t>
      </w:r>
      <w:r>
        <w:rPr>
          <w:spacing w:val="-6"/>
        </w:rPr>
        <w:t xml:space="preserve">leaves </w:t>
      </w:r>
      <w:r>
        <w:rPr>
          <w:spacing w:val="-3"/>
        </w:rPr>
        <w:t xml:space="preserve">is </w:t>
      </w:r>
      <w:r>
        <w:t xml:space="preserve">different, </w:t>
      </w:r>
      <w:r>
        <w:rPr>
          <w:spacing w:val="-4"/>
        </w:rPr>
        <w:t xml:space="preserve">and the </w:t>
      </w:r>
      <w:r>
        <w:rPr>
          <w:spacing w:val="-6"/>
        </w:rPr>
        <w:t xml:space="preserve">blue </w:t>
      </w:r>
      <w:r>
        <w:rPr>
          <w:spacing w:val="-4"/>
        </w:rPr>
        <w:t xml:space="preserve">and </w:t>
      </w:r>
      <w:r>
        <w:t xml:space="preserve">golden </w:t>
      </w:r>
      <w:r>
        <w:rPr>
          <w:spacing w:val="-3"/>
        </w:rPr>
        <w:t xml:space="preserve">colours </w:t>
      </w:r>
      <w:r>
        <w:rPr>
          <w:spacing w:val="-4"/>
        </w:rPr>
        <w:t xml:space="preserve">look striking next </w:t>
      </w:r>
      <w:r>
        <w:rPr>
          <w:spacing w:val="-3"/>
        </w:rPr>
        <w:t xml:space="preserve">to </w:t>
      </w:r>
      <w:r>
        <w:rPr>
          <w:spacing w:val="-4"/>
        </w:rPr>
        <w:t xml:space="preserve">each </w:t>
      </w:r>
      <w:r>
        <w:rPr>
          <w:spacing w:val="-10"/>
        </w:rPr>
        <w:t>other.”</w:t>
      </w:r>
    </w:p>
    <w:p w:rsidR="002C0EDD" w:rsidRDefault="002C0EDD">
      <w:pPr>
        <w:rPr>
          <w:spacing w:val="-10"/>
        </w:rPr>
      </w:pPr>
      <w:r>
        <w:rPr>
          <w:spacing w:val="-10"/>
        </w:rPr>
        <w:br w:type="page"/>
      </w:r>
    </w:p>
    <w:p w:rsidR="002C0EDD" w:rsidRDefault="002C0EDD" w:rsidP="002C0EDD">
      <w:pPr>
        <w:pStyle w:val="Heading2"/>
      </w:pPr>
      <w:bookmarkStart w:id="7" w:name="_Toc472581947"/>
      <w:r>
        <w:lastRenderedPageBreak/>
        <w:t>Governance</w:t>
      </w:r>
      <w:bookmarkEnd w:id="7"/>
    </w:p>
    <w:p w:rsidR="002C0EDD" w:rsidRDefault="002C0EDD" w:rsidP="002C0EDD">
      <w:pPr>
        <w:pStyle w:val="Heading3"/>
      </w:pPr>
      <w:bookmarkStart w:id="8" w:name="_Toc472581948"/>
      <w:r>
        <w:t>Governing Council</w:t>
      </w:r>
      <w:bookmarkEnd w:id="8"/>
    </w:p>
    <w:p w:rsidR="00F36EB9" w:rsidRDefault="002C0EDD" w:rsidP="00F36EB9">
      <w:r w:rsidRPr="002C0EDD">
        <w:t>The Governing Council is convened and operates in accordance with Divisions 1 and 2 and Schedule</w:t>
      </w:r>
      <w:r w:rsidR="00F36EB9">
        <w:t xml:space="preserve"> </w:t>
      </w:r>
      <w:r w:rsidRPr="002C0EDD">
        <w:t xml:space="preserve">3 of the </w:t>
      </w:r>
      <w:r w:rsidRPr="002C0EDD">
        <w:rPr>
          <w:rFonts w:cs="GillSans-LightItalic"/>
          <w:i/>
          <w:iCs/>
        </w:rPr>
        <w:t>Tasmanian Health Service Act 2011</w:t>
      </w:r>
      <w:r w:rsidRPr="002C0EDD">
        <w:t>.</w:t>
      </w:r>
    </w:p>
    <w:p w:rsidR="002C0EDD" w:rsidRDefault="002C0EDD" w:rsidP="00F36EB9">
      <w:r w:rsidRPr="002C0EDD">
        <w:t>In addition to the Governing Council, the Audit and Risk Sub-Committee is convened and operates in</w:t>
      </w:r>
      <w:r w:rsidR="00F36EB9">
        <w:t xml:space="preserve"> </w:t>
      </w:r>
      <w:r w:rsidRPr="002C0EDD">
        <w:t xml:space="preserve">accordance with Division 3 and Schedule 5 of the </w:t>
      </w:r>
      <w:r w:rsidRPr="002C0EDD">
        <w:rPr>
          <w:rFonts w:cs="GillSans-LightItalic"/>
          <w:i/>
          <w:iCs/>
        </w:rPr>
        <w:t>Tasmanian Health Organisation Act 2011</w:t>
      </w:r>
      <w:r w:rsidRPr="002C0EDD">
        <w:t>.</w:t>
      </w:r>
    </w:p>
    <w:p w:rsidR="002C0EDD" w:rsidRDefault="002C0EDD" w:rsidP="002C0EDD">
      <w:pPr>
        <w:autoSpaceDE w:val="0"/>
        <w:autoSpaceDN w:val="0"/>
        <w:adjustRightInd w:val="0"/>
        <w:spacing w:after="0" w:line="240" w:lineRule="auto"/>
        <w:rPr>
          <w:rFonts w:ascii="Gill Sans MT" w:hAnsi="Gill Sans MT" w:cs="GillSans-Light"/>
          <w:color w:val="000000"/>
        </w:rPr>
      </w:pPr>
    </w:p>
    <w:p w:rsidR="002C0EDD" w:rsidRDefault="002C0EDD" w:rsidP="002C0EDD">
      <w:pPr>
        <w:keepNext/>
        <w:autoSpaceDE w:val="0"/>
        <w:autoSpaceDN w:val="0"/>
        <w:adjustRightInd w:val="0"/>
        <w:spacing w:after="0" w:line="240" w:lineRule="auto"/>
      </w:pPr>
      <w:r>
        <w:rPr>
          <w:rFonts w:ascii="Gill Sans MT" w:hAnsi="Gill Sans MT"/>
          <w:noProof/>
          <w:lang w:eastAsia="en-AU"/>
        </w:rPr>
        <w:drawing>
          <wp:inline distT="0" distB="0" distL="0" distR="0" wp14:anchorId="5A8793C9" wp14:editId="1E3D7F42">
            <wp:extent cx="6391275" cy="2342771"/>
            <wp:effectExtent l="0" t="0" r="0" b="635"/>
            <wp:docPr id="3" name="Picture 3" descr="Left to Right:&#10;Professor Judi Walker, Dr Judith Watson, Dr Emil Djakic, John Ramsay (Chair), Marting Wallace, Professor Denise Fasset, Mark Scanlon, Barbara Hingston, Associate Professor Dr Deborah Wilson, Dr David Alcorn (CEO)" title="Figure 1: Governing Council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2342771"/>
                    </a:xfrm>
                    <a:prstGeom prst="rect">
                      <a:avLst/>
                    </a:prstGeom>
                    <a:noFill/>
                    <a:ln>
                      <a:noFill/>
                    </a:ln>
                  </pic:spPr>
                </pic:pic>
              </a:graphicData>
            </a:graphic>
          </wp:inline>
        </w:drawing>
      </w:r>
    </w:p>
    <w:p w:rsidR="002C0EDD" w:rsidRDefault="00B241E7" w:rsidP="00EB1DFB">
      <w:pPr>
        <w:pStyle w:val="Caption"/>
      </w:pPr>
      <w:r>
        <w:fldChar w:fldCharType="begin"/>
      </w:r>
      <w:r>
        <w:instrText xml:space="preserve"> SEQ Figure \* ARABIC </w:instrText>
      </w:r>
      <w:r>
        <w:fldChar w:fldCharType="separate"/>
      </w:r>
      <w:r w:rsidR="00560B0E">
        <w:rPr>
          <w:noProof/>
        </w:rPr>
        <w:t>1</w:t>
      </w:r>
      <w:r>
        <w:rPr>
          <w:noProof/>
        </w:rPr>
        <w:fldChar w:fldCharType="end"/>
      </w:r>
      <w:r w:rsidR="002C0EDD">
        <w:t>: Governing Council Members</w:t>
      </w:r>
    </w:p>
    <w:p w:rsidR="00EB1DFB" w:rsidRDefault="002C0EDD" w:rsidP="00EB1DFB">
      <w:pPr>
        <w:autoSpaceDE w:val="0"/>
        <w:autoSpaceDN w:val="0"/>
        <w:adjustRightInd w:val="0"/>
        <w:spacing w:after="0" w:line="240" w:lineRule="auto"/>
        <w:rPr>
          <w:rFonts w:ascii="GillSans-Light" w:hAnsi="GillSans-Light" w:cs="GillSans-Light"/>
          <w:sz w:val="18"/>
          <w:szCs w:val="18"/>
        </w:rPr>
      </w:pPr>
      <w:r>
        <w:t>Figure 1</w:t>
      </w:r>
      <w:r w:rsidR="00EB1DFB">
        <w:t xml:space="preserve"> – Governing Council Members (left to right)</w:t>
      </w:r>
      <w:proofErr w:type="gramStart"/>
      <w:r w:rsidR="00EB1DFB">
        <w:t>:</w:t>
      </w:r>
      <w:proofErr w:type="gramEnd"/>
      <w:r w:rsidR="00EB1DFB">
        <w:br/>
      </w:r>
      <w:r w:rsidR="00EB1DFB">
        <w:rPr>
          <w:rFonts w:ascii="GillSans-Light" w:hAnsi="GillSans-Light" w:cs="GillSans-Light"/>
          <w:sz w:val="18"/>
          <w:szCs w:val="18"/>
        </w:rPr>
        <w:t>Professor Judi Walker, Dr Judith Watson, Dr Emil Djakic, John Ramsay (Chair), Martin Wallace,</w:t>
      </w:r>
    </w:p>
    <w:p w:rsidR="002C0EDD" w:rsidRDefault="00EB1DFB" w:rsidP="00EB1DFB">
      <w:pPr>
        <w:rPr>
          <w:rFonts w:ascii="GillSans-Light" w:hAnsi="GillSans-Light" w:cs="GillSans-Light"/>
          <w:sz w:val="18"/>
          <w:szCs w:val="18"/>
        </w:rPr>
      </w:pPr>
      <w:r>
        <w:rPr>
          <w:rFonts w:ascii="GillSans-Light" w:hAnsi="GillSans-Light" w:cs="GillSans-Light"/>
          <w:sz w:val="18"/>
          <w:szCs w:val="18"/>
        </w:rPr>
        <w:t>Professor Denise Fassett, Mark Scanlon, Barbara Hingston, Associate Professor Dr Deborah Wilson, Dr David Alcorn (CEO)</w:t>
      </w:r>
    </w:p>
    <w:p w:rsidR="00F36EB9" w:rsidRDefault="00F36EB9" w:rsidP="00EB1DFB">
      <w:pPr>
        <w:sectPr w:rsidR="00F36EB9" w:rsidSect="00025D0E">
          <w:pgSz w:w="11906" w:h="16838"/>
          <w:pgMar w:top="1440" w:right="707" w:bottom="1440" w:left="1134" w:header="708" w:footer="708" w:gutter="0"/>
          <w:cols w:space="708"/>
          <w:docGrid w:linePitch="360"/>
        </w:sectPr>
      </w:pPr>
    </w:p>
    <w:p w:rsidR="00F36EB9" w:rsidRDefault="00F36EB9" w:rsidP="007651A3">
      <w:pPr>
        <w:pStyle w:val="Heading3"/>
      </w:pPr>
      <w:bookmarkStart w:id="9" w:name="_Toc472581949"/>
      <w:r>
        <w:lastRenderedPageBreak/>
        <w:t>Report from the Chair</w:t>
      </w:r>
      <w:bookmarkEnd w:id="9"/>
    </w:p>
    <w:p w:rsidR="00F36EB9" w:rsidRDefault="00F36EB9" w:rsidP="00F36EB9">
      <w:pPr>
        <w:pStyle w:val="BodyText"/>
        <w:spacing w:before="167" w:line="268" w:lineRule="auto"/>
        <w:ind w:right="292"/>
      </w:pPr>
      <w:r>
        <w:rPr>
          <w:spacing w:val="-5"/>
        </w:rPr>
        <w:t xml:space="preserve">The first </w:t>
      </w:r>
      <w:r>
        <w:rPr>
          <w:spacing w:val="-7"/>
        </w:rPr>
        <w:t xml:space="preserve">year </w:t>
      </w:r>
      <w:r>
        <w:rPr>
          <w:spacing w:val="-4"/>
        </w:rPr>
        <w:t xml:space="preserve">of </w:t>
      </w:r>
      <w:r>
        <w:rPr>
          <w:spacing w:val="-7"/>
        </w:rPr>
        <w:t xml:space="preserve">the </w:t>
      </w:r>
      <w:r>
        <w:rPr>
          <w:spacing w:val="-10"/>
        </w:rPr>
        <w:t xml:space="preserve">Tasmanian </w:t>
      </w:r>
      <w:r>
        <w:rPr>
          <w:spacing w:val="-7"/>
        </w:rPr>
        <w:t xml:space="preserve">Health </w:t>
      </w:r>
      <w:r>
        <w:rPr>
          <w:spacing w:val="-4"/>
        </w:rPr>
        <w:t xml:space="preserve">Service </w:t>
      </w:r>
      <w:r>
        <w:rPr>
          <w:spacing w:val="-6"/>
        </w:rPr>
        <w:t xml:space="preserve">(THS), </w:t>
      </w:r>
      <w:r>
        <w:rPr>
          <w:spacing w:val="-5"/>
        </w:rPr>
        <w:t xml:space="preserve">has </w:t>
      </w:r>
      <w:r>
        <w:rPr>
          <w:spacing w:val="-7"/>
        </w:rPr>
        <w:t xml:space="preserve">seen outstanding </w:t>
      </w:r>
      <w:r>
        <w:rPr>
          <w:spacing w:val="-8"/>
        </w:rPr>
        <w:t xml:space="preserve">professionalism </w:t>
      </w:r>
      <w:r>
        <w:rPr>
          <w:spacing w:val="-5"/>
        </w:rPr>
        <w:t xml:space="preserve">and </w:t>
      </w:r>
      <w:r>
        <w:rPr>
          <w:spacing w:val="-7"/>
        </w:rPr>
        <w:t xml:space="preserve">commitment </w:t>
      </w:r>
      <w:r>
        <w:rPr>
          <w:spacing w:val="-5"/>
        </w:rPr>
        <w:t xml:space="preserve">by </w:t>
      </w:r>
      <w:r>
        <w:rPr>
          <w:spacing w:val="-7"/>
        </w:rPr>
        <w:t xml:space="preserve">the </w:t>
      </w:r>
      <w:r>
        <w:rPr>
          <w:spacing w:val="-5"/>
        </w:rPr>
        <w:t xml:space="preserve">THS </w:t>
      </w:r>
      <w:r>
        <w:rPr>
          <w:spacing w:val="-6"/>
        </w:rPr>
        <w:t xml:space="preserve">staff </w:t>
      </w:r>
      <w:r>
        <w:rPr>
          <w:spacing w:val="-4"/>
        </w:rPr>
        <w:t xml:space="preserve">to </w:t>
      </w:r>
      <w:r>
        <w:rPr>
          <w:spacing w:val="-5"/>
        </w:rPr>
        <w:t xml:space="preserve">the delivery </w:t>
      </w:r>
      <w:r>
        <w:rPr>
          <w:spacing w:val="-4"/>
        </w:rPr>
        <w:t xml:space="preserve">of </w:t>
      </w:r>
      <w:r>
        <w:rPr>
          <w:spacing w:val="-6"/>
        </w:rPr>
        <w:t xml:space="preserve">health </w:t>
      </w:r>
      <w:r>
        <w:rPr>
          <w:spacing w:val="-5"/>
        </w:rPr>
        <w:t xml:space="preserve">services </w:t>
      </w:r>
      <w:r>
        <w:rPr>
          <w:spacing w:val="-4"/>
        </w:rPr>
        <w:t xml:space="preserve">to </w:t>
      </w:r>
      <w:r>
        <w:rPr>
          <w:spacing w:val="-7"/>
        </w:rPr>
        <w:t xml:space="preserve">the </w:t>
      </w:r>
      <w:r>
        <w:rPr>
          <w:spacing w:val="-10"/>
        </w:rPr>
        <w:t xml:space="preserve">Tasmanian </w:t>
      </w:r>
      <w:r>
        <w:rPr>
          <w:spacing w:val="-9"/>
        </w:rPr>
        <w:t>community.</w:t>
      </w:r>
    </w:p>
    <w:p w:rsidR="00F36EB9" w:rsidRDefault="00F36EB9" w:rsidP="00F36EB9">
      <w:pPr>
        <w:pStyle w:val="BodyText"/>
        <w:spacing w:before="160" w:line="268" w:lineRule="auto"/>
        <w:ind w:right="141"/>
      </w:pPr>
      <w:r>
        <w:rPr>
          <w:spacing w:val="-6"/>
        </w:rPr>
        <w:t xml:space="preserve">There </w:t>
      </w:r>
      <w:r>
        <w:rPr>
          <w:spacing w:val="-8"/>
        </w:rPr>
        <w:t xml:space="preserve">have </w:t>
      </w:r>
      <w:r>
        <w:rPr>
          <w:spacing w:val="-7"/>
        </w:rPr>
        <w:t xml:space="preserve">frequently </w:t>
      </w:r>
      <w:r>
        <w:rPr>
          <w:spacing w:val="-6"/>
        </w:rPr>
        <w:t xml:space="preserve">been extreme demand </w:t>
      </w:r>
      <w:r>
        <w:rPr>
          <w:spacing w:val="-7"/>
        </w:rPr>
        <w:t xml:space="preserve">pressures </w:t>
      </w:r>
      <w:r>
        <w:rPr>
          <w:spacing w:val="-4"/>
        </w:rPr>
        <w:t xml:space="preserve">on </w:t>
      </w:r>
      <w:r>
        <w:rPr>
          <w:spacing w:val="-5"/>
        </w:rPr>
        <w:t xml:space="preserve">the </w:t>
      </w:r>
      <w:r>
        <w:rPr>
          <w:spacing w:val="-6"/>
        </w:rPr>
        <w:t xml:space="preserve">personnel </w:t>
      </w:r>
      <w:r>
        <w:rPr>
          <w:spacing w:val="-7"/>
        </w:rPr>
        <w:t xml:space="preserve">of </w:t>
      </w:r>
      <w:r>
        <w:rPr>
          <w:spacing w:val="-3"/>
        </w:rPr>
        <w:t xml:space="preserve">the THS, </w:t>
      </w:r>
      <w:r>
        <w:rPr>
          <w:spacing w:val="-4"/>
        </w:rPr>
        <w:t xml:space="preserve">be it </w:t>
      </w:r>
      <w:r>
        <w:rPr>
          <w:spacing w:val="-6"/>
        </w:rPr>
        <w:t xml:space="preserve">emergency </w:t>
      </w:r>
      <w:r>
        <w:rPr>
          <w:spacing w:val="-5"/>
        </w:rPr>
        <w:t xml:space="preserve">services, </w:t>
      </w:r>
      <w:r>
        <w:rPr>
          <w:spacing w:val="-6"/>
        </w:rPr>
        <w:t xml:space="preserve">acute care services, </w:t>
      </w:r>
      <w:r>
        <w:rPr>
          <w:spacing w:val="-7"/>
        </w:rPr>
        <w:t xml:space="preserve">elective surgery, </w:t>
      </w:r>
      <w:r>
        <w:rPr>
          <w:spacing w:val="-4"/>
        </w:rPr>
        <w:t xml:space="preserve">or </w:t>
      </w:r>
      <w:r>
        <w:rPr>
          <w:spacing w:val="-7"/>
        </w:rPr>
        <w:t xml:space="preserve">outpatient clinics, </w:t>
      </w:r>
      <w:r>
        <w:rPr>
          <w:spacing w:val="-5"/>
        </w:rPr>
        <w:t xml:space="preserve">and </w:t>
      </w:r>
      <w:r>
        <w:rPr>
          <w:spacing w:val="-4"/>
        </w:rPr>
        <w:t xml:space="preserve">the THS </w:t>
      </w:r>
      <w:r>
        <w:rPr>
          <w:spacing w:val="-6"/>
        </w:rPr>
        <w:t xml:space="preserve">staff </w:t>
      </w:r>
      <w:r>
        <w:rPr>
          <w:spacing w:val="-7"/>
        </w:rPr>
        <w:t xml:space="preserve">always </w:t>
      </w:r>
      <w:r>
        <w:rPr>
          <w:spacing w:val="-5"/>
        </w:rPr>
        <w:t xml:space="preserve">pursue the </w:t>
      </w:r>
      <w:r>
        <w:rPr>
          <w:spacing w:val="-6"/>
        </w:rPr>
        <w:t xml:space="preserve">best care </w:t>
      </w:r>
      <w:r>
        <w:rPr>
          <w:spacing w:val="-7"/>
        </w:rPr>
        <w:t xml:space="preserve">possible </w:t>
      </w:r>
      <w:r>
        <w:rPr>
          <w:spacing w:val="-6"/>
        </w:rPr>
        <w:t xml:space="preserve">within </w:t>
      </w:r>
      <w:r>
        <w:rPr>
          <w:spacing w:val="-7"/>
        </w:rPr>
        <w:t xml:space="preserve">the resources </w:t>
      </w:r>
      <w:r>
        <w:rPr>
          <w:spacing w:val="-6"/>
        </w:rPr>
        <w:t xml:space="preserve">that </w:t>
      </w:r>
      <w:r>
        <w:rPr>
          <w:spacing w:val="-5"/>
        </w:rPr>
        <w:t xml:space="preserve">are </w:t>
      </w:r>
      <w:r>
        <w:rPr>
          <w:spacing w:val="-6"/>
        </w:rPr>
        <w:t xml:space="preserve">able </w:t>
      </w:r>
      <w:r>
        <w:rPr>
          <w:spacing w:val="-4"/>
        </w:rPr>
        <w:t xml:space="preserve">to be </w:t>
      </w:r>
      <w:r>
        <w:rPr>
          <w:spacing w:val="-6"/>
        </w:rPr>
        <w:t xml:space="preserve">made </w:t>
      </w:r>
      <w:r>
        <w:rPr>
          <w:spacing w:val="-8"/>
        </w:rPr>
        <w:t xml:space="preserve">available </w:t>
      </w:r>
      <w:r>
        <w:rPr>
          <w:spacing w:val="-4"/>
        </w:rPr>
        <w:t xml:space="preserve">to </w:t>
      </w:r>
      <w:r>
        <w:rPr>
          <w:spacing w:val="-7"/>
        </w:rPr>
        <w:t>them.</w:t>
      </w:r>
    </w:p>
    <w:p w:rsidR="00F36EB9" w:rsidRDefault="00F36EB9" w:rsidP="00F36EB9">
      <w:pPr>
        <w:pStyle w:val="BodyText"/>
        <w:spacing w:before="160" w:line="268" w:lineRule="auto"/>
        <w:ind w:right="-5"/>
      </w:pPr>
      <w:r>
        <w:rPr>
          <w:spacing w:val="-7"/>
        </w:rPr>
        <w:t xml:space="preserve">Clinical </w:t>
      </w:r>
      <w:r>
        <w:rPr>
          <w:spacing w:val="-5"/>
        </w:rPr>
        <w:t xml:space="preserve">and </w:t>
      </w:r>
      <w:r>
        <w:rPr>
          <w:spacing w:val="-6"/>
        </w:rPr>
        <w:t xml:space="preserve">operational </w:t>
      </w:r>
      <w:r>
        <w:rPr>
          <w:spacing w:val="-4"/>
        </w:rPr>
        <w:t xml:space="preserve">service </w:t>
      </w:r>
      <w:r>
        <w:rPr>
          <w:spacing w:val="-5"/>
        </w:rPr>
        <w:t xml:space="preserve">delivery has </w:t>
      </w:r>
      <w:r>
        <w:rPr>
          <w:spacing w:val="-7"/>
        </w:rPr>
        <w:t xml:space="preserve">also </w:t>
      </w:r>
      <w:r>
        <w:rPr>
          <w:spacing w:val="-6"/>
        </w:rPr>
        <w:t>occurred</w:t>
      </w:r>
      <w:r>
        <w:rPr>
          <w:spacing w:val="-11"/>
        </w:rPr>
        <w:t xml:space="preserve"> </w:t>
      </w:r>
      <w:r>
        <w:rPr>
          <w:spacing w:val="-6"/>
        </w:rPr>
        <w:t>through</w:t>
      </w:r>
      <w:r>
        <w:rPr>
          <w:spacing w:val="-11"/>
        </w:rPr>
        <w:t xml:space="preserve"> </w:t>
      </w:r>
      <w:r>
        <w:t>a</w:t>
      </w:r>
      <w:r>
        <w:rPr>
          <w:spacing w:val="-11"/>
        </w:rPr>
        <w:t xml:space="preserve"> </w:t>
      </w:r>
      <w:r>
        <w:rPr>
          <w:spacing w:val="-5"/>
        </w:rPr>
        <w:t>period</w:t>
      </w:r>
      <w:r>
        <w:rPr>
          <w:spacing w:val="-11"/>
        </w:rPr>
        <w:t xml:space="preserve"> </w:t>
      </w:r>
      <w:r>
        <w:rPr>
          <w:spacing w:val="-4"/>
        </w:rPr>
        <w:t>of</w:t>
      </w:r>
      <w:r>
        <w:rPr>
          <w:spacing w:val="-11"/>
        </w:rPr>
        <w:t xml:space="preserve"> </w:t>
      </w:r>
      <w:r>
        <w:rPr>
          <w:spacing w:val="-7"/>
        </w:rPr>
        <w:t>organisational</w:t>
      </w:r>
      <w:r>
        <w:rPr>
          <w:spacing w:val="-12"/>
        </w:rPr>
        <w:t xml:space="preserve"> </w:t>
      </w:r>
      <w:r>
        <w:rPr>
          <w:spacing w:val="-6"/>
        </w:rPr>
        <w:t>change,</w:t>
      </w:r>
      <w:r>
        <w:rPr>
          <w:spacing w:val="-29"/>
        </w:rPr>
        <w:t xml:space="preserve"> </w:t>
      </w:r>
      <w:r>
        <w:rPr>
          <w:spacing w:val="-7"/>
        </w:rPr>
        <w:t xml:space="preserve">with </w:t>
      </w:r>
      <w:r>
        <w:rPr>
          <w:spacing w:val="-5"/>
        </w:rPr>
        <w:t xml:space="preserve">the </w:t>
      </w:r>
      <w:r>
        <w:rPr>
          <w:spacing w:val="-6"/>
        </w:rPr>
        <w:t xml:space="preserve">three former </w:t>
      </w:r>
      <w:r>
        <w:rPr>
          <w:spacing w:val="-10"/>
        </w:rPr>
        <w:t xml:space="preserve">Tasmanian </w:t>
      </w:r>
      <w:r>
        <w:rPr>
          <w:spacing w:val="-6"/>
        </w:rPr>
        <w:t xml:space="preserve">Health </w:t>
      </w:r>
      <w:r>
        <w:rPr>
          <w:spacing w:val="-7"/>
        </w:rPr>
        <w:t xml:space="preserve">Organisations </w:t>
      </w:r>
      <w:r>
        <w:rPr>
          <w:spacing w:val="-8"/>
        </w:rPr>
        <w:t xml:space="preserve">having </w:t>
      </w:r>
      <w:r>
        <w:rPr>
          <w:spacing w:val="-6"/>
        </w:rPr>
        <w:t>been</w:t>
      </w:r>
      <w:r>
        <w:rPr>
          <w:spacing w:val="-15"/>
        </w:rPr>
        <w:t xml:space="preserve"> </w:t>
      </w:r>
      <w:r>
        <w:rPr>
          <w:spacing w:val="-5"/>
        </w:rPr>
        <w:t>merged</w:t>
      </w:r>
      <w:r>
        <w:rPr>
          <w:spacing w:val="-15"/>
        </w:rPr>
        <w:t xml:space="preserve"> </w:t>
      </w:r>
      <w:r>
        <w:rPr>
          <w:spacing w:val="-4"/>
        </w:rPr>
        <w:t>to</w:t>
      </w:r>
      <w:r>
        <w:rPr>
          <w:spacing w:val="-15"/>
        </w:rPr>
        <w:t xml:space="preserve"> </w:t>
      </w:r>
      <w:r>
        <w:rPr>
          <w:spacing w:val="-5"/>
        </w:rPr>
        <w:t>form</w:t>
      </w:r>
      <w:r>
        <w:rPr>
          <w:spacing w:val="-15"/>
        </w:rPr>
        <w:t xml:space="preserve"> </w:t>
      </w:r>
      <w:r>
        <w:t>the THS</w:t>
      </w:r>
      <w:r>
        <w:rPr>
          <w:spacing w:val="-15"/>
        </w:rPr>
        <w:t xml:space="preserve"> </w:t>
      </w:r>
      <w:r>
        <w:rPr>
          <w:spacing w:val="-6"/>
        </w:rPr>
        <w:t>from</w:t>
      </w:r>
      <w:r>
        <w:rPr>
          <w:spacing w:val="-14"/>
        </w:rPr>
        <w:t xml:space="preserve"> </w:t>
      </w:r>
      <w:r>
        <w:t>1</w:t>
      </w:r>
      <w:r>
        <w:rPr>
          <w:spacing w:val="-15"/>
        </w:rPr>
        <w:t xml:space="preserve"> </w:t>
      </w:r>
      <w:r>
        <w:rPr>
          <w:spacing w:val="-6"/>
        </w:rPr>
        <w:t>July</w:t>
      </w:r>
      <w:r>
        <w:rPr>
          <w:spacing w:val="-15"/>
        </w:rPr>
        <w:t xml:space="preserve"> </w:t>
      </w:r>
      <w:r>
        <w:rPr>
          <w:spacing w:val="-7"/>
        </w:rPr>
        <w:t>2015.</w:t>
      </w:r>
    </w:p>
    <w:p w:rsidR="00F36EB9" w:rsidRDefault="00F36EB9" w:rsidP="00F36EB9">
      <w:pPr>
        <w:pStyle w:val="BodyText"/>
        <w:spacing w:before="160" w:line="268" w:lineRule="auto"/>
        <w:ind w:right="231"/>
        <w:rPr>
          <w:spacing w:val="-8"/>
        </w:rPr>
      </w:pPr>
      <w:r>
        <w:rPr>
          <w:spacing w:val="-6"/>
        </w:rPr>
        <w:t xml:space="preserve">Any </w:t>
      </w:r>
      <w:r>
        <w:rPr>
          <w:spacing w:val="-7"/>
        </w:rPr>
        <w:t xml:space="preserve">organisational </w:t>
      </w:r>
      <w:r>
        <w:rPr>
          <w:spacing w:val="-5"/>
        </w:rPr>
        <w:t xml:space="preserve">merger </w:t>
      </w:r>
      <w:r>
        <w:rPr>
          <w:spacing w:val="-6"/>
        </w:rPr>
        <w:t xml:space="preserve">needs </w:t>
      </w:r>
      <w:r>
        <w:rPr>
          <w:spacing w:val="-4"/>
        </w:rPr>
        <w:t xml:space="preserve">to be </w:t>
      </w:r>
      <w:r>
        <w:rPr>
          <w:spacing w:val="-6"/>
        </w:rPr>
        <w:t xml:space="preserve">managed </w:t>
      </w:r>
      <w:r>
        <w:rPr>
          <w:spacing w:val="-7"/>
        </w:rPr>
        <w:t xml:space="preserve">to </w:t>
      </w:r>
      <w:r>
        <w:rPr>
          <w:spacing w:val="-6"/>
        </w:rPr>
        <w:t xml:space="preserve">ensure </w:t>
      </w:r>
      <w:r>
        <w:rPr>
          <w:spacing w:val="-7"/>
        </w:rPr>
        <w:t xml:space="preserve">continuity </w:t>
      </w:r>
      <w:r>
        <w:rPr>
          <w:spacing w:val="-4"/>
        </w:rPr>
        <w:t xml:space="preserve">of </w:t>
      </w:r>
      <w:r>
        <w:rPr>
          <w:spacing w:val="-7"/>
        </w:rPr>
        <w:t xml:space="preserve">business. </w:t>
      </w:r>
      <w:r>
        <w:rPr>
          <w:spacing w:val="-5"/>
        </w:rPr>
        <w:t xml:space="preserve">Particular </w:t>
      </w:r>
      <w:r>
        <w:rPr>
          <w:spacing w:val="-6"/>
        </w:rPr>
        <w:t xml:space="preserve">care needs </w:t>
      </w:r>
      <w:r>
        <w:rPr>
          <w:spacing w:val="-7"/>
        </w:rPr>
        <w:t xml:space="preserve">to </w:t>
      </w:r>
      <w:r>
        <w:rPr>
          <w:spacing w:val="-4"/>
        </w:rPr>
        <w:t xml:space="preserve">be </w:t>
      </w:r>
      <w:r>
        <w:rPr>
          <w:spacing w:val="-6"/>
        </w:rPr>
        <w:t xml:space="preserve">taken </w:t>
      </w:r>
      <w:r>
        <w:rPr>
          <w:spacing w:val="-4"/>
        </w:rPr>
        <w:t xml:space="preserve">in </w:t>
      </w:r>
      <w:r>
        <w:rPr>
          <w:spacing w:val="-5"/>
        </w:rPr>
        <w:t xml:space="preserve">the </w:t>
      </w:r>
      <w:r>
        <w:rPr>
          <w:spacing w:val="-6"/>
        </w:rPr>
        <w:t xml:space="preserve">merging </w:t>
      </w:r>
      <w:r>
        <w:rPr>
          <w:spacing w:val="-4"/>
        </w:rPr>
        <w:t xml:space="preserve">of </w:t>
      </w:r>
      <w:r>
        <w:rPr>
          <w:spacing w:val="-6"/>
        </w:rPr>
        <w:t xml:space="preserve">health </w:t>
      </w:r>
      <w:r>
        <w:rPr>
          <w:spacing w:val="-5"/>
        </w:rPr>
        <w:t xml:space="preserve">services </w:t>
      </w:r>
      <w:r>
        <w:rPr>
          <w:spacing w:val="-8"/>
        </w:rPr>
        <w:t xml:space="preserve">businesses. </w:t>
      </w:r>
      <w:r>
        <w:rPr>
          <w:spacing w:val="-5"/>
        </w:rPr>
        <w:t xml:space="preserve">For </w:t>
      </w:r>
      <w:r>
        <w:rPr>
          <w:spacing w:val="-7"/>
        </w:rPr>
        <w:t xml:space="preserve">safety </w:t>
      </w:r>
      <w:r>
        <w:rPr>
          <w:spacing w:val="-5"/>
        </w:rPr>
        <w:t xml:space="preserve">and </w:t>
      </w:r>
      <w:r>
        <w:rPr>
          <w:spacing w:val="-6"/>
        </w:rPr>
        <w:t xml:space="preserve">quality </w:t>
      </w:r>
      <w:r>
        <w:rPr>
          <w:spacing w:val="-7"/>
        </w:rPr>
        <w:t xml:space="preserve">reasons, </w:t>
      </w:r>
      <w:r>
        <w:rPr>
          <w:spacing w:val="-5"/>
        </w:rPr>
        <w:t xml:space="preserve">services are </w:t>
      </w:r>
      <w:r>
        <w:rPr>
          <w:spacing w:val="-8"/>
        </w:rPr>
        <w:t xml:space="preserve">provided </w:t>
      </w:r>
      <w:r>
        <w:rPr>
          <w:spacing w:val="-4"/>
        </w:rPr>
        <w:t>in</w:t>
      </w:r>
      <w:r>
        <w:rPr>
          <w:spacing w:val="-11"/>
        </w:rPr>
        <w:t xml:space="preserve"> </w:t>
      </w:r>
      <w:r>
        <w:rPr>
          <w:spacing w:val="-7"/>
        </w:rPr>
        <w:t>accordance</w:t>
      </w:r>
      <w:r>
        <w:rPr>
          <w:spacing w:val="-11"/>
        </w:rPr>
        <w:t xml:space="preserve"> </w:t>
      </w:r>
      <w:r>
        <w:rPr>
          <w:spacing w:val="-6"/>
        </w:rPr>
        <w:t>with</w:t>
      </w:r>
      <w:r>
        <w:rPr>
          <w:spacing w:val="-11"/>
        </w:rPr>
        <w:t xml:space="preserve"> </w:t>
      </w:r>
      <w:r>
        <w:rPr>
          <w:spacing w:val="-5"/>
        </w:rPr>
        <w:t>strict</w:t>
      </w:r>
      <w:r>
        <w:rPr>
          <w:spacing w:val="-11"/>
        </w:rPr>
        <w:t xml:space="preserve"> </w:t>
      </w:r>
      <w:r>
        <w:rPr>
          <w:spacing w:val="-7"/>
        </w:rPr>
        <w:t>guidelines</w:t>
      </w:r>
      <w:r>
        <w:rPr>
          <w:spacing w:val="-12"/>
        </w:rPr>
        <w:t xml:space="preserve"> </w:t>
      </w:r>
      <w:r>
        <w:rPr>
          <w:spacing w:val="-5"/>
        </w:rPr>
        <w:t>and</w:t>
      </w:r>
      <w:r>
        <w:rPr>
          <w:spacing w:val="-11"/>
        </w:rPr>
        <w:t xml:space="preserve"> </w:t>
      </w:r>
      <w:r>
        <w:rPr>
          <w:spacing w:val="-7"/>
        </w:rPr>
        <w:t>protocols,</w:t>
      </w:r>
      <w:r>
        <w:rPr>
          <w:spacing w:val="-30"/>
        </w:rPr>
        <w:t xml:space="preserve"> </w:t>
      </w:r>
      <w:r>
        <w:rPr>
          <w:spacing w:val="-7"/>
        </w:rPr>
        <w:t xml:space="preserve">and </w:t>
      </w:r>
      <w:r>
        <w:rPr>
          <w:spacing w:val="-6"/>
        </w:rPr>
        <w:t xml:space="preserve">those </w:t>
      </w:r>
      <w:r>
        <w:rPr>
          <w:spacing w:val="-7"/>
        </w:rPr>
        <w:t xml:space="preserve">guidelines </w:t>
      </w:r>
      <w:r>
        <w:rPr>
          <w:spacing w:val="-5"/>
        </w:rPr>
        <w:t xml:space="preserve">and </w:t>
      </w:r>
      <w:r>
        <w:rPr>
          <w:spacing w:val="-7"/>
        </w:rPr>
        <w:t xml:space="preserve">protocols </w:t>
      </w:r>
      <w:r>
        <w:rPr>
          <w:spacing w:val="-6"/>
        </w:rPr>
        <w:t xml:space="preserve">must only </w:t>
      </w:r>
      <w:r>
        <w:rPr>
          <w:spacing w:val="-4"/>
        </w:rPr>
        <w:t xml:space="preserve">be </w:t>
      </w:r>
      <w:r>
        <w:rPr>
          <w:spacing w:val="-7"/>
        </w:rPr>
        <w:t xml:space="preserve">changed </w:t>
      </w:r>
      <w:r>
        <w:rPr>
          <w:spacing w:val="-4"/>
        </w:rPr>
        <w:t xml:space="preserve">in </w:t>
      </w:r>
      <w:r>
        <w:rPr>
          <w:spacing w:val="-6"/>
        </w:rPr>
        <w:t xml:space="preserve">light </w:t>
      </w:r>
      <w:r>
        <w:rPr>
          <w:spacing w:val="-4"/>
        </w:rPr>
        <w:t xml:space="preserve">of </w:t>
      </w:r>
      <w:r>
        <w:rPr>
          <w:spacing w:val="-6"/>
        </w:rPr>
        <w:t xml:space="preserve">careful </w:t>
      </w:r>
      <w:r>
        <w:rPr>
          <w:spacing w:val="-7"/>
        </w:rPr>
        <w:t xml:space="preserve">consideration </w:t>
      </w:r>
      <w:r>
        <w:rPr>
          <w:spacing w:val="-5"/>
        </w:rPr>
        <w:t xml:space="preserve">and </w:t>
      </w:r>
      <w:r>
        <w:t xml:space="preserve">a </w:t>
      </w:r>
      <w:r>
        <w:rPr>
          <w:spacing w:val="-7"/>
        </w:rPr>
        <w:t xml:space="preserve">complete </w:t>
      </w:r>
      <w:r>
        <w:rPr>
          <w:spacing w:val="-6"/>
        </w:rPr>
        <w:t xml:space="preserve">understanding </w:t>
      </w:r>
      <w:r>
        <w:rPr>
          <w:spacing w:val="-4"/>
        </w:rPr>
        <w:t xml:space="preserve">of </w:t>
      </w:r>
      <w:r>
        <w:rPr>
          <w:spacing w:val="-5"/>
        </w:rPr>
        <w:t xml:space="preserve">the </w:t>
      </w:r>
      <w:r>
        <w:rPr>
          <w:spacing w:val="-7"/>
        </w:rPr>
        <w:t xml:space="preserve">effect </w:t>
      </w:r>
      <w:r>
        <w:rPr>
          <w:spacing w:val="-4"/>
        </w:rPr>
        <w:t xml:space="preserve">of </w:t>
      </w:r>
      <w:r>
        <w:rPr>
          <w:spacing w:val="-5"/>
        </w:rPr>
        <w:t xml:space="preserve">the </w:t>
      </w:r>
      <w:r>
        <w:rPr>
          <w:spacing w:val="-7"/>
        </w:rPr>
        <w:t xml:space="preserve">changes. Thanks to </w:t>
      </w:r>
      <w:r>
        <w:rPr>
          <w:spacing w:val="-5"/>
        </w:rPr>
        <w:t>the</w:t>
      </w:r>
      <w:r>
        <w:rPr>
          <w:spacing w:val="-12"/>
        </w:rPr>
        <w:t xml:space="preserve"> </w:t>
      </w:r>
      <w:r>
        <w:rPr>
          <w:spacing w:val="-7"/>
        </w:rPr>
        <w:t>dedication</w:t>
      </w:r>
      <w:r>
        <w:rPr>
          <w:spacing w:val="-12"/>
        </w:rPr>
        <w:t xml:space="preserve"> </w:t>
      </w:r>
      <w:r>
        <w:rPr>
          <w:spacing w:val="-4"/>
        </w:rPr>
        <w:t>of</w:t>
      </w:r>
      <w:r>
        <w:rPr>
          <w:spacing w:val="-12"/>
        </w:rPr>
        <w:t xml:space="preserve"> </w:t>
      </w:r>
      <w:r>
        <w:rPr>
          <w:spacing w:val="-5"/>
        </w:rPr>
        <w:t>all</w:t>
      </w:r>
      <w:r>
        <w:rPr>
          <w:spacing w:val="-12"/>
        </w:rPr>
        <w:t xml:space="preserve"> </w:t>
      </w:r>
      <w:r>
        <w:rPr>
          <w:spacing w:val="-6"/>
        </w:rPr>
        <w:t>staff,</w:t>
      </w:r>
      <w:r>
        <w:rPr>
          <w:spacing w:val="-30"/>
        </w:rPr>
        <w:t xml:space="preserve"> </w:t>
      </w:r>
      <w:r>
        <w:rPr>
          <w:spacing w:val="-6"/>
        </w:rPr>
        <w:t>this</w:t>
      </w:r>
      <w:r>
        <w:rPr>
          <w:spacing w:val="-12"/>
        </w:rPr>
        <w:t xml:space="preserve"> </w:t>
      </w:r>
      <w:r>
        <w:rPr>
          <w:spacing w:val="-6"/>
        </w:rPr>
        <w:t>process</w:t>
      </w:r>
      <w:r>
        <w:rPr>
          <w:spacing w:val="-12"/>
        </w:rPr>
        <w:t xml:space="preserve"> </w:t>
      </w:r>
      <w:r>
        <w:rPr>
          <w:spacing w:val="-5"/>
        </w:rPr>
        <w:t>has</w:t>
      </w:r>
      <w:r>
        <w:rPr>
          <w:spacing w:val="-11"/>
        </w:rPr>
        <w:t xml:space="preserve"> </w:t>
      </w:r>
      <w:r>
        <w:rPr>
          <w:spacing w:val="-4"/>
        </w:rPr>
        <w:t>started</w:t>
      </w:r>
      <w:r>
        <w:rPr>
          <w:spacing w:val="-12"/>
        </w:rPr>
        <w:t xml:space="preserve"> </w:t>
      </w:r>
      <w:r>
        <w:rPr>
          <w:spacing w:val="-7"/>
        </w:rPr>
        <w:t xml:space="preserve">and </w:t>
      </w:r>
      <w:r>
        <w:rPr>
          <w:spacing w:val="-5"/>
        </w:rPr>
        <w:t xml:space="preserve">has </w:t>
      </w:r>
      <w:r>
        <w:rPr>
          <w:spacing w:val="-6"/>
        </w:rPr>
        <w:t xml:space="preserve">been </w:t>
      </w:r>
      <w:r>
        <w:rPr>
          <w:spacing w:val="-7"/>
        </w:rPr>
        <w:t xml:space="preserve">progressively </w:t>
      </w:r>
      <w:r>
        <w:rPr>
          <w:spacing w:val="-5"/>
        </w:rPr>
        <w:t xml:space="preserve">undertaken during </w:t>
      </w:r>
      <w:r>
        <w:rPr>
          <w:spacing w:val="-6"/>
        </w:rPr>
        <w:t xml:space="preserve">2015-16 </w:t>
      </w:r>
      <w:r>
        <w:rPr>
          <w:spacing w:val="-7"/>
        </w:rPr>
        <w:t xml:space="preserve">and </w:t>
      </w:r>
      <w:r>
        <w:rPr>
          <w:spacing w:val="-8"/>
        </w:rPr>
        <w:t xml:space="preserve">continues. </w:t>
      </w:r>
    </w:p>
    <w:p w:rsidR="00F36EB9" w:rsidRDefault="00F36EB9" w:rsidP="00F36EB9">
      <w:pPr>
        <w:pStyle w:val="BodyText"/>
        <w:spacing w:before="160" w:line="268" w:lineRule="auto"/>
        <w:ind w:right="231"/>
      </w:pPr>
      <w:r>
        <w:rPr>
          <w:spacing w:val="-5"/>
        </w:rPr>
        <w:t xml:space="preserve">The </w:t>
      </w:r>
      <w:r>
        <w:rPr>
          <w:spacing w:val="-7"/>
        </w:rPr>
        <w:t xml:space="preserve">year resulted </w:t>
      </w:r>
      <w:r>
        <w:rPr>
          <w:spacing w:val="-4"/>
        </w:rPr>
        <w:t xml:space="preserve">in </w:t>
      </w:r>
      <w:r>
        <w:rPr>
          <w:spacing w:val="-6"/>
        </w:rPr>
        <w:t xml:space="preserve">changes </w:t>
      </w:r>
      <w:r>
        <w:rPr>
          <w:spacing w:val="-4"/>
        </w:rPr>
        <w:t xml:space="preserve">at </w:t>
      </w:r>
      <w:r>
        <w:rPr>
          <w:spacing w:val="-5"/>
        </w:rPr>
        <w:t xml:space="preserve">the </w:t>
      </w:r>
      <w:r>
        <w:rPr>
          <w:spacing w:val="-7"/>
        </w:rPr>
        <w:t xml:space="preserve">executive level of </w:t>
      </w:r>
      <w:r>
        <w:rPr>
          <w:spacing w:val="-5"/>
        </w:rPr>
        <w:t>the</w:t>
      </w:r>
      <w:r>
        <w:rPr>
          <w:spacing w:val="-11"/>
        </w:rPr>
        <w:t xml:space="preserve"> </w:t>
      </w:r>
      <w:r>
        <w:rPr>
          <w:spacing w:val="-7"/>
        </w:rPr>
        <w:t>organisation,</w:t>
      </w:r>
      <w:r>
        <w:rPr>
          <w:spacing w:val="-31"/>
        </w:rPr>
        <w:t xml:space="preserve"> </w:t>
      </w:r>
      <w:r>
        <w:rPr>
          <w:spacing w:val="-6"/>
        </w:rPr>
        <w:t>with</w:t>
      </w:r>
      <w:r>
        <w:rPr>
          <w:spacing w:val="-11"/>
        </w:rPr>
        <w:t xml:space="preserve"> </w:t>
      </w:r>
      <w:r>
        <w:rPr>
          <w:spacing w:val="-5"/>
        </w:rPr>
        <w:t>the</w:t>
      </w:r>
      <w:r>
        <w:rPr>
          <w:spacing w:val="-11"/>
        </w:rPr>
        <w:t xml:space="preserve"> </w:t>
      </w:r>
      <w:r>
        <w:rPr>
          <w:spacing w:val="-6"/>
        </w:rPr>
        <w:t>recruitment</w:t>
      </w:r>
      <w:r>
        <w:rPr>
          <w:spacing w:val="-10"/>
        </w:rPr>
        <w:t xml:space="preserve"> </w:t>
      </w:r>
      <w:r>
        <w:rPr>
          <w:spacing w:val="-6"/>
        </w:rPr>
        <w:t>process</w:t>
      </w:r>
      <w:r>
        <w:rPr>
          <w:spacing w:val="-11"/>
        </w:rPr>
        <w:t xml:space="preserve"> </w:t>
      </w:r>
      <w:r>
        <w:rPr>
          <w:spacing w:val="-6"/>
        </w:rPr>
        <w:t>for</w:t>
      </w:r>
      <w:r>
        <w:rPr>
          <w:spacing w:val="-11"/>
        </w:rPr>
        <w:t xml:space="preserve"> </w:t>
      </w:r>
      <w:r>
        <w:t>a</w:t>
      </w:r>
      <w:r>
        <w:rPr>
          <w:spacing w:val="-11"/>
        </w:rPr>
        <w:t xml:space="preserve"> </w:t>
      </w:r>
      <w:r>
        <w:rPr>
          <w:spacing w:val="-7"/>
        </w:rPr>
        <w:t xml:space="preserve">new </w:t>
      </w:r>
      <w:r>
        <w:rPr>
          <w:spacing w:val="-6"/>
        </w:rPr>
        <w:t xml:space="preserve">Chief </w:t>
      </w:r>
      <w:r>
        <w:rPr>
          <w:spacing w:val="-7"/>
        </w:rPr>
        <w:t xml:space="preserve">Executive Officer </w:t>
      </w:r>
      <w:r>
        <w:rPr>
          <w:spacing w:val="-4"/>
        </w:rPr>
        <w:t xml:space="preserve">of </w:t>
      </w:r>
      <w:r>
        <w:t xml:space="preserve">the THS </w:t>
      </w:r>
      <w:r>
        <w:rPr>
          <w:spacing w:val="-6"/>
        </w:rPr>
        <w:t xml:space="preserve">taking longer </w:t>
      </w:r>
      <w:r>
        <w:rPr>
          <w:spacing w:val="-7"/>
        </w:rPr>
        <w:t xml:space="preserve">than expected. </w:t>
      </w:r>
      <w:r>
        <w:rPr>
          <w:spacing w:val="-4"/>
        </w:rPr>
        <w:t xml:space="preserve">As </w:t>
      </w:r>
      <w:r>
        <w:t xml:space="preserve">a </w:t>
      </w:r>
      <w:r>
        <w:rPr>
          <w:spacing w:val="-6"/>
        </w:rPr>
        <w:t xml:space="preserve">result </w:t>
      </w:r>
      <w:r>
        <w:rPr>
          <w:spacing w:val="-4"/>
        </w:rPr>
        <w:t xml:space="preserve">an </w:t>
      </w:r>
      <w:r>
        <w:rPr>
          <w:spacing w:val="-6"/>
        </w:rPr>
        <w:t xml:space="preserve">Interim </w:t>
      </w:r>
      <w:r>
        <w:rPr>
          <w:spacing w:val="-5"/>
        </w:rPr>
        <w:t xml:space="preserve">CEO was </w:t>
      </w:r>
      <w:r>
        <w:rPr>
          <w:spacing w:val="-7"/>
        </w:rPr>
        <w:t xml:space="preserve">appointed </w:t>
      </w:r>
      <w:r>
        <w:rPr>
          <w:spacing w:val="-5"/>
        </w:rPr>
        <w:t xml:space="preserve">and led the </w:t>
      </w:r>
      <w:r>
        <w:rPr>
          <w:spacing w:val="-6"/>
        </w:rPr>
        <w:t xml:space="preserve">organisation for </w:t>
      </w:r>
      <w:r>
        <w:rPr>
          <w:spacing w:val="-5"/>
        </w:rPr>
        <w:t xml:space="preserve">its first </w:t>
      </w:r>
      <w:r>
        <w:t xml:space="preserve">7 </w:t>
      </w:r>
      <w:r>
        <w:rPr>
          <w:spacing w:val="-6"/>
        </w:rPr>
        <w:t xml:space="preserve">months </w:t>
      </w:r>
      <w:r>
        <w:rPr>
          <w:spacing w:val="-4"/>
        </w:rPr>
        <w:t xml:space="preserve">of </w:t>
      </w:r>
      <w:r>
        <w:rPr>
          <w:spacing w:val="-7"/>
        </w:rPr>
        <w:t xml:space="preserve">the </w:t>
      </w:r>
      <w:r>
        <w:rPr>
          <w:spacing w:val="-9"/>
        </w:rPr>
        <w:t xml:space="preserve">year. The </w:t>
      </w:r>
      <w:r>
        <w:rPr>
          <w:spacing w:val="-6"/>
        </w:rPr>
        <w:t xml:space="preserve">Interim </w:t>
      </w:r>
      <w:r>
        <w:rPr>
          <w:spacing w:val="-9"/>
        </w:rPr>
        <w:t xml:space="preserve">CEO, </w:t>
      </w:r>
      <w:r>
        <w:rPr>
          <w:spacing w:val="-4"/>
        </w:rPr>
        <w:t xml:space="preserve">Dr </w:t>
      </w:r>
      <w:r>
        <w:rPr>
          <w:spacing w:val="-6"/>
        </w:rPr>
        <w:t xml:space="preserve">Anne </w:t>
      </w:r>
      <w:r>
        <w:rPr>
          <w:spacing w:val="-5"/>
        </w:rPr>
        <w:t xml:space="preserve">Brand, had </w:t>
      </w:r>
      <w:r>
        <w:rPr>
          <w:spacing w:val="-7"/>
        </w:rPr>
        <w:t xml:space="preserve">previous management </w:t>
      </w:r>
      <w:r>
        <w:rPr>
          <w:spacing w:val="-6"/>
        </w:rPr>
        <w:t xml:space="preserve">experience </w:t>
      </w:r>
      <w:r>
        <w:rPr>
          <w:spacing w:val="-4"/>
        </w:rPr>
        <w:t xml:space="preserve">in </w:t>
      </w:r>
      <w:r>
        <w:rPr>
          <w:spacing w:val="-7"/>
        </w:rPr>
        <w:t>the Tasmanian</w:t>
      </w:r>
      <w:r>
        <w:rPr>
          <w:spacing w:val="-28"/>
        </w:rPr>
        <w:t xml:space="preserve"> </w:t>
      </w:r>
      <w:r>
        <w:rPr>
          <w:spacing w:val="-7"/>
        </w:rPr>
        <w:t xml:space="preserve">health </w:t>
      </w:r>
      <w:r>
        <w:rPr>
          <w:spacing w:val="-6"/>
        </w:rPr>
        <w:t xml:space="preserve">system </w:t>
      </w:r>
      <w:r>
        <w:rPr>
          <w:spacing w:val="-5"/>
        </w:rPr>
        <w:t xml:space="preserve">and she </w:t>
      </w:r>
      <w:r>
        <w:rPr>
          <w:spacing w:val="-4"/>
        </w:rPr>
        <w:t xml:space="preserve">is to be </w:t>
      </w:r>
      <w:r>
        <w:rPr>
          <w:spacing w:val="-7"/>
        </w:rPr>
        <w:t xml:space="preserve">thanked </w:t>
      </w:r>
      <w:r>
        <w:rPr>
          <w:spacing w:val="-6"/>
        </w:rPr>
        <w:t xml:space="preserve">for </w:t>
      </w:r>
      <w:r>
        <w:rPr>
          <w:spacing w:val="-5"/>
        </w:rPr>
        <w:t xml:space="preserve">her </w:t>
      </w:r>
      <w:r>
        <w:rPr>
          <w:spacing w:val="-6"/>
        </w:rPr>
        <w:t xml:space="preserve">calm </w:t>
      </w:r>
      <w:r>
        <w:rPr>
          <w:spacing w:val="-5"/>
        </w:rPr>
        <w:t xml:space="preserve">and </w:t>
      </w:r>
      <w:r>
        <w:rPr>
          <w:spacing w:val="-8"/>
        </w:rPr>
        <w:t xml:space="preserve">stable </w:t>
      </w:r>
      <w:r>
        <w:rPr>
          <w:spacing w:val="-6"/>
        </w:rPr>
        <w:t xml:space="preserve">leadership </w:t>
      </w:r>
      <w:r>
        <w:rPr>
          <w:spacing w:val="-4"/>
        </w:rPr>
        <w:t xml:space="preserve">in </w:t>
      </w:r>
      <w:r>
        <w:t xml:space="preserve">a </w:t>
      </w:r>
      <w:r>
        <w:rPr>
          <w:spacing w:val="-6"/>
        </w:rPr>
        <w:t xml:space="preserve">key </w:t>
      </w:r>
      <w:r>
        <w:rPr>
          <w:spacing w:val="-5"/>
        </w:rPr>
        <w:t xml:space="preserve">period </w:t>
      </w:r>
      <w:r>
        <w:rPr>
          <w:spacing w:val="-6"/>
        </w:rPr>
        <w:t xml:space="preserve">for </w:t>
      </w:r>
      <w:r>
        <w:rPr>
          <w:spacing w:val="-5"/>
        </w:rPr>
        <w:t xml:space="preserve">the </w:t>
      </w:r>
      <w:r>
        <w:rPr>
          <w:spacing w:val="-7"/>
        </w:rPr>
        <w:t xml:space="preserve">establishment </w:t>
      </w:r>
      <w:r>
        <w:rPr>
          <w:spacing w:val="-4"/>
        </w:rPr>
        <w:t xml:space="preserve">of </w:t>
      </w:r>
      <w:r>
        <w:rPr>
          <w:spacing w:val="-7"/>
        </w:rPr>
        <w:t xml:space="preserve">the </w:t>
      </w:r>
      <w:r>
        <w:rPr>
          <w:spacing w:val="-6"/>
        </w:rPr>
        <w:t xml:space="preserve">THS. </w:t>
      </w:r>
      <w:r>
        <w:rPr>
          <w:spacing w:val="-5"/>
        </w:rPr>
        <w:t xml:space="preserve">She </w:t>
      </w:r>
      <w:r>
        <w:rPr>
          <w:spacing w:val="-7"/>
        </w:rPr>
        <w:t xml:space="preserve">commenced </w:t>
      </w:r>
      <w:r>
        <w:rPr>
          <w:spacing w:val="-5"/>
        </w:rPr>
        <w:t xml:space="preserve">the </w:t>
      </w:r>
      <w:r>
        <w:rPr>
          <w:spacing w:val="-6"/>
        </w:rPr>
        <w:t xml:space="preserve">process </w:t>
      </w:r>
      <w:r>
        <w:rPr>
          <w:spacing w:val="-4"/>
        </w:rPr>
        <w:t xml:space="preserve">of </w:t>
      </w:r>
      <w:r>
        <w:rPr>
          <w:spacing w:val="-7"/>
        </w:rPr>
        <w:t xml:space="preserve">unifying regionally focussed </w:t>
      </w:r>
      <w:r>
        <w:rPr>
          <w:spacing w:val="-5"/>
        </w:rPr>
        <w:t xml:space="preserve">services </w:t>
      </w:r>
      <w:r>
        <w:rPr>
          <w:spacing w:val="-4"/>
        </w:rPr>
        <w:t xml:space="preserve">to </w:t>
      </w:r>
      <w:r>
        <w:rPr>
          <w:spacing w:val="-6"/>
        </w:rPr>
        <w:t xml:space="preserve">operate </w:t>
      </w:r>
      <w:r>
        <w:rPr>
          <w:spacing w:val="-4"/>
        </w:rPr>
        <w:t xml:space="preserve">as </w:t>
      </w:r>
      <w:r>
        <w:t xml:space="preserve">a </w:t>
      </w:r>
      <w:r>
        <w:rPr>
          <w:spacing w:val="-6"/>
        </w:rPr>
        <w:t xml:space="preserve">single </w:t>
      </w:r>
      <w:r>
        <w:rPr>
          <w:spacing w:val="-7"/>
        </w:rPr>
        <w:t xml:space="preserve">state-wide </w:t>
      </w:r>
      <w:r>
        <w:rPr>
          <w:spacing w:val="-6"/>
        </w:rPr>
        <w:t xml:space="preserve">health </w:t>
      </w:r>
      <w:r>
        <w:rPr>
          <w:spacing w:val="-5"/>
        </w:rPr>
        <w:t xml:space="preserve">service. The </w:t>
      </w:r>
      <w:r>
        <w:rPr>
          <w:spacing w:val="-7"/>
        </w:rPr>
        <w:t xml:space="preserve">appointment </w:t>
      </w:r>
      <w:r>
        <w:rPr>
          <w:spacing w:val="-4"/>
        </w:rPr>
        <w:t xml:space="preserve">of </w:t>
      </w:r>
      <w:r>
        <w:rPr>
          <w:spacing w:val="-5"/>
        </w:rPr>
        <w:t xml:space="preserve">the CEO </w:t>
      </w:r>
      <w:r>
        <w:rPr>
          <w:spacing w:val="-4"/>
        </w:rPr>
        <w:t xml:space="preserve">Dr </w:t>
      </w:r>
      <w:r>
        <w:rPr>
          <w:spacing w:val="-9"/>
        </w:rPr>
        <w:t xml:space="preserve">David </w:t>
      </w:r>
      <w:r>
        <w:rPr>
          <w:spacing w:val="-5"/>
        </w:rPr>
        <w:t xml:space="preserve">Alcorn </w:t>
      </w:r>
      <w:r>
        <w:rPr>
          <w:spacing w:val="-4"/>
        </w:rPr>
        <w:t xml:space="preserve">in February </w:t>
      </w:r>
      <w:r>
        <w:rPr>
          <w:spacing w:val="-6"/>
        </w:rPr>
        <w:t xml:space="preserve">2016 saw </w:t>
      </w:r>
      <w:r>
        <w:rPr>
          <w:spacing w:val="-5"/>
        </w:rPr>
        <w:t xml:space="preserve">the </w:t>
      </w:r>
      <w:r>
        <w:rPr>
          <w:spacing w:val="-7"/>
        </w:rPr>
        <w:t xml:space="preserve">commencement </w:t>
      </w:r>
      <w:r>
        <w:rPr>
          <w:spacing w:val="-4"/>
        </w:rPr>
        <w:t xml:space="preserve">of </w:t>
      </w:r>
      <w:r>
        <w:t xml:space="preserve">a </w:t>
      </w:r>
      <w:r>
        <w:rPr>
          <w:spacing w:val="-6"/>
        </w:rPr>
        <w:t xml:space="preserve">more </w:t>
      </w:r>
      <w:r>
        <w:rPr>
          <w:spacing w:val="-7"/>
        </w:rPr>
        <w:t xml:space="preserve">active </w:t>
      </w:r>
      <w:r>
        <w:rPr>
          <w:spacing w:val="-6"/>
        </w:rPr>
        <w:t xml:space="preserve">process </w:t>
      </w:r>
      <w:r>
        <w:rPr>
          <w:spacing w:val="-4"/>
        </w:rPr>
        <w:t xml:space="preserve">to </w:t>
      </w:r>
      <w:r>
        <w:rPr>
          <w:spacing w:val="-7"/>
        </w:rPr>
        <w:t xml:space="preserve">establish </w:t>
      </w:r>
      <w:r>
        <w:t xml:space="preserve">a </w:t>
      </w:r>
      <w:r>
        <w:rPr>
          <w:spacing w:val="-6"/>
        </w:rPr>
        <w:t xml:space="preserve">single health </w:t>
      </w:r>
      <w:r>
        <w:rPr>
          <w:spacing w:val="-5"/>
        </w:rPr>
        <w:t xml:space="preserve">service </w:t>
      </w:r>
      <w:r>
        <w:rPr>
          <w:spacing w:val="-6"/>
        </w:rPr>
        <w:t xml:space="preserve">for </w:t>
      </w:r>
      <w:r>
        <w:rPr>
          <w:spacing w:val="-10"/>
        </w:rPr>
        <w:t xml:space="preserve">Tasmania, </w:t>
      </w:r>
      <w:r>
        <w:rPr>
          <w:spacing w:val="-4"/>
        </w:rPr>
        <w:t xml:space="preserve">to </w:t>
      </w:r>
      <w:r>
        <w:rPr>
          <w:spacing w:val="-6"/>
        </w:rPr>
        <w:t xml:space="preserve">give </w:t>
      </w:r>
      <w:r>
        <w:rPr>
          <w:spacing w:val="-7"/>
        </w:rPr>
        <w:t xml:space="preserve">effect </w:t>
      </w:r>
      <w:r>
        <w:rPr>
          <w:spacing w:val="-4"/>
        </w:rPr>
        <w:t xml:space="preserve">to </w:t>
      </w:r>
      <w:r>
        <w:rPr>
          <w:spacing w:val="-5"/>
        </w:rPr>
        <w:t xml:space="preserve">the </w:t>
      </w:r>
      <w:r>
        <w:rPr>
          <w:spacing w:val="-6"/>
        </w:rPr>
        <w:t xml:space="preserve">vision </w:t>
      </w:r>
      <w:r>
        <w:rPr>
          <w:spacing w:val="-5"/>
        </w:rPr>
        <w:t xml:space="preserve">and </w:t>
      </w:r>
      <w:r>
        <w:rPr>
          <w:spacing w:val="-7"/>
        </w:rPr>
        <w:t xml:space="preserve">direction </w:t>
      </w:r>
      <w:r>
        <w:rPr>
          <w:spacing w:val="-4"/>
        </w:rPr>
        <w:t xml:space="preserve">of </w:t>
      </w:r>
      <w:r>
        <w:rPr>
          <w:spacing w:val="-5"/>
        </w:rPr>
        <w:t xml:space="preserve">the </w:t>
      </w:r>
      <w:r>
        <w:rPr>
          <w:spacing w:val="-8"/>
        </w:rPr>
        <w:t xml:space="preserve">Government’s </w:t>
      </w:r>
      <w:r>
        <w:rPr>
          <w:spacing w:val="-5"/>
        </w:rPr>
        <w:t xml:space="preserve">One State, One </w:t>
      </w:r>
      <w:r>
        <w:rPr>
          <w:spacing w:val="-6"/>
        </w:rPr>
        <w:t xml:space="preserve">Health </w:t>
      </w:r>
      <w:r>
        <w:rPr>
          <w:spacing w:val="-7"/>
        </w:rPr>
        <w:t xml:space="preserve">System, </w:t>
      </w:r>
      <w:proofErr w:type="gramStart"/>
      <w:r>
        <w:rPr>
          <w:spacing w:val="-6"/>
        </w:rPr>
        <w:t>Better</w:t>
      </w:r>
      <w:proofErr w:type="gramEnd"/>
      <w:r>
        <w:rPr>
          <w:spacing w:val="-13"/>
        </w:rPr>
        <w:t xml:space="preserve"> </w:t>
      </w:r>
      <w:r>
        <w:rPr>
          <w:spacing w:val="-6"/>
        </w:rPr>
        <w:t>Health</w:t>
      </w:r>
      <w:r>
        <w:rPr>
          <w:spacing w:val="-12"/>
        </w:rPr>
        <w:t xml:space="preserve"> </w:t>
      </w:r>
      <w:r>
        <w:rPr>
          <w:spacing w:val="-7"/>
        </w:rPr>
        <w:t>Outcomes</w:t>
      </w:r>
      <w:r>
        <w:rPr>
          <w:spacing w:val="-12"/>
        </w:rPr>
        <w:t xml:space="preserve"> </w:t>
      </w:r>
      <w:r>
        <w:rPr>
          <w:spacing w:val="-6"/>
        </w:rPr>
        <w:t>policy</w:t>
      </w:r>
      <w:r>
        <w:rPr>
          <w:spacing w:val="-13"/>
        </w:rPr>
        <w:t xml:space="preserve"> </w:t>
      </w:r>
      <w:r>
        <w:rPr>
          <w:spacing w:val="-4"/>
        </w:rPr>
        <w:t>as</w:t>
      </w:r>
      <w:r>
        <w:rPr>
          <w:spacing w:val="-13"/>
        </w:rPr>
        <w:t xml:space="preserve"> </w:t>
      </w:r>
      <w:r>
        <w:rPr>
          <w:spacing w:val="-5"/>
        </w:rPr>
        <w:t>set</w:t>
      </w:r>
      <w:r>
        <w:rPr>
          <w:spacing w:val="-13"/>
        </w:rPr>
        <w:t xml:space="preserve"> </w:t>
      </w:r>
      <w:r>
        <w:rPr>
          <w:spacing w:val="-5"/>
        </w:rPr>
        <w:t>out</w:t>
      </w:r>
      <w:r>
        <w:rPr>
          <w:spacing w:val="-13"/>
        </w:rPr>
        <w:t xml:space="preserve"> </w:t>
      </w:r>
      <w:r>
        <w:rPr>
          <w:spacing w:val="-4"/>
        </w:rPr>
        <w:t>in</w:t>
      </w:r>
      <w:r>
        <w:rPr>
          <w:spacing w:val="-13"/>
        </w:rPr>
        <w:t xml:space="preserve"> </w:t>
      </w:r>
      <w:r>
        <w:rPr>
          <w:spacing w:val="-5"/>
        </w:rPr>
        <w:t>the</w:t>
      </w:r>
      <w:r>
        <w:rPr>
          <w:spacing w:val="-36"/>
        </w:rPr>
        <w:t xml:space="preserve"> </w:t>
      </w:r>
      <w:r>
        <w:rPr>
          <w:spacing w:val="-7"/>
        </w:rPr>
        <w:t xml:space="preserve">White </w:t>
      </w:r>
      <w:r>
        <w:rPr>
          <w:spacing w:val="-10"/>
        </w:rPr>
        <w:t>Paper.</w:t>
      </w:r>
    </w:p>
    <w:p w:rsidR="00F36EB9" w:rsidRDefault="00F36EB9" w:rsidP="00F36EB9">
      <w:pPr>
        <w:pStyle w:val="BodyText"/>
        <w:spacing w:before="160" w:line="268" w:lineRule="auto"/>
        <w:ind w:right="419"/>
      </w:pPr>
      <w:r>
        <w:t xml:space="preserve">A </w:t>
      </w:r>
      <w:r>
        <w:rPr>
          <w:spacing w:val="-5"/>
        </w:rPr>
        <w:t xml:space="preserve">new </w:t>
      </w:r>
      <w:r>
        <w:rPr>
          <w:spacing w:val="-6"/>
        </w:rPr>
        <w:t xml:space="preserve">corporate </w:t>
      </w:r>
      <w:r>
        <w:rPr>
          <w:spacing w:val="-7"/>
        </w:rPr>
        <w:t xml:space="preserve">executive </w:t>
      </w:r>
      <w:r>
        <w:rPr>
          <w:spacing w:val="-6"/>
        </w:rPr>
        <w:t xml:space="preserve">structure for </w:t>
      </w:r>
      <w:r>
        <w:rPr>
          <w:spacing w:val="-7"/>
        </w:rPr>
        <w:t xml:space="preserve">the </w:t>
      </w:r>
      <w:r>
        <w:rPr>
          <w:spacing w:val="-6"/>
        </w:rPr>
        <w:t xml:space="preserve">organisation </w:t>
      </w:r>
      <w:r>
        <w:rPr>
          <w:spacing w:val="-5"/>
        </w:rPr>
        <w:t xml:space="preserve">was </w:t>
      </w:r>
      <w:r>
        <w:rPr>
          <w:spacing w:val="-7"/>
        </w:rPr>
        <w:t xml:space="preserve">developed </w:t>
      </w:r>
      <w:r>
        <w:rPr>
          <w:spacing w:val="-5"/>
        </w:rPr>
        <w:t xml:space="preserve">and </w:t>
      </w:r>
      <w:r>
        <w:rPr>
          <w:spacing w:val="-7"/>
        </w:rPr>
        <w:t xml:space="preserve">appointments to </w:t>
      </w:r>
      <w:r>
        <w:rPr>
          <w:spacing w:val="-5"/>
        </w:rPr>
        <w:t xml:space="preserve">the </w:t>
      </w:r>
      <w:r>
        <w:rPr>
          <w:spacing w:val="-8"/>
        </w:rPr>
        <w:t xml:space="preserve">Executive Team </w:t>
      </w:r>
      <w:r>
        <w:rPr>
          <w:spacing w:val="-5"/>
        </w:rPr>
        <w:t xml:space="preserve">are </w:t>
      </w:r>
      <w:r>
        <w:rPr>
          <w:spacing w:val="-7"/>
        </w:rPr>
        <w:t xml:space="preserve">progressively </w:t>
      </w:r>
      <w:r>
        <w:rPr>
          <w:spacing w:val="-6"/>
        </w:rPr>
        <w:t xml:space="preserve">being </w:t>
      </w:r>
      <w:r>
        <w:rPr>
          <w:spacing w:val="-5"/>
        </w:rPr>
        <w:t xml:space="preserve">made. Early </w:t>
      </w:r>
      <w:r>
        <w:rPr>
          <w:spacing w:val="-7"/>
        </w:rPr>
        <w:t xml:space="preserve">planning </w:t>
      </w:r>
      <w:r>
        <w:rPr>
          <w:spacing w:val="-6"/>
        </w:rPr>
        <w:t xml:space="preserve">for </w:t>
      </w:r>
      <w:r>
        <w:rPr>
          <w:spacing w:val="-5"/>
        </w:rPr>
        <w:t xml:space="preserve">the </w:t>
      </w:r>
      <w:r>
        <w:rPr>
          <w:spacing w:val="-6"/>
        </w:rPr>
        <w:t xml:space="preserve">organisation </w:t>
      </w:r>
      <w:r>
        <w:rPr>
          <w:spacing w:val="-5"/>
        </w:rPr>
        <w:t xml:space="preserve">and </w:t>
      </w:r>
      <w:r>
        <w:rPr>
          <w:spacing w:val="-8"/>
        </w:rPr>
        <w:t xml:space="preserve">establishment </w:t>
      </w:r>
      <w:r>
        <w:rPr>
          <w:spacing w:val="-4"/>
        </w:rPr>
        <w:t xml:space="preserve">of </w:t>
      </w:r>
      <w:r>
        <w:rPr>
          <w:spacing w:val="-7"/>
        </w:rPr>
        <w:t xml:space="preserve">state-wide clinical </w:t>
      </w:r>
      <w:r>
        <w:rPr>
          <w:spacing w:val="-5"/>
        </w:rPr>
        <w:t xml:space="preserve">services has </w:t>
      </w:r>
      <w:r>
        <w:rPr>
          <w:spacing w:val="-7"/>
        </w:rPr>
        <w:t xml:space="preserve">commenced. </w:t>
      </w:r>
      <w:r>
        <w:rPr>
          <w:spacing w:val="-6"/>
        </w:rPr>
        <w:t xml:space="preserve">Many </w:t>
      </w:r>
      <w:r>
        <w:rPr>
          <w:spacing w:val="-4"/>
        </w:rPr>
        <w:t xml:space="preserve">of </w:t>
      </w:r>
      <w:r>
        <w:rPr>
          <w:spacing w:val="-5"/>
        </w:rPr>
        <w:t xml:space="preserve">the </w:t>
      </w:r>
      <w:r>
        <w:rPr>
          <w:spacing w:val="-8"/>
        </w:rPr>
        <w:t xml:space="preserve">state’s </w:t>
      </w:r>
      <w:r>
        <w:rPr>
          <w:spacing w:val="-6"/>
        </w:rPr>
        <w:t xml:space="preserve">senior </w:t>
      </w:r>
      <w:r>
        <w:rPr>
          <w:spacing w:val="-7"/>
        </w:rPr>
        <w:t xml:space="preserve">clinicians </w:t>
      </w:r>
      <w:r>
        <w:rPr>
          <w:spacing w:val="-8"/>
        </w:rPr>
        <w:t xml:space="preserve">have </w:t>
      </w:r>
      <w:r>
        <w:rPr>
          <w:spacing w:val="-6"/>
        </w:rPr>
        <w:t xml:space="preserve">been </w:t>
      </w:r>
      <w:r>
        <w:rPr>
          <w:spacing w:val="-8"/>
        </w:rPr>
        <w:t xml:space="preserve">involved </w:t>
      </w:r>
      <w:r>
        <w:rPr>
          <w:spacing w:val="-7"/>
        </w:rPr>
        <w:t xml:space="preserve">in detailed planning </w:t>
      </w:r>
      <w:r>
        <w:rPr>
          <w:spacing w:val="-4"/>
        </w:rPr>
        <w:t xml:space="preserve">to </w:t>
      </w:r>
      <w:r>
        <w:rPr>
          <w:spacing w:val="-7"/>
        </w:rPr>
        <w:t xml:space="preserve">identify </w:t>
      </w:r>
      <w:r>
        <w:rPr>
          <w:spacing w:val="-5"/>
        </w:rPr>
        <w:t xml:space="preserve">the </w:t>
      </w:r>
      <w:r>
        <w:rPr>
          <w:spacing w:val="-6"/>
        </w:rPr>
        <w:t xml:space="preserve">changes </w:t>
      </w:r>
      <w:r>
        <w:rPr>
          <w:spacing w:val="-7"/>
        </w:rPr>
        <w:t xml:space="preserve">required to </w:t>
      </w:r>
      <w:r>
        <w:rPr>
          <w:spacing w:val="-6"/>
        </w:rPr>
        <w:t xml:space="preserve">give </w:t>
      </w:r>
      <w:r>
        <w:rPr>
          <w:spacing w:val="-7"/>
        </w:rPr>
        <w:t xml:space="preserve">effect </w:t>
      </w:r>
      <w:r>
        <w:rPr>
          <w:spacing w:val="-4"/>
        </w:rPr>
        <w:t xml:space="preserve">to </w:t>
      </w:r>
      <w:r>
        <w:rPr>
          <w:spacing w:val="-5"/>
        </w:rPr>
        <w:t xml:space="preserve">the </w:t>
      </w:r>
      <w:r>
        <w:rPr>
          <w:spacing w:val="-4"/>
        </w:rPr>
        <w:t xml:space="preserve">service </w:t>
      </w:r>
      <w:r>
        <w:rPr>
          <w:spacing w:val="-5"/>
        </w:rPr>
        <w:t xml:space="preserve">and </w:t>
      </w:r>
      <w:r>
        <w:rPr>
          <w:spacing w:val="-7"/>
        </w:rPr>
        <w:t xml:space="preserve">facility </w:t>
      </w:r>
      <w:r>
        <w:rPr>
          <w:spacing w:val="-6"/>
        </w:rPr>
        <w:t xml:space="preserve">role </w:t>
      </w:r>
      <w:r>
        <w:rPr>
          <w:spacing w:val="-7"/>
        </w:rPr>
        <w:t xml:space="preserve">delineation </w:t>
      </w:r>
      <w:r>
        <w:rPr>
          <w:spacing w:val="-8"/>
        </w:rPr>
        <w:t xml:space="preserve">for </w:t>
      </w:r>
      <w:r>
        <w:rPr>
          <w:spacing w:val="-5"/>
        </w:rPr>
        <w:t xml:space="preserve">the </w:t>
      </w:r>
      <w:r>
        <w:rPr>
          <w:spacing w:val="-6"/>
        </w:rPr>
        <w:t xml:space="preserve">major </w:t>
      </w:r>
      <w:r>
        <w:rPr>
          <w:spacing w:val="-7"/>
        </w:rPr>
        <w:t xml:space="preserve">hospitals </w:t>
      </w:r>
      <w:r>
        <w:rPr>
          <w:spacing w:val="-6"/>
        </w:rPr>
        <w:t xml:space="preserve">that </w:t>
      </w:r>
      <w:r>
        <w:rPr>
          <w:spacing w:val="-4"/>
        </w:rPr>
        <w:t xml:space="preserve">is </w:t>
      </w:r>
      <w:r>
        <w:rPr>
          <w:spacing w:val="-7"/>
        </w:rPr>
        <w:t xml:space="preserve">outlined </w:t>
      </w:r>
      <w:r>
        <w:rPr>
          <w:spacing w:val="-4"/>
        </w:rPr>
        <w:t xml:space="preserve">in </w:t>
      </w:r>
      <w:r>
        <w:rPr>
          <w:spacing w:val="-5"/>
        </w:rPr>
        <w:t xml:space="preserve">the </w:t>
      </w:r>
      <w:r>
        <w:rPr>
          <w:spacing w:val="-6"/>
        </w:rPr>
        <w:t xml:space="preserve">White </w:t>
      </w:r>
      <w:r>
        <w:rPr>
          <w:spacing w:val="-10"/>
        </w:rPr>
        <w:t xml:space="preserve">Paper. </w:t>
      </w:r>
      <w:r>
        <w:rPr>
          <w:spacing w:val="-6"/>
        </w:rPr>
        <w:t xml:space="preserve">Those </w:t>
      </w:r>
      <w:r>
        <w:rPr>
          <w:spacing w:val="-7"/>
        </w:rPr>
        <w:t xml:space="preserve">clinicians </w:t>
      </w:r>
      <w:r>
        <w:rPr>
          <w:spacing w:val="-5"/>
        </w:rPr>
        <w:t xml:space="preserve">are </w:t>
      </w:r>
      <w:r>
        <w:rPr>
          <w:spacing w:val="-4"/>
        </w:rPr>
        <w:t xml:space="preserve">to be </w:t>
      </w:r>
      <w:r>
        <w:rPr>
          <w:spacing w:val="-7"/>
        </w:rPr>
        <w:t xml:space="preserve">commended </w:t>
      </w:r>
      <w:r>
        <w:rPr>
          <w:spacing w:val="-6"/>
        </w:rPr>
        <w:t xml:space="preserve">for </w:t>
      </w:r>
      <w:r>
        <w:rPr>
          <w:spacing w:val="-5"/>
        </w:rPr>
        <w:t xml:space="preserve">the </w:t>
      </w:r>
      <w:r>
        <w:rPr>
          <w:spacing w:val="-7"/>
        </w:rPr>
        <w:t xml:space="preserve">time </w:t>
      </w:r>
      <w:r>
        <w:rPr>
          <w:spacing w:val="-5"/>
        </w:rPr>
        <w:t xml:space="preserve">and </w:t>
      </w:r>
      <w:r>
        <w:rPr>
          <w:spacing w:val="-7"/>
        </w:rPr>
        <w:t xml:space="preserve">commitment </w:t>
      </w:r>
      <w:r>
        <w:rPr>
          <w:spacing w:val="-6"/>
        </w:rPr>
        <w:t xml:space="preserve">that they </w:t>
      </w:r>
      <w:r>
        <w:rPr>
          <w:spacing w:val="-8"/>
        </w:rPr>
        <w:t xml:space="preserve">have </w:t>
      </w:r>
      <w:r>
        <w:rPr>
          <w:spacing w:val="-7"/>
        </w:rPr>
        <w:t xml:space="preserve">given </w:t>
      </w:r>
      <w:r>
        <w:rPr>
          <w:spacing w:val="-4"/>
        </w:rPr>
        <w:t xml:space="preserve">to </w:t>
      </w:r>
      <w:r>
        <w:rPr>
          <w:spacing w:val="-5"/>
        </w:rPr>
        <w:t xml:space="preserve">the </w:t>
      </w:r>
      <w:r>
        <w:rPr>
          <w:spacing w:val="-7"/>
        </w:rPr>
        <w:t xml:space="preserve">detailed planning processes, </w:t>
      </w:r>
      <w:r>
        <w:rPr>
          <w:spacing w:val="-6"/>
        </w:rPr>
        <w:t xml:space="preserve">while </w:t>
      </w:r>
      <w:r>
        <w:rPr>
          <w:spacing w:val="-7"/>
        </w:rPr>
        <w:t xml:space="preserve">continuing </w:t>
      </w:r>
      <w:r>
        <w:rPr>
          <w:spacing w:val="-4"/>
        </w:rPr>
        <w:t xml:space="preserve">to </w:t>
      </w:r>
      <w:r>
        <w:rPr>
          <w:spacing w:val="-6"/>
        </w:rPr>
        <w:t xml:space="preserve">discharge </w:t>
      </w:r>
      <w:r>
        <w:rPr>
          <w:spacing w:val="-7"/>
        </w:rPr>
        <w:t>their clinical responsibilities.</w:t>
      </w:r>
    </w:p>
    <w:p w:rsidR="00F36EB9" w:rsidRDefault="00F36EB9" w:rsidP="00F36EB9">
      <w:pPr>
        <w:pStyle w:val="BodyText"/>
        <w:spacing w:before="160" w:line="268" w:lineRule="auto"/>
        <w:ind w:right="55"/>
      </w:pPr>
      <w:r>
        <w:rPr>
          <w:spacing w:val="-4"/>
        </w:rPr>
        <w:t xml:space="preserve">It is </w:t>
      </w:r>
      <w:r>
        <w:rPr>
          <w:spacing w:val="-6"/>
        </w:rPr>
        <w:t xml:space="preserve">also </w:t>
      </w:r>
      <w:r>
        <w:rPr>
          <w:spacing w:val="-7"/>
        </w:rPr>
        <w:t xml:space="preserve">pleasing </w:t>
      </w:r>
      <w:r>
        <w:rPr>
          <w:spacing w:val="-4"/>
        </w:rPr>
        <w:t xml:space="preserve">to </w:t>
      </w:r>
      <w:r>
        <w:rPr>
          <w:spacing w:val="-5"/>
        </w:rPr>
        <w:t xml:space="preserve">note, and </w:t>
      </w:r>
      <w:r>
        <w:rPr>
          <w:spacing w:val="-4"/>
        </w:rPr>
        <w:t xml:space="preserve">further to </w:t>
      </w:r>
      <w:r>
        <w:rPr>
          <w:spacing w:val="-5"/>
        </w:rPr>
        <w:t xml:space="preserve">the </w:t>
      </w:r>
      <w:r>
        <w:rPr>
          <w:spacing w:val="-6"/>
        </w:rPr>
        <w:t xml:space="preserve">credit </w:t>
      </w:r>
      <w:r>
        <w:rPr>
          <w:spacing w:val="-7"/>
        </w:rPr>
        <w:t xml:space="preserve">of </w:t>
      </w:r>
      <w:r>
        <w:t xml:space="preserve">the THS </w:t>
      </w:r>
      <w:r>
        <w:rPr>
          <w:spacing w:val="-6"/>
        </w:rPr>
        <w:t xml:space="preserve">staff, that </w:t>
      </w:r>
      <w:r>
        <w:rPr>
          <w:spacing w:val="-5"/>
        </w:rPr>
        <w:t xml:space="preserve">all the </w:t>
      </w:r>
      <w:r>
        <w:rPr>
          <w:spacing w:val="-7"/>
        </w:rPr>
        <w:t xml:space="preserve">facilities </w:t>
      </w:r>
      <w:r>
        <w:rPr>
          <w:spacing w:val="-6"/>
        </w:rPr>
        <w:t xml:space="preserve">that were </w:t>
      </w:r>
      <w:r>
        <w:rPr>
          <w:spacing w:val="-7"/>
        </w:rPr>
        <w:t xml:space="preserve">required to achieve accreditation </w:t>
      </w:r>
      <w:r>
        <w:rPr>
          <w:spacing w:val="-6"/>
        </w:rPr>
        <w:t xml:space="preserve">against </w:t>
      </w:r>
      <w:r>
        <w:rPr>
          <w:spacing w:val="-5"/>
        </w:rPr>
        <w:t xml:space="preserve">the </w:t>
      </w:r>
      <w:r>
        <w:rPr>
          <w:spacing w:val="-7"/>
        </w:rPr>
        <w:t xml:space="preserve">national </w:t>
      </w:r>
      <w:r>
        <w:rPr>
          <w:spacing w:val="-6"/>
        </w:rPr>
        <w:t xml:space="preserve">health </w:t>
      </w:r>
      <w:r>
        <w:rPr>
          <w:spacing w:val="-5"/>
        </w:rPr>
        <w:t xml:space="preserve">service </w:t>
      </w:r>
      <w:r>
        <w:rPr>
          <w:spacing w:val="-7"/>
        </w:rPr>
        <w:t xml:space="preserve">standards, </w:t>
      </w:r>
      <w:r>
        <w:rPr>
          <w:spacing w:val="-6"/>
        </w:rPr>
        <w:t xml:space="preserve">were </w:t>
      </w:r>
      <w:r>
        <w:rPr>
          <w:spacing w:val="-7"/>
        </w:rPr>
        <w:t xml:space="preserve">successful </w:t>
      </w:r>
      <w:r>
        <w:rPr>
          <w:spacing w:val="-4"/>
        </w:rPr>
        <w:t xml:space="preserve">in </w:t>
      </w:r>
      <w:r>
        <w:rPr>
          <w:spacing w:val="-6"/>
        </w:rPr>
        <w:t xml:space="preserve">that regard </w:t>
      </w:r>
      <w:r>
        <w:rPr>
          <w:spacing w:val="-4"/>
        </w:rPr>
        <w:t xml:space="preserve">in </w:t>
      </w:r>
      <w:r>
        <w:rPr>
          <w:spacing w:val="-5"/>
        </w:rPr>
        <w:t xml:space="preserve">the </w:t>
      </w:r>
      <w:r>
        <w:rPr>
          <w:spacing w:val="-6"/>
        </w:rPr>
        <w:t>past</w:t>
      </w:r>
      <w:r>
        <w:rPr>
          <w:spacing w:val="-11"/>
        </w:rPr>
        <w:t xml:space="preserve"> year.</w:t>
      </w:r>
    </w:p>
    <w:p w:rsidR="00F36EB9" w:rsidRDefault="00F36EB9" w:rsidP="00F36EB9">
      <w:pPr>
        <w:pStyle w:val="BodyText"/>
        <w:spacing w:before="160" w:line="268" w:lineRule="auto"/>
        <w:ind w:right="257"/>
      </w:pPr>
      <w:r>
        <w:rPr>
          <w:spacing w:val="-5"/>
        </w:rPr>
        <w:t xml:space="preserve">The </w:t>
      </w:r>
      <w:r>
        <w:rPr>
          <w:spacing w:val="-7"/>
        </w:rPr>
        <w:t xml:space="preserve">governance responsibilities </w:t>
      </w:r>
      <w:r>
        <w:rPr>
          <w:spacing w:val="-6"/>
        </w:rPr>
        <w:t xml:space="preserve">for </w:t>
      </w:r>
      <w:r>
        <w:t>the THS</w:t>
      </w:r>
      <w:r>
        <w:rPr>
          <w:spacing w:val="-45"/>
        </w:rPr>
        <w:t xml:space="preserve"> </w:t>
      </w:r>
      <w:r>
        <w:rPr>
          <w:spacing w:val="-8"/>
        </w:rPr>
        <w:t xml:space="preserve">have </w:t>
      </w:r>
      <w:r>
        <w:rPr>
          <w:spacing w:val="-7"/>
        </w:rPr>
        <w:t xml:space="preserve">been </w:t>
      </w:r>
      <w:r>
        <w:rPr>
          <w:spacing w:val="-6"/>
        </w:rPr>
        <w:t xml:space="preserve">discharged </w:t>
      </w:r>
      <w:r>
        <w:rPr>
          <w:spacing w:val="-5"/>
        </w:rPr>
        <w:t xml:space="preserve">by the </w:t>
      </w:r>
      <w:r>
        <w:rPr>
          <w:spacing w:val="-7"/>
        </w:rPr>
        <w:t xml:space="preserve">Governing </w:t>
      </w:r>
      <w:r>
        <w:rPr>
          <w:spacing w:val="-6"/>
        </w:rPr>
        <w:t xml:space="preserve">Council </w:t>
      </w:r>
      <w:r>
        <w:rPr>
          <w:spacing w:val="-7"/>
        </w:rPr>
        <w:t xml:space="preserve">collectively and </w:t>
      </w:r>
      <w:r>
        <w:rPr>
          <w:spacing w:val="-6"/>
        </w:rPr>
        <w:t xml:space="preserve">through four </w:t>
      </w:r>
      <w:r>
        <w:rPr>
          <w:spacing w:val="-7"/>
        </w:rPr>
        <w:t xml:space="preserve">sub-committees. The sub-committees provide governance </w:t>
      </w:r>
      <w:r>
        <w:rPr>
          <w:spacing w:val="-6"/>
        </w:rPr>
        <w:t xml:space="preserve">oversight </w:t>
      </w:r>
      <w:r>
        <w:rPr>
          <w:spacing w:val="-4"/>
        </w:rPr>
        <w:t xml:space="preserve">on </w:t>
      </w:r>
      <w:r>
        <w:rPr>
          <w:spacing w:val="-5"/>
        </w:rPr>
        <w:t xml:space="preserve">the </w:t>
      </w:r>
      <w:r>
        <w:rPr>
          <w:spacing w:val="-6"/>
        </w:rPr>
        <w:t xml:space="preserve">areas </w:t>
      </w:r>
      <w:r>
        <w:rPr>
          <w:spacing w:val="-4"/>
        </w:rPr>
        <w:t xml:space="preserve">of </w:t>
      </w:r>
      <w:r>
        <w:rPr>
          <w:spacing w:val="-7"/>
        </w:rPr>
        <w:t xml:space="preserve">audit </w:t>
      </w:r>
      <w:r>
        <w:rPr>
          <w:spacing w:val="-5"/>
        </w:rPr>
        <w:t xml:space="preserve">and risk, </w:t>
      </w:r>
      <w:r>
        <w:rPr>
          <w:spacing w:val="-7"/>
        </w:rPr>
        <w:t xml:space="preserve">safety </w:t>
      </w:r>
      <w:r>
        <w:rPr>
          <w:spacing w:val="-5"/>
        </w:rPr>
        <w:t xml:space="preserve">and </w:t>
      </w:r>
      <w:r>
        <w:rPr>
          <w:spacing w:val="-9"/>
        </w:rPr>
        <w:t xml:space="preserve">quality, </w:t>
      </w:r>
      <w:r>
        <w:rPr>
          <w:spacing w:val="-7"/>
        </w:rPr>
        <w:t xml:space="preserve">financial management and performance </w:t>
      </w:r>
      <w:r>
        <w:rPr>
          <w:spacing w:val="-5"/>
        </w:rPr>
        <w:t xml:space="preserve">and THS </w:t>
      </w:r>
      <w:r>
        <w:rPr>
          <w:spacing w:val="-7"/>
        </w:rPr>
        <w:t xml:space="preserve">relationships </w:t>
      </w:r>
      <w:r>
        <w:rPr>
          <w:spacing w:val="-6"/>
        </w:rPr>
        <w:t xml:space="preserve">with key </w:t>
      </w:r>
      <w:r>
        <w:rPr>
          <w:spacing w:val="-3"/>
        </w:rPr>
        <w:t xml:space="preserve">partners </w:t>
      </w:r>
      <w:r>
        <w:rPr>
          <w:spacing w:val="-4"/>
        </w:rPr>
        <w:t xml:space="preserve">in </w:t>
      </w:r>
      <w:r>
        <w:rPr>
          <w:spacing w:val="-5"/>
        </w:rPr>
        <w:t xml:space="preserve">the </w:t>
      </w:r>
      <w:r>
        <w:rPr>
          <w:spacing w:val="-4"/>
        </w:rPr>
        <w:t xml:space="preserve">primary </w:t>
      </w:r>
      <w:r>
        <w:rPr>
          <w:spacing w:val="-6"/>
        </w:rPr>
        <w:t xml:space="preserve">health </w:t>
      </w:r>
      <w:r>
        <w:rPr>
          <w:spacing w:val="-5"/>
        </w:rPr>
        <w:t xml:space="preserve">and </w:t>
      </w:r>
      <w:r>
        <w:rPr>
          <w:spacing w:val="-6"/>
        </w:rPr>
        <w:t xml:space="preserve">university </w:t>
      </w:r>
      <w:r>
        <w:rPr>
          <w:spacing w:val="-5"/>
        </w:rPr>
        <w:t xml:space="preserve">sectors and </w:t>
      </w:r>
      <w:r>
        <w:rPr>
          <w:spacing w:val="-7"/>
        </w:rPr>
        <w:t xml:space="preserve">with </w:t>
      </w:r>
      <w:r>
        <w:rPr>
          <w:spacing w:val="-6"/>
        </w:rPr>
        <w:t>consumers.</w:t>
      </w:r>
      <w:r>
        <w:rPr>
          <w:spacing w:val="-30"/>
        </w:rPr>
        <w:t xml:space="preserve"> </w:t>
      </w:r>
      <w:r>
        <w:rPr>
          <w:spacing w:val="-5"/>
        </w:rPr>
        <w:t>Members</w:t>
      </w:r>
      <w:r>
        <w:rPr>
          <w:spacing w:val="-12"/>
        </w:rPr>
        <w:t xml:space="preserve"> </w:t>
      </w:r>
      <w:r>
        <w:rPr>
          <w:spacing w:val="-4"/>
        </w:rPr>
        <w:t>of</w:t>
      </w:r>
      <w:r>
        <w:rPr>
          <w:spacing w:val="-12"/>
        </w:rPr>
        <w:t xml:space="preserve"> </w:t>
      </w:r>
      <w:r>
        <w:rPr>
          <w:spacing w:val="-5"/>
        </w:rPr>
        <w:t>the</w:t>
      </w:r>
      <w:r>
        <w:rPr>
          <w:spacing w:val="-12"/>
        </w:rPr>
        <w:t xml:space="preserve"> </w:t>
      </w:r>
      <w:r>
        <w:rPr>
          <w:spacing w:val="-7"/>
        </w:rPr>
        <w:t>Governing</w:t>
      </w:r>
      <w:r>
        <w:rPr>
          <w:spacing w:val="-11"/>
        </w:rPr>
        <w:t xml:space="preserve"> </w:t>
      </w:r>
      <w:r>
        <w:rPr>
          <w:spacing w:val="-6"/>
        </w:rPr>
        <w:t>Council</w:t>
      </w:r>
      <w:r>
        <w:rPr>
          <w:spacing w:val="-12"/>
        </w:rPr>
        <w:t xml:space="preserve"> </w:t>
      </w:r>
      <w:r>
        <w:rPr>
          <w:spacing w:val="-5"/>
        </w:rPr>
        <w:t>are</w:t>
      </w:r>
      <w:r>
        <w:rPr>
          <w:spacing w:val="-12"/>
        </w:rPr>
        <w:t xml:space="preserve"> </w:t>
      </w:r>
      <w:r>
        <w:rPr>
          <w:spacing w:val="-7"/>
        </w:rPr>
        <w:t xml:space="preserve">to </w:t>
      </w:r>
      <w:r>
        <w:rPr>
          <w:spacing w:val="-4"/>
        </w:rPr>
        <w:t xml:space="preserve">be </w:t>
      </w:r>
      <w:r>
        <w:rPr>
          <w:spacing w:val="-7"/>
        </w:rPr>
        <w:t xml:space="preserve">commended </w:t>
      </w:r>
      <w:r>
        <w:rPr>
          <w:spacing w:val="-6"/>
        </w:rPr>
        <w:t xml:space="preserve">for </w:t>
      </w:r>
      <w:r>
        <w:rPr>
          <w:spacing w:val="-5"/>
        </w:rPr>
        <w:t xml:space="preserve">the </w:t>
      </w:r>
      <w:r>
        <w:rPr>
          <w:spacing w:val="-7"/>
        </w:rPr>
        <w:t xml:space="preserve">diligence </w:t>
      </w:r>
      <w:r>
        <w:rPr>
          <w:spacing w:val="-5"/>
        </w:rPr>
        <w:t xml:space="preserve">and </w:t>
      </w:r>
      <w:r>
        <w:rPr>
          <w:spacing w:val="-7"/>
        </w:rPr>
        <w:t xml:space="preserve">commitment to </w:t>
      </w:r>
      <w:r>
        <w:rPr>
          <w:spacing w:val="-6"/>
        </w:rPr>
        <w:t>their</w:t>
      </w:r>
      <w:r>
        <w:rPr>
          <w:spacing w:val="-12"/>
        </w:rPr>
        <w:t xml:space="preserve"> </w:t>
      </w:r>
      <w:r>
        <w:rPr>
          <w:spacing w:val="-7"/>
        </w:rPr>
        <w:t>responsibilities.</w:t>
      </w:r>
    </w:p>
    <w:p w:rsidR="00F36EB9" w:rsidRDefault="00F36EB9" w:rsidP="00F36EB9">
      <w:pPr>
        <w:pStyle w:val="BodyText"/>
        <w:spacing w:before="160" w:line="268" w:lineRule="auto"/>
        <w:ind w:right="55"/>
      </w:pPr>
      <w:r>
        <w:rPr>
          <w:spacing w:val="-4"/>
        </w:rPr>
        <w:t xml:space="preserve">As </w:t>
      </w:r>
      <w:r>
        <w:rPr>
          <w:spacing w:val="-5"/>
        </w:rPr>
        <w:t xml:space="preserve">the </w:t>
      </w:r>
      <w:r>
        <w:rPr>
          <w:spacing w:val="-6"/>
        </w:rPr>
        <w:t xml:space="preserve">single </w:t>
      </w:r>
      <w:r>
        <w:rPr>
          <w:spacing w:val="-5"/>
        </w:rPr>
        <w:t xml:space="preserve">THS </w:t>
      </w:r>
      <w:r>
        <w:rPr>
          <w:spacing w:val="-7"/>
        </w:rPr>
        <w:t xml:space="preserve">continues </w:t>
      </w:r>
      <w:r>
        <w:rPr>
          <w:spacing w:val="-4"/>
        </w:rPr>
        <w:t xml:space="preserve">to </w:t>
      </w:r>
      <w:r>
        <w:rPr>
          <w:spacing w:val="-7"/>
        </w:rPr>
        <w:t xml:space="preserve">develop </w:t>
      </w:r>
      <w:r>
        <w:rPr>
          <w:spacing w:val="-4"/>
        </w:rPr>
        <w:t xml:space="preserve">in </w:t>
      </w:r>
      <w:r>
        <w:rPr>
          <w:spacing w:val="-7"/>
        </w:rPr>
        <w:t xml:space="preserve">accordance </w:t>
      </w:r>
      <w:r>
        <w:rPr>
          <w:spacing w:val="-6"/>
        </w:rPr>
        <w:t xml:space="preserve">with </w:t>
      </w:r>
      <w:r>
        <w:rPr>
          <w:spacing w:val="-5"/>
        </w:rPr>
        <w:t xml:space="preserve">the </w:t>
      </w:r>
      <w:r>
        <w:rPr>
          <w:spacing w:val="-8"/>
        </w:rPr>
        <w:t xml:space="preserve">Government’s </w:t>
      </w:r>
      <w:r>
        <w:rPr>
          <w:spacing w:val="-5"/>
        </w:rPr>
        <w:t xml:space="preserve">One State, One </w:t>
      </w:r>
      <w:r>
        <w:rPr>
          <w:spacing w:val="-6"/>
        </w:rPr>
        <w:t xml:space="preserve">Health </w:t>
      </w:r>
      <w:r>
        <w:rPr>
          <w:spacing w:val="-7"/>
        </w:rPr>
        <w:t xml:space="preserve">System, </w:t>
      </w:r>
      <w:r>
        <w:rPr>
          <w:spacing w:val="-6"/>
        </w:rPr>
        <w:t xml:space="preserve">Better Health </w:t>
      </w:r>
      <w:r>
        <w:rPr>
          <w:spacing w:val="-7"/>
        </w:rPr>
        <w:t xml:space="preserve">Outcomes </w:t>
      </w:r>
      <w:r>
        <w:rPr>
          <w:spacing w:val="-9"/>
        </w:rPr>
        <w:t xml:space="preserve">policy, </w:t>
      </w:r>
      <w:r>
        <w:rPr>
          <w:spacing w:val="-6"/>
        </w:rPr>
        <w:t xml:space="preserve">there will </w:t>
      </w:r>
      <w:r>
        <w:rPr>
          <w:spacing w:val="-4"/>
        </w:rPr>
        <w:t xml:space="preserve">be </w:t>
      </w:r>
      <w:r>
        <w:rPr>
          <w:spacing w:val="-7"/>
        </w:rPr>
        <w:t xml:space="preserve">progressive </w:t>
      </w:r>
      <w:r>
        <w:rPr>
          <w:spacing w:val="-6"/>
        </w:rPr>
        <w:t xml:space="preserve">changes </w:t>
      </w:r>
      <w:r>
        <w:rPr>
          <w:spacing w:val="-4"/>
        </w:rPr>
        <w:t xml:space="preserve">in </w:t>
      </w:r>
      <w:r>
        <w:rPr>
          <w:spacing w:val="-5"/>
        </w:rPr>
        <w:t xml:space="preserve">the </w:t>
      </w:r>
      <w:r>
        <w:rPr>
          <w:spacing w:val="-6"/>
        </w:rPr>
        <w:t xml:space="preserve">organisation </w:t>
      </w:r>
      <w:r>
        <w:rPr>
          <w:spacing w:val="-5"/>
        </w:rPr>
        <w:t xml:space="preserve">and delivery </w:t>
      </w:r>
      <w:r>
        <w:rPr>
          <w:spacing w:val="-4"/>
        </w:rPr>
        <w:t xml:space="preserve">of </w:t>
      </w:r>
      <w:r>
        <w:rPr>
          <w:spacing w:val="-7"/>
        </w:rPr>
        <w:t xml:space="preserve">health </w:t>
      </w:r>
      <w:r>
        <w:rPr>
          <w:spacing w:val="-5"/>
        </w:rPr>
        <w:t xml:space="preserve">services </w:t>
      </w:r>
      <w:r>
        <w:rPr>
          <w:spacing w:val="-6"/>
        </w:rPr>
        <w:t xml:space="preserve">around </w:t>
      </w:r>
      <w:r>
        <w:rPr>
          <w:spacing w:val="-5"/>
        </w:rPr>
        <w:t>the state.</w:t>
      </w:r>
    </w:p>
    <w:p w:rsidR="00F36EB9" w:rsidRDefault="00F36EB9" w:rsidP="007651A3">
      <w:r w:rsidRPr="007651A3">
        <w:rPr>
          <w:b/>
        </w:rPr>
        <w:t>John Ramsay</w:t>
      </w:r>
      <w:r w:rsidR="007651A3" w:rsidRPr="007651A3">
        <w:rPr>
          <w:b/>
        </w:rPr>
        <w:br/>
      </w:r>
      <w:r>
        <w:t>Chair</w:t>
      </w:r>
    </w:p>
    <w:p w:rsidR="007651A3" w:rsidRDefault="007651A3" w:rsidP="007651A3">
      <w:pPr>
        <w:sectPr w:rsidR="007651A3" w:rsidSect="00025D0E">
          <w:pgSz w:w="11906" w:h="16838"/>
          <w:pgMar w:top="1440" w:right="707" w:bottom="1440" w:left="1134" w:header="708" w:footer="708" w:gutter="0"/>
          <w:cols w:space="708"/>
          <w:docGrid w:linePitch="360"/>
        </w:sectPr>
      </w:pPr>
    </w:p>
    <w:p w:rsidR="007651A3" w:rsidRDefault="007651A3" w:rsidP="007651A3">
      <w:pPr>
        <w:pStyle w:val="Heading3"/>
      </w:pPr>
      <w:bookmarkStart w:id="10" w:name="_Toc472581950"/>
      <w:r>
        <w:lastRenderedPageBreak/>
        <w:t>Governing Council Members</w:t>
      </w:r>
      <w:bookmarkEnd w:id="10"/>
    </w:p>
    <w:p w:rsidR="007651A3" w:rsidRDefault="007651A3" w:rsidP="007651A3">
      <w:pPr>
        <w:pStyle w:val="BodyText"/>
      </w:pPr>
    </w:p>
    <w:p w:rsidR="007651A3" w:rsidRPr="00E730AE" w:rsidRDefault="007651A3" w:rsidP="007651A3">
      <w:pPr>
        <w:pStyle w:val="BodyText"/>
      </w:pPr>
      <w:r w:rsidRPr="00E730AE">
        <w:rPr>
          <w:rStyle w:val="Heading4Char"/>
        </w:rPr>
        <w:t>Dr Emil Djakic</w:t>
      </w:r>
      <w:r>
        <w:t xml:space="preserve"> </w:t>
      </w:r>
      <w:r w:rsidR="00E730AE">
        <w:br/>
      </w:r>
      <w:r>
        <w:t>F</w:t>
      </w:r>
      <w:r w:rsidRPr="00E730AE">
        <w:rPr>
          <w:i/>
        </w:rPr>
        <w:t>RACGP BMed MBBS DipObs Dip Anaesthetics GAICD</w:t>
      </w:r>
    </w:p>
    <w:p w:rsidR="007651A3" w:rsidRDefault="007651A3" w:rsidP="007651A3">
      <w:pPr>
        <w:pStyle w:val="BodyText"/>
        <w:rPr>
          <w:spacing w:val="-3"/>
        </w:rPr>
      </w:pPr>
      <w:r>
        <w:t xml:space="preserve">Dr Emil Djakic was born in Launceston and has been a Principal GP in </w:t>
      </w:r>
      <w:r>
        <w:rPr>
          <w:spacing w:val="-3"/>
        </w:rPr>
        <w:t xml:space="preserve">Ulverstone for </w:t>
      </w:r>
      <w:r>
        <w:t xml:space="preserve">the </w:t>
      </w:r>
      <w:r>
        <w:rPr>
          <w:spacing w:val="-3"/>
        </w:rPr>
        <w:t xml:space="preserve">past </w:t>
      </w:r>
      <w:r>
        <w:t xml:space="preserve">20 years. He </w:t>
      </w:r>
      <w:r>
        <w:rPr>
          <w:spacing w:val="-3"/>
        </w:rPr>
        <w:t xml:space="preserve">was </w:t>
      </w:r>
      <w:r>
        <w:t xml:space="preserve">the Chairman of the </w:t>
      </w:r>
      <w:r>
        <w:rPr>
          <w:spacing w:val="-3"/>
        </w:rPr>
        <w:t xml:space="preserve">Australian </w:t>
      </w:r>
      <w:r>
        <w:t xml:space="preserve">General </w:t>
      </w:r>
      <w:r>
        <w:rPr>
          <w:spacing w:val="-3"/>
        </w:rPr>
        <w:t xml:space="preserve">Practice </w:t>
      </w:r>
      <w:r>
        <w:t xml:space="preserve">Network </w:t>
      </w:r>
      <w:r>
        <w:rPr>
          <w:spacing w:val="-3"/>
        </w:rPr>
        <w:t xml:space="preserve">for four </w:t>
      </w:r>
      <w:r>
        <w:t xml:space="preserve">years and was </w:t>
      </w:r>
      <w:r>
        <w:rPr>
          <w:spacing w:val="-3"/>
        </w:rPr>
        <w:t xml:space="preserve">previously </w:t>
      </w:r>
      <w:r>
        <w:t xml:space="preserve">a </w:t>
      </w:r>
      <w:r>
        <w:rPr>
          <w:spacing w:val="-3"/>
        </w:rPr>
        <w:t xml:space="preserve">member </w:t>
      </w:r>
      <w:r>
        <w:t xml:space="preserve">of the </w:t>
      </w:r>
      <w:r>
        <w:rPr>
          <w:spacing w:val="-6"/>
        </w:rPr>
        <w:t xml:space="preserve">Tasmanian </w:t>
      </w:r>
      <w:r>
        <w:rPr>
          <w:spacing w:val="-3"/>
        </w:rPr>
        <w:t xml:space="preserve">Health Organisation </w:t>
      </w:r>
      <w:r>
        <w:t xml:space="preserve">North </w:t>
      </w:r>
      <w:r>
        <w:rPr>
          <w:spacing w:val="-6"/>
        </w:rPr>
        <w:t xml:space="preserve">West </w:t>
      </w:r>
      <w:r>
        <w:rPr>
          <w:spacing w:val="-3"/>
        </w:rPr>
        <w:t>(THO-NW) Governing Council.</w:t>
      </w:r>
    </w:p>
    <w:p w:rsidR="007651A3" w:rsidRDefault="007651A3" w:rsidP="007651A3">
      <w:pPr>
        <w:pStyle w:val="BodyText"/>
        <w:rPr>
          <w:spacing w:val="-3"/>
        </w:rPr>
      </w:pPr>
      <w:r>
        <w:rPr>
          <w:spacing w:val="-3"/>
        </w:rPr>
        <w:t xml:space="preserve">Emil </w:t>
      </w:r>
      <w:r>
        <w:t xml:space="preserve">is </w:t>
      </w:r>
      <w:r>
        <w:rPr>
          <w:spacing w:val="-3"/>
        </w:rPr>
        <w:t xml:space="preserve">currently </w:t>
      </w:r>
      <w:r>
        <w:t xml:space="preserve">the </w:t>
      </w:r>
      <w:r>
        <w:rPr>
          <w:spacing w:val="-3"/>
        </w:rPr>
        <w:t xml:space="preserve">Deputy Chair </w:t>
      </w:r>
      <w:r>
        <w:t xml:space="preserve">of the </w:t>
      </w:r>
      <w:r>
        <w:rPr>
          <w:spacing w:val="-3"/>
        </w:rPr>
        <w:t xml:space="preserve">National </w:t>
      </w:r>
      <w:r>
        <w:rPr>
          <w:spacing w:val="-5"/>
        </w:rPr>
        <w:t xml:space="preserve">RACGP </w:t>
      </w:r>
      <w:r>
        <w:rPr>
          <w:spacing w:val="-3"/>
        </w:rPr>
        <w:t xml:space="preserve">Finance </w:t>
      </w:r>
      <w:r>
        <w:t xml:space="preserve">and </w:t>
      </w:r>
      <w:r>
        <w:rPr>
          <w:spacing w:val="-3"/>
        </w:rPr>
        <w:t xml:space="preserve">Advocacy </w:t>
      </w:r>
      <w:r>
        <w:t xml:space="preserve">Committee, </w:t>
      </w:r>
      <w:r>
        <w:rPr>
          <w:spacing w:val="-3"/>
        </w:rPr>
        <w:t xml:space="preserve">and </w:t>
      </w:r>
      <w:r>
        <w:t xml:space="preserve">has </w:t>
      </w:r>
      <w:r>
        <w:rPr>
          <w:spacing w:val="-3"/>
        </w:rPr>
        <w:t xml:space="preserve">previously been </w:t>
      </w:r>
      <w:r>
        <w:t xml:space="preserve">a </w:t>
      </w:r>
      <w:r>
        <w:rPr>
          <w:spacing w:val="-3"/>
        </w:rPr>
        <w:t xml:space="preserve">member </w:t>
      </w:r>
      <w:r>
        <w:t xml:space="preserve">of the </w:t>
      </w:r>
      <w:r>
        <w:rPr>
          <w:spacing w:val="-3"/>
        </w:rPr>
        <w:t xml:space="preserve">Board </w:t>
      </w:r>
      <w:r>
        <w:t xml:space="preserve">of </w:t>
      </w:r>
      <w:r>
        <w:rPr>
          <w:spacing w:val="-3"/>
        </w:rPr>
        <w:t xml:space="preserve">GP </w:t>
      </w:r>
      <w:r>
        <w:t xml:space="preserve">North </w:t>
      </w:r>
      <w:r>
        <w:rPr>
          <w:spacing w:val="-6"/>
        </w:rPr>
        <w:t xml:space="preserve">West, </w:t>
      </w:r>
      <w:r>
        <w:rPr>
          <w:spacing w:val="-3"/>
        </w:rPr>
        <w:t xml:space="preserve">State Based </w:t>
      </w:r>
      <w:r>
        <w:t xml:space="preserve">GP </w:t>
      </w:r>
      <w:r>
        <w:rPr>
          <w:spacing w:val="-3"/>
        </w:rPr>
        <w:t xml:space="preserve">Organisation Board, </w:t>
      </w:r>
      <w:r>
        <w:rPr>
          <w:spacing w:val="-5"/>
        </w:rPr>
        <w:t xml:space="preserve">RACGP </w:t>
      </w:r>
      <w:r>
        <w:rPr>
          <w:spacing w:val="-3"/>
        </w:rPr>
        <w:t xml:space="preserve">State Faculty Board, Australian Medicare Local Alliance Board </w:t>
      </w:r>
      <w:r>
        <w:t xml:space="preserve">and the Mersey </w:t>
      </w:r>
      <w:r>
        <w:rPr>
          <w:spacing w:val="-4"/>
        </w:rPr>
        <w:t xml:space="preserve">Community </w:t>
      </w:r>
      <w:r>
        <w:rPr>
          <w:spacing w:val="-3"/>
        </w:rPr>
        <w:t>Hospital Board.</w:t>
      </w:r>
    </w:p>
    <w:p w:rsidR="007651A3" w:rsidRDefault="007651A3" w:rsidP="007651A3">
      <w:pPr>
        <w:pStyle w:val="BodyText"/>
        <w:rPr>
          <w:spacing w:val="-3"/>
        </w:rPr>
      </w:pPr>
      <w:r>
        <w:rPr>
          <w:spacing w:val="-3"/>
        </w:rPr>
        <w:t xml:space="preserve">Emil </w:t>
      </w:r>
      <w:r>
        <w:t xml:space="preserve">graduated in </w:t>
      </w:r>
      <w:r>
        <w:rPr>
          <w:spacing w:val="-3"/>
        </w:rPr>
        <w:t xml:space="preserve">Medicine from </w:t>
      </w:r>
      <w:r>
        <w:t xml:space="preserve">the </w:t>
      </w:r>
      <w:r>
        <w:rPr>
          <w:spacing w:val="-3"/>
        </w:rPr>
        <w:t xml:space="preserve">University of </w:t>
      </w:r>
      <w:r>
        <w:rPr>
          <w:spacing w:val="-6"/>
        </w:rPr>
        <w:t xml:space="preserve">Tasmania, </w:t>
      </w:r>
      <w:r>
        <w:rPr>
          <w:spacing w:val="-3"/>
        </w:rPr>
        <w:t xml:space="preserve">completed </w:t>
      </w:r>
      <w:r>
        <w:t xml:space="preserve">a </w:t>
      </w:r>
      <w:r>
        <w:rPr>
          <w:spacing w:val="-3"/>
        </w:rPr>
        <w:t xml:space="preserve">Diploma </w:t>
      </w:r>
      <w:r>
        <w:t xml:space="preserve">in </w:t>
      </w:r>
      <w:r>
        <w:rPr>
          <w:spacing w:val="-3"/>
        </w:rPr>
        <w:t xml:space="preserve">Obstetrics at </w:t>
      </w:r>
      <w:r>
        <w:t xml:space="preserve">the </w:t>
      </w:r>
      <w:r>
        <w:rPr>
          <w:spacing w:val="-3"/>
        </w:rPr>
        <w:t xml:space="preserve">Queen </w:t>
      </w:r>
      <w:r>
        <w:t xml:space="preserve">Victoria </w:t>
      </w:r>
      <w:r>
        <w:rPr>
          <w:spacing w:val="-3"/>
        </w:rPr>
        <w:t xml:space="preserve">Hospital </w:t>
      </w:r>
      <w:r>
        <w:t xml:space="preserve">in </w:t>
      </w:r>
      <w:r>
        <w:rPr>
          <w:spacing w:val="-3"/>
        </w:rPr>
        <w:t xml:space="preserve">Launceston </w:t>
      </w:r>
      <w:r>
        <w:t xml:space="preserve">and a </w:t>
      </w:r>
      <w:r>
        <w:rPr>
          <w:spacing w:val="-3"/>
        </w:rPr>
        <w:t xml:space="preserve">Diploma </w:t>
      </w:r>
      <w:r>
        <w:t xml:space="preserve">in </w:t>
      </w:r>
      <w:r>
        <w:rPr>
          <w:spacing w:val="-3"/>
        </w:rPr>
        <w:t xml:space="preserve">Anaesthetics </w:t>
      </w:r>
      <w:r>
        <w:t xml:space="preserve">in </w:t>
      </w:r>
      <w:r>
        <w:rPr>
          <w:spacing w:val="-3"/>
        </w:rPr>
        <w:t>London.</w:t>
      </w:r>
      <w:r>
        <w:rPr>
          <w:spacing w:val="-45"/>
        </w:rPr>
        <w:t xml:space="preserve"> </w:t>
      </w:r>
      <w:r>
        <w:rPr>
          <w:spacing w:val="-3"/>
        </w:rPr>
        <w:t xml:space="preserve">Emil completed </w:t>
      </w:r>
      <w:r>
        <w:t>his</w:t>
      </w:r>
      <w:r>
        <w:rPr>
          <w:spacing w:val="-13"/>
        </w:rPr>
        <w:t xml:space="preserve"> </w:t>
      </w:r>
      <w:r>
        <w:rPr>
          <w:spacing w:val="-3"/>
        </w:rPr>
        <w:t>Fellowship</w:t>
      </w:r>
      <w:r>
        <w:rPr>
          <w:spacing w:val="-13"/>
        </w:rPr>
        <w:t xml:space="preserve"> </w:t>
      </w:r>
      <w:r>
        <w:t>of</w:t>
      </w:r>
      <w:r>
        <w:rPr>
          <w:spacing w:val="-13"/>
        </w:rPr>
        <w:t xml:space="preserve"> </w:t>
      </w:r>
      <w:r>
        <w:t>General</w:t>
      </w:r>
      <w:r>
        <w:rPr>
          <w:spacing w:val="-13"/>
        </w:rPr>
        <w:t xml:space="preserve"> </w:t>
      </w:r>
      <w:r>
        <w:t>Practice</w:t>
      </w:r>
      <w:r>
        <w:rPr>
          <w:spacing w:val="-13"/>
        </w:rPr>
        <w:t xml:space="preserve"> </w:t>
      </w:r>
      <w:r>
        <w:rPr>
          <w:spacing w:val="-3"/>
        </w:rPr>
        <w:t>in1994.</w:t>
      </w:r>
    </w:p>
    <w:p w:rsidR="007651A3" w:rsidRDefault="007651A3" w:rsidP="007651A3">
      <w:pPr>
        <w:pStyle w:val="BodyText"/>
        <w:rPr>
          <w:spacing w:val="-3"/>
        </w:rPr>
      </w:pPr>
      <w:r>
        <w:rPr>
          <w:spacing w:val="-3"/>
        </w:rPr>
        <w:t xml:space="preserve">Emil </w:t>
      </w:r>
      <w:r>
        <w:t xml:space="preserve">is a graduate of the </w:t>
      </w:r>
      <w:r>
        <w:rPr>
          <w:spacing w:val="-3"/>
        </w:rPr>
        <w:t xml:space="preserve">Australian Institute of Company </w:t>
      </w:r>
      <w:r>
        <w:t xml:space="preserve">Directors, a </w:t>
      </w:r>
      <w:r>
        <w:rPr>
          <w:spacing w:val="-3"/>
        </w:rPr>
        <w:t xml:space="preserve">Fellow </w:t>
      </w:r>
      <w:r>
        <w:t xml:space="preserve">of the </w:t>
      </w:r>
      <w:r>
        <w:rPr>
          <w:spacing w:val="-4"/>
        </w:rPr>
        <w:t xml:space="preserve">Royal </w:t>
      </w:r>
      <w:r>
        <w:rPr>
          <w:spacing w:val="-3"/>
        </w:rPr>
        <w:t xml:space="preserve">College </w:t>
      </w:r>
      <w:r>
        <w:t xml:space="preserve">of General Practice and a </w:t>
      </w:r>
      <w:r>
        <w:rPr>
          <w:spacing w:val="-3"/>
        </w:rPr>
        <w:t xml:space="preserve">member </w:t>
      </w:r>
      <w:r>
        <w:t xml:space="preserve">of the </w:t>
      </w:r>
      <w:r>
        <w:rPr>
          <w:spacing w:val="-3"/>
        </w:rPr>
        <w:t>Australian Medical Association.</w:t>
      </w:r>
    </w:p>
    <w:p w:rsidR="007651A3" w:rsidRDefault="007651A3" w:rsidP="007651A3">
      <w:pPr>
        <w:pStyle w:val="BodyText"/>
      </w:pPr>
      <w:r>
        <w:rPr>
          <w:spacing w:val="-3"/>
        </w:rPr>
        <w:t xml:space="preserve">Emil </w:t>
      </w:r>
      <w:r>
        <w:t xml:space="preserve">is a </w:t>
      </w:r>
      <w:r>
        <w:rPr>
          <w:spacing w:val="-3"/>
        </w:rPr>
        <w:t>strong advocate for sustainable,</w:t>
      </w:r>
      <w:r>
        <w:rPr>
          <w:spacing w:val="-37"/>
        </w:rPr>
        <w:t xml:space="preserve"> </w:t>
      </w:r>
      <w:r>
        <w:t xml:space="preserve">safe, </w:t>
      </w:r>
      <w:r>
        <w:rPr>
          <w:spacing w:val="-3"/>
        </w:rPr>
        <w:t xml:space="preserve">health systems </w:t>
      </w:r>
      <w:r>
        <w:t xml:space="preserve">and </w:t>
      </w:r>
      <w:r>
        <w:rPr>
          <w:spacing w:val="-3"/>
        </w:rPr>
        <w:t xml:space="preserve">will </w:t>
      </w:r>
      <w:r>
        <w:t xml:space="preserve">bring an </w:t>
      </w:r>
      <w:r>
        <w:rPr>
          <w:spacing w:val="-3"/>
        </w:rPr>
        <w:t xml:space="preserve">excellent </w:t>
      </w:r>
      <w:r>
        <w:t xml:space="preserve">mix of </w:t>
      </w:r>
      <w:r>
        <w:rPr>
          <w:spacing w:val="-3"/>
        </w:rPr>
        <w:t xml:space="preserve">committed local, </w:t>
      </w:r>
      <w:r>
        <w:t xml:space="preserve">primary </w:t>
      </w:r>
      <w:r>
        <w:rPr>
          <w:spacing w:val="-3"/>
        </w:rPr>
        <w:t xml:space="preserve">care clinical </w:t>
      </w:r>
      <w:r>
        <w:t>and</w:t>
      </w:r>
      <w:r>
        <w:rPr>
          <w:spacing w:val="-7"/>
        </w:rPr>
        <w:t xml:space="preserve"> </w:t>
      </w:r>
      <w:r>
        <w:rPr>
          <w:spacing w:val="-3"/>
        </w:rPr>
        <w:t>governance</w:t>
      </w:r>
      <w:r>
        <w:rPr>
          <w:spacing w:val="-6"/>
        </w:rPr>
        <w:t xml:space="preserve"> </w:t>
      </w:r>
      <w:r>
        <w:t>expertise.</w:t>
      </w:r>
      <w:r>
        <w:rPr>
          <w:spacing w:val="-24"/>
        </w:rPr>
        <w:t xml:space="preserve"> </w:t>
      </w:r>
      <w:r>
        <w:rPr>
          <w:spacing w:val="-3"/>
        </w:rPr>
        <w:t>Emil</w:t>
      </w:r>
      <w:r>
        <w:rPr>
          <w:spacing w:val="-7"/>
        </w:rPr>
        <w:t xml:space="preserve"> </w:t>
      </w:r>
      <w:r>
        <w:t>has</w:t>
      </w:r>
      <w:r>
        <w:rPr>
          <w:spacing w:val="-7"/>
        </w:rPr>
        <w:t xml:space="preserve"> </w:t>
      </w:r>
      <w:r>
        <w:t>a</w:t>
      </w:r>
      <w:r>
        <w:rPr>
          <w:spacing w:val="-7"/>
        </w:rPr>
        <w:t xml:space="preserve"> </w:t>
      </w:r>
      <w:r>
        <w:rPr>
          <w:spacing w:val="-3"/>
        </w:rPr>
        <w:t xml:space="preserve">strong </w:t>
      </w:r>
      <w:r>
        <w:t>understanding of primary health and health reform, as well as regional issues in North West Tasmania.</w:t>
      </w:r>
    </w:p>
    <w:p w:rsidR="00AC31DA" w:rsidRDefault="00AC31DA" w:rsidP="00E730AE">
      <w:pPr>
        <w:pStyle w:val="Heading4"/>
      </w:pPr>
    </w:p>
    <w:p w:rsidR="00E730AE" w:rsidRDefault="00E730AE" w:rsidP="00E730AE">
      <w:pPr>
        <w:pStyle w:val="Heading4"/>
      </w:pPr>
      <w:r>
        <w:t>Professor Denise Fassett</w:t>
      </w:r>
    </w:p>
    <w:p w:rsidR="00E730AE" w:rsidRDefault="00E730AE" w:rsidP="00E730AE">
      <w:pPr>
        <w:pStyle w:val="BodyText"/>
      </w:pPr>
      <w:r>
        <w:t xml:space="preserve">Professor Denise Fassett is a member of the Governing </w:t>
      </w:r>
      <w:r>
        <w:rPr>
          <w:spacing w:val="-3"/>
        </w:rPr>
        <w:t xml:space="preserve">Council Quality </w:t>
      </w:r>
      <w:r>
        <w:t xml:space="preserve">&amp; </w:t>
      </w:r>
      <w:r>
        <w:rPr>
          <w:spacing w:val="-4"/>
        </w:rPr>
        <w:t xml:space="preserve">Safety </w:t>
      </w:r>
      <w:r>
        <w:rPr>
          <w:spacing w:val="-3"/>
        </w:rPr>
        <w:t xml:space="preserve">Subcommittee. </w:t>
      </w:r>
      <w:r>
        <w:t xml:space="preserve">She </w:t>
      </w:r>
      <w:r>
        <w:rPr>
          <w:spacing w:val="-3"/>
        </w:rPr>
        <w:t xml:space="preserve">was </w:t>
      </w:r>
      <w:r>
        <w:t xml:space="preserve">a former </w:t>
      </w:r>
      <w:r>
        <w:rPr>
          <w:spacing w:val="-3"/>
        </w:rPr>
        <w:t xml:space="preserve">member of </w:t>
      </w:r>
      <w:r>
        <w:t>the</w:t>
      </w:r>
      <w:r>
        <w:rPr>
          <w:spacing w:val="-36"/>
        </w:rPr>
        <w:t xml:space="preserve"> </w:t>
      </w:r>
      <w:r>
        <w:rPr>
          <w:spacing w:val="-6"/>
        </w:rPr>
        <w:t xml:space="preserve">Tasmanian </w:t>
      </w:r>
      <w:r>
        <w:rPr>
          <w:spacing w:val="-3"/>
        </w:rPr>
        <w:t xml:space="preserve">Health </w:t>
      </w:r>
      <w:r>
        <w:t>Organisation - North (THO-N) Governing Council (GC) and Chair of the THO-N GC Quality and Safety Sub-Committee.</w:t>
      </w:r>
    </w:p>
    <w:p w:rsidR="00E730AE" w:rsidRDefault="00E730AE" w:rsidP="00E730AE">
      <w:pPr>
        <w:pStyle w:val="BodyText"/>
      </w:pPr>
      <w:r>
        <w:rPr>
          <w:spacing w:val="-3"/>
        </w:rPr>
        <w:t xml:space="preserve">Denise </w:t>
      </w:r>
      <w:r>
        <w:t xml:space="preserve">is the </w:t>
      </w:r>
      <w:r>
        <w:rPr>
          <w:spacing w:val="-3"/>
        </w:rPr>
        <w:t xml:space="preserve">Dean </w:t>
      </w:r>
      <w:r>
        <w:t xml:space="preserve">of the </w:t>
      </w:r>
      <w:r>
        <w:rPr>
          <w:spacing w:val="-3"/>
        </w:rPr>
        <w:t xml:space="preserve">Faculty </w:t>
      </w:r>
      <w:r>
        <w:t xml:space="preserve">of </w:t>
      </w:r>
      <w:r>
        <w:rPr>
          <w:spacing w:val="-3"/>
        </w:rPr>
        <w:t xml:space="preserve">Health </w:t>
      </w:r>
      <w:r>
        <w:t xml:space="preserve">at </w:t>
      </w:r>
      <w:r>
        <w:rPr>
          <w:spacing w:val="-3"/>
        </w:rPr>
        <w:t xml:space="preserve">the University </w:t>
      </w:r>
      <w:r>
        <w:t xml:space="preserve">of </w:t>
      </w:r>
      <w:r>
        <w:rPr>
          <w:spacing w:val="-6"/>
        </w:rPr>
        <w:t xml:space="preserve">Tasmania. </w:t>
      </w:r>
      <w:r>
        <w:t xml:space="preserve">Her </w:t>
      </w:r>
      <w:r>
        <w:rPr>
          <w:spacing w:val="-3"/>
        </w:rPr>
        <w:t xml:space="preserve">role </w:t>
      </w:r>
      <w:r>
        <w:t xml:space="preserve">in the </w:t>
      </w:r>
      <w:r>
        <w:rPr>
          <w:spacing w:val="-3"/>
        </w:rPr>
        <w:t xml:space="preserve">University includes </w:t>
      </w:r>
      <w:r>
        <w:t xml:space="preserve">strategic and </w:t>
      </w:r>
      <w:r>
        <w:rPr>
          <w:spacing w:val="-3"/>
        </w:rPr>
        <w:t xml:space="preserve">operational </w:t>
      </w:r>
      <w:r>
        <w:t xml:space="preserve">leadership </w:t>
      </w:r>
      <w:r>
        <w:rPr>
          <w:spacing w:val="-3"/>
        </w:rPr>
        <w:t xml:space="preserve">and responsibility for </w:t>
      </w:r>
      <w:r>
        <w:t xml:space="preserve">the </w:t>
      </w:r>
      <w:r>
        <w:rPr>
          <w:spacing w:val="-3"/>
        </w:rPr>
        <w:t xml:space="preserve">Faculty which includes the disciplines </w:t>
      </w:r>
      <w:r>
        <w:t xml:space="preserve">of: </w:t>
      </w:r>
      <w:r>
        <w:rPr>
          <w:spacing w:val="-3"/>
        </w:rPr>
        <w:t xml:space="preserve">Psychology; </w:t>
      </w:r>
      <w:r>
        <w:t xml:space="preserve">Pharmacy; Medicine, Nursing and </w:t>
      </w:r>
      <w:r>
        <w:rPr>
          <w:spacing w:val="-4"/>
        </w:rPr>
        <w:t xml:space="preserve">Midwifery, </w:t>
      </w:r>
      <w:r>
        <w:t xml:space="preserve">Rural </w:t>
      </w:r>
      <w:r>
        <w:rPr>
          <w:spacing w:val="-3"/>
        </w:rPr>
        <w:t xml:space="preserve">Health, </w:t>
      </w:r>
      <w:r>
        <w:rPr>
          <w:spacing w:val="-4"/>
        </w:rPr>
        <w:t xml:space="preserve">Exercise </w:t>
      </w:r>
      <w:r>
        <w:rPr>
          <w:spacing w:val="-3"/>
        </w:rPr>
        <w:t xml:space="preserve">and </w:t>
      </w:r>
      <w:r>
        <w:t xml:space="preserve">Sport </w:t>
      </w:r>
      <w:r>
        <w:rPr>
          <w:spacing w:val="-3"/>
        </w:rPr>
        <w:t xml:space="preserve">Science </w:t>
      </w:r>
      <w:r>
        <w:t xml:space="preserve">and the </w:t>
      </w:r>
      <w:r>
        <w:rPr>
          <w:spacing w:val="-3"/>
        </w:rPr>
        <w:t xml:space="preserve">Biomedical Sciences. The Faculty also includes Health </w:t>
      </w:r>
      <w:r>
        <w:t xml:space="preserve">Service </w:t>
      </w:r>
      <w:r>
        <w:rPr>
          <w:spacing w:val="-4"/>
        </w:rPr>
        <w:t xml:space="preserve">Innovation </w:t>
      </w:r>
      <w:r>
        <w:rPr>
          <w:spacing w:val="-7"/>
        </w:rPr>
        <w:t xml:space="preserve">Tasmania </w:t>
      </w:r>
      <w:r>
        <w:t xml:space="preserve">and the </w:t>
      </w:r>
      <w:r>
        <w:rPr>
          <w:spacing w:val="-3"/>
        </w:rPr>
        <w:t xml:space="preserve">Wicking Dementia Research and Education. </w:t>
      </w:r>
      <w:r>
        <w:t xml:space="preserve">Prior to her </w:t>
      </w:r>
      <w:r>
        <w:rPr>
          <w:spacing w:val="-3"/>
        </w:rPr>
        <w:t xml:space="preserve">appointment </w:t>
      </w:r>
      <w:r>
        <w:t xml:space="preserve">as the </w:t>
      </w:r>
      <w:r>
        <w:rPr>
          <w:spacing w:val="-3"/>
        </w:rPr>
        <w:t xml:space="preserve">Dean </w:t>
      </w:r>
      <w:r>
        <w:t xml:space="preserve">of </w:t>
      </w:r>
      <w:r>
        <w:rPr>
          <w:spacing w:val="-3"/>
        </w:rPr>
        <w:t xml:space="preserve">Health, Denise </w:t>
      </w:r>
      <w:r>
        <w:t xml:space="preserve">was the </w:t>
      </w:r>
      <w:r>
        <w:rPr>
          <w:spacing w:val="-3"/>
        </w:rPr>
        <w:t xml:space="preserve">Head </w:t>
      </w:r>
      <w:r>
        <w:t xml:space="preserve">of the </w:t>
      </w:r>
      <w:r>
        <w:rPr>
          <w:spacing w:val="-3"/>
        </w:rPr>
        <w:t xml:space="preserve">School of </w:t>
      </w:r>
      <w:r>
        <w:t xml:space="preserve">Nursing and </w:t>
      </w:r>
      <w:r>
        <w:rPr>
          <w:spacing w:val="-4"/>
        </w:rPr>
        <w:t>Midwifery.</w:t>
      </w:r>
    </w:p>
    <w:p w:rsidR="00E730AE" w:rsidRDefault="00E730AE" w:rsidP="00E730AE">
      <w:pPr>
        <w:pStyle w:val="BodyText"/>
      </w:pPr>
      <w:r>
        <w:rPr>
          <w:spacing w:val="-3"/>
        </w:rPr>
        <w:t xml:space="preserve">Completing </w:t>
      </w:r>
      <w:r>
        <w:t xml:space="preserve">a General Nursing Certificate at </w:t>
      </w:r>
      <w:r>
        <w:rPr>
          <w:spacing w:val="-3"/>
        </w:rPr>
        <w:t xml:space="preserve">the </w:t>
      </w:r>
      <w:r>
        <w:rPr>
          <w:spacing w:val="-4"/>
        </w:rPr>
        <w:t xml:space="preserve">Royal </w:t>
      </w:r>
      <w:r>
        <w:t xml:space="preserve">Hobart </w:t>
      </w:r>
      <w:r>
        <w:rPr>
          <w:spacing w:val="-3"/>
        </w:rPr>
        <w:t xml:space="preserve">Hospital, Denise </w:t>
      </w:r>
      <w:r>
        <w:t xml:space="preserve">is a </w:t>
      </w:r>
      <w:r>
        <w:rPr>
          <w:spacing w:val="-3"/>
        </w:rPr>
        <w:t xml:space="preserve">Registered </w:t>
      </w:r>
      <w:r>
        <w:t xml:space="preserve">Nurse </w:t>
      </w:r>
      <w:r>
        <w:rPr>
          <w:spacing w:val="-3"/>
        </w:rPr>
        <w:t xml:space="preserve">with </w:t>
      </w:r>
      <w:r>
        <w:t xml:space="preserve">a </w:t>
      </w:r>
      <w:r>
        <w:rPr>
          <w:spacing w:val="-3"/>
        </w:rPr>
        <w:t xml:space="preserve">Bachelor </w:t>
      </w:r>
      <w:r>
        <w:t xml:space="preserve">of </w:t>
      </w:r>
      <w:r>
        <w:rPr>
          <w:spacing w:val="-3"/>
        </w:rPr>
        <w:t xml:space="preserve">Health </w:t>
      </w:r>
      <w:r>
        <w:t xml:space="preserve">Science, </w:t>
      </w:r>
      <w:r>
        <w:rPr>
          <w:spacing w:val="-3"/>
        </w:rPr>
        <w:t xml:space="preserve">Graduate Diploma </w:t>
      </w:r>
      <w:r>
        <w:t xml:space="preserve">in </w:t>
      </w:r>
      <w:r>
        <w:rPr>
          <w:spacing w:val="-3"/>
        </w:rPr>
        <w:t xml:space="preserve">Aged Care </w:t>
      </w:r>
      <w:r>
        <w:t xml:space="preserve">Nursing and a </w:t>
      </w:r>
      <w:r>
        <w:rPr>
          <w:spacing w:val="-3"/>
        </w:rPr>
        <w:t xml:space="preserve">Master of </w:t>
      </w:r>
      <w:r>
        <w:t xml:space="preserve">Nursing </w:t>
      </w:r>
      <w:r>
        <w:rPr>
          <w:spacing w:val="-3"/>
        </w:rPr>
        <w:t xml:space="preserve">from </w:t>
      </w:r>
      <w:r>
        <w:t xml:space="preserve">the </w:t>
      </w:r>
      <w:r>
        <w:rPr>
          <w:spacing w:val="-3"/>
        </w:rPr>
        <w:t xml:space="preserve">University </w:t>
      </w:r>
      <w:r>
        <w:t xml:space="preserve">of </w:t>
      </w:r>
      <w:r>
        <w:rPr>
          <w:spacing w:val="-7"/>
        </w:rPr>
        <w:t xml:space="preserve">Tasmania </w:t>
      </w:r>
      <w:r>
        <w:t xml:space="preserve">and </w:t>
      </w:r>
      <w:r>
        <w:rPr>
          <w:spacing w:val="-3"/>
        </w:rPr>
        <w:t xml:space="preserve">she </w:t>
      </w:r>
      <w:r>
        <w:t xml:space="preserve">has a PhD </w:t>
      </w:r>
      <w:r>
        <w:rPr>
          <w:spacing w:val="-3"/>
        </w:rPr>
        <w:t xml:space="preserve">from </w:t>
      </w:r>
      <w:r>
        <w:t xml:space="preserve">the </w:t>
      </w:r>
      <w:r>
        <w:rPr>
          <w:spacing w:val="-3"/>
        </w:rPr>
        <w:t xml:space="preserve">University </w:t>
      </w:r>
      <w:r>
        <w:t xml:space="preserve">of </w:t>
      </w:r>
      <w:r>
        <w:rPr>
          <w:spacing w:val="-6"/>
        </w:rPr>
        <w:t xml:space="preserve">Technology Sydney. </w:t>
      </w:r>
      <w:r>
        <w:t xml:space="preserve">She is a </w:t>
      </w:r>
      <w:r>
        <w:rPr>
          <w:spacing w:val="-3"/>
        </w:rPr>
        <w:t xml:space="preserve">Fellow </w:t>
      </w:r>
      <w:r>
        <w:t xml:space="preserve">of the </w:t>
      </w:r>
      <w:r>
        <w:rPr>
          <w:spacing w:val="-3"/>
        </w:rPr>
        <w:t xml:space="preserve">Australian College of </w:t>
      </w:r>
      <w:r>
        <w:t xml:space="preserve">Nursing </w:t>
      </w:r>
      <w:r>
        <w:rPr>
          <w:spacing w:val="-6"/>
        </w:rPr>
        <w:t>(FACN).</w:t>
      </w:r>
    </w:p>
    <w:p w:rsidR="00E730AE" w:rsidRDefault="00E730AE" w:rsidP="00E730AE">
      <w:pPr>
        <w:pStyle w:val="BodyText"/>
      </w:pPr>
      <w:r>
        <w:t xml:space="preserve">The former </w:t>
      </w:r>
      <w:r>
        <w:rPr>
          <w:spacing w:val="-3"/>
        </w:rPr>
        <w:t xml:space="preserve">Chair </w:t>
      </w:r>
      <w:r>
        <w:t xml:space="preserve">of the Nursing </w:t>
      </w:r>
      <w:r>
        <w:rPr>
          <w:spacing w:val="-3"/>
        </w:rPr>
        <w:t xml:space="preserve">Board </w:t>
      </w:r>
      <w:r>
        <w:t xml:space="preserve">of </w:t>
      </w:r>
      <w:r>
        <w:rPr>
          <w:spacing w:val="-7"/>
        </w:rPr>
        <w:t xml:space="preserve">Tasmania </w:t>
      </w:r>
      <w:r>
        <w:rPr>
          <w:spacing w:val="-3"/>
        </w:rPr>
        <w:t xml:space="preserve">from 2006, Denise </w:t>
      </w:r>
      <w:r>
        <w:t xml:space="preserve">is </w:t>
      </w:r>
      <w:r>
        <w:rPr>
          <w:spacing w:val="-3"/>
        </w:rPr>
        <w:t xml:space="preserve">currently </w:t>
      </w:r>
      <w:r>
        <w:t xml:space="preserve">a </w:t>
      </w:r>
      <w:r>
        <w:rPr>
          <w:spacing w:val="-3"/>
        </w:rPr>
        <w:t xml:space="preserve">member of </w:t>
      </w:r>
      <w:r>
        <w:t xml:space="preserve">the Nursing and Midwifery </w:t>
      </w:r>
      <w:r>
        <w:rPr>
          <w:spacing w:val="-3"/>
        </w:rPr>
        <w:t xml:space="preserve">Board </w:t>
      </w:r>
      <w:r>
        <w:t xml:space="preserve">of </w:t>
      </w:r>
      <w:r>
        <w:rPr>
          <w:spacing w:val="-3"/>
        </w:rPr>
        <w:t xml:space="preserve">Australia </w:t>
      </w:r>
      <w:r>
        <w:t xml:space="preserve">(NMBA) and </w:t>
      </w:r>
      <w:r>
        <w:rPr>
          <w:spacing w:val="-3"/>
        </w:rPr>
        <w:t xml:space="preserve">Chair </w:t>
      </w:r>
      <w:r>
        <w:t xml:space="preserve">of the NMBA </w:t>
      </w:r>
      <w:r>
        <w:rPr>
          <w:spacing w:val="-3"/>
        </w:rPr>
        <w:t xml:space="preserve">Registration and Accreditation subcommittee. </w:t>
      </w:r>
      <w:r>
        <w:t xml:space="preserve">She is </w:t>
      </w:r>
      <w:r>
        <w:rPr>
          <w:spacing w:val="-3"/>
        </w:rPr>
        <w:t xml:space="preserve">also </w:t>
      </w:r>
      <w:r>
        <w:t xml:space="preserve">a </w:t>
      </w:r>
      <w:r>
        <w:rPr>
          <w:spacing w:val="-3"/>
        </w:rPr>
        <w:t xml:space="preserve">board member </w:t>
      </w:r>
      <w:r>
        <w:t xml:space="preserve">of </w:t>
      </w:r>
      <w:r>
        <w:rPr>
          <w:spacing w:val="-3"/>
        </w:rPr>
        <w:t xml:space="preserve">both </w:t>
      </w:r>
      <w:r>
        <w:t xml:space="preserve">the </w:t>
      </w:r>
      <w:r>
        <w:rPr>
          <w:spacing w:val="-3"/>
        </w:rPr>
        <w:t xml:space="preserve">Menzies Institute for Medical Research </w:t>
      </w:r>
      <w:r>
        <w:t xml:space="preserve">and </w:t>
      </w:r>
      <w:r>
        <w:rPr>
          <w:spacing w:val="-3"/>
        </w:rPr>
        <w:t xml:space="preserve">Australian Institute </w:t>
      </w:r>
      <w:r>
        <w:t xml:space="preserve">of </w:t>
      </w:r>
      <w:r>
        <w:rPr>
          <w:spacing w:val="-3"/>
        </w:rPr>
        <w:t xml:space="preserve">Health </w:t>
      </w:r>
      <w:r>
        <w:t xml:space="preserve">Service </w:t>
      </w:r>
      <w:r>
        <w:rPr>
          <w:spacing w:val="-3"/>
        </w:rPr>
        <w:t>Management (AIHSM).</w:t>
      </w:r>
    </w:p>
    <w:p w:rsidR="00E730AE" w:rsidRDefault="00E730AE" w:rsidP="00E730AE">
      <w:pPr>
        <w:pStyle w:val="BodyText"/>
        <w:rPr>
          <w:spacing w:val="-7"/>
        </w:rPr>
      </w:pPr>
      <w:r>
        <w:t xml:space="preserve">In </w:t>
      </w:r>
      <w:r>
        <w:rPr>
          <w:spacing w:val="-3"/>
        </w:rPr>
        <w:t xml:space="preserve">2014 Denise </w:t>
      </w:r>
      <w:r>
        <w:t xml:space="preserve">was </w:t>
      </w:r>
      <w:r>
        <w:rPr>
          <w:spacing w:val="-3"/>
        </w:rPr>
        <w:t xml:space="preserve">appointed </w:t>
      </w:r>
      <w:r>
        <w:t xml:space="preserve">the inaugural </w:t>
      </w:r>
      <w:r>
        <w:rPr>
          <w:spacing w:val="-3"/>
        </w:rPr>
        <w:t xml:space="preserve">Chair </w:t>
      </w:r>
      <w:r>
        <w:t xml:space="preserve">of the </w:t>
      </w:r>
      <w:r>
        <w:rPr>
          <w:spacing w:val="-3"/>
        </w:rPr>
        <w:t xml:space="preserve">Health Council </w:t>
      </w:r>
      <w:r>
        <w:t xml:space="preserve">of </w:t>
      </w:r>
      <w:r>
        <w:rPr>
          <w:spacing w:val="-7"/>
        </w:rPr>
        <w:t>Tasmania.</w:t>
      </w:r>
    </w:p>
    <w:p w:rsidR="00E730AE" w:rsidRDefault="00E730AE">
      <w:pPr>
        <w:rPr>
          <w:rFonts w:ascii="Gill Sans MT" w:eastAsia="GillSans-Light" w:hAnsi="Gill Sans MT" w:cs="GillSans-Light"/>
          <w:spacing w:val="-7"/>
          <w:lang w:val="en-US"/>
        </w:rPr>
      </w:pPr>
      <w:r>
        <w:rPr>
          <w:spacing w:val="-7"/>
        </w:rPr>
        <w:br w:type="page"/>
      </w:r>
    </w:p>
    <w:p w:rsidR="00E730AE" w:rsidRDefault="00E730AE" w:rsidP="00E730AE">
      <w:pPr>
        <w:pStyle w:val="Heading4"/>
      </w:pPr>
      <w:r>
        <w:lastRenderedPageBreak/>
        <w:t>Ms Barbara Hingston</w:t>
      </w:r>
    </w:p>
    <w:p w:rsidR="00E730AE" w:rsidRPr="00E730AE" w:rsidRDefault="00E730AE" w:rsidP="00E730AE">
      <w:pPr>
        <w:pStyle w:val="BodyText"/>
        <w:rPr>
          <w:rFonts w:ascii="GillSans-LightItalic"/>
          <w:i/>
        </w:rPr>
      </w:pPr>
      <w:proofErr w:type="gramStart"/>
      <w:r w:rsidRPr="00E730AE">
        <w:rPr>
          <w:rFonts w:ascii="GillSans-LightItalic"/>
          <w:i/>
        </w:rPr>
        <w:t>BA(</w:t>
      </w:r>
      <w:proofErr w:type="gramEnd"/>
      <w:r w:rsidRPr="00E730AE">
        <w:rPr>
          <w:rFonts w:ascii="GillSans-LightItalic"/>
          <w:i/>
        </w:rPr>
        <w:t xml:space="preserve">Admin), </w:t>
      </w:r>
      <w:r w:rsidRPr="00E730AE">
        <w:rPr>
          <w:rFonts w:ascii="GillSans-LightItalic"/>
          <w:i/>
          <w:spacing w:val="-6"/>
        </w:rPr>
        <w:t xml:space="preserve">BSW, </w:t>
      </w:r>
      <w:r w:rsidRPr="00E730AE">
        <w:rPr>
          <w:rFonts w:ascii="GillSans-LightItalic"/>
          <w:i/>
          <w:spacing w:val="-3"/>
        </w:rPr>
        <w:t xml:space="preserve">GAICD, </w:t>
      </w:r>
      <w:r w:rsidRPr="00E730AE">
        <w:rPr>
          <w:rFonts w:ascii="GillSans-LightItalic"/>
          <w:i/>
        </w:rPr>
        <w:t>MAASW</w:t>
      </w:r>
    </w:p>
    <w:p w:rsidR="00E730AE" w:rsidRDefault="00E730AE" w:rsidP="00E730AE">
      <w:pPr>
        <w:pStyle w:val="BodyText"/>
      </w:pPr>
      <w:r>
        <w:t>Barbara is a member of the Governing Council Financial Management and Service Performance Subcommittee.</w:t>
      </w:r>
    </w:p>
    <w:p w:rsidR="00E730AE" w:rsidRDefault="00E730AE" w:rsidP="00E730AE">
      <w:pPr>
        <w:pStyle w:val="BodyText"/>
      </w:pPr>
      <w:r>
        <w:rPr>
          <w:spacing w:val="-3"/>
        </w:rPr>
        <w:t xml:space="preserve">Based </w:t>
      </w:r>
      <w:r>
        <w:t xml:space="preserve">in Hobart, Barbara is a </w:t>
      </w:r>
      <w:r>
        <w:rPr>
          <w:spacing w:val="-3"/>
        </w:rPr>
        <w:t xml:space="preserve">highly experienced </w:t>
      </w:r>
      <w:r>
        <w:rPr>
          <w:spacing w:val="-4"/>
        </w:rPr>
        <w:t xml:space="preserve">Non-Executive </w:t>
      </w:r>
      <w:r>
        <w:rPr>
          <w:spacing w:val="-3"/>
        </w:rPr>
        <w:t xml:space="preserve">Director </w:t>
      </w:r>
      <w:r>
        <w:t xml:space="preserve">and </w:t>
      </w:r>
      <w:r>
        <w:rPr>
          <w:spacing w:val="-3"/>
        </w:rPr>
        <w:t xml:space="preserve">consultant </w:t>
      </w:r>
      <w:r>
        <w:t xml:space="preserve">in </w:t>
      </w:r>
      <w:r>
        <w:rPr>
          <w:spacing w:val="-3"/>
        </w:rPr>
        <w:t xml:space="preserve">health, social policy </w:t>
      </w:r>
      <w:r>
        <w:t xml:space="preserve">and </w:t>
      </w:r>
      <w:r>
        <w:rPr>
          <w:spacing w:val="-3"/>
        </w:rPr>
        <w:t xml:space="preserve">community </w:t>
      </w:r>
      <w:proofErr w:type="gramStart"/>
      <w:r>
        <w:t>services .</w:t>
      </w:r>
      <w:proofErr w:type="gramEnd"/>
      <w:r>
        <w:t xml:space="preserve"> </w:t>
      </w:r>
      <w:r>
        <w:rPr>
          <w:spacing w:val="-3"/>
        </w:rPr>
        <w:t xml:space="preserve">Her professional experience includes </w:t>
      </w:r>
      <w:r>
        <w:t xml:space="preserve">the </w:t>
      </w:r>
      <w:r>
        <w:rPr>
          <w:spacing w:val="-4"/>
        </w:rPr>
        <w:t xml:space="preserve">delivery, </w:t>
      </w:r>
      <w:r>
        <w:rPr>
          <w:spacing w:val="-3"/>
        </w:rPr>
        <w:t xml:space="preserve">management </w:t>
      </w:r>
      <w:r>
        <w:t xml:space="preserve">and </w:t>
      </w:r>
      <w:r>
        <w:rPr>
          <w:spacing w:val="-3"/>
        </w:rPr>
        <w:t xml:space="preserve">governance </w:t>
      </w:r>
      <w:r>
        <w:t xml:space="preserve">of </w:t>
      </w:r>
      <w:r>
        <w:rPr>
          <w:spacing w:val="-3"/>
        </w:rPr>
        <w:t xml:space="preserve">health and community </w:t>
      </w:r>
      <w:r>
        <w:t xml:space="preserve">service </w:t>
      </w:r>
      <w:r>
        <w:rPr>
          <w:spacing w:val="-3"/>
        </w:rPr>
        <w:t>organisations across Australia.</w:t>
      </w:r>
    </w:p>
    <w:p w:rsidR="00E730AE" w:rsidRDefault="00E730AE" w:rsidP="00E730AE">
      <w:pPr>
        <w:pStyle w:val="BodyText"/>
      </w:pPr>
      <w:r>
        <w:t xml:space="preserve">Barbara is a </w:t>
      </w:r>
      <w:r>
        <w:rPr>
          <w:spacing w:val="-3"/>
        </w:rPr>
        <w:t xml:space="preserve">past Director </w:t>
      </w:r>
      <w:r>
        <w:t xml:space="preserve">of </w:t>
      </w:r>
      <w:r>
        <w:rPr>
          <w:spacing w:val="-3"/>
        </w:rPr>
        <w:t xml:space="preserve">Austin Health in </w:t>
      </w:r>
      <w:r>
        <w:t xml:space="preserve">Victoria </w:t>
      </w:r>
      <w:r>
        <w:rPr>
          <w:spacing w:val="-3"/>
        </w:rPr>
        <w:t xml:space="preserve">(2005-13) </w:t>
      </w:r>
      <w:r>
        <w:t xml:space="preserve">and </w:t>
      </w:r>
      <w:r>
        <w:rPr>
          <w:spacing w:val="-3"/>
        </w:rPr>
        <w:t xml:space="preserve">Director </w:t>
      </w:r>
      <w:r>
        <w:t xml:space="preserve">of </w:t>
      </w:r>
      <w:r>
        <w:rPr>
          <w:spacing w:val="-3"/>
        </w:rPr>
        <w:t xml:space="preserve">Headspace </w:t>
      </w:r>
      <w:r>
        <w:t xml:space="preserve">the </w:t>
      </w:r>
      <w:r>
        <w:rPr>
          <w:spacing w:val="-3"/>
        </w:rPr>
        <w:t xml:space="preserve">National </w:t>
      </w:r>
      <w:r>
        <w:rPr>
          <w:spacing w:val="-9"/>
        </w:rPr>
        <w:t xml:space="preserve">Youth </w:t>
      </w:r>
      <w:r>
        <w:rPr>
          <w:spacing w:val="-3"/>
        </w:rPr>
        <w:t xml:space="preserve">Mental Health Foundation and National </w:t>
      </w:r>
      <w:r>
        <w:t xml:space="preserve">Nursing and Midwifery and </w:t>
      </w:r>
      <w:r>
        <w:rPr>
          <w:spacing w:val="-3"/>
        </w:rPr>
        <w:t xml:space="preserve">Physiotherapy Boards </w:t>
      </w:r>
      <w:r>
        <w:t xml:space="preserve">– Victoria </w:t>
      </w:r>
      <w:r>
        <w:rPr>
          <w:spacing w:val="-3"/>
        </w:rPr>
        <w:t xml:space="preserve">Mercy Health Care </w:t>
      </w:r>
      <w:r>
        <w:t xml:space="preserve">Australia </w:t>
      </w:r>
      <w:r>
        <w:rPr>
          <w:spacing w:val="-3"/>
        </w:rPr>
        <w:t>Ltd.</w:t>
      </w:r>
    </w:p>
    <w:p w:rsidR="00E730AE" w:rsidRDefault="00E730AE" w:rsidP="00E730AE">
      <w:pPr>
        <w:pStyle w:val="BodyText"/>
        <w:rPr>
          <w:spacing w:val="-7"/>
        </w:rPr>
      </w:pPr>
      <w:r>
        <w:t xml:space="preserve">Her current Directorships </w:t>
      </w:r>
      <w:r>
        <w:rPr>
          <w:spacing w:val="-3"/>
        </w:rPr>
        <w:t xml:space="preserve">include Dental Health </w:t>
      </w:r>
      <w:r>
        <w:t>Services</w:t>
      </w:r>
      <w:r>
        <w:rPr>
          <w:spacing w:val="-41"/>
        </w:rPr>
        <w:t xml:space="preserve"> </w:t>
      </w:r>
      <w:r>
        <w:t>Victoria,</w:t>
      </w:r>
      <w:r>
        <w:rPr>
          <w:spacing w:val="-29"/>
        </w:rPr>
        <w:t xml:space="preserve"> </w:t>
      </w:r>
      <w:r>
        <w:t>General</w:t>
      </w:r>
      <w:r>
        <w:rPr>
          <w:spacing w:val="-15"/>
        </w:rPr>
        <w:t xml:space="preserve"> </w:t>
      </w:r>
      <w:r>
        <w:t>Practice</w:t>
      </w:r>
      <w:r>
        <w:rPr>
          <w:spacing w:val="-41"/>
        </w:rPr>
        <w:t xml:space="preserve"> </w:t>
      </w:r>
      <w:r>
        <w:rPr>
          <w:spacing w:val="-5"/>
        </w:rPr>
        <w:t>Training</w:t>
      </w:r>
      <w:r>
        <w:rPr>
          <w:spacing w:val="-41"/>
        </w:rPr>
        <w:t xml:space="preserve"> </w:t>
      </w:r>
      <w:r>
        <w:rPr>
          <w:spacing w:val="-7"/>
        </w:rPr>
        <w:t xml:space="preserve">Tasmania; </w:t>
      </w:r>
      <w:r>
        <w:rPr>
          <w:spacing w:val="-3"/>
        </w:rPr>
        <w:t>Public</w:t>
      </w:r>
      <w:r>
        <w:rPr>
          <w:spacing w:val="-36"/>
        </w:rPr>
        <w:t xml:space="preserve"> </w:t>
      </w:r>
      <w:r>
        <w:rPr>
          <w:spacing w:val="-5"/>
        </w:rPr>
        <w:t>Trustee</w:t>
      </w:r>
      <w:r>
        <w:rPr>
          <w:spacing w:val="-35"/>
        </w:rPr>
        <w:t xml:space="preserve"> </w:t>
      </w:r>
      <w:r>
        <w:rPr>
          <w:spacing w:val="-7"/>
        </w:rPr>
        <w:t>Tasmania</w:t>
      </w:r>
      <w:r>
        <w:rPr>
          <w:spacing w:val="-5"/>
        </w:rPr>
        <w:t xml:space="preserve"> </w:t>
      </w:r>
      <w:r>
        <w:t>and</w:t>
      </w:r>
      <w:r>
        <w:rPr>
          <w:spacing w:val="-5"/>
        </w:rPr>
        <w:t xml:space="preserve"> </w:t>
      </w:r>
      <w:r>
        <w:rPr>
          <w:spacing w:val="-3"/>
        </w:rPr>
        <w:t>Lady</w:t>
      </w:r>
      <w:r>
        <w:rPr>
          <w:spacing w:val="-4"/>
        </w:rPr>
        <w:t xml:space="preserve"> </w:t>
      </w:r>
      <w:r>
        <w:t>Gowrie</w:t>
      </w:r>
      <w:r>
        <w:rPr>
          <w:spacing w:val="-36"/>
        </w:rPr>
        <w:t xml:space="preserve"> </w:t>
      </w:r>
      <w:r>
        <w:rPr>
          <w:spacing w:val="-7"/>
        </w:rPr>
        <w:t>Tasmania.</w:t>
      </w:r>
    </w:p>
    <w:p w:rsidR="00E730AE" w:rsidRDefault="00E730AE" w:rsidP="00E730AE">
      <w:pPr>
        <w:pStyle w:val="BodyText"/>
      </w:pPr>
      <w:r>
        <w:t>Barbara</w:t>
      </w:r>
      <w:r>
        <w:rPr>
          <w:spacing w:val="-10"/>
        </w:rPr>
        <w:t xml:space="preserve"> </w:t>
      </w:r>
      <w:r>
        <w:t>brings</w:t>
      </w:r>
      <w:r>
        <w:rPr>
          <w:spacing w:val="-10"/>
        </w:rPr>
        <w:t xml:space="preserve"> </w:t>
      </w:r>
      <w:r>
        <w:t>a</w:t>
      </w:r>
      <w:r>
        <w:rPr>
          <w:spacing w:val="-10"/>
        </w:rPr>
        <w:t xml:space="preserve"> </w:t>
      </w:r>
      <w:r>
        <w:t>range</w:t>
      </w:r>
      <w:r>
        <w:rPr>
          <w:spacing w:val="-10"/>
        </w:rPr>
        <w:t xml:space="preserve"> </w:t>
      </w:r>
      <w:r>
        <w:t>of</w:t>
      </w:r>
      <w:r>
        <w:rPr>
          <w:spacing w:val="-10"/>
        </w:rPr>
        <w:t xml:space="preserve"> </w:t>
      </w:r>
      <w:r>
        <w:rPr>
          <w:spacing w:val="-3"/>
        </w:rPr>
        <w:t>capabilities</w:t>
      </w:r>
      <w:r>
        <w:rPr>
          <w:spacing w:val="-10"/>
        </w:rPr>
        <w:t xml:space="preserve"> </w:t>
      </w:r>
      <w:r>
        <w:t>to</w:t>
      </w:r>
      <w:r>
        <w:rPr>
          <w:spacing w:val="-10"/>
        </w:rPr>
        <w:t xml:space="preserve"> </w:t>
      </w:r>
      <w:r>
        <w:t>the</w:t>
      </w:r>
      <w:r>
        <w:rPr>
          <w:spacing w:val="-10"/>
        </w:rPr>
        <w:t xml:space="preserve"> </w:t>
      </w:r>
      <w:r>
        <w:rPr>
          <w:spacing w:val="-3"/>
        </w:rPr>
        <w:t xml:space="preserve">Council. These reflect </w:t>
      </w:r>
      <w:r>
        <w:rPr>
          <w:spacing w:val="-4"/>
        </w:rPr>
        <w:t xml:space="preserve">significant </w:t>
      </w:r>
      <w:r>
        <w:rPr>
          <w:spacing w:val="-3"/>
        </w:rPr>
        <w:t xml:space="preserve">experience </w:t>
      </w:r>
      <w:r>
        <w:t xml:space="preserve">in </w:t>
      </w:r>
      <w:r>
        <w:rPr>
          <w:spacing w:val="-4"/>
        </w:rPr>
        <w:t xml:space="preserve">governance </w:t>
      </w:r>
      <w:r>
        <w:t xml:space="preserve">of </w:t>
      </w:r>
      <w:r>
        <w:rPr>
          <w:spacing w:val="-3"/>
        </w:rPr>
        <w:t xml:space="preserve">clinical quality </w:t>
      </w:r>
      <w:r>
        <w:t xml:space="preserve">and </w:t>
      </w:r>
      <w:r>
        <w:rPr>
          <w:spacing w:val="-6"/>
        </w:rPr>
        <w:t xml:space="preserve">safety, </w:t>
      </w:r>
      <w:r>
        <w:rPr>
          <w:spacing w:val="-3"/>
        </w:rPr>
        <w:t xml:space="preserve">finance, audit </w:t>
      </w:r>
      <w:r>
        <w:t xml:space="preserve">and risk </w:t>
      </w:r>
      <w:r>
        <w:rPr>
          <w:spacing w:val="-3"/>
        </w:rPr>
        <w:t xml:space="preserve">management </w:t>
      </w:r>
      <w:r>
        <w:t xml:space="preserve">– </w:t>
      </w:r>
      <w:r>
        <w:rPr>
          <w:spacing w:val="-3"/>
        </w:rPr>
        <w:t xml:space="preserve">consumer </w:t>
      </w:r>
      <w:r>
        <w:t xml:space="preserve">participation, </w:t>
      </w:r>
      <w:r>
        <w:rPr>
          <w:spacing w:val="-4"/>
        </w:rPr>
        <w:t xml:space="preserve">community </w:t>
      </w:r>
      <w:r>
        <w:t xml:space="preserve">partnership and </w:t>
      </w:r>
      <w:r>
        <w:rPr>
          <w:spacing w:val="-3"/>
        </w:rPr>
        <w:t>stakeholder engagement.</w:t>
      </w:r>
      <w:r>
        <w:rPr>
          <w:spacing w:val="19"/>
        </w:rPr>
        <w:t xml:space="preserve"> </w:t>
      </w:r>
      <w:r>
        <w:rPr>
          <w:spacing w:val="-3"/>
        </w:rPr>
        <w:t xml:space="preserve">She </w:t>
      </w:r>
      <w:r>
        <w:t xml:space="preserve">has </w:t>
      </w:r>
      <w:r>
        <w:rPr>
          <w:spacing w:val="-3"/>
        </w:rPr>
        <w:t xml:space="preserve">high level management experience in developing business scope </w:t>
      </w:r>
      <w:r>
        <w:t xml:space="preserve">and structure and in </w:t>
      </w:r>
      <w:r>
        <w:rPr>
          <w:spacing w:val="-3"/>
        </w:rPr>
        <w:t xml:space="preserve">the commissioning </w:t>
      </w:r>
      <w:r>
        <w:t xml:space="preserve">of </w:t>
      </w:r>
      <w:r>
        <w:rPr>
          <w:spacing w:val="-3"/>
        </w:rPr>
        <w:t xml:space="preserve">health </w:t>
      </w:r>
      <w:r>
        <w:t xml:space="preserve">services </w:t>
      </w:r>
      <w:r>
        <w:rPr>
          <w:spacing w:val="-3"/>
        </w:rPr>
        <w:t xml:space="preserve">including </w:t>
      </w:r>
      <w:r>
        <w:t xml:space="preserve">in </w:t>
      </w:r>
      <w:r>
        <w:rPr>
          <w:spacing w:val="-3"/>
        </w:rPr>
        <w:t>mental health.</w:t>
      </w:r>
    </w:p>
    <w:p w:rsidR="00E730AE" w:rsidRDefault="00E730AE" w:rsidP="00E730AE">
      <w:pPr>
        <w:pStyle w:val="BodyText"/>
      </w:pPr>
      <w:r>
        <w:t xml:space="preserve">As a </w:t>
      </w:r>
      <w:r>
        <w:rPr>
          <w:spacing w:val="-3"/>
        </w:rPr>
        <w:t xml:space="preserve">co-consultant </w:t>
      </w:r>
      <w:r>
        <w:t xml:space="preserve">to the </w:t>
      </w:r>
      <w:r>
        <w:rPr>
          <w:spacing w:val="-3"/>
        </w:rPr>
        <w:t xml:space="preserve">Commission </w:t>
      </w:r>
      <w:r>
        <w:t xml:space="preserve">on Delivery of </w:t>
      </w:r>
      <w:r>
        <w:rPr>
          <w:spacing w:val="-3"/>
        </w:rPr>
        <w:t xml:space="preserve">Health </w:t>
      </w:r>
      <w:r>
        <w:t xml:space="preserve">Services in </w:t>
      </w:r>
      <w:r>
        <w:rPr>
          <w:spacing w:val="-7"/>
        </w:rPr>
        <w:t xml:space="preserve">Tasmania </w:t>
      </w:r>
      <w:r>
        <w:t xml:space="preserve">Barbara </w:t>
      </w:r>
      <w:r>
        <w:rPr>
          <w:spacing w:val="-3"/>
        </w:rPr>
        <w:t xml:space="preserve">facilitated stakeholder consultation </w:t>
      </w:r>
      <w:r>
        <w:t xml:space="preserve">on </w:t>
      </w:r>
      <w:r>
        <w:rPr>
          <w:spacing w:val="-3"/>
        </w:rPr>
        <w:t xml:space="preserve">sustainability </w:t>
      </w:r>
      <w:r>
        <w:t xml:space="preserve">of </w:t>
      </w:r>
      <w:r>
        <w:rPr>
          <w:spacing w:val="-3"/>
        </w:rPr>
        <w:t xml:space="preserve">the </w:t>
      </w:r>
      <w:r>
        <w:rPr>
          <w:spacing w:val="-6"/>
        </w:rPr>
        <w:t xml:space="preserve">Tasmanian </w:t>
      </w:r>
      <w:r>
        <w:rPr>
          <w:spacing w:val="-3"/>
        </w:rPr>
        <w:t xml:space="preserve">health care system </w:t>
      </w:r>
      <w:r>
        <w:t xml:space="preserve">and </w:t>
      </w:r>
      <w:r>
        <w:rPr>
          <w:spacing w:val="-4"/>
        </w:rPr>
        <w:t xml:space="preserve">reviewed </w:t>
      </w:r>
      <w:r>
        <w:rPr>
          <w:spacing w:val="-3"/>
        </w:rPr>
        <w:t xml:space="preserve">organisational </w:t>
      </w:r>
      <w:r>
        <w:t xml:space="preserve">and </w:t>
      </w:r>
      <w:r>
        <w:rPr>
          <w:spacing w:val="-3"/>
        </w:rPr>
        <w:t xml:space="preserve">clinical governance </w:t>
      </w:r>
      <w:r>
        <w:t xml:space="preserve">arrangements in and </w:t>
      </w:r>
      <w:r>
        <w:rPr>
          <w:spacing w:val="-3"/>
        </w:rPr>
        <w:t xml:space="preserve">across </w:t>
      </w:r>
      <w:r>
        <w:t xml:space="preserve">the </w:t>
      </w:r>
      <w:r>
        <w:rPr>
          <w:spacing w:val="-6"/>
        </w:rPr>
        <w:t xml:space="preserve">Tasmanian </w:t>
      </w:r>
      <w:r>
        <w:rPr>
          <w:spacing w:val="-3"/>
        </w:rPr>
        <w:t>health care system.</w:t>
      </w:r>
    </w:p>
    <w:p w:rsidR="00E730AE" w:rsidRDefault="00E730AE" w:rsidP="00E730AE">
      <w:pPr>
        <w:pStyle w:val="BodyText"/>
      </w:pPr>
      <w:r>
        <w:t xml:space="preserve">She </w:t>
      </w:r>
      <w:r>
        <w:rPr>
          <w:spacing w:val="-3"/>
        </w:rPr>
        <w:t xml:space="preserve">also developed </w:t>
      </w:r>
      <w:r>
        <w:t xml:space="preserve">the strategy and framework </w:t>
      </w:r>
      <w:r>
        <w:rPr>
          <w:spacing w:val="-3"/>
        </w:rPr>
        <w:t xml:space="preserve">for stakeholder consultation health consumer representation project </w:t>
      </w:r>
      <w:r>
        <w:t xml:space="preserve">in </w:t>
      </w:r>
      <w:r>
        <w:rPr>
          <w:spacing w:val="-6"/>
        </w:rPr>
        <w:t xml:space="preserve">Tasmania. </w:t>
      </w:r>
      <w:r>
        <w:rPr>
          <w:spacing w:val="-3"/>
        </w:rPr>
        <w:t xml:space="preserve">Recently she consulted </w:t>
      </w:r>
      <w:r>
        <w:t xml:space="preserve">to the </w:t>
      </w:r>
      <w:r>
        <w:rPr>
          <w:spacing w:val="-3"/>
        </w:rPr>
        <w:t xml:space="preserve">University </w:t>
      </w:r>
      <w:r>
        <w:t xml:space="preserve">of </w:t>
      </w:r>
      <w:r>
        <w:rPr>
          <w:spacing w:val="-6"/>
        </w:rPr>
        <w:t xml:space="preserve">Tasmania, </w:t>
      </w:r>
      <w:r>
        <w:rPr>
          <w:spacing w:val="-3"/>
        </w:rPr>
        <w:t xml:space="preserve">informing their </w:t>
      </w:r>
      <w:r>
        <w:t xml:space="preserve">strategy </w:t>
      </w:r>
      <w:r>
        <w:rPr>
          <w:spacing w:val="-3"/>
        </w:rPr>
        <w:t xml:space="preserve">for addressing health, allied health </w:t>
      </w:r>
      <w:r>
        <w:t xml:space="preserve">and </w:t>
      </w:r>
      <w:r>
        <w:rPr>
          <w:spacing w:val="-3"/>
        </w:rPr>
        <w:t xml:space="preserve">community </w:t>
      </w:r>
      <w:r>
        <w:t xml:space="preserve">service </w:t>
      </w:r>
      <w:r>
        <w:rPr>
          <w:spacing w:val="-3"/>
        </w:rPr>
        <w:t xml:space="preserve">workforce </w:t>
      </w:r>
      <w:r>
        <w:rPr>
          <w:spacing w:val="-4"/>
        </w:rPr>
        <w:t xml:space="preserve">development </w:t>
      </w:r>
      <w:r>
        <w:rPr>
          <w:spacing w:val="-3"/>
        </w:rPr>
        <w:t xml:space="preserve">needs, linked </w:t>
      </w:r>
      <w:r>
        <w:t xml:space="preserve">to reform in the </w:t>
      </w:r>
      <w:r>
        <w:rPr>
          <w:spacing w:val="-5"/>
        </w:rPr>
        <w:t xml:space="preserve">disability, </w:t>
      </w:r>
      <w:r>
        <w:rPr>
          <w:spacing w:val="-3"/>
        </w:rPr>
        <w:t xml:space="preserve">aged and mental health care </w:t>
      </w:r>
      <w:r>
        <w:t xml:space="preserve">sectors.  </w:t>
      </w:r>
      <w:r>
        <w:rPr>
          <w:spacing w:val="-3"/>
        </w:rPr>
        <w:t xml:space="preserve">Other consultancy roles include </w:t>
      </w:r>
      <w:r>
        <w:t xml:space="preserve">wit </w:t>
      </w:r>
      <w:r>
        <w:rPr>
          <w:spacing w:val="-3"/>
        </w:rPr>
        <w:t xml:space="preserve">Breast Screen </w:t>
      </w:r>
      <w:r>
        <w:t xml:space="preserve">Australia on </w:t>
      </w:r>
      <w:r>
        <w:rPr>
          <w:spacing w:val="-3"/>
        </w:rPr>
        <w:t xml:space="preserve">Future Directions for </w:t>
      </w:r>
      <w:r>
        <w:t xml:space="preserve">the </w:t>
      </w:r>
      <w:r>
        <w:rPr>
          <w:spacing w:val="-3"/>
        </w:rPr>
        <w:t xml:space="preserve">Integration </w:t>
      </w:r>
      <w:r>
        <w:t xml:space="preserve">of </w:t>
      </w:r>
      <w:r>
        <w:rPr>
          <w:spacing w:val="-3"/>
        </w:rPr>
        <w:t xml:space="preserve">Mammographic Density </w:t>
      </w:r>
      <w:r>
        <w:t xml:space="preserve">in </w:t>
      </w:r>
      <w:r>
        <w:rPr>
          <w:spacing w:val="-3"/>
        </w:rPr>
        <w:t>Breast Screening.</w:t>
      </w:r>
    </w:p>
    <w:p w:rsidR="00E730AE" w:rsidRDefault="00E730AE" w:rsidP="00E730AE">
      <w:pPr>
        <w:pStyle w:val="BodyText"/>
      </w:pPr>
      <w:r>
        <w:t xml:space="preserve">Barbara is </w:t>
      </w:r>
      <w:r>
        <w:rPr>
          <w:spacing w:val="-3"/>
        </w:rPr>
        <w:t xml:space="preserve">also </w:t>
      </w:r>
      <w:r>
        <w:t xml:space="preserve">an </w:t>
      </w:r>
      <w:r>
        <w:rPr>
          <w:spacing w:val="-3"/>
        </w:rPr>
        <w:t xml:space="preserve">experienced allied health practitioner </w:t>
      </w:r>
      <w:r>
        <w:t xml:space="preserve">in </w:t>
      </w:r>
      <w:r>
        <w:rPr>
          <w:spacing w:val="-3"/>
        </w:rPr>
        <w:t xml:space="preserve">public </w:t>
      </w:r>
      <w:r>
        <w:t xml:space="preserve">and </w:t>
      </w:r>
      <w:r>
        <w:rPr>
          <w:spacing w:val="-3"/>
        </w:rPr>
        <w:t xml:space="preserve">community health settings. </w:t>
      </w:r>
      <w:r>
        <w:t xml:space="preserve">Her practice </w:t>
      </w:r>
      <w:r>
        <w:rPr>
          <w:spacing w:val="-3"/>
        </w:rPr>
        <w:t xml:space="preserve">included therapeutic social </w:t>
      </w:r>
      <w:r>
        <w:t xml:space="preserve">work </w:t>
      </w:r>
      <w:r>
        <w:rPr>
          <w:spacing w:val="-3"/>
        </w:rPr>
        <w:t xml:space="preserve">in complex mental health, violence against </w:t>
      </w:r>
      <w:r>
        <w:rPr>
          <w:spacing w:val="-4"/>
        </w:rPr>
        <w:t xml:space="preserve">women </w:t>
      </w:r>
      <w:r>
        <w:t xml:space="preserve">and </w:t>
      </w:r>
      <w:r>
        <w:rPr>
          <w:spacing w:val="-3"/>
        </w:rPr>
        <w:t xml:space="preserve">their children, child abuse </w:t>
      </w:r>
      <w:r>
        <w:t xml:space="preserve">and </w:t>
      </w:r>
      <w:r>
        <w:rPr>
          <w:spacing w:val="-3"/>
        </w:rPr>
        <w:t>sexual</w:t>
      </w:r>
      <w:r>
        <w:rPr>
          <w:spacing w:val="-40"/>
        </w:rPr>
        <w:t xml:space="preserve"> </w:t>
      </w:r>
      <w:r>
        <w:rPr>
          <w:spacing w:val="-3"/>
        </w:rPr>
        <w:t>assault.</w:t>
      </w:r>
    </w:p>
    <w:p w:rsidR="00E730AE" w:rsidRDefault="00E730AE" w:rsidP="00E730AE">
      <w:pPr>
        <w:pStyle w:val="BodyText"/>
      </w:pPr>
      <w:r>
        <w:t xml:space="preserve">She is </w:t>
      </w:r>
      <w:r>
        <w:rPr>
          <w:spacing w:val="-3"/>
        </w:rPr>
        <w:t xml:space="preserve">deeply aware </w:t>
      </w:r>
      <w:r>
        <w:t xml:space="preserve">of </w:t>
      </w:r>
      <w:r>
        <w:rPr>
          <w:spacing w:val="-3"/>
        </w:rPr>
        <w:t xml:space="preserve">issues </w:t>
      </w:r>
      <w:r>
        <w:t xml:space="preserve">in </w:t>
      </w:r>
      <w:r>
        <w:rPr>
          <w:spacing w:val="-3"/>
        </w:rPr>
        <w:t xml:space="preserve">access, reliability </w:t>
      </w:r>
      <w:r>
        <w:t xml:space="preserve">and </w:t>
      </w:r>
      <w:r>
        <w:rPr>
          <w:spacing w:val="-3"/>
        </w:rPr>
        <w:t xml:space="preserve">affordability </w:t>
      </w:r>
      <w:r>
        <w:t xml:space="preserve">of </w:t>
      </w:r>
      <w:r>
        <w:rPr>
          <w:spacing w:val="-3"/>
        </w:rPr>
        <w:t xml:space="preserve">whole </w:t>
      </w:r>
      <w:r>
        <w:t xml:space="preserve">of </w:t>
      </w:r>
      <w:r>
        <w:rPr>
          <w:spacing w:val="-3"/>
        </w:rPr>
        <w:t xml:space="preserve">life health care and promotion for </w:t>
      </w:r>
      <w:r>
        <w:t xml:space="preserve">all </w:t>
      </w:r>
      <w:r>
        <w:rPr>
          <w:spacing w:val="-6"/>
        </w:rPr>
        <w:t xml:space="preserve">Tasmanians, </w:t>
      </w:r>
      <w:r>
        <w:t xml:space="preserve">and the </w:t>
      </w:r>
      <w:r>
        <w:rPr>
          <w:spacing w:val="-3"/>
        </w:rPr>
        <w:t xml:space="preserve">value of </w:t>
      </w:r>
      <w:r>
        <w:rPr>
          <w:spacing w:val="-4"/>
        </w:rPr>
        <w:t xml:space="preserve">effective </w:t>
      </w:r>
      <w:r>
        <w:rPr>
          <w:spacing w:val="-3"/>
        </w:rPr>
        <w:t xml:space="preserve">interrelationships between acute and </w:t>
      </w:r>
      <w:r>
        <w:t xml:space="preserve">primary </w:t>
      </w:r>
      <w:r>
        <w:rPr>
          <w:spacing w:val="-3"/>
        </w:rPr>
        <w:t xml:space="preserve">health </w:t>
      </w:r>
      <w:r>
        <w:t xml:space="preserve">services and </w:t>
      </w:r>
      <w:r>
        <w:rPr>
          <w:spacing w:val="-3"/>
        </w:rPr>
        <w:t>providers.</w:t>
      </w:r>
    </w:p>
    <w:p w:rsidR="00E730AE" w:rsidRDefault="00E730AE" w:rsidP="00E730AE">
      <w:pPr>
        <w:pStyle w:val="BodyText"/>
      </w:pPr>
      <w:r>
        <w:t xml:space="preserve">Barbara graduated </w:t>
      </w:r>
      <w:r>
        <w:rPr>
          <w:spacing w:val="-3"/>
        </w:rPr>
        <w:t xml:space="preserve">with </w:t>
      </w:r>
      <w:r>
        <w:t xml:space="preserve">a </w:t>
      </w:r>
      <w:r>
        <w:rPr>
          <w:spacing w:val="-3"/>
        </w:rPr>
        <w:t xml:space="preserve">Bachelor </w:t>
      </w:r>
      <w:r>
        <w:t xml:space="preserve">of Arts in </w:t>
      </w:r>
      <w:r>
        <w:rPr>
          <w:spacing w:val="-3"/>
        </w:rPr>
        <w:t>Administration (with distinction) from the</w:t>
      </w:r>
    </w:p>
    <w:p w:rsidR="00E730AE" w:rsidRDefault="00E730AE" w:rsidP="00E730AE">
      <w:pPr>
        <w:pStyle w:val="BodyText"/>
        <w:rPr>
          <w:spacing w:val="-3"/>
        </w:rPr>
      </w:pPr>
      <w:proofErr w:type="gramStart"/>
      <w:r>
        <w:rPr>
          <w:spacing w:val="-3"/>
        </w:rPr>
        <w:t xml:space="preserve">University </w:t>
      </w:r>
      <w:r>
        <w:t xml:space="preserve">of Canberra and a </w:t>
      </w:r>
      <w:r>
        <w:rPr>
          <w:spacing w:val="-3"/>
        </w:rPr>
        <w:t xml:space="preserve">Bachelor </w:t>
      </w:r>
      <w:r>
        <w:t xml:space="preserve">of </w:t>
      </w:r>
      <w:r>
        <w:rPr>
          <w:spacing w:val="-3"/>
        </w:rPr>
        <w:t xml:space="preserve">Social </w:t>
      </w:r>
      <w:r>
        <w:rPr>
          <w:spacing w:val="-4"/>
        </w:rPr>
        <w:t xml:space="preserve">Work </w:t>
      </w:r>
      <w:r>
        <w:rPr>
          <w:spacing w:val="-3"/>
        </w:rPr>
        <w:t xml:space="preserve">from </w:t>
      </w:r>
      <w:r>
        <w:t xml:space="preserve">the </w:t>
      </w:r>
      <w:r>
        <w:rPr>
          <w:spacing w:val="-3"/>
        </w:rPr>
        <w:t xml:space="preserve">Australian Catholic </w:t>
      </w:r>
      <w:r>
        <w:rPr>
          <w:spacing w:val="-4"/>
        </w:rPr>
        <w:t xml:space="preserve">University, </w:t>
      </w:r>
      <w:r>
        <w:t>Canberra.</w:t>
      </w:r>
      <w:proofErr w:type="gramEnd"/>
      <w:r>
        <w:t xml:space="preserve"> She is </w:t>
      </w:r>
      <w:r>
        <w:rPr>
          <w:spacing w:val="-3"/>
        </w:rPr>
        <w:t xml:space="preserve">also </w:t>
      </w:r>
      <w:r>
        <w:t xml:space="preserve">a graduate of the </w:t>
      </w:r>
      <w:r>
        <w:rPr>
          <w:spacing w:val="-3"/>
        </w:rPr>
        <w:t xml:space="preserve">Australian Institute </w:t>
      </w:r>
      <w:r>
        <w:t xml:space="preserve">of </w:t>
      </w:r>
      <w:r>
        <w:rPr>
          <w:spacing w:val="-3"/>
        </w:rPr>
        <w:t xml:space="preserve">Company </w:t>
      </w:r>
      <w:r>
        <w:t xml:space="preserve">Directors </w:t>
      </w:r>
      <w:r>
        <w:rPr>
          <w:spacing w:val="-3"/>
        </w:rPr>
        <w:t xml:space="preserve">2007, </w:t>
      </w:r>
      <w:r>
        <w:t xml:space="preserve">a </w:t>
      </w:r>
      <w:r>
        <w:rPr>
          <w:spacing w:val="-3"/>
        </w:rPr>
        <w:t xml:space="preserve">member of </w:t>
      </w:r>
      <w:r>
        <w:t xml:space="preserve">the </w:t>
      </w:r>
      <w:r>
        <w:rPr>
          <w:spacing w:val="-3"/>
        </w:rPr>
        <w:t xml:space="preserve">Australian Association </w:t>
      </w:r>
      <w:r>
        <w:t xml:space="preserve">of </w:t>
      </w:r>
      <w:r>
        <w:rPr>
          <w:spacing w:val="-3"/>
        </w:rPr>
        <w:t xml:space="preserve">Social Workers and Institute </w:t>
      </w:r>
      <w:r>
        <w:t xml:space="preserve">of </w:t>
      </w:r>
      <w:r>
        <w:rPr>
          <w:spacing w:val="-3"/>
        </w:rPr>
        <w:t>Public Administration Australia.</w:t>
      </w:r>
    </w:p>
    <w:p w:rsidR="00E730AE" w:rsidRDefault="00E730AE" w:rsidP="00E730AE">
      <w:pPr>
        <w:pStyle w:val="BodyText"/>
      </w:pPr>
    </w:p>
    <w:p w:rsidR="00E730AE" w:rsidRDefault="00E730AE">
      <w:pPr>
        <w:rPr>
          <w:rFonts w:asciiTheme="majorHAnsi" w:eastAsiaTheme="majorEastAsia" w:hAnsiTheme="majorHAnsi" w:cstheme="majorBidi"/>
          <w:color w:val="404040" w:themeColor="text1" w:themeTint="BF"/>
          <w:sz w:val="20"/>
          <w:szCs w:val="20"/>
        </w:rPr>
      </w:pPr>
      <w:r>
        <w:br w:type="page"/>
      </w:r>
    </w:p>
    <w:p w:rsidR="00E730AE" w:rsidRPr="00E730AE" w:rsidRDefault="00E730AE" w:rsidP="00E730AE">
      <w:pPr>
        <w:pStyle w:val="Heading4"/>
        <w:rPr>
          <w:rFonts w:ascii="GillSans-LightItalic"/>
          <w:b w:val="0"/>
          <w:i/>
          <w:sz w:val="22"/>
        </w:rPr>
      </w:pPr>
      <w:r>
        <w:lastRenderedPageBreak/>
        <w:t>Mr John Ramsay (Chair</w:t>
      </w:r>
      <w:proofErr w:type="gramStart"/>
      <w:r>
        <w:t>)</w:t>
      </w:r>
      <w:proofErr w:type="gramEnd"/>
      <w:r>
        <w:br/>
      </w:r>
      <w:r w:rsidRPr="00E730AE">
        <w:rPr>
          <w:rFonts w:ascii="GillSans-LightItalic"/>
          <w:b w:val="0"/>
          <w:i/>
          <w:sz w:val="22"/>
        </w:rPr>
        <w:t>Ll.B (UTas)</w:t>
      </w:r>
    </w:p>
    <w:p w:rsidR="00E730AE" w:rsidRDefault="00E730AE" w:rsidP="00E730AE">
      <w:pPr>
        <w:pStyle w:val="BodyText"/>
        <w:spacing w:before="6"/>
        <w:rPr>
          <w:rFonts w:ascii="GillSans-LightItalic"/>
          <w:i/>
          <w:sz w:val="17"/>
        </w:rPr>
      </w:pPr>
    </w:p>
    <w:p w:rsidR="00E730AE" w:rsidRDefault="00E730AE" w:rsidP="00E730AE">
      <w:pPr>
        <w:pStyle w:val="BodyText"/>
        <w:spacing w:line="268" w:lineRule="auto"/>
        <w:ind w:right="262"/>
      </w:pPr>
      <w:r>
        <w:rPr>
          <w:spacing w:val="-3"/>
        </w:rPr>
        <w:t xml:space="preserve">John Ramsay </w:t>
      </w:r>
      <w:r>
        <w:t xml:space="preserve">is </w:t>
      </w:r>
      <w:r>
        <w:rPr>
          <w:spacing w:val="-3"/>
        </w:rPr>
        <w:t xml:space="preserve">the Chair </w:t>
      </w:r>
      <w:r>
        <w:t xml:space="preserve">of the </w:t>
      </w:r>
      <w:r>
        <w:rPr>
          <w:spacing w:val="-4"/>
        </w:rPr>
        <w:t xml:space="preserve">Governing </w:t>
      </w:r>
      <w:r>
        <w:rPr>
          <w:spacing w:val="-3"/>
        </w:rPr>
        <w:t xml:space="preserve">Council. John has </w:t>
      </w:r>
      <w:proofErr w:type="gramStart"/>
      <w:r>
        <w:rPr>
          <w:spacing w:val="-4"/>
        </w:rPr>
        <w:t xml:space="preserve">significant  </w:t>
      </w:r>
      <w:r>
        <w:rPr>
          <w:spacing w:val="-3"/>
        </w:rPr>
        <w:t>experience</w:t>
      </w:r>
      <w:proofErr w:type="gramEnd"/>
      <w:r>
        <w:rPr>
          <w:spacing w:val="-3"/>
        </w:rPr>
        <w:t xml:space="preserve"> </w:t>
      </w:r>
      <w:r>
        <w:t xml:space="preserve">in </w:t>
      </w:r>
      <w:r>
        <w:rPr>
          <w:spacing w:val="-3"/>
        </w:rPr>
        <w:t xml:space="preserve">health </w:t>
      </w:r>
      <w:r>
        <w:t xml:space="preserve">and </w:t>
      </w:r>
      <w:r>
        <w:rPr>
          <w:spacing w:val="-3"/>
        </w:rPr>
        <w:t xml:space="preserve">human </w:t>
      </w:r>
      <w:r>
        <w:t>service delivery in</w:t>
      </w:r>
      <w:r>
        <w:rPr>
          <w:spacing w:val="-51"/>
        </w:rPr>
        <w:t xml:space="preserve"> </w:t>
      </w:r>
      <w:r>
        <w:rPr>
          <w:spacing w:val="-7"/>
        </w:rPr>
        <w:t>Tasmania.</w:t>
      </w:r>
    </w:p>
    <w:p w:rsidR="00E730AE" w:rsidRDefault="00E730AE" w:rsidP="00E730AE">
      <w:pPr>
        <w:pStyle w:val="BodyText"/>
        <w:spacing w:before="190" w:line="268" w:lineRule="auto"/>
        <w:ind w:right="211"/>
      </w:pPr>
      <w:r>
        <w:t xml:space="preserve">In </w:t>
      </w:r>
      <w:r>
        <w:rPr>
          <w:spacing w:val="-3"/>
        </w:rPr>
        <w:t xml:space="preserve">2014, </w:t>
      </w:r>
      <w:r>
        <w:t xml:space="preserve">he </w:t>
      </w:r>
      <w:r>
        <w:rPr>
          <w:spacing w:val="-3"/>
        </w:rPr>
        <w:t xml:space="preserve">chaired </w:t>
      </w:r>
      <w:r>
        <w:t xml:space="preserve">the </w:t>
      </w:r>
      <w:r>
        <w:rPr>
          <w:spacing w:val="-4"/>
        </w:rPr>
        <w:t xml:space="preserve">Royal </w:t>
      </w:r>
      <w:r>
        <w:t xml:space="preserve">Hobart </w:t>
      </w:r>
      <w:r>
        <w:rPr>
          <w:spacing w:val="-3"/>
        </w:rPr>
        <w:t xml:space="preserve">Hospital Redevelopment Rescue </w:t>
      </w:r>
      <w:r>
        <w:rPr>
          <w:spacing w:val="-6"/>
        </w:rPr>
        <w:t xml:space="preserve">Taskforce </w:t>
      </w:r>
      <w:r>
        <w:t xml:space="preserve">and </w:t>
      </w:r>
      <w:r>
        <w:rPr>
          <w:spacing w:val="-3"/>
        </w:rPr>
        <w:t xml:space="preserve">from 17 </w:t>
      </w:r>
      <w:r>
        <w:t xml:space="preserve">January </w:t>
      </w:r>
      <w:r>
        <w:rPr>
          <w:spacing w:val="-3"/>
        </w:rPr>
        <w:t xml:space="preserve">2015 until </w:t>
      </w:r>
      <w:r>
        <w:t xml:space="preserve">30 </w:t>
      </w:r>
      <w:r>
        <w:rPr>
          <w:spacing w:val="-3"/>
        </w:rPr>
        <w:t xml:space="preserve">June 2015, </w:t>
      </w:r>
      <w:r>
        <w:t xml:space="preserve">he was the </w:t>
      </w:r>
      <w:r>
        <w:rPr>
          <w:spacing w:val="-3"/>
        </w:rPr>
        <w:t xml:space="preserve">Chair </w:t>
      </w:r>
      <w:r>
        <w:t xml:space="preserve">of the 3 </w:t>
      </w:r>
      <w:r>
        <w:rPr>
          <w:spacing w:val="-6"/>
        </w:rPr>
        <w:t xml:space="preserve">Tasmanian </w:t>
      </w:r>
      <w:r>
        <w:rPr>
          <w:spacing w:val="-3"/>
        </w:rPr>
        <w:t>Health Organisations.</w:t>
      </w:r>
    </w:p>
    <w:p w:rsidR="00E730AE" w:rsidRDefault="00E730AE" w:rsidP="00E730AE">
      <w:pPr>
        <w:pStyle w:val="BodyText"/>
        <w:spacing w:before="160" w:line="268" w:lineRule="auto"/>
        <w:ind w:right="238"/>
        <w:rPr>
          <w:spacing w:val="-3"/>
        </w:rPr>
      </w:pPr>
      <w:r>
        <w:rPr>
          <w:spacing w:val="-3"/>
        </w:rPr>
        <w:t xml:space="preserve">John </w:t>
      </w:r>
      <w:r>
        <w:t xml:space="preserve">was Secretary of the </w:t>
      </w:r>
      <w:r>
        <w:rPr>
          <w:spacing w:val="-6"/>
        </w:rPr>
        <w:t xml:space="preserve">Tasmanian </w:t>
      </w:r>
      <w:r>
        <w:t xml:space="preserve">Department of </w:t>
      </w:r>
      <w:r>
        <w:rPr>
          <w:spacing w:val="-3"/>
        </w:rPr>
        <w:t xml:space="preserve">Health </w:t>
      </w:r>
      <w:r>
        <w:t xml:space="preserve">and </w:t>
      </w:r>
      <w:r>
        <w:rPr>
          <w:spacing w:val="-3"/>
        </w:rPr>
        <w:t xml:space="preserve">Human </w:t>
      </w:r>
      <w:r>
        <w:t xml:space="preserve">Services </w:t>
      </w:r>
      <w:r>
        <w:rPr>
          <w:spacing w:val="-3"/>
        </w:rPr>
        <w:t>from 1999-2005.</w:t>
      </w:r>
    </w:p>
    <w:p w:rsidR="00E730AE" w:rsidRDefault="00E730AE" w:rsidP="00E730AE">
      <w:pPr>
        <w:pStyle w:val="BodyText"/>
        <w:spacing w:before="192" w:line="268" w:lineRule="auto"/>
        <w:ind w:right="-9"/>
      </w:pPr>
      <w:r>
        <w:t xml:space="preserve">During </w:t>
      </w:r>
      <w:r>
        <w:rPr>
          <w:spacing w:val="-3"/>
        </w:rPr>
        <w:t xml:space="preserve">that time </w:t>
      </w:r>
      <w:r>
        <w:t xml:space="preserve">he was </w:t>
      </w:r>
      <w:r>
        <w:rPr>
          <w:spacing w:val="-3"/>
        </w:rPr>
        <w:t xml:space="preserve">Deputy Chair and subsequently Chair </w:t>
      </w:r>
      <w:r>
        <w:t xml:space="preserve">of the </w:t>
      </w:r>
      <w:r>
        <w:rPr>
          <w:spacing w:val="-3"/>
        </w:rPr>
        <w:t xml:space="preserve">Australian Health </w:t>
      </w:r>
      <w:r>
        <w:rPr>
          <w:spacing w:val="-4"/>
        </w:rPr>
        <w:t>Minister’s</w:t>
      </w:r>
      <w:r>
        <w:rPr>
          <w:spacing w:val="-19"/>
        </w:rPr>
        <w:t xml:space="preserve"> </w:t>
      </w:r>
      <w:r>
        <w:t>Advisory</w:t>
      </w:r>
      <w:r>
        <w:rPr>
          <w:spacing w:val="-6"/>
        </w:rPr>
        <w:t xml:space="preserve"> </w:t>
      </w:r>
      <w:r>
        <w:rPr>
          <w:spacing w:val="-3"/>
        </w:rPr>
        <w:t>Council</w:t>
      </w:r>
      <w:r>
        <w:rPr>
          <w:spacing w:val="-7"/>
        </w:rPr>
        <w:t xml:space="preserve"> </w:t>
      </w:r>
      <w:r>
        <w:rPr>
          <w:spacing w:val="-4"/>
        </w:rPr>
        <w:t>(AHMAC),</w:t>
      </w:r>
      <w:r>
        <w:rPr>
          <w:spacing w:val="-24"/>
        </w:rPr>
        <w:t xml:space="preserve"> </w:t>
      </w:r>
      <w:r>
        <w:t>and</w:t>
      </w:r>
      <w:r>
        <w:rPr>
          <w:spacing w:val="-6"/>
        </w:rPr>
        <w:t xml:space="preserve"> </w:t>
      </w:r>
      <w:r>
        <w:rPr>
          <w:spacing w:val="-3"/>
        </w:rPr>
        <w:t xml:space="preserve">chaired </w:t>
      </w:r>
      <w:r>
        <w:t xml:space="preserve">the </w:t>
      </w:r>
      <w:r>
        <w:rPr>
          <w:spacing w:val="-5"/>
        </w:rPr>
        <w:t xml:space="preserve">AHMAC </w:t>
      </w:r>
      <w:r>
        <w:rPr>
          <w:spacing w:val="-3"/>
        </w:rPr>
        <w:t>Health</w:t>
      </w:r>
      <w:r>
        <w:rPr>
          <w:spacing w:val="-42"/>
        </w:rPr>
        <w:t xml:space="preserve"> </w:t>
      </w:r>
      <w:r>
        <w:rPr>
          <w:spacing w:val="-4"/>
        </w:rPr>
        <w:t xml:space="preserve">Workforce </w:t>
      </w:r>
      <w:r>
        <w:rPr>
          <w:spacing w:val="-3"/>
        </w:rPr>
        <w:t>Committees.</w:t>
      </w:r>
    </w:p>
    <w:p w:rsidR="00E730AE" w:rsidRDefault="00E730AE" w:rsidP="00E730AE">
      <w:pPr>
        <w:pStyle w:val="BodyText"/>
        <w:spacing w:line="268" w:lineRule="auto"/>
        <w:ind w:right="-9"/>
      </w:pPr>
      <w:r>
        <w:t xml:space="preserve">He was </w:t>
      </w:r>
      <w:r>
        <w:rPr>
          <w:spacing w:val="-3"/>
        </w:rPr>
        <w:t xml:space="preserve">also </w:t>
      </w:r>
      <w:r>
        <w:t xml:space="preserve">a </w:t>
      </w:r>
      <w:r>
        <w:rPr>
          <w:spacing w:val="-3"/>
        </w:rPr>
        <w:t xml:space="preserve">member </w:t>
      </w:r>
      <w:r>
        <w:t xml:space="preserve">of the </w:t>
      </w:r>
      <w:r>
        <w:rPr>
          <w:spacing w:val="-3"/>
        </w:rPr>
        <w:t xml:space="preserve">Australian Medical </w:t>
      </w:r>
      <w:r>
        <w:rPr>
          <w:spacing w:val="-4"/>
        </w:rPr>
        <w:t>Workforce</w:t>
      </w:r>
      <w:r>
        <w:rPr>
          <w:spacing w:val="-21"/>
        </w:rPr>
        <w:t xml:space="preserve"> </w:t>
      </w:r>
      <w:r>
        <w:t>Advisory</w:t>
      </w:r>
      <w:r>
        <w:rPr>
          <w:spacing w:val="-9"/>
        </w:rPr>
        <w:t xml:space="preserve"> </w:t>
      </w:r>
      <w:r>
        <w:t>Committee,</w:t>
      </w:r>
      <w:r>
        <w:rPr>
          <w:spacing w:val="-25"/>
        </w:rPr>
        <w:t xml:space="preserve"> </w:t>
      </w:r>
      <w:r>
        <w:t>a</w:t>
      </w:r>
      <w:r>
        <w:rPr>
          <w:spacing w:val="-9"/>
        </w:rPr>
        <w:t xml:space="preserve"> </w:t>
      </w:r>
      <w:r>
        <w:rPr>
          <w:spacing w:val="-3"/>
        </w:rPr>
        <w:t>member</w:t>
      </w:r>
      <w:r>
        <w:rPr>
          <w:spacing w:val="-9"/>
        </w:rPr>
        <w:t xml:space="preserve"> </w:t>
      </w:r>
      <w:r>
        <w:t>of</w:t>
      </w:r>
      <w:r>
        <w:rPr>
          <w:spacing w:val="-9"/>
        </w:rPr>
        <w:t xml:space="preserve"> </w:t>
      </w:r>
      <w:r>
        <w:rPr>
          <w:spacing w:val="-3"/>
        </w:rPr>
        <w:t xml:space="preserve">the 2002 National Review </w:t>
      </w:r>
      <w:r>
        <w:t xml:space="preserve">of Nursing </w:t>
      </w:r>
      <w:r>
        <w:rPr>
          <w:spacing w:val="-3"/>
        </w:rPr>
        <w:t xml:space="preserve">Education, </w:t>
      </w:r>
      <w:r>
        <w:t xml:space="preserve">and a </w:t>
      </w:r>
      <w:r>
        <w:rPr>
          <w:spacing w:val="-3"/>
        </w:rPr>
        <w:t xml:space="preserve">member </w:t>
      </w:r>
      <w:r>
        <w:t xml:space="preserve">of the </w:t>
      </w:r>
      <w:r>
        <w:rPr>
          <w:spacing w:val="-3"/>
        </w:rPr>
        <w:t>Australian Medical</w:t>
      </w:r>
      <w:r>
        <w:rPr>
          <w:spacing w:val="-26"/>
        </w:rPr>
        <w:t xml:space="preserve"> </w:t>
      </w:r>
      <w:r>
        <w:rPr>
          <w:spacing w:val="-3"/>
        </w:rPr>
        <w:t>Council.</w:t>
      </w:r>
    </w:p>
    <w:p w:rsidR="00E730AE" w:rsidRDefault="00E730AE" w:rsidP="00E730AE">
      <w:pPr>
        <w:pStyle w:val="BodyText"/>
        <w:spacing w:before="160" w:line="268" w:lineRule="auto"/>
      </w:pPr>
      <w:r>
        <w:t xml:space="preserve">On </w:t>
      </w:r>
      <w:r>
        <w:rPr>
          <w:spacing w:val="-4"/>
        </w:rPr>
        <w:t xml:space="preserve">leaving </w:t>
      </w:r>
      <w:r>
        <w:t xml:space="preserve">the </w:t>
      </w:r>
      <w:r>
        <w:rPr>
          <w:spacing w:val="-6"/>
        </w:rPr>
        <w:t xml:space="preserve">Tasmanian </w:t>
      </w:r>
      <w:r>
        <w:rPr>
          <w:spacing w:val="-3"/>
        </w:rPr>
        <w:t xml:space="preserve">Public </w:t>
      </w:r>
      <w:r>
        <w:t xml:space="preserve">Service </w:t>
      </w:r>
      <w:r>
        <w:rPr>
          <w:spacing w:val="-3"/>
        </w:rPr>
        <w:t xml:space="preserve">he established </w:t>
      </w:r>
      <w:r>
        <w:t xml:space="preserve">a </w:t>
      </w:r>
      <w:r>
        <w:rPr>
          <w:spacing w:val="-3"/>
        </w:rPr>
        <w:t xml:space="preserve">consulting </w:t>
      </w:r>
      <w:r>
        <w:t xml:space="preserve">practice and undertook </w:t>
      </w:r>
      <w:r>
        <w:rPr>
          <w:spacing w:val="-3"/>
        </w:rPr>
        <w:t xml:space="preserve">numerous consultancies for </w:t>
      </w:r>
      <w:r>
        <w:t xml:space="preserve">the </w:t>
      </w:r>
      <w:r>
        <w:rPr>
          <w:spacing w:val="-3"/>
        </w:rPr>
        <w:t xml:space="preserve">Australian Commission </w:t>
      </w:r>
      <w:r>
        <w:t xml:space="preserve">on </w:t>
      </w:r>
      <w:r>
        <w:rPr>
          <w:spacing w:val="-3"/>
        </w:rPr>
        <w:t xml:space="preserve">Safety </w:t>
      </w:r>
      <w:r>
        <w:t xml:space="preserve">and </w:t>
      </w:r>
      <w:r>
        <w:rPr>
          <w:spacing w:val="-3"/>
        </w:rPr>
        <w:t xml:space="preserve">Quality </w:t>
      </w:r>
      <w:r>
        <w:t xml:space="preserve">in </w:t>
      </w:r>
      <w:r>
        <w:rPr>
          <w:spacing w:val="-3"/>
        </w:rPr>
        <w:t xml:space="preserve">Healthcare </w:t>
      </w:r>
      <w:r>
        <w:t xml:space="preserve">and </w:t>
      </w:r>
      <w:r>
        <w:rPr>
          <w:spacing w:val="-3"/>
        </w:rPr>
        <w:t xml:space="preserve">Health </w:t>
      </w:r>
      <w:r>
        <w:rPr>
          <w:spacing w:val="-4"/>
        </w:rPr>
        <w:t xml:space="preserve">Workforce </w:t>
      </w:r>
      <w:r>
        <w:rPr>
          <w:spacing w:val="-3"/>
        </w:rPr>
        <w:t xml:space="preserve">Australia. </w:t>
      </w:r>
      <w:r>
        <w:t xml:space="preserve">He was </w:t>
      </w:r>
      <w:r>
        <w:rPr>
          <w:spacing w:val="-3"/>
        </w:rPr>
        <w:t xml:space="preserve">also </w:t>
      </w:r>
      <w:r>
        <w:t xml:space="preserve">a </w:t>
      </w:r>
      <w:r>
        <w:rPr>
          <w:spacing w:val="-3"/>
        </w:rPr>
        <w:t xml:space="preserve">member </w:t>
      </w:r>
      <w:r>
        <w:t xml:space="preserve">of the </w:t>
      </w:r>
      <w:r>
        <w:rPr>
          <w:spacing w:val="-5"/>
        </w:rPr>
        <w:t xml:space="preserve">Policy </w:t>
      </w:r>
      <w:r>
        <w:rPr>
          <w:spacing w:val="-3"/>
        </w:rPr>
        <w:t xml:space="preserve">Committee </w:t>
      </w:r>
      <w:r>
        <w:t>of the</w:t>
      </w:r>
      <w:r>
        <w:rPr>
          <w:spacing w:val="-40"/>
        </w:rPr>
        <w:t xml:space="preserve"> </w:t>
      </w:r>
      <w:r>
        <w:rPr>
          <w:spacing w:val="-3"/>
        </w:rPr>
        <w:t xml:space="preserve">Australian Medical Council </w:t>
      </w:r>
      <w:r>
        <w:t xml:space="preserve">and a </w:t>
      </w:r>
      <w:r>
        <w:rPr>
          <w:spacing w:val="-3"/>
        </w:rPr>
        <w:t xml:space="preserve">member </w:t>
      </w:r>
      <w:r>
        <w:t xml:space="preserve">of the </w:t>
      </w:r>
      <w:r>
        <w:rPr>
          <w:spacing w:val="-3"/>
        </w:rPr>
        <w:t xml:space="preserve">Board of </w:t>
      </w:r>
      <w:r>
        <w:t xml:space="preserve">the </w:t>
      </w:r>
      <w:r>
        <w:rPr>
          <w:spacing w:val="-3"/>
        </w:rPr>
        <w:t>Menzies Research Institute</w:t>
      </w:r>
      <w:r>
        <w:rPr>
          <w:spacing w:val="-33"/>
        </w:rPr>
        <w:t xml:space="preserve"> </w:t>
      </w:r>
      <w:r>
        <w:rPr>
          <w:spacing w:val="-7"/>
        </w:rPr>
        <w:t>Tasmania.</w:t>
      </w:r>
    </w:p>
    <w:p w:rsidR="00E730AE" w:rsidRDefault="00E730AE" w:rsidP="00E730AE">
      <w:pPr>
        <w:pStyle w:val="BodyText"/>
        <w:spacing w:before="159" w:line="268" w:lineRule="auto"/>
        <w:ind w:right="-9"/>
      </w:pPr>
      <w:r>
        <w:rPr>
          <w:spacing w:val="-3"/>
        </w:rPr>
        <w:t xml:space="preserve">John </w:t>
      </w:r>
      <w:r>
        <w:t xml:space="preserve">was a Department Secretary in </w:t>
      </w:r>
      <w:r>
        <w:rPr>
          <w:spacing w:val="-7"/>
        </w:rPr>
        <w:t xml:space="preserve">Tasmania </w:t>
      </w:r>
      <w:r>
        <w:rPr>
          <w:spacing w:val="-4"/>
        </w:rPr>
        <w:t xml:space="preserve">for </w:t>
      </w:r>
      <w:r>
        <w:t xml:space="preserve">23 years. He was Secretary of </w:t>
      </w:r>
      <w:r>
        <w:rPr>
          <w:spacing w:val="-3"/>
        </w:rPr>
        <w:t xml:space="preserve">what </w:t>
      </w:r>
      <w:r>
        <w:t xml:space="preserve">is </w:t>
      </w:r>
      <w:r>
        <w:rPr>
          <w:spacing w:val="-3"/>
        </w:rPr>
        <w:t xml:space="preserve">now titled </w:t>
      </w:r>
      <w:r>
        <w:t xml:space="preserve">the </w:t>
      </w:r>
      <w:r>
        <w:rPr>
          <w:spacing w:val="-6"/>
        </w:rPr>
        <w:t xml:space="preserve">Tasmanian </w:t>
      </w:r>
      <w:r>
        <w:rPr>
          <w:spacing w:val="-3"/>
        </w:rPr>
        <w:t xml:space="preserve">Justice </w:t>
      </w:r>
      <w:r>
        <w:t xml:space="preserve">Department </w:t>
      </w:r>
      <w:r>
        <w:rPr>
          <w:spacing w:val="-3"/>
        </w:rPr>
        <w:t xml:space="preserve">from 1982- 1989. </w:t>
      </w:r>
      <w:r>
        <w:t xml:space="preserve">In </w:t>
      </w:r>
      <w:r>
        <w:rPr>
          <w:spacing w:val="-3"/>
        </w:rPr>
        <w:t xml:space="preserve">1989 </w:t>
      </w:r>
      <w:r>
        <w:t xml:space="preserve">he was </w:t>
      </w:r>
      <w:r>
        <w:rPr>
          <w:spacing w:val="-3"/>
        </w:rPr>
        <w:t xml:space="preserve">appointed </w:t>
      </w:r>
      <w:r>
        <w:t>the Secretary of</w:t>
      </w:r>
      <w:r>
        <w:rPr>
          <w:spacing w:val="-10"/>
        </w:rPr>
        <w:t xml:space="preserve"> </w:t>
      </w:r>
      <w:r>
        <w:t>the</w:t>
      </w:r>
      <w:r>
        <w:rPr>
          <w:spacing w:val="-10"/>
        </w:rPr>
        <w:t xml:space="preserve"> </w:t>
      </w:r>
      <w:r>
        <w:t>Department</w:t>
      </w:r>
      <w:r>
        <w:rPr>
          <w:spacing w:val="-10"/>
        </w:rPr>
        <w:t xml:space="preserve"> </w:t>
      </w:r>
      <w:r>
        <w:t>of</w:t>
      </w:r>
      <w:r>
        <w:rPr>
          <w:spacing w:val="-10"/>
        </w:rPr>
        <w:t xml:space="preserve"> </w:t>
      </w:r>
      <w:r>
        <w:rPr>
          <w:spacing w:val="-3"/>
        </w:rPr>
        <w:t>Environment</w:t>
      </w:r>
      <w:r>
        <w:rPr>
          <w:spacing w:val="-10"/>
        </w:rPr>
        <w:t xml:space="preserve"> </w:t>
      </w:r>
      <w:r>
        <w:t>and</w:t>
      </w:r>
      <w:r>
        <w:rPr>
          <w:spacing w:val="-10"/>
        </w:rPr>
        <w:t xml:space="preserve"> </w:t>
      </w:r>
      <w:r>
        <w:rPr>
          <w:spacing w:val="-3"/>
        </w:rPr>
        <w:t xml:space="preserve">Planning which subsequently became </w:t>
      </w:r>
      <w:r>
        <w:t xml:space="preserve">the Department </w:t>
      </w:r>
      <w:r>
        <w:rPr>
          <w:spacing w:val="-3"/>
        </w:rPr>
        <w:t xml:space="preserve">of </w:t>
      </w:r>
      <w:r>
        <w:t>Primary</w:t>
      </w:r>
      <w:r>
        <w:rPr>
          <w:spacing w:val="-12"/>
        </w:rPr>
        <w:t xml:space="preserve"> </w:t>
      </w:r>
      <w:r>
        <w:t>Industries, Water</w:t>
      </w:r>
      <w:r>
        <w:rPr>
          <w:spacing w:val="-12"/>
        </w:rPr>
        <w:t xml:space="preserve"> </w:t>
      </w:r>
      <w:r>
        <w:t>and</w:t>
      </w:r>
      <w:r>
        <w:rPr>
          <w:spacing w:val="-12"/>
        </w:rPr>
        <w:t xml:space="preserve"> </w:t>
      </w:r>
      <w:r>
        <w:t>the</w:t>
      </w:r>
      <w:r>
        <w:rPr>
          <w:spacing w:val="-12"/>
        </w:rPr>
        <w:t xml:space="preserve"> </w:t>
      </w:r>
      <w:r>
        <w:rPr>
          <w:spacing w:val="-4"/>
        </w:rPr>
        <w:t>Environment.</w:t>
      </w:r>
    </w:p>
    <w:p w:rsidR="00E730AE" w:rsidRDefault="00E730AE" w:rsidP="00E730AE">
      <w:pPr>
        <w:pStyle w:val="BodyText"/>
        <w:spacing w:before="160" w:line="268" w:lineRule="auto"/>
        <w:ind w:right="140"/>
      </w:pPr>
      <w:r>
        <w:t xml:space="preserve">His </w:t>
      </w:r>
      <w:r>
        <w:rPr>
          <w:spacing w:val="-3"/>
        </w:rPr>
        <w:t xml:space="preserve">consultancy </w:t>
      </w:r>
      <w:r>
        <w:t xml:space="preserve">practice has </w:t>
      </w:r>
      <w:r>
        <w:rPr>
          <w:spacing w:val="-3"/>
        </w:rPr>
        <w:t xml:space="preserve">also included </w:t>
      </w:r>
      <w:r>
        <w:t xml:space="preserve">work in the </w:t>
      </w:r>
      <w:r>
        <w:rPr>
          <w:spacing w:val="-3"/>
        </w:rPr>
        <w:t xml:space="preserve">areas </w:t>
      </w:r>
      <w:r>
        <w:t xml:space="preserve">of </w:t>
      </w:r>
      <w:r>
        <w:rPr>
          <w:spacing w:val="-3"/>
        </w:rPr>
        <w:t xml:space="preserve">environment, planning </w:t>
      </w:r>
      <w:r>
        <w:t xml:space="preserve">and </w:t>
      </w:r>
      <w:r>
        <w:rPr>
          <w:spacing w:val="-3"/>
        </w:rPr>
        <w:t xml:space="preserve">natural resources, </w:t>
      </w:r>
      <w:r>
        <w:t xml:space="preserve">strategic </w:t>
      </w:r>
      <w:r>
        <w:rPr>
          <w:spacing w:val="-3"/>
        </w:rPr>
        <w:t xml:space="preserve">planning </w:t>
      </w:r>
      <w:r>
        <w:t xml:space="preserve">and </w:t>
      </w:r>
      <w:r>
        <w:rPr>
          <w:spacing w:val="-3"/>
        </w:rPr>
        <w:t>facilitation.</w:t>
      </w:r>
    </w:p>
    <w:p w:rsidR="00E730AE" w:rsidRDefault="00E730AE" w:rsidP="00E730AE">
      <w:pPr>
        <w:pStyle w:val="BodyText"/>
        <w:spacing w:before="159" w:line="268" w:lineRule="auto"/>
        <w:ind w:right="152"/>
      </w:pPr>
      <w:r>
        <w:rPr>
          <w:spacing w:val="-3"/>
        </w:rPr>
        <w:t xml:space="preserve">From 2008 until 2015, </w:t>
      </w:r>
      <w:r>
        <w:t xml:space="preserve">he was Chairperson </w:t>
      </w:r>
      <w:r>
        <w:rPr>
          <w:spacing w:val="-3"/>
        </w:rPr>
        <w:t xml:space="preserve">of </w:t>
      </w:r>
      <w:r>
        <w:t xml:space="preserve">the </w:t>
      </w:r>
      <w:r>
        <w:rPr>
          <w:spacing w:val="-3"/>
        </w:rPr>
        <w:t xml:space="preserve">Board </w:t>
      </w:r>
      <w:r>
        <w:t xml:space="preserve">of </w:t>
      </w:r>
      <w:r>
        <w:rPr>
          <w:spacing w:val="-3"/>
        </w:rPr>
        <w:t xml:space="preserve">Environmental Management and </w:t>
      </w:r>
      <w:r>
        <w:rPr>
          <w:spacing w:val="-4"/>
        </w:rPr>
        <w:t xml:space="preserve">Pollution </w:t>
      </w:r>
      <w:r>
        <w:rPr>
          <w:spacing w:val="-3"/>
        </w:rPr>
        <w:t xml:space="preserve">Control. </w:t>
      </w:r>
      <w:r>
        <w:t xml:space="preserve">He is </w:t>
      </w:r>
      <w:r>
        <w:rPr>
          <w:spacing w:val="-3"/>
        </w:rPr>
        <w:t xml:space="preserve">currently </w:t>
      </w:r>
      <w:r>
        <w:t xml:space="preserve">a </w:t>
      </w:r>
      <w:r>
        <w:rPr>
          <w:spacing w:val="-3"/>
        </w:rPr>
        <w:t xml:space="preserve">member </w:t>
      </w:r>
      <w:r>
        <w:t xml:space="preserve">of </w:t>
      </w:r>
      <w:r>
        <w:rPr>
          <w:spacing w:val="-3"/>
        </w:rPr>
        <w:t xml:space="preserve">the </w:t>
      </w:r>
      <w:r>
        <w:rPr>
          <w:spacing w:val="-6"/>
        </w:rPr>
        <w:t xml:space="preserve">Tasmanian </w:t>
      </w:r>
      <w:r>
        <w:rPr>
          <w:spacing w:val="-3"/>
        </w:rPr>
        <w:t xml:space="preserve">Planning Commission </w:t>
      </w:r>
      <w:r>
        <w:t xml:space="preserve">and the </w:t>
      </w:r>
      <w:r>
        <w:rPr>
          <w:spacing w:val="-3"/>
        </w:rPr>
        <w:t xml:space="preserve">Chair of </w:t>
      </w:r>
      <w:r>
        <w:t xml:space="preserve">the </w:t>
      </w:r>
      <w:r>
        <w:rPr>
          <w:spacing w:val="-3"/>
        </w:rPr>
        <w:t xml:space="preserve">Forest </w:t>
      </w:r>
      <w:r>
        <w:t xml:space="preserve">Practices </w:t>
      </w:r>
      <w:r>
        <w:rPr>
          <w:spacing w:val="-4"/>
        </w:rPr>
        <w:t>Authority.</w:t>
      </w:r>
    </w:p>
    <w:p w:rsidR="00E730AE" w:rsidRDefault="00E730AE" w:rsidP="00E730AE">
      <w:pPr>
        <w:pStyle w:val="BodyText"/>
        <w:spacing w:before="160" w:line="268" w:lineRule="auto"/>
        <w:ind w:right="24"/>
        <w:rPr>
          <w:spacing w:val="-3"/>
        </w:rPr>
      </w:pPr>
      <w:r>
        <w:rPr>
          <w:spacing w:val="-3"/>
        </w:rPr>
        <w:t xml:space="preserve">John </w:t>
      </w:r>
      <w:r>
        <w:t xml:space="preserve">is a </w:t>
      </w:r>
      <w:r>
        <w:rPr>
          <w:spacing w:val="-3"/>
        </w:rPr>
        <w:t xml:space="preserve">Fellow </w:t>
      </w:r>
      <w:r>
        <w:t xml:space="preserve">of the </w:t>
      </w:r>
      <w:r>
        <w:rPr>
          <w:spacing w:val="-3"/>
        </w:rPr>
        <w:t xml:space="preserve">University </w:t>
      </w:r>
      <w:r>
        <w:t xml:space="preserve">of </w:t>
      </w:r>
      <w:r>
        <w:rPr>
          <w:spacing w:val="-7"/>
        </w:rPr>
        <w:t xml:space="preserve">Tasmania </w:t>
      </w:r>
      <w:r>
        <w:rPr>
          <w:spacing w:val="-3"/>
        </w:rPr>
        <w:t xml:space="preserve">and </w:t>
      </w:r>
      <w:r>
        <w:t xml:space="preserve">an Honorary </w:t>
      </w:r>
      <w:r>
        <w:rPr>
          <w:spacing w:val="-3"/>
        </w:rPr>
        <w:t xml:space="preserve">Member </w:t>
      </w:r>
      <w:r>
        <w:t xml:space="preserve">of the </w:t>
      </w:r>
      <w:r>
        <w:rPr>
          <w:spacing w:val="-3"/>
        </w:rPr>
        <w:t xml:space="preserve">Planning Institute of Australia. While </w:t>
      </w:r>
      <w:r>
        <w:t xml:space="preserve">not </w:t>
      </w:r>
      <w:r>
        <w:rPr>
          <w:spacing w:val="-3"/>
        </w:rPr>
        <w:t xml:space="preserve">practicing </w:t>
      </w:r>
      <w:r>
        <w:t xml:space="preserve">as a </w:t>
      </w:r>
      <w:r>
        <w:rPr>
          <w:spacing w:val="-7"/>
        </w:rPr>
        <w:t xml:space="preserve">lawyer, </w:t>
      </w:r>
      <w:r>
        <w:rPr>
          <w:spacing w:val="-3"/>
        </w:rPr>
        <w:t xml:space="preserve">John </w:t>
      </w:r>
      <w:r>
        <w:t>was</w:t>
      </w:r>
      <w:r>
        <w:rPr>
          <w:spacing w:val="-8"/>
        </w:rPr>
        <w:t xml:space="preserve"> </w:t>
      </w:r>
      <w:r>
        <w:rPr>
          <w:spacing w:val="-3"/>
        </w:rPr>
        <w:t>admitted</w:t>
      </w:r>
      <w:r>
        <w:rPr>
          <w:spacing w:val="-8"/>
        </w:rPr>
        <w:t xml:space="preserve"> </w:t>
      </w:r>
      <w:r>
        <w:t>to</w:t>
      </w:r>
      <w:r>
        <w:rPr>
          <w:spacing w:val="-8"/>
        </w:rPr>
        <w:t xml:space="preserve"> </w:t>
      </w:r>
      <w:r>
        <w:t>practice</w:t>
      </w:r>
      <w:r>
        <w:rPr>
          <w:spacing w:val="-8"/>
        </w:rPr>
        <w:t xml:space="preserve"> </w:t>
      </w:r>
      <w:r>
        <w:t>in</w:t>
      </w:r>
      <w:r>
        <w:rPr>
          <w:spacing w:val="-8"/>
        </w:rPr>
        <w:t xml:space="preserve"> </w:t>
      </w:r>
      <w:r>
        <w:t>the</w:t>
      </w:r>
      <w:r>
        <w:rPr>
          <w:spacing w:val="-8"/>
        </w:rPr>
        <w:t xml:space="preserve"> </w:t>
      </w:r>
      <w:r>
        <w:rPr>
          <w:spacing w:val="-3"/>
        </w:rPr>
        <w:t>Supreme</w:t>
      </w:r>
      <w:r>
        <w:rPr>
          <w:spacing w:val="-7"/>
        </w:rPr>
        <w:t xml:space="preserve"> </w:t>
      </w:r>
      <w:r>
        <w:t>Court</w:t>
      </w:r>
      <w:r>
        <w:rPr>
          <w:spacing w:val="-8"/>
        </w:rPr>
        <w:t xml:space="preserve"> </w:t>
      </w:r>
      <w:r>
        <w:rPr>
          <w:spacing w:val="-3"/>
        </w:rPr>
        <w:t xml:space="preserve">of </w:t>
      </w:r>
      <w:r>
        <w:rPr>
          <w:spacing w:val="-7"/>
        </w:rPr>
        <w:t xml:space="preserve">Tasmania </w:t>
      </w:r>
      <w:r>
        <w:t>in</w:t>
      </w:r>
      <w:r>
        <w:rPr>
          <w:spacing w:val="1"/>
        </w:rPr>
        <w:t xml:space="preserve"> </w:t>
      </w:r>
      <w:r>
        <w:rPr>
          <w:spacing w:val="-3"/>
        </w:rPr>
        <w:t>1976.</w:t>
      </w:r>
    </w:p>
    <w:p w:rsidR="00E730AE" w:rsidRDefault="00E730AE" w:rsidP="00E730AE">
      <w:pPr>
        <w:pStyle w:val="BodyText"/>
      </w:pPr>
    </w:p>
    <w:p w:rsidR="00E730AE" w:rsidRDefault="00E730AE" w:rsidP="00E730AE">
      <w:pPr>
        <w:pStyle w:val="BodyText"/>
        <w:rPr>
          <w:rFonts w:ascii="GillSans-LightItalic"/>
          <w:i/>
          <w:sz w:val="18"/>
        </w:rPr>
      </w:pPr>
      <w:r w:rsidRPr="00E730AE">
        <w:rPr>
          <w:rStyle w:val="Heading4Char"/>
        </w:rPr>
        <w:t>Mr Mark Scanlon</w:t>
      </w:r>
      <w:r w:rsidRPr="00E730AE">
        <w:rPr>
          <w:rStyle w:val="Heading4Char"/>
        </w:rPr>
        <w:tab/>
      </w:r>
      <w:r w:rsidRPr="00E730AE">
        <w:rPr>
          <w:rStyle w:val="Heading4Char"/>
        </w:rPr>
        <w:br/>
      </w:r>
      <w:r>
        <w:rPr>
          <w:rFonts w:ascii="GillSans-LightItalic"/>
          <w:i/>
          <w:sz w:val="18"/>
        </w:rPr>
        <w:t>MBA BBus FCPA FAICD</w:t>
      </w:r>
    </w:p>
    <w:p w:rsidR="00E730AE" w:rsidRDefault="00E730AE" w:rsidP="00E730AE">
      <w:pPr>
        <w:pStyle w:val="BodyText"/>
      </w:pPr>
      <w:r>
        <w:t xml:space="preserve">Mark </w:t>
      </w:r>
      <w:r>
        <w:rPr>
          <w:spacing w:val="-3"/>
        </w:rPr>
        <w:t xml:space="preserve">Scanlon </w:t>
      </w:r>
      <w:r>
        <w:t xml:space="preserve">is </w:t>
      </w:r>
      <w:r>
        <w:rPr>
          <w:spacing w:val="-3"/>
        </w:rPr>
        <w:t xml:space="preserve">the Chair </w:t>
      </w:r>
      <w:r>
        <w:t xml:space="preserve">of the </w:t>
      </w:r>
      <w:r>
        <w:rPr>
          <w:spacing w:val="-3"/>
        </w:rPr>
        <w:t xml:space="preserve">THS Governing Council Audit </w:t>
      </w:r>
      <w:r>
        <w:t xml:space="preserve">&amp; </w:t>
      </w:r>
      <w:r>
        <w:rPr>
          <w:spacing w:val="-3"/>
        </w:rPr>
        <w:t>Risk Subcommittee.</w:t>
      </w:r>
    </w:p>
    <w:p w:rsidR="00E730AE" w:rsidRPr="00E730AE" w:rsidRDefault="00E730AE" w:rsidP="00E730AE">
      <w:pPr>
        <w:pStyle w:val="BodyText"/>
      </w:pPr>
      <w:r>
        <w:t xml:space="preserve">Mark was a member of the Tasmanian Health </w:t>
      </w:r>
      <w:r w:rsidRPr="00E730AE">
        <w:t>Organisation - North (THO-N) Governing Council from 1 July 2012 to 30 June 2015. During that period he was Chair of the THO-N Audit and Risk Subcommittee. Mark is Chairman of the Credit</w:t>
      </w:r>
      <w:r>
        <w:t xml:space="preserve"> </w:t>
      </w:r>
      <w:r w:rsidRPr="00E730AE">
        <w:t>and Investments Ombudsman Service Limited and Independent Chairman of the Launceston City Council Audit Panel. Mark was Managing Director of Tasmanian Perpetual Trustees Limited, Managing Director of Tasmanian Banking Services Limited and Joint Chief Executive Officer of MyState Limited.</w:t>
      </w:r>
    </w:p>
    <w:p w:rsidR="00E730AE" w:rsidRPr="00E730AE" w:rsidRDefault="00E730AE" w:rsidP="00E730AE">
      <w:pPr>
        <w:pStyle w:val="BodyText"/>
      </w:pPr>
      <w:r w:rsidRPr="00E730AE">
        <w:t xml:space="preserve">Other positions held previously include </w:t>
      </w:r>
      <w:proofErr w:type="gramStart"/>
      <w:r w:rsidRPr="00E730AE">
        <w:t>Director  of</w:t>
      </w:r>
      <w:proofErr w:type="gramEnd"/>
      <w:r w:rsidRPr="00E730AE">
        <w:t xml:space="preserve"> the Motor Accidents Insurance Board (MAIB) and Chairman of the MAIB Audit Committee,</w:t>
      </w:r>
      <w:r>
        <w:t xml:space="preserve"> </w:t>
      </w:r>
      <w:r w:rsidRPr="00E730AE">
        <w:t>Director of the Tasmanian Chamber of Commerce and Industry, President of the Launceston Chamber of Commerce, Director of the Heart Foundation Tasmania and a member of the Heart Foundation National Finance Advisory Committee.</w:t>
      </w:r>
    </w:p>
    <w:p w:rsidR="00E730AE" w:rsidRPr="00E730AE" w:rsidRDefault="00E730AE" w:rsidP="00E730AE">
      <w:pPr>
        <w:pStyle w:val="BodyText"/>
      </w:pPr>
      <w:r w:rsidRPr="00E730AE">
        <w:lastRenderedPageBreak/>
        <w:t>Mark has over 25 years senior executive experience in a variety of industry sectors including funds management, trustee services, banking, health insurance and general insurance. He has a broad</w:t>
      </w:r>
      <w:r>
        <w:t xml:space="preserve"> </w:t>
      </w:r>
      <w:r w:rsidRPr="00E730AE">
        <w:t>set of skills including strategic planning, leadership, business management, marketing and corporate governance.</w:t>
      </w:r>
    </w:p>
    <w:p w:rsidR="00E730AE" w:rsidRPr="00E730AE" w:rsidRDefault="00E730AE" w:rsidP="00E730AE">
      <w:pPr>
        <w:pStyle w:val="BodyText"/>
      </w:pPr>
      <w:r w:rsidRPr="00E730AE">
        <w:t>Mark graduated with a Bachelor of Business (with distinction) from Victoria University. He has a Master of Business Administration from RMIT University and completed a Harvard Club of Australia Leadership Program.</w:t>
      </w:r>
    </w:p>
    <w:p w:rsidR="00E730AE" w:rsidRDefault="00E730AE" w:rsidP="00E730AE">
      <w:pPr>
        <w:pStyle w:val="BodyText"/>
      </w:pPr>
      <w:r w:rsidRPr="00E730AE">
        <w:t>Mark is a Fellow of CPA Australia and the Australian Institute of Company Directors.</w:t>
      </w:r>
    </w:p>
    <w:p w:rsidR="00E730AE" w:rsidRDefault="00E730AE" w:rsidP="00E730AE">
      <w:pPr>
        <w:pStyle w:val="BodyText"/>
      </w:pPr>
    </w:p>
    <w:p w:rsidR="00E730AE" w:rsidRDefault="00E730AE" w:rsidP="00E730AE">
      <w:pPr>
        <w:pStyle w:val="BodyText"/>
      </w:pPr>
      <w:r>
        <w:t>Professor Judith Walker</w:t>
      </w:r>
    </w:p>
    <w:p w:rsidR="00E730AE" w:rsidRDefault="00E730AE" w:rsidP="00E730AE">
      <w:pPr>
        <w:pStyle w:val="BodyText"/>
        <w:rPr>
          <w:rFonts w:ascii="GillSans-LightItalic"/>
          <w:i/>
          <w:sz w:val="18"/>
        </w:rPr>
      </w:pPr>
      <w:r>
        <w:rPr>
          <w:rFonts w:ascii="GillSans-LightItalic"/>
          <w:i/>
          <w:sz w:val="18"/>
        </w:rPr>
        <w:t>PhD Grad Dip Ed BA (Hons) FACE</w:t>
      </w:r>
    </w:p>
    <w:p w:rsidR="00E730AE" w:rsidRDefault="00E730AE" w:rsidP="00E730AE">
      <w:pPr>
        <w:pStyle w:val="BodyText"/>
      </w:pPr>
      <w:r>
        <w:rPr>
          <w:spacing w:val="-3"/>
        </w:rPr>
        <w:t xml:space="preserve">Professor Judi </w:t>
      </w:r>
      <w:r>
        <w:rPr>
          <w:spacing w:val="-5"/>
        </w:rPr>
        <w:t xml:space="preserve">Walker </w:t>
      </w:r>
      <w:r>
        <w:t xml:space="preserve">is the </w:t>
      </w:r>
      <w:r>
        <w:rPr>
          <w:spacing w:val="-3"/>
        </w:rPr>
        <w:t xml:space="preserve">Chair </w:t>
      </w:r>
      <w:r>
        <w:t xml:space="preserve">of the </w:t>
      </w:r>
      <w:r>
        <w:rPr>
          <w:spacing w:val="-4"/>
        </w:rPr>
        <w:t xml:space="preserve">Governing </w:t>
      </w:r>
      <w:r>
        <w:rPr>
          <w:spacing w:val="-3"/>
        </w:rPr>
        <w:t>Council</w:t>
      </w:r>
      <w:r>
        <w:rPr>
          <w:spacing w:val="-16"/>
        </w:rPr>
        <w:t xml:space="preserve"> </w:t>
      </w:r>
      <w:r>
        <w:t>Partnerships</w:t>
      </w:r>
    </w:p>
    <w:p w:rsidR="00E730AE" w:rsidRDefault="00E730AE" w:rsidP="00E730AE">
      <w:pPr>
        <w:pStyle w:val="BodyText"/>
      </w:pPr>
      <w:proofErr w:type="gramStart"/>
      <w:r>
        <w:rPr>
          <w:spacing w:val="-3"/>
        </w:rPr>
        <w:t>Subcommittee.</w:t>
      </w:r>
      <w:proofErr w:type="gramEnd"/>
      <w:r>
        <w:rPr>
          <w:spacing w:val="-3"/>
        </w:rPr>
        <w:t xml:space="preserve"> Judi </w:t>
      </w:r>
      <w:r>
        <w:t xml:space="preserve">has </w:t>
      </w:r>
      <w:r>
        <w:rPr>
          <w:spacing w:val="-4"/>
        </w:rPr>
        <w:t xml:space="preserve">over </w:t>
      </w:r>
      <w:r>
        <w:t xml:space="preserve">20 years’ </w:t>
      </w:r>
      <w:r>
        <w:rPr>
          <w:spacing w:val="-3"/>
        </w:rPr>
        <w:t xml:space="preserve">experience </w:t>
      </w:r>
      <w:r>
        <w:t xml:space="preserve">in </w:t>
      </w:r>
      <w:r>
        <w:rPr>
          <w:spacing w:val="-3"/>
        </w:rPr>
        <w:t xml:space="preserve">senior academic </w:t>
      </w:r>
      <w:r>
        <w:t xml:space="preserve">and </w:t>
      </w:r>
      <w:r>
        <w:rPr>
          <w:spacing w:val="-3"/>
        </w:rPr>
        <w:t xml:space="preserve">health </w:t>
      </w:r>
      <w:r>
        <w:t xml:space="preserve">leadership </w:t>
      </w:r>
      <w:r>
        <w:rPr>
          <w:spacing w:val="-3"/>
        </w:rPr>
        <w:t xml:space="preserve">positions. </w:t>
      </w:r>
      <w:r>
        <w:t xml:space="preserve">She brings a </w:t>
      </w:r>
      <w:r>
        <w:rPr>
          <w:spacing w:val="-3"/>
        </w:rPr>
        <w:t xml:space="preserve">wealth </w:t>
      </w:r>
      <w:r>
        <w:t xml:space="preserve">of </w:t>
      </w:r>
      <w:r>
        <w:rPr>
          <w:spacing w:val="-3"/>
        </w:rPr>
        <w:t xml:space="preserve">knowledge </w:t>
      </w:r>
      <w:r>
        <w:t xml:space="preserve">of rural </w:t>
      </w:r>
      <w:r>
        <w:rPr>
          <w:spacing w:val="-3"/>
        </w:rPr>
        <w:t xml:space="preserve">and regional health </w:t>
      </w:r>
      <w:r>
        <w:t xml:space="preserve">services, </w:t>
      </w:r>
      <w:r>
        <w:rPr>
          <w:spacing w:val="-3"/>
        </w:rPr>
        <w:t xml:space="preserve">health workforce training </w:t>
      </w:r>
      <w:r>
        <w:t xml:space="preserve">and </w:t>
      </w:r>
      <w:proofErr w:type="gramStart"/>
      <w:r>
        <w:rPr>
          <w:spacing w:val="-3"/>
        </w:rPr>
        <w:t>re-design</w:t>
      </w:r>
      <w:proofErr w:type="gramEnd"/>
      <w:r>
        <w:rPr>
          <w:spacing w:val="-3"/>
        </w:rPr>
        <w:t xml:space="preserve">, ageing well </w:t>
      </w:r>
      <w:r>
        <w:rPr>
          <w:spacing w:val="-6"/>
        </w:rPr>
        <w:t xml:space="preserve">policy, </w:t>
      </w:r>
      <w:r>
        <w:rPr>
          <w:spacing w:val="-4"/>
        </w:rPr>
        <w:t xml:space="preserve">community </w:t>
      </w:r>
      <w:r>
        <w:rPr>
          <w:spacing w:val="-3"/>
        </w:rPr>
        <w:t xml:space="preserve">engagement </w:t>
      </w:r>
      <w:r>
        <w:t xml:space="preserve">and </w:t>
      </w:r>
      <w:r>
        <w:rPr>
          <w:spacing w:val="-4"/>
        </w:rPr>
        <w:t xml:space="preserve">innovative </w:t>
      </w:r>
      <w:r>
        <w:rPr>
          <w:spacing w:val="-3"/>
        </w:rPr>
        <w:t xml:space="preserve">approaches </w:t>
      </w:r>
      <w:r>
        <w:t xml:space="preserve">to </w:t>
      </w:r>
      <w:r>
        <w:rPr>
          <w:spacing w:val="-3"/>
        </w:rPr>
        <w:t xml:space="preserve">regional medical </w:t>
      </w:r>
      <w:r>
        <w:t xml:space="preserve">training and </w:t>
      </w:r>
      <w:r>
        <w:rPr>
          <w:spacing w:val="-3"/>
        </w:rPr>
        <w:t xml:space="preserve">health </w:t>
      </w:r>
      <w:r>
        <w:t xml:space="preserve">service </w:t>
      </w:r>
      <w:r>
        <w:rPr>
          <w:spacing w:val="-4"/>
        </w:rPr>
        <w:t>delivery.</w:t>
      </w:r>
    </w:p>
    <w:p w:rsidR="00E730AE" w:rsidRDefault="00E730AE" w:rsidP="00E730AE">
      <w:pPr>
        <w:pStyle w:val="BodyText"/>
      </w:pPr>
      <w:r>
        <w:rPr>
          <w:spacing w:val="-3"/>
        </w:rPr>
        <w:t xml:space="preserve">Judi recently completed </w:t>
      </w:r>
      <w:r>
        <w:t xml:space="preserve">a </w:t>
      </w:r>
      <w:r>
        <w:rPr>
          <w:spacing w:val="-4"/>
        </w:rPr>
        <w:t xml:space="preserve">five year </w:t>
      </w:r>
      <w:r>
        <w:t xml:space="preserve">term as </w:t>
      </w:r>
      <w:proofErr w:type="gramStart"/>
      <w:r>
        <w:rPr>
          <w:spacing w:val="-3"/>
        </w:rPr>
        <w:t xml:space="preserve">Head  </w:t>
      </w:r>
      <w:r>
        <w:t>of</w:t>
      </w:r>
      <w:proofErr w:type="gramEnd"/>
      <w:r>
        <w:t xml:space="preserve"> the </w:t>
      </w:r>
      <w:r>
        <w:rPr>
          <w:spacing w:val="-3"/>
        </w:rPr>
        <w:t xml:space="preserve">School </w:t>
      </w:r>
      <w:r>
        <w:t xml:space="preserve">of Rural </w:t>
      </w:r>
      <w:r>
        <w:rPr>
          <w:spacing w:val="-3"/>
        </w:rPr>
        <w:t xml:space="preserve">Health </w:t>
      </w:r>
      <w:r>
        <w:t xml:space="preserve">at </w:t>
      </w:r>
      <w:r>
        <w:rPr>
          <w:spacing w:val="-3"/>
        </w:rPr>
        <w:t>Monash</w:t>
      </w:r>
      <w:r>
        <w:rPr>
          <w:spacing w:val="-42"/>
        </w:rPr>
        <w:t xml:space="preserve"> </w:t>
      </w:r>
      <w:r>
        <w:rPr>
          <w:spacing w:val="-4"/>
        </w:rPr>
        <w:t xml:space="preserve">University, </w:t>
      </w:r>
      <w:r>
        <w:rPr>
          <w:spacing w:val="-3"/>
        </w:rPr>
        <w:t xml:space="preserve">with </w:t>
      </w:r>
      <w:r>
        <w:t xml:space="preserve">academic, </w:t>
      </w:r>
      <w:r>
        <w:rPr>
          <w:spacing w:val="-4"/>
        </w:rPr>
        <w:t xml:space="preserve">financial </w:t>
      </w:r>
      <w:r>
        <w:t xml:space="preserve">and </w:t>
      </w:r>
      <w:r>
        <w:rPr>
          <w:spacing w:val="-3"/>
        </w:rPr>
        <w:t xml:space="preserve">human resource management for </w:t>
      </w:r>
      <w:r>
        <w:t xml:space="preserve">one of the largest and the </w:t>
      </w:r>
      <w:r>
        <w:rPr>
          <w:spacing w:val="-3"/>
        </w:rPr>
        <w:t xml:space="preserve">most geographically </w:t>
      </w:r>
      <w:r>
        <w:t xml:space="preserve">dispersed </w:t>
      </w:r>
      <w:r>
        <w:rPr>
          <w:spacing w:val="-3"/>
        </w:rPr>
        <w:t xml:space="preserve">school </w:t>
      </w:r>
      <w:r>
        <w:t xml:space="preserve">in the </w:t>
      </w:r>
      <w:r>
        <w:rPr>
          <w:spacing w:val="-3"/>
        </w:rPr>
        <w:t xml:space="preserve">Faculty of </w:t>
      </w:r>
      <w:r>
        <w:t xml:space="preserve">Medicine. She </w:t>
      </w:r>
      <w:r>
        <w:rPr>
          <w:spacing w:val="-3"/>
        </w:rPr>
        <w:t xml:space="preserve">designed </w:t>
      </w:r>
      <w:r>
        <w:t xml:space="preserve">and </w:t>
      </w:r>
      <w:r>
        <w:rPr>
          <w:spacing w:val="-3"/>
        </w:rPr>
        <w:t xml:space="preserve">implemented the </w:t>
      </w:r>
      <w:r>
        <w:rPr>
          <w:spacing w:val="-4"/>
        </w:rPr>
        <w:t xml:space="preserve">School’s five year </w:t>
      </w:r>
      <w:r>
        <w:t xml:space="preserve">Blueprint </w:t>
      </w:r>
      <w:r>
        <w:rPr>
          <w:spacing w:val="-3"/>
        </w:rPr>
        <w:t xml:space="preserve">with </w:t>
      </w:r>
      <w:r>
        <w:t xml:space="preserve">a new </w:t>
      </w:r>
      <w:r>
        <w:rPr>
          <w:spacing w:val="-3"/>
        </w:rPr>
        <w:t xml:space="preserve">committee governance </w:t>
      </w:r>
      <w:r>
        <w:t xml:space="preserve">structure and risk </w:t>
      </w:r>
      <w:r>
        <w:rPr>
          <w:spacing w:val="-3"/>
        </w:rPr>
        <w:t xml:space="preserve">management </w:t>
      </w:r>
      <w:r>
        <w:t xml:space="preserve">framework. In </w:t>
      </w:r>
      <w:r>
        <w:rPr>
          <w:spacing w:val="-3"/>
        </w:rPr>
        <w:t xml:space="preserve">2015 </w:t>
      </w:r>
      <w:r>
        <w:t xml:space="preserve">she was the </w:t>
      </w:r>
      <w:r>
        <w:rPr>
          <w:spacing w:val="-3"/>
        </w:rPr>
        <w:t xml:space="preserve">Vice </w:t>
      </w:r>
      <w:r>
        <w:rPr>
          <w:spacing w:val="-4"/>
        </w:rPr>
        <w:t xml:space="preserve">Chancellor’s </w:t>
      </w:r>
      <w:r>
        <w:rPr>
          <w:spacing w:val="-3"/>
        </w:rPr>
        <w:t xml:space="preserve">nominee leading negotiations for </w:t>
      </w:r>
      <w:r>
        <w:t xml:space="preserve">a new </w:t>
      </w:r>
      <w:r>
        <w:rPr>
          <w:spacing w:val="-3"/>
        </w:rPr>
        <w:t xml:space="preserve">funding </w:t>
      </w:r>
      <w:r>
        <w:t xml:space="preserve">framework – the Rural </w:t>
      </w:r>
      <w:r>
        <w:rPr>
          <w:spacing w:val="-3"/>
        </w:rPr>
        <w:t xml:space="preserve">Health </w:t>
      </w:r>
      <w:r>
        <w:t xml:space="preserve">Multidisciplinary </w:t>
      </w:r>
      <w:r>
        <w:rPr>
          <w:spacing w:val="-5"/>
        </w:rPr>
        <w:t xml:space="preserve">Training </w:t>
      </w:r>
      <w:r>
        <w:t xml:space="preserve">Program – </w:t>
      </w:r>
      <w:r>
        <w:rPr>
          <w:spacing w:val="-3"/>
        </w:rPr>
        <w:t xml:space="preserve">with </w:t>
      </w:r>
      <w:r>
        <w:t xml:space="preserve">the </w:t>
      </w:r>
      <w:r>
        <w:rPr>
          <w:spacing w:val="-4"/>
        </w:rPr>
        <w:t xml:space="preserve">Commonwealth </w:t>
      </w:r>
      <w:r>
        <w:t>Department of</w:t>
      </w:r>
      <w:r>
        <w:rPr>
          <w:spacing w:val="-22"/>
        </w:rPr>
        <w:t xml:space="preserve"> </w:t>
      </w:r>
      <w:r>
        <w:rPr>
          <w:spacing w:val="-3"/>
        </w:rPr>
        <w:t>Health.</w:t>
      </w:r>
    </w:p>
    <w:p w:rsidR="00E730AE" w:rsidRDefault="00E730AE" w:rsidP="00E730AE">
      <w:pPr>
        <w:pStyle w:val="BodyText"/>
      </w:pPr>
      <w:r>
        <w:t xml:space="preserve">Prior to her </w:t>
      </w:r>
      <w:r>
        <w:rPr>
          <w:spacing w:val="-3"/>
        </w:rPr>
        <w:t xml:space="preserve">appointment with Monash University </w:t>
      </w:r>
      <w:r>
        <w:t xml:space="preserve">she was </w:t>
      </w:r>
      <w:r>
        <w:rPr>
          <w:spacing w:val="-3"/>
        </w:rPr>
        <w:t xml:space="preserve">Chief </w:t>
      </w:r>
      <w:r>
        <w:rPr>
          <w:spacing w:val="-4"/>
        </w:rPr>
        <w:t xml:space="preserve">Executive </w:t>
      </w:r>
      <w:r>
        <w:t xml:space="preserve">of the </w:t>
      </w:r>
      <w:r>
        <w:rPr>
          <w:spacing w:val="-3"/>
        </w:rPr>
        <w:t xml:space="preserve">University of </w:t>
      </w:r>
      <w:r>
        <w:rPr>
          <w:spacing w:val="-7"/>
        </w:rPr>
        <w:t xml:space="preserve">Tasmania’s </w:t>
      </w:r>
      <w:r>
        <w:t xml:space="preserve">Rural </w:t>
      </w:r>
      <w:r>
        <w:rPr>
          <w:spacing w:val="-3"/>
        </w:rPr>
        <w:t xml:space="preserve">Clinical School, </w:t>
      </w:r>
      <w:r>
        <w:t xml:space="preserve">a </w:t>
      </w:r>
      <w:r>
        <w:rPr>
          <w:spacing w:val="-3"/>
        </w:rPr>
        <w:t xml:space="preserve">conjoint appointment with </w:t>
      </w:r>
      <w:r>
        <w:t>the</w:t>
      </w:r>
      <w:r>
        <w:rPr>
          <w:spacing w:val="-51"/>
        </w:rPr>
        <w:t xml:space="preserve"> </w:t>
      </w:r>
      <w:r>
        <w:rPr>
          <w:spacing w:val="-6"/>
        </w:rPr>
        <w:t xml:space="preserve">Tasmanian </w:t>
      </w:r>
      <w:r>
        <w:t>Department</w:t>
      </w:r>
    </w:p>
    <w:p w:rsidR="00E730AE" w:rsidRDefault="00E730AE" w:rsidP="00E730AE">
      <w:pPr>
        <w:pStyle w:val="BodyText"/>
        <w:rPr>
          <w:spacing w:val="-4"/>
        </w:rPr>
      </w:pPr>
      <w:r>
        <w:t xml:space="preserve">of </w:t>
      </w:r>
      <w:r>
        <w:rPr>
          <w:spacing w:val="-3"/>
        </w:rPr>
        <w:t xml:space="preserve">Health </w:t>
      </w:r>
      <w:r>
        <w:t xml:space="preserve">and </w:t>
      </w:r>
      <w:r>
        <w:rPr>
          <w:spacing w:val="-3"/>
        </w:rPr>
        <w:t xml:space="preserve">Human </w:t>
      </w:r>
      <w:r>
        <w:t xml:space="preserve">Services </w:t>
      </w:r>
      <w:r>
        <w:rPr>
          <w:spacing w:val="-3"/>
        </w:rPr>
        <w:t xml:space="preserve">where </w:t>
      </w:r>
      <w:r>
        <w:t xml:space="preserve">she </w:t>
      </w:r>
      <w:r>
        <w:rPr>
          <w:spacing w:val="-3"/>
        </w:rPr>
        <w:t xml:space="preserve">was responsible for </w:t>
      </w:r>
      <w:r>
        <w:t xml:space="preserve">the </w:t>
      </w:r>
      <w:r>
        <w:rPr>
          <w:spacing w:val="-3"/>
        </w:rPr>
        <w:t xml:space="preserve">establishment </w:t>
      </w:r>
      <w:r>
        <w:t xml:space="preserve">of </w:t>
      </w:r>
      <w:r>
        <w:rPr>
          <w:spacing w:val="-3"/>
        </w:rPr>
        <w:t xml:space="preserve">both </w:t>
      </w:r>
      <w:r>
        <w:t xml:space="preserve">the </w:t>
      </w:r>
      <w:r>
        <w:rPr>
          <w:spacing w:val="-9"/>
        </w:rPr>
        <w:t xml:space="preserve">UTAS </w:t>
      </w:r>
      <w:r>
        <w:rPr>
          <w:spacing w:val="-3"/>
        </w:rPr>
        <w:t xml:space="preserve">University </w:t>
      </w:r>
      <w:r>
        <w:t xml:space="preserve">Department of Rural </w:t>
      </w:r>
      <w:r>
        <w:rPr>
          <w:spacing w:val="-3"/>
        </w:rPr>
        <w:t xml:space="preserve">Health </w:t>
      </w:r>
      <w:r>
        <w:t xml:space="preserve">and </w:t>
      </w:r>
      <w:r>
        <w:rPr>
          <w:spacing w:val="-3"/>
        </w:rPr>
        <w:t xml:space="preserve">the </w:t>
      </w:r>
      <w:r>
        <w:t xml:space="preserve">Rural </w:t>
      </w:r>
      <w:r>
        <w:rPr>
          <w:spacing w:val="-3"/>
        </w:rPr>
        <w:t xml:space="preserve">Clinical School </w:t>
      </w:r>
      <w:r>
        <w:t xml:space="preserve">(North </w:t>
      </w:r>
      <w:r>
        <w:rPr>
          <w:spacing w:val="-6"/>
        </w:rPr>
        <w:t xml:space="preserve">West </w:t>
      </w:r>
      <w:r>
        <w:rPr>
          <w:spacing w:val="-3"/>
        </w:rPr>
        <w:t xml:space="preserve">Regional Hospital, </w:t>
      </w:r>
      <w:r>
        <w:t xml:space="preserve">North </w:t>
      </w:r>
      <w:r>
        <w:rPr>
          <w:spacing w:val="-6"/>
        </w:rPr>
        <w:t xml:space="preserve">West </w:t>
      </w:r>
      <w:r>
        <w:t xml:space="preserve">Private </w:t>
      </w:r>
      <w:r>
        <w:rPr>
          <w:spacing w:val="-3"/>
        </w:rPr>
        <w:t xml:space="preserve">Hospital </w:t>
      </w:r>
      <w:r>
        <w:t xml:space="preserve">and the Mersey </w:t>
      </w:r>
      <w:r>
        <w:rPr>
          <w:spacing w:val="-3"/>
        </w:rPr>
        <w:t xml:space="preserve">Community Hospital). Concurrently </w:t>
      </w:r>
      <w:r>
        <w:t xml:space="preserve">she was </w:t>
      </w:r>
      <w:r>
        <w:rPr>
          <w:spacing w:val="-3"/>
        </w:rPr>
        <w:t xml:space="preserve">Deputy Dean, Faculty </w:t>
      </w:r>
      <w:r>
        <w:t xml:space="preserve">of </w:t>
      </w:r>
      <w:r>
        <w:rPr>
          <w:spacing w:val="-3"/>
        </w:rPr>
        <w:t xml:space="preserve">Health Science </w:t>
      </w:r>
      <w:r>
        <w:t xml:space="preserve">and </w:t>
      </w:r>
      <w:r>
        <w:rPr>
          <w:spacing w:val="-4"/>
        </w:rPr>
        <w:t xml:space="preserve">co-Executive </w:t>
      </w:r>
      <w:r>
        <w:rPr>
          <w:spacing w:val="-5"/>
        </w:rPr>
        <w:t xml:space="preserve">Director, </w:t>
      </w:r>
      <w:r>
        <w:t xml:space="preserve">Partners in </w:t>
      </w:r>
      <w:r>
        <w:rPr>
          <w:spacing w:val="-3"/>
        </w:rPr>
        <w:t xml:space="preserve">Health, </w:t>
      </w:r>
      <w:r>
        <w:t xml:space="preserve">the </w:t>
      </w:r>
      <w:r>
        <w:rPr>
          <w:spacing w:val="-3"/>
        </w:rPr>
        <w:t xml:space="preserve">unique </w:t>
      </w:r>
      <w:r>
        <w:t xml:space="preserve">partnership </w:t>
      </w:r>
      <w:r>
        <w:rPr>
          <w:spacing w:val="-3"/>
        </w:rPr>
        <w:t xml:space="preserve">between DHHS </w:t>
      </w:r>
      <w:r>
        <w:t xml:space="preserve">and </w:t>
      </w:r>
      <w:r>
        <w:rPr>
          <w:spacing w:val="-8"/>
        </w:rPr>
        <w:t xml:space="preserve">UTAS </w:t>
      </w:r>
      <w:r>
        <w:t xml:space="preserve">driving strategic </w:t>
      </w:r>
      <w:r>
        <w:rPr>
          <w:spacing w:val="-3"/>
        </w:rPr>
        <w:t xml:space="preserve">health </w:t>
      </w:r>
      <w:r>
        <w:t xml:space="preserve">services and </w:t>
      </w:r>
      <w:r>
        <w:rPr>
          <w:spacing w:val="-3"/>
        </w:rPr>
        <w:t xml:space="preserve">workforce education </w:t>
      </w:r>
      <w:r>
        <w:t xml:space="preserve">reform. She </w:t>
      </w:r>
      <w:r>
        <w:rPr>
          <w:spacing w:val="-3"/>
        </w:rPr>
        <w:t xml:space="preserve">was </w:t>
      </w:r>
      <w:r>
        <w:t xml:space="preserve">a </w:t>
      </w:r>
      <w:r>
        <w:rPr>
          <w:spacing w:val="-3"/>
        </w:rPr>
        <w:t xml:space="preserve">member </w:t>
      </w:r>
      <w:r>
        <w:t xml:space="preserve">of the North </w:t>
      </w:r>
      <w:r>
        <w:rPr>
          <w:spacing w:val="-6"/>
        </w:rPr>
        <w:t xml:space="preserve">West </w:t>
      </w:r>
      <w:r>
        <w:rPr>
          <w:spacing w:val="-3"/>
        </w:rPr>
        <w:t xml:space="preserve">Regional Hospital </w:t>
      </w:r>
      <w:r>
        <w:rPr>
          <w:spacing w:val="-4"/>
        </w:rPr>
        <w:t xml:space="preserve">Executive </w:t>
      </w:r>
      <w:r>
        <w:t xml:space="preserve">and has </w:t>
      </w:r>
      <w:r>
        <w:rPr>
          <w:spacing w:val="-3"/>
        </w:rPr>
        <w:t xml:space="preserve">held senior positions </w:t>
      </w:r>
      <w:r>
        <w:t xml:space="preserve">on a </w:t>
      </w:r>
      <w:r>
        <w:rPr>
          <w:spacing w:val="-4"/>
        </w:rPr>
        <w:t xml:space="preserve">number </w:t>
      </w:r>
      <w:r>
        <w:t xml:space="preserve">of </w:t>
      </w:r>
      <w:r>
        <w:rPr>
          <w:spacing w:val="-3"/>
        </w:rPr>
        <w:t xml:space="preserve">Commonwealth </w:t>
      </w:r>
      <w:r>
        <w:t xml:space="preserve">and </w:t>
      </w:r>
      <w:r>
        <w:rPr>
          <w:spacing w:val="-3"/>
        </w:rPr>
        <w:t xml:space="preserve">State Government health </w:t>
      </w:r>
      <w:r>
        <w:rPr>
          <w:spacing w:val="-4"/>
        </w:rPr>
        <w:t xml:space="preserve">committees </w:t>
      </w:r>
      <w:r>
        <w:rPr>
          <w:spacing w:val="-3"/>
        </w:rPr>
        <w:t xml:space="preserve">and working </w:t>
      </w:r>
      <w:r>
        <w:rPr>
          <w:spacing w:val="-4"/>
        </w:rPr>
        <w:t>groups.</w:t>
      </w:r>
    </w:p>
    <w:p w:rsidR="00E730AE" w:rsidRPr="00E730AE" w:rsidRDefault="00E730AE" w:rsidP="00E730AE">
      <w:pPr>
        <w:pStyle w:val="BodyText"/>
      </w:pPr>
      <w:r w:rsidRPr="00E730AE">
        <w:t>Judi Walker was recently successful, as Principle Co-Investigator, in winning a major Victorian Government tender to undertake a 10 year longitudinal study into the health impacts of the recent Hazelwood Mine Fire in the Latrobe Valley. This study is now underway. She has held, as Chief</w:t>
      </w:r>
      <w:r>
        <w:t xml:space="preserve"> </w:t>
      </w:r>
      <w:r w:rsidRPr="00E730AE">
        <w:t>Investigator, a number of competitive research grants (National Medical Research Council and Australian Research Council) at both Monash University and the University of Tasmania. She was the recipient</w:t>
      </w:r>
      <w:r>
        <w:t xml:space="preserve"> </w:t>
      </w:r>
      <w:r w:rsidRPr="00E730AE">
        <w:t>of the Dean’s 2014 Award for Excellence in External Engagement and was nominee for the Vice Chancellor’s Award for Excellence in Research Impact (Economic and Social Impact).</w:t>
      </w:r>
    </w:p>
    <w:p w:rsidR="00E730AE" w:rsidRPr="00E730AE" w:rsidRDefault="00E730AE" w:rsidP="00E730AE">
      <w:pPr>
        <w:pStyle w:val="BodyText"/>
      </w:pPr>
      <w:r w:rsidRPr="00E730AE">
        <w:t>Judi has 15 years’ experience as a Board Member/ Board Director of a number of government and private sector not for profit organisations. She is on the Board and immediate past Chair of the national Federation of Rural Australian Medical Educators (FRAME) and was Board Director of the national Australian Rural Health Education</w:t>
      </w:r>
      <w:r>
        <w:t xml:space="preserve"> </w:t>
      </w:r>
      <w:r w:rsidRPr="00E730AE">
        <w:t>Network (ARHEN) and is currently Board Director of Latrobe Community Health Services (LCHS)</w:t>
      </w:r>
      <w:r>
        <w:t xml:space="preserve"> </w:t>
      </w:r>
      <w:r w:rsidRPr="00E730AE">
        <w:t xml:space="preserve">in Victoria. She sat on the Council of the National Rural Health Alliance, the peak body for rural health </w:t>
      </w:r>
      <w:r w:rsidRPr="00E730AE">
        <w:lastRenderedPageBreak/>
        <w:t>organisations. She was Vice President of Monash Academic Board for four years. In Tasmania she</w:t>
      </w:r>
      <w:r>
        <w:t xml:space="preserve"> </w:t>
      </w:r>
      <w:r w:rsidRPr="00E730AE">
        <w:t>was an inaugural Board Member of the Tasmania Together Progress Board, Board Director of the Tasmanian Polytechnic and Chair of the North West Institute of TAFE Council.</w:t>
      </w:r>
    </w:p>
    <w:p w:rsidR="00E730AE" w:rsidRDefault="00E730AE" w:rsidP="00E730AE">
      <w:pPr>
        <w:pStyle w:val="BodyText"/>
      </w:pPr>
      <w:r w:rsidRPr="00E730AE">
        <w:t>Judi is a Fellow of the Australian College of Education and an Associate Fellow of the Australian College of Health Services Executives. She has completed a number of Corporate Governance training courses.</w:t>
      </w:r>
    </w:p>
    <w:p w:rsidR="00E730AE" w:rsidRDefault="00E730AE" w:rsidP="00E730AE">
      <w:pPr>
        <w:pStyle w:val="BodyText"/>
        <w:rPr>
          <w:spacing w:val="-7"/>
        </w:rPr>
      </w:pPr>
      <w:r>
        <w:rPr>
          <w:spacing w:val="-3"/>
        </w:rPr>
        <w:t xml:space="preserve">Judi graduated from The University </w:t>
      </w:r>
      <w:r>
        <w:t xml:space="preserve">of </w:t>
      </w:r>
      <w:r>
        <w:rPr>
          <w:spacing w:val="-3"/>
        </w:rPr>
        <w:t xml:space="preserve">the </w:t>
      </w:r>
      <w:r>
        <w:rPr>
          <w:spacing w:val="-8"/>
        </w:rPr>
        <w:t xml:space="preserve">West </w:t>
      </w:r>
      <w:r>
        <w:rPr>
          <w:spacing w:val="-4"/>
        </w:rPr>
        <w:t xml:space="preserve">Indies completing </w:t>
      </w:r>
      <w:r>
        <w:t xml:space="preserve">a </w:t>
      </w:r>
      <w:r>
        <w:rPr>
          <w:spacing w:val="-4"/>
        </w:rPr>
        <w:t xml:space="preserve">Bachelor </w:t>
      </w:r>
      <w:r>
        <w:t xml:space="preserve">of Arts </w:t>
      </w:r>
      <w:r>
        <w:rPr>
          <w:spacing w:val="-4"/>
        </w:rPr>
        <w:t xml:space="preserve">(Hons). She holds </w:t>
      </w:r>
      <w:r>
        <w:t xml:space="preserve">a </w:t>
      </w:r>
      <w:r>
        <w:rPr>
          <w:spacing w:val="-3"/>
        </w:rPr>
        <w:t xml:space="preserve">Graduate </w:t>
      </w:r>
      <w:r>
        <w:rPr>
          <w:spacing w:val="-4"/>
        </w:rPr>
        <w:t xml:space="preserve">Diploma </w:t>
      </w:r>
      <w:r>
        <w:t xml:space="preserve">in </w:t>
      </w:r>
      <w:r>
        <w:rPr>
          <w:spacing w:val="-4"/>
        </w:rPr>
        <w:t xml:space="preserve">Distance Education </w:t>
      </w:r>
      <w:r>
        <w:rPr>
          <w:spacing w:val="-3"/>
        </w:rPr>
        <w:t xml:space="preserve">from the University </w:t>
      </w:r>
      <w:r>
        <w:t xml:space="preserve">of </w:t>
      </w:r>
      <w:r>
        <w:rPr>
          <w:spacing w:val="-4"/>
        </w:rPr>
        <w:t xml:space="preserve">South </w:t>
      </w:r>
      <w:r>
        <w:rPr>
          <w:spacing w:val="-3"/>
        </w:rPr>
        <w:t xml:space="preserve">Australia </w:t>
      </w:r>
      <w:r>
        <w:rPr>
          <w:spacing w:val="-4"/>
        </w:rPr>
        <w:t xml:space="preserve">and completed </w:t>
      </w:r>
      <w:r>
        <w:t xml:space="preserve">a </w:t>
      </w:r>
      <w:r>
        <w:rPr>
          <w:spacing w:val="-3"/>
        </w:rPr>
        <w:t xml:space="preserve">PhD </w:t>
      </w:r>
      <w:r>
        <w:t xml:space="preserve">at </w:t>
      </w:r>
      <w:r>
        <w:rPr>
          <w:spacing w:val="-3"/>
        </w:rPr>
        <w:t xml:space="preserve">the University </w:t>
      </w:r>
      <w:r>
        <w:t xml:space="preserve">of </w:t>
      </w:r>
      <w:r>
        <w:rPr>
          <w:spacing w:val="-7"/>
        </w:rPr>
        <w:t xml:space="preserve">Tasmania </w:t>
      </w:r>
      <w:r>
        <w:rPr>
          <w:spacing w:val="-4"/>
        </w:rPr>
        <w:t xml:space="preserve">in </w:t>
      </w:r>
      <w:r>
        <w:rPr>
          <w:spacing w:val="-3"/>
        </w:rPr>
        <w:t xml:space="preserve">the area </w:t>
      </w:r>
      <w:r>
        <w:t xml:space="preserve">of </w:t>
      </w:r>
      <w:r>
        <w:rPr>
          <w:spacing w:val="-4"/>
        </w:rPr>
        <w:t xml:space="preserve">health (disability) </w:t>
      </w:r>
      <w:r>
        <w:rPr>
          <w:spacing w:val="-3"/>
        </w:rPr>
        <w:t xml:space="preserve">and </w:t>
      </w:r>
      <w:r>
        <w:rPr>
          <w:spacing w:val="-4"/>
        </w:rPr>
        <w:t xml:space="preserve">education </w:t>
      </w:r>
      <w:r>
        <w:rPr>
          <w:spacing w:val="-7"/>
        </w:rPr>
        <w:t>policy.</w:t>
      </w:r>
    </w:p>
    <w:p w:rsidR="00E730AE" w:rsidRDefault="00E730AE" w:rsidP="00EB19DD">
      <w:pPr>
        <w:pStyle w:val="BodyText"/>
      </w:pPr>
      <w:r w:rsidRPr="00EB19DD">
        <w:t xml:space="preserve">Judi and her family have been resident in </w:t>
      </w:r>
      <w:proofErr w:type="gramStart"/>
      <w:r w:rsidRPr="00EB19DD">
        <w:t>north west</w:t>
      </w:r>
      <w:proofErr w:type="gramEnd"/>
      <w:r w:rsidRPr="00EB19DD">
        <w:t xml:space="preserve"> Tasmania for over 35 years with established business and family interests and comprehensive knowledge and understanding of Tasmanian health issues.</w:t>
      </w:r>
    </w:p>
    <w:p w:rsidR="00EB19DD" w:rsidRDefault="00EB19DD" w:rsidP="00EB19DD">
      <w:pPr>
        <w:pStyle w:val="BodyText"/>
      </w:pPr>
    </w:p>
    <w:p w:rsidR="00EB19DD" w:rsidRDefault="00EB19DD" w:rsidP="00EB19DD">
      <w:pPr>
        <w:pStyle w:val="Heading4"/>
      </w:pPr>
      <w:r>
        <w:t xml:space="preserve">Mr Martin </w:t>
      </w:r>
      <w:r>
        <w:rPr>
          <w:spacing w:val="-7"/>
        </w:rPr>
        <w:t>Wallace</w:t>
      </w:r>
    </w:p>
    <w:p w:rsidR="00EB19DD" w:rsidRDefault="00EB19DD" w:rsidP="00EB19DD">
      <w:pPr>
        <w:pStyle w:val="BodyText"/>
        <w:rPr>
          <w:rFonts w:ascii="GillSans-LightItalic"/>
          <w:i/>
        </w:rPr>
      </w:pPr>
      <w:r w:rsidRPr="00EB19DD">
        <w:rPr>
          <w:rFonts w:ascii="GillSans-LightItalic"/>
          <w:i/>
        </w:rPr>
        <w:t>B Ec (Hons)</w:t>
      </w:r>
    </w:p>
    <w:p w:rsidR="00EB19DD" w:rsidRDefault="00EB19DD" w:rsidP="00EB19DD">
      <w:pPr>
        <w:pStyle w:val="BodyText"/>
        <w:spacing w:line="268" w:lineRule="auto"/>
        <w:ind w:right="356"/>
      </w:pPr>
      <w:r>
        <w:t>Martin Wallace is the Chair of the Governing Council Financial Management &amp; Performance Subcommittee.</w:t>
      </w:r>
    </w:p>
    <w:p w:rsidR="00EB19DD" w:rsidRDefault="00EB19DD" w:rsidP="00EB19DD">
      <w:pPr>
        <w:pStyle w:val="BodyText"/>
        <w:spacing w:before="160" w:line="268" w:lineRule="auto"/>
        <w:ind w:right="114"/>
        <w:rPr>
          <w:spacing w:val="-3"/>
        </w:rPr>
      </w:pPr>
      <w:r>
        <w:t xml:space="preserve">Martin is a former Secretary of the Department of </w:t>
      </w:r>
      <w:r>
        <w:rPr>
          <w:spacing w:val="-4"/>
        </w:rPr>
        <w:t xml:space="preserve">Treasury </w:t>
      </w:r>
      <w:r>
        <w:t xml:space="preserve">and Finance, </w:t>
      </w:r>
      <w:r>
        <w:rPr>
          <w:spacing w:val="-3"/>
        </w:rPr>
        <w:t xml:space="preserve">Deputy </w:t>
      </w:r>
      <w:r>
        <w:t xml:space="preserve">Secretary of </w:t>
      </w:r>
      <w:r>
        <w:rPr>
          <w:spacing w:val="-3"/>
        </w:rPr>
        <w:t xml:space="preserve">the </w:t>
      </w:r>
      <w:r>
        <w:t xml:space="preserve">Department of </w:t>
      </w:r>
      <w:r>
        <w:rPr>
          <w:spacing w:val="-3"/>
        </w:rPr>
        <w:t xml:space="preserve">Health </w:t>
      </w:r>
      <w:r>
        <w:t xml:space="preserve">and </w:t>
      </w:r>
      <w:r>
        <w:rPr>
          <w:spacing w:val="-3"/>
        </w:rPr>
        <w:t xml:space="preserve">Human </w:t>
      </w:r>
      <w:r>
        <w:t xml:space="preserve">Services </w:t>
      </w:r>
      <w:r>
        <w:rPr>
          <w:spacing w:val="-3"/>
        </w:rPr>
        <w:t xml:space="preserve">in </w:t>
      </w:r>
      <w:r>
        <w:rPr>
          <w:spacing w:val="-6"/>
        </w:rPr>
        <w:t xml:space="preserve">Tasmania, </w:t>
      </w:r>
      <w:r>
        <w:t xml:space="preserve">and was </w:t>
      </w:r>
      <w:r>
        <w:rPr>
          <w:spacing w:val="-3"/>
        </w:rPr>
        <w:t xml:space="preserve">previously </w:t>
      </w:r>
      <w:r>
        <w:t xml:space="preserve">the </w:t>
      </w:r>
      <w:r>
        <w:rPr>
          <w:spacing w:val="-3"/>
        </w:rPr>
        <w:t xml:space="preserve">Director </w:t>
      </w:r>
      <w:r>
        <w:t xml:space="preserve">of </w:t>
      </w:r>
      <w:r>
        <w:rPr>
          <w:spacing w:val="-6"/>
        </w:rPr>
        <w:t xml:space="preserve">Inter- </w:t>
      </w:r>
      <w:r>
        <w:rPr>
          <w:spacing w:val="-3"/>
        </w:rPr>
        <w:t xml:space="preserve">government </w:t>
      </w:r>
      <w:r>
        <w:t xml:space="preserve">and </w:t>
      </w:r>
      <w:r>
        <w:rPr>
          <w:spacing w:val="-3"/>
        </w:rPr>
        <w:t xml:space="preserve">Financial </w:t>
      </w:r>
      <w:r>
        <w:rPr>
          <w:spacing w:val="-5"/>
        </w:rPr>
        <w:t xml:space="preserve">Policy </w:t>
      </w:r>
      <w:r>
        <w:t xml:space="preserve">in </w:t>
      </w:r>
      <w:r>
        <w:rPr>
          <w:spacing w:val="-6"/>
        </w:rPr>
        <w:t xml:space="preserve">Treasury. </w:t>
      </w:r>
      <w:r>
        <w:t xml:space="preserve">Martin’s diverse </w:t>
      </w:r>
      <w:r>
        <w:rPr>
          <w:spacing w:val="-4"/>
        </w:rPr>
        <w:t xml:space="preserve">employment </w:t>
      </w:r>
      <w:r>
        <w:t xml:space="preserve">history </w:t>
      </w:r>
      <w:r>
        <w:rPr>
          <w:spacing w:val="-3"/>
        </w:rPr>
        <w:t xml:space="preserve">also includes </w:t>
      </w:r>
      <w:r>
        <w:rPr>
          <w:spacing w:val="-4"/>
        </w:rPr>
        <w:t xml:space="preserve">executive </w:t>
      </w:r>
      <w:r>
        <w:rPr>
          <w:spacing w:val="-3"/>
        </w:rPr>
        <w:t xml:space="preserve">roles </w:t>
      </w:r>
      <w:r>
        <w:t xml:space="preserve">in energy and </w:t>
      </w:r>
      <w:r>
        <w:rPr>
          <w:spacing w:val="-3"/>
        </w:rPr>
        <w:t xml:space="preserve">telecommunications. </w:t>
      </w:r>
      <w:r>
        <w:t xml:space="preserve">He </w:t>
      </w:r>
      <w:r>
        <w:rPr>
          <w:spacing w:val="-3"/>
        </w:rPr>
        <w:t xml:space="preserve">was Chief </w:t>
      </w:r>
      <w:r>
        <w:t xml:space="preserve">of </w:t>
      </w:r>
      <w:r>
        <w:rPr>
          <w:spacing w:val="-3"/>
        </w:rPr>
        <w:t xml:space="preserve">Staff </w:t>
      </w:r>
      <w:r>
        <w:t xml:space="preserve">to former </w:t>
      </w:r>
      <w:r>
        <w:rPr>
          <w:spacing w:val="-6"/>
        </w:rPr>
        <w:t xml:space="preserve">Tasmanian </w:t>
      </w:r>
      <w:r>
        <w:rPr>
          <w:spacing w:val="-7"/>
        </w:rPr>
        <w:t xml:space="preserve">Treasurer, </w:t>
      </w:r>
      <w:r>
        <w:rPr>
          <w:spacing w:val="-3"/>
        </w:rPr>
        <w:t xml:space="preserve">Dr </w:t>
      </w:r>
      <w:r>
        <w:rPr>
          <w:spacing w:val="-4"/>
        </w:rPr>
        <w:t xml:space="preserve">David </w:t>
      </w:r>
      <w:r>
        <w:rPr>
          <w:spacing w:val="-3"/>
        </w:rPr>
        <w:t xml:space="preserve">Crean, between 1999 </w:t>
      </w:r>
      <w:r>
        <w:t xml:space="preserve">and </w:t>
      </w:r>
      <w:r>
        <w:rPr>
          <w:spacing w:val="-3"/>
        </w:rPr>
        <w:t>2002.</w:t>
      </w:r>
    </w:p>
    <w:p w:rsidR="00EB19DD" w:rsidRDefault="00EB19DD" w:rsidP="00EB19DD">
      <w:pPr>
        <w:pStyle w:val="BodyText"/>
        <w:spacing w:before="160" w:line="268" w:lineRule="auto"/>
        <w:ind w:right="114"/>
      </w:pPr>
      <w:r>
        <w:t xml:space="preserve">As </w:t>
      </w:r>
      <w:r>
        <w:rPr>
          <w:spacing w:val="-3"/>
        </w:rPr>
        <w:t xml:space="preserve">well </w:t>
      </w:r>
      <w:r>
        <w:t xml:space="preserve">as </w:t>
      </w:r>
      <w:r>
        <w:rPr>
          <w:spacing w:val="-3"/>
        </w:rPr>
        <w:t xml:space="preserve">substantial public administration, </w:t>
      </w:r>
      <w:r>
        <w:rPr>
          <w:spacing w:val="-4"/>
        </w:rPr>
        <w:t xml:space="preserve">public </w:t>
      </w:r>
      <w:r>
        <w:rPr>
          <w:spacing w:val="-3"/>
        </w:rPr>
        <w:t xml:space="preserve">policy </w:t>
      </w:r>
      <w:r>
        <w:t xml:space="preserve">and </w:t>
      </w:r>
      <w:r>
        <w:rPr>
          <w:spacing w:val="-4"/>
        </w:rPr>
        <w:t xml:space="preserve">financial </w:t>
      </w:r>
      <w:r>
        <w:t xml:space="preserve">and </w:t>
      </w:r>
      <w:r>
        <w:rPr>
          <w:spacing w:val="-3"/>
        </w:rPr>
        <w:t xml:space="preserve">budget management </w:t>
      </w:r>
      <w:r>
        <w:t xml:space="preserve">experience, Martin has </w:t>
      </w:r>
      <w:r>
        <w:rPr>
          <w:spacing w:val="-3"/>
        </w:rPr>
        <w:t xml:space="preserve">deep commercial and business </w:t>
      </w:r>
      <w:r>
        <w:t xml:space="preserve">experience.  He has </w:t>
      </w:r>
      <w:r>
        <w:rPr>
          <w:spacing w:val="-3"/>
        </w:rPr>
        <w:t xml:space="preserve">negotiated many major commercial </w:t>
      </w:r>
      <w:r>
        <w:t xml:space="preserve">contracts in energy </w:t>
      </w:r>
      <w:r>
        <w:rPr>
          <w:spacing w:val="-3"/>
        </w:rPr>
        <w:t xml:space="preserve">and telecommunications, </w:t>
      </w:r>
      <w:r>
        <w:t xml:space="preserve">as </w:t>
      </w:r>
      <w:r>
        <w:rPr>
          <w:spacing w:val="-3"/>
        </w:rPr>
        <w:t xml:space="preserve">well </w:t>
      </w:r>
      <w:r>
        <w:t xml:space="preserve">as in the </w:t>
      </w:r>
      <w:r>
        <w:rPr>
          <w:spacing w:val="-3"/>
        </w:rPr>
        <w:t xml:space="preserve">areas of procurement </w:t>
      </w:r>
      <w:r>
        <w:t xml:space="preserve">and </w:t>
      </w:r>
      <w:r>
        <w:rPr>
          <w:spacing w:val="-6"/>
        </w:rPr>
        <w:t xml:space="preserve">supply, </w:t>
      </w:r>
      <w:r>
        <w:t xml:space="preserve">and the delivery </w:t>
      </w:r>
      <w:r>
        <w:rPr>
          <w:spacing w:val="-3"/>
        </w:rPr>
        <w:t xml:space="preserve">of </w:t>
      </w:r>
      <w:r>
        <w:t xml:space="preserve">services </w:t>
      </w:r>
      <w:r>
        <w:rPr>
          <w:spacing w:val="-3"/>
        </w:rPr>
        <w:t xml:space="preserve">under public-private </w:t>
      </w:r>
      <w:r>
        <w:t xml:space="preserve">partnership </w:t>
      </w:r>
      <w:r>
        <w:rPr>
          <w:spacing w:val="-3"/>
        </w:rPr>
        <w:t xml:space="preserve">and </w:t>
      </w:r>
      <w:r>
        <w:rPr>
          <w:spacing w:val="-5"/>
        </w:rPr>
        <w:t xml:space="preserve">purchaser-provider </w:t>
      </w:r>
      <w:r>
        <w:t xml:space="preserve">arrangements. During his </w:t>
      </w:r>
      <w:r>
        <w:rPr>
          <w:spacing w:val="-3"/>
        </w:rPr>
        <w:t xml:space="preserve">time </w:t>
      </w:r>
      <w:r>
        <w:t xml:space="preserve">in the Department of </w:t>
      </w:r>
      <w:r>
        <w:rPr>
          <w:spacing w:val="-3"/>
        </w:rPr>
        <w:t xml:space="preserve">Health </w:t>
      </w:r>
      <w:r>
        <w:t xml:space="preserve">and </w:t>
      </w:r>
      <w:r>
        <w:rPr>
          <w:spacing w:val="-3"/>
        </w:rPr>
        <w:t xml:space="preserve">Human </w:t>
      </w:r>
      <w:r>
        <w:t>Services he</w:t>
      </w:r>
      <w:r>
        <w:rPr>
          <w:spacing w:val="-9"/>
        </w:rPr>
        <w:t xml:space="preserve"> </w:t>
      </w:r>
      <w:r>
        <w:t>led</w:t>
      </w:r>
      <w:r>
        <w:rPr>
          <w:spacing w:val="-9"/>
        </w:rPr>
        <w:t xml:space="preserve"> </w:t>
      </w:r>
      <w:r>
        <w:t>a</w:t>
      </w:r>
      <w:r>
        <w:rPr>
          <w:spacing w:val="-9"/>
        </w:rPr>
        <w:t xml:space="preserve"> </w:t>
      </w:r>
      <w:r>
        <w:rPr>
          <w:spacing w:val="-3"/>
        </w:rPr>
        <w:t>number</w:t>
      </w:r>
      <w:r>
        <w:rPr>
          <w:spacing w:val="-8"/>
        </w:rPr>
        <w:t xml:space="preserve"> </w:t>
      </w:r>
      <w:r>
        <w:t>of</w:t>
      </w:r>
      <w:r>
        <w:rPr>
          <w:spacing w:val="-9"/>
        </w:rPr>
        <w:t xml:space="preserve"> </w:t>
      </w:r>
      <w:r>
        <w:t>strategic</w:t>
      </w:r>
      <w:r>
        <w:rPr>
          <w:spacing w:val="-9"/>
        </w:rPr>
        <w:t xml:space="preserve"> </w:t>
      </w:r>
      <w:r>
        <w:t>and</w:t>
      </w:r>
      <w:r>
        <w:rPr>
          <w:spacing w:val="-9"/>
        </w:rPr>
        <w:t xml:space="preserve"> </w:t>
      </w:r>
      <w:r>
        <w:rPr>
          <w:spacing w:val="-3"/>
        </w:rPr>
        <w:t>policy</w:t>
      </w:r>
      <w:r>
        <w:rPr>
          <w:spacing w:val="-9"/>
        </w:rPr>
        <w:t xml:space="preserve"> </w:t>
      </w:r>
      <w:r>
        <w:rPr>
          <w:spacing w:val="-3"/>
        </w:rPr>
        <w:t>initiatives</w:t>
      </w:r>
      <w:r>
        <w:rPr>
          <w:spacing w:val="-9"/>
        </w:rPr>
        <w:t xml:space="preserve"> </w:t>
      </w:r>
      <w:r>
        <w:rPr>
          <w:spacing w:val="-3"/>
        </w:rPr>
        <w:t xml:space="preserve">to </w:t>
      </w:r>
      <w:r>
        <w:rPr>
          <w:spacing w:val="-4"/>
        </w:rPr>
        <w:t xml:space="preserve">improve </w:t>
      </w:r>
      <w:r>
        <w:t xml:space="preserve">the </w:t>
      </w:r>
      <w:r>
        <w:rPr>
          <w:spacing w:val="-4"/>
        </w:rPr>
        <w:t xml:space="preserve">efficiency </w:t>
      </w:r>
      <w:r>
        <w:t xml:space="preserve">and </w:t>
      </w:r>
      <w:r>
        <w:rPr>
          <w:spacing w:val="-4"/>
        </w:rPr>
        <w:t xml:space="preserve">effectiveness </w:t>
      </w:r>
      <w:r>
        <w:t xml:space="preserve">of </w:t>
      </w:r>
      <w:r>
        <w:rPr>
          <w:spacing w:val="-3"/>
        </w:rPr>
        <w:t xml:space="preserve">health </w:t>
      </w:r>
      <w:r>
        <w:t xml:space="preserve">services, </w:t>
      </w:r>
      <w:r>
        <w:rPr>
          <w:spacing w:val="-3"/>
        </w:rPr>
        <w:t xml:space="preserve">including </w:t>
      </w:r>
      <w:r>
        <w:t xml:space="preserve">in the </w:t>
      </w:r>
      <w:r>
        <w:rPr>
          <w:spacing w:val="-3"/>
        </w:rPr>
        <w:t xml:space="preserve">areas </w:t>
      </w:r>
      <w:r>
        <w:t xml:space="preserve">of </w:t>
      </w:r>
      <w:r>
        <w:rPr>
          <w:spacing w:val="-3"/>
        </w:rPr>
        <w:t xml:space="preserve">e-health, </w:t>
      </w:r>
      <w:r>
        <w:rPr>
          <w:spacing w:val="-4"/>
        </w:rPr>
        <w:t xml:space="preserve">financial </w:t>
      </w:r>
      <w:r>
        <w:rPr>
          <w:spacing w:val="-3"/>
        </w:rPr>
        <w:t>management,</w:t>
      </w:r>
      <w:r>
        <w:rPr>
          <w:spacing w:val="-29"/>
        </w:rPr>
        <w:t xml:space="preserve"> </w:t>
      </w:r>
      <w:r>
        <w:t>and</w:t>
      </w:r>
      <w:r>
        <w:rPr>
          <w:spacing w:val="-14"/>
        </w:rPr>
        <w:t xml:space="preserve"> </w:t>
      </w:r>
      <w:r>
        <w:rPr>
          <w:spacing w:val="-3"/>
        </w:rPr>
        <w:t>business</w:t>
      </w:r>
      <w:r>
        <w:rPr>
          <w:spacing w:val="-13"/>
        </w:rPr>
        <w:t xml:space="preserve"> </w:t>
      </w:r>
      <w:r>
        <w:t>performance.</w:t>
      </w:r>
    </w:p>
    <w:p w:rsidR="00EB19DD" w:rsidRDefault="00EB19DD" w:rsidP="00EB19DD">
      <w:pPr>
        <w:pStyle w:val="BodyText"/>
      </w:pPr>
      <w:r w:rsidRPr="00EB19DD">
        <w:t>Martin has a strong background in corporate governance and is an experienced Board member. He is currently a Member of the National Competition Council and previously held directorships with Aurora Energy Pty Ltd; the Tasmanian Public Finance Corporation (Tascorp),</w:t>
      </w:r>
      <w:r>
        <w:t xml:space="preserve"> </w:t>
      </w:r>
      <w:r w:rsidRPr="00EB19DD">
        <w:t>Tastel Limited, and Auroracom Pty Ltd. He has also</w:t>
      </w:r>
      <w:r>
        <w:t xml:space="preserve"> </w:t>
      </w:r>
      <w:r w:rsidRPr="00EB19DD">
        <w:t>been a Member of the State Grants Commission. Martin holds an Honours degree in Economics.</w:t>
      </w:r>
    </w:p>
    <w:p w:rsidR="00AC31DA" w:rsidRDefault="00AC31DA" w:rsidP="00AC31DA">
      <w:pPr>
        <w:pStyle w:val="Heading4"/>
      </w:pPr>
    </w:p>
    <w:p w:rsidR="00EB19DD" w:rsidRDefault="00EB19DD" w:rsidP="00AC31DA">
      <w:pPr>
        <w:pStyle w:val="Heading4"/>
      </w:pPr>
      <w:r>
        <w:t>Dr Judith Watson</w:t>
      </w:r>
    </w:p>
    <w:p w:rsidR="00EB19DD" w:rsidRDefault="00EB19DD" w:rsidP="00AC31DA">
      <w:pPr>
        <w:pStyle w:val="BodyText"/>
      </w:pPr>
      <w:r>
        <w:t>MBChB FRNZCGP DipObs GAICD</w:t>
      </w:r>
    </w:p>
    <w:p w:rsidR="00AC31DA" w:rsidRPr="00AC31DA" w:rsidRDefault="00AC31DA" w:rsidP="00AC31DA">
      <w:pPr>
        <w:pStyle w:val="BodyText"/>
      </w:pPr>
      <w:r w:rsidRPr="00AC31DA">
        <w:t>Dr Judith Watson</w:t>
      </w:r>
    </w:p>
    <w:p w:rsidR="00AC31DA" w:rsidRPr="00AC31DA" w:rsidRDefault="00AC31DA" w:rsidP="00AC31DA">
      <w:pPr>
        <w:pStyle w:val="BodyText"/>
      </w:pPr>
      <w:proofErr w:type="gramStart"/>
      <w:r w:rsidRPr="00AC31DA">
        <w:t>is</w:t>
      </w:r>
      <w:proofErr w:type="gramEnd"/>
      <w:r w:rsidRPr="00AC31DA">
        <w:t xml:space="preserve"> a member of the Governing Council Audit &amp; Risk Subcommittee.</w:t>
      </w:r>
    </w:p>
    <w:p w:rsidR="00AC31DA" w:rsidRPr="00AC31DA" w:rsidRDefault="00AC31DA" w:rsidP="00AC31DA">
      <w:pPr>
        <w:pStyle w:val="BodyText"/>
      </w:pPr>
      <w:r w:rsidRPr="00AC31DA">
        <w:t>She is a General Practitioner, practising in Launceston since 1994 and is the Chair of Primary Health Tasmania. Judith has been a member of</w:t>
      </w:r>
      <w:r>
        <w:t xml:space="preserve"> </w:t>
      </w:r>
      <w:r w:rsidRPr="00AC31DA">
        <w:t>not-for-profit primary health organisation boards since 2004 and is currently on the board of Tasprac Services, a Tasmanian practice management company.</w:t>
      </w:r>
    </w:p>
    <w:p w:rsidR="00AC31DA" w:rsidRPr="00AC31DA" w:rsidRDefault="00AC31DA" w:rsidP="00AC31DA">
      <w:pPr>
        <w:pStyle w:val="BodyText"/>
      </w:pPr>
      <w:r w:rsidRPr="00AC31DA">
        <w:t xml:space="preserve">Judith graduated from The University of Auckland School of Medicine, completing a Diploma of Obstetrics and Fellowship of Royal New Zealand College of General Practitioners. She is a graduate of the Australian Institute </w:t>
      </w:r>
      <w:r w:rsidRPr="00AC31DA">
        <w:lastRenderedPageBreak/>
        <w:t>of Company Directors and regularly participates in governance training activities.</w:t>
      </w:r>
    </w:p>
    <w:p w:rsidR="00AC31DA" w:rsidRDefault="00AC31DA" w:rsidP="00AC31DA">
      <w:pPr>
        <w:pStyle w:val="BodyText"/>
      </w:pPr>
      <w:r w:rsidRPr="00AC31DA">
        <w:t>She has a strong understanding of disconnects in the patient journey between primary and hospital care, the challenges in changing cultures and need to pursue new opportunities and ways of working for health. She is passionately committed to improving the wellbeing of Tasmanians and contributing to the successful working of the Tasmanian Health Service.</w:t>
      </w:r>
    </w:p>
    <w:p w:rsidR="00AC31DA" w:rsidRDefault="00AC31DA" w:rsidP="00AC31DA">
      <w:pPr>
        <w:pStyle w:val="BodyText"/>
      </w:pPr>
    </w:p>
    <w:p w:rsidR="00AC31DA" w:rsidRDefault="00AC31DA" w:rsidP="00AC31DA">
      <w:pPr>
        <w:pStyle w:val="Heading4"/>
      </w:pPr>
      <w:r>
        <w:t>Associate Professor Dr</w:t>
      </w:r>
      <w:r>
        <w:rPr>
          <w:spacing w:val="-15"/>
        </w:rPr>
        <w:t xml:space="preserve"> </w:t>
      </w:r>
      <w:r>
        <w:rPr>
          <w:spacing w:val="-4"/>
        </w:rPr>
        <w:t xml:space="preserve">Deborah </w:t>
      </w:r>
      <w:r>
        <w:t>Wilson</w:t>
      </w:r>
    </w:p>
    <w:p w:rsidR="00AC31DA" w:rsidRDefault="00AC31DA" w:rsidP="00AC31DA">
      <w:pPr>
        <w:pStyle w:val="BodyText"/>
        <w:rPr>
          <w:i/>
          <w:spacing w:val="-3"/>
        </w:rPr>
      </w:pPr>
      <w:r w:rsidRPr="00AC31DA">
        <w:rPr>
          <w:i/>
        </w:rPr>
        <w:t>MBBS, FANZCA, ARACMA,</w:t>
      </w:r>
      <w:r>
        <w:rPr>
          <w:i/>
        </w:rPr>
        <w:t xml:space="preserve"> </w:t>
      </w:r>
      <w:r w:rsidRPr="00AC31DA">
        <w:rPr>
          <w:i/>
          <w:spacing w:val="-3"/>
        </w:rPr>
        <w:t xml:space="preserve">Graduate </w:t>
      </w:r>
      <w:r w:rsidRPr="00AC31DA">
        <w:rPr>
          <w:i/>
        </w:rPr>
        <w:t>Certificate in</w:t>
      </w:r>
      <w:r w:rsidRPr="00AC31DA">
        <w:rPr>
          <w:i/>
          <w:spacing w:val="-38"/>
        </w:rPr>
        <w:t xml:space="preserve"> </w:t>
      </w:r>
      <w:r w:rsidRPr="00AC31DA">
        <w:rPr>
          <w:i/>
          <w:spacing w:val="-5"/>
        </w:rPr>
        <w:t xml:space="preserve">Teaching </w:t>
      </w:r>
      <w:r w:rsidRPr="00AC31DA">
        <w:rPr>
          <w:i/>
        </w:rPr>
        <w:t xml:space="preserve">and Learning </w:t>
      </w:r>
      <w:r w:rsidRPr="00AC31DA">
        <w:rPr>
          <w:i/>
          <w:spacing w:val="-2"/>
        </w:rPr>
        <w:t xml:space="preserve">for Health </w:t>
      </w:r>
      <w:r w:rsidRPr="00AC31DA">
        <w:rPr>
          <w:i/>
          <w:spacing w:val="-3"/>
        </w:rPr>
        <w:t>Professionals</w:t>
      </w:r>
    </w:p>
    <w:p w:rsidR="00AC31DA" w:rsidRPr="00AC31DA" w:rsidRDefault="00AC31DA" w:rsidP="00AC31DA">
      <w:pPr>
        <w:pStyle w:val="BodyText"/>
      </w:pPr>
      <w:r w:rsidRPr="00AC31DA">
        <w:t>Associate Professor Dr Deborah Wilson is the Chair of the Governing Council Quality &amp; Safety Subcommittee. Deborah is the Co-Director of the Rural Clinical School at the University of Tasmania and a Visiting Medical Officer in Anaesthesia</w:t>
      </w:r>
      <w:r>
        <w:t xml:space="preserve"> </w:t>
      </w:r>
      <w:r w:rsidRPr="00AC31DA">
        <w:t>and Intensive Care, at the North West Regional Hospital, the Mersey Community Hospital and the North West Private Hospital. She was previously a member of the Tasmanian Health Organisations – North West (THO-NW) Governing Council.</w:t>
      </w:r>
    </w:p>
    <w:p w:rsidR="00AC31DA" w:rsidRPr="00AC31DA" w:rsidRDefault="00AC31DA" w:rsidP="00AC31DA">
      <w:pPr>
        <w:pStyle w:val="BodyText"/>
      </w:pPr>
      <w:r w:rsidRPr="00AC31DA">
        <w:t>Deborah graduated from the University of Western Australia with a Bachelor of Medicine and a Bachelor of Surgery. She has a Post Graduate Certificate in Teaching and Learning for Health Professionals and holds the title of Supervisor of Training at the Australian and New Zealand College of Anaesthetists.</w:t>
      </w:r>
    </w:p>
    <w:p w:rsidR="00AC31DA" w:rsidRPr="00AC31DA" w:rsidRDefault="00AC31DA" w:rsidP="00AC31DA">
      <w:pPr>
        <w:pStyle w:val="BodyText"/>
      </w:pPr>
      <w:r w:rsidRPr="00AC31DA">
        <w:t>Deborah was awarded the 2009 Clinical Teaching Award from the Rural Clinical School, University of Tasmania, the Abbotts Young Investigator Award in 1996 and the Australian and New Zealand College of Anaesthetists Formal Project Prize in 1996.</w:t>
      </w:r>
    </w:p>
    <w:p w:rsidR="00AC31DA" w:rsidRPr="00AC31DA" w:rsidRDefault="00AC31DA" w:rsidP="00AC31DA">
      <w:pPr>
        <w:pStyle w:val="BodyText"/>
      </w:pPr>
      <w:r w:rsidRPr="00AC31DA">
        <w:t>Deborah is an Associate Fellow of the Royal Australasian College of Medical Administrators and a Fellow of the Australian and New Zealand College of Anaesthetists. Deborah has worked for over seventeen years on the North West Coast and has a deep understanding of the complexities</w:t>
      </w:r>
    </w:p>
    <w:p w:rsidR="00AC31DA" w:rsidRDefault="00AC31DA" w:rsidP="00AC31DA">
      <w:pPr>
        <w:pStyle w:val="BodyText"/>
      </w:pPr>
      <w:proofErr w:type="gramStart"/>
      <w:r w:rsidRPr="00AC31DA">
        <w:t>of</w:t>
      </w:r>
      <w:proofErr w:type="gramEnd"/>
      <w:r w:rsidRPr="00AC31DA">
        <w:t xml:space="preserve"> health services in rural and remote communities. She is committed to teaching, training and research to drive better treatments and innovation within our system.</w:t>
      </w:r>
    </w:p>
    <w:p w:rsidR="00AC31DA" w:rsidRDefault="00AC31DA" w:rsidP="00AC31DA">
      <w:pPr>
        <w:pStyle w:val="BodyText"/>
        <w:sectPr w:rsidR="00AC31DA" w:rsidSect="00025D0E">
          <w:pgSz w:w="11906" w:h="16838"/>
          <w:pgMar w:top="1440" w:right="707" w:bottom="1440" w:left="1134" w:header="708" w:footer="708" w:gutter="0"/>
          <w:cols w:space="708"/>
          <w:docGrid w:linePitch="360"/>
        </w:sectPr>
      </w:pPr>
    </w:p>
    <w:p w:rsidR="00AC31DA" w:rsidRDefault="00AC31DA" w:rsidP="00AC31DA">
      <w:pPr>
        <w:pStyle w:val="Heading3"/>
      </w:pPr>
      <w:bookmarkStart w:id="11" w:name="_Toc472581951"/>
      <w:r>
        <w:lastRenderedPageBreak/>
        <w:t>Governing Council Attendance Records</w:t>
      </w:r>
      <w:bookmarkEnd w:id="11"/>
    </w:p>
    <w:p w:rsidR="00AC31DA" w:rsidRDefault="0022587A" w:rsidP="0022587A">
      <w:pPr>
        <w:pStyle w:val="Heading4"/>
      </w:pPr>
      <w:r>
        <w:t>Governing Council Meetings</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1423"/>
        <w:gridCol w:w="709"/>
        <w:gridCol w:w="567"/>
        <w:gridCol w:w="708"/>
        <w:gridCol w:w="709"/>
        <w:gridCol w:w="709"/>
        <w:gridCol w:w="709"/>
        <w:gridCol w:w="708"/>
        <w:gridCol w:w="567"/>
        <w:gridCol w:w="567"/>
        <w:gridCol w:w="567"/>
        <w:gridCol w:w="567"/>
        <w:gridCol w:w="562"/>
        <w:gridCol w:w="567"/>
      </w:tblGrid>
      <w:tr w:rsidR="0022587A" w:rsidRPr="00AC31DA" w:rsidTr="0022587A">
        <w:trPr>
          <w:trHeight w:hRule="exact" w:val="903"/>
        </w:trPr>
        <w:tc>
          <w:tcPr>
            <w:tcW w:w="1423" w:type="dxa"/>
          </w:tcPr>
          <w:p w:rsidR="00AC31DA" w:rsidRPr="0008485A" w:rsidRDefault="00AC31DA" w:rsidP="0022587A">
            <w:pPr>
              <w:rPr>
                <w:b/>
                <w:sz w:val="18"/>
                <w:szCs w:val="18"/>
              </w:rPr>
            </w:pPr>
            <w:r w:rsidRPr="0008485A">
              <w:rPr>
                <w:b/>
                <w:sz w:val="18"/>
                <w:szCs w:val="18"/>
              </w:rPr>
              <w:t>Name</w:t>
            </w:r>
          </w:p>
        </w:tc>
        <w:tc>
          <w:tcPr>
            <w:tcW w:w="709" w:type="dxa"/>
          </w:tcPr>
          <w:p w:rsidR="00AC31DA" w:rsidRPr="0008485A" w:rsidRDefault="00AC31DA" w:rsidP="0008485A">
            <w:pPr>
              <w:pStyle w:val="BodyText"/>
              <w:jc w:val="center"/>
              <w:rPr>
                <w:b/>
                <w:sz w:val="16"/>
                <w:szCs w:val="16"/>
              </w:rPr>
            </w:pPr>
            <w:r w:rsidRPr="0008485A">
              <w:rPr>
                <w:b/>
                <w:sz w:val="16"/>
                <w:szCs w:val="16"/>
              </w:rPr>
              <w:t>1</w:t>
            </w:r>
            <w:r w:rsidR="0022587A" w:rsidRPr="0008485A">
              <w:rPr>
                <w:b/>
                <w:sz w:val="16"/>
                <w:szCs w:val="16"/>
              </w:rPr>
              <w:br/>
            </w:r>
            <w:r w:rsidRPr="0008485A">
              <w:rPr>
                <w:b/>
                <w:sz w:val="16"/>
                <w:szCs w:val="16"/>
              </w:rPr>
              <w:t xml:space="preserve"> July </w:t>
            </w:r>
            <w:r w:rsidRPr="0008485A">
              <w:rPr>
                <w:b/>
                <w:sz w:val="16"/>
                <w:szCs w:val="16"/>
              </w:rPr>
              <w:br/>
              <w:t>2015</w:t>
            </w:r>
          </w:p>
        </w:tc>
        <w:tc>
          <w:tcPr>
            <w:tcW w:w="567" w:type="dxa"/>
          </w:tcPr>
          <w:p w:rsidR="00AC31DA" w:rsidRPr="0008485A" w:rsidRDefault="00AC31DA" w:rsidP="0008485A">
            <w:pPr>
              <w:pStyle w:val="BodyText"/>
              <w:jc w:val="center"/>
              <w:rPr>
                <w:b/>
                <w:sz w:val="16"/>
                <w:szCs w:val="16"/>
              </w:rPr>
            </w:pPr>
            <w:r w:rsidRPr="0008485A">
              <w:rPr>
                <w:b/>
                <w:sz w:val="16"/>
                <w:szCs w:val="16"/>
              </w:rPr>
              <w:t>21</w:t>
            </w:r>
            <w:r w:rsidR="0022587A" w:rsidRPr="0008485A">
              <w:rPr>
                <w:b/>
                <w:sz w:val="16"/>
                <w:szCs w:val="16"/>
              </w:rPr>
              <w:br/>
            </w:r>
            <w:r w:rsidRPr="0008485A">
              <w:rPr>
                <w:b/>
                <w:sz w:val="16"/>
                <w:szCs w:val="16"/>
              </w:rPr>
              <w:t xml:space="preserve"> July</w:t>
            </w:r>
            <w:r w:rsidRPr="0008485A">
              <w:rPr>
                <w:b/>
                <w:sz w:val="16"/>
                <w:szCs w:val="16"/>
              </w:rPr>
              <w:br/>
              <w:t>2015</w:t>
            </w:r>
          </w:p>
        </w:tc>
        <w:tc>
          <w:tcPr>
            <w:tcW w:w="708" w:type="dxa"/>
          </w:tcPr>
          <w:p w:rsidR="00AC31DA" w:rsidRPr="0008485A" w:rsidRDefault="00AC31DA" w:rsidP="0008485A">
            <w:pPr>
              <w:pStyle w:val="BodyText"/>
              <w:jc w:val="center"/>
              <w:rPr>
                <w:b/>
                <w:sz w:val="16"/>
                <w:szCs w:val="16"/>
              </w:rPr>
            </w:pPr>
            <w:r w:rsidRPr="0008485A">
              <w:rPr>
                <w:b/>
                <w:sz w:val="16"/>
                <w:szCs w:val="16"/>
              </w:rPr>
              <w:t xml:space="preserve">18 </w:t>
            </w:r>
            <w:r w:rsidR="0022587A" w:rsidRPr="0008485A">
              <w:rPr>
                <w:b/>
                <w:sz w:val="16"/>
                <w:szCs w:val="16"/>
              </w:rPr>
              <w:br/>
            </w:r>
            <w:r w:rsidRPr="0008485A">
              <w:rPr>
                <w:b/>
                <w:sz w:val="16"/>
                <w:szCs w:val="16"/>
              </w:rPr>
              <w:t>Aug</w:t>
            </w:r>
            <w:r w:rsidRPr="0008485A">
              <w:rPr>
                <w:b/>
                <w:sz w:val="16"/>
                <w:szCs w:val="16"/>
              </w:rPr>
              <w:br/>
              <w:t>2015</w:t>
            </w:r>
          </w:p>
        </w:tc>
        <w:tc>
          <w:tcPr>
            <w:tcW w:w="709" w:type="dxa"/>
          </w:tcPr>
          <w:p w:rsidR="00AC31DA" w:rsidRPr="0008485A" w:rsidRDefault="00AC31DA" w:rsidP="0008485A">
            <w:pPr>
              <w:pStyle w:val="BodyText"/>
              <w:jc w:val="center"/>
              <w:rPr>
                <w:b/>
                <w:sz w:val="16"/>
                <w:szCs w:val="16"/>
              </w:rPr>
            </w:pPr>
            <w:r w:rsidRPr="0008485A">
              <w:rPr>
                <w:b/>
                <w:sz w:val="16"/>
                <w:szCs w:val="16"/>
              </w:rPr>
              <w:t xml:space="preserve">22 </w:t>
            </w:r>
            <w:r w:rsidR="0022587A" w:rsidRPr="0008485A">
              <w:rPr>
                <w:b/>
                <w:sz w:val="16"/>
                <w:szCs w:val="16"/>
              </w:rPr>
              <w:br/>
            </w:r>
            <w:r w:rsidRPr="0008485A">
              <w:rPr>
                <w:b/>
                <w:sz w:val="16"/>
                <w:szCs w:val="16"/>
              </w:rPr>
              <w:t>Sept</w:t>
            </w:r>
            <w:r w:rsidRPr="0008485A">
              <w:rPr>
                <w:b/>
                <w:sz w:val="16"/>
                <w:szCs w:val="16"/>
              </w:rPr>
              <w:br/>
              <w:t>2015</w:t>
            </w:r>
          </w:p>
        </w:tc>
        <w:tc>
          <w:tcPr>
            <w:tcW w:w="709" w:type="dxa"/>
          </w:tcPr>
          <w:p w:rsidR="00AC31DA" w:rsidRPr="0008485A" w:rsidRDefault="00AC31DA" w:rsidP="0008485A">
            <w:pPr>
              <w:pStyle w:val="BodyText"/>
              <w:jc w:val="center"/>
              <w:rPr>
                <w:b/>
                <w:sz w:val="16"/>
                <w:szCs w:val="16"/>
              </w:rPr>
            </w:pPr>
            <w:r w:rsidRPr="0008485A">
              <w:rPr>
                <w:b/>
                <w:sz w:val="16"/>
                <w:szCs w:val="16"/>
              </w:rPr>
              <w:t xml:space="preserve">20 </w:t>
            </w:r>
            <w:r w:rsidR="0022587A" w:rsidRPr="0008485A">
              <w:rPr>
                <w:b/>
                <w:sz w:val="16"/>
                <w:szCs w:val="16"/>
              </w:rPr>
              <w:br/>
            </w:r>
            <w:r w:rsidRPr="0008485A">
              <w:rPr>
                <w:b/>
                <w:sz w:val="16"/>
                <w:szCs w:val="16"/>
              </w:rPr>
              <w:t>Oct</w:t>
            </w:r>
            <w:r w:rsidRPr="0008485A">
              <w:rPr>
                <w:b/>
                <w:sz w:val="16"/>
                <w:szCs w:val="16"/>
              </w:rPr>
              <w:br/>
              <w:t>2015</w:t>
            </w:r>
          </w:p>
        </w:tc>
        <w:tc>
          <w:tcPr>
            <w:tcW w:w="709" w:type="dxa"/>
          </w:tcPr>
          <w:p w:rsidR="00AC31DA" w:rsidRPr="0008485A" w:rsidRDefault="00AC31DA" w:rsidP="0008485A">
            <w:pPr>
              <w:pStyle w:val="BodyText"/>
              <w:jc w:val="center"/>
              <w:rPr>
                <w:b/>
                <w:sz w:val="16"/>
                <w:szCs w:val="16"/>
              </w:rPr>
            </w:pPr>
            <w:r w:rsidRPr="0008485A">
              <w:rPr>
                <w:b/>
                <w:sz w:val="16"/>
                <w:szCs w:val="16"/>
              </w:rPr>
              <w:t xml:space="preserve">17 </w:t>
            </w:r>
            <w:r w:rsidR="0022587A" w:rsidRPr="0008485A">
              <w:rPr>
                <w:b/>
                <w:sz w:val="16"/>
                <w:szCs w:val="16"/>
              </w:rPr>
              <w:br/>
            </w:r>
            <w:r w:rsidRPr="0008485A">
              <w:rPr>
                <w:b/>
                <w:sz w:val="16"/>
                <w:szCs w:val="16"/>
              </w:rPr>
              <w:t>Nov</w:t>
            </w:r>
            <w:r w:rsidR="0022587A" w:rsidRPr="0008485A">
              <w:rPr>
                <w:b/>
                <w:sz w:val="16"/>
                <w:szCs w:val="16"/>
              </w:rPr>
              <w:br/>
            </w:r>
            <w:r w:rsidRPr="0008485A">
              <w:rPr>
                <w:b/>
                <w:sz w:val="16"/>
                <w:szCs w:val="16"/>
              </w:rPr>
              <w:t xml:space="preserve"> 2015</w:t>
            </w:r>
          </w:p>
        </w:tc>
        <w:tc>
          <w:tcPr>
            <w:tcW w:w="708" w:type="dxa"/>
          </w:tcPr>
          <w:p w:rsidR="00AC31DA" w:rsidRPr="0008485A" w:rsidRDefault="00AC31DA" w:rsidP="0008485A">
            <w:pPr>
              <w:pStyle w:val="BodyText"/>
              <w:jc w:val="center"/>
              <w:rPr>
                <w:b/>
                <w:sz w:val="16"/>
                <w:szCs w:val="16"/>
              </w:rPr>
            </w:pPr>
            <w:r w:rsidRPr="0008485A">
              <w:rPr>
                <w:b/>
                <w:sz w:val="16"/>
                <w:szCs w:val="16"/>
              </w:rPr>
              <w:t>15</w:t>
            </w:r>
            <w:r w:rsidR="0022587A" w:rsidRPr="0008485A">
              <w:rPr>
                <w:b/>
                <w:sz w:val="16"/>
                <w:szCs w:val="16"/>
              </w:rPr>
              <w:br/>
            </w:r>
            <w:r w:rsidRPr="0008485A">
              <w:rPr>
                <w:b/>
                <w:sz w:val="16"/>
                <w:szCs w:val="16"/>
              </w:rPr>
              <w:t xml:space="preserve"> Dec</w:t>
            </w:r>
            <w:r w:rsidRPr="0008485A">
              <w:rPr>
                <w:b/>
                <w:sz w:val="16"/>
                <w:szCs w:val="16"/>
              </w:rPr>
              <w:br/>
              <w:t>2015</w:t>
            </w:r>
          </w:p>
        </w:tc>
        <w:tc>
          <w:tcPr>
            <w:tcW w:w="567" w:type="dxa"/>
          </w:tcPr>
          <w:p w:rsidR="00AC31DA" w:rsidRPr="0008485A" w:rsidRDefault="00AC31DA" w:rsidP="0008485A">
            <w:pPr>
              <w:pStyle w:val="BodyText"/>
              <w:jc w:val="center"/>
              <w:rPr>
                <w:b/>
                <w:sz w:val="16"/>
                <w:szCs w:val="16"/>
              </w:rPr>
            </w:pPr>
            <w:r w:rsidRPr="0008485A">
              <w:rPr>
                <w:b/>
                <w:sz w:val="16"/>
                <w:szCs w:val="16"/>
              </w:rPr>
              <w:t>Jan</w:t>
            </w:r>
            <w:r w:rsidRPr="0008485A">
              <w:rPr>
                <w:b/>
                <w:sz w:val="16"/>
                <w:szCs w:val="16"/>
              </w:rPr>
              <w:br/>
              <w:t>2016</w:t>
            </w:r>
          </w:p>
        </w:tc>
        <w:tc>
          <w:tcPr>
            <w:tcW w:w="567" w:type="dxa"/>
          </w:tcPr>
          <w:p w:rsidR="00AC31DA" w:rsidRPr="0008485A" w:rsidRDefault="00AC31DA" w:rsidP="0008485A">
            <w:pPr>
              <w:pStyle w:val="BodyText"/>
              <w:jc w:val="center"/>
              <w:rPr>
                <w:b/>
                <w:sz w:val="16"/>
                <w:szCs w:val="16"/>
              </w:rPr>
            </w:pPr>
            <w:r w:rsidRPr="0008485A">
              <w:rPr>
                <w:b/>
                <w:sz w:val="16"/>
                <w:szCs w:val="16"/>
              </w:rPr>
              <w:t xml:space="preserve">16 </w:t>
            </w:r>
            <w:r w:rsidR="0022587A" w:rsidRPr="0008485A">
              <w:rPr>
                <w:b/>
                <w:sz w:val="16"/>
                <w:szCs w:val="16"/>
              </w:rPr>
              <w:br/>
            </w:r>
            <w:r w:rsidRPr="0008485A">
              <w:rPr>
                <w:b/>
                <w:sz w:val="16"/>
                <w:szCs w:val="16"/>
              </w:rPr>
              <w:t>Feb</w:t>
            </w:r>
            <w:r w:rsidRPr="0008485A">
              <w:rPr>
                <w:b/>
                <w:sz w:val="16"/>
                <w:szCs w:val="16"/>
              </w:rPr>
              <w:br/>
              <w:t>2016</w:t>
            </w:r>
          </w:p>
        </w:tc>
        <w:tc>
          <w:tcPr>
            <w:tcW w:w="567" w:type="dxa"/>
          </w:tcPr>
          <w:p w:rsidR="00AC31DA" w:rsidRPr="0008485A" w:rsidRDefault="00AC31DA" w:rsidP="0008485A">
            <w:pPr>
              <w:pStyle w:val="BodyText"/>
              <w:jc w:val="center"/>
              <w:rPr>
                <w:b/>
                <w:sz w:val="16"/>
                <w:szCs w:val="16"/>
              </w:rPr>
            </w:pPr>
            <w:r w:rsidRPr="0008485A">
              <w:rPr>
                <w:b/>
                <w:sz w:val="16"/>
                <w:szCs w:val="16"/>
              </w:rPr>
              <w:t xml:space="preserve">22 </w:t>
            </w:r>
            <w:r w:rsidR="0022587A" w:rsidRPr="0008485A">
              <w:rPr>
                <w:b/>
                <w:sz w:val="16"/>
                <w:szCs w:val="16"/>
              </w:rPr>
              <w:br/>
            </w:r>
            <w:r w:rsidRPr="0008485A">
              <w:rPr>
                <w:b/>
                <w:sz w:val="16"/>
                <w:szCs w:val="16"/>
              </w:rPr>
              <w:t>Mar</w:t>
            </w:r>
            <w:r w:rsidRPr="0008485A">
              <w:rPr>
                <w:b/>
                <w:sz w:val="16"/>
                <w:szCs w:val="16"/>
              </w:rPr>
              <w:br/>
              <w:t>2016</w:t>
            </w:r>
          </w:p>
        </w:tc>
        <w:tc>
          <w:tcPr>
            <w:tcW w:w="567" w:type="dxa"/>
          </w:tcPr>
          <w:p w:rsidR="00AC31DA" w:rsidRPr="0008485A" w:rsidRDefault="00AC31DA" w:rsidP="0008485A">
            <w:pPr>
              <w:pStyle w:val="BodyText"/>
              <w:jc w:val="center"/>
              <w:rPr>
                <w:b/>
                <w:sz w:val="16"/>
                <w:szCs w:val="16"/>
              </w:rPr>
            </w:pPr>
            <w:r w:rsidRPr="0008485A">
              <w:rPr>
                <w:b/>
                <w:sz w:val="16"/>
                <w:szCs w:val="16"/>
              </w:rPr>
              <w:t xml:space="preserve">19/20 </w:t>
            </w:r>
            <w:r w:rsidR="0022587A" w:rsidRPr="0008485A">
              <w:rPr>
                <w:b/>
                <w:sz w:val="16"/>
                <w:szCs w:val="16"/>
              </w:rPr>
              <w:br/>
            </w:r>
            <w:r w:rsidRPr="0008485A">
              <w:rPr>
                <w:b/>
                <w:sz w:val="16"/>
                <w:szCs w:val="16"/>
              </w:rPr>
              <w:t>Apr</w:t>
            </w:r>
            <w:r w:rsidRPr="0008485A">
              <w:rPr>
                <w:b/>
                <w:sz w:val="16"/>
                <w:szCs w:val="16"/>
              </w:rPr>
              <w:br/>
              <w:t>2016</w:t>
            </w:r>
          </w:p>
        </w:tc>
        <w:tc>
          <w:tcPr>
            <w:tcW w:w="562" w:type="dxa"/>
          </w:tcPr>
          <w:p w:rsidR="00AC31DA" w:rsidRPr="0008485A" w:rsidRDefault="00AC31DA" w:rsidP="0008485A">
            <w:pPr>
              <w:pStyle w:val="BodyText"/>
              <w:jc w:val="center"/>
              <w:rPr>
                <w:b/>
                <w:sz w:val="16"/>
                <w:szCs w:val="16"/>
              </w:rPr>
            </w:pPr>
            <w:r w:rsidRPr="0008485A">
              <w:rPr>
                <w:b/>
                <w:sz w:val="16"/>
                <w:szCs w:val="16"/>
              </w:rPr>
              <w:t xml:space="preserve">24 </w:t>
            </w:r>
            <w:r w:rsidR="0022587A" w:rsidRPr="0008485A">
              <w:rPr>
                <w:b/>
                <w:sz w:val="16"/>
                <w:szCs w:val="16"/>
              </w:rPr>
              <w:br/>
            </w:r>
            <w:r w:rsidRPr="0008485A">
              <w:rPr>
                <w:b/>
                <w:sz w:val="16"/>
                <w:szCs w:val="16"/>
              </w:rPr>
              <w:t>May</w:t>
            </w:r>
            <w:r w:rsidRPr="0008485A">
              <w:rPr>
                <w:b/>
                <w:sz w:val="16"/>
                <w:szCs w:val="16"/>
              </w:rPr>
              <w:br/>
              <w:t>2016</w:t>
            </w:r>
          </w:p>
        </w:tc>
        <w:tc>
          <w:tcPr>
            <w:tcW w:w="567" w:type="dxa"/>
          </w:tcPr>
          <w:p w:rsidR="00AC31DA" w:rsidRPr="0008485A" w:rsidRDefault="00AC31DA" w:rsidP="0008485A">
            <w:pPr>
              <w:pStyle w:val="BodyText"/>
              <w:jc w:val="center"/>
              <w:rPr>
                <w:b/>
                <w:sz w:val="16"/>
                <w:szCs w:val="16"/>
              </w:rPr>
            </w:pPr>
            <w:r w:rsidRPr="0008485A">
              <w:rPr>
                <w:b/>
                <w:sz w:val="16"/>
                <w:szCs w:val="16"/>
              </w:rPr>
              <w:t>21</w:t>
            </w:r>
            <w:r w:rsidR="0022587A" w:rsidRPr="0008485A">
              <w:rPr>
                <w:b/>
                <w:sz w:val="16"/>
                <w:szCs w:val="16"/>
              </w:rPr>
              <w:br/>
            </w:r>
            <w:r w:rsidRPr="0008485A">
              <w:rPr>
                <w:b/>
                <w:sz w:val="16"/>
                <w:szCs w:val="16"/>
              </w:rPr>
              <w:t xml:space="preserve"> Jun</w:t>
            </w:r>
            <w:r w:rsidRPr="0008485A">
              <w:rPr>
                <w:b/>
                <w:sz w:val="16"/>
                <w:szCs w:val="16"/>
              </w:rPr>
              <w:br/>
              <w:t>2016</w:t>
            </w:r>
          </w:p>
        </w:tc>
      </w:tr>
      <w:tr w:rsidR="0022587A" w:rsidRPr="00AC31DA" w:rsidTr="0008485A">
        <w:trPr>
          <w:trHeight w:hRule="exact" w:val="385"/>
        </w:trPr>
        <w:tc>
          <w:tcPr>
            <w:tcW w:w="1423" w:type="dxa"/>
            <w:tcBorders>
              <w:bottom w:val="single" w:sz="4" w:space="0" w:color="004D8F"/>
            </w:tcBorders>
          </w:tcPr>
          <w:p w:rsidR="00AC31DA" w:rsidRPr="00AC31DA" w:rsidRDefault="00AC31DA" w:rsidP="0022587A">
            <w:pPr>
              <w:pStyle w:val="TableParagraph"/>
              <w:spacing w:before="48"/>
              <w:ind w:left="76"/>
              <w:rPr>
                <w:rFonts w:ascii="Gill Sans MT" w:hAnsi="Gill Sans MT"/>
                <w:sz w:val="18"/>
                <w:szCs w:val="18"/>
              </w:rPr>
            </w:pPr>
            <w:r w:rsidRPr="00AC31DA">
              <w:rPr>
                <w:rFonts w:ascii="Gill Sans MT" w:hAnsi="Gill Sans MT"/>
                <w:sz w:val="18"/>
                <w:szCs w:val="18"/>
              </w:rPr>
              <w:t>John Ramsay</w:t>
            </w:r>
          </w:p>
        </w:tc>
        <w:tc>
          <w:tcPr>
            <w:tcW w:w="709"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567" w:type="dxa"/>
            <w:tcBorders>
              <w:bottom w:val="single" w:sz="4" w:space="0" w:color="004D8F"/>
            </w:tcBorders>
          </w:tcPr>
          <w:p w:rsidR="00AC31DA" w:rsidRPr="00AC31DA" w:rsidRDefault="00876819" w:rsidP="0008485A">
            <w:pPr>
              <w:pStyle w:val="TableParagraph"/>
              <w:spacing w:before="59"/>
              <w:ind w:left="137"/>
              <w:jc w:val="center"/>
              <w:rPr>
                <w:rFonts w:ascii="Gill Sans MT" w:hAnsi="Gill Sans MT"/>
                <w:sz w:val="18"/>
                <w:szCs w:val="18"/>
              </w:rPr>
            </w:pPr>
            <w:r>
              <w:rPr>
                <w:rFonts w:ascii="Gill Sans MT" w:hAnsi="Gill Sans MT"/>
                <w:sz w:val="18"/>
                <w:szCs w:val="18"/>
              </w:rPr>
              <w:sym w:font="Wingdings" w:char="F0FC"/>
            </w:r>
          </w:p>
        </w:tc>
        <w:tc>
          <w:tcPr>
            <w:tcW w:w="708"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709"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709"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709"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708" w:type="dxa"/>
            <w:tcBorders>
              <w:bottom w:val="single" w:sz="4" w:space="0" w:color="004D8F"/>
            </w:tcBorders>
          </w:tcPr>
          <w:p w:rsidR="00AC31DA" w:rsidRPr="00AC31DA" w:rsidRDefault="00876819" w:rsidP="0008485A">
            <w:pPr>
              <w:pStyle w:val="TableParagraph"/>
              <w:spacing w:before="59"/>
              <w:ind w:left="212"/>
              <w:jc w:val="center"/>
              <w:rPr>
                <w:rFonts w:ascii="Gill Sans MT" w:hAnsi="Gill Sans MT"/>
                <w:sz w:val="18"/>
                <w:szCs w:val="18"/>
              </w:rPr>
            </w:pPr>
            <w:r>
              <w:rPr>
                <w:rFonts w:ascii="Gill Sans MT" w:hAnsi="Gill Sans MT"/>
                <w:sz w:val="18"/>
                <w:szCs w:val="18"/>
              </w:rPr>
              <w:sym w:font="Wingdings" w:char="F0FC"/>
            </w:r>
          </w:p>
        </w:tc>
        <w:tc>
          <w:tcPr>
            <w:tcW w:w="567" w:type="dxa"/>
            <w:tcBorders>
              <w:bottom w:val="single" w:sz="4" w:space="0" w:color="004D8F"/>
            </w:tcBorders>
          </w:tcPr>
          <w:p w:rsidR="00AC31DA" w:rsidRPr="00AC31DA" w:rsidRDefault="00AC31DA" w:rsidP="0008485A">
            <w:pPr>
              <w:pStyle w:val="TableParagraph"/>
              <w:spacing w:before="48"/>
              <w:ind w:left="41" w:right="41"/>
              <w:jc w:val="center"/>
              <w:rPr>
                <w:rFonts w:ascii="Gill Sans MT" w:hAnsi="Gill Sans MT"/>
                <w:sz w:val="18"/>
                <w:szCs w:val="18"/>
              </w:rPr>
            </w:pPr>
            <w:r w:rsidRPr="00AC31DA">
              <w:rPr>
                <w:rFonts w:ascii="Gill Sans MT" w:hAnsi="Gill Sans MT"/>
                <w:sz w:val="18"/>
                <w:szCs w:val="18"/>
              </w:rPr>
              <w:t>N/A</w:t>
            </w:r>
          </w:p>
        </w:tc>
        <w:tc>
          <w:tcPr>
            <w:tcW w:w="567" w:type="dxa"/>
            <w:tcBorders>
              <w:bottom w:val="single" w:sz="4" w:space="0" w:color="004D8F"/>
            </w:tcBorders>
          </w:tcPr>
          <w:p w:rsidR="00AC31DA" w:rsidRPr="00AC31DA" w:rsidRDefault="00876819" w:rsidP="0008485A">
            <w:pPr>
              <w:pStyle w:val="TableParagraph"/>
              <w:spacing w:before="59"/>
              <w:ind w:left="198"/>
              <w:jc w:val="center"/>
              <w:rPr>
                <w:rFonts w:ascii="Gill Sans MT" w:hAnsi="Gill Sans MT"/>
                <w:sz w:val="18"/>
                <w:szCs w:val="18"/>
              </w:rPr>
            </w:pPr>
            <w:r>
              <w:rPr>
                <w:rFonts w:ascii="Gill Sans MT" w:hAnsi="Gill Sans MT"/>
                <w:sz w:val="18"/>
                <w:szCs w:val="18"/>
              </w:rPr>
              <w:sym w:font="Wingdings" w:char="F0FC"/>
            </w:r>
          </w:p>
        </w:tc>
        <w:tc>
          <w:tcPr>
            <w:tcW w:w="567"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567"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562" w:type="dxa"/>
            <w:tcBorders>
              <w:bottom w:val="single" w:sz="4" w:space="0" w:color="004D8F"/>
            </w:tcBorders>
          </w:tcPr>
          <w:p w:rsidR="00AC31DA" w:rsidRPr="00AC31DA" w:rsidRDefault="00876819" w:rsidP="0008485A">
            <w:pPr>
              <w:pStyle w:val="TableParagraph"/>
              <w:spacing w:before="59"/>
              <w:jc w:val="center"/>
              <w:rPr>
                <w:rFonts w:ascii="Gill Sans MT" w:hAnsi="Gill Sans MT"/>
                <w:sz w:val="18"/>
                <w:szCs w:val="18"/>
              </w:rPr>
            </w:pPr>
            <w:r>
              <w:rPr>
                <w:rFonts w:ascii="Gill Sans MT" w:hAnsi="Gill Sans MT"/>
                <w:sz w:val="18"/>
                <w:szCs w:val="18"/>
              </w:rPr>
              <w:sym w:font="Wingdings" w:char="F0FC"/>
            </w:r>
          </w:p>
        </w:tc>
        <w:tc>
          <w:tcPr>
            <w:tcW w:w="567" w:type="dxa"/>
            <w:tcBorders>
              <w:bottom w:val="single" w:sz="4" w:space="0" w:color="004D8F"/>
            </w:tcBorders>
          </w:tcPr>
          <w:p w:rsidR="00AC31DA" w:rsidRPr="00AC31DA" w:rsidRDefault="00876819" w:rsidP="0008485A">
            <w:pPr>
              <w:pStyle w:val="TableParagraph"/>
              <w:spacing w:before="59"/>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388"/>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Dr Emil Djakic</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507"/>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Prof Denise Fassett</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558"/>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Barbara Hingston</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AC31DA" w:rsidP="0008485A">
            <w:pPr>
              <w:pStyle w:val="TableParagraph"/>
              <w:spacing w:before="43"/>
              <w:jc w:val="center"/>
              <w:rPr>
                <w:rFonts w:ascii="Gill Sans MT" w:hAnsi="Gill Sans MT"/>
                <w:b/>
                <w:sz w:val="18"/>
                <w:szCs w:val="18"/>
              </w:rPr>
            </w:pPr>
            <w:r w:rsidRPr="00AC31DA">
              <w:rPr>
                <w:rFonts w:ascii="Gill Sans MT" w:hAnsi="Gill Sans MT"/>
                <w:b/>
                <w:sz w:val="18"/>
                <w:szCs w:val="18"/>
              </w:rPr>
              <w:t>L</w:t>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388"/>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Mark Scanlon</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458"/>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Prof Judith Walker</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876819">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388"/>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Martin Wallace</w:t>
            </w:r>
          </w:p>
        </w:tc>
        <w:tc>
          <w:tcPr>
            <w:tcW w:w="709" w:type="dxa"/>
            <w:shd w:val="clear" w:color="auto" w:fill="auto"/>
          </w:tcPr>
          <w:p w:rsidR="00AC31DA" w:rsidRPr="00AC31DA" w:rsidRDefault="00AC31DA" w:rsidP="0008485A">
            <w:pPr>
              <w:pStyle w:val="TableParagraph"/>
              <w:spacing w:before="43"/>
              <w:jc w:val="center"/>
              <w:rPr>
                <w:rFonts w:ascii="Gill Sans MT" w:hAnsi="Gill Sans MT"/>
                <w:b/>
                <w:sz w:val="18"/>
                <w:szCs w:val="18"/>
              </w:rPr>
            </w:pPr>
            <w:r w:rsidRPr="00AC31DA">
              <w:rPr>
                <w:rFonts w:ascii="Gill Sans MT" w:hAnsi="Gill Sans MT"/>
                <w:b/>
                <w:sz w:val="18"/>
                <w:szCs w:val="18"/>
              </w:rPr>
              <w:t>L</w:t>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455"/>
        </w:trPr>
        <w:tc>
          <w:tcPr>
            <w:tcW w:w="1423" w:type="dxa"/>
            <w:shd w:val="clear" w:color="auto" w:fill="auto"/>
          </w:tcPr>
          <w:p w:rsidR="00AC31DA" w:rsidRPr="00AC31DA" w:rsidRDefault="00AC31DA" w:rsidP="0022587A">
            <w:pPr>
              <w:pStyle w:val="TableParagraph"/>
              <w:spacing w:before="47"/>
              <w:ind w:left="75"/>
              <w:rPr>
                <w:rFonts w:ascii="Gill Sans MT" w:hAnsi="Gill Sans MT"/>
                <w:sz w:val="18"/>
                <w:szCs w:val="18"/>
              </w:rPr>
            </w:pPr>
            <w:r w:rsidRPr="00AC31DA">
              <w:rPr>
                <w:rFonts w:ascii="Gill Sans MT" w:hAnsi="Gill Sans MT"/>
                <w:sz w:val="18"/>
                <w:szCs w:val="18"/>
              </w:rPr>
              <w:t>Dr Judith Watson</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AC31DA" w:rsidP="0008485A">
            <w:pPr>
              <w:pStyle w:val="TableParagraph"/>
              <w:spacing w:before="43"/>
              <w:jc w:val="center"/>
              <w:rPr>
                <w:rFonts w:ascii="Gill Sans MT" w:hAnsi="Gill Sans MT"/>
                <w:b/>
                <w:sz w:val="18"/>
                <w:szCs w:val="18"/>
              </w:rPr>
            </w:pPr>
            <w:r w:rsidRPr="00AC31DA">
              <w:rPr>
                <w:rFonts w:ascii="Gill Sans MT" w:hAnsi="Gill Sans MT"/>
                <w:b/>
                <w:sz w:val="18"/>
                <w:szCs w:val="18"/>
              </w:rPr>
              <w:t>L</w:t>
            </w:r>
          </w:p>
        </w:tc>
        <w:tc>
          <w:tcPr>
            <w:tcW w:w="708" w:type="dxa"/>
            <w:shd w:val="clear" w:color="auto" w:fill="auto"/>
          </w:tcPr>
          <w:p w:rsidR="00AC31DA" w:rsidRPr="00AC31DA" w:rsidRDefault="00876819" w:rsidP="0008485A">
            <w:pPr>
              <w:pStyle w:val="TableParagraph"/>
              <w:spacing w:before="58"/>
              <w:ind w:left="213"/>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r w:rsidR="0022587A" w:rsidRPr="00AC31DA" w:rsidTr="0008485A">
        <w:trPr>
          <w:trHeight w:hRule="exact" w:val="562"/>
        </w:trPr>
        <w:tc>
          <w:tcPr>
            <w:tcW w:w="1423" w:type="dxa"/>
            <w:shd w:val="clear" w:color="auto" w:fill="auto"/>
          </w:tcPr>
          <w:p w:rsidR="00AC31DA" w:rsidRPr="00AC31DA" w:rsidRDefault="00AC31DA" w:rsidP="0022587A">
            <w:pPr>
              <w:pStyle w:val="TableParagraph"/>
              <w:spacing w:before="47" w:line="302" w:lineRule="auto"/>
              <w:ind w:left="75"/>
              <w:rPr>
                <w:rFonts w:ascii="Gill Sans MT" w:hAnsi="Gill Sans MT"/>
                <w:sz w:val="18"/>
                <w:szCs w:val="18"/>
              </w:rPr>
            </w:pPr>
            <w:r w:rsidRPr="00AC31DA">
              <w:rPr>
                <w:rFonts w:ascii="Gill Sans MT" w:hAnsi="Gill Sans MT"/>
                <w:sz w:val="18"/>
                <w:szCs w:val="18"/>
              </w:rPr>
              <w:t>Assoc Prof Dr Deborah Wilson</w:t>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37"/>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shd w:val="clear" w:color="auto" w:fill="auto"/>
          </w:tcPr>
          <w:p w:rsidR="00AC31DA" w:rsidRPr="00AC31DA" w:rsidRDefault="00876819" w:rsidP="0008485A">
            <w:pPr>
              <w:pStyle w:val="TableParagraph"/>
              <w:spacing w:before="58"/>
              <w:ind w:left="212"/>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7"/>
              <w:ind w:left="41" w:right="41"/>
              <w:jc w:val="center"/>
              <w:rPr>
                <w:rFonts w:ascii="Gill Sans MT" w:hAnsi="Gill Sans MT"/>
                <w:sz w:val="18"/>
                <w:szCs w:val="18"/>
              </w:rPr>
            </w:pPr>
            <w:r w:rsidRPr="00AC31DA">
              <w:rPr>
                <w:rFonts w:ascii="Gill Sans MT" w:hAnsi="Gill Sans MT"/>
                <w:sz w:val="18"/>
                <w:szCs w:val="18"/>
              </w:rPr>
              <w:t>N/A</w:t>
            </w:r>
          </w:p>
        </w:tc>
        <w:tc>
          <w:tcPr>
            <w:tcW w:w="567" w:type="dxa"/>
            <w:shd w:val="clear" w:color="auto" w:fill="auto"/>
          </w:tcPr>
          <w:p w:rsidR="00AC31DA" w:rsidRPr="00AC31DA" w:rsidRDefault="00876819" w:rsidP="0008485A">
            <w:pPr>
              <w:pStyle w:val="TableParagraph"/>
              <w:spacing w:before="58"/>
              <w:ind w:left="19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AC31DA" w:rsidP="0008485A">
            <w:pPr>
              <w:pStyle w:val="TableParagraph"/>
              <w:spacing w:before="43"/>
              <w:jc w:val="center"/>
              <w:rPr>
                <w:rFonts w:ascii="Gill Sans MT" w:hAnsi="Gill Sans MT"/>
                <w:b/>
                <w:sz w:val="18"/>
                <w:szCs w:val="18"/>
              </w:rPr>
            </w:pPr>
            <w:r w:rsidRPr="00AC31DA">
              <w:rPr>
                <w:rFonts w:ascii="Gill Sans MT" w:hAnsi="Gill Sans MT"/>
                <w:b/>
                <w:sz w:val="18"/>
                <w:szCs w:val="18"/>
              </w:rPr>
              <w:t>L</w:t>
            </w:r>
          </w:p>
        </w:tc>
        <w:tc>
          <w:tcPr>
            <w:tcW w:w="567"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2" w:type="dxa"/>
            <w:shd w:val="clear" w:color="auto" w:fill="auto"/>
          </w:tcPr>
          <w:p w:rsidR="00AC31DA" w:rsidRPr="00AC31DA"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shd w:val="clear" w:color="auto" w:fill="auto"/>
          </w:tcPr>
          <w:p w:rsidR="00AC31DA" w:rsidRPr="00AC31DA" w:rsidRDefault="00876819" w:rsidP="0008485A">
            <w:pPr>
              <w:pStyle w:val="TableParagraph"/>
              <w:spacing w:before="58"/>
              <w:ind w:left="168"/>
              <w:jc w:val="center"/>
              <w:rPr>
                <w:rFonts w:ascii="Gill Sans MT" w:hAnsi="Gill Sans MT"/>
                <w:sz w:val="18"/>
                <w:szCs w:val="18"/>
              </w:rPr>
            </w:pPr>
            <w:r>
              <w:rPr>
                <w:rFonts w:ascii="Gill Sans MT" w:hAnsi="Gill Sans MT"/>
                <w:sz w:val="18"/>
                <w:szCs w:val="18"/>
              </w:rPr>
              <w:sym w:font="Wingdings" w:char="F0FC"/>
            </w:r>
          </w:p>
        </w:tc>
      </w:tr>
    </w:tbl>
    <w:p w:rsidR="00AC31DA" w:rsidRPr="00AC31DA" w:rsidRDefault="00AC31DA" w:rsidP="00AC31DA"/>
    <w:p w:rsidR="0022587A" w:rsidRDefault="0022587A" w:rsidP="0022587A">
      <w:pPr>
        <w:pStyle w:val="Heading4"/>
      </w:pPr>
      <w:r>
        <w:t xml:space="preserve">Subcommittee Attendance </w:t>
      </w:r>
      <w:r>
        <w:rPr>
          <w:spacing w:val="-6"/>
        </w:rPr>
        <w:t xml:space="preserve">Record </w:t>
      </w:r>
      <w:r>
        <w:t xml:space="preserve">Audit </w:t>
      </w:r>
      <w:r>
        <w:rPr>
          <w:spacing w:val="-4"/>
        </w:rPr>
        <w:t>and Risk</w:t>
      </w:r>
    </w:p>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418"/>
        <w:gridCol w:w="709"/>
        <w:gridCol w:w="567"/>
        <w:gridCol w:w="708"/>
        <w:gridCol w:w="709"/>
        <w:gridCol w:w="709"/>
        <w:gridCol w:w="709"/>
        <w:gridCol w:w="1275"/>
        <w:gridCol w:w="567"/>
        <w:gridCol w:w="567"/>
        <w:gridCol w:w="567"/>
        <w:gridCol w:w="567"/>
        <w:gridCol w:w="567"/>
      </w:tblGrid>
      <w:tr w:rsidR="0022587A" w:rsidRPr="007E2292" w:rsidTr="0008485A">
        <w:trPr>
          <w:trHeight w:hRule="exact" w:val="744"/>
        </w:trPr>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22587A">
            <w:pPr>
              <w:pStyle w:val="TableParagraph"/>
              <w:spacing w:before="49"/>
              <w:ind w:left="80"/>
              <w:rPr>
                <w:rFonts w:ascii="Gill Sans MT" w:hAnsi="Gill Sans MT"/>
                <w:b/>
                <w:sz w:val="18"/>
                <w:szCs w:val="18"/>
              </w:rPr>
            </w:pPr>
            <w:r w:rsidRPr="0008485A">
              <w:rPr>
                <w:rFonts w:ascii="Gill Sans MT" w:hAnsi="Gill Sans MT"/>
                <w:b/>
                <w:sz w:val="18"/>
                <w:szCs w:val="18"/>
              </w:rPr>
              <w:t>Name</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69"/>
              <w:jc w:val="center"/>
              <w:rPr>
                <w:rFonts w:ascii="Gill Sans MT" w:hAnsi="Gill Sans MT"/>
                <w:b/>
                <w:sz w:val="18"/>
                <w:szCs w:val="18"/>
              </w:rPr>
            </w:pPr>
            <w:r w:rsidRPr="0008485A">
              <w:rPr>
                <w:rFonts w:ascii="Gill Sans MT" w:hAnsi="Gill Sans MT"/>
                <w:b/>
                <w:sz w:val="18"/>
                <w:szCs w:val="18"/>
              </w:rPr>
              <w:t xml:space="preserve">9 </w:t>
            </w:r>
            <w:r w:rsidR="0008485A">
              <w:rPr>
                <w:rFonts w:ascii="Gill Sans MT" w:hAnsi="Gill Sans MT"/>
                <w:b/>
                <w:sz w:val="18"/>
                <w:szCs w:val="18"/>
              </w:rPr>
              <w:br/>
            </w:r>
            <w:r w:rsidRPr="0008485A">
              <w:rPr>
                <w:rFonts w:ascii="Gill Sans MT" w:hAnsi="Gill Sans MT"/>
                <w:b/>
                <w:sz w:val="18"/>
                <w:szCs w:val="18"/>
              </w:rPr>
              <w:t>Jul</w:t>
            </w:r>
          </w:p>
          <w:p w:rsidR="0022587A" w:rsidRPr="0008485A" w:rsidRDefault="0022587A" w:rsidP="0008485A">
            <w:pPr>
              <w:pStyle w:val="TableParagraph"/>
              <w:spacing w:before="32"/>
              <w:ind w:left="157"/>
              <w:jc w:val="center"/>
              <w:rPr>
                <w:rFonts w:ascii="Gill Sans MT" w:hAnsi="Gill Sans MT"/>
                <w:b/>
                <w:sz w:val="18"/>
                <w:szCs w:val="18"/>
              </w:rPr>
            </w:pPr>
            <w:r w:rsidRPr="0008485A">
              <w:rPr>
                <w:rFonts w:ascii="Gill Sans MT" w:hAnsi="Gill Sans MT"/>
                <w:b/>
                <w:sz w:val="18"/>
                <w:szCs w:val="18"/>
              </w:rPr>
              <w:t>2015</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77"/>
              <w:jc w:val="center"/>
              <w:rPr>
                <w:rFonts w:ascii="Gill Sans MT" w:hAnsi="Gill Sans MT"/>
                <w:b/>
                <w:sz w:val="18"/>
                <w:szCs w:val="18"/>
              </w:rPr>
            </w:pPr>
            <w:r w:rsidRPr="0008485A">
              <w:rPr>
                <w:rFonts w:ascii="Gill Sans MT" w:hAnsi="Gill Sans MT"/>
                <w:b/>
                <w:sz w:val="18"/>
                <w:szCs w:val="18"/>
              </w:rPr>
              <w:t>12 Aug</w:t>
            </w:r>
          </w:p>
          <w:p w:rsidR="0022587A" w:rsidRPr="0008485A" w:rsidRDefault="0022587A" w:rsidP="0008485A">
            <w:pPr>
              <w:pStyle w:val="TableParagraph"/>
              <w:spacing w:before="32"/>
              <w:ind w:left="146"/>
              <w:jc w:val="center"/>
              <w:rPr>
                <w:rFonts w:ascii="Gill Sans MT" w:hAnsi="Gill Sans MT"/>
                <w:b/>
                <w:sz w:val="18"/>
                <w:szCs w:val="18"/>
              </w:rPr>
            </w:pPr>
            <w:r w:rsidRPr="0008485A">
              <w:rPr>
                <w:rFonts w:ascii="Gill Sans MT" w:hAnsi="Gill Sans MT"/>
                <w:b/>
                <w:sz w:val="18"/>
                <w:szCs w:val="18"/>
              </w:rPr>
              <w:t>2015</w:t>
            </w:r>
          </w:p>
        </w:tc>
        <w:tc>
          <w:tcPr>
            <w:tcW w:w="708"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08"/>
              <w:jc w:val="center"/>
              <w:rPr>
                <w:rFonts w:ascii="Gill Sans MT" w:hAnsi="Gill Sans MT"/>
                <w:b/>
                <w:sz w:val="18"/>
                <w:szCs w:val="18"/>
              </w:rPr>
            </w:pPr>
            <w:r w:rsidRPr="0008485A">
              <w:rPr>
                <w:rFonts w:ascii="Gill Sans MT" w:hAnsi="Gill Sans MT"/>
                <w:b/>
                <w:sz w:val="18"/>
                <w:szCs w:val="18"/>
              </w:rPr>
              <w:t>16 Sept</w:t>
            </w:r>
          </w:p>
          <w:p w:rsidR="0022587A" w:rsidRPr="0008485A" w:rsidRDefault="0022587A" w:rsidP="0008485A">
            <w:pPr>
              <w:pStyle w:val="TableParagraph"/>
              <w:spacing w:before="32"/>
              <w:ind w:left="196"/>
              <w:jc w:val="center"/>
              <w:rPr>
                <w:rFonts w:ascii="Gill Sans MT" w:hAnsi="Gill Sans MT"/>
                <w:b/>
                <w:sz w:val="18"/>
                <w:szCs w:val="18"/>
              </w:rPr>
            </w:pPr>
            <w:r w:rsidRPr="0008485A">
              <w:rPr>
                <w:rFonts w:ascii="Gill Sans MT" w:hAnsi="Gill Sans MT"/>
                <w:b/>
                <w:sz w:val="18"/>
                <w:szCs w:val="18"/>
              </w:rPr>
              <w:t>2015</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05"/>
              <w:jc w:val="center"/>
              <w:rPr>
                <w:rFonts w:ascii="Gill Sans MT" w:hAnsi="Gill Sans MT"/>
                <w:b/>
                <w:sz w:val="18"/>
                <w:szCs w:val="18"/>
              </w:rPr>
            </w:pPr>
            <w:r w:rsidRPr="0008485A">
              <w:rPr>
                <w:rFonts w:ascii="Gill Sans MT" w:hAnsi="Gill Sans MT"/>
                <w:b/>
                <w:sz w:val="18"/>
                <w:szCs w:val="18"/>
              </w:rPr>
              <w:t xml:space="preserve">14 </w:t>
            </w:r>
            <w:r w:rsidR="0008485A">
              <w:rPr>
                <w:rFonts w:ascii="Gill Sans MT" w:hAnsi="Gill Sans MT"/>
                <w:b/>
                <w:sz w:val="18"/>
                <w:szCs w:val="18"/>
              </w:rPr>
              <w:br/>
            </w:r>
            <w:r w:rsidRPr="0008485A">
              <w:rPr>
                <w:rFonts w:ascii="Gill Sans MT" w:hAnsi="Gill Sans MT"/>
                <w:b/>
                <w:sz w:val="18"/>
                <w:szCs w:val="18"/>
              </w:rPr>
              <w:t>Oct</w:t>
            </w:r>
          </w:p>
          <w:p w:rsidR="0022587A" w:rsidRPr="0008485A" w:rsidRDefault="0022587A" w:rsidP="0008485A">
            <w:pPr>
              <w:pStyle w:val="TableParagraph"/>
              <w:spacing w:before="32"/>
              <w:ind w:left="171"/>
              <w:jc w:val="center"/>
              <w:rPr>
                <w:rFonts w:ascii="Gill Sans MT" w:hAnsi="Gill Sans MT"/>
                <w:b/>
                <w:sz w:val="18"/>
                <w:szCs w:val="18"/>
              </w:rPr>
            </w:pPr>
            <w:r w:rsidRPr="0008485A">
              <w:rPr>
                <w:rFonts w:ascii="Gill Sans MT" w:hAnsi="Gill Sans MT"/>
                <w:b/>
                <w:sz w:val="18"/>
                <w:szCs w:val="18"/>
              </w:rPr>
              <w:t>2015</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84"/>
              <w:jc w:val="center"/>
              <w:rPr>
                <w:rFonts w:ascii="Gill Sans MT" w:hAnsi="Gill Sans MT"/>
                <w:b/>
                <w:sz w:val="18"/>
                <w:szCs w:val="18"/>
              </w:rPr>
            </w:pPr>
            <w:r w:rsidRPr="0008485A">
              <w:rPr>
                <w:rFonts w:ascii="Gill Sans MT" w:hAnsi="Gill Sans MT"/>
                <w:b/>
                <w:sz w:val="18"/>
                <w:szCs w:val="18"/>
              </w:rPr>
              <w:t>11</w:t>
            </w:r>
            <w:r w:rsidR="0008485A">
              <w:rPr>
                <w:rFonts w:ascii="Gill Sans MT" w:hAnsi="Gill Sans MT"/>
                <w:b/>
                <w:sz w:val="18"/>
                <w:szCs w:val="18"/>
              </w:rPr>
              <w:br/>
            </w:r>
            <w:r w:rsidRPr="0008485A">
              <w:rPr>
                <w:rFonts w:ascii="Gill Sans MT" w:hAnsi="Gill Sans MT"/>
                <w:b/>
                <w:sz w:val="18"/>
                <w:szCs w:val="18"/>
              </w:rPr>
              <w:t xml:space="preserve"> Nov</w:t>
            </w:r>
          </w:p>
          <w:p w:rsidR="0022587A" w:rsidRPr="0008485A" w:rsidRDefault="0022587A" w:rsidP="0008485A">
            <w:pPr>
              <w:pStyle w:val="TableParagraph"/>
              <w:spacing w:before="32"/>
              <w:ind w:left="157"/>
              <w:jc w:val="center"/>
              <w:rPr>
                <w:rFonts w:ascii="Gill Sans MT" w:hAnsi="Gill Sans MT"/>
                <w:b/>
                <w:sz w:val="18"/>
                <w:szCs w:val="18"/>
              </w:rPr>
            </w:pPr>
            <w:r w:rsidRPr="0008485A">
              <w:rPr>
                <w:rFonts w:ascii="Gill Sans MT" w:hAnsi="Gill Sans MT"/>
                <w:b/>
                <w:sz w:val="18"/>
                <w:szCs w:val="18"/>
              </w:rPr>
              <w:t>2015</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97"/>
              <w:jc w:val="center"/>
              <w:rPr>
                <w:rFonts w:ascii="Gill Sans MT" w:hAnsi="Gill Sans MT"/>
                <w:b/>
                <w:sz w:val="18"/>
                <w:szCs w:val="18"/>
              </w:rPr>
            </w:pPr>
            <w:r w:rsidRPr="0008485A">
              <w:rPr>
                <w:rFonts w:ascii="Gill Sans MT" w:hAnsi="Gill Sans MT"/>
                <w:b/>
                <w:sz w:val="18"/>
                <w:szCs w:val="18"/>
              </w:rPr>
              <w:t xml:space="preserve">9 </w:t>
            </w:r>
            <w:r w:rsidR="0008485A">
              <w:rPr>
                <w:rFonts w:ascii="Gill Sans MT" w:hAnsi="Gill Sans MT"/>
                <w:b/>
                <w:sz w:val="18"/>
                <w:szCs w:val="18"/>
              </w:rPr>
              <w:br/>
            </w:r>
            <w:r w:rsidRPr="0008485A">
              <w:rPr>
                <w:rFonts w:ascii="Gill Sans MT" w:hAnsi="Gill Sans MT"/>
                <w:b/>
                <w:sz w:val="18"/>
                <w:szCs w:val="18"/>
              </w:rPr>
              <w:t>Dec</w:t>
            </w:r>
          </w:p>
          <w:p w:rsidR="0022587A" w:rsidRPr="0008485A" w:rsidRDefault="0022587A" w:rsidP="0008485A">
            <w:pPr>
              <w:pStyle w:val="TableParagraph"/>
              <w:spacing w:before="32"/>
              <w:ind w:left="132"/>
              <w:jc w:val="center"/>
              <w:rPr>
                <w:rFonts w:ascii="Gill Sans MT" w:hAnsi="Gill Sans MT"/>
                <w:b/>
                <w:sz w:val="18"/>
                <w:szCs w:val="18"/>
              </w:rPr>
            </w:pPr>
            <w:r w:rsidRPr="0008485A">
              <w:rPr>
                <w:rFonts w:ascii="Gill Sans MT" w:hAnsi="Gill Sans MT"/>
                <w:b/>
                <w:sz w:val="18"/>
                <w:szCs w:val="18"/>
              </w:rPr>
              <w:t>2015</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line="288" w:lineRule="auto"/>
              <w:ind w:left="5" w:right="5"/>
              <w:jc w:val="center"/>
              <w:rPr>
                <w:rFonts w:ascii="Gill Sans MT" w:hAnsi="Gill Sans MT"/>
                <w:b/>
                <w:sz w:val="18"/>
                <w:szCs w:val="18"/>
              </w:rPr>
            </w:pPr>
            <w:r w:rsidRPr="0008485A">
              <w:rPr>
                <w:rFonts w:ascii="Gill Sans MT" w:hAnsi="Gill Sans MT"/>
                <w:b/>
                <w:sz w:val="18"/>
                <w:szCs w:val="18"/>
              </w:rPr>
              <w:t>Jan 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10 Feb</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16 Mar</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13 Apr</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5"/>
              <w:jc w:val="center"/>
              <w:rPr>
                <w:rFonts w:ascii="Gill Sans MT" w:hAnsi="Gill Sans MT"/>
                <w:b/>
                <w:sz w:val="18"/>
                <w:szCs w:val="18"/>
              </w:rPr>
            </w:pPr>
            <w:r w:rsidRPr="0008485A">
              <w:rPr>
                <w:rFonts w:ascii="Gill Sans MT" w:hAnsi="Gill Sans MT"/>
                <w:b/>
                <w:sz w:val="18"/>
                <w:szCs w:val="18"/>
              </w:rPr>
              <w:t>18 May</w:t>
            </w:r>
          </w:p>
          <w:p w:rsidR="0022587A" w:rsidRPr="0008485A" w:rsidRDefault="0022587A" w:rsidP="0008485A">
            <w:pPr>
              <w:pStyle w:val="TableParagraph"/>
              <w:spacing w:before="32"/>
              <w:ind w:left="5"/>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15 June</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r>
      <w:tr w:rsidR="0022587A" w:rsidRPr="007E2292" w:rsidTr="0008485A">
        <w:trPr>
          <w:trHeight w:hRule="exact" w:val="564"/>
        </w:trPr>
        <w:tc>
          <w:tcPr>
            <w:tcW w:w="1418" w:type="dxa"/>
            <w:tcBorders>
              <w:top w:val="single" w:sz="4" w:space="0" w:color="004D8F"/>
              <w:left w:val="single" w:sz="4" w:space="0" w:color="004D8F"/>
              <w:right w:val="single" w:sz="4" w:space="0" w:color="004D8F"/>
            </w:tcBorders>
            <w:shd w:val="clear" w:color="auto" w:fill="auto"/>
          </w:tcPr>
          <w:p w:rsidR="0022587A" w:rsidRPr="007E2292" w:rsidRDefault="0022587A" w:rsidP="0022587A">
            <w:pPr>
              <w:pStyle w:val="TableParagraph"/>
              <w:spacing w:before="47" w:line="302" w:lineRule="auto"/>
              <w:ind w:left="75" w:right="178"/>
              <w:rPr>
                <w:rFonts w:ascii="Gill Sans MT" w:hAnsi="Gill Sans MT"/>
                <w:sz w:val="18"/>
                <w:szCs w:val="18"/>
              </w:rPr>
            </w:pPr>
            <w:r w:rsidRPr="007E2292">
              <w:rPr>
                <w:rFonts w:ascii="Gill Sans MT" w:hAnsi="Gill Sans MT"/>
                <w:sz w:val="18"/>
                <w:szCs w:val="18"/>
              </w:rPr>
              <w:t>Mark Scanlon - Chair</w:t>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708"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1275" w:type="dxa"/>
            <w:tcBorders>
              <w:top w:val="single" w:sz="4" w:space="0" w:color="004D8F"/>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righ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r>
      <w:tr w:rsidR="0022587A" w:rsidRPr="007E2292" w:rsidTr="0008485A">
        <w:trPr>
          <w:trHeight w:hRule="exact" w:val="457"/>
        </w:trPr>
        <w:tc>
          <w:tcPr>
            <w:tcW w:w="1418" w:type="dxa"/>
            <w:tcBorders>
              <w:left w:val="single" w:sz="4" w:space="0" w:color="004D8F"/>
              <w:right w:val="single" w:sz="4" w:space="0" w:color="004D8F"/>
            </w:tcBorders>
            <w:shd w:val="clear" w:color="auto" w:fill="auto"/>
          </w:tcPr>
          <w:p w:rsidR="0022587A" w:rsidRPr="007E2292" w:rsidRDefault="0022587A" w:rsidP="0022587A">
            <w:pPr>
              <w:pStyle w:val="TableParagraph"/>
              <w:spacing w:before="47"/>
              <w:ind w:left="76"/>
              <w:rPr>
                <w:rFonts w:ascii="Gill Sans MT" w:hAnsi="Gill Sans MT"/>
                <w:sz w:val="18"/>
                <w:szCs w:val="18"/>
              </w:rPr>
            </w:pPr>
            <w:r w:rsidRPr="007E2292">
              <w:rPr>
                <w:rFonts w:ascii="Gill Sans MT" w:hAnsi="Gill Sans MT"/>
                <w:sz w:val="18"/>
                <w:szCs w:val="18"/>
              </w:rPr>
              <w:t>Dr Judith Watson</w:t>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1275" w:type="dxa"/>
            <w:tcBorders>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righ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L</w:t>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r>
      <w:tr w:rsidR="0022587A" w:rsidRPr="007E2292" w:rsidTr="0008485A">
        <w:trPr>
          <w:trHeight w:hRule="exact" w:val="457"/>
        </w:trPr>
        <w:tc>
          <w:tcPr>
            <w:tcW w:w="1418" w:type="dxa"/>
            <w:tcBorders>
              <w:left w:val="single" w:sz="4" w:space="0" w:color="004D8F"/>
              <w:bottom w:val="single" w:sz="4" w:space="0" w:color="004D8F"/>
              <w:right w:val="single" w:sz="4" w:space="0" w:color="004D8F"/>
            </w:tcBorders>
            <w:shd w:val="clear" w:color="auto" w:fill="auto"/>
          </w:tcPr>
          <w:p w:rsidR="0022587A" w:rsidRPr="007E2292" w:rsidRDefault="0022587A" w:rsidP="0022587A">
            <w:pPr>
              <w:pStyle w:val="TableParagraph"/>
              <w:spacing w:before="47"/>
              <w:ind w:left="76"/>
              <w:rPr>
                <w:rFonts w:ascii="Gill Sans MT" w:hAnsi="Gill Sans MT"/>
                <w:sz w:val="18"/>
                <w:szCs w:val="18"/>
              </w:rPr>
            </w:pPr>
            <w:r w:rsidRPr="007E2292">
              <w:rPr>
                <w:rFonts w:ascii="Gill Sans MT" w:hAnsi="Gill Sans MT"/>
                <w:sz w:val="18"/>
                <w:szCs w:val="18"/>
              </w:rPr>
              <w:t>John Ramsay</w:t>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708"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A</w:t>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A</w:t>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A</w:t>
            </w:r>
          </w:p>
        </w:tc>
        <w:tc>
          <w:tcPr>
            <w:tcW w:w="1275" w:type="dxa"/>
            <w:tcBorders>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righ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L</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3"/>
              <w:jc w:val="center"/>
              <w:rPr>
                <w:rFonts w:ascii="Gill Sans MT" w:hAnsi="Gill Sans MT"/>
                <w:b/>
                <w:sz w:val="18"/>
                <w:szCs w:val="18"/>
              </w:rPr>
            </w:pPr>
            <w:r w:rsidRPr="007E2292">
              <w:rPr>
                <w:rFonts w:ascii="Gill Sans MT" w:hAnsi="Gill Sans MT"/>
                <w:b/>
                <w:sz w:val="18"/>
                <w:szCs w:val="18"/>
              </w:rPr>
              <w:t>A</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r>
    </w:tbl>
    <w:p w:rsidR="0022587A" w:rsidRDefault="0022587A" w:rsidP="0022587A">
      <w:pPr>
        <w:pStyle w:val="BodyText"/>
        <w:rPr>
          <w:rFonts w:ascii="GillSans-SemiBold"/>
          <w:b/>
          <w:sz w:val="30"/>
        </w:rPr>
      </w:pPr>
    </w:p>
    <w:p w:rsidR="0022587A" w:rsidRPr="00135C94" w:rsidRDefault="00135C94" w:rsidP="00135C94">
      <w:pPr>
        <w:pStyle w:val="Heading4"/>
      </w:pPr>
      <w:r>
        <w:t>Quality and Safety</w:t>
      </w:r>
    </w:p>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381"/>
        <w:gridCol w:w="714"/>
        <w:gridCol w:w="595"/>
        <w:gridCol w:w="652"/>
        <w:gridCol w:w="769"/>
        <w:gridCol w:w="709"/>
        <w:gridCol w:w="709"/>
        <w:gridCol w:w="1275"/>
        <w:gridCol w:w="567"/>
        <w:gridCol w:w="567"/>
        <w:gridCol w:w="567"/>
        <w:gridCol w:w="567"/>
        <w:gridCol w:w="567"/>
      </w:tblGrid>
      <w:tr w:rsidR="0008485A" w:rsidRPr="0008485A" w:rsidTr="0008485A">
        <w:trPr>
          <w:trHeight w:hRule="exact" w:val="732"/>
        </w:trPr>
        <w:tc>
          <w:tcPr>
            <w:tcW w:w="1381"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876819">
            <w:pPr>
              <w:pStyle w:val="TableParagraph"/>
              <w:spacing w:before="49"/>
              <w:ind w:left="80"/>
              <w:rPr>
                <w:rFonts w:ascii="Gill Sans MT" w:hAnsi="Gill Sans MT"/>
                <w:b/>
                <w:sz w:val="18"/>
                <w:szCs w:val="18"/>
              </w:rPr>
            </w:pPr>
            <w:r w:rsidRPr="0008485A">
              <w:rPr>
                <w:rFonts w:ascii="Gill Sans MT" w:hAnsi="Gill Sans MT"/>
                <w:b/>
                <w:sz w:val="18"/>
                <w:szCs w:val="18"/>
              </w:rPr>
              <w:t>Name</w:t>
            </w:r>
          </w:p>
        </w:tc>
        <w:tc>
          <w:tcPr>
            <w:tcW w:w="714"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Jul 2015</w:t>
            </w:r>
          </w:p>
        </w:tc>
        <w:tc>
          <w:tcPr>
            <w:tcW w:w="595"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12"/>
              <w:jc w:val="center"/>
              <w:rPr>
                <w:rFonts w:ascii="Gill Sans MT" w:hAnsi="Gill Sans MT"/>
                <w:b/>
                <w:sz w:val="18"/>
                <w:szCs w:val="18"/>
              </w:rPr>
            </w:pPr>
            <w:r w:rsidRPr="0008485A">
              <w:rPr>
                <w:rFonts w:ascii="Gill Sans MT" w:hAnsi="Gill Sans MT"/>
                <w:b/>
                <w:sz w:val="18"/>
                <w:szCs w:val="18"/>
              </w:rPr>
              <w:t>4 Aug</w:t>
            </w:r>
          </w:p>
          <w:p w:rsidR="0022587A" w:rsidRPr="0008485A" w:rsidRDefault="0022587A" w:rsidP="0008485A">
            <w:pPr>
              <w:pStyle w:val="TableParagraph"/>
              <w:spacing w:before="32"/>
              <w:ind w:left="146"/>
              <w:jc w:val="center"/>
              <w:rPr>
                <w:rFonts w:ascii="Gill Sans MT" w:hAnsi="Gill Sans MT"/>
                <w:b/>
                <w:sz w:val="18"/>
                <w:szCs w:val="18"/>
              </w:rPr>
            </w:pPr>
            <w:r w:rsidRPr="0008485A">
              <w:rPr>
                <w:rFonts w:ascii="Gill Sans MT" w:hAnsi="Gill Sans MT"/>
                <w:b/>
                <w:sz w:val="18"/>
                <w:szCs w:val="18"/>
              </w:rPr>
              <w:t>2015</w:t>
            </w:r>
          </w:p>
        </w:tc>
        <w:tc>
          <w:tcPr>
            <w:tcW w:w="652"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22"/>
              <w:jc w:val="center"/>
              <w:rPr>
                <w:rFonts w:ascii="Gill Sans MT" w:hAnsi="Gill Sans MT"/>
                <w:b/>
                <w:sz w:val="18"/>
                <w:szCs w:val="18"/>
              </w:rPr>
            </w:pPr>
            <w:r w:rsidRPr="0008485A">
              <w:rPr>
                <w:rFonts w:ascii="Gill Sans MT" w:hAnsi="Gill Sans MT"/>
                <w:b/>
                <w:sz w:val="18"/>
                <w:szCs w:val="18"/>
              </w:rPr>
              <w:t>1 Sept</w:t>
            </w:r>
          </w:p>
          <w:p w:rsidR="0022587A" w:rsidRPr="0008485A" w:rsidRDefault="0022587A" w:rsidP="0008485A">
            <w:pPr>
              <w:pStyle w:val="TableParagraph"/>
              <w:spacing w:before="32"/>
              <w:ind w:left="175"/>
              <w:jc w:val="center"/>
              <w:rPr>
                <w:rFonts w:ascii="Gill Sans MT" w:hAnsi="Gill Sans MT"/>
                <w:b/>
                <w:sz w:val="18"/>
                <w:szCs w:val="18"/>
              </w:rPr>
            </w:pPr>
            <w:r w:rsidRPr="0008485A">
              <w:rPr>
                <w:rFonts w:ascii="Gill Sans MT" w:hAnsi="Gill Sans MT"/>
                <w:b/>
                <w:sz w:val="18"/>
                <w:szCs w:val="18"/>
              </w:rPr>
              <w:t>2015</w:t>
            </w:r>
          </w:p>
        </w:tc>
        <w:tc>
          <w:tcPr>
            <w:tcW w:w="76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06"/>
              <w:jc w:val="center"/>
              <w:rPr>
                <w:rFonts w:ascii="Gill Sans MT" w:hAnsi="Gill Sans MT"/>
                <w:b/>
                <w:sz w:val="18"/>
                <w:szCs w:val="18"/>
              </w:rPr>
            </w:pPr>
            <w:r w:rsidRPr="0008485A">
              <w:rPr>
                <w:rFonts w:ascii="Gill Sans MT" w:hAnsi="Gill Sans MT"/>
                <w:b/>
                <w:sz w:val="18"/>
                <w:szCs w:val="18"/>
              </w:rPr>
              <w:t xml:space="preserve">13 </w:t>
            </w:r>
            <w:r w:rsidR="0008485A">
              <w:rPr>
                <w:rFonts w:ascii="Gill Sans MT" w:hAnsi="Gill Sans MT"/>
                <w:b/>
                <w:sz w:val="18"/>
                <w:szCs w:val="18"/>
              </w:rPr>
              <w:br/>
            </w:r>
            <w:r w:rsidRPr="0008485A">
              <w:rPr>
                <w:rFonts w:ascii="Gill Sans MT" w:hAnsi="Gill Sans MT"/>
                <w:b/>
                <w:sz w:val="18"/>
                <w:szCs w:val="18"/>
              </w:rPr>
              <w:t>Oct</w:t>
            </w:r>
          </w:p>
          <w:p w:rsidR="0022587A" w:rsidRPr="0008485A" w:rsidRDefault="0022587A" w:rsidP="0008485A">
            <w:pPr>
              <w:pStyle w:val="TableParagraph"/>
              <w:spacing w:before="32"/>
              <w:ind w:left="171"/>
              <w:jc w:val="center"/>
              <w:rPr>
                <w:rFonts w:ascii="Gill Sans MT" w:hAnsi="Gill Sans MT"/>
                <w:b/>
                <w:sz w:val="18"/>
                <w:szCs w:val="18"/>
              </w:rPr>
            </w:pPr>
            <w:r w:rsidRPr="0008485A">
              <w:rPr>
                <w:rFonts w:ascii="Gill Sans MT" w:hAnsi="Gill Sans MT"/>
                <w:b/>
                <w:sz w:val="18"/>
                <w:szCs w:val="18"/>
              </w:rPr>
              <w:t>2015</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109"/>
              <w:jc w:val="center"/>
              <w:rPr>
                <w:rFonts w:ascii="Gill Sans MT" w:hAnsi="Gill Sans MT"/>
                <w:b/>
                <w:sz w:val="18"/>
                <w:szCs w:val="18"/>
              </w:rPr>
            </w:pPr>
            <w:r w:rsidRPr="0008485A">
              <w:rPr>
                <w:rFonts w:ascii="Gill Sans MT" w:hAnsi="Gill Sans MT"/>
                <w:b/>
                <w:sz w:val="18"/>
                <w:szCs w:val="18"/>
              </w:rPr>
              <w:t xml:space="preserve">3 </w:t>
            </w:r>
            <w:r w:rsidR="0008485A">
              <w:rPr>
                <w:rFonts w:ascii="Gill Sans MT" w:hAnsi="Gill Sans MT"/>
                <w:b/>
                <w:sz w:val="18"/>
                <w:szCs w:val="18"/>
              </w:rPr>
              <w:br/>
            </w:r>
            <w:r w:rsidRPr="0008485A">
              <w:rPr>
                <w:rFonts w:ascii="Gill Sans MT" w:hAnsi="Gill Sans MT"/>
                <w:b/>
                <w:sz w:val="18"/>
                <w:szCs w:val="18"/>
              </w:rPr>
              <w:t>Nov</w:t>
            </w:r>
          </w:p>
          <w:p w:rsidR="0022587A" w:rsidRPr="0008485A" w:rsidRDefault="0022587A" w:rsidP="0008485A">
            <w:pPr>
              <w:pStyle w:val="TableParagraph"/>
              <w:spacing w:before="32"/>
              <w:ind w:left="150"/>
              <w:jc w:val="center"/>
              <w:rPr>
                <w:rFonts w:ascii="Gill Sans MT" w:hAnsi="Gill Sans MT"/>
                <w:b/>
                <w:sz w:val="18"/>
                <w:szCs w:val="18"/>
              </w:rPr>
            </w:pPr>
            <w:r w:rsidRPr="0008485A">
              <w:rPr>
                <w:rFonts w:ascii="Gill Sans MT" w:hAnsi="Gill Sans MT"/>
                <w:b/>
                <w:sz w:val="18"/>
                <w:szCs w:val="18"/>
              </w:rPr>
              <w:t>2015</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97"/>
              <w:jc w:val="center"/>
              <w:rPr>
                <w:rFonts w:ascii="Gill Sans MT" w:hAnsi="Gill Sans MT"/>
                <w:b/>
                <w:sz w:val="18"/>
                <w:szCs w:val="18"/>
              </w:rPr>
            </w:pPr>
            <w:r w:rsidRPr="0008485A">
              <w:rPr>
                <w:rFonts w:ascii="Gill Sans MT" w:hAnsi="Gill Sans MT"/>
                <w:b/>
                <w:sz w:val="18"/>
                <w:szCs w:val="18"/>
              </w:rPr>
              <w:t xml:space="preserve">1 </w:t>
            </w:r>
            <w:r w:rsidR="0008485A">
              <w:rPr>
                <w:rFonts w:ascii="Gill Sans MT" w:hAnsi="Gill Sans MT"/>
                <w:b/>
                <w:sz w:val="18"/>
                <w:szCs w:val="18"/>
              </w:rPr>
              <w:br/>
            </w:r>
            <w:r w:rsidRPr="0008485A">
              <w:rPr>
                <w:rFonts w:ascii="Gill Sans MT" w:hAnsi="Gill Sans MT"/>
                <w:b/>
                <w:sz w:val="18"/>
                <w:szCs w:val="18"/>
              </w:rPr>
              <w:t>Dec</w:t>
            </w:r>
          </w:p>
          <w:p w:rsidR="0022587A" w:rsidRPr="0008485A" w:rsidRDefault="0022587A" w:rsidP="0008485A">
            <w:pPr>
              <w:pStyle w:val="TableParagraph"/>
              <w:spacing w:before="32"/>
              <w:ind w:left="132"/>
              <w:jc w:val="center"/>
              <w:rPr>
                <w:rFonts w:ascii="Gill Sans MT" w:hAnsi="Gill Sans MT"/>
                <w:b/>
                <w:sz w:val="18"/>
                <w:szCs w:val="18"/>
              </w:rPr>
            </w:pPr>
            <w:r w:rsidRPr="0008485A">
              <w:rPr>
                <w:rFonts w:ascii="Gill Sans MT" w:hAnsi="Gill Sans MT"/>
                <w:b/>
                <w:sz w:val="18"/>
                <w:szCs w:val="18"/>
              </w:rPr>
              <w:t>2015</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line="288" w:lineRule="auto"/>
              <w:ind w:left="5"/>
              <w:jc w:val="center"/>
              <w:rPr>
                <w:rFonts w:ascii="Gill Sans MT" w:hAnsi="Gill Sans MT"/>
                <w:b/>
                <w:sz w:val="18"/>
                <w:szCs w:val="18"/>
              </w:rPr>
            </w:pPr>
            <w:r w:rsidRPr="0008485A">
              <w:rPr>
                <w:rFonts w:ascii="Gill Sans MT" w:hAnsi="Gill Sans MT"/>
                <w:b/>
                <w:sz w:val="18"/>
                <w:szCs w:val="18"/>
              </w:rPr>
              <w:t>Jan 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 xml:space="preserve">2 </w:t>
            </w:r>
            <w:r w:rsidR="0008485A">
              <w:rPr>
                <w:rFonts w:ascii="Gill Sans MT" w:hAnsi="Gill Sans MT"/>
                <w:b/>
                <w:sz w:val="18"/>
                <w:szCs w:val="18"/>
              </w:rPr>
              <w:br/>
            </w:r>
            <w:r w:rsidRPr="0008485A">
              <w:rPr>
                <w:rFonts w:ascii="Gill Sans MT" w:hAnsi="Gill Sans MT"/>
                <w:b/>
                <w:sz w:val="18"/>
                <w:szCs w:val="18"/>
              </w:rPr>
              <w:t>Feb</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w:t>
            </w:r>
            <w:r w:rsidR="0008485A">
              <w:rPr>
                <w:rFonts w:ascii="Gill Sans MT" w:hAnsi="Gill Sans MT"/>
                <w:b/>
                <w:sz w:val="18"/>
                <w:szCs w:val="18"/>
              </w:rPr>
              <w:t>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 xml:space="preserve">8 </w:t>
            </w:r>
            <w:r w:rsidR="0008485A">
              <w:rPr>
                <w:rFonts w:ascii="Gill Sans MT" w:hAnsi="Gill Sans MT"/>
                <w:b/>
                <w:sz w:val="18"/>
                <w:szCs w:val="18"/>
              </w:rPr>
              <w:br/>
            </w:r>
            <w:r w:rsidRPr="0008485A">
              <w:rPr>
                <w:rFonts w:ascii="Gill Sans MT" w:hAnsi="Gill Sans MT"/>
                <w:b/>
                <w:sz w:val="18"/>
                <w:szCs w:val="18"/>
              </w:rPr>
              <w:t>Mar</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jc w:val="center"/>
              <w:rPr>
                <w:rFonts w:ascii="Gill Sans MT" w:hAnsi="Gill Sans MT"/>
                <w:b/>
                <w:sz w:val="18"/>
                <w:szCs w:val="18"/>
              </w:rPr>
            </w:pPr>
            <w:r w:rsidRPr="0008485A">
              <w:rPr>
                <w:rFonts w:ascii="Gill Sans MT" w:hAnsi="Gill Sans MT"/>
                <w:b/>
                <w:sz w:val="18"/>
                <w:szCs w:val="18"/>
              </w:rPr>
              <w:t xml:space="preserve">5 </w:t>
            </w:r>
            <w:r w:rsidR="0008485A">
              <w:rPr>
                <w:rFonts w:ascii="Gill Sans MT" w:hAnsi="Gill Sans MT"/>
                <w:b/>
                <w:sz w:val="18"/>
                <w:szCs w:val="18"/>
              </w:rPr>
              <w:br/>
            </w:r>
            <w:r w:rsidRPr="0008485A">
              <w:rPr>
                <w:rFonts w:ascii="Gill Sans MT" w:hAnsi="Gill Sans MT"/>
                <w:b/>
                <w:sz w:val="18"/>
                <w:szCs w:val="18"/>
              </w:rPr>
              <w:t>Apr</w:t>
            </w:r>
          </w:p>
          <w:p w:rsidR="0022587A" w:rsidRPr="0008485A" w:rsidRDefault="0022587A" w:rsidP="0008485A">
            <w:pPr>
              <w:pStyle w:val="TableParagraph"/>
              <w:spacing w:before="32"/>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5"/>
              <w:jc w:val="center"/>
              <w:rPr>
                <w:rFonts w:ascii="Gill Sans MT" w:hAnsi="Gill Sans MT"/>
                <w:b/>
                <w:sz w:val="18"/>
                <w:szCs w:val="18"/>
              </w:rPr>
            </w:pPr>
            <w:r w:rsidRPr="0008485A">
              <w:rPr>
                <w:rFonts w:ascii="Gill Sans MT" w:hAnsi="Gill Sans MT"/>
                <w:b/>
                <w:sz w:val="18"/>
                <w:szCs w:val="18"/>
              </w:rPr>
              <w:t xml:space="preserve">3 </w:t>
            </w:r>
            <w:r w:rsidR="0008485A">
              <w:rPr>
                <w:rFonts w:ascii="Gill Sans MT" w:hAnsi="Gill Sans MT"/>
                <w:b/>
                <w:sz w:val="18"/>
                <w:szCs w:val="18"/>
              </w:rPr>
              <w:br/>
            </w:r>
            <w:r w:rsidRPr="0008485A">
              <w:rPr>
                <w:rFonts w:ascii="Gill Sans MT" w:hAnsi="Gill Sans MT"/>
                <w:b/>
                <w:sz w:val="18"/>
                <w:szCs w:val="18"/>
              </w:rPr>
              <w:t>May</w:t>
            </w:r>
          </w:p>
          <w:p w:rsidR="0022587A" w:rsidRPr="0008485A" w:rsidRDefault="0022587A" w:rsidP="0008485A">
            <w:pPr>
              <w:pStyle w:val="TableParagraph"/>
              <w:spacing w:before="32"/>
              <w:ind w:left="5"/>
              <w:jc w:val="center"/>
              <w:rPr>
                <w:rFonts w:ascii="Gill Sans MT" w:hAnsi="Gill Sans MT"/>
                <w:b/>
                <w:sz w:val="18"/>
                <w:szCs w:val="18"/>
              </w:rPr>
            </w:pPr>
            <w:r w:rsidRPr="0008485A">
              <w:rPr>
                <w:rFonts w:ascii="Gill Sans MT" w:hAnsi="Gill Sans MT"/>
                <w:b/>
                <w:sz w:val="18"/>
                <w:szCs w:val="18"/>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08485A" w:rsidRDefault="0022587A" w:rsidP="0008485A">
            <w:pPr>
              <w:pStyle w:val="TableParagraph"/>
              <w:spacing w:before="49"/>
              <w:ind w:left="5"/>
              <w:jc w:val="center"/>
              <w:rPr>
                <w:rFonts w:ascii="Gill Sans MT" w:hAnsi="Gill Sans MT"/>
                <w:b/>
                <w:sz w:val="18"/>
                <w:szCs w:val="18"/>
              </w:rPr>
            </w:pPr>
            <w:r w:rsidRPr="0008485A">
              <w:rPr>
                <w:rFonts w:ascii="Gill Sans MT" w:hAnsi="Gill Sans MT"/>
                <w:b/>
                <w:sz w:val="18"/>
                <w:szCs w:val="18"/>
              </w:rPr>
              <w:t xml:space="preserve">7 </w:t>
            </w:r>
            <w:r w:rsidR="0008485A">
              <w:rPr>
                <w:rFonts w:ascii="Gill Sans MT" w:hAnsi="Gill Sans MT"/>
                <w:b/>
                <w:sz w:val="18"/>
                <w:szCs w:val="18"/>
              </w:rPr>
              <w:br/>
            </w:r>
            <w:r w:rsidRPr="0008485A">
              <w:rPr>
                <w:rFonts w:ascii="Gill Sans MT" w:hAnsi="Gill Sans MT"/>
                <w:b/>
                <w:sz w:val="18"/>
                <w:szCs w:val="18"/>
              </w:rPr>
              <w:t>June</w:t>
            </w:r>
          </w:p>
          <w:p w:rsidR="0022587A" w:rsidRPr="0008485A" w:rsidRDefault="0022587A" w:rsidP="0008485A">
            <w:pPr>
              <w:pStyle w:val="TableParagraph"/>
              <w:spacing w:before="32"/>
              <w:ind w:left="5"/>
              <w:jc w:val="center"/>
              <w:rPr>
                <w:rFonts w:ascii="Gill Sans MT" w:hAnsi="Gill Sans MT"/>
                <w:b/>
                <w:sz w:val="18"/>
                <w:szCs w:val="18"/>
              </w:rPr>
            </w:pPr>
            <w:r w:rsidRPr="0008485A">
              <w:rPr>
                <w:rFonts w:ascii="Gill Sans MT" w:hAnsi="Gill Sans MT"/>
                <w:b/>
                <w:sz w:val="18"/>
                <w:szCs w:val="18"/>
              </w:rPr>
              <w:t>2016</w:t>
            </w:r>
          </w:p>
        </w:tc>
      </w:tr>
      <w:tr w:rsidR="007E2292" w:rsidRPr="007E2292" w:rsidTr="0008485A">
        <w:trPr>
          <w:trHeight w:hRule="exact" w:val="821"/>
        </w:trPr>
        <w:tc>
          <w:tcPr>
            <w:tcW w:w="1381" w:type="dxa"/>
            <w:tcBorders>
              <w:top w:val="single" w:sz="4" w:space="0" w:color="004D8F"/>
              <w:left w:val="single" w:sz="4" w:space="0" w:color="004D8F"/>
              <w:right w:val="single" w:sz="4" w:space="0" w:color="004D8F"/>
            </w:tcBorders>
            <w:shd w:val="clear" w:color="auto" w:fill="auto"/>
          </w:tcPr>
          <w:p w:rsidR="0022587A" w:rsidRPr="007E2292" w:rsidRDefault="0022587A" w:rsidP="00876819">
            <w:pPr>
              <w:pStyle w:val="TableParagraph"/>
              <w:spacing w:before="47" w:line="302" w:lineRule="auto"/>
              <w:ind w:left="75" w:right="42"/>
              <w:rPr>
                <w:rFonts w:ascii="Gill Sans MT" w:hAnsi="Gill Sans MT"/>
                <w:sz w:val="18"/>
                <w:szCs w:val="18"/>
              </w:rPr>
            </w:pPr>
            <w:r w:rsidRPr="007E2292">
              <w:rPr>
                <w:rFonts w:ascii="Gill Sans MT" w:hAnsi="Gill Sans MT"/>
                <w:sz w:val="18"/>
                <w:szCs w:val="18"/>
              </w:rPr>
              <w:t>Assoc Prof Dr Deborah Wilson - Chair</w:t>
            </w:r>
          </w:p>
        </w:tc>
        <w:tc>
          <w:tcPr>
            <w:tcW w:w="714" w:type="dxa"/>
            <w:tcBorders>
              <w:top w:val="single" w:sz="4" w:space="0" w:color="004D8F"/>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firstLine="42"/>
              <w:jc w:val="center"/>
              <w:rPr>
                <w:rFonts w:ascii="Gill Sans MT" w:hAnsi="Gill Sans MT"/>
                <w:sz w:val="18"/>
                <w:szCs w:val="18"/>
              </w:rPr>
            </w:pPr>
            <w:r w:rsidRPr="007E2292">
              <w:rPr>
                <w:rFonts w:ascii="Gill Sans MT" w:hAnsi="Gill Sans MT"/>
                <w:sz w:val="18"/>
                <w:szCs w:val="18"/>
              </w:rPr>
              <w:t>No Meeting</w:t>
            </w:r>
          </w:p>
        </w:tc>
        <w:tc>
          <w:tcPr>
            <w:tcW w:w="595"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652"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ind w:right="206"/>
              <w:jc w:val="center"/>
              <w:rPr>
                <w:rFonts w:ascii="Gill Sans MT" w:hAnsi="Gill Sans MT"/>
                <w:sz w:val="18"/>
                <w:szCs w:val="18"/>
              </w:rPr>
            </w:pPr>
            <w:r>
              <w:rPr>
                <w:rFonts w:ascii="Gill Sans MT" w:hAnsi="Gill Sans MT"/>
                <w:sz w:val="18"/>
                <w:szCs w:val="18"/>
              </w:rPr>
              <w:sym w:font="Wingdings" w:char="F0FC"/>
            </w:r>
          </w:p>
        </w:tc>
        <w:tc>
          <w:tcPr>
            <w:tcW w:w="76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ind w:right="181"/>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1275" w:type="dxa"/>
            <w:tcBorders>
              <w:top w:val="single" w:sz="4" w:space="0" w:color="004D8F"/>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ind w:right="20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62"/>
              <w:jc w:val="center"/>
              <w:rPr>
                <w:rFonts w:ascii="Gill Sans MT" w:hAnsi="Gill Sans MT"/>
                <w:sz w:val="18"/>
                <w:szCs w:val="18"/>
              </w:rPr>
            </w:pPr>
            <w:r>
              <w:rPr>
                <w:rFonts w:ascii="Gill Sans MT" w:hAnsi="Gill Sans MT"/>
                <w:sz w:val="18"/>
                <w:szCs w:val="18"/>
              </w:rPr>
              <w:sym w:font="Wingdings" w:char="F0FC"/>
            </w:r>
          </w:p>
        </w:tc>
      </w:tr>
      <w:tr w:rsidR="007E2292" w:rsidRPr="007E2292" w:rsidTr="0008485A">
        <w:trPr>
          <w:trHeight w:hRule="exact" w:val="586"/>
        </w:trPr>
        <w:tc>
          <w:tcPr>
            <w:tcW w:w="1381" w:type="dxa"/>
            <w:tcBorders>
              <w:left w:val="single" w:sz="4" w:space="0" w:color="004D8F"/>
              <w:right w:val="single" w:sz="4" w:space="0" w:color="004D8F"/>
            </w:tcBorders>
            <w:shd w:val="clear" w:color="auto" w:fill="auto"/>
          </w:tcPr>
          <w:p w:rsidR="0022587A" w:rsidRPr="007E2292" w:rsidRDefault="0022587A" w:rsidP="00876819">
            <w:pPr>
              <w:pStyle w:val="TableParagraph"/>
              <w:spacing w:before="47"/>
              <w:ind w:left="75"/>
              <w:rPr>
                <w:rFonts w:ascii="Gill Sans MT" w:hAnsi="Gill Sans MT"/>
                <w:sz w:val="18"/>
                <w:szCs w:val="18"/>
              </w:rPr>
            </w:pPr>
            <w:r w:rsidRPr="007E2292">
              <w:rPr>
                <w:rFonts w:ascii="Gill Sans MT" w:hAnsi="Gill Sans MT"/>
                <w:sz w:val="18"/>
                <w:szCs w:val="18"/>
              </w:rPr>
              <w:t>Prof Denise Fassett</w:t>
            </w:r>
          </w:p>
        </w:tc>
        <w:tc>
          <w:tcPr>
            <w:tcW w:w="714" w:type="dxa"/>
            <w:tcBorders>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firstLine="42"/>
              <w:jc w:val="center"/>
              <w:rPr>
                <w:rFonts w:ascii="Gill Sans MT" w:hAnsi="Gill Sans MT"/>
                <w:sz w:val="18"/>
                <w:szCs w:val="18"/>
              </w:rPr>
            </w:pPr>
            <w:r w:rsidRPr="007E2292">
              <w:rPr>
                <w:rFonts w:ascii="Gill Sans MT" w:hAnsi="Gill Sans MT"/>
                <w:sz w:val="18"/>
                <w:szCs w:val="18"/>
              </w:rPr>
              <w:t>No Meeting</w:t>
            </w:r>
          </w:p>
        </w:tc>
        <w:tc>
          <w:tcPr>
            <w:tcW w:w="595"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652"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ind w:right="206"/>
              <w:jc w:val="center"/>
              <w:rPr>
                <w:rFonts w:ascii="Gill Sans MT" w:hAnsi="Gill Sans MT"/>
                <w:sz w:val="18"/>
                <w:szCs w:val="18"/>
              </w:rPr>
            </w:pPr>
            <w:r>
              <w:rPr>
                <w:rFonts w:ascii="Gill Sans MT" w:hAnsi="Gill Sans MT"/>
                <w:sz w:val="18"/>
                <w:szCs w:val="18"/>
              </w:rPr>
              <w:sym w:font="Wingdings" w:char="F0FC"/>
            </w:r>
          </w:p>
        </w:tc>
        <w:tc>
          <w:tcPr>
            <w:tcW w:w="76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ind w:right="181"/>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1275" w:type="dxa"/>
            <w:tcBorders>
              <w:left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ind w:right="20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r>
      <w:tr w:rsidR="007E2292" w:rsidRPr="007E2292" w:rsidTr="0008485A">
        <w:trPr>
          <w:trHeight w:hRule="exact" w:val="566"/>
        </w:trPr>
        <w:tc>
          <w:tcPr>
            <w:tcW w:w="1381" w:type="dxa"/>
            <w:tcBorders>
              <w:left w:val="single" w:sz="4" w:space="0" w:color="004D8F"/>
              <w:bottom w:val="single" w:sz="4" w:space="0" w:color="004D8F"/>
              <w:right w:val="single" w:sz="4" w:space="0" w:color="004D8F"/>
            </w:tcBorders>
            <w:shd w:val="clear" w:color="auto" w:fill="auto"/>
          </w:tcPr>
          <w:p w:rsidR="0022587A" w:rsidRPr="007E2292" w:rsidRDefault="0022587A" w:rsidP="00876819">
            <w:pPr>
              <w:pStyle w:val="TableParagraph"/>
              <w:spacing w:before="47"/>
              <w:ind w:left="75"/>
              <w:rPr>
                <w:rFonts w:ascii="Gill Sans MT" w:hAnsi="Gill Sans MT"/>
                <w:sz w:val="18"/>
                <w:szCs w:val="18"/>
              </w:rPr>
            </w:pPr>
            <w:r w:rsidRPr="007E2292">
              <w:rPr>
                <w:rFonts w:ascii="Gill Sans MT" w:hAnsi="Gill Sans MT"/>
                <w:sz w:val="18"/>
                <w:szCs w:val="18"/>
              </w:rPr>
              <w:t>John Ramsay</w:t>
            </w:r>
          </w:p>
        </w:tc>
        <w:tc>
          <w:tcPr>
            <w:tcW w:w="714" w:type="dxa"/>
            <w:tcBorders>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firstLine="42"/>
              <w:jc w:val="center"/>
              <w:rPr>
                <w:rFonts w:ascii="Gill Sans MT" w:hAnsi="Gill Sans MT"/>
                <w:sz w:val="18"/>
                <w:szCs w:val="18"/>
              </w:rPr>
            </w:pPr>
            <w:r w:rsidRPr="007E2292">
              <w:rPr>
                <w:rFonts w:ascii="Gill Sans MT" w:hAnsi="Gill Sans MT"/>
                <w:sz w:val="18"/>
                <w:szCs w:val="18"/>
              </w:rPr>
              <w:t>No Meeting</w:t>
            </w:r>
          </w:p>
        </w:tc>
        <w:tc>
          <w:tcPr>
            <w:tcW w:w="595"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652"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ind w:right="206"/>
              <w:jc w:val="center"/>
              <w:rPr>
                <w:rFonts w:ascii="Gill Sans MT" w:hAnsi="Gill Sans MT"/>
                <w:sz w:val="18"/>
                <w:szCs w:val="18"/>
              </w:rPr>
            </w:pPr>
            <w:r>
              <w:rPr>
                <w:rFonts w:ascii="Gill Sans MT" w:hAnsi="Gill Sans MT"/>
                <w:sz w:val="18"/>
                <w:szCs w:val="18"/>
              </w:rPr>
              <w:sym w:font="Wingdings" w:char="F0FC"/>
            </w:r>
          </w:p>
        </w:tc>
        <w:tc>
          <w:tcPr>
            <w:tcW w:w="76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ind w:right="203"/>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ind w:right="181"/>
              <w:jc w:val="center"/>
              <w:rPr>
                <w:rFonts w:ascii="Gill Sans MT" w:hAnsi="Gill Sans MT"/>
                <w:sz w:val="18"/>
                <w:szCs w:val="18"/>
              </w:rPr>
            </w:pPr>
            <w:r>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1275" w:type="dxa"/>
            <w:tcBorders>
              <w:left w:val="single" w:sz="4" w:space="0" w:color="004D8F"/>
              <w:bottom w:val="single" w:sz="4" w:space="0" w:color="004D8F"/>
              <w:right w:val="single" w:sz="4" w:space="0" w:color="004D8F"/>
            </w:tcBorders>
            <w:shd w:val="clear" w:color="auto" w:fill="auto"/>
          </w:tcPr>
          <w:p w:rsidR="0022587A" w:rsidRPr="007E2292" w:rsidRDefault="0022587A" w:rsidP="0008485A">
            <w:pPr>
              <w:pStyle w:val="TableParagraph"/>
              <w:spacing w:before="47" w:line="302" w:lineRule="auto"/>
              <w:ind w:left="5"/>
              <w:jc w:val="center"/>
              <w:rPr>
                <w:rFonts w:ascii="Gill Sans MT" w:hAnsi="Gill Sans MT"/>
                <w:sz w:val="18"/>
                <w:szCs w:val="18"/>
              </w:rPr>
            </w:pPr>
            <w:r w:rsidRPr="007E2292">
              <w:rPr>
                <w:rFonts w:ascii="Gill Sans MT" w:hAnsi="Gill Sans MT"/>
                <w:sz w:val="18"/>
                <w:szCs w:val="18"/>
              </w:rPr>
              <w:t>No Meeting</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ind w:right="20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7E2292" w:rsidRDefault="00876819" w:rsidP="0008485A">
            <w:pPr>
              <w:pStyle w:val="TableParagraph"/>
              <w:spacing w:before="58"/>
              <w:jc w:val="center"/>
              <w:rPr>
                <w:rFonts w:ascii="Gill Sans MT" w:hAnsi="Gill Sans MT"/>
                <w:sz w:val="18"/>
                <w:szCs w:val="18"/>
              </w:rPr>
            </w:pPr>
            <w:r>
              <w:rPr>
                <w:rFonts w:ascii="Gill Sans MT" w:hAnsi="Gill Sans MT"/>
                <w:sz w:val="18"/>
                <w:szCs w:val="18"/>
              </w:rPr>
              <w:sym w:font="Wingdings" w:char="F0FC"/>
            </w:r>
          </w:p>
        </w:tc>
      </w:tr>
    </w:tbl>
    <w:p w:rsidR="00AC31DA" w:rsidRPr="00AC31DA" w:rsidRDefault="00AC31DA" w:rsidP="00AC31DA">
      <w:pPr>
        <w:pStyle w:val="BodyText"/>
      </w:pPr>
    </w:p>
    <w:p w:rsidR="00AC31DA" w:rsidRPr="00AC31DA" w:rsidRDefault="00AC31DA" w:rsidP="00AC31DA">
      <w:pPr>
        <w:pStyle w:val="BodyText"/>
      </w:pPr>
    </w:p>
    <w:p w:rsidR="0008485A" w:rsidRPr="00135C94" w:rsidRDefault="0008485A" w:rsidP="00135C94">
      <w:pPr>
        <w:pStyle w:val="Heading4"/>
      </w:pPr>
      <w:r>
        <w:lastRenderedPageBreak/>
        <w:t>Financial Management and Performance</w:t>
      </w:r>
    </w:p>
    <w:tbl>
      <w:tblPr>
        <w:tblW w:w="0" w:type="auto"/>
        <w:tblInd w:w="1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255"/>
        <w:gridCol w:w="714"/>
        <w:gridCol w:w="595"/>
        <w:gridCol w:w="652"/>
        <w:gridCol w:w="645"/>
        <w:gridCol w:w="672"/>
        <w:gridCol w:w="624"/>
        <w:gridCol w:w="643"/>
        <w:gridCol w:w="656"/>
        <w:gridCol w:w="720"/>
        <w:gridCol w:w="720"/>
        <w:gridCol w:w="720"/>
        <w:gridCol w:w="716"/>
      </w:tblGrid>
      <w:tr w:rsidR="0008485A" w:rsidRPr="0008485A" w:rsidTr="00135C94">
        <w:trPr>
          <w:trHeight w:hRule="exact" w:val="659"/>
        </w:trPr>
        <w:tc>
          <w:tcPr>
            <w:tcW w:w="1255"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876819">
            <w:pPr>
              <w:pStyle w:val="TableParagraph"/>
              <w:spacing w:before="49"/>
              <w:ind w:left="80"/>
              <w:rPr>
                <w:rFonts w:ascii="GillSans-SemiBold"/>
                <w:b/>
                <w:sz w:val="16"/>
                <w:szCs w:val="16"/>
              </w:rPr>
            </w:pPr>
            <w:r w:rsidRPr="0008485A">
              <w:rPr>
                <w:rFonts w:ascii="GillSans-SemiBold"/>
                <w:b/>
                <w:sz w:val="16"/>
                <w:szCs w:val="16"/>
              </w:rPr>
              <w:t>Name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08"/>
              <w:jc w:val="center"/>
              <w:rPr>
                <w:rFonts w:ascii="GillSans-SemiBold"/>
                <w:b/>
                <w:sz w:val="16"/>
                <w:szCs w:val="16"/>
              </w:rPr>
            </w:pPr>
            <w:r w:rsidRPr="0008485A">
              <w:rPr>
                <w:rFonts w:ascii="GillSans-SemiBold"/>
                <w:b/>
                <w:sz w:val="16"/>
                <w:szCs w:val="16"/>
              </w:rPr>
              <w:t>Jul 2015</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77"/>
              <w:jc w:val="center"/>
              <w:rPr>
                <w:rFonts w:ascii="GillSans-SemiBold"/>
                <w:b/>
                <w:sz w:val="16"/>
                <w:szCs w:val="16"/>
              </w:rPr>
            </w:pPr>
            <w:r w:rsidRPr="0008485A">
              <w:rPr>
                <w:rFonts w:ascii="GillSans-SemiBold"/>
                <w:b/>
                <w:sz w:val="16"/>
                <w:szCs w:val="16"/>
              </w:rPr>
              <w:t>14 Aug</w:t>
            </w:r>
          </w:p>
          <w:p w:rsidR="0008485A" w:rsidRPr="0008485A" w:rsidRDefault="0008485A" w:rsidP="00135C94">
            <w:pPr>
              <w:pStyle w:val="TableParagraph"/>
              <w:spacing w:before="32"/>
              <w:ind w:left="146"/>
              <w:jc w:val="center"/>
              <w:rPr>
                <w:rFonts w:ascii="GillSans-SemiBold"/>
                <w:b/>
                <w:sz w:val="16"/>
                <w:szCs w:val="16"/>
              </w:rPr>
            </w:pPr>
            <w:r w:rsidRPr="0008485A">
              <w:rPr>
                <w:rFonts w:ascii="GillSans-SemiBold"/>
                <w:b/>
                <w:sz w:val="16"/>
                <w:szCs w:val="16"/>
              </w:rPr>
              <w:t>2015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87"/>
              <w:jc w:val="center"/>
              <w:rPr>
                <w:rFonts w:ascii="GillSans-SemiBold"/>
                <w:b/>
                <w:sz w:val="16"/>
                <w:szCs w:val="16"/>
              </w:rPr>
            </w:pPr>
            <w:r w:rsidRPr="0008485A">
              <w:rPr>
                <w:rFonts w:ascii="GillSans-SemiBold"/>
                <w:b/>
                <w:sz w:val="16"/>
                <w:szCs w:val="16"/>
              </w:rPr>
              <w:t>21 Sept</w:t>
            </w:r>
          </w:p>
          <w:p w:rsidR="0008485A" w:rsidRPr="0008485A" w:rsidRDefault="0008485A" w:rsidP="00135C94">
            <w:pPr>
              <w:pStyle w:val="TableParagraph"/>
              <w:spacing w:before="32"/>
              <w:ind w:left="175"/>
              <w:jc w:val="center"/>
              <w:rPr>
                <w:rFonts w:ascii="GillSans-SemiBold"/>
                <w:b/>
                <w:sz w:val="16"/>
                <w:szCs w:val="16"/>
              </w:rPr>
            </w:pPr>
            <w:r w:rsidRPr="0008485A">
              <w:rPr>
                <w:rFonts w:ascii="GillSans-SemiBold"/>
                <w:b/>
                <w:sz w:val="16"/>
                <w:szCs w:val="16"/>
              </w:rPr>
              <w:t>2015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05"/>
              <w:jc w:val="center"/>
              <w:rPr>
                <w:rFonts w:ascii="GillSans-SemiBold"/>
                <w:b/>
                <w:sz w:val="16"/>
                <w:szCs w:val="16"/>
              </w:rPr>
            </w:pPr>
            <w:r w:rsidRPr="0008485A">
              <w:rPr>
                <w:rFonts w:ascii="GillSans-SemiBold"/>
                <w:b/>
                <w:sz w:val="16"/>
                <w:szCs w:val="16"/>
              </w:rPr>
              <w:t xml:space="preserve">14 </w:t>
            </w:r>
            <w:r w:rsidR="00135C94">
              <w:rPr>
                <w:rFonts w:ascii="GillSans-SemiBold"/>
                <w:b/>
                <w:sz w:val="16"/>
                <w:szCs w:val="16"/>
              </w:rPr>
              <w:br/>
            </w:r>
            <w:r w:rsidRPr="0008485A">
              <w:rPr>
                <w:rFonts w:ascii="GillSans-SemiBold"/>
                <w:b/>
                <w:sz w:val="16"/>
                <w:szCs w:val="16"/>
              </w:rPr>
              <w:t>Oct</w:t>
            </w:r>
          </w:p>
          <w:p w:rsidR="0008485A" w:rsidRPr="0008485A" w:rsidRDefault="0008485A" w:rsidP="00135C94">
            <w:pPr>
              <w:pStyle w:val="TableParagraph"/>
              <w:spacing w:before="32"/>
              <w:ind w:left="171"/>
              <w:jc w:val="center"/>
              <w:rPr>
                <w:rFonts w:ascii="GillSans-SemiBold"/>
                <w:b/>
                <w:sz w:val="16"/>
                <w:szCs w:val="16"/>
              </w:rPr>
            </w:pPr>
            <w:r w:rsidRPr="0008485A">
              <w:rPr>
                <w:rFonts w:ascii="GillSans-SemiBold"/>
                <w:b/>
                <w:sz w:val="16"/>
                <w:szCs w:val="16"/>
              </w:rPr>
              <w:t>2015</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08"/>
              <w:jc w:val="center"/>
              <w:rPr>
                <w:rFonts w:ascii="GillSans-SemiBold"/>
                <w:b/>
                <w:sz w:val="16"/>
                <w:szCs w:val="16"/>
              </w:rPr>
            </w:pPr>
            <w:r w:rsidRPr="0008485A">
              <w:rPr>
                <w:rFonts w:ascii="GillSans-SemiBold"/>
                <w:b/>
                <w:sz w:val="16"/>
                <w:szCs w:val="16"/>
              </w:rPr>
              <w:t xml:space="preserve">16 </w:t>
            </w:r>
            <w:r w:rsidR="00135C94">
              <w:rPr>
                <w:rFonts w:ascii="GillSans-SemiBold"/>
                <w:b/>
                <w:sz w:val="16"/>
                <w:szCs w:val="16"/>
              </w:rPr>
              <w:br/>
            </w:r>
            <w:r w:rsidRPr="0008485A">
              <w:rPr>
                <w:rFonts w:ascii="GillSans-SemiBold"/>
                <w:b/>
                <w:sz w:val="16"/>
                <w:szCs w:val="16"/>
              </w:rPr>
              <w:t>Nov</w:t>
            </w:r>
          </w:p>
          <w:p w:rsidR="0008485A" w:rsidRPr="0008485A" w:rsidRDefault="0008485A" w:rsidP="00135C94">
            <w:pPr>
              <w:pStyle w:val="TableParagraph"/>
              <w:spacing w:before="32"/>
              <w:ind w:left="184"/>
              <w:jc w:val="center"/>
              <w:rPr>
                <w:rFonts w:ascii="GillSans-SemiBold"/>
                <w:b/>
                <w:sz w:val="16"/>
                <w:szCs w:val="16"/>
              </w:rPr>
            </w:pPr>
            <w:r w:rsidRPr="0008485A">
              <w:rPr>
                <w:rFonts w:ascii="GillSans-SemiBold"/>
                <w:b/>
                <w:sz w:val="16"/>
                <w:szCs w:val="16"/>
              </w:rPr>
              <w:t>2015</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90"/>
              <w:jc w:val="center"/>
              <w:rPr>
                <w:rFonts w:ascii="GillSans-SemiBold"/>
                <w:b/>
                <w:sz w:val="16"/>
                <w:szCs w:val="16"/>
              </w:rPr>
            </w:pPr>
            <w:r w:rsidRPr="0008485A">
              <w:rPr>
                <w:rFonts w:ascii="GillSans-SemiBold"/>
                <w:b/>
                <w:sz w:val="16"/>
                <w:szCs w:val="16"/>
              </w:rPr>
              <w:t xml:space="preserve">14 </w:t>
            </w:r>
            <w:r w:rsidR="00135C94">
              <w:rPr>
                <w:rFonts w:ascii="GillSans-SemiBold"/>
                <w:b/>
                <w:sz w:val="16"/>
                <w:szCs w:val="16"/>
              </w:rPr>
              <w:br/>
            </w:r>
            <w:r w:rsidRPr="0008485A">
              <w:rPr>
                <w:rFonts w:ascii="GillSans-SemiBold"/>
                <w:b/>
                <w:sz w:val="16"/>
                <w:szCs w:val="16"/>
              </w:rPr>
              <w:t>Dec</w:t>
            </w:r>
          </w:p>
          <w:p w:rsidR="0008485A" w:rsidRPr="0008485A" w:rsidRDefault="0008485A" w:rsidP="00135C94">
            <w:pPr>
              <w:pStyle w:val="TableParagraph"/>
              <w:spacing w:before="32"/>
              <w:ind w:left="160"/>
              <w:jc w:val="center"/>
              <w:rPr>
                <w:rFonts w:ascii="GillSans-SemiBold"/>
                <w:b/>
                <w:sz w:val="16"/>
                <w:szCs w:val="16"/>
              </w:rPr>
            </w:pPr>
            <w:r w:rsidRPr="0008485A">
              <w:rPr>
                <w:rFonts w:ascii="GillSans-SemiBold"/>
                <w:b/>
                <w:sz w:val="16"/>
                <w:szCs w:val="16"/>
              </w:rPr>
              <w:t>2015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line="288" w:lineRule="auto"/>
              <w:ind w:left="170" w:firstLine="51"/>
              <w:jc w:val="center"/>
              <w:rPr>
                <w:rFonts w:ascii="GillSans-SemiBold"/>
                <w:b/>
                <w:sz w:val="16"/>
                <w:szCs w:val="16"/>
              </w:rPr>
            </w:pPr>
            <w:r w:rsidRPr="0008485A">
              <w:rPr>
                <w:rFonts w:ascii="GillSans-SemiBold"/>
                <w:b/>
                <w:sz w:val="16"/>
                <w:szCs w:val="16"/>
              </w:rPr>
              <w:t>Jan 2016</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17"/>
              <w:jc w:val="center"/>
              <w:rPr>
                <w:rFonts w:ascii="GillSans-SemiBold"/>
                <w:b/>
                <w:sz w:val="16"/>
                <w:szCs w:val="16"/>
              </w:rPr>
            </w:pPr>
            <w:r w:rsidRPr="0008485A">
              <w:rPr>
                <w:rFonts w:ascii="GillSans-SemiBold"/>
                <w:b/>
                <w:sz w:val="16"/>
                <w:szCs w:val="16"/>
              </w:rPr>
              <w:t xml:space="preserve">15 </w:t>
            </w:r>
            <w:r w:rsidR="00135C94">
              <w:rPr>
                <w:rFonts w:ascii="GillSans-SemiBold"/>
                <w:b/>
                <w:sz w:val="16"/>
                <w:szCs w:val="16"/>
              </w:rPr>
              <w:br/>
            </w:r>
            <w:r w:rsidRPr="0008485A">
              <w:rPr>
                <w:rFonts w:ascii="GillSans-SemiBold"/>
                <w:b/>
                <w:sz w:val="16"/>
                <w:szCs w:val="16"/>
              </w:rPr>
              <w:t>Feb</w:t>
            </w:r>
          </w:p>
          <w:p w:rsidR="0008485A" w:rsidRPr="0008485A" w:rsidRDefault="0008485A" w:rsidP="00135C94">
            <w:pPr>
              <w:pStyle w:val="TableParagraph"/>
              <w:spacing w:before="32"/>
              <w:ind w:left="176"/>
              <w:jc w:val="center"/>
              <w:rPr>
                <w:rFonts w:ascii="GillSans-SemiBold"/>
                <w:b/>
                <w:sz w:val="16"/>
                <w:szCs w:val="16"/>
              </w:rPr>
            </w:pPr>
            <w:r w:rsidRPr="0008485A">
              <w:rPr>
                <w:rFonts w:ascii="GillSans-SemiBold"/>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38"/>
              <w:jc w:val="center"/>
              <w:rPr>
                <w:rFonts w:ascii="GillSans-SemiBold"/>
                <w:b/>
                <w:sz w:val="16"/>
                <w:szCs w:val="16"/>
              </w:rPr>
            </w:pPr>
            <w:r w:rsidRPr="0008485A">
              <w:rPr>
                <w:rFonts w:ascii="GillSans-SemiBold"/>
                <w:b/>
                <w:sz w:val="16"/>
                <w:szCs w:val="16"/>
              </w:rPr>
              <w:t xml:space="preserve">21 </w:t>
            </w:r>
            <w:r w:rsidR="00135C94">
              <w:rPr>
                <w:rFonts w:ascii="GillSans-SemiBold"/>
                <w:b/>
                <w:sz w:val="16"/>
                <w:szCs w:val="16"/>
              </w:rPr>
              <w:br/>
            </w:r>
            <w:r w:rsidRPr="0008485A">
              <w:rPr>
                <w:rFonts w:ascii="GillSans-SemiBold"/>
                <w:b/>
                <w:sz w:val="16"/>
                <w:szCs w:val="16"/>
              </w:rPr>
              <w:t>Mar</w:t>
            </w:r>
          </w:p>
          <w:p w:rsidR="0008485A" w:rsidRPr="0008485A" w:rsidRDefault="0008485A" w:rsidP="00135C94">
            <w:pPr>
              <w:pStyle w:val="TableParagraph"/>
              <w:spacing w:before="32"/>
              <w:ind w:left="208"/>
              <w:jc w:val="center"/>
              <w:rPr>
                <w:rFonts w:ascii="GillSans-SemiBold"/>
                <w:b/>
                <w:sz w:val="16"/>
                <w:szCs w:val="16"/>
              </w:rPr>
            </w:pPr>
            <w:r w:rsidRPr="0008485A">
              <w:rPr>
                <w:rFonts w:ascii="GillSans-SemiBold"/>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41"/>
              <w:jc w:val="center"/>
              <w:rPr>
                <w:rFonts w:ascii="GillSans-SemiBold"/>
                <w:b/>
                <w:sz w:val="16"/>
                <w:szCs w:val="16"/>
              </w:rPr>
            </w:pPr>
            <w:r w:rsidRPr="0008485A">
              <w:rPr>
                <w:rFonts w:ascii="GillSans-SemiBold"/>
                <w:b/>
                <w:sz w:val="16"/>
                <w:szCs w:val="16"/>
              </w:rPr>
              <w:t xml:space="preserve">18 </w:t>
            </w:r>
            <w:r w:rsidR="00135C94">
              <w:rPr>
                <w:rFonts w:ascii="GillSans-SemiBold"/>
                <w:b/>
                <w:sz w:val="16"/>
                <w:szCs w:val="16"/>
              </w:rPr>
              <w:br/>
            </w:r>
            <w:r w:rsidRPr="0008485A">
              <w:rPr>
                <w:rFonts w:ascii="GillSans-SemiBold"/>
                <w:b/>
                <w:sz w:val="16"/>
                <w:szCs w:val="16"/>
              </w:rPr>
              <w:t>Apr</w:t>
            </w:r>
          </w:p>
          <w:p w:rsidR="0008485A" w:rsidRPr="0008485A" w:rsidRDefault="0008485A" w:rsidP="00135C94">
            <w:pPr>
              <w:pStyle w:val="TableParagraph"/>
              <w:spacing w:before="32"/>
              <w:ind w:left="208"/>
              <w:jc w:val="center"/>
              <w:rPr>
                <w:rFonts w:ascii="GillSans-SemiBold"/>
                <w:b/>
                <w:sz w:val="16"/>
                <w:szCs w:val="16"/>
              </w:rPr>
            </w:pPr>
            <w:r w:rsidRPr="0008485A">
              <w:rPr>
                <w:rFonts w:ascii="GillSans-SemiBold"/>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32"/>
              <w:jc w:val="center"/>
              <w:rPr>
                <w:rFonts w:ascii="GillSans-SemiBold"/>
                <w:b/>
                <w:sz w:val="16"/>
                <w:szCs w:val="16"/>
              </w:rPr>
            </w:pPr>
            <w:r w:rsidRPr="0008485A">
              <w:rPr>
                <w:rFonts w:ascii="GillSans-SemiBold"/>
                <w:b/>
                <w:sz w:val="16"/>
                <w:szCs w:val="16"/>
              </w:rPr>
              <w:t xml:space="preserve">23 </w:t>
            </w:r>
            <w:r w:rsidR="00135C94">
              <w:rPr>
                <w:rFonts w:ascii="GillSans-SemiBold"/>
                <w:b/>
                <w:sz w:val="16"/>
                <w:szCs w:val="16"/>
              </w:rPr>
              <w:br/>
            </w:r>
            <w:r w:rsidRPr="0008485A">
              <w:rPr>
                <w:rFonts w:ascii="GillSans-SemiBold"/>
                <w:b/>
                <w:sz w:val="16"/>
                <w:szCs w:val="16"/>
              </w:rPr>
              <w:t>May</w:t>
            </w:r>
          </w:p>
          <w:p w:rsidR="0008485A" w:rsidRPr="0008485A" w:rsidRDefault="0008485A" w:rsidP="00135C94">
            <w:pPr>
              <w:pStyle w:val="TableParagraph"/>
              <w:spacing w:before="32"/>
              <w:ind w:left="208"/>
              <w:jc w:val="center"/>
              <w:rPr>
                <w:rFonts w:ascii="GillSans-SemiBold"/>
                <w:b/>
                <w:sz w:val="16"/>
                <w:szCs w:val="16"/>
              </w:rPr>
            </w:pPr>
            <w:r w:rsidRPr="0008485A">
              <w:rPr>
                <w:rFonts w:ascii="GillSans-SemiBold"/>
                <w:b/>
                <w:sz w:val="16"/>
                <w:szCs w:val="16"/>
              </w:rPr>
              <w:t>2016</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8485A" w:rsidRPr="0008485A" w:rsidRDefault="0008485A" w:rsidP="00135C94">
            <w:pPr>
              <w:pStyle w:val="TableParagraph"/>
              <w:spacing w:before="49"/>
              <w:ind w:left="121"/>
              <w:jc w:val="center"/>
              <w:rPr>
                <w:rFonts w:ascii="GillSans-SemiBold"/>
                <w:b/>
                <w:sz w:val="16"/>
                <w:szCs w:val="16"/>
              </w:rPr>
            </w:pPr>
            <w:r w:rsidRPr="0008485A">
              <w:rPr>
                <w:rFonts w:ascii="GillSans-SemiBold"/>
                <w:b/>
                <w:sz w:val="16"/>
                <w:szCs w:val="16"/>
              </w:rPr>
              <w:t>20 June</w:t>
            </w:r>
          </w:p>
          <w:p w:rsidR="0008485A" w:rsidRPr="0008485A" w:rsidRDefault="0008485A" w:rsidP="00135C94">
            <w:pPr>
              <w:pStyle w:val="TableParagraph"/>
              <w:spacing w:before="32"/>
              <w:ind w:left="206"/>
              <w:jc w:val="center"/>
              <w:rPr>
                <w:rFonts w:ascii="GillSans-SemiBold"/>
                <w:b/>
                <w:sz w:val="16"/>
                <w:szCs w:val="16"/>
              </w:rPr>
            </w:pPr>
            <w:r w:rsidRPr="0008485A">
              <w:rPr>
                <w:rFonts w:ascii="GillSans-SemiBold"/>
                <w:b/>
                <w:sz w:val="16"/>
                <w:szCs w:val="16"/>
              </w:rPr>
              <w:t>2016</w:t>
            </w:r>
          </w:p>
        </w:tc>
      </w:tr>
      <w:tr w:rsidR="00135C94" w:rsidTr="00135C94">
        <w:trPr>
          <w:trHeight w:hRule="exact" w:val="569"/>
        </w:trPr>
        <w:tc>
          <w:tcPr>
            <w:tcW w:w="1255" w:type="dxa"/>
            <w:tcBorders>
              <w:top w:val="single" w:sz="4" w:space="0" w:color="auto"/>
              <w:left w:val="single" w:sz="3" w:space="0" w:color="004D8F"/>
              <w:right w:val="single" w:sz="3" w:space="0" w:color="004D8F"/>
            </w:tcBorders>
            <w:shd w:val="clear" w:color="auto" w:fill="auto"/>
          </w:tcPr>
          <w:p w:rsidR="0008485A" w:rsidRPr="0008485A" w:rsidRDefault="0008485A" w:rsidP="00876819">
            <w:pPr>
              <w:pStyle w:val="TableParagraph"/>
              <w:spacing w:before="47" w:line="302" w:lineRule="auto"/>
              <w:ind w:left="75"/>
              <w:rPr>
                <w:rFonts w:ascii="Gill Sans MT" w:hAnsi="Gill Sans MT"/>
                <w:sz w:val="16"/>
                <w:szCs w:val="16"/>
              </w:rPr>
            </w:pPr>
            <w:r w:rsidRPr="0008485A">
              <w:rPr>
                <w:rFonts w:ascii="Gill Sans MT" w:hAnsi="Gill Sans MT"/>
                <w:sz w:val="16"/>
                <w:szCs w:val="16"/>
              </w:rPr>
              <w:t>Martin Wallace - Chair</w:t>
            </w:r>
          </w:p>
        </w:tc>
        <w:tc>
          <w:tcPr>
            <w:tcW w:w="714" w:type="dxa"/>
            <w:tcBorders>
              <w:top w:val="single" w:sz="4" w:space="0" w:color="auto"/>
              <w:left w:val="single" w:sz="3" w:space="0" w:color="004D8F"/>
              <w:right w:val="single" w:sz="3" w:space="0" w:color="004D8F"/>
            </w:tcBorders>
            <w:shd w:val="clear" w:color="auto" w:fill="auto"/>
          </w:tcPr>
          <w:p w:rsidR="0008485A" w:rsidRPr="0008485A" w:rsidRDefault="0008485A" w:rsidP="00876819">
            <w:pPr>
              <w:pStyle w:val="TableParagraph"/>
              <w:spacing w:before="47" w:line="302" w:lineRule="auto"/>
              <w:ind w:left="121" w:firstLine="137"/>
              <w:rPr>
                <w:rFonts w:ascii="Gill Sans MT" w:hAnsi="Gill Sans MT"/>
                <w:sz w:val="16"/>
                <w:szCs w:val="16"/>
              </w:rPr>
            </w:pPr>
            <w:r w:rsidRPr="0008485A">
              <w:rPr>
                <w:rFonts w:ascii="Gill Sans MT" w:hAnsi="Gill Sans MT"/>
                <w:sz w:val="16"/>
                <w:szCs w:val="16"/>
              </w:rPr>
              <w:t>No Meeting</w:t>
            </w:r>
          </w:p>
        </w:tc>
        <w:tc>
          <w:tcPr>
            <w:tcW w:w="595"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652"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ind w:right="206"/>
              <w:jc w:val="right"/>
              <w:rPr>
                <w:rFonts w:ascii="Gill Sans MT" w:hAnsi="Gill Sans MT"/>
                <w:sz w:val="16"/>
                <w:szCs w:val="16"/>
              </w:rPr>
            </w:pPr>
            <w:r>
              <w:rPr>
                <w:rFonts w:ascii="Gill Sans MT" w:hAnsi="Gill Sans MT"/>
                <w:sz w:val="18"/>
                <w:szCs w:val="18"/>
              </w:rPr>
              <w:sym w:font="Wingdings" w:char="F0FC"/>
            </w:r>
          </w:p>
        </w:tc>
        <w:tc>
          <w:tcPr>
            <w:tcW w:w="645"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ind w:right="203"/>
              <w:jc w:val="right"/>
              <w:rPr>
                <w:rFonts w:ascii="Gill Sans MT" w:hAnsi="Gill Sans MT"/>
                <w:sz w:val="16"/>
                <w:szCs w:val="16"/>
              </w:rPr>
            </w:pPr>
            <w:r>
              <w:rPr>
                <w:rFonts w:ascii="Gill Sans MT" w:hAnsi="Gill Sans MT"/>
                <w:sz w:val="18"/>
                <w:szCs w:val="18"/>
              </w:rPr>
              <w:sym w:font="Wingdings" w:char="F0FC"/>
            </w:r>
          </w:p>
        </w:tc>
        <w:tc>
          <w:tcPr>
            <w:tcW w:w="672"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ind w:left="218"/>
              <w:rPr>
                <w:rFonts w:ascii="Gill Sans MT" w:hAnsi="Gill Sans MT"/>
                <w:sz w:val="16"/>
                <w:szCs w:val="16"/>
              </w:rPr>
            </w:pPr>
            <w:r>
              <w:rPr>
                <w:rFonts w:ascii="Gill Sans MT" w:hAnsi="Gill Sans MT"/>
                <w:sz w:val="18"/>
                <w:szCs w:val="18"/>
              </w:rPr>
              <w:sym w:font="Wingdings" w:char="F0FC"/>
            </w:r>
          </w:p>
        </w:tc>
        <w:tc>
          <w:tcPr>
            <w:tcW w:w="624"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643" w:type="dxa"/>
            <w:tcBorders>
              <w:top w:val="single" w:sz="4" w:space="0" w:color="auto"/>
              <w:left w:val="single" w:sz="3" w:space="0" w:color="004D8F"/>
              <w:right w:val="single" w:sz="3" w:space="0" w:color="004D8F"/>
            </w:tcBorders>
            <w:shd w:val="clear" w:color="auto" w:fill="auto"/>
          </w:tcPr>
          <w:p w:rsidR="0008485A" w:rsidRPr="0008485A" w:rsidRDefault="0008485A" w:rsidP="00135C94">
            <w:pPr>
              <w:pStyle w:val="TableParagraph"/>
              <w:spacing w:before="47" w:line="302" w:lineRule="auto"/>
              <w:ind w:left="86" w:hanging="86"/>
              <w:jc w:val="center"/>
              <w:rPr>
                <w:rFonts w:ascii="Gill Sans MT" w:hAnsi="Gill Sans MT"/>
                <w:sz w:val="16"/>
                <w:szCs w:val="16"/>
              </w:rPr>
            </w:pPr>
            <w:r w:rsidRPr="0008485A">
              <w:rPr>
                <w:rFonts w:ascii="Gill Sans MT" w:hAnsi="Gill Sans MT"/>
                <w:sz w:val="16"/>
                <w:szCs w:val="16"/>
              </w:rPr>
              <w:t>No Meeting</w:t>
            </w:r>
          </w:p>
        </w:tc>
        <w:tc>
          <w:tcPr>
            <w:tcW w:w="656"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16" w:type="dxa"/>
            <w:tcBorders>
              <w:top w:val="single" w:sz="4" w:space="0" w:color="auto"/>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r>
      <w:tr w:rsidR="00135C94" w:rsidTr="00135C94">
        <w:trPr>
          <w:trHeight w:hRule="exact" w:val="559"/>
        </w:trPr>
        <w:tc>
          <w:tcPr>
            <w:tcW w:w="1255" w:type="dxa"/>
            <w:tcBorders>
              <w:left w:val="single" w:sz="3" w:space="0" w:color="004D8F"/>
              <w:right w:val="single" w:sz="3" w:space="0" w:color="004D8F"/>
            </w:tcBorders>
            <w:shd w:val="clear" w:color="auto" w:fill="auto"/>
          </w:tcPr>
          <w:p w:rsidR="0008485A" w:rsidRPr="0008485A" w:rsidRDefault="0008485A" w:rsidP="00876819">
            <w:pPr>
              <w:pStyle w:val="TableParagraph"/>
              <w:spacing w:before="47"/>
              <w:ind w:left="75"/>
              <w:rPr>
                <w:rFonts w:ascii="Gill Sans MT" w:hAnsi="Gill Sans MT"/>
                <w:sz w:val="16"/>
                <w:szCs w:val="16"/>
              </w:rPr>
            </w:pPr>
            <w:r w:rsidRPr="0008485A">
              <w:rPr>
                <w:rFonts w:ascii="Gill Sans MT" w:hAnsi="Gill Sans MT"/>
                <w:sz w:val="16"/>
                <w:szCs w:val="16"/>
              </w:rPr>
              <w:t>Barbara Hingston</w:t>
            </w:r>
          </w:p>
        </w:tc>
        <w:tc>
          <w:tcPr>
            <w:tcW w:w="714" w:type="dxa"/>
            <w:tcBorders>
              <w:left w:val="single" w:sz="3" w:space="0" w:color="004D8F"/>
              <w:right w:val="single" w:sz="3" w:space="0" w:color="004D8F"/>
            </w:tcBorders>
            <w:shd w:val="clear" w:color="auto" w:fill="auto"/>
          </w:tcPr>
          <w:p w:rsidR="0008485A" w:rsidRPr="0008485A" w:rsidRDefault="0008485A" w:rsidP="00876819">
            <w:pPr>
              <w:pStyle w:val="TableParagraph"/>
              <w:spacing w:before="47" w:line="302" w:lineRule="auto"/>
              <w:ind w:left="122" w:firstLine="137"/>
              <w:rPr>
                <w:rFonts w:ascii="Gill Sans MT" w:hAnsi="Gill Sans MT"/>
                <w:sz w:val="16"/>
                <w:szCs w:val="16"/>
              </w:rPr>
            </w:pPr>
            <w:r w:rsidRPr="0008485A">
              <w:rPr>
                <w:rFonts w:ascii="Gill Sans MT" w:hAnsi="Gill Sans MT"/>
                <w:sz w:val="16"/>
                <w:szCs w:val="16"/>
              </w:rPr>
              <w:t>No Meeting</w:t>
            </w:r>
          </w:p>
        </w:tc>
        <w:tc>
          <w:tcPr>
            <w:tcW w:w="595"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ind w:right="206"/>
              <w:jc w:val="right"/>
              <w:rPr>
                <w:rFonts w:ascii="Gill Sans MT" w:hAnsi="Gill Sans MT"/>
                <w:sz w:val="16"/>
                <w:szCs w:val="16"/>
              </w:rPr>
            </w:pPr>
            <w:r>
              <w:rPr>
                <w:rFonts w:ascii="Gill Sans MT" w:hAnsi="Gill Sans MT"/>
                <w:sz w:val="18"/>
                <w:szCs w:val="18"/>
              </w:rPr>
              <w:sym w:font="Wingdings" w:char="F0FC"/>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ind w:right="203"/>
              <w:jc w:val="right"/>
              <w:rPr>
                <w:rFonts w:ascii="Gill Sans MT" w:hAnsi="Gill Sans MT"/>
                <w:sz w:val="16"/>
                <w:szCs w:val="16"/>
              </w:rPr>
            </w:pPr>
            <w:r>
              <w:rPr>
                <w:rFonts w:ascii="Gill Sans MT" w:hAnsi="Gill Sans MT"/>
                <w:sz w:val="18"/>
                <w:szCs w:val="18"/>
              </w:rPr>
              <w:sym w:font="Wingdings" w:char="F0FC"/>
            </w:r>
          </w:p>
        </w:tc>
        <w:tc>
          <w:tcPr>
            <w:tcW w:w="672"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08485A" w:rsidP="00876819">
            <w:pPr>
              <w:pStyle w:val="TableParagraph"/>
              <w:spacing w:before="43"/>
              <w:ind w:left="273"/>
              <w:rPr>
                <w:rFonts w:ascii="Gill Sans MT" w:hAnsi="Gill Sans MT"/>
                <w:b/>
                <w:sz w:val="16"/>
                <w:szCs w:val="16"/>
              </w:rPr>
            </w:pPr>
            <w:r w:rsidRPr="0008485A">
              <w:rPr>
                <w:rFonts w:ascii="Gill Sans MT" w:hAnsi="Gill Sans MT"/>
                <w:b/>
                <w:sz w:val="16"/>
                <w:szCs w:val="16"/>
              </w:rPr>
              <w:t>A</w:t>
            </w:r>
          </w:p>
        </w:tc>
        <w:tc>
          <w:tcPr>
            <w:tcW w:w="624"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643" w:type="dxa"/>
            <w:tcBorders>
              <w:left w:val="single" w:sz="3" w:space="0" w:color="004D8F"/>
              <w:right w:val="single" w:sz="3" w:space="0" w:color="004D8F"/>
            </w:tcBorders>
            <w:shd w:val="clear" w:color="auto" w:fill="auto"/>
          </w:tcPr>
          <w:p w:rsidR="0008485A" w:rsidRPr="0008485A" w:rsidRDefault="0008485A" w:rsidP="00135C94">
            <w:pPr>
              <w:pStyle w:val="TableParagraph"/>
              <w:spacing w:before="47" w:line="302" w:lineRule="auto"/>
              <w:ind w:left="86" w:hanging="86"/>
              <w:jc w:val="center"/>
              <w:rPr>
                <w:rFonts w:ascii="Gill Sans MT" w:hAnsi="Gill Sans MT"/>
                <w:sz w:val="16"/>
                <w:szCs w:val="16"/>
              </w:rPr>
            </w:pPr>
            <w:r w:rsidRPr="0008485A">
              <w:rPr>
                <w:rFonts w:ascii="Gill Sans MT" w:hAnsi="Gill Sans MT"/>
                <w:sz w:val="16"/>
                <w:szCs w:val="16"/>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08485A" w:rsidP="00876819">
            <w:pPr>
              <w:pStyle w:val="TableParagraph"/>
              <w:spacing w:before="43"/>
              <w:jc w:val="center"/>
              <w:rPr>
                <w:rFonts w:ascii="Gill Sans MT" w:hAnsi="Gill Sans MT"/>
                <w:b/>
                <w:sz w:val="16"/>
                <w:szCs w:val="16"/>
              </w:rPr>
            </w:pPr>
            <w:r w:rsidRPr="0008485A">
              <w:rPr>
                <w:rFonts w:ascii="Gill Sans MT" w:hAnsi="Gill Sans MT"/>
                <w:b/>
                <w:sz w:val="16"/>
                <w:szCs w:val="16"/>
              </w:rPr>
              <w:t>L</w:t>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r>
      <w:tr w:rsidR="00135C94" w:rsidTr="00135C94">
        <w:trPr>
          <w:trHeight w:hRule="exact" w:val="567"/>
        </w:trPr>
        <w:tc>
          <w:tcPr>
            <w:tcW w:w="1255" w:type="dxa"/>
            <w:tcBorders>
              <w:left w:val="single" w:sz="3" w:space="0" w:color="004D8F"/>
              <w:bottom w:val="single" w:sz="3" w:space="0" w:color="004D8F"/>
              <w:right w:val="single" w:sz="3" w:space="0" w:color="004D8F"/>
            </w:tcBorders>
            <w:shd w:val="clear" w:color="auto" w:fill="auto"/>
          </w:tcPr>
          <w:p w:rsidR="0008485A" w:rsidRPr="0008485A" w:rsidRDefault="0008485A" w:rsidP="00876819">
            <w:pPr>
              <w:pStyle w:val="TableParagraph"/>
              <w:spacing w:before="47"/>
              <w:ind w:left="75"/>
              <w:rPr>
                <w:rFonts w:ascii="Gill Sans MT" w:hAnsi="Gill Sans MT"/>
                <w:sz w:val="16"/>
                <w:szCs w:val="16"/>
              </w:rPr>
            </w:pPr>
            <w:r w:rsidRPr="0008485A">
              <w:rPr>
                <w:rFonts w:ascii="Gill Sans MT" w:hAnsi="Gill Sans MT"/>
                <w:sz w:val="16"/>
                <w:szCs w:val="16"/>
              </w:rPr>
              <w:t>John Ramsay</w:t>
            </w:r>
          </w:p>
        </w:tc>
        <w:tc>
          <w:tcPr>
            <w:tcW w:w="714" w:type="dxa"/>
            <w:tcBorders>
              <w:left w:val="single" w:sz="3" w:space="0" w:color="004D8F"/>
              <w:bottom w:val="single" w:sz="3" w:space="0" w:color="004D8F"/>
              <w:right w:val="single" w:sz="3" w:space="0" w:color="004D8F"/>
            </w:tcBorders>
            <w:shd w:val="clear" w:color="auto" w:fill="auto"/>
          </w:tcPr>
          <w:p w:rsidR="0008485A" w:rsidRPr="0008485A" w:rsidRDefault="0008485A" w:rsidP="00876819">
            <w:pPr>
              <w:pStyle w:val="TableParagraph"/>
              <w:spacing w:before="47" w:line="302" w:lineRule="auto"/>
              <w:ind w:left="122" w:firstLine="137"/>
              <w:rPr>
                <w:rFonts w:ascii="Gill Sans MT" w:hAnsi="Gill Sans MT"/>
                <w:sz w:val="16"/>
                <w:szCs w:val="16"/>
              </w:rPr>
            </w:pPr>
            <w:r w:rsidRPr="0008485A">
              <w:rPr>
                <w:rFonts w:ascii="Gill Sans MT" w:hAnsi="Gill Sans MT"/>
                <w:sz w:val="16"/>
                <w:szCs w:val="16"/>
              </w:rPr>
              <w:t>No Meeting</w:t>
            </w:r>
          </w:p>
        </w:tc>
        <w:tc>
          <w:tcPr>
            <w:tcW w:w="595"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ind w:right="206"/>
              <w:jc w:val="right"/>
              <w:rPr>
                <w:rFonts w:ascii="Gill Sans MT" w:hAnsi="Gill Sans MT"/>
                <w:sz w:val="16"/>
                <w:szCs w:val="16"/>
              </w:rPr>
            </w:pPr>
            <w:r>
              <w:rPr>
                <w:rFonts w:ascii="Gill Sans MT" w:hAnsi="Gill Sans MT"/>
                <w:sz w:val="18"/>
                <w:szCs w:val="18"/>
              </w:rPr>
              <w:sym w:font="Wingdings" w:char="F0FC"/>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ind w:right="203"/>
              <w:jc w:val="right"/>
              <w:rPr>
                <w:rFonts w:ascii="Gill Sans MT" w:hAnsi="Gill Sans MT"/>
                <w:sz w:val="16"/>
                <w:szCs w:val="16"/>
              </w:rPr>
            </w:pPr>
            <w:r>
              <w:rPr>
                <w:rFonts w:ascii="Gill Sans MT" w:hAnsi="Gill Sans MT"/>
                <w:sz w:val="18"/>
                <w:szCs w:val="18"/>
              </w:rPr>
              <w:sym w:font="Wingdings" w:char="F0FC"/>
            </w:r>
          </w:p>
        </w:tc>
        <w:tc>
          <w:tcPr>
            <w:tcW w:w="672"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ind w:left="218"/>
              <w:rPr>
                <w:rFonts w:ascii="Gill Sans MT" w:hAnsi="Gill Sans MT"/>
                <w:sz w:val="16"/>
                <w:szCs w:val="16"/>
              </w:rPr>
            </w:pPr>
            <w:r>
              <w:rPr>
                <w:rFonts w:ascii="Gill Sans MT" w:hAnsi="Gill Sans MT"/>
                <w:sz w:val="18"/>
                <w:szCs w:val="18"/>
              </w:rPr>
              <w:sym w:font="Wingdings" w:char="F0FC"/>
            </w:r>
          </w:p>
        </w:tc>
        <w:tc>
          <w:tcPr>
            <w:tcW w:w="624"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643" w:type="dxa"/>
            <w:tcBorders>
              <w:left w:val="single" w:sz="3" w:space="0" w:color="004D8F"/>
              <w:bottom w:val="single" w:sz="3" w:space="0" w:color="004D8F"/>
              <w:right w:val="single" w:sz="3" w:space="0" w:color="004D8F"/>
            </w:tcBorders>
            <w:shd w:val="clear" w:color="auto" w:fill="auto"/>
          </w:tcPr>
          <w:p w:rsidR="0008485A" w:rsidRPr="0008485A" w:rsidRDefault="0008485A" w:rsidP="00135C94">
            <w:pPr>
              <w:pStyle w:val="TableParagraph"/>
              <w:spacing w:before="47" w:line="302" w:lineRule="auto"/>
              <w:ind w:left="86" w:hanging="86"/>
              <w:jc w:val="center"/>
              <w:rPr>
                <w:rFonts w:ascii="Gill Sans MT" w:hAnsi="Gill Sans MT"/>
                <w:sz w:val="16"/>
                <w:szCs w:val="16"/>
              </w:rPr>
            </w:pPr>
            <w:r w:rsidRPr="0008485A">
              <w:rPr>
                <w:rFonts w:ascii="Gill Sans MT" w:hAnsi="Gill Sans MT"/>
                <w:sz w:val="16"/>
                <w:szCs w:val="16"/>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08485A" w:rsidRPr="0008485A"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r>
    </w:tbl>
    <w:p w:rsidR="0008485A" w:rsidRDefault="0008485A" w:rsidP="0008485A">
      <w:pPr>
        <w:pStyle w:val="BodyText"/>
        <w:spacing w:before="9"/>
        <w:rPr>
          <w:rFonts w:ascii="GillSans-SemiBold"/>
          <w:b/>
          <w:sz w:val="39"/>
        </w:rPr>
      </w:pPr>
    </w:p>
    <w:p w:rsidR="0008485A" w:rsidRPr="00135C94" w:rsidRDefault="0008485A" w:rsidP="00135C94">
      <w:pPr>
        <w:pStyle w:val="Heading4"/>
      </w:pPr>
      <w:r>
        <w:t>Partnerships</w:t>
      </w:r>
    </w:p>
    <w:tbl>
      <w:tblPr>
        <w:tblW w:w="0" w:type="auto"/>
        <w:tblInd w:w="1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256"/>
        <w:gridCol w:w="714"/>
        <w:gridCol w:w="716"/>
        <w:gridCol w:w="652"/>
        <w:gridCol w:w="645"/>
        <w:gridCol w:w="602"/>
        <w:gridCol w:w="567"/>
        <w:gridCol w:w="643"/>
        <w:gridCol w:w="656"/>
        <w:gridCol w:w="720"/>
        <w:gridCol w:w="720"/>
        <w:gridCol w:w="720"/>
        <w:gridCol w:w="716"/>
      </w:tblGrid>
      <w:tr w:rsidR="00135C94" w:rsidRPr="00135C94" w:rsidTr="00135C94">
        <w:trPr>
          <w:trHeight w:hRule="exact" w:val="698"/>
        </w:trPr>
        <w:tc>
          <w:tcPr>
            <w:tcW w:w="1256"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876819">
            <w:pPr>
              <w:pStyle w:val="TableParagraph"/>
              <w:spacing w:before="49"/>
              <w:ind w:left="80"/>
              <w:rPr>
                <w:rFonts w:ascii="Gill Sans MT" w:hAnsi="Gill Sans MT"/>
                <w:b/>
                <w:sz w:val="16"/>
                <w:szCs w:val="16"/>
              </w:rPr>
            </w:pPr>
            <w:r w:rsidRPr="00135C94">
              <w:rPr>
                <w:rFonts w:ascii="Gill Sans MT" w:hAnsi="Gill Sans MT"/>
                <w:b/>
                <w:sz w:val="16"/>
                <w:szCs w:val="16"/>
              </w:rPr>
              <w:t>Name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08"/>
              <w:jc w:val="center"/>
              <w:rPr>
                <w:rFonts w:ascii="Gill Sans MT" w:hAnsi="Gill Sans MT"/>
                <w:b/>
                <w:sz w:val="16"/>
                <w:szCs w:val="16"/>
              </w:rPr>
            </w:pPr>
            <w:r w:rsidRPr="00135C94">
              <w:rPr>
                <w:rFonts w:ascii="Gill Sans MT" w:hAnsi="Gill Sans MT"/>
                <w:b/>
                <w:sz w:val="16"/>
                <w:szCs w:val="16"/>
              </w:rPr>
              <w:t xml:space="preserve">Jul </w:t>
            </w:r>
            <w:r w:rsidR="00135C94">
              <w:rPr>
                <w:rFonts w:ascii="Gill Sans MT" w:hAnsi="Gill Sans MT"/>
                <w:b/>
                <w:sz w:val="16"/>
                <w:szCs w:val="16"/>
              </w:rPr>
              <w:br/>
            </w:r>
            <w:r w:rsidRPr="00135C94">
              <w:rPr>
                <w:rFonts w:ascii="Gill Sans MT" w:hAnsi="Gill Sans MT"/>
                <w:b/>
                <w:sz w:val="16"/>
                <w:szCs w:val="16"/>
              </w:rPr>
              <w:t>2015</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37"/>
              <w:jc w:val="center"/>
              <w:rPr>
                <w:rFonts w:ascii="Gill Sans MT" w:hAnsi="Gill Sans MT"/>
                <w:b/>
                <w:sz w:val="16"/>
                <w:szCs w:val="16"/>
              </w:rPr>
            </w:pPr>
            <w:r w:rsidRPr="00135C94">
              <w:rPr>
                <w:rFonts w:ascii="Gill Sans MT" w:hAnsi="Gill Sans MT"/>
                <w:b/>
                <w:sz w:val="16"/>
                <w:szCs w:val="16"/>
              </w:rPr>
              <w:t xml:space="preserve">14 </w:t>
            </w:r>
            <w:r w:rsidR="00135C94">
              <w:rPr>
                <w:rFonts w:ascii="Gill Sans MT" w:hAnsi="Gill Sans MT"/>
                <w:b/>
                <w:sz w:val="16"/>
                <w:szCs w:val="16"/>
              </w:rPr>
              <w:br/>
            </w:r>
            <w:r w:rsidRPr="00135C94">
              <w:rPr>
                <w:rFonts w:ascii="Gill Sans MT" w:hAnsi="Gill Sans MT"/>
                <w:b/>
                <w:sz w:val="16"/>
                <w:szCs w:val="16"/>
              </w:rPr>
              <w:t>Aug</w:t>
            </w:r>
          </w:p>
          <w:p w:rsidR="0008485A" w:rsidRPr="00135C94" w:rsidRDefault="0008485A" w:rsidP="00135C94">
            <w:pPr>
              <w:pStyle w:val="TableParagraph"/>
              <w:spacing w:before="32"/>
              <w:ind w:left="207"/>
              <w:jc w:val="center"/>
              <w:rPr>
                <w:rFonts w:ascii="Gill Sans MT" w:hAnsi="Gill Sans MT"/>
                <w:b/>
                <w:sz w:val="16"/>
                <w:szCs w:val="16"/>
              </w:rPr>
            </w:pPr>
            <w:r w:rsidRPr="00135C94">
              <w:rPr>
                <w:rFonts w:ascii="Gill Sans MT" w:hAnsi="Gill Sans MT"/>
                <w:b/>
                <w:sz w:val="16"/>
                <w:szCs w:val="16"/>
              </w:rPr>
              <w:t>2015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91"/>
              <w:jc w:val="center"/>
              <w:rPr>
                <w:rFonts w:ascii="Gill Sans MT" w:hAnsi="Gill Sans MT"/>
                <w:b/>
                <w:sz w:val="16"/>
                <w:szCs w:val="16"/>
              </w:rPr>
            </w:pPr>
            <w:r w:rsidRPr="00135C94">
              <w:rPr>
                <w:rFonts w:ascii="Gill Sans MT" w:hAnsi="Gill Sans MT"/>
                <w:b/>
                <w:sz w:val="16"/>
                <w:szCs w:val="16"/>
              </w:rPr>
              <w:t>11 Sept</w:t>
            </w:r>
          </w:p>
          <w:p w:rsidR="0008485A" w:rsidRPr="00135C94" w:rsidRDefault="0008485A" w:rsidP="00135C94">
            <w:pPr>
              <w:pStyle w:val="TableParagraph"/>
              <w:spacing w:before="32"/>
              <w:ind w:left="175"/>
              <w:jc w:val="center"/>
              <w:rPr>
                <w:rFonts w:ascii="Gill Sans MT" w:hAnsi="Gill Sans MT"/>
                <w:b/>
                <w:sz w:val="16"/>
                <w:szCs w:val="16"/>
              </w:rPr>
            </w:pPr>
            <w:r w:rsidRPr="00135C94">
              <w:rPr>
                <w:rFonts w:ascii="Gill Sans MT" w:hAnsi="Gill Sans MT"/>
                <w:b/>
                <w:sz w:val="16"/>
                <w:szCs w:val="16"/>
              </w:rPr>
              <w:t>2015</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40"/>
              <w:jc w:val="center"/>
              <w:rPr>
                <w:rFonts w:ascii="Gill Sans MT" w:hAnsi="Gill Sans MT"/>
                <w:b/>
                <w:sz w:val="16"/>
                <w:szCs w:val="16"/>
              </w:rPr>
            </w:pPr>
            <w:r w:rsidRPr="00135C94">
              <w:rPr>
                <w:rFonts w:ascii="Gill Sans MT" w:hAnsi="Gill Sans MT"/>
                <w:b/>
                <w:sz w:val="16"/>
                <w:szCs w:val="16"/>
              </w:rPr>
              <w:t xml:space="preserve">7 </w:t>
            </w:r>
            <w:r w:rsidR="00135C94">
              <w:rPr>
                <w:rFonts w:ascii="Gill Sans MT" w:hAnsi="Gill Sans MT"/>
                <w:b/>
                <w:sz w:val="16"/>
                <w:szCs w:val="16"/>
              </w:rPr>
              <w:br/>
            </w:r>
            <w:r w:rsidRPr="00135C94">
              <w:rPr>
                <w:rFonts w:ascii="Gill Sans MT" w:hAnsi="Gill Sans MT"/>
                <w:b/>
                <w:sz w:val="16"/>
                <w:szCs w:val="16"/>
              </w:rPr>
              <w:t>Oct</w:t>
            </w:r>
          </w:p>
          <w:p w:rsidR="0008485A" w:rsidRPr="00135C94" w:rsidRDefault="0008485A" w:rsidP="00135C94">
            <w:pPr>
              <w:pStyle w:val="TableParagraph"/>
              <w:spacing w:before="32"/>
              <w:ind w:left="171"/>
              <w:jc w:val="center"/>
              <w:rPr>
                <w:rFonts w:ascii="Gill Sans MT" w:hAnsi="Gill Sans MT"/>
                <w:b/>
                <w:sz w:val="16"/>
                <w:szCs w:val="16"/>
              </w:rPr>
            </w:pPr>
            <w:r w:rsidRPr="00135C94">
              <w:rPr>
                <w:rFonts w:ascii="Gill Sans MT" w:hAnsi="Gill Sans MT"/>
                <w:b/>
                <w:sz w:val="16"/>
                <w:szCs w:val="16"/>
              </w:rPr>
              <w:t>2015</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08"/>
              <w:jc w:val="center"/>
              <w:rPr>
                <w:rFonts w:ascii="Gill Sans MT" w:hAnsi="Gill Sans MT"/>
                <w:b/>
                <w:sz w:val="16"/>
                <w:szCs w:val="16"/>
              </w:rPr>
            </w:pPr>
            <w:r w:rsidRPr="00135C94">
              <w:rPr>
                <w:rFonts w:ascii="Gill Sans MT" w:hAnsi="Gill Sans MT"/>
                <w:b/>
                <w:sz w:val="16"/>
                <w:szCs w:val="16"/>
              </w:rPr>
              <w:t xml:space="preserve">4 </w:t>
            </w:r>
            <w:r w:rsidR="00135C94">
              <w:rPr>
                <w:rFonts w:ascii="Gill Sans MT" w:hAnsi="Gill Sans MT"/>
                <w:b/>
                <w:sz w:val="16"/>
                <w:szCs w:val="16"/>
              </w:rPr>
              <w:br/>
            </w:r>
            <w:r w:rsidRPr="00135C94">
              <w:rPr>
                <w:rFonts w:ascii="Gill Sans MT" w:hAnsi="Gill Sans MT"/>
                <w:b/>
                <w:sz w:val="16"/>
                <w:szCs w:val="16"/>
              </w:rPr>
              <w:t>Nov</w:t>
            </w:r>
          </w:p>
          <w:p w:rsidR="0008485A" w:rsidRPr="00135C94" w:rsidRDefault="0008485A" w:rsidP="00135C94">
            <w:pPr>
              <w:pStyle w:val="TableParagraph"/>
              <w:spacing w:before="32"/>
              <w:ind w:left="150"/>
              <w:jc w:val="center"/>
              <w:rPr>
                <w:rFonts w:ascii="Gill Sans MT" w:hAnsi="Gill Sans MT"/>
                <w:b/>
                <w:sz w:val="16"/>
                <w:szCs w:val="16"/>
              </w:rPr>
            </w:pPr>
            <w:r w:rsidRPr="00135C94">
              <w:rPr>
                <w:rFonts w:ascii="Gill Sans MT" w:hAnsi="Gill Sans MT"/>
                <w:b/>
                <w:sz w:val="16"/>
                <w:szCs w:val="16"/>
              </w:rPr>
              <w:t>2015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66"/>
              <w:jc w:val="center"/>
              <w:rPr>
                <w:rFonts w:ascii="Gill Sans MT" w:hAnsi="Gill Sans MT"/>
                <w:b/>
                <w:sz w:val="16"/>
                <w:szCs w:val="16"/>
              </w:rPr>
            </w:pPr>
            <w:r w:rsidRPr="00135C94">
              <w:rPr>
                <w:rFonts w:ascii="Gill Sans MT" w:hAnsi="Gill Sans MT"/>
                <w:b/>
                <w:sz w:val="16"/>
                <w:szCs w:val="16"/>
              </w:rPr>
              <w:t>14 Dec</w:t>
            </w:r>
          </w:p>
          <w:p w:rsidR="0008485A" w:rsidRPr="00135C94" w:rsidRDefault="0008485A" w:rsidP="00135C94">
            <w:pPr>
              <w:pStyle w:val="TableParagraph"/>
              <w:spacing w:before="32"/>
              <w:ind w:left="134"/>
              <w:jc w:val="center"/>
              <w:rPr>
                <w:rFonts w:ascii="Gill Sans MT" w:hAnsi="Gill Sans MT"/>
                <w:b/>
                <w:sz w:val="16"/>
                <w:szCs w:val="16"/>
              </w:rPr>
            </w:pPr>
            <w:r w:rsidRPr="00135C94">
              <w:rPr>
                <w:rFonts w:ascii="Gill Sans MT" w:hAnsi="Gill Sans MT"/>
                <w:b/>
                <w:sz w:val="16"/>
                <w:szCs w:val="16"/>
              </w:rPr>
              <w:t>2015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line="288" w:lineRule="auto"/>
              <w:ind w:left="170" w:firstLine="51"/>
              <w:jc w:val="center"/>
              <w:rPr>
                <w:rFonts w:ascii="Gill Sans MT" w:hAnsi="Gill Sans MT"/>
                <w:b/>
                <w:sz w:val="16"/>
                <w:szCs w:val="16"/>
              </w:rPr>
            </w:pPr>
            <w:r w:rsidRPr="00135C94">
              <w:rPr>
                <w:rFonts w:ascii="Gill Sans MT" w:hAnsi="Gill Sans MT"/>
                <w:b/>
                <w:sz w:val="16"/>
                <w:szCs w:val="16"/>
              </w:rPr>
              <w:t>Jan 2016</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52"/>
              <w:jc w:val="center"/>
              <w:rPr>
                <w:rFonts w:ascii="Gill Sans MT" w:hAnsi="Gill Sans MT"/>
                <w:b/>
                <w:sz w:val="16"/>
                <w:szCs w:val="16"/>
              </w:rPr>
            </w:pPr>
            <w:r w:rsidRPr="00135C94">
              <w:rPr>
                <w:rFonts w:ascii="Gill Sans MT" w:hAnsi="Gill Sans MT"/>
                <w:b/>
                <w:sz w:val="16"/>
                <w:szCs w:val="16"/>
              </w:rPr>
              <w:t xml:space="preserve">3 </w:t>
            </w:r>
            <w:r w:rsidR="00135C94">
              <w:rPr>
                <w:rFonts w:ascii="Gill Sans MT" w:hAnsi="Gill Sans MT"/>
                <w:b/>
                <w:sz w:val="16"/>
                <w:szCs w:val="16"/>
              </w:rPr>
              <w:br/>
            </w:r>
            <w:r w:rsidRPr="00135C94">
              <w:rPr>
                <w:rFonts w:ascii="Gill Sans MT" w:hAnsi="Gill Sans MT"/>
                <w:b/>
                <w:sz w:val="16"/>
                <w:szCs w:val="16"/>
              </w:rPr>
              <w:t>Feb</w:t>
            </w:r>
          </w:p>
          <w:p w:rsidR="0008485A" w:rsidRPr="00135C94" w:rsidRDefault="0008485A" w:rsidP="00135C94">
            <w:pPr>
              <w:pStyle w:val="TableParagraph"/>
              <w:spacing w:before="32"/>
              <w:ind w:left="177"/>
              <w:jc w:val="center"/>
              <w:rPr>
                <w:rFonts w:ascii="Gill Sans MT" w:hAnsi="Gill Sans MT"/>
                <w:b/>
                <w:sz w:val="16"/>
                <w:szCs w:val="16"/>
              </w:rPr>
            </w:pPr>
            <w:r w:rsidRPr="00135C94">
              <w:rPr>
                <w:rFonts w:ascii="Gill Sans MT" w:hAnsi="Gill Sans MT"/>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74"/>
              <w:jc w:val="center"/>
              <w:rPr>
                <w:rFonts w:ascii="Gill Sans MT" w:hAnsi="Gill Sans MT"/>
                <w:b/>
                <w:sz w:val="16"/>
                <w:szCs w:val="16"/>
              </w:rPr>
            </w:pPr>
            <w:r w:rsidRPr="00135C94">
              <w:rPr>
                <w:rFonts w:ascii="Gill Sans MT" w:hAnsi="Gill Sans MT"/>
                <w:b/>
                <w:sz w:val="16"/>
                <w:szCs w:val="16"/>
              </w:rPr>
              <w:t xml:space="preserve">2 </w:t>
            </w:r>
            <w:r w:rsidR="00135C94">
              <w:rPr>
                <w:rFonts w:ascii="Gill Sans MT" w:hAnsi="Gill Sans MT"/>
                <w:b/>
                <w:sz w:val="16"/>
                <w:szCs w:val="16"/>
              </w:rPr>
              <w:br/>
            </w:r>
            <w:r w:rsidRPr="00135C94">
              <w:rPr>
                <w:rFonts w:ascii="Gill Sans MT" w:hAnsi="Gill Sans MT"/>
                <w:b/>
                <w:sz w:val="16"/>
                <w:szCs w:val="16"/>
              </w:rPr>
              <w:t>Mar</w:t>
            </w:r>
          </w:p>
          <w:p w:rsidR="0008485A" w:rsidRPr="00135C94" w:rsidRDefault="0008485A" w:rsidP="00135C94">
            <w:pPr>
              <w:pStyle w:val="TableParagraph"/>
              <w:spacing w:before="32"/>
              <w:ind w:left="209"/>
              <w:jc w:val="center"/>
              <w:rPr>
                <w:rFonts w:ascii="Gill Sans MT" w:hAnsi="Gill Sans MT"/>
                <w:b/>
                <w:sz w:val="16"/>
                <w:szCs w:val="16"/>
              </w:rPr>
            </w:pPr>
            <w:r w:rsidRPr="00135C94">
              <w:rPr>
                <w:rFonts w:ascii="Gill Sans MT" w:hAnsi="Gill Sans MT"/>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77"/>
              <w:jc w:val="center"/>
              <w:rPr>
                <w:rFonts w:ascii="Gill Sans MT" w:hAnsi="Gill Sans MT"/>
                <w:b/>
                <w:sz w:val="16"/>
                <w:szCs w:val="16"/>
              </w:rPr>
            </w:pPr>
            <w:r w:rsidRPr="00135C94">
              <w:rPr>
                <w:rFonts w:ascii="Gill Sans MT" w:hAnsi="Gill Sans MT"/>
                <w:b/>
                <w:sz w:val="16"/>
                <w:szCs w:val="16"/>
              </w:rPr>
              <w:t xml:space="preserve">6 </w:t>
            </w:r>
            <w:r w:rsidR="00135C94">
              <w:rPr>
                <w:rFonts w:ascii="Gill Sans MT" w:hAnsi="Gill Sans MT"/>
                <w:b/>
                <w:sz w:val="16"/>
                <w:szCs w:val="16"/>
              </w:rPr>
              <w:br/>
            </w:r>
            <w:r w:rsidRPr="00135C94">
              <w:rPr>
                <w:rFonts w:ascii="Gill Sans MT" w:hAnsi="Gill Sans MT"/>
                <w:b/>
                <w:sz w:val="16"/>
                <w:szCs w:val="16"/>
              </w:rPr>
              <w:t>Apr</w:t>
            </w:r>
          </w:p>
          <w:p w:rsidR="0008485A" w:rsidRPr="00135C94" w:rsidRDefault="0008485A" w:rsidP="00135C94">
            <w:pPr>
              <w:pStyle w:val="TableParagraph"/>
              <w:spacing w:before="32"/>
              <w:ind w:left="209"/>
              <w:jc w:val="center"/>
              <w:rPr>
                <w:rFonts w:ascii="Gill Sans MT" w:hAnsi="Gill Sans MT"/>
                <w:b/>
                <w:sz w:val="16"/>
                <w:szCs w:val="16"/>
              </w:rPr>
            </w:pPr>
            <w:r w:rsidRPr="00135C94">
              <w:rPr>
                <w:rFonts w:ascii="Gill Sans MT" w:hAnsi="Gill Sans MT"/>
                <w:b/>
                <w:sz w:val="16"/>
                <w:szCs w:val="16"/>
              </w:rPr>
              <w:t>2016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71"/>
              <w:jc w:val="center"/>
              <w:rPr>
                <w:rFonts w:ascii="Gill Sans MT" w:hAnsi="Gill Sans MT"/>
                <w:b/>
                <w:sz w:val="16"/>
                <w:szCs w:val="16"/>
              </w:rPr>
            </w:pPr>
            <w:r w:rsidRPr="00135C94">
              <w:rPr>
                <w:rFonts w:ascii="Gill Sans MT" w:hAnsi="Gill Sans MT"/>
                <w:b/>
                <w:sz w:val="16"/>
                <w:szCs w:val="16"/>
              </w:rPr>
              <w:t xml:space="preserve">4 </w:t>
            </w:r>
            <w:r w:rsidR="00135C94">
              <w:rPr>
                <w:rFonts w:ascii="Gill Sans MT" w:hAnsi="Gill Sans MT"/>
                <w:b/>
                <w:sz w:val="16"/>
                <w:szCs w:val="16"/>
              </w:rPr>
              <w:br/>
            </w:r>
            <w:r w:rsidRPr="00135C94">
              <w:rPr>
                <w:rFonts w:ascii="Gill Sans MT" w:hAnsi="Gill Sans MT"/>
                <w:b/>
                <w:sz w:val="16"/>
                <w:szCs w:val="16"/>
              </w:rPr>
              <w:t>May</w:t>
            </w:r>
          </w:p>
          <w:p w:rsidR="0008485A" w:rsidRPr="00135C94" w:rsidRDefault="0008485A" w:rsidP="00135C94">
            <w:pPr>
              <w:pStyle w:val="TableParagraph"/>
              <w:spacing w:before="32"/>
              <w:ind w:left="209"/>
              <w:jc w:val="center"/>
              <w:rPr>
                <w:rFonts w:ascii="Gill Sans MT" w:hAnsi="Gill Sans MT"/>
                <w:b/>
                <w:sz w:val="16"/>
                <w:szCs w:val="16"/>
              </w:rPr>
            </w:pPr>
            <w:r w:rsidRPr="00135C94">
              <w:rPr>
                <w:rFonts w:ascii="Gill Sans MT" w:hAnsi="Gill Sans MT"/>
                <w:b/>
                <w:sz w:val="16"/>
                <w:szCs w:val="16"/>
              </w:rPr>
              <w:t>2016</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8485A" w:rsidRPr="00135C94" w:rsidRDefault="0008485A" w:rsidP="00135C94">
            <w:pPr>
              <w:pStyle w:val="TableParagraph"/>
              <w:spacing w:before="49"/>
              <w:ind w:left="160"/>
              <w:jc w:val="center"/>
              <w:rPr>
                <w:rFonts w:ascii="Gill Sans MT" w:hAnsi="Gill Sans MT"/>
                <w:b/>
                <w:sz w:val="16"/>
                <w:szCs w:val="16"/>
              </w:rPr>
            </w:pPr>
            <w:r w:rsidRPr="00135C94">
              <w:rPr>
                <w:rFonts w:ascii="Gill Sans MT" w:hAnsi="Gill Sans MT"/>
                <w:b/>
                <w:sz w:val="16"/>
                <w:szCs w:val="16"/>
              </w:rPr>
              <w:t xml:space="preserve">1 </w:t>
            </w:r>
            <w:r w:rsidR="00135C94">
              <w:rPr>
                <w:rFonts w:ascii="Gill Sans MT" w:hAnsi="Gill Sans MT"/>
                <w:b/>
                <w:sz w:val="16"/>
                <w:szCs w:val="16"/>
              </w:rPr>
              <w:br/>
            </w:r>
            <w:r w:rsidRPr="00135C94">
              <w:rPr>
                <w:rFonts w:ascii="Gill Sans MT" w:hAnsi="Gill Sans MT"/>
                <w:b/>
                <w:sz w:val="16"/>
                <w:szCs w:val="16"/>
              </w:rPr>
              <w:t>June</w:t>
            </w:r>
          </w:p>
          <w:p w:rsidR="0008485A" w:rsidRPr="00135C94" w:rsidRDefault="0008485A" w:rsidP="00135C94">
            <w:pPr>
              <w:pStyle w:val="TableParagraph"/>
              <w:spacing w:before="32"/>
              <w:ind w:left="207"/>
              <w:jc w:val="center"/>
              <w:rPr>
                <w:rFonts w:ascii="Gill Sans MT" w:hAnsi="Gill Sans MT"/>
                <w:b/>
                <w:sz w:val="16"/>
                <w:szCs w:val="16"/>
              </w:rPr>
            </w:pPr>
            <w:r w:rsidRPr="00135C94">
              <w:rPr>
                <w:rFonts w:ascii="Gill Sans MT" w:hAnsi="Gill Sans MT"/>
                <w:b/>
                <w:sz w:val="16"/>
                <w:szCs w:val="16"/>
              </w:rPr>
              <w:t>2016</w:t>
            </w:r>
          </w:p>
        </w:tc>
      </w:tr>
      <w:tr w:rsidR="00135C94" w:rsidRPr="00135C94" w:rsidTr="00135C94">
        <w:trPr>
          <w:trHeight w:hRule="exact" w:val="648"/>
        </w:trPr>
        <w:tc>
          <w:tcPr>
            <w:tcW w:w="1256" w:type="dxa"/>
            <w:tcBorders>
              <w:top w:val="single" w:sz="4" w:space="0" w:color="auto"/>
              <w:left w:val="single" w:sz="3" w:space="0" w:color="004D8F"/>
              <w:right w:val="single" w:sz="3" w:space="0" w:color="004D8F"/>
            </w:tcBorders>
            <w:shd w:val="clear" w:color="auto" w:fill="auto"/>
          </w:tcPr>
          <w:p w:rsidR="0008485A" w:rsidRPr="00135C94" w:rsidRDefault="0008485A" w:rsidP="00876819">
            <w:pPr>
              <w:pStyle w:val="TableParagraph"/>
              <w:spacing w:before="47"/>
              <w:ind w:left="76"/>
              <w:rPr>
                <w:rFonts w:ascii="Gill Sans MT" w:hAnsi="Gill Sans MT"/>
                <w:sz w:val="16"/>
                <w:szCs w:val="16"/>
              </w:rPr>
            </w:pPr>
            <w:r w:rsidRPr="00135C94">
              <w:rPr>
                <w:rFonts w:ascii="Gill Sans MT" w:hAnsi="Gill Sans MT"/>
                <w:sz w:val="16"/>
                <w:szCs w:val="16"/>
              </w:rPr>
              <w:t>Prof Judith Walker</w:t>
            </w:r>
          </w:p>
          <w:p w:rsidR="0008485A" w:rsidRPr="00135C94" w:rsidRDefault="0008485A" w:rsidP="00876819">
            <w:pPr>
              <w:pStyle w:val="TableParagraph"/>
              <w:spacing w:before="41"/>
              <w:ind w:left="76"/>
              <w:rPr>
                <w:rFonts w:ascii="Gill Sans MT" w:hAnsi="Gill Sans MT"/>
                <w:sz w:val="16"/>
                <w:szCs w:val="16"/>
              </w:rPr>
            </w:pPr>
            <w:r w:rsidRPr="00135C94">
              <w:rPr>
                <w:rFonts w:ascii="Gill Sans MT" w:hAnsi="Gill Sans MT"/>
                <w:sz w:val="16"/>
                <w:szCs w:val="16"/>
              </w:rPr>
              <w:t>- Chair</w:t>
            </w:r>
          </w:p>
        </w:tc>
        <w:tc>
          <w:tcPr>
            <w:tcW w:w="714" w:type="dxa"/>
            <w:tcBorders>
              <w:top w:val="single" w:sz="4" w:space="0" w:color="auto"/>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716" w:type="dxa"/>
            <w:tcBorders>
              <w:top w:val="single" w:sz="4" w:space="0" w:color="auto"/>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652"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ind w:right="206"/>
              <w:jc w:val="right"/>
              <w:rPr>
                <w:rFonts w:ascii="Gill Sans MT" w:hAnsi="Gill Sans MT"/>
                <w:sz w:val="16"/>
                <w:szCs w:val="16"/>
              </w:rPr>
            </w:pPr>
            <w:r>
              <w:rPr>
                <w:rFonts w:ascii="Gill Sans MT" w:hAnsi="Gill Sans MT"/>
                <w:sz w:val="18"/>
                <w:szCs w:val="18"/>
              </w:rPr>
              <w:sym w:font="Wingdings" w:char="F0FC"/>
            </w:r>
          </w:p>
        </w:tc>
        <w:tc>
          <w:tcPr>
            <w:tcW w:w="645"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602"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ind w:left="183"/>
              <w:rPr>
                <w:rFonts w:ascii="Gill Sans MT" w:hAnsi="Gill Sans MT"/>
                <w:sz w:val="16"/>
                <w:szCs w:val="16"/>
              </w:rPr>
            </w:pPr>
            <w:r>
              <w:rPr>
                <w:rFonts w:ascii="Gill Sans MT" w:hAnsi="Gill Sans MT"/>
                <w:sz w:val="18"/>
                <w:szCs w:val="18"/>
              </w:rPr>
              <w:sym w:font="Wingdings" w:char="F0FC"/>
            </w:r>
          </w:p>
        </w:tc>
        <w:tc>
          <w:tcPr>
            <w:tcW w:w="567"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ind w:left="166"/>
              <w:rPr>
                <w:rFonts w:ascii="Gill Sans MT" w:hAnsi="Gill Sans MT"/>
                <w:sz w:val="16"/>
                <w:szCs w:val="16"/>
              </w:rPr>
            </w:pPr>
            <w:r>
              <w:rPr>
                <w:rFonts w:ascii="Gill Sans MT" w:hAnsi="Gill Sans MT"/>
                <w:sz w:val="18"/>
                <w:szCs w:val="18"/>
              </w:rPr>
              <w:sym w:font="Wingdings" w:char="F0FC"/>
            </w:r>
          </w:p>
        </w:tc>
        <w:tc>
          <w:tcPr>
            <w:tcW w:w="643" w:type="dxa"/>
            <w:tcBorders>
              <w:top w:val="single" w:sz="4" w:space="0" w:color="auto"/>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86" w:firstLine="137"/>
              <w:rPr>
                <w:rFonts w:ascii="Gill Sans MT" w:hAnsi="Gill Sans MT"/>
                <w:sz w:val="16"/>
                <w:szCs w:val="16"/>
              </w:rPr>
            </w:pPr>
            <w:r w:rsidRPr="00135C94">
              <w:rPr>
                <w:rFonts w:ascii="Gill Sans MT" w:hAnsi="Gill Sans MT"/>
                <w:sz w:val="16"/>
                <w:szCs w:val="16"/>
              </w:rPr>
              <w:t>No Meeting</w:t>
            </w:r>
          </w:p>
        </w:tc>
        <w:tc>
          <w:tcPr>
            <w:tcW w:w="656"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ind w:left="210"/>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c>
          <w:tcPr>
            <w:tcW w:w="716" w:type="dxa"/>
            <w:tcBorders>
              <w:top w:val="single" w:sz="4" w:space="0" w:color="auto"/>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62"/>
              <w:jc w:val="center"/>
              <w:rPr>
                <w:rFonts w:ascii="Gill Sans MT" w:hAnsi="Gill Sans MT"/>
                <w:sz w:val="16"/>
                <w:szCs w:val="16"/>
              </w:rPr>
            </w:pPr>
            <w:r>
              <w:rPr>
                <w:rFonts w:ascii="Gill Sans MT" w:hAnsi="Gill Sans MT"/>
                <w:sz w:val="18"/>
                <w:szCs w:val="18"/>
              </w:rPr>
              <w:sym w:font="Wingdings" w:char="F0FC"/>
            </w:r>
          </w:p>
        </w:tc>
      </w:tr>
      <w:tr w:rsidR="00135C94" w:rsidRPr="00135C94" w:rsidTr="00135C94">
        <w:trPr>
          <w:trHeight w:hRule="exact" w:val="569"/>
        </w:trPr>
        <w:tc>
          <w:tcPr>
            <w:tcW w:w="1256" w:type="dxa"/>
            <w:tcBorders>
              <w:left w:val="single" w:sz="3" w:space="0" w:color="004D8F"/>
              <w:right w:val="single" w:sz="3" w:space="0" w:color="004D8F"/>
            </w:tcBorders>
            <w:shd w:val="clear" w:color="auto" w:fill="auto"/>
          </w:tcPr>
          <w:p w:rsidR="0008485A" w:rsidRPr="00135C94" w:rsidRDefault="0008485A" w:rsidP="00876819">
            <w:pPr>
              <w:pStyle w:val="TableParagraph"/>
              <w:spacing w:before="47"/>
              <w:ind w:left="75"/>
              <w:rPr>
                <w:rFonts w:ascii="Gill Sans MT" w:hAnsi="Gill Sans MT"/>
                <w:sz w:val="16"/>
                <w:szCs w:val="16"/>
              </w:rPr>
            </w:pPr>
            <w:r w:rsidRPr="00135C94">
              <w:rPr>
                <w:rFonts w:ascii="Gill Sans MT" w:hAnsi="Gill Sans MT"/>
                <w:sz w:val="16"/>
                <w:szCs w:val="16"/>
              </w:rPr>
              <w:t>Dr Emil Djakic</w:t>
            </w:r>
          </w:p>
        </w:tc>
        <w:tc>
          <w:tcPr>
            <w:tcW w:w="714" w:type="dxa"/>
            <w:tcBorders>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716" w:type="dxa"/>
            <w:tcBorders>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3"/>
              <w:ind w:right="261"/>
              <w:jc w:val="right"/>
              <w:rPr>
                <w:rFonts w:ascii="Gill Sans MT" w:hAnsi="Gill Sans MT"/>
                <w:b/>
                <w:sz w:val="16"/>
                <w:szCs w:val="16"/>
              </w:rPr>
            </w:pPr>
            <w:r w:rsidRPr="00135C94">
              <w:rPr>
                <w:rFonts w:ascii="Gill Sans MT" w:hAnsi="Gill Sans MT"/>
                <w:b/>
                <w:sz w:val="16"/>
                <w:szCs w:val="16"/>
              </w:rPr>
              <w:t>A</w:t>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3"/>
              <w:jc w:val="center"/>
              <w:rPr>
                <w:rFonts w:ascii="Gill Sans MT" w:hAnsi="Gill Sans MT"/>
                <w:b/>
                <w:sz w:val="16"/>
                <w:szCs w:val="16"/>
              </w:rPr>
            </w:pPr>
            <w:r w:rsidRPr="00135C94">
              <w:rPr>
                <w:rFonts w:ascii="Gill Sans MT" w:hAnsi="Gill Sans MT"/>
                <w:b/>
                <w:sz w:val="16"/>
                <w:szCs w:val="16"/>
              </w:rPr>
              <w:t>A</w:t>
            </w:r>
          </w:p>
        </w:tc>
        <w:tc>
          <w:tcPr>
            <w:tcW w:w="602"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left="183"/>
              <w:rPr>
                <w:rFonts w:ascii="Gill Sans MT" w:hAnsi="Gill Sans MT"/>
                <w:sz w:val="16"/>
                <w:szCs w:val="16"/>
              </w:rPr>
            </w:pPr>
            <w:r>
              <w:rPr>
                <w:rFonts w:ascii="Gill Sans MT" w:hAnsi="Gill Sans MT"/>
                <w:sz w:val="18"/>
                <w:szCs w:val="18"/>
              </w:rPr>
              <w:sym w:font="Wingdings" w:char="F0FC"/>
            </w:r>
          </w:p>
        </w:tc>
        <w:tc>
          <w:tcPr>
            <w:tcW w:w="567"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3"/>
              <w:ind w:left="221"/>
              <w:rPr>
                <w:rFonts w:ascii="Gill Sans MT" w:hAnsi="Gill Sans MT"/>
                <w:b/>
                <w:sz w:val="16"/>
                <w:szCs w:val="16"/>
              </w:rPr>
            </w:pPr>
            <w:r w:rsidRPr="00135C94">
              <w:rPr>
                <w:rFonts w:ascii="Gill Sans MT" w:hAnsi="Gill Sans MT"/>
                <w:b/>
                <w:sz w:val="16"/>
                <w:szCs w:val="16"/>
              </w:rPr>
              <w:t>A</w:t>
            </w:r>
          </w:p>
        </w:tc>
        <w:tc>
          <w:tcPr>
            <w:tcW w:w="643" w:type="dxa"/>
            <w:tcBorders>
              <w:left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86" w:firstLine="137"/>
              <w:rPr>
                <w:rFonts w:ascii="Gill Sans MT" w:hAnsi="Gill Sans MT"/>
                <w:sz w:val="16"/>
                <w:szCs w:val="16"/>
              </w:rPr>
            </w:pPr>
            <w:r w:rsidRPr="00135C94">
              <w:rPr>
                <w:rFonts w:ascii="Gill Sans MT" w:hAnsi="Gill Sans MT"/>
                <w:sz w:val="16"/>
                <w:szCs w:val="16"/>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left="210"/>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r>
      <w:tr w:rsidR="00135C94" w:rsidRPr="00135C94" w:rsidTr="00135C94">
        <w:trPr>
          <w:trHeight w:hRule="exact" w:val="577"/>
        </w:trPr>
        <w:tc>
          <w:tcPr>
            <w:tcW w:w="1256" w:type="dxa"/>
            <w:tcBorders>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7"/>
              <w:ind w:left="75"/>
              <w:rPr>
                <w:rFonts w:ascii="Gill Sans MT" w:hAnsi="Gill Sans MT"/>
                <w:sz w:val="16"/>
                <w:szCs w:val="16"/>
              </w:rPr>
            </w:pPr>
            <w:r w:rsidRPr="00135C94">
              <w:rPr>
                <w:rFonts w:ascii="Gill Sans MT" w:hAnsi="Gill Sans MT"/>
                <w:sz w:val="16"/>
                <w:szCs w:val="16"/>
              </w:rPr>
              <w:t>John Ramsay</w:t>
            </w:r>
          </w:p>
        </w:tc>
        <w:tc>
          <w:tcPr>
            <w:tcW w:w="714" w:type="dxa"/>
            <w:tcBorders>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716" w:type="dxa"/>
            <w:tcBorders>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122" w:firstLine="137"/>
              <w:rPr>
                <w:rFonts w:ascii="Gill Sans MT" w:hAnsi="Gill Sans MT"/>
                <w:sz w:val="16"/>
                <w:szCs w:val="16"/>
              </w:rPr>
            </w:pPr>
            <w:r w:rsidRPr="00135C94">
              <w:rPr>
                <w:rFonts w:ascii="Gill Sans MT" w:hAnsi="Gill Sans MT"/>
                <w:sz w:val="16"/>
                <w:szCs w:val="16"/>
              </w:rPr>
              <w:t>No Meeting</w:t>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right="206"/>
              <w:jc w:val="right"/>
              <w:rPr>
                <w:rFonts w:ascii="Gill Sans MT" w:hAnsi="Gill Sans MT"/>
                <w:sz w:val="16"/>
                <w:szCs w:val="16"/>
              </w:rPr>
            </w:pPr>
            <w:r>
              <w:rPr>
                <w:rFonts w:ascii="Gill Sans MT" w:hAnsi="Gill Sans MT"/>
                <w:sz w:val="18"/>
                <w:szCs w:val="18"/>
              </w:rPr>
              <w:sym w:font="Wingdings" w:char="F0FC"/>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602"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left="183"/>
              <w:rPr>
                <w:rFonts w:ascii="Gill Sans MT" w:hAnsi="Gill Sans MT"/>
                <w:sz w:val="16"/>
                <w:szCs w:val="16"/>
              </w:rPr>
            </w:pPr>
            <w:r>
              <w:rPr>
                <w:rFonts w:ascii="Gill Sans MT" w:hAnsi="Gill Sans MT"/>
                <w:sz w:val="18"/>
                <w:szCs w:val="18"/>
              </w:rPr>
              <w:sym w:font="Wingdings" w:char="F0FC"/>
            </w:r>
          </w:p>
        </w:tc>
        <w:tc>
          <w:tcPr>
            <w:tcW w:w="567"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left="166"/>
              <w:rPr>
                <w:rFonts w:ascii="Gill Sans MT" w:hAnsi="Gill Sans MT"/>
                <w:sz w:val="16"/>
                <w:szCs w:val="16"/>
              </w:rPr>
            </w:pPr>
            <w:r>
              <w:rPr>
                <w:rFonts w:ascii="Gill Sans MT" w:hAnsi="Gill Sans MT"/>
                <w:sz w:val="18"/>
                <w:szCs w:val="18"/>
              </w:rPr>
              <w:sym w:font="Wingdings" w:char="F0FC"/>
            </w:r>
          </w:p>
        </w:tc>
        <w:tc>
          <w:tcPr>
            <w:tcW w:w="643" w:type="dxa"/>
            <w:tcBorders>
              <w:left w:val="single" w:sz="3" w:space="0" w:color="004D8F"/>
              <w:bottom w:val="single" w:sz="3" w:space="0" w:color="004D8F"/>
              <w:right w:val="single" w:sz="3" w:space="0" w:color="004D8F"/>
            </w:tcBorders>
            <w:shd w:val="clear" w:color="auto" w:fill="auto"/>
          </w:tcPr>
          <w:p w:rsidR="0008485A" w:rsidRPr="00135C94" w:rsidRDefault="0008485A" w:rsidP="00876819">
            <w:pPr>
              <w:pStyle w:val="TableParagraph"/>
              <w:spacing w:before="47" w:line="302" w:lineRule="auto"/>
              <w:ind w:left="86" w:firstLine="137"/>
              <w:rPr>
                <w:rFonts w:ascii="Gill Sans MT" w:hAnsi="Gill Sans MT"/>
                <w:sz w:val="16"/>
                <w:szCs w:val="16"/>
              </w:rPr>
            </w:pPr>
            <w:r w:rsidRPr="00135C94">
              <w:rPr>
                <w:rFonts w:ascii="Gill Sans MT" w:hAnsi="Gill Sans MT"/>
                <w:sz w:val="16"/>
                <w:szCs w:val="16"/>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ind w:left="210"/>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08485A" w:rsidRPr="00135C94" w:rsidRDefault="00876819" w:rsidP="00876819">
            <w:pPr>
              <w:pStyle w:val="TableParagraph"/>
              <w:spacing w:before="58"/>
              <w:jc w:val="center"/>
              <w:rPr>
                <w:rFonts w:ascii="Gill Sans MT" w:hAnsi="Gill Sans MT"/>
                <w:sz w:val="16"/>
                <w:szCs w:val="16"/>
              </w:rPr>
            </w:pPr>
            <w:r>
              <w:rPr>
                <w:rFonts w:ascii="Gill Sans MT" w:hAnsi="Gill Sans MT"/>
                <w:sz w:val="18"/>
                <w:szCs w:val="18"/>
              </w:rPr>
              <w:sym w:font="Wingdings" w:char="F0FC"/>
            </w:r>
          </w:p>
        </w:tc>
      </w:tr>
    </w:tbl>
    <w:p w:rsidR="00AC31DA" w:rsidRPr="00AC31DA" w:rsidRDefault="00AC31DA" w:rsidP="00AC31DA"/>
    <w:p w:rsidR="00AC31DA" w:rsidRDefault="00135C94" w:rsidP="00135C94">
      <w:pPr>
        <w:pStyle w:val="Heading4"/>
      </w:pPr>
      <w:r>
        <w:t>Governing Council Remuneration</w:t>
      </w:r>
    </w:p>
    <w:tbl>
      <w:tblPr>
        <w:tblW w:w="0" w:type="auto"/>
        <w:tblInd w:w="14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281"/>
        <w:gridCol w:w="1310"/>
        <w:gridCol w:w="1383"/>
        <w:gridCol w:w="1276"/>
        <w:gridCol w:w="1701"/>
        <w:gridCol w:w="1134"/>
        <w:gridCol w:w="1306"/>
      </w:tblGrid>
      <w:tr w:rsidR="00135C94" w:rsidRPr="00135C94" w:rsidTr="00135C94">
        <w:trPr>
          <w:trHeight w:hRule="exact" w:val="725"/>
        </w:trPr>
        <w:tc>
          <w:tcPr>
            <w:tcW w:w="1281"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75"/>
              <w:ind w:left="79"/>
              <w:jc w:val="center"/>
              <w:rPr>
                <w:rFonts w:ascii="GillSans-SemiBold"/>
                <w:b/>
                <w:sz w:val="18"/>
              </w:rPr>
            </w:pPr>
            <w:r w:rsidRPr="00135C94">
              <w:rPr>
                <w:rFonts w:ascii="GillSans-SemiBold"/>
                <w:b/>
                <w:sz w:val="18"/>
              </w:rPr>
              <w:t>Band</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85" w:line="200" w:lineRule="exact"/>
              <w:ind w:left="136" w:right="134" w:firstLine="23"/>
              <w:jc w:val="center"/>
              <w:rPr>
                <w:rFonts w:ascii="GillSans-SemiBold"/>
                <w:b/>
                <w:sz w:val="18"/>
              </w:rPr>
            </w:pPr>
            <w:r w:rsidRPr="00135C94">
              <w:rPr>
                <w:rFonts w:ascii="GillSans-SemiBold"/>
                <w:b/>
                <w:sz w:val="18"/>
              </w:rPr>
              <w:t>Number of Committee Members</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85" w:line="200" w:lineRule="exact"/>
              <w:ind w:left="189" w:right="187"/>
              <w:jc w:val="center"/>
              <w:rPr>
                <w:rFonts w:ascii="GillSans-SemiBold" w:hAnsi="GillSans-SemiBold"/>
                <w:b/>
                <w:sz w:val="18"/>
              </w:rPr>
            </w:pPr>
            <w:r w:rsidRPr="00135C94">
              <w:rPr>
                <w:rFonts w:ascii="GillSans-SemiBold" w:hAnsi="GillSans-SemiBold"/>
                <w:b/>
                <w:sz w:val="18"/>
              </w:rPr>
              <w:t>Aggregate Directors’ Fees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85" w:line="200" w:lineRule="exact"/>
              <w:ind w:left="391" w:right="106" w:hanging="277"/>
              <w:jc w:val="center"/>
              <w:rPr>
                <w:rFonts w:ascii="GillSans-SemiBold"/>
                <w:b/>
                <w:sz w:val="18"/>
              </w:rPr>
            </w:pPr>
            <w:r w:rsidRPr="00135C94">
              <w:rPr>
                <w:rFonts w:ascii="GillSans-SemiBold"/>
                <w:b/>
                <w:sz w:val="18"/>
              </w:rPr>
              <w:t>Committe</w:t>
            </w:r>
            <w:r>
              <w:rPr>
                <w:rFonts w:ascii="GillSans-SemiBold"/>
                <w:b/>
                <w:sz w:val="18"/>
              </w:rPr>
              <w:t>e</w:t>
            </w:r>
            <w:r w:rsidRPr="00135C94">
              <w:rPr>
                <w:rFonts w:ascii="GillSans-SemiBold"/>
                <w:b/>
                <w:sz w:val="18"/>
              </w:rPr>
              <w:t xml:space="preserve"> Fees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75"/>
              <w:ind w:left="123"/>
              <w:jc w:val="center"/>
              <w:rPr>
                <w:rFonts w:ascii="GillSans-SemiBold"/>
                <w:b/>
                <w:sz w:val="18"/>
              </w:rPr>
            </w:pPr>
            <w:r w:rsidRPr="00135C94">
              <w:rPr>
                <w:rFonts w:ascii="GillSans-SemiBold"/>
                <w:b/>
                <w:sz w:val="18"/>
              </w:rPr>
              <w:t>Superannuation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75"/>
              <w:jc w:val="center"/>
              <w:rPr>
                <w:rFonts w:ascii="GillSans-SemiBold"/>
                <w:b/>
                <w:sz w:val="18"/>
              </w:rPr>
            </w:pPr>
            <w:r w:rsidRPr="00135C94">
              <w:rPr>
                <w:rFonts w:ascii="GillSans-SemiBold"/>
                <w:b/>
                <w:sz w:val="18"/>
              </w:rPr>
              <w:t>Other*</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135C94" w:rsidRPr="00135C94" w:rsidRDefault="00135C94" w:rsidP="00135C94">
            <w:pPr>
              <w:pStyle w:val="TableParagraph"/>
              <w:spacing w:before="75"/>
              <w:jc w:val="center"/>
              <w:rPr>
                <w:rFonts w:ascii="GillSans-SemiBold"/>
                <w:b/>
                <w:sz w:val="18"/>
              </w:rPr>
            </w:pPr>
            <w:r w:rsidRPr="00135C94">
              <w:rPr>
                <w:rFonts w:ascii="GillSans-SemiBold"/>
                <w:b/>
                <w:sz w:val="18"/>
              </w:rPr>
              <w:t>Total</w:t>
            </w:r>
          </w:p>
        </w:tc>
      </w:tr>
      <w:tr w:rsidR="00135C94" w:rsidRPr="00135C94" w:rsidTr="00135C94">
        <w:trPr>
          <w:trHeight w:hRule="exact" w:val="320"/>
        </w:trPr>
        <w:tc>
          <w:tcPr>
            <w:tcW w:w="1281"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8"/>
              <w:ind w:left="76"/>
              <w:rPr>
                <w:rFonts w:ascii="Gill Sans MT" w:hAnsi="Gill Sans MT"/>
                <w:sz w:val="18"/>
              </w:rPr>
            </w:pPr>
            <w:r w:rsidRPr="00135C94">
              <w:rPr>
                <w:rFonts w:ascii="Gill Sans MT" w:hAnsi="Gill Sans MT"/>
                <w:sz w:val="18"/>
              </w:rPr>
              <w:t>&gt; $50,000</w:t>
            </w:r>
          </w:p>
        </w:tc>
        <w:tc>
          <w:tcPr>
            <w:tcW w:w="1310"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8"/>
              <w:ind w:right="448"/>
              <w:jc w:val="right"/>
              <w:rPr>
                <w:rFonts w:ascii="Gill Sans MT" w:hAnsi="Gill Sans MT"/>
                <w:sz w:val="18"/>
              </w:rPr>
            </w:pPr>
            <w:r w:rsidRPr="00135C94">
              <w:rPr>
                <w:rFonts w:ascii="Gill Sans MT" w:hAnsi="Gill Sans MT"/>
                <w:sz w:val="18"/>
              </w:rPr>
              <w:t>1</w:t>
            </w:r>
          </w:p>
        </w:tc>
        <w:tc>
          <w:tcPr>
            <w:tcW w:w="1383"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8"/>
              <w:jc w:val="center"/>
              <w:rPr>
                <w:rFonts w:ascii="Gill Sans MT" w:hAnsi="Gill Sans MT"/>
                <w:sz w:val="18"/>
              </w:rPr>
            </w:pPr>
            <w:r w:rsidRPr="00135C94">
              <w:rPr>
                <w:rFonts w:ascii="Gill Sans MT" w:hAnsi="Gill Sans MT"/>
                <w:sz w:val="18"/>
              </w:rPr>
              <w:t>159,798</w:t>
            </w:r>
          </w:p>
        </w:tc>
        <w:tc>
          <w:tcPr>
            <w:tcW w:w="1276"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8"/>
              <w:jc w:val="center"/>
              <w:rPr>
                <w:rFonts w:ascii="Gill Sans MT" w:hAnsi="Gill Sans MT"/>
                <w:sz w:val="18"/>
              </w:rPr>
            </w:pPr>
            <w:r w:rsidRPr="00135C94">
              <w:rPr>
                <w:rFonts w:ascii="Gill Sans MT" w:hAnsi="Gill Sans MT"/>
                <w:sz w:val="18"/>
              </w:rPr>
              <w:t>-</w:t>
            </w:r>
          </w:p>
        </w:tc>
        <w:tc>
          <w:tcPr>
            <w:tcW w:w="1701"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8"/>
              <w:ind w:left="581"/>
              <w:rPr>
                <w:rFonts w:ascii="Gill Sans MT" w:hAnsi="Gill Sans MT"/>
                <w:sz w:val="18"/>
              </w:rPr>
            </w:pPr>
            <w:r w:rsidRPr="00135C94">
              <w:rPr>
                <w:rFonts w:ascii="Gill Sans MT" w:hAnsi="Gill Sans MT"/>
                <w:sz w:val="18"/>
              </w:rPr>
              <w:t>15,376</w:t>
            </w:r>
          </w:p>
        </w:tc>
        <w:tc>
          <w:tcPr>
            <w:tcW w:w="1134"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8"/>
              <w:jc w:val="center"/>
              <w:rPr>
                <w:rFonts w:ascii="Gill Sans MT" w:hAnsi="Gill Sans MT"/>
                <w:sz w:val="18"/>
              </w:rPr>
            </w:pPr>
            <w:r w:rsidRPr="00135C94">
              <w:rPr>
                <w:rFonts w:ascii="Gill Sans MT" w:hAnsi="Gill Sans MT"/>
                <w:sz w:val="18"/>
              </w:rPr>
              <w:t>9,960</w:t>
            </w:r>
          </w:p>
        </w:tc>
        <w:tc>
          <w:tcPr>
            <w:tcW w:w="1306" w:type="dxa"/>
            <w:tcBorders>
              <w:top w:val="single" w:sz="4" w:space="0" w:color="auto"/>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8"/>
              <w:ind w:right="448"/>
              <w:jc w:val="right"/>
              <w:rPr>
                <w:rFonts w:ascii="Gill Sans MT" w:hAnsi="Gill Sans MT"/>
                <w:sz w:val="18"/>
              </w:rPr>
            </w:pPr>
            <w:r w:rsidRPr="00135C94">
              <w:rPr>
                <w:rFonts w:ascii="Gill Sans MT" w:hAnsi="Gill Sans MT"/>
                <w:sz w:val="18"/>
              </w:rPr>
              <w:t>185,134</w:t>
            </w:r>
          </w:p>
        </w:tc>
      </w:tr>
      <w:tr w:rsidR="00135C94" w:rsidRPr="00135C94" w:rsidTr="00135C94">
        <w:trPr>
          <w:trHeight w:hRule="exact" w:val="320"/>
        </w:trPr>
        <w:tc>
          <w:tcPr>
            <w:tcW w:w="1281"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5"/>
              <w:ind w:left="76"/>
              <w:rPr>
                <w:rFonts w:ascii="Gill Sans MT" w:hAnsi="Gill Sans MT"/>
                <w:sz w:val="18"/>
              </w:rPr>
            </w:pPr>
            <w:r w:rsidRPr="00135C94">
              <w:rPr>
                <w:rFonts w:ascii="Gill Sans MT" w:hAnsi="Gill Sans MT"/>
                <w:sz w:val="18"/>
              </w:rPr>
              <w:t>&lt; $50,000</w:t>
            </w:r>
          </w:p>
        </w:tc>
        <w:tc>
          <w:tcPr>
            <w:tcW w:w="1310"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5"/>
              <w:ind w:right="448"/>
              <w:jc w:val="right"/>
              <w:rPr>
                <w:rFonts w:ascii="Gill Sans MT" w:hAnsi="Gill Sans MT"/>
                <w:sz w:val="18"/>
              </w:rPr>
            </w:pPr>
            <w:r w:rsidRPr="00135C94">
              <w:rPr>
                <w:rFonts w:ascii="Gill Sans MT" w:hAnsi="Gill Sans MT"/>
                <w:sz w:val="18"/>
              </w:rPr>
              <w:t>8</w:t>
            </w:r>
          </w:p>
        </w:tc>
        <w:tc>
          <w:tcPr>
            <w:tcW w:w="1383"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5"/>
              <w:jc w:val="center"/>
              <w:rPr>
                <w:rFonts w:ascii="Gill Sans MT" w:hAnsi="Gill Sans MT"/>
                <w:sz w:val="18"/>
              </w:rPr>
            </w:pPr>
            <w:r w:rsidRPr="00135C94">
              <w:rPr>
                <w:rFonts w:ascii="Gill Sans MT" w:hAnsi="Gill Sans MT"/>
                <w:sz w:val="18"/>
              </w:rPr>
              <w:t>269,599</w:t>
            </w:r>
          </w:p>
        </w:tc>
        <w:tc>
          <w:tcPr>
            <w:tcW w:w="1276"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5"/>
              <w:jc w:val="center"/>
              <w:rPr>
                <w:rFonts w:ascii="Gill Sans MT" w:hAnsi="Gill Sans MT"/>
                <w:sz w:val="18"/>
              </w:rPr>
            </w:pPr>
            <w:r w:rsidRPr="00135C94">
              <w:rPr>
                <w:rFonts w:ascii="Gill Sans MT" w:hAnsi="Gill Sans MT"/>
                <w:sz w:val="18"/>
              </w:rPr>
              <w:t>-</w:t>
            </w:r>
          </w:p>
        </w:tc>
        <w:tc>
          <w:tcPr>
            <w:tcW w:w="1701"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5"/>
              <w:ind w:left="579"/>
              <w:rPr>
                <w:rFonts w:ascii="Gill Sans MT" w:hAnsi="Gill Sans MT"/>
                <w:sz w:val="18"/>
              </w:rPr>
            </w:pPr>
            <w:r w:rsidRPr="00135C94">
              <w:rPr>
                <w:rFonts w:ascii="Gill Sans MT" w:hAnsi="Gill Sans MT"/>
                <w:sz w:val="18"/>
              </w:rPr>
              <w:t>26,515</w:t>
            </w:r>
          </w:p>
        </w:tc>
        <w:tc>
          <w:tcPr>
            <w:tcW w:w="1134"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135C94">
            <w:pPr>
              <w:pStyle w:val="TableParagraph"/>
              <w:spacing w:before="75"/>
              <w:jc w:val="center"/>
              <w:rPr>
                <w:rFonts w:ascii="Gill Sans MT" w:hAnsi="Gill Sans MT"/>
                <w:sz w:val="18"/>
              </w:rPr>
            </w:pPr>
            <w:r w:rsidRPr="00135C94">
              <w:rPr>
                <w:rFonts w:ascii="Gill Sans MT" w:hAnsi="Gill Sans MT"/>
                <w:sz w:val="18"/>
              </w:rPr>
              <w:t>26,879</w:t>
            </w:r>
          </w:p>
        </w:tc>
        <w:tc>
          <w:tcPr>
            <w:tcW w:w="1306" w:type="dxa"/>
            <w:tcBorders>
              <w:top w:val="single" w:sz="2" w:space="0" w:color="004D8F"/>
              <w:left w:val="single" w:sz="2" w:space="0" w:color="004D8F"/>
              <w:bottom w:val="single" w:sz="2" w:space="0" w:color="004D8F"/>
              <w:right w:val="single" w:sz="2" w:space="0" w:color="004D8F"/>
            </w:tcBorders>
            <w:shd w:val="clear" w:color="auto" w:fill="F9FAFB"/>
          </w:tcPr>
          <w:p w:rsidR="00135C94" w:rsidRPr="00135C94" w:rsidRDefault="00135C94" w:rsidP="00876819">
            <w:pPr>
              <w:pStyle w:val="TableParagraph"/>
              <w:spacing w:before="75"/>
              <w:ind w:right="453"/>
              <w:jc w:val="right"/>
              <w:rPr>
                <w:rFonts w:ascii="Gill Sans MT" w:hAnsi="Gill Sans MT"/>
                <w:sz w:val="18"/>
              </w:rPr>
            </w:pPr>
            <w:r w:rsidRPr="00135C94">
              <w:rPr>
                <w:rFonts w:ascii="Gill Sans MT" w:hAnsi="Gill Sans MT"/>
                <w:sz w:val="18"/>
              </w:rPr>
              <w:t>322,993</w:t>
            </w:r>
          </w:p>
        </w:tc>
      </w:tr>
    </w:tbl>
    <w:p w:rsidR="00EB19DD" w:rsidRDefault="00EB19DD" w:rsidP="00EB19DD">
      <w:pPr>
        <w:pStyle w:val="BodyText"/>
      </w:pPr>
    </w:p>
    <w:p w:rsidR="00EB19DD" w:rsidRPr="00EB19DD" w:rsidRDefault="00EB19DD" w:rsidP="00EB19DD">
      <w:pPr>
        <w:pStyle w:val="BodyText"/>
      </w:pPr>
    </w:p>
    <w:p w:rsidR="00707D71" w:rsidRDefault="00707D71" w:rsidP="00E730AE">
      <w:pPr>
        <w:pStyle w:val="BodyText"/>
        <w:sectPr w:rsidR="00707D71" w:rsidSect="00025D0E">
          <w:pgSz w:w="11906" w:h="16838"/>
          <w:pgMar w:top="1440" w:right="707" w:bottom="1440" w:left="1134" w:header="708" w:footer="708" w:gutter="0"/>
          <w:cols w:space="708"/>
          <w:docGrid w:linePitch="360"/>
        </w:sectPr>
      </w:pPr>
    </w:p>
    <w:p w:rsidR="00E730AE" w:rsidRDefault="00707D71" w:rsidP="00707D71">
      <w:pPr>
        <w:pStyle w:val="Heading3"/>
      </w:pPr>
      <w:bookmarkStart w:id="12" w:name="_Toc472581952"/>
      <w:r>
        <w:lastRenderedPageBreak/>
        <w:t>Subcommittee Reports</w:t>
      </w:r>
      <w:bookmarkEnd w:id="12"/>
    </w:p>
    <w:p w:rsidR="00707D71" w:rsidRDefault="00707D71" w:rsidP="00707D71">
      <w:pPr>
        <w:pStyle w:val="Heading4"/>
      </w:pPr>
      <w:r>
        <w:t>Audit and Risk Subcommittee</w:t>
      </w:r>
    </w:p>
    <w:p w:rsidR="00707D71" w:rsidRDefault="00707D71" w:rsidP="00707D71">
      <w:pPr>
        <w:pStyle w:val="BodyText"/>
      </w:pPr>
      <w:r>
        <w:t>The</w:t>
      </w:r>
      <w:r>
        <w:rPr>
          <w:spacing w:val="-11"/>
        </w:rPr>
        <w:t xml:space="preserve"> </w:t>
      </w:r>
      <w:r>
        <w:t>THS</w:t>
      </w:r>
      <w:r>
        <w:rPr>
          <w:spacing w:val="-11"/>
        </w:rPr>
        <w:t xml:space="preserve"> </w:t>
      </w:r>
      <w:r>
        <w:rPr>
          <w:spacing w:val="-3"/>
        </w:rPr>
        <w:t>Audit</w:t>
      </w:r>
      <w:r>
        <w:rPr>
          <w:spacing w:val="-11"/>
        </w:rPr>
        <w:t xml:space="preserve"> </w:t>
      </w:r>
      <w:r>
        <w:rPr>
          <w:spacing w:val="-2"/>
        </w:rPr>
        <w:t>and</w:t>
      </w:r>
      <w:r>
        <w:rPr>
          <w:spacing w:val="-11"/>
        </w:rPr>
        <w:t xml:space="preserve"> </w:t>
      </w:r>
      <w:r>
        <w:t>Risk</w:t>
      </w:r>
      <w:r>
        <w:rPr>
          <w:spacing w:val="-11"/>
        </w:rPr>
        <w:t xml:space="preserve"> </w:t>
      </w:r>
      <w:r>
        <w:rPr>
          <w:spacing w:val="-3"/>
        </w:rPr>
        <w:t>Subcommittee</w:t>
      </w:r>
      <w:r>
        <w:rPr>
          <w:spacing w:val="-11"/>
        </w:rPr>
        <w:t xml:space="preserve"> </w:t>
      </w:r>
      <w:r>
        <w:rPr>
          <w:spacing w:val="-3"/>
        </w:rPr>
        <w:t>(A&amp;RS)</w:t>
      </w:r>
      <w:r>
        <w:rPr>
          <w:spacing w:val="-11"/>
        </w:rPr>
        <w:t xml:space="preserve"> </w:t>
      </w:r>
      <w:r>
        <w:t xml:space="preserve">was established </w:t>
      </w:r>
      <w:r>
        <w:rPr>
          <w:spacing w:val="-4"/>
        </w:rPr>
        <w:t xml:space="preserve">by </w:t>
      </w:r>
      <w:r>
        <w:t xml:space="preserve">the </w:t>
      </w:r>
      <w:r>
        <w:rPr>
          <w:spacing w:val="-3"/>
        </w:rPr>
        <w:t xml:space="preserve">Governing </w:t>
      </w:r>
      <w:r>
        <w:rPr>
          <w:spacing w:val="-4"/>
        </w:rPr>
        <w:t xml:space="preserve">Council </w:t>
      </w:r>
      <w:r>
        <w:t xml:space="preserve">1 July </w:t>
      </w:r>
      <w:r>
        <w:rPr>
          <w:spacing w:val="-10"/>
        </w:rPr>
        <w:t xml:space="preserve">2015 </w:t>
      </w:r>
      <w:r>
        <w:rPr>
          <w:spacing w:val="-3"/>
        </w:rPr>
        <w:t xml:space="preserve">pursuant to </w:t>
      </w:r>
      <w:r>
        <w:t xml:space="preserve">Section </w:t>
      </w:r>
      <w:r>
        <w:rPr>
          <w:spacing w:val="-5"/>
        </w:rPr>
        <w:t xml:space="preserve">26 </w:t>
      </w:r>
      <w:r>
        <w:rPr>
          <w:spacing w:val="-4"/>
        </w:rPr>
        <w:t xml:space="preserve">of </w:t>
      </w:r>
      <w:r>
        <w:t xml:space="preserve">the </w:t>
      </w:r>
      <w:r>
        <w:rPr>
          <w:rFonts w:ascii="GillSans-LightItalic"/>
          <w:i/>
          <w:spacing w:val="-6"/>
        </w:rPr>
        <w:t xml:space="preserve">Tasmanian </w:t>
      </w:r>
      <w:r>
        <w:rPr>
          <w:rFonts w:ascii="GillSans-LightItalic"/>
          <w:i/>
          <w:spacing w:val="-3"/>
        </w:rPr>
        <w:t xml:space="preserve">Health </w:t>
      </w:r>
      <w:r>
        <w:rPr>
          <w:rFonts w:ascii="GillSans-LightItalic"/>
          <w:i/>
          <w:spacing w:val="-4"/>
        </w:rPr>
        <w:t xml:space="preserve">Organisation </w:t>
      </w:r>
      <w:r>
        <w:rPr>
          <w:rFonts w:ascii="GillSans-LightItalic"/>
          <w:i/>
        </w:rPr>
        <w:t xml:space="preserve">Act </w:t>
      </w:r>
      <w:r>
        <w:rPr>
          <w:rFonts w:ascii="GillSans-LightItalic"/>
          <w:i/>
          <w:spacing w:val="-18"/>
        </w:rPr>
        <w:t>2011</w:t>
      </w:r>
      <w:r>
        <w:rPr>
          <w:spacing w:val="-18"/>
        </w:rPr>
        <w:t xml:space="preserve">. </w:t>
      </w:r>
      <w:r>
        <w:t xml:space="preserve">The A&amp;RS undertakes a </w:t>
      </w:r>
      <w:r>
        <w:rPr>
          <w:spacing w:val="-4"/>
        </w:rPr>
        <w:t xml:space="preserve">key </w:t>
      </w:r>
      <w:r>
        <w:t xml:space="preserve">role in </w:t>
      </w:r>
      <w:r>
        <w:rPr>
          <w:spacing w:val="-3"/>
        </w:rPr>
        <w:t xml:space="preserve">assisting </w:t>
      </w:r>
      <w:r>
        <w:t xml:space="preserve">the </w:t>
      </w:r>
      <w:r>
        <w:rPr>
          <w:spacing w:val="-3"/>
        </w:rPr>
        <w:t xml:space="preserve">Governing </w:t>
      </w:r>
      <w:r>
        <w:rPr>
          <w:spacing w:val="-4"/>
        </w:rPr>
        <w:t xml:space="preserve">Council </w:t>
      </w:r>
      <w:r>
        <w:rPr>
          <w:spacing w:val="-3"/>
        </w:rPr>
        <w:t xml:space="preserve">discharge </w:t>
      </w:r>
      <w:r>
        <w:t xml:space="preserve">its </w:t>
      </w:r>
      <w:r>
        <w:rPr>
          <w:spacing w:val="-3"/>
        </w:rPr>
        <w:t xml:space="preserve">duties </w:t>
      </w:r>
      <w:r>
        <w:rPr>
          <w:spacing w:val="-2"/>
        </w:rPr>
        <w:t xml:space="preserve">and </w:t>
      </w:r>
      <w:r>
        <w:rPr>
          <w:spacing w:val="-3"/>
        </w:rPr>
        <w:t xml:space="preserve">responsibilities, </w:t>
      </w:r>
      <w:r>
        <w:t xml:space="preserve">with due care, </w:t>
      </w:r>
      <w:r>
        <w:rPr>
          <w:spacing w:val="-4"/>
        </w:rPr>
        <w:t xml:space="preserve">diligence </w:t>
      </w:r>
      <w:r>
        <w:rPr>
          <w:spacing w:val="-2"/>
        </w:rPr>
        <w:t xml:space="preserve">and </w:t>
      </w:r>
      <w:r>
        <w:t xml:space="preserve">skill, in the areas </w:t>
      </w:r>
      <w:r>
        <w:rPr>
          <w:spacing w:val="-4"/>
        </w:rPr>
        <w:t xml:space="preserve">of </w:t>
      </w:r>
      <w:r>
        <w:rPr>
          <w:spacing w:val="-3"/>
        </w:rPr>
        <w:t xml:space="preserve">corporate </w:t>
      </w:r>
      <w:r>
        <w:rPr>
          <w:spacing w:val="-4"/>
        </w:rPr>
        <w:t xml:space="preserve">governance, </w:t>
      </w:r>
      <w:r>
        <w:t xml:space="preserve">financial reporting </w:t>
      </w:r>
      <w:r>
        <w:rPr>
          <w:spacing w:val="-4"/>
        </w:rPr>
        <w:t xml:space="preserve">processes </w:t>
      </w:r>
      <w:r>
        <w:rPr>
          <w:spacing w:val="-2"/>
        </w:rPr>
        <w:t xml:space="preserve">and </w:t>
      </w:r>
      <w:r>
        <w:t xml:space="preserve">financial reports, risk </w:t>
      </w:r>
      <w:r>
        <w:rPr>
          <w:spacing w:val="-3"/>
        </w:rPr>
        <w:t xml:space="preserve">management </w:t>
      </w:r>
      <w:r>
        <w:t xml:space="preserve">systems, </w:t>
      </w:r>
      <w:r>
        <w:rPr>
          <w:spacing w:val="-2"/>
        </w:rPr>
        <w:t xml:space="preserve">and </w:t>
      </w:r>
      <w:r>
        <w:rPr>
          <w:spacing w:val="-3"/>
        </w:rPr>
        <w:t xml:space="preserve">internal </w:t>
      </w:r>
      <w:r>
        <w:rPr>
          <w:spacing w:val="-4"/>
        </w:rPr>
        <w:t xml:space="preserve">control </w:t>
      </w:r>
      <w:r>
        <w:t xml:space="preserve">structures, </w:t>
      </w:r>
      <w:r>
        <w:rPr>
          <w:spacing w:val="-4"/>
        </w:rPr>
        <w:t xml:space="preserve">including </w:t>
      </w:r>
      <w:r>
        <w:t xml:space="preserve">fraud </w:t>
      </w:r>
      <w:r>
        <w:rPr>
          <w:spacing w:val="-3"/>
        </w:rPr>
        <w:t xml:space="preserve">prevention, deterrence </w:t>
      </w:r>
      <w:r>
        <w:rPr>
          <w:spacing w:val="-2"/>
        </w:rPr>
        <w:t xml:space="preserve">and </w:t>
      </w:r>
      <w:r>
        <w:t xml:space="preserve">detection, </w:t>
      </w:r>
      <w:r>
        <w:rPr>
          <w:spacing w:val="-3"/>
        </w:rPr>
        <w:t xml:space="preserve">(financial </w:t>
      </w:r>
      <w:r>
        <w:rPr>
          <w:spacing w:val="-2"/>
        </w:rPr>
        <w:t xml:space="preserve">and </w:t>
      </w:r>
      <w:r>
        <w:rPr>
          <w:spacing w:val="-3"/>
        </w:rPr>
        <w:t xml:space="preserve">non-financial), internal </w:t>
      </w:r>
      <w:r>
        <w:t xml:space="preserve">audit activities, external audit </w:t>
      </w:r>
      <w:r>
        <w:rPr>
          <w:spacing w:val="-2"/>
        </w:rPr>
        <w:t xml:space="preserve">and </w:t>
      </w:r>
      <w:r>
        <w:rPr>
          <w:spacing w:val="-4"/>
        </w:rPr>
        <w:t xml:space="preserve">compliance </w:t>
      </w:r>
      <w:r>
        <w:t xml:space="preserve">with </w:t>
      </w:r>
      <w:r>
        <w:rPr>
          <w:spacing w:val="-3"/>
        </w:rPr>
        <w:t xml:space="preserve">laws, regulations, ethical </w:t>
      </w:r>
      <w:r>
        <w:t xml:space="preserve">requirements, </w:t>
      </w:r>
      <w:r>
        <w:rPr>
          <w:spacing w:val="-3"/>
        </w:rPr>
        <w:t xml:space="preserve">internal </w:t>
      </w:r>
      <w:r>
        <w:rPr>
          <w:spacing w:val="-4"/>
        </w:rPr>
        <w:t xml:space="preserve">policies (including </w:t>
      </w:r>
      <w:r>
        <w:t xml:space="preserve">the </w:t>
      </w:r>
      <w:r>
        <w:rPr>
          <w:spacing w:val="-4"/>
        </w:rPr>
        <w:t xml:space="preserve">code of conduct) </w:t>
      </w:r>
      <w:r>
        <w:rPr>
          <w:spacing w:val="-2"/>
        </w:rPr>
        <w:t xml:space="preserve">and </w:t>
      </w:r>
      <w:r>
        <w:t xml:space="preserve">industry standards. Furthermore, the A&amp;RS </w:t>
      </w:r>
      <w:r>
        <w:rPr>
          <w:spacing w:val="-4"/>
        </w:rPr>
        <w:t xml:space="preserve">may </w:t>
      </w:r>
      <w:r>
        <w:t xml:space="preserve">perform </w:t>
      </w:r>
      <w:r>
        <w:rPr>
          <w:spacing w:val="-3"/>
        </w:rPr>
        <w:t xml:space="preserve">other duties </w:t>
      </w:r>
      <w:r>
        <w:t xml:space="preserve">as requested </w:t>
      </w:r>
      <w:r>
        <w:rPr>
          <w:spacing w:val="-4"/>
        </w:rPr>
        <w:t xml:space="preserve">by </w:t>
      </w:r>
      <w:r>
        <w:t xml:space="preserve">the </w:t>
      </w:r>
      <w:r>
        <w:rPr>
          <w:spacing w:val="-3"/>
        </w:rPr>
        <w:t xml:space="preserve">Governing </w:t>
      </w:r>
      <w:r>
        <w:rPr>
          <w:spacing w:val="-4"/>
        </w:rPr>
        <w:t xml:space="preserve">Council </w:t>
      </w:r>
      <w:r>
        <w:t xml:space="preserve">from </w:t>
      </w:r>
      <w:r>
        <w:rPr>
          <w:spacing w:val="-3"/>
        </w:rPr>
        <w:t>time to</w:t>
      </w:r>
      <w:r>
        <w:rPr>
          <w:spacing w:val="-36"/>
        </w:rPr>
        <w:t xml:space="preserve"> </w:t>
      </w:r>
      <w:r>
        <w:t>time.</w:t>
      </w:r>
    </w:p>
    <w:p w:rsidR="00707D71" w:rsidRDefault="00707D71" w:rsidP="00707D71">
      <w:pPr>
        <w:pStyle w:val="BodyText"/>
      </w:pPr>
      <w:r>
        <w:rPr>
          <w:spacing w:val="-3"/>
        </w:rPr>
        <w:t xml:space="preserve">Meetings </w:t>
      </w:r>
      <w:r>
        <w:rPr>
          <w:spacing w:val="-4"/>
        </w:rPr>
        <w:t xml:space="preserve">of </w:t>
      </w:r>
      <w:r>
        <w:t xml:space="preserve">the </w:t>
      </w:r>
      <w:r>
        <w:rPr>
          <w:spacing w:val="-3"/>
        </w:rPr>
        <w:t xml:space="preserve">Audit </w:t>
      </w:r>
      <w:r>
        <w:rPr>
          <w:spacing w:val="-2"/>
        </w:rPr>
        <w:t xml:space="preserve">and </w:t>
      </w:r>
      <w:r>
        <w:t xml:space="preserve">Risk </w:t>
      </w:r>
      <w:r>
        <w:rPr>
          <w:spacing w:val="-3"/>
        </w:rPr>
        <w:t xml:space="preserve">Subcommittee </w:t>
      </w:r>
      <w:r>
        <w:t xml:space="preserve">are </w:t>
      </w:r>
      <w:r>
        <w:rPr>
          <w:spacing w:val="-3"/>
        </w:rPr>
        <w:t xml:space="preserve">held </w:t>
      </w:r>
      <w:r>
        <w:rPr>
          <w:spacing w:val="-5"/>
        </w:rPr>
        <w:t xml:space="preserve">monthly, </w:t>
      </w:r>
      <w:r>
        <w:t xml:space="preserve">with </w:t>
      </w:r>
      <w:r>
        <w:rPr>
          <w:spacing w:val="-3"/>
        </w:rPr>
        <w:t xml:space="preserve">appropriate advice </w:t>
      </w:r>
      <w:r>
        <w:rPr>
          <w:spacing w:val="-2"/>
        </w:rPr>
        <w:t xml:space="preserve">and </w:t>
      </w:r>
      <w:r>
        <w:rPr>
          <w:spacing w:val="-4"/>
        </w:rPr>
        <w:t xml:space="preserve">recommendations </w:t>
      </w:r>
      <w:r>
        <w:rPr>
          <w:spacing w:val="-3"/>
        </w:rPr>
        <w:t xml:space="preserve">being made to </w:t>
      </w:r>
      <w:r>
        <w:t xml:space="preserve">the </w:t>
      </w:r>
      <w:r>
        <w:rPr>
          <w:spacing w:val="-4"/>
        </w:rPr>
        <w:t xml:space="preserve">Governing Council </w:t>
      </w:r>
      <w:r>
        <w:t xml:space="preserve">on matters </w:t>
      </w:r>
      <w:r>
        <w:rPr>
          <w:spacing w:val="-3"/>
        </w:rPr>
        <w:t xml:space="preserve">relevant to subcommittee </w:t>
      </w:r>
      <w:r>
        <w:t xml:space="preserve">Charter </w:t>
      </w:r>
      <w:r>
        <w:rPr>
          <w:spacing w:val="-3"/>
        </w:rPr>
        <w:t xml:space="preserve">to facilitate well-informed, </w:t>
      </w:r>
      <w:r>
        <w:t xml:space="preserve">efficient </w:t>
      </w:r>
      <w:r>
        <w:rPr>
          <w:spacing w:val="-2"/>
        </w:rPr>
        <w:t xml:space="preserve">and </w:t>
      </w:r>
      <w:r>
        <w:rPr>
          <w:spacing w:val="-3"/>
        </w:rPr>
        <w:t xml:space="preserve">effective </w:t>
      </w:r>
      <w:r>
        <w:rPr>
          <w:spacing w:val="-4"/>
        </w:rPr>
        <w:t xml:space="preserve">decision </w:t>
      </w:r>
      <w:r>
        <w:rPr>
          <w:spacing w:val="-3"/>
        </w:rPr>
        <w:t xml:space="preserve">making </w:t>
      </w:r>
      <w:r>
        <w:rPr>
          <w:spacing w:val="-4"/>
        </w:rPr>
        <w:t xml:space="preserve">by </w:t>
      </w:r>
      <w:r>
        <w:t xml:space="preserve">the </w:t>
      </w:r>
      <w:r>
        <w:rPr>
          <w:spacing w:val="-3"/>
        </w:rPr>
        <w:t xml:space="preserve">Governing </w:t>
      </w:r>
      <w:r>
        <w:rPr>
          <w:spacing w:val="-4"/>
        </w:rPr>
        <w:t xml:space="preserve">Council. </w:t>
      </w:r>
      <w:r>
        <w:t xml:space="preserve">There were no matters </w:t>
      </w:r>
      <w:r>
        <w:rPr>
          <w:spacing w:val="-3"/>
        </w:rPr>
        <w:t xml:space="preserve">considered </w:t>
      </w:r>
      <w:r>
        <w:rPr>
          <w:spacing w:val="-4"/>
        </w:rPr>
        <w:t xml:space="preserve">by </w:t>
      </w:r>
      <w:r>
        <w:t xml:space="preserve">the A&amp;RS </w:t>
      </w:r>
      <w:r>
        <w:rPr>
          <w:spacing w:val="-3"/>
        </w:rPr>
        <w:t xml:space="preserve">that </w:t>
      </w:r>
      <w:r>
        <w:rPr>
          <w:spacing w:val="-4"/>
        </w:rPr>
        <w:t xml:space="preserve">would </w:t>
      </w:r>
      <w:r>
        <w:rPr>
          <w:spacing w:val="-5"/>
        </w:rPr>
        <w:t xml:space="preserve">have </w:t>
      </w:r>
      <w:r>
        <w:t xml:space="preserve">a </w:t>
      </w:r>
      <w:r>
        <w:rPr>
          <w:spacing w:val="-3"/>
        </w:rPr>
        <w:t xml:space="preserve">material </w:t>
      </w:r>
      <w:r>
        <w:t xml:space="preserve">effect on the financial </w:t>
      </w:r>
      <w:r>
        <w:rPr>
          <w:spacing w:val="-4"/>
        </w:rPr>
        <w:t xml:space="preserve">condition </w:t>
      </w:r>
      <w:r>
        <w:t xml:space="preserve">or state </w:t>
      </w:r>
      <w:r>
        <w:rPr>
          <w:spacing w:val="-4"/>
        </w:rPr>
        <w:t xml:space="preserve">of </w:t>
      </w:r>
      <w:r>
        <w:t xml:space="preserve">affairs </w:t>
      </w:r>
      <w:r>
        <w:rPr>
          <w:spacing w:val="-4"/>
        </w:rPr>
        <w:t xml:space="preserve">of </w:t>
      </w:r>
      <w:r>
        <w:t>the THS.</w:t>
      </w:r>
    </w:p>
    <w:p w:rsidR="00707D71" w:rsidRDefault="00707D71" w:rsidP="00707D71">
      <w:pPr>
        <w:pStyle w:val="BodyText"/>
      </w:pPr>
      <w:r>
        <w:t xml:space="preserve">During the period </w:t>
      </w:r>
      <w:r>
        <w:rPr>
          <w:spacing w:val="-3"/>
        </w:rPr>
        <w:t xml:space="preserve">under review </w:t>
      </w:r>
      <w:r>
        <w:rPr>
          <w:spacing w:val="-10"/>
        </w:rPr>
        <w:t xml:space="preserve">2015/2016 </w:t>
      </w:r>
      <w:r>
        <w:t xml:space="preserve">financial </w:t>
      </w:r>
      <w:r>
        <w:rPr>
          <w:spacing w:val="-3"/>
        </w:rPr>
        <w:t xml:space="preserve">year </w:t>
      </w:r>
      <w:r>
        <w:t xml:space="preserve">the </w:t>
      </w:r>
      <w:r>
        <w:rPr>
          <w:spacing w:val="-3"/>
        </w:rPr>
        <w:t xml:space="preserve">subcommittee </w:t>
      </w:r>
      <w:r>
        <w:t xml:space="preserve">met with the external </w:t>
      </w:r>
      <w:r>
        <w:rPr>
          <w:spacing w:val="-2"/>
        </w:rPr>
        <w:t xml:space="preserve">and </w:t>
      </w:r>
      <w:r>
        <w:rPr>
          <w:spacing w:val="-3"/>
        </w:rPr>
        <w:t xml:space="preserve">internal </w:t>
      </w:r>
      <w:r>
        <w:t xml:space="preserve">auditors </w:t>
      </w:r>
      <w:r>
        <w:rPr>
          <w:spacing w:val="-3"/>
        </w:rPr>
        <w:t xml:space="preserve">to </w:t>
      </w:r>
      <w:r>
        <w:rPr>
          <w:spacing w:val="-4"/>
        </w:rPr>
        <w:t xml:space="preserve">consider </w:t>
      </w:r>
      <w:r>
        <w:t xml:space="preserve">financial reports, audit reports </w:t>
      </w:r>
      <w:r>
        <w:rPr>
          <w:spacing w:val="-2"/>
        </w:rPr>
        <w:t xml:space="preserve">and </w:t>
      </w:r>
      <w:r>
        <w:rPr>
          <w:spacing w:val="-3"/>
        </w:rPr>
        <w:t xml:space="preserve">progress </w:t>
      </w:r>
      <w:r>
        <w:t xml:space="preserve">on </w:t>
      </w:r>
      <w:r>
        <w:rPr>
          <w:spacing w:val="-4"/>
        </w:rPr>
        <w:t xml:space="preserve">addressing </w:t>
      </w:r>
      <w:r>
        <w:t xml:space="preserve">audit findings </w:t>
      </w:r>
      <w:r>
        <w:rPr>
          <w:spacing w:val="-2"/>
        </w:rPr>
        <w:t xml:space="preserve">and </w:t>
      </w:r>
      <w:r>
        <w:rPr>
          <w:spacing w:val="-3"/>
        </w:rPr>
        <w:t xml:space="preserve">recommendations, </w:t>
      </w:r>
      <w:r>
        <w:t xml:space="preserve">audit </w:t>
      </w:r>
      <w:r>
        <w:rPr>
          <w:spacing w:val="-4"/>
        </w:rPr>
        <w:t xml:space="preserve">plans </w:t>
      </w:r>
      <w:r>
        <w:rPr>
          <w:spacing w:val="-2"/>
        </w:rPr>
        <w:t xml:space="preserve">and </w:t>
      </w:r>
      <w:r>
        <w:t xml:space="preserve">project </w:t>
      </w:r>
      <w:r>
        <w:rPr>
          <w:spacing w:val="-3"/>
        </w:rPr>
        <w:t xml:space="preserve">scopes. </w:t>
      </w:r>
      <w:r>
        <w:t xml:space="preserve">An important </w:t>
      </w:r>
      <w:r>
        <w:rPr>
          <w:spacing w:val="-5"/>
        </w:rPr>
        <w:t xml:space="preserve">focus </w:t>
      </w:r>
      <w:r>
        <w:rPr>
          <w:spacing w:val="-4"/>
        </w:rPr>
        <w:t xml:space="preserve">for </w:t>
      </w:r>
      <w:r>
        <w:t xml:space="preserve">the </w:t>
      </w:r>
      <w:r>
        <w:rPr>
          <w:spacing w:val="-3"/>
        </w:rPr>
        <w:t xml:space="preserve">subcommittee </w:t>
      </w:r>
      <w:r>
        <w:t xml:space="preserve">was </w:t>
      </w:r>
      <w:r>
        <w:rPr>
          <w:spacing w:val="-3"/>
        </w:rPr>
        <w:t xml:space="preserve">overseeing developments </w:t>
      </w:r>
      <w:r>
        <w:t>in</w:t>
      </w:r>
      <w:r>
        <w:rPr>
          <w:spacing w:val="-39"/>
        </w:rPr>
        <w:t xml:space="preserve"> </w:t>
      </w:r>
      <w:r>
        <w:t xml:space="preserve">the </w:t>
      </w:r>
      <w:r>
        <w:rPr>
          <w:spacing w:val="-4"/>
        </w:rPr>
        <w:t xml:space="preserve">consolidation of </w:t>
      </w:r>
      <w:r>
        <w:t xml:space="preserve">the three </w:t>
      </w:r>
      <w:r>
        <w:rPr>
          <w:spacing w:val="-3"/>
        </w:rPr>
        <w:t xml:space="preserve">THOs </w:t>
      </w:r>
      <w:r>
        <w:t xml:space="preserve">risk </w:t>
      </w:r>
      <w:r>
        <w:rPr>
          <w:spacing w:val="-3"/>
        </w:rPr>
        <w:t xml:space="preserve">management </w:t>
      </w:r>
      <w:r>
        <w:t xml:space="preserve">systems </w:t>
      </w:r>
      <w:r>
        <w:rPr>
          <w:spacing w:val="-3"/>
        </w:rPr>
        <w:t xml:space="preserve">to </w:t>
      </w:r>
      <w:r>
        <w:t xml:space="preserve">establish a statewide risk </w:t>
      </w:r>
      <w:r>
        <w:rPr>
          <w:spacing w:val="-3"/>
        </w:rPr>
        <w:t xml:space="preserve">management </w:t>
      </w:r>
      <w:r>
        <w:t>framework</w:t>
      </w:r>
      <w:r>
        <w:rPr>
          <w:spacing w:val="-11"/>
        </w:rPr>
        <w:t xml:space="preserve"> </w:t>
      </w:r>
      <w:r>
        <w:rPr>
          <w:spacing w:val="-4"/>
        </w:rPr>
        <w:t>for</w:t>
      </w:r>
      <w:r>
        <w:rPr>
          <w:spacing w:val="-11"/>
        </w:rPr>
        <w:t xml:space="preserve"> </w:t>
      </w:r>
      <w:r>
        <w:t>the</w:t>
      </w:r>
      <w:r>
        <w:rPr>
          <w:spacing w:val="-11"/>
        </w:rPr>
        <w:t xml:space="preserve"> </w:t>
      </w:r>
      <w:r>
        <w:t>THS,</w:t>
      </w:r>
      <w:r>
        <w:rPr>
          <w:spacing w:val="-11"/>
        </w:rPr>
        <w:t xml:space="preserve"> </w:t>
      </w:r>
      <w:r>
        <w:t>as</w:t>
      </w:r>
      <w:r>
        <w:rPr>
          <w:spacing w:val="-11"/>
        </w:rPr>
        <w:t xml:space="preserve"> </w:t>
      </w:r>
      <w:r>
        <w:rPr>
          <w:spacing w:val="-4"/>
        </w:rPr>
        <w:t>well</w:t>
      </w:r>
      <w:r>
        <w:rPr>
          <w:spacing w:val="-11"/>
        </w:rPr>
        <w:t xml:space="preserve"> </w:t>
      </w:r>
      <w:r>
        <w:t>as</w:t>
      </w:r>
      <w:r>
        <w:rPr>
          <w:spacing w:val="-11"/>
        </w:rPr>
        <w:t xml:space="preserve"> </w:t>
      </w:r>
      <w:r>
        <w:t>the</w:t>
      </w:r>
      <w:r>
        <w:rPr>
          <w:spacing w:val="-11"/>
        </w:rPr>
        <w:t xml:space="preserve"> </w:t>
      </w:r>
      <w:r>
        <w:rPr>
          <w:spacing w:val="-3"/>
        </w:rPr>
        <w:t>creation</w:t>
      </w:r>
      <w:r>
        <w:rPr>
          <w:spacing w:val="-11"/>
        </w:rPr>
        <w:t xml:space="preserve"> </w:t>
      </w:r>
      <w:r>
        <w:rPr>
          <w:spacing w:val="-4"/>
        </w:rPr>
        <w:t xml:space="preserve">of </w:t>
      </w:r>
      <w:r>
        <w:t xml:space="preserve">a </w:t>
      </w:r>
      <w:r>
        <w:rPr>
          <w:spacing w:val="-4"/>
        </w:rPr>
        <w:t xml:space="preserve">comprehensive compliance register. </w:t>
      </w:r>
      <w:r>
        <w:rPr>
          <w:spacing w:val="-3"/>
        </w:rPr>
        <w:t xml:space="preserve">Progress </w:t>
      </w:r>
      <w:r>
        <w:t xml:space="preserve">in </w:t>
      </w:r>
      <w:r>
        <w:rPr>
          <w:spacing w:val="-3"/>
        </w:rPr>
        <w:t>both these</w:t>
      </w:r>
      <w:r>
        <w:rPr>
          <w:spacing w:val="-10"/>
        </w:rPr>
        <w:t xml:space="preserve"> </w:t>
      </w:r>
      <w:r>
        <w:rPr>
          <w:spacing w:val="-3"/>
        </w:rPr>
        <w:t>significant</w:t>
      </w:r>
      <w:r>
        <w:rPr>
          <w:spacing w:val="-10"/>
        </w:rPr>
        <w:t xml:space="preserve"> </w:t>
      </w:r>
      <w:r>
        <w:t>areas</w:t>
      </w:r>
      <w:r>
        <w:rPr>
          <w:spacing w:val="-10"/>
        </w:rPr>
        <w:t xml:space="preserve"> </w:t>
      </w:r>
      <w:r>
        <w:t>has</w:t>
      </w:r>
      <w:r>
        <w:rPr>
          <w:spacing w:val="-10"/>
        </w:rPr>
        <w:t xml:space="preserve"> </w:t>
      </w:r>
      <w:r>
        <w:t>been</w:t>
      </w:r>
      <w:r>
        <w:rPr>
          <w:spacing w:val="-10"/>
        </w:rPr>
        <w:t xml:space="preserve"> </w:t>
      </w:r>
      <w:r>
        <w:rPr>
          <w:spacing w:val="-3"/>
        </w:rPr>
        <w:t>solid.</w:t>
      </w:r>
      <w:r>
        <w:rPr>
          <w:spacing w:val="-10"/>
        </w:rPr>
        <w:t xml:space="preserve"> </w:t>
      </w:r>
      <w:r>
        <w:t>In</w:t>
      </w:r>
      <w:r>
        <w:rPr>
          <w:spacing w:val="-10"/>
        </w:rPr>
        <w:t xml:space="preserve"> </w:t>
      </w:r>
      <w:r>
        <w:rPr>
          <w:spacing w:val="-3"/>
        </w:rPr>
        <w:t>addition,</w:t>
      </w:r>
      <w:r>
        <w:rPr>
          <w:spacing w:val="-10"/>
        </w:rPr>
        <w:t xml:space="preserve"> </w:t>
      </w:r>
      <w:r>
        <w:t xml:space="preserve">the A&amp;RS has an important role in </w:t>
      </w:r>
      <w:r>
        <w:rPr>
          <w:spacing w:val="-3"/>
        </w:rPr>
        <w:t xml:space="preserve">ensuring </w:t>
      </w:r>
      <w:r>
        <w:t xml:space="preserve">there is a </w:t>
      </w:r>
      <w:r>
        <w:rPr>
          <w:spacing w:val="-3"/>
        </w:rPr>
        <w:t xml:space="preserve">sound </w:t>
      </w:r>
      <w:r>
        <w:t xml:space="preserve">risk </w:t>
      </w:r>
      <w:r>
        <w:rPr>
          <w:spacing w:val="-3"/>
        </w:rPr>
        <w:t xml:space="preserve">management culture </w:t>
      </w:r>
      <w:r>
        <w:t xml:space="preserve">in the </w:t>
      </w:r>
      <w:r>
        <w:rPr>
          <w:spacing w:val="-3"/>
        </w:rPr>
        <w:t xml:space="preserve">business. </w:t>
      </w:r>
      <w:r>
        <w:rPr>
          <w:spacing w:val="-12"/>
        </w:rPr>
        <w:t xml:space="preserve">To </w:t>
      </w:r>
      <w:r>
        <w:rPr>
          <w:spacing w:val="-5"/>
        </w:rPr>
        <w:t xml:space="preserve">monitor, </w:t>
      </w:r>
      <w:r>
        <w:t xml:space="preserve">appraise </w:t>
      </w:r>
      <w:r>
        <w:rPr>
          <w:spacing w:val="-2"/>
        </w:rPr>
        <w:t xml:space="preserve">and </w:t>
      </w:r>
      <w:r>
        <w:rPr>
          <w:spacing w:val="-3"/>
        </w:rPr>
        <w:t xml:space="preserve">influence </w:t>
      </w:r>
      <w:r>
        <w:t xml:space="preserve">the risk </w:t>
      </w:r>
      <w:r>
        <w:rPr>
          <w:spacing w:val="-3"/>
        </w:rPr>
        <w:t xml:space="preserve">culture </w:t>
      </w:r>
      <w:r>
        <w:t xml:space="preserve">the </w:t>
      </w:r>
      <w:r>
        <w:rPr>
          <w:spacing w:val="-3"/>
        </w:rPr>
        <w:t xml:space="preserve">subcommittee received </w:t>
      </w:r>
      <w:r>
        <w:t>briefings from</w:t>
      </w:r>
      <w:r>
        <w:rPr>
          <w:spacing w:val="-45"/>
        </w:rPr>
        <w:t xml:space="preserve"> </w:t>
      </w:r>
      <w:r>
        <w:t xml:space="preserve">THS </w:t>
      </w:r>
      <w:r>
        <w:rPr>
          <w:spacing w:val="-3"/>
        </w:rPr>
        <w:t xml:space="preserve">senior management to ensure all </w:t>
      </w:r>
      <w:r>
        <w:t xml:space="preserve">members </w:t>
      </w:r>
      <w:r>
        <w:rPr>
          <w:spacing w:val="-4"/>
        </w:rPr>
        <w:t xml:space="preserve">of </w:t>
      </w:r>
      <w:r>
        <w:t xml:space="preserve">the </w:t>
      </w:r>
      <w:r>
        <w:rPr>
          <w:spacing w:val="-3"/>
        </w:rPr>
        <w:t xml:space="preserve">subcommittee </w:t>
      </w:r>
      <w:r>
        <w:rPr>
          <w:spacing w:val="-5"/>
        </w:rPr>
        <w:t xml:space="preserve">have </w:t>
      </w:r>
      <w:r>
        <w:t xml:space="preserve">a </w:t>
      </w:r>
      <w:r>
        <w:rPr>
          <w:spacing w:val="-3"/>
        </w:rPr>
        <w:t xml:space="preserve">broad understanding </w:t>
      </w:r>
      <w:r>
        <w:rPr>
          <w:spacing w:val="-4"/>
        </w:rPr>
        <w:t xml:space="preserve">of </w:t>
      </w:r>
      <w:r>
        <w:t xml:space="preserve">the </w:t>
      </w:r>
      <w:r>
        <w:rPr>
          <w:spacing w:val="-4"/>
        </w:rPr>
        <w:t xml:space="preserve">organisation’s </w:t>
      </w:r>
      <w:r>
        <w:t xml:space="preserve">structure, </w:t>
      </w:r>
      <w:r>
        <w:rPr>
          <w:spacing w:val="-3"/>
        </w:rPr>
        <w:t xml:space="preserve">business </w:t>
      </w:r>
      <w:r>
        <w:rPr>
          <w:spacing w:val="-2"/>
        </w:rPr>
        <w:t xml:space="preserve">and </w:t>
      </w:r>
      <w:r>
        <w:t xml:space="preserve">risk </w:t>
      </w:r>
      <w:r>
        <w:rPr>
          <w:spacing w:val="-3"/>
        </w:rPr>
        <w:t xml:space="preserve">management environment, </w:t>
      </w:r>
      <w:r>
        <w:rPr>
          <w:spacing w:val="-4"/>
        </w:rPr>
        <w:t xml:space="preserve">policies, </w:t>
      </w:r>
      <w:r>
        <w:rPr>
          <w:spacing w:val="-3"/>
        </w:rPr>
        <w:t xml:space="preserve">plans </w:t>
      </w:r>
      <w:r>
        <w:rPr>
          <w:spacing w:val="-2"/>
        </w:rPr>
        <w:t xml:space="preserve">and </w:t>
      </w:r>
      <w:r>
        <w:t>practices.</w:t>
      </w:r>
    </w:p>
    <w:p w:rsidR="00707D71" w:rsidRDefault="00707D71" w:rsidP="00707D71">
      <w:pPr>
        <w:pStyle w:val="BodyText"/>
        <w:spacing w:before="159" w:line="268" w:lineRule="auto"/>
        <w:ind w:right="400"/>
      </w:pPr>
      <w:r>
        <w:t xml:space="preserve">The </w:t>
      </w:r>
      <w:r>
        <w:rPr>
          <w:spacing w:val="-3"/>
        </w:rPr>
        <w:t xml:space="preserve">subcommittee reviews </w:t>
      </w:r>
      <w:r>
        <w:t xml:space="preserve">its Charter </w:t>
      </w:r>
      <w:r>
        <w:rPr>
          <w:spacing w:val="-4"/>
        </w:rPr>
        <w:t xml:space="preserve">(Terms of </w:t>
      </w:r>
      <w:r>
        <w:rPr>
          <w:spacing w:val="-5"/>
        </w:rPr>
        <w:t xml:space="preserve">Reference) </w:t>
      </w:r>
      <w:r>
        <w:rPr>
          <w:spacing w:val="-3"/>
        </w:rPr>
        <w:t xml:space="preserve">annually to ensure </w:t>
      </w:r>
      <w:r>
        <w:t xml:space="preserve">it articulates the </w:t>
      </w:r>
      <w:r>
        <w:rPr>
          <w:spacing w:val="-3"/>
        </w:rPr>
        <w:t xml:space="preserve">A&amp;RS’s responsibilities </w:t>
      </w:r>
      <w:r>
        <w:rPr>
          <w:spacing w:val="-2"/>
        </w:rPr>
        <w:t xml:space="preserve">and </w:t>
      </w:r>
      <w:r>
        <w:rPr>
          <w:spacing w:val="-3"/>
        </w:rPr>
        <w:t xml:space="preserve">facilitates </w:t>
      </w:r>
      <w:r>
        <w:rPr>
          <w:spacing w:val="-4"/>
        </w:rPr>
        <w:t xml:space="preserve">and </w:t>
      </w:r>
      <w:r>
        <w:t xml:space="preserve">supports the </w:t>
      </w:r>
      <w:r>
        <w:rPr>
          <w:spacing w:val="-3"/>
        </w:rPr>
        <w:t xml:space="preserve">effective </w:t>
      </w:r>
      <w:r>
        <w:rPr>
          <w:spacing w:val="-2"/>
        </w:rPr>
        <w:t xml:space="preserve">and </w:t>
      </w:r>
      <w:r>
        <w:t xml:space="preserve">efficient operation </w:t>
      </w:r>
      <w:r>
        <w:rPr>
          <w:spacing w:val="-4"/>
        </w:rPr>
        <w:t xml:space="preserve">of </w:t>
      </w:r>
      <w:r>
        <w:t xml:space="preserve">the </w:t>
      </w:r>
      <w:r>
        <w:rPr>
          <w:spacing w:val="-3"/>
        </w:rPr>
        <w:t xml:space="preserve">subcommittee. </w:t>
      </w:r>
      <w:r>
        <w:t xml:space="preserve">In </w:t>
      </w:r>
      <w:r>
        <w:rPr>
          <w:spacing w:val="-3"/>
        </w:rPr>
        <w:t xml:space="preserve">addition, </w:t>
      </w:r>
      <w:r>
        <w:t xml:space="preserve">an </w:t>
      </w:r>
      <w:r>
        <w:rPr>
          <w:spacing w:val="-3"/>
        </w:rPr>
        <w:t xml:space="preserve">annual self-evaluation </w:t>
      </w:r>
      <w:r>
        <w:rPr>
          <w:spacing w:val="-4"/>
        </w:rPr>
        <w:t xml:space="preserve">of </w:t>
      </w:r>
      <w:r>
        <w:t xml:space="preserve">the </w:t>
      </w:r>
      <w:r>
        <w:rPr>
          <w:spacing w:val="-3"/>
        </w:rPr>
        <w:t xml:space="preserve">subcommittees </w:t>
      </w:r>
      <w:r>
        <w:t xml:space="preserve">performance </w:t>
      </w:r>
      <w:r>
        <w:rPr>
          <w:spacing w:val="-3"/>
        </w:rPr>
        <w:t xml:space="preserve">against </w:t>
      </w:r>
      <w:r>
        <w:t xml:space="preserve">the </w:t>
      </w:r>
      <w:r>
        <w:rPr>
          <w:spacing w:val="-3"/>
        </w:rPr>
        <w:t xml:space="preserve">duties </w:t>
      </w:r>
      <w:r>
        <w:rPr>
          <w:spacing w:val="-2"/>
        </w:rPr>
        <w:t xml:space="preserve">and </w:t>
      </w:r>
      <w:r>
        <w:rPr>
          <w:spacing w:val="-3"/>
        </w:rPr>
        <w:t xml:space="preserve">responsibilities </w:t>
      </w:r>
      <w:r>
        <w:t xml:space="preserve">specified in the A&amp;RS Charter </w:t>
      </w:r>
      <w:r>
        <w:rPr>
          <w:spacing w:val="-4"/>
        </w:rPr>
        <w:t xml:space="preserve">(Terms of </w:t>
      </w:r>
      <w:r>
        <w:rPr>
          <w:spacing w:val="-5"/>
        </w:rPr>
        <w:t xml:space="preserve">Reference) </w:t>
      </w:r>
      <w:r>
        <w:t xml:space="preserve">is undertaken with the results reported </w:t>
      </w:r>
      <w:r>
        <w:rPr>
          <w:spacing w:val="-3"/>
        </w:rPr>
        <w:t xml:space="preserve">to </w:t>
      </w:r>
      <w:r>
        <w:t xml:space="preserve">the </w:t>
      </w:r>
      <w:r>
        <w:rPr>
          <w:spacing w:val="-3"/>
        </w:rPr>
        <w:t xml:space="preserve">Governing </w:t>
      </w:r>
      <w:r>
        <w:rPr>
          <w:spacing w:val="-4"/>
        </w:rPr>
        <w:t>Council.</w:t>
      </w:r>
    </w:p>
    <w:p w:rsidR="00707D71" w:rsidRPr="00E730AE" w:rsidRDefault="00707D71" w:rsidP="00707D71">
      <w:pPr>
        <w:spacing w:before="150"/>
      </w:pPr>
      <w:r>
        <w:rPr>
          <w:rFonts w:ascii="GillSans-SemiBold"/>
          <w:b/>
        </w:rPr>
        <w:t>Mark Scanlon</w:t>
      </w:r>
      <w:r>
        <w:rPr>
          <w:rFonts w:ascii="GillSans-SemiBold"/>
          <w:b/>
        </w:rPr>
        <w:br/>
      </w:r>
      <w:r>
        <w:t>Chair</w:t>
      </w:r>
    </w:p>
    <w:p w:rsidR="00707D71" w:rsidRDefault="00707D71">
      <w:pPr>
        <w:rPr>
          <w:rFonts w:ascii="Gill Sans MT" w:eastAsia="GillSans-Light" w:hAnsi="Gill Sans MT" w:cs="GillSans-Light"/>
          <w:lang w:val="en-US"/>
        </w:rPr>
      </w:pPr>
      <w:r>
        <w:br w:type="page"/>
      </w:r>
    </w:p>
    <w:p w:rsidR="00E730AE" w:rsidRDefault="00707D71" w:rsidP="00707D71">
      <w:pPr>
        <w:pStyle w:val="Heading4"/>
      </w:pPr>
      <w:r>
        <w:lastRenderedPageBreak/>
        <w:t>Financial Management and Performance Subcomittee</w:t>
      </w:r>
    </w:p>
    <w:p w:rsidR="00707D71" w:rsidRDefault="00707D71" w:rsidP="00707D71">
      <w:pPr>
        <w:pStyle w:val="BodyText"/>
        <w:spacing w:before="186" w:line="268" w:lineRule="auto"/>
        <w:ind w:right="28"/>
      </w:pPr>
      <w:r>
        <w:t xml:space="preserve">The FMPSC is the </w:t>
      </w:r>
      <w:r>
        <w:rPr>
          <w:spacing w:val="-3"/>
        </w:rPr>
        <w:t xml:space="preserve">subcommittee </w:t>
      </w:r>
      <w:r>
        <w:rPr>
          <w:spacing w:val="-4"/>
        </w:rPr>
        <w:t xml:space="preserve">of </w:t>
      </w:r>
      <w:r>
        <w:t xml:space="preserve">the </w:t>
      </w:r>
      <w:r>
        <w:rPr>
          <w:spacing w:val="-4"/>
        </w:rPr>
        <w:t xml:space="preserve">Governing Council </w:t>
      </w:r>
      <w:r>
        <w:rPr>
          <w:spacing w:val="-3"/>
        </w:rPr>
        <w:t xml:space="preserve">charged </w:t>
      </w:r>
      <w:r>
        <w:t xml:space="preserve">with </w:t>
      </w:r>
      <w:r>
        <w:rPr>
          <w:spacing w:val="-3"/>
        </w:rPr>
        <w:t xml:space="preserve">overseeing </w:t>
      </w:r>
      <w:r>
        <w:t xml:space="preserve">the financial </w:t>
      </w:r>
      <w:r>
        <w:rPr>
          <w:spacing w:val="-2"/>
        </w:rPr>
        <w:t xml:space="preserve">and </w:t>
      </w:r>
      <w:r>
        <w:t xml:space="preserve">service performance </w:t>
      </w:r>
      <w:r>
        <w:rPr>
          <w:spacing w:val="-4"/>
        </w:rPr>
        <w:t xml:space="preserve">of </w:t>
      </w:r>
      <w:r>
        <w:t xml:space="preserve">the THS </w:t>
      </w:r>
      <w:r>
        <w:rPr>
          <w:spacing w:val="-2"/>
        </w:rPr>
        <w:t xml:space="preserve">and </w:t>
      </w:r>
      <w:r>
        <w:rPr>
          <w:spacing w:val="-4"/>
        </w:rPr>
        <w:t xml:space="preserve">providing recommendations </w:t>
      </w:r>
      <w:r>
        <w:rPr>
          <w:spacing w:val="-3"/>
        </w:rPr>
        <w:t xml:space="preserve">to </w:t>
      </w:r>
      <w:r>
        <w:t xml:space="preserve">the </w:t>
      </w:r>
      <w:r>
        <w:rPr>
          <w:spacing w:val="-3"/>
        </w:rPr>
        <w:t xml:space="preserve">Governing </w:t>
      </w:r>
      <w:r>
        <w:rPr>
          <w:spacing w:val="-4"/>
        </w:rPr>
        <w:t xml:space="preserve">Council </w:t>
      </w:r>
      <w:r>
        <w:t xml:space="preserve">on </w:t>
      </w:r>
      <w:r>
        <w:rPr>
          <w:spacing w:val="-3"/>
        </w:rPr>
        <w:t xml:space="preserve">this </w:t>
      </w:r>
      <w:r>
        <w:t>performance.</w:t>
      </w:r>
    </w:p>
    <w:p w:rsidR="00707D71" w:rsidRDefault="00707D71" w:rsidP="00707D71">
      <w:pPr>
        <w:pStyle w:val="BodyText"/>
        <w:spacing w:before="160" w:line="268" w:lineRule="auto"/>
        <w:ind w:right="167"/>
      </w:pPr>
      <w:r>
        <w:t xml:space="preserve">Its primary </w:t>
      </w:r>
      <w:r>
        <w:rPr>
          <w:spacing w:val="-5"/>
        </w:rPr>
        <w:t xml:space="preserve">focus </w:t>
      </w:r>
      <w:r>
        <w:t xml:space="preserve">is the </w:t>
      </w:r>
      <w:r>
        <w:rPr>
          <w:spacing w:val="-3"/>
        </w:rPr>
        <w:t xml:space="preserve">budget management </w:t>
      </w:r>
      <w:r>
        <w:rPr>
          <w:spacing w:val="-4"/>
        </w:rPr>
        <w:t xml:space="preserve">of </w:t>
      </w:r>
      <w:r>
        <w:t xml:space="preserve">the </w:t>
      </w:r>
      <w:r>
        <w:rPr>
          <w:spacing w:val="-3"/>
        </w:rPr>
        <w:t xml:space="preserve">organisation </w:t>
      </w:r>
      <w:r>
        <w:rPr>
          <w:spacing w:val="-2"/>
        </w:rPr>
        <w:t xml:space="preserve">and </w:t>
      </w:r>
      <w:r>
        <w:t xml:space="preserve">the delivery </w:t>
      </w:r>
      <w:r>
        <w:rPr>
          <w:spacing w:val="-4"/>
        </w:rPr>
        <w:t xml:space="preserve">of </w:t>
      </w:r>
      <w:r>
        <w:t xml:space="preserve">the THS Service </w:t>
      </w:r>
      <w:r>
        <w:rPr>
          <w:spacing w:val="-3"/>
        </w:rPr>
        <w:t xml:space="preserve">Agreement </w:t>
      </w:r>
      <w:r>
        <w:t xml:space="preserve">performance </w:t>
      </w:r>
      <w:r>
        <w:rPr>
          <w:spacing w:val="-4"/>
        </w:rPr>
        <w:t xml:space="preserve">obligations </w:t>
      </w:r>
      <w:r>
        <w:rPr>
          <w:spacing w:val="-2"/>
        </w:rPr>
        <w:t xml:space="preserve">and </w:t>
      </w:r>
      <w:r>
        <w:t>targets.</w:t>
      </w:r>
    </w:p>
    <w:p w:rsidR="00707D71" w:rsidRDefault="00707D71" w:rsidP="00707D71">
      <w:pPr>
        <w:pStyle w:val="BodyText"/>
        <w:spacing w:before="160" w:line="268" w:lineRule="auto"/>
        <w:ind w:right="400"/>
      </w:pPr>
      <w:r>
        <w:t xml:space="preserve">The Service </w:t>
      </w:r>
      <w:r>
        <w:rPr>
          <w:spacing w:val="-3"/>
        </w:rPr>
        <w:t xml:space="preserve">Agreement </w:t>
      </w:r>
      <w:r>
        <w:t xml:space="preserve">sets out the </w:t>
      </w:r>
      <w:r>
        <w:rPr>
          <w:spacing w:val="-4"/>
        </w:rPr>
        <w:t xml:space="preserve">funding available </w:t>
      </w:r>
      <w:r>
        <w:rPr>
          <w:spacing w:val="-3"/>
        </w:rPr>
        <w:t xml:space="preserve">to </w:t>
      </w:r>
      <w:r>
        <w:t xml:space="preserve">the THS </w:t>
      </w:r>
      <w:r>
        <w:rPr>
          <w:spacing w:val="-3"/>
        </w:rPr>
        <w:t xml:space="preserve">to deliver agreed </w:t>
      </w:r>
      <w:r>
        <w:t xml:space="preserve">activity targets </w:t>
      </w:r>
      <w:r>
        <w:rPr>
          <w:spacing w:val="-2"/>
        </w:rPr>
        <w:t xml:space="preserve">and </w:t>
      </w:r>
      <w:r>
        <w:t xml:space="preserve">performance </w:t>
      </w:r>
      <w:r>
        <w:rPr>
          <w:spacing w:val="-3"/>
        </w:rPr>
        <w:t>indicators.</w:t>
      </w:r>
    </w:p>
    <w:p w:rsidR="00707D71" w:rsidRDefault="00707D71" w:rsidP="00707D71">
      <w:pPr>
        <w:pStyle w:val="BodyText"/>
        <w:spacing w:before="192" w:line="268" w:lineRule="auto"/>
      </w:pPr>
      <w:r>
        <w:t xml:space="preserve">The Committee met </w:t>
      </w:r>
      <w:r>
        <w:rPr>
          <w:spacing w:val="-3"/>
        </w:rPr>
        <w:t xml:space="preserve">monthly </w:t>
      </w:r>
      <w:r>
        <w:t xml:space="preserve">during </w:t>
      </w:r>
      <w:r>
        <w:rPr>
          <w:spacing w:val="-9"/>
        </w:rPr>
        <w:t xml:space="preserve">2015-16. </w:t>
      </w:r>
      <w:r>
        <w:rPr>
          <w:spacing w:val="-4"/>
        </w:rPr>
        <w:t xml:space="preserve">At </w:t>
      </w:r>
      <w:r>
        <w:rPr>
          <w:spacing w:val="-3"/>
        </w:rPr>
        <w:t xml:space="preserve">each meeting </w:t>
      </w:r>
      <w:r>
        <w:t xml:space="preserve">it </w:t>
      </w:r>
      <w:r>
        <w:rPr>
          <w:spacing w:val="-4"/>
        </w:rPr>
        <w:t xml:space="preserve">considered </w:t>
      </w:r>
      <w:r>
        <w:t xml:space="preserve">the </w:t>
      </w:r>
      <w:r>
        <w:rPr>
          <w:spacing w:val="-3"/>
        </w:rPr>
        <w:t xml:space="preserve">latest monthly </w:t>
      </w:r>
      <w:r>
        <w:t xml:space="preserve">financial report, trends in service </w:t>
      </w:r>
      <w:r>
        <w:rPr>
          <w:spacing w:val="-3"/>
        </w:rPr>
        <w:t xml:space="preserve">activity, </w:t>
      </w:r>
      <w:r>
        <w:rPr>
          <w:spacing w:val="-4"/>
        </w:rPr>
        <w:t xml:space="preserve">key </w:t>
      </w:r>
      <w:r>
        <w:t xml:space="preserve">financial </w:t>
      </w:r>
      <w:r>
        <w:rPr>
          <w:spacing w:val="-3"/>
        </w:rPr>
        <w:t xml:space="preserve">aggregates </w:t>
      </w:r>
      <w:r>
        <w:rPr>
          <w:spacing w:val="-2"/>
        </w:rPr>
        <w:t xml:space="preserve">and </w:t>
      </w:r>
      <w:r>
        <w:rPr>
          <w:spacing w:val="-4"/>
        </w:rPr>
        <w:t xml:space="preserve">employment </w:t>
      </w:r>
      <w:r>
        <w:rPr>
          <w:spacing w:val="-3"/>
        </w:rPr>
        <w:t xml:space="preserve">levels, </w:t>
      </w:r>
      <w:r>
        <w:rPr>
          <w:spacing w:val="-2"/>
        </w:rPr>
        <w:t xml:space="preserve">and </w:t>
      </w:r>
      <w:r>
        <w:rPr>
          <w:spacing w:val="-3"/>
        </w:rPr>
        <w:t xml:space="preserve">progress against </w:t>
      </w:r>
      <w:r>
        <w:t xml:space="preserve">the service performance </w:t>
      </w:r>
      <w:r>
        <w:rPr>
          <w:spacing w:val="-3"/>
        </w:rPr>
        <w:t xml:space="preserve">measures set </w:t>
      </w:r>
      <w:r>
        <w:t xml:space="preserve">out </w:t>
      </w:r>
      <w:proofErr w:type="gramStart"/>
      <w:r>
        <w:t xml:space="preserve">in the </w:t>
      </w:r>
      <w:r>
        <w:rPr>
          <w:spacing w:val="-11"/>
        </w:rPr>
        <w:t xml:space="preserve">2015-16 </w:t>
      </w:r>
      <w:r>
        <w:t>Service Agreement</w:t>
      </w:r>
      <w:proofErr w:type="gramEnd"/>
      <w:r>
        <w:t xml:space="preserve">. In </w:t>
      </w:r>
      <w:r>
        <w:rPr>
          <w:spacing w:val="-3"/>
        </w:rPr>
        <w:t xml:space="preserve">addition, </w:t>
      </w:r>
      <w:r>
        <w:t xml:space="preserve">it </w:t>
      </w:r>
      <w:r>
        <w:rPr>
          <w:spacing w:val="-3"/>
        </w:rPr>
        <w:t xml:space="preserve">considered </w:t>
      </w:r>
      <w:r>
        <w:t xml:space="preserve">or </w:t>
      </w:r>
      <w:r>
        <w:rPr>
          <w:spacing w:val="-3"/>
        </w:rPr>
        <w:t xml:space="preserve">reviewed </w:t>
      </w:r>
      <w:r>
        <w:t xml:space="preserve">specific </w:t>
      </w:r>
      <w:r>
        <w:rPr>
          <w:spacing w:val="-3"/>
        </w:rPr>
        <w:t xml:space="preserve">issues impacting </w:t>
      </w:r>
      <w:r>
        <w:t xml:space="preserve">on the </w:t>
      </w:r>
      <w:r>
        <w:rPr>
          <w:spacing w:val="-3"/>
        </w:rPr>
        <w:t xml:space="preserve">overall </w:t>
      </w:r>
      <w:r>
        <w:t xml:space="preserve">performance </w:t>
      </w:r>
      <w:r>
        <w:rPr>
          <w:spacing w:val="-4"/>
        </w:rPr>
        <w:t xml:space="preserve">of </w:t>
      </w:r>
      <w:r>
        <w:t xml:space="preserve">the THS </w:t>
      </w:r>
      <w:r>
        <w:rPr>
          <w:spacing w:val="-4"/>
        </w:rPr>
        <w:t xml:space="preserve">including </w:t>
      </w:r>
      <w:r>
        <w:t xml:space="preserve">the delivery </w:t>
      </w:r>
      <w:r>
        <w:rPr>
          <w:spacing w:val="-4"/>
        </w:rPr>
        <w:t xml:space="preserve">of </w:t>
      </w:r>
      <w:r>
        <w:rPr>
          <w:spacing w:val="-3"/>
        </w:rPr>
        <w:t xml:space="preserve">elective </w:t>
      </w:r>
      <w:r>
        <w:t xml:space="preserve">surgery </w:t>
      </w:r>
      <w:r>
        <w:rPr>
          <w:spacing w:val="-2"/>
        </w:rPr>
        <w:t xml:space="preserve">and </w:t>
      </w:r>
      <w:r>
        <w:rPr>
          <w:spacing w:val="-5"/>
        </w:rPr>
        <w:t xml:space="preserve">access </w:t>
      </w:r>
      <w:r>
        <w:rPr>
          <w:spacing w:val="-3"/>
        </w:rPr>
        <w:t xml:space="preserve">to </w:t>
      </w:r>
      <w:r>
        <w:t xml:space="preserve">emergency care targets, </w:t>
      </w:r>
      <w:r>
        <w:rPr>
          <w:spacing w:val="-3"/>
        </w:rPr>
        <w:t xml:space="preserve">new major </w:t>
      </w:r>
      <w:r>
        <w:t>contracts or contract</w:t>
      </w:r>
      <w:r>
        <w:rPr>
          <w:spacing w:val="-13"/>
        </w:rPr>
        <w:t xml:space="preserve"> </w:t>
      </w:r>
      <w:r>
        <w:rPr>
          <w:spacing w:val="-3"/>
        </w:rPr>
        <w:t>renewals</w:t>
      </w:r>
      <w:r>
        <w:rPr>
          <w:spacing w:val="-13"/>
        </w:rPr>
        <w:t xml:space="preserve"> </w:t>
      </w:r>
      <w:r>
        <w:rPr>
          <w:spacing w:val="-4"/>
        </w:rPr>
        <w:t>for</w:t>
      </w:r>
      <w:r>
        <w:rPr>
          <w:spacing w:val="-13"/>
        </w:rPr>
        <w:t xml:space="preserve"> </w:t>
      </w:r>
      <w:r>
        <w:t>services</w:t>
      </w:r>
      <w:r>
        <w:rPr>
          <w:spacing w:val="-13"/>
        </w:rPr>
        <w:t xml:space="preserve"> </w:t>
      </w:r>
      <w:r>
        <w:t>with</w:t>
      </w:r>
      <w:r>
        <w:rPr>
          <w:spacing w:val="-13"/>
        </w:rPr>
        <w:t xml:space="preserve"> </w:t>
      </w:r>
      <w:r>
        <w:t>a</w:t>
      </w:r>
      <w:r>
        <w:rPr>
          <w:spacing w:val="-13"/>
        </w:rPr>
        <w:t xml:space="preserve"> </w:t>
      </w:r>
      <w:r>
        <w:rPr>
          <w:spacing w:val="-3"/>
        </w:rPr>
        <w:t>cost</w:t>
      </w:r>
      <w:r>
        <w:rPr>
          <w:spacing w:val="-13"/>
        </w:rPr>
        <w:t xml:space="preserve"> </w:t>
      </w:r>
      <w:r>
        <w:t>in</w:t>
      </w:r>
      <w:r>
        <w:rPr>
          <w:spacing w:val="-13"/>
        </w:rPr>
        <w:t xml:space="preserve"> </w:t>
      </w:r>
      <w:r>
        <w:rPr>
          <w:spacing w:val="-4"/>
        </w:rPr>
        <w:t xml:space="preserve">excess of </w:t>
      </w:r>
      <w:r>
        <w:rPr>
          <w:spacing w:val="-9"/>
        </w:rPr>
        <w:t xml:space="preserve">$1m, </w:t>
      </w:r>
      <w:r>
        <w:rPr>
          <w:spacing w:val="-2"/>
        </w:rPr>
        <w:t xml:space="preserve">and </w:t>
      </w:r>
      <w:r>
        <w:t xml:space="preserve">specific financial </w:t>
      </w:r>
      <w:r>
        <w:rPr>
          <w:spacing w:val="-3"/>
        </w:rPr>
        <w:t xml:space="preserve">issues </w:t>
      </w:r>
      <w:r>
        <w:t xml:space="preserve">with a </w:t>
      </w:r>
      <w:r>
        <w:rPr>
          <w:spacing w:val="-3"/>
        </w:rPr>
        <w:t xml:space="preserve">material </w:t>
      </w:r>
      <w:r>
        <w:t>impact</w:t>
      </w:r>
      <w:r>
        <w:rPr>
          <w:spacing w:val="-16"/>
        </w:rPr>
        <w:t xml:space="preserve"> </w:t>
      </w:r>
      <w:r>
        <w:t>on</w:t>
      </w:r>
      <w:r>
        <w:rPr>
          <w:spacing w:val="-16"/>
        </w:rPr>
        <w:t xml:space="preserve"> </w:t>
      </w:r>
      <w:r>
        <w:t>the</w:t>
      </w:r>
      <w:r>
        <w:rPr>
          <w:spacing w:val="-16"/>
        </w:rPr>
        <w:t xml:space="preserve"> </w:t>
      </w:r>
      <w:r>
        <w:t>THS.</w:t>
      </w:r>
    </w:p>
    <w:p w:rsidR="00707D71" w:rsidRDefault="00707D71" w:rsidP="00707D71">
      <w:pPr>
        <w:pStyle w:val="BodyText"/>
        <w:spacing w:before="159" w:line="268" w:lineRule="auto"/>
        <w:ind w:right="51"/>
      </w:pPr>
      <w:r>
        <w:t xml:space="preserve">In its first </w:t>
      </w:r>
      <w:r>
        <w:rPr>
          <w:spacing w:val="-3"/>
        </w:rPr>
        <w:t xml:space="preserve">year </w:t>
      </w:r>
      <w:r>
        <w:rPr>
          <w:spacing w:val="-4"/>
        </w:rPr>
        <w:t xml:space="preserve">of </w:t>
      </w:r>
      <w:r>
        <w:t xml:space="preserve">operation the Committee </w:t>
      </w:r>
      <w:r>
        <w:rPr>
          <w:spacing w:val="-4"/>
        </w:rPr>
        <w:t xml:space="preserve">considered </w:t>
      </w:r>
      <w:r>
        <w:t xml:space="preserve">the quality </w:t>
      </w:r>
      <w:r>
        <w:rPr>
          <w:spacing w:val="-2"/>
        </w:rPr>
        <w:t xml:space="preserve">and </w:t>
      </w:r>
      <w:r>
        <w:rPr>
          <w:spacing w:val="-3"/>
        </w:rPr>
        <w:t xml:space="preserve">timeliness </w:t>
      </w:r>
      <w:r>
        <w:rPr>
          <w:spacing w:val="-4"/>
        </w:rPr>
        <w:t xml:space="preserve">of </w:t>
      </w:r>
      <w:r>
        <w:rPr>
          <w:spacing w:val="-3"/>
        </w:rPr>
        <w:t xml:space="preserve">the </w:t>
      </w:r>
      <w:r>
        <w:t xml:space="preserve">reports on </w:t>
      </w:r>
      <w:r>
        <w:rPr>
          <w:spacing w:val="-3"/>
        </w:rPr>
        <w:t xml:space="preserve">which </w:t>
      </w:r>
      <w:r>
        <w:t xml:space="preserve">it </w:t>
      </w:r>
      <w:r>
        <w:rPr>
          <w:spacing w:val="-3"/>
        </w:rPr>
        <w:t xml:space="preserve">based </w:t>
      </w:r>
      <w:r>
        <w:t xml:space="preserve">its </w:t>
      </w:r>
      <w:r>
        <w:rPr>
          <w:spacing w:val="-4"/>
        </w:rPr>
        <w:t xml:space="preserve">considerations </w:t>
      </w:r>
      <w:r>
        <w:rPr>
          <w:spacing w:val="-2"/>
        </w:rPr>
        <w:t xml:space="preserve">and </w:t>
      </w:r>
      <w:r>
        <w:rPr>
          <w:spacing w:val="-3"/>
        </w:rPr>
        <w:t xml:space="preserve">recommended improvements </w:t>
      </w:r>
      <w:r>
        <w:t xml:space="preserve">in the financial </w:t>
      </w:r>
      <w:r>
        <w:rPr>
          <w:spacing w:val="-2"/>
        </w:rPr>
        <w:t xml:space="preserve">and </w:t>
      </w:r>
      <w:r>
        <w:t xml:space="preserve">service performance reporting </w:t>
      </w:r>
      <w:r>
        <w:rPr>
          <w:spacing w:val="-4"/>
        </w:rPr>
        <w:t xml:space="preserve">of </w:t>
      </w:r>
      <w:r>
        <w:t>the THS.</w:t>
      </w:r>
    </w:p>
    <w:p w:rsidR="00707D71" w:rsidRDefault="00707D71" w:rsidP="00707D71">
      <w:pPr>
        <w:spacing w:before="149"/>
      </w:pPr>
      <w:r>
        <w:rPr>
          <w:rFonts w:ascii="GillSans-SemiBold"/>
          <w:b/>
        </w:rPr>
        <w:t>Martin Wallace</w:t>
      </w:r>
      <w:r>
        <w:rPr>
          <w:rFonts w:ascii="GillSans-SemiBold"/>
          <w:b/>
        </w:rPr>
        <w:br/>
      </w:r>
      <w:r>
        <w:t>Chair</w:t>
      </w:r>
    </w:p>
    <w:p w:rsidR="00707D71" w:rsidRDefault="00707D71" w:rsidP="00707D71">
      <w:pPr>
        <w:pStyle w:val="Heading4"/>
      </w:pPr>
    </w:p>
    <w:p w:rsidR="00707D71" w:rsidRDefault="00707D71" w:rsidP="00707D71">
      <w:pPr>
        <w:pStyle w:val="Heading4"/>
      </w:pPr>
      <w:r>
        <w:t>Partnerships Subcommittee</w:t>
      </w:r>
    </w:p>
    <w:p w:rsidR="00707D71" w:rsidRDefault="00707D71" w:rsidP="00707D71">
      <w:pPr>
        <w:pStyle w:val="BodyText"/>
        <w:spacing w:before="177" w:line="268" w:lineRule="auto"/>
      </w:pPr>
      <w:r>
        <w:t xml:space="preserve">The Partnerships </w:t>
      </w:r>
      <w:r>
        <w:rPr>
          <w:spacing w:val="-3"/>
        </w:rPr>
        <w:t xml:space="preserve">Subcommittee </w:t>
      </w:r>
      <w:r>
        <w:t xml:space="preserve">(PSC) was </w:t>
      </w:r>
      <w:r>
        <w:rPr>
          <w:spacing w:val="-3"/>
        </w:rPr>
        <w:t xml:space="preserve">formed to promote </w:t>
      </w:r>
      <w:r>
        <w:rPr>
          <w:spacing w:val="-2"/>
        </w:rPr>
        <w:t xml:space="preserve">and </w:t>
      </w:r>
      <w:r>
        <w:t xml:space="preserve">support </w:t>
      </w:r>
      <w:r>
        <w:rPr>
          <w:spacing w:val="-3"/>
        </w:rPr>
        <w:t xml:space="preserve">collaboration </w:t>
      </w:r>
      <w:r>
        <w:rPr>
          <w:spacing w:val="-2"/>
        </w:rPr>
        <w:t xml:space="preserve">and </w:t>
      </w:r>
      <w:r>
        <w:t>partnership</w:t>
      </w:r>
      <w:r>
        <w:rPr>
          <w:spacing w:val="-14"/>
        </w:rPr>
        <w:t xml:space="preserve"> </w:t>
      </w:r>
      <w:r>
        <w:rPr>
          <w:spacing w:val="-3"/>
        </w:rPr>
        <w:t>between</w:t>
      </w:r>
      <w:r>
        <w:rPr>
          <w:spacing w:val="-14"/>
        </w:rPr>
        <w:t xml:space="preserve"> </w:t>
      </w:r>
      <w:r>
        <w:t>the</w:t>
      </w:r>
      <w:r>
        <w:rPr>
          <w:spacing w:val="-14"/>
        </w:rPr>
        <w:t xml:space="preserve"> </w:t>
      </w:r>
      <w:r>
        <w:rPr>
          <w:spacing w:val="-5"/>
        </w:rPr>
        <w:t>Tasmanian</w:t>
      </w:r>
      <w:r>
        <w:rPr>
          <w:spacing w:val="-14"/>
        </w:rPr>
        <w:t xml:space="preserve"> </w:t>
      </w:r>
      <w:r>
        <w:t>Health</w:t>
      </w:r>
      <w:r>
        <w:rPr>
          <w:spacing w:val="-14"/>
        </w:rPr>
        <w:t xml:space="preserve"> </w:t>
      </w:r>
      <w:r>
        <w:t xml:space="preserve">Service (THS) </w:t>
      </w:r>
      <w:r>
        <w:rPr>
          <w:spacing w:val="-2"/>
        </w:rPr>
        <w:t xml:space="preserve">and </w:t>
      </w:r>
      <w:r>
        <w:rPr>
          <w:spacing w:val="-3"/>
        </w:rPr>
        <w:t xml:space="preserve">those organisations </w:t>
      </w:r>
      <w:r>
        <w:t xml:space="preserve">with </w:t>
      </w:r>
      <w:r>
        <w:rPr>
          <w:spacing w:val="-3"/>
        </w:rPr>
        <w:t xml:space="preserve">which </w:t>
      </w:r>
      <w:r>
        <w:t xml:space="preserve">it can </w:t>
      </w:r>
      <w:r>
        <w:rPr>
          <w:spacing w:val="-4"/>
        </w:rPr>
        <w:t xml:space="preserve">develop </w:t>
      </w:r>
      <w:r>
        <w:t xml:space="preserve">a </w:t>
      </w:r>
      <w:r>
        <w:rPr>
          <w:spacing w:val="-3"/>
        </w:rPr>
        <w:t>mutually beneficial</w:t>
      </w:r>
      <w:r>
        <w:rPr>
          <w:spacing w:val="-12"/>
        </w:rPr>
        <w:t xml:space="preserve"> </w:t>
      </w:r>
      <w:r>
        <w:rPr>
          <w:spacing w:val="-3"/>
        </w:rPr>
        <w:t>relationship.</w:t>
      </w:r>
    </w:p>
    <w:p w:rsidR="00707D71" w:rsidRDefault="00707D71" w:rsidP="00707D71">
      <w:pPr>
        <w:pStyle w:val="BodyText"/>
        <w:spacing w:before="159"/>
      </w:pPr>
      <w:r>
        <w:t>The role of the PSC is to:</w:t>
      </w:r>
    </w:p>
    <w:p w:rsidR="00707D71" w:rsidRDefault="00707D71" w:rsidP="00707D71">
      <w:pPr>
        <w:pStyle w:val="ListParagraph"/>
        <w:widowControl w:val="0"/>
        <w:numPr>
          <w:ilvl w:val="0"/>
          <w:numId w:val="2"/>
        </w:numPr>
        <w:tabs>
          <w:tab w:val="left" w:pos="1580"/>
        </w:tabs>
        <w:autoSpaceDE w:val="0"/>
        <w:autoSpaceDN w:val="0"/>
        <w:spacing w:before="189" w:after="0" w:line="268" w:lineRule="auto"/>
        <w:ind w:left="567" w:right="450" w:hanging="567"/>
        <w:contextualSpacing w:val="0"/>
      </w:pPr>
      <w:r>
        <w:t>Identify</w:t>
      </w:r>
      <w:r>
        <w:rPr>
          <w:spacing w:val="-19"/>
        </w:rPr>
        <w:t xml:space="preserve"> </w:t>
      </w:r>
      <w:r>
        <w:t>partnership</w:t>
      </w:r>
      <w:r>
        <w:rPr>
          <w:spacing w:val="-19"/>
        </w:rPr>
        <w:t xml:space="preserve"> </w:t>
      </w:r>
      <w:r>
        <w:t>opportunities</w:t>
      </w:r>
      <w:r>
        <w:rPr>
          <w:spacing w:val="-19"/>
        </w:rPr>
        <w:t xml:space="preserve"> </w:t>
      </w:r>
      <w:r>
        <w:rPr>
          <w:spacing w:val="-2"/>
        </w:rPr>
        <w:t>and</w:t>
      </w:r>
      <w:r>
        <w:rPr>
          <w:spacing w:val="-19"/>
        </w:rPr>
        <w:t xml:space="preserve"> </w:t>
      </w:r>
      <w:r>
        <w:rPr>
          <w:spacing w:val="-3"/>
        </w:rPr>
        <w:t xml:space="preserve">make </w:t>
      </w:r>
      <w:r>
        <w:rPr>
          <w:spacing w:val="-4"/>
        </w:rPr>
        <w:t xml:space="preserve">recommendations </w:t>
      </w:r>
      <w:r>
        <w:rPr>
          <w:spacing w:val="-3"/>
        </w:rPr>
        <w:t xml:space="preserve">to </w:t>
      </w:r>
      <w:r>
        <w:t>the THS</w:t>
      </w:r>
      <w:r>
        <w:rPr>
          <w:spacing w:val="-27"/>
        </w:rPr>
        <w:t xml:space="preserve"> </w:t>
      </w:r>
      <w:r>
        <w:t>GC</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797" w:hanging="567"/>
        <w:contextualSpacing w:val="0"/>
      </w:pPr>
      <w:r>
        <w:t xml:space="preserve">Establish </w:t>
      </w:r>
      <w:r>
        <w:rPr>
          <w:spacing w:val="-2"/>
        </w:rPr>
        <w:t xml:space="preserve">and </w:t>
      </w:r>
      <w:r>
        <w:rPr>
          <w:spacing w:val="-3"/>
        </w:rPr>
        <w:t>maintain relationships</w:t>
      </w:r>
      <w:r>
        <w:rPr>
          <w:spacing w:val="-43"/>
        </w:rPr>
        <w:t xml:space="preserve"> </w:t>
      </w:r>
      <w:r>
        <w:t>with partnership</w:t>
      </w:r>
      <w:r>
        <w:rPr>
          <w:spacing w:val="-13"/>
        </w:rPr>
        <w:t xml:space="preserve"> </w:t>
      </w:r>
      <w:r>
        <w:rPr>
          <w:spacing w:val="-3"/>
        </w:rPr>
        <w:t>organisations</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22" w:hanging="567"/>
        <w:contextualSpacing w:val="0"/>
      </w:pPr>
      <w:r>
        <w:rPr>
          <w:spacing w:val="-3"/>
        </w:rPr>
        <w:t xml:space="preserve">Monitor </w:t>
      </w:r>
      <w:r>
        <w:rPr>
          <w:spacing w:val="-2"/>
        </w:rPr>
        <w:t xml:space="preserve">and </w:t>
      </w:r>
      <w:r>
        <w:rPr>
          <w:spacing w:val="-4"/>
        </w:rPr>
        <w:t xml:space="preserve">evaluate </w:t>
      </w:r>
      <w:r>
        <w:t xml:space="preserve">the </w:t>
      </w:r>
      <w:r>
        <w:rPr>
          <w:spacing w:val="-3"/>
        </w:rPr>
        <w:t xml:space="preserve">effectiveness </w:t>
      </w:r>
      <w:r>
        <w:rPr>
          <w:spacing w:val="-4"/>
        </w:rPr>
        <w:t>of</w:t>
      </w:r>
      <w:r>
        <w:rPr>
          <w:spacing w:val="-27"/>
        </w:rPr>
        <w:t xml:space="preserve"> </w:t>
      </w:r>
      <w:r>
        <w:rPr>
          <w:spacing w:val="-3"/>
        </w:rPr>
        <w:t xml:space="preserve">existing </w:t>
      </w:r>
      <w:r>
        <w:t>partnerships</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817" w:hanging="567"/>
        <w:contextualSpacing w:val="0"/>
      </w:pPr>
      <w:r>
        <w:t>Report</w:t>
      </w:r>
      <w:r>
        <w:rPr>
          <w:spacing w:val="-13"/>
        </w:rPr>
        <w:t xml:space="preserve"> </w:t>
      </w:r>
      <w:r>
        <w:rPr>
          <w:spacing w:val="-3"/>
        </w:rPr>
        <w:t>to</w:t>
      </w:r>
      <w:r>
        <w:rPr>
          <w:spacing w:val="-13"/>
        </w:rPr>
        <w:t xml:space="preserve"> </w:t>
      </w:r>
      <w:r>
        <w:t>the</w:t>
      </w:r>
      <w:r>
        <w:rPr>
          <w:spacing w:val="-13"/>
        </w:rPr>
        <w:t xml:space="preserve"> </w:t>
      </w:r>
      <w:r>
        <w:t>THS</w:t>
      </w:r>
      <w:r>
        <w:rPr>
          <w:spacing w:val="-13"/>
        </w:rPr>
        <w:t xml:space="preserve"> </w:t>
      </w:r>
      <w:r>
        <w:t>GC</w:t>
      </w:r>
      <w:r>
        <w:rPr>
          <w:spacing w:val="-13"/>
        </w:rPr>
        <w:t xml:space="preserve"> </w:t>
      </w:r>
      <w:r>
        <w:t>on</w:t>
      </w:r>
      <w:r>
        <w:rPr>
          <w:spacing w:val="-13"/>
        </w:rPr>
        <w:t xml:space="preserve"> </w:t>
      </w:r>
      <w:r>
        <w:t>the</w:t>
      </w:r>
      <w:r>
        <w:rPr>
          <w:spacing w:val="-13"/>
        </w:rPr>
        <w:t xml:space="preserve"> </w:t>
      </w:r>
      <w:r>
        <w:t>status</w:t>
      </w:r>
      <w:r>
        <w:rPr>
          <w:spacing w:val="-13"/>
        </w:rPr>
        <w:t xml:space="preserve"> </w:t>
      </w:r>
      <w:r>
        <w:rPr>
          <w:spacing w:val="-4"/>
        </w:rPr>
        <w:t xml:space="preserve">of </w:t>
      </w:r>
      <w:r>
        <w:t>partnerships</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126" w:hanging="567"/>
        <w:contextualSpacing w:val="0"/>
      </w:pPr>
      <w:r>
        <w:rPr>
          <w:spacing w:val="-3"/>
        </w:rPr>
        <w:t xml:space="preserve">Provide oversight </w:t>
      </w:r>
      <w:r>
        <w:t xml:space="preserve">on MOUs </w:t>
      </w:r>
      <w:r>
        <w:rPr>
          <w:spacing w:val="-2"/>
        </w:rPr>
        <w:t xml:space="preserve">and </w:t>
      </w:r>
      <w:r>
        <w:t xml:space="preserve">Partnership </w:t>
      </w:r>
      <w:r>
        <w:rPr>
          <w:spacing w:val="-3"/>
        </w:rPr>
        <w:t xml:space="preserve">Agreements between </w:t>
      </w:r>
      <w:r>
        <w:t xml:space="preserve">the THS </w:t>
      </w:r>
      <w:r>
        <w:rPr>
          <w:spacing w:val="-2"/>
        </w:rPr>
        <w:t xml:space="preserve">and </w:t>
      </w:r>
      <w:r>
        <w:t>its</w:t>
      </w:r>
      <w:r>
        <w:rPr>
          <w:spacing w:val="-37"/>
        </w:rPr>
        <w:t xml:space="preserve"> </w:t>
      </w:r>
      <w:r>
        <w:t>partners.</w:t>
      </w:r>
    </w:p>
    <w:p w:rsidR="00707D71" w:rsidRDefault="00707D71" w:rsidP="00707D71">
      <w:pPr>
        <w:pStyle w:val="BodyText"/>
        <w:spacing w:before="159" w:line="268" w:lineRule="auto"/>
      </w:pPr>
      <w:r>
        <w:t xml:space="preserve">During </w:t>
      </w:r>
      <w:r>
        <w:rPr>
          <w:spacing w:val="-11"/>
        </w:rPr>
        <w:t xml:space="preserve">2015-16 </w:t>
      </w:r>
      <w:r>
        <w:t xml:space="preserve">the </w:t>
      </w:r>
      <w:r>
        <w:rPr>
          <w:spacing w:val="-3"/>
        </w:rPr>
        <w:t xml:space="preserve">subcommittee </w:t>
      </w:r>
      <w:r>
        <w:t xml:space="preserve">identified as ‘Priority Partners’ </w:t>
      </w:r>
      <w:r>
        <w:rPr>
          <w:spacing w:val="-3"/>
        </w:rPr>
        <w:t xml:space="preserve">those organisations </w:t>
      </w:r>
      <w:r>
        <w:t xml:space="preserve">with </w:t>
      </w:r>
      <w:r>
        <w:rPr>
          <w:spacing w:val="-4"/>
        </w:rPr>
        <w:t xml:space="preserve">which </w:t>
      </w:r>
      <w:r>
        <w:t xml:space="preserve">the THS has a </w:t>
      </w:r>
      <w:r>
        <w:rPr>
          <w:spacing w:val="-3"/>
        </w:rPr>
        <w:t xml:space="preserve">mutually beneficial relationship </w:t>
      </w:r>
      <w:r>
        <w:rPr>
          <w:spacing w:val="-4"/>
        </w:rPr>
        <w:t>to:</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404" w:hanging="567"/>
        <w:contextualSpacing w:val="0"/>
      </w:pPr>
      <w:r>
        <w:rPr>
          <w:spacing w:val="-3"/>
        </w:rPr>
        <w:t>deliver</w:t>
      </w:r>
      <w:r>
        <w:rPr>
          <w:spacing w:val="-14"/>
        </w:rPr>
        <w:t xml:space="preserve"> </w:t>
      </w:r>
      <w:r>
        <w:t>health</w:t>
      </w:r>
      <w:r>
        <w:rPr>
          <w:spacing w:val="-14"/>
        </w:rPr>
        <w:t xml:space="preserve"> </w:t>
      </w:r>
      <w:r>
        <w:t>care</w:t>
      </w:r>
      <w:r>
        <w:rPr>
          <w:spacing w:val="-14"/>
        </w:rPr>
        <w:t xml:space="preserve"> </w:t>
      </w:r>
      <w:r>
        <w:t>services</w:t>
      </w:r>
      <w:r>
        <w:rPr>
          <w:spacing w:val="-14"/>
        </w:rPr>
        <w:t xml:space="preserve"> </w:t>
      </w:r>
      <w:r>
        <w:rPr>
          <w:spacing w:val="-3"/>
        </w:rPr>
        <w:t>to</w:t>
      </w:r>
      <w:r>
        <w:rPr>
          <w:spacing w:val="-14"/>
        </w:rPr>
        <w:t xml:space="preserve"> </w:t>
      </w:r>
      <w:r>
        <w:t>the</w:t>
      </w:r>
      <w:r>
        <w:rPr>
          <w:spacing w:val="-14"/>
        </w:rPr>
        <w:t xml:space="preserve"> </w:t>
      </w:r>
      <w:r>
        <w:rPr>
          <w:spacing w:val="-5"/>
        </w:rPr>
        <w:t xml:space="preserve">Tasmanian </w:t>
      </w:r>
      <w:r>
        <w:rPr>
          <w:spacing w:val="-3"/>
        </w:rPr>
        <w:t>community</w:t>
      </w:r>
    </w:p>
    <w:p w:rsidR="00707D71" w:rsidRDefault="00707D71" w:rsidP="00707D71">
      <w:pPr>
        <w:pStyle w:val="ListParagraph"/>
        <w:widowControl w:val="0"/>
        <w:numPr>
          <w:ilvl w:val="0"/>
          <w:numId w:val="2"/>
        </w:numPr>
        <w:tabs>
          <w:tab w:val="left" w:pos="1580"/>
        </w:tabs>
        <w:autoSpaceDE w:val="0"/>
        <w:autoSpaceDN w:val="0"/>
        <w:spacing w:before="159" w:after="0" w:line="268" w:lineRule="auto"/>
        <w:ind w:left="567" w:right="456" w:hanging="567"/>
        <w:contextualSpacing w:val="0"/>
      </w:pPr>
      <w:r>
        <w:rPr>
          <w:spacing w:val="-3"/>
        </w:rPr>
        <w:t>facilitate</w:t>
      </w:r>
      <w:r>
        <w:rPr>
          <w:spacing w:val="-10"/>
        </w:rPr>
        <w:t xml:space="preserve"> </w:t>
      </w:r>
      <w:r>
        <w:t>a</w:t>
      </w:r>
      <w:r>
        <w:rPr>
          <w:spacing w:val="-10"/>
        </w:rPr>
        <w:t xml:space="preserve"> </w:t>
      </w:r>
      <w:r>
        <w:rPr>
          <w:spacing w:val="-4"/>
        </w:rPr>
        <w:t>dialogue</w:t>
      </w:r>
      <w:r>
        <w:rPr>
          <w:spacing w:val="-10"/>
        </w:rPr>
        <w:t xml:space="preserve"> </w:t>
      </w:r>
      <w:r>
        <w:t>on</w:t>
      </w:r>
      <w:r>
        <w:rPr>
          <w:spacing w:val="-10"/>
        </w:rPr>
        <w:t xml:space="preserve"> </w:t>
      </w:r>
      <w:r>
        <w:t>the</w:t>
      </w:r>
      <w:r>
        <w:rPr>
          <w:spacing w:val="-10"/>
        </w:rPr>
        <w:t xml:space="preserve"> </w:t>
      </w:r>
      <w:r>
        <w:rPr>
          <w:spacing w:val="-5"/>
        </w:rPr>
        <w:t>safety,</w:t>
      </w:r>
      <w:r>
        <w:rPr>
          <w:spacing w:val="-10"/>
        </w:rPr>
        <w:t xml:space="preserve"> </w:t>
      </w:r>
      <w:r>
        <w:t>quality</w:t>
      </w:r>
      <w:r>
        <w:rPr>
          <w:spacing w:val="-10"/>
        </w:rPr>
        <w:t xml:space="preserve"> </w:t>
      </w:r>
      <w:r>
        <w:rPr>
          <w:spacing w:val="-2"/>
        </w:rPr>
        <w:t xml:space="preserve">and </w:t>
      </w:r>
      <w:r>
        <w:rPr>
          <w:spacing w:val="-4"/>
        </w:rPr>
        <w:t>accessibility of</w:t>
      </w:r>
      <w:r>
        <w:rPr>
          <w:spacing w:val="3"/>
        </w:rPr>
        <w:t xml:space="preserve"> </w:t>
      </w:r>
      <w:r>
        <w:rPr>
          <w:spacing w:val="-3"/>
        </w:rPr>
        <w:t>services</w:t>
      </w:r>
    </w:p>
    <w:p w:rsidR="00707D71" w:rsidRPr="00707D71" w:rsidRDefault="00707D71" w:rsidP="00707D71">
      <w:pPr>
        <w:pStyle w:val="ListParagraph"/>
        <w:widowControl w:val="0"/>
        <w:numPr>
          <w:ilvl w:val="0"/>
          <w:numId w:val="2"/>
        </w:numPr>
        <w:tabs>
          <w:tab w:val="left" w:pos="1580"/>
        </w:tabs>
        <w:autoSpaceDE w:val="0"/>
        <w:autoSpaceDN w:val="0"/>
        <w:spacing w:before="149" w:after="0" w:line="268" w:lineRule="auto"/>
        <w:ind w:left="567" w:right="238" w:hanging="567"/>
        <w:contextualSpacing w:val="0"/>
      </w:pPr>
      <w:r w:rsidRPr="00707D71">
        <w:rPr>
          <w:spacing w:val="-3"/>
        </w:rPr>
        <w:t xml:space="preserve">educate, </w:t>
      </w:r>
      <w:r>
        <w:t xml:space="preserve">train </w:t>
      </w:r>
      <w:r w:rsidRPr="00707D71">
        <w:rPr>
          <w:spacing w:val="-2"/>
        </w:rPr>
        <w:t xml:space="preserve">and </w:t>
      </w:r>
      <w:r w:rsidRPr="00707D71">
        <w:rPr>
          <w:spacing w:val="-3"/>
        </w:rPr>
        <w:t xml:space="preserve">maintain </w:t>
      </w:r>
      <w:r>
        <w:t xml:space="preserve">the </w:t>
      </w:r>
      <w:r w:rsidRPr="00707D71">
        <w:rPr>
          <w:spacing w:val="-4"/>
        </w:rPr>
        <w:t>competence</w:t>
      </w:r>
      <w:r w:rsidRPr="00707D71">
        <w:rPr>
          <w:spacing w:val="-41"/>
        </w:rPr>
        <w:t xml:space="preserve"> </w:t>
      </w:r>
      <w:r w:rsidRPr="00707D71">
        <w:rPr>
          <w:spacing w:val="-4"/>
        </w:rPr>
        <w:t xml:space="preserve">of </w:t>
      </w:r>
      <w:r>
        <w:t>health</w:t>
      </w:r>
      <w:r w:rsidRPr="00707D71">
        <w:rPr>
          <w:spacing w:val="-13"/>
        </w:rPr>
        <w:t xml:space="preserve"> </w:t>
      </w:r>
      <w:r w:rsidRPr="00707D71">
        <w:rPr>
          <w:spacing w:val="-4"/>
        </w:rPr>
        <w:t>professionals</w:t>
      </w:r>
    </w:p>
    <w:p w:rsidR="00707D71" w:rsidRPr="00707D71" w:rsidRDefault="00707D71" w:rsidP="00707D71">
      <w:pPr>
        <w:pStyle w:val="ListParagraph"/>
        <w:widowControl w:val="0"/>
        <w:numPr>
          <w:ilvl w:val="0"/>
          <w:numId w:val="2"/>
        </w:numPr>
        <w:tabs>
          <w:tab w:val="left" w:pos="1580"/>
        </w:tabs>
        <w:autoSpaceDE w:val="0"/>
        <w:autoSpaceDN w:val="0"/>
        <w:spacing w:before="149" w:after="0" w:line="268" w:lineRule="auto"/>
        <w:ind w:left="567" w:right="238" w:hanging="567"/>
        <w:contextualSpacing w:val="0"/>
      </w:pPr>
      <w:r>
        <w:t>work</w:t>
      </w:r>
      <w:r w:rsidRPr="00707D71">
        <w:rPr>
          <w:spacing w:val="-12"/>
        </w:rPr>
        <w:t xml:space="preserve"> </w:t>
      </w:r>
      <w:r w:rsidRPr="00707D71">
        <w:rPr>
          <w:spacing w:val="-3"/>
        </w:rPr>
        <w:t>collaboratively</w:t>
      </w:r>
      <w:r w:rsidRPr="00707D71">
        <w:rPr>
          <w:spacing w:val="-12"/>
        </w:rPr>
        <w:t xml:space="preserve"> </w:t>
      </w:r>
      <w:r>
        <w:t>in</w:t>
      </w:r>
      <w:r w:rsidRPr="00707D71">
        <w:rPr>
          <w:spacing w:val="-12"/>
        </w:rPr>
        <w:t xml:space="preserve"> </w:t>
      </w:r>
      <w:r w:rsidRPr="00707D71">
        <w:rPr>
          <w:spacing w:val="-3"/>
        </w:rPr>
        <w:t>relation</w:t>
      </w:r>
      <w:r w:rsidRPr="00707D71">
        <w:rPr>
          <w:spacing w:val="-12"/>
        </w:rPr>
        <w:t xml:space="preserve"> </w:t>
      </w:r>
      <w:r w:rsidRPr="00707D71">
        <w:rPr>
          <w:spacing w:val="-3"/>
        </w:rPr>
        <w:t>to</w:t>
      </w:r>
      <w:r w:rsidRPr="00707D71">
        <w:rPr>
          <w:spacing w:val="-12"/>
        </w:rPr>
        <w:t xml:space="preserve"> </w:t>
      </w:r>
      <w:r>
        <w:t xml:space="preserve">health </w:t>
      </w:r>
      <w:r w:rsidRPr="00707D71">
        <w:rPr>
          <w:spacing w:val="-2"/>
        </w:rPr>
        <w:t xml:space="preserve">and </w:t>
      </w:r>
      <w:r w:rsidRPr="00707D71">
        <w:rPr>
          <w:spacing w:val="-3"/>
        </w:rPr>
        <w:t>related</w:t>
      </w:r>
      <w:r w:rsidRPr="00707D71">
        <w:rPr>
          <w:spacing w:val="-5"/>
        </w:rPr>
        <w:t xml:space="preserve"> </w:t>
      </w:r>
      <w:r w:rsidRPr="00707D71">
        <w:rPr>
          <w:spacing w:val="-3"/>
        </w:rPr>
        <w:t>research</w:t>
      </w:r>
    </w:p>
    <w:p w:rsidR="00707D71" w:rsidRDefault="00707D71" w:rsidP="00707D71">
      <w:pPr>
        <w:pStyle w:val="ListParagraph"/>
        <w:widowControl w:val="0"/>
        <w:numPr>
          <w:ilvl w:val="0"/>
          <w:numId w:val="2"/>
        </w:numPr>
        <w:tabs>
          <w:tab w:val="left" w:pos="1580"/>
        </w:tabs>
        <w:autoSpaceDE w:val="0"/>
        <w:autoSpaceDN w:val="0"/>
        <w:spacing w:before="149" w:after="0" w:line="268" w:lineRule="auto"/>
        <w:ind w:left="567" w:right="238" w:hanging="567"/>
        <w:contextualSpacing w:val="0"/>
      </w:pPr>
      <w:proofErr w:type="gramStart"/>
      <w:r>
        <w:lastRenderedPageBreak/>
        <w:t>support</w:t>
      </w:r>
      <w:proofErr w:type="gramEnd"/>
      <w:r>
        <w:rPr>
          <w:spacing w:val="-11"/>
        </w:rPr>
        <w:t xml:space="preserve"> </w:t>
      </w:r>
      <w:r>
        <w:t>the</w:t>
      </w:r>
      <w:r>
        <w:rPr>
          <w:spacing w:val="-11"/>
        </w:rPr>
        <w:t xml:space="preserve"> </w:t>
      </w:r>
      <w:r>
        <w:t>health</w:t>
      </w:r>
      <w:r>
        <w:rPr>
          <w:spacing w:val="-11"/>
        </w:rPr>
        <w:t xml:space="preserve"> </w:t>
      </w:r>
      <w:r>
        <w:rPr>
          <w:spacing w:val="-2"/>
        </w:rPr>
        <w:t>and</w:t>
      </w:r>
      <w:r>
        <w:rPr>
          <w:spacing w:val="-11"/>
        </w:rPr>
        <w:t xml:space="preserve"> </w:t>
      </w:r>
      <w:r>
        <w:rPr>
          <w:spacing w:val="-4"/>
        </w:rPr>
        <w:t>wellbeing</w:t>
      </w:r>
      <w:r>
        <w:rPr>
          <w:spacing w:val="-11"/>
        </w:rPr>
        <w:t xml:space="preserve"> </w:t>
      </w:r>
      <w:r>
        <w:rPr>
          <w:spacing w:val="-4"/>
        </w:rPr>
        <w:t>of</w:t>
      </w:r>
      <w:r>
        <w:rPr>
          <w:spacing w:val="-11"/>
        </w:rPr>
        <w:t xml:space="preserve"> </w:t>
      </w:r>
      <w:r>
        <w:t>the</w:t>
      </w:r>
      <w:r>
        <w:rPr>
          <w:spacing w:val="-11"/>
        </w:rPr>
        <w:t xml:space="preserve"> </w:t>
      </w:r>
      <w:r>
        <w:t>THS</w:t>
      </w:r>
      <w:r>
        <w:rPr>
          <w:spacing w:val="-11"/>
        </w:rPr>
        <w:t xml:space="preserve"> </w:t>
      </w:r>
      <w:r>
        <w:t>staff.</w:t>
      </w:r>
    </w:p>
    <w:p w:rsidR="00707D71" w:rsidRDefault="00707D71" w:rsidP="00707D71">
      <w:pPr>
        <w:pStyle w:val="BodyText"/>
        <w:spacing w:before="165" w:line="268" w:lineRule="auto"/>
        <w:ind w:right="1389"/>
      </w:pPr>
      <w:r>
        <w:t>As</w:t>
      </w:r>
      <w:r>
        <w:rPr>
          <w:spacing w:val="-10"/>
        </w:rPr>
        <w:t xml:space="preserve"> </w:t>
      </w:r>
      <w:r>
        <w:t>part</w:t>
      </w:r>
      <w:r>
        <w:rPr>
          <w:spacing w:val="-10"/>
        </w:rPr>
        <w:t xml:space="preserve"> </w:t>
      </w:r>
      <w:r>
        <w:rPr>
          <w:spacing w:val="-4"/>
        </w:rPr>
        <w:t>of</w:t>
      </w:r>
      <w:r>
        <w:rPr>
          <w:spacing w:val="-10"/>
        </w:rPr>
        <w:t xml:space="preserve"> </w:t>
      </w:r>
      <w:r>
        <w:rPr>
          <w:spacing w:val="-3"/>
        </w:rPr>
        <w:t>fulfilling</w:t>
      </w:r>
      <w:r>
        <w:rPr>
          <w:spacing w:val="-10"/>
        </w:rPr>
        <w:t xml:space="preserve"> </w:t>
      </w:r>
      <w:r>
        <w:t>its</w:t>
      </w:r>
      <w:r>
        <w:rPr>
          <w:spacing w:val="-10"/>
        </w:rPr>
        <w:t xml:space="preserve"> </w:t>
      </w:r>
      <w:r>
        <w:t>role,</w:t>
      </w:r>
      <w:r>
        <w:rPr>
          <w:spacing w:val="-10"/>
        </w:rPr>
        <w:t xml:space="preserve"> </w:t>
      </w:r>
      <w:r>
        <w:t>the</w:t>
      </w:r>
      <w:r>
        <w:rPr>
          <w:spacing w:val="-10"/>
        </w:rPr>
        <w:t xml:space="preserve"> </w:t>
      </w:r>
      <w:r>
        <w:t>PSC</w:t>
      </w:r>
      <w:r>
        <w:rPr>
          <w:spacing w:val="-10"/>
        </w:rPr>
        <w:t xml:space="preserve"> </w:t>
      </w:r>
      <w:r>
        <w:rPr>
          <w:spacing w:val="-4"/>
        </w:rPr>
        <w:t>developed</w:t>
      </w:r>
      <w:r>
        <w:rPr>
          <w:spacing w:val="-10"/>
        </w:rPr>
        <w:t xml:space="preserve"> </w:t>
      </w:r>
      <w:r>
        <w:t xml:space="preserve">six </w:t>
      </w:r>
      <w:r>
        <w:rPr>
          <w:spacing w:val="-4"/>
        </w:rPr>
        <w:t xml:space="preserve">key </w:t>
      </w:r>
      <w:r>
        <w:t xml:space="preserve">partnering </w:t>
      </w:r>
      <w:r>
        <w:rPr>
          <w:spacing w:val="-3"/>
        </w:rPr>
        <w:t xml:space="preserve">Principles to assess </w:t>
      </w:r>
      <w:r>
        <w:t xml:space="preserve">the health </w:t>
      </w:r>
      <w:r>
        <w:rPr>
          <w:spacing w:val="-4"/>
        </w:rPr>
        <w:t xml:space="preserve">of </w:t>
      </w:r>
      <w:r>
        <w:t xml:space="preserve">current partnership arrangements </w:t>
      </w:r>
      <w:r>
        <w:rPr>
          <w:spacing w:val="-2"/>
        </w:rPr>
        <w:t xml:space="preserve">and </w:t>
      </w:r>
      <w:r>
        <w:rPr>
          <w:spacing w:val="-3"/>
        </w:rPr>
        <w:t xml:space="preserve">to use </w:t>
      </w:r>
      <w:r>
        <w:t xml:space="preserve">as a </w:t>
      </w:r>
      <w:r>
        <w:rPr>
          <w:spacing w:val="-3"/>
        </w:rPr>
        <w:t xml:space="preserve">guide </w:t>
      </w:r>
      <w:r>
        <w:t xml:space="preserve">when </w:t>
      </w:r>
      <w:r>
        <w:rPr>
          <w:spacing w:val="-4"/>
        </w:rPr>
        <w:t xml:space="preserve">developing </w:t>
      </w:r>
      <w:r>
        <w:rPr>
          <w:spacing w:val="-3"/>
        </w:rPr>
        <w:t xml:space="preserve">new relationships. </w:t>
      </w:r>
      <w:r>
        <w:t xml:space="preserve">THS </w:t>
      </w:r>
      <w:r>
        <w:rPr>
          <w:spacing w:val="-3"/>
        </w:rPr>
        <w:t xml:space="preserve">Governing </w:t>
      </w:r>
      <w:r>
        <w:rPr>
          <w:spacing w:val="-4"/>
        </w:rPr>
        <w:t xml:space="preserve">Council </w:t>
      </w:r>
      <w:r>
        <w:rPr>
          <w:spacing w:val="-2"/>
        </w:rPr>
        <w:t xml:space="preserve">endorsed and </w:t>
      </w:r>
      <w:r>
        <w:rPr>
          <w:spacing w:val="-4"/>
        </w:rPr>
        <w:t xml:space="preserve">adopted </w:t>
      </w:r>
      <w:r>
        <w:rPr>
          <w:spacing w:val="-3"/>
        </w:rPr>
        <w:t>these Principles.</w:t>
      </w:r>
    </w:p>
    <w:p w:rsidR="00707D71" w:rsidRDefault="00707D71" w:rsidP="00707D71">
      <w:pPr>
        <w:pStyle w:val="BodyText"/>
        <w:spacing w:before="160" w:line="268" w:lineRule="auto"/>
        <w:ind w:right="1785"/>
      </w:pPr>
      <w:r>
        <w:t xml:space="preserve">In </w:t>
      </w:r>
      <w:r>
        <w:rPr>
          <w:spacing w:val="-11"/>
        </w:rPr>
        <w:t xml:space="preserve">2015-16 </w:t>
      </w:r>
      <w:r>
        <w:t xml:space="preserve">the </w:t>
      </w:r>
      <w:r>
        <w:rPr>
          <w:spacing w:val="-3"/>
        </w:rPr>
        <w:t xml:space="preserve">Subcommittee </w:t>
      </w:r>
      <w:r>
        <w:rPr>
          <w:spacing w:val="-4"/>
        </w:rPr>
        <w:t xml:space="preserve">commissioned </w:t>
      </w:r>
      <w:r>
        <w:t xml:space="preserve">a </w:t>
      </w:r>
      <w:r>
        <w:rPr>
          <w:spacing w:val="-4"/>
        </w:rPr>
        <w:t xml:space="preserve">piece of </w:t>
      </w:r>
      <w:r>
        <w:t xml:space="preserve">work </w:t>
      </w:r>
      <w:r>
        <w:rPr>
          <w:spacing w:val="-3"/>
        </w:rPr>
        <w:t xml:space="preserve">to set </w:t>
      </w:r>
      <w:r>
        <w:t xml:space="preserve">out the </w:t>
      </w:r>
      <w:r>
        <w:rPr>
          <w:spacing w:val="-3"/>
        </w:rPr>
        <w:t xml:space="preserve">nature </w:t>
      </w:r>
      <w:r>
        <w:rPr>
          <w:spacing w:val="-4"/>
        </w:rPr>
        <w:t xml:space="preserve">of </w:t>
      </w:r>
      <w:r>
        <w:t>the partnership relationship with two key organisations</w:t>
      </w:r>
    </w:p>
    <w:p w:rsidR="00707D71" w:rsidRDefault="00707D71" w:rsidP="00707D71">
      <w:pPr>
        <w:pStyle w:val="BodyText"/>
        <w:spacing w:before="30" w:line="268" w:lineRule="auto"/>
        <w:ind w:right="971"/>
      </w:pPr>
      <w:r>
        <w:t xml:space="preserve">– </w:t>
      </w:r>
      <w:proofErr w:type="gramStart"/>
      <w:r>
        <w:t>the</w:t>
      </w:r>
      <w:proofErr w:type="gramEnd"/>
      <w:r>
        <w:t xml:space="preserve"> University </w:t>
      </w:r>
      <w:r>
        <w:rPr>
          <w:spacing w:val="-4"/>
        </w:rPr>
        <w:t xml:space="preserve">of </w:t>
      </w:r>
      <w:r>
        <w:rPr>
          <w:spacing w:val="-5"/>
        </w:rPr>
        <w:t xml:space="preserve">Tasmania </w:t>
      </w:r>
      <w:r>
        <w:rPr>
          <w:spacing w:val="-2"/>
        </w:rPr>
        <w:t xml:space="preserve">and </w:t>
      </w:r>
      <w:r>
        <w:t xml:space="preserve">Primary Health </w:t>
      </w:r>
      <w:r>
        <w:rPr>
          <w:spacing w:val="-4"/>
        </w:rPr>
        <w:t xml:space="preserve">Tasmania. </w:t>
      </w:r>
      <w:r>
        <w:rPr>
          <w:spacing w:val="-3"/>
        </w:rPr>
        <w:t xml:space="preserve">This </w:t>
      </w:r>
      <w:r>
        <w:t xml:space="preserve">work </w:t>
      </w:r>
      <w:r>
        <w:rPr>
          <w:spacing w:val="-4"/>
        </w:rPr>
        <w:t xml:space="preserve">included </w:t>
      </w:r>
      <w:r>
        <w:rPr>
          <w:spacing w:val="-3"/>
        </w:rPr>
        <w:t xml:space="preserve">analysis </w:t>
      </w:r>
      <w:r>
        <w:rPr>
          <w:spacing w:val="-4"/>
        </w:rPr>
        <w:t xml:space="preserve">of </w:t>
      </w:r>
      <w:r>
        <w:t xml:space="preserve">the current state </w:t>
      </w:r>
      <w:r>
        <w:rPr>
          <w:spacing w:val="-4"/>
        </w:rPr>
        <w:t xml:space="preserve">of </w:t>
      </w:r>
      <w:r>
        <w:t xml:space="preserve">the </w:t>
      </w:r>
      <w:r>
        <w:rPr>
          <w:spacing w:val="-4"/>
        </w:rPr>
        <w:t xml:space="preserve">relationship, key </w:t>
      </w:r>
      <w:r>
        <w:rPr>
          <w:spacing w:val="-3"/>
        </w:rPr>
        <w:t xml:space="preserve">issues </w:t>
      </w:r>
      <w:r>
        <w:rPr>
          <w:spacing w:val="-2"/>
        </w:rPr>
        <w:t xml:space="preserve">and </w:t>
      </w:r>
      <w:r>
        <w:t xml:space="preserve">areas </w:t>
      </w:r>
      <w:r>
        <w:rPr>
          <w:spacing w:val="-4"/>
        </w:rPr>
        <w:t xml:space="preserve">of </w:t>
      </w:r>
      <w:r>
        <w:rPr>
          <w:spacing w:val="-3"/>
        </w:rPr>
        <w:t xml:space="preserve">concern </w:t>
      </w:r>
      <w:r>
        <w:rPr>
          <w:spacing w:val="-2"/>
        </w:rPr>
        <w:t xml:space="preserve">and </w:t>
      </w:r>
      <w:r>
        <w:rPr>
          <w:spacing w:val="-3"/>
        </w:rPr>
        <w:t xml:space="preserve">observations </w:t>
      </w:r>
      <w:r>
        <w:t xml:space="preserve">about </w:t>
      </w:r>
      <w:r>
        <w:rPr>
          <w:spacing w:val="-3"/>
        </w:rPr>
        <w:t xml:space="preserve">improving </w:t>
      </w:r>
      <w:r>
        <w:t xml:space="preserve">the structured interaction </w:t>
      </w:r>
      <w:r>
        <w:rPr>
          <w:spacing w:val="-3"/>
        </w:rPr>
        <w:t xml:space="preserve">between </w:t>
      </w:r>
      <w:r>
        <w:t xml:space="preserve">the THS </w:t>
      </w:r>
      <w:r>
        <w:rPr>
          <w:spacing w:val="-2"/>
        </w:rPr>
        <w:t xml:space="preserve">and </w:t>
      </w:r>
      <w:r>
        <w:rPr>
          <w:spacing w:val="-3"/>
        </w:rPr>
        <w:t xml:space="preserve">these </w:t>
      </w:r>
      <w:r>
        <w:t xml:space="preserve">partners. </w:t>
      </w:r>
      <w:r>
        <w:rPr>
          <w:spacing w:val="-3"/>
        </w:rPr>
        <w:t xml:space="preserve">New </w:t>
      </w:r>
      <w:r>
        <w:t xml:space="preserve">partnership </w:t>
      </w:r>
      <w:r>
        <w:rPr>
          <w:spacing w:val="-3"/>
        </w:rPr>
        <w:t xml:space="preserve">agreements </w:t>
      </w:r>
      <w:r>
        <w:rPr>
          <w:spacing w:val="-2"/>
        </w:rPr>
        <w:t xml:space="preserve">and </w:t>
      </w:r>
      <w:r>
        <w:t xml:space="preserve">work </w:t>
      </w:r>
      <w:r>
        <w:rPr>
          <w:spacing w:val="-3"/>
        </w:rPr>
        <w:t xml:space="preserve">plans </w:t>
      </w:r>
      <w:r>
        <w:t xml:space="preserve">are </w:t>
      </w:r>
      <w:r>
        <w:rPr>
          <w:spacing w:val="-3"/>
        </w:rPr>
        <w:t>being progressed.</w:t>
      </w:r>
    </w:p>
    <w:p w:rsidR="00707D71" w:rsidRDefault="00707D71" w:rsidP="00707D71">
      <w:pPr>
        <w:pStyle w:val="BodyText"/>
        <w:spacing w:before="160" w:line="268" w:lineRule="auto"/>
        <w:ind w:right="971"/>
      </w:pPr>
      <w:r>
        <w:t xml:space="preserve">In </w:t>
      </w:r>
      <w:r>
        <w:rPr>
          <w:spacing w:val="-10"/>
        </w:rPr>
        <w:t xml:space="preserve">2016 </w:t>
      </w:r>
      <w:r>
        <w:t xml:space="preserve">a </w:t>
      </w:r>
      <w:r>
        <w:rPr>
          <w:spacing w:val="-3"/>
        </w:rPr>
        <w:t xml:space="preserve">similar </w:t>
      </w:r>
      <w:r>
        <w:rPr>
          <w:spacing w:val="-4"/>
        </w:rPr>
        <w:t xml:space="preserve">investigation of </w:t>
      </w:r>
      <w:r>
        <w:t xml:space="preserve">the </w:t>
      </w:r>
      <w:r>
        <w:rPr>
          <w:spacing w:val="-3"/>
        </w:rPr>
        <w:t xml:space="preserve">issues </w:t>
      </w:r>
      <w:r>
        <w:rPr>
          <w:spacing w:val="-4"/>
        </w:rPr>
        <w:t xml:space="preserve">relating </w:t>
      </w:r>
      <w:r>
        <w:rPr>
          <w:spacing w:val="-3"/>
        </w:rPr>
        <w:t xml:space="preserve">to </w:t>
      </w:r>
      <w:r>
        <w:t xml:space="preserve">the </w:t>
      </w:r>
      <w:r>
        <w:rPr>
          <w:spacing w:val="-3"/>
        </w:rPr>
        <w:t xml:space="preserve">relationship </w:t>
      </w:r>
      <w:r>
        <w:t xml:space="preserve">with the private </w:t>
      </w:r>
      <w:r>
        <w:rPr>
          <w:spacing w:val="-3"/>
        </w:rPr>
        <w:t xml:space="preserve">hospital </w:t>
      </w:r>
      <w:r>
        <w:t xml:space="preserve">sector is </w:t>
      </w:r>
      <w:r>
        <w:rPr>
          <w:spacing w:val="-3"/>
        </w:rPr>
        <w:t xml:space="preserve">being </w:t>
      </w:r>
      <w:r>
        <w:t>undertaken.</w:t>
      </w:r>
    </w:p>
    <w:p w:rsidR="00707D71" w:rsidRDefault="00707D71" w:rsidP="00707D71">
      <w:pPr>
        <w:pStyle w:val="BodyText"/>
        <w:spacing w:before="160" w:line="268" w:lineRule="auto"/>
        <w:ind w:right="1389"/>
      </w:pPr>
      <w:r>
        <w:t xml:space="preserve">In </w:t>
      </w:r>
      <w:r>
        <w:rPr>
          <w:spacing w:val="-11"/>
        </w:rPr>
        <w:t xml:space="preserve">2015-16 </w:t>
      </w:r>
      <w:r>
        <w:t xml:space="preserve">the </w:t>
      </w:r>
      <w:r>
        <w:rPr>
          <w:spacing w:val="-3"/>
        </w:rPr>
        <w:t xml:space="preserve">Chair </w:t>
      </w:r>
      <w:r>
        <w:rPr>
          <w:spacing w:val="-4"/>
        </w:rPr>
        <w:t xml:space="preserve">of </w:t>
      </w:r>
      <w:r>
        <w:t xml:space="preserve">the PSC </w:t>
      </w:r>
      <w:r>
        <w:rPr>
          <w:spacing w:val="-3"/>
        </w:rPr>
        <w:t xml:space="preserve">represented </w:t>
      </w:r>
      <w:r>
        <w:t xml:space="preserve">the THS GC on a </w:t>
      </w:r>
      <w:r>
        <w:rPr>
          <w:spacing w:val="-3"/>
        </w:rPr>
        <w:t xml:space="preserve">Steering </w:t>
      </w:r>
      <w:r>
        <w:t xml:space="preserve">Committee </w:t>
      </w:r>
      <w:r>
        <w:rPr>
          <w:spacing w:val="-3"/>
        </w:rPr>
        <w:t xml:space="preserve">to </w:t>
      </w:r>
      <w:r>
        <w:t xml:space="preserve">establish the </w:t>
      </w:r>
      <w:r>
        <w:rPr>
          <w:spacing w:val="-3"/>
        </w:rPr>
        <w:t xml:space="preserve">need </w:t>
      </w:r>
      <w:r>
        <w:rPr>
          <w:spacing w:val="-4"/>
        </w:rPr>
        <w:t xml:space="preserve">for </w:t>
      </w:r>
      <w:r>
        <w:t xml:space="preserve">a health </w:t>
      </w:r>
      <w:r>
        <w:rPr>
          <w:spacing w:val="-4"/>
        </w:rPr>
        <w:t xml:space="preserve">consumer </w:t>
      </w:r>
      <w:r>
        <w:rPr>
          <w:spacing w:val="-3"/>
        </w:rPr>
        <w:t xml:space="preserve">organisation </w:t>
      </w:r>
      <w:r>
        <w:t xml:space="preserve">in </w:t>
      </w:r>
      <w:r>
        <w:rPr>
          <w:spacing w:val="-5"/>
        </w:rPr>
        <w:t xml:space="preserve">Tasmania </w:t>
      </w:r>
      <w:r>
        <w:rPr>
          <w:spacing w:val="-2"/>
        </w:rPr>
        <w:t xml:space="preserve">and </w:t>
      </w:r>
      <w:r>
        <w:rPr>
          <w:spacing w:val="-3"/>
        </w:rPr>
        <w:t xml:space="preserve">to </w:t>
      </w:r>
      <w:r>
        <w:rPr>
          <w:spacing w:val="-4"/>
        </w:rPr>
        <w:t xml:space="preserve">develop </w:t>
      </w:r>
      <w:r>
        <w:rPr>
          <w:spacing w:val="-2"/>
        </w:rPr>
        <w:t xml:space="preserve">and </w:t>
      </w:r>
      <w:r>
        <w:rPr>
          <w:spacing w:val="-4"/>
        </w:rPr>
        <w:t xml:space="preserve">scope </w:t>
      </w:r>
      <w:r>
        <w:t xml:space="preserve">a </w:t>
      </w:r>
      <w:r>
        <w:rPr>
          <w:spacing w:val="-3"/>
        </w:rPr>
        <w:t xml:space="preserve">model </w:t>
      </w:r>
      <w:r>
        <w:rPr>
          <w:spacing w:val="-4"/>
        </w:rPr>
        <w:t xml:space="preserve">for </w:t>
      </w:r>
      <w:r>
        <w:t xml:space="preserve">the </w:t>
      </w:r>
      <w:r>
        <w:rPr>
          <w:spacing w:val="-3"/>
        </w:rPr>
        <w:t xml:space="preserve">establishment </w:t>
      </w:r>
      <w:r>
        <w:rPr>
          <w:spacing w:val="-4"/>
        </w:rPr>
        <w:t xml:space="preserve">of </w:t>
      </w:r>
      <w:r>
        <w:rPr>
          <w:spacing w:val="-3"/>
        </w:rPr>
        <w:t xml:space="preserve">such </w:t>
      </w:r>
      <w:r>
        <w:t xml:space="preserve">an </w:t>
      </w:r>
      <w:r>
        <w:rPr>
          <w:spacing w:val="-3"/>
        </w:rPr>
        <w:t xml:space="preserve">organisation. </w:t>
      </w:r>
      <w:r>
        <w:t xml:space="preserve">There was </w:t>
      </w:r>
      <w:r>
        <w:rPr>
          <w:spacing w:val="-3"/>
        </w:rPr>
        <w:t xml:space="preserve">overwhelming </w:t>
      </w:r>
      <w:r>
        <w:t xml:space="preserve">support </w:t>
      </w:r>
      <w:r>
        <w:rPr>
          <w:spacing w:val="-2"/>
        </w:rPr>
        <w:t xml:space="preserve">and </w:t>
      </w:r>
      <w:r>
        <w:t xml:space="preserve">a </w:t>
      </w:r>
      <w:r>
        <w:rPr>
          <w:spacing w:val="-3"/>
        </w:rPr>
        <w:t xml:space="preserve">phased approach to implementation </w:t>
      </w:r>
      <w:r>
        <w:t xml:space="preserve">is </w:t>
      </w:r>
      <w:r>
        <w:rPr>
          <w:spacing w:val="-3"/>
        </w:rPr>
        <w:t xml:space="preserve">underway. </w:t>
      </w:r>
      <w:r>
        <w:t xml:space="preserve">The statewide health </w:t>
      </w:r>
      <w:r>
        <w:rPr>
          <w:spacing w:val="-4"/>
        </w:rPr>
        <w:t xml:space="preserve">consumer </w:t>
      </w:r>
      <w:r>
        <w:rPr>
          <w:spacing w:val="-3"/>
        </w:rPr>
        <w:t xml:space="preserve">organisation will </w:t>
      </w:r>
      <w:r>
        <w:t xml:space="preserve">assist in </w:t>
      </w:r>
      <w:r>
        <w:rPr>
          <w:spacing w:val="-4"/>
        </w:rPr>
        <w:t xml:space="preserve">building </w:t>
      </w:r>
      <w:r>
        <w:t xml:space="preserve">the </w:t>
      </w:r>
      <w:r>
        <w:rPr>
          <w:spacing w:val="-3"/>
        </w:rPr>
        <w:t xml:space="preserve">capacity </w:t>
      </w:r>
      <w:r>
        <w:rPr>
          <w:spacing w:val="-4"/>
        </w:rPr>
        <w:t xml:space="preserve">of </w:t>
      </w:r>
      <w:r>
        <w:rPr>
          <w:spacing w:val="-3"/>
        </w:rPr>
        <w:t xml:space="preserve">consumers to participate </w:t>
      </w:r>
      <w:r>
        <w:t xml:space="preserve">in health system activities as </w:t>
      </w:r>
      <w:r>
        <w:rPr>
          <w:spacing w:val="-4"/>
        </w:rPr>
        <w:t xml:space="preserve">well </w:t>
      </w:r>
      <w:r>
        <w:t xml:space="preserve">as </w:t>
      </w:r>
      <w:r>
        <w:rPr>
          <w:spacing w:val="-4"/>
        </w:rPr>
        <w:t xml:space="preserve">building </w:t>
      </w:r>
      <w:r>
        <w:t xml:space="preserve">the </w:t>
      </w:r>
      <w:r>
        <w:rPr>
          <w:spacing w:val="-3"/>
        </w:rPr>
        <w:t>capacity</w:t>
      </w:r>
      <w:r>
        <w:rPr>
          <w:spacing w:val="-13"/>
        </w:rPr>
        <w:t xml:space="preserve"> </w:t>
      </w:r>
      <w:r>
        <w:rPr>
          <w:spacing w:val="-4"/>
        </w:rPr>
        <w:t>of</w:t>
      </w:r>
      <w:r>
        <w:rPr>
          <w:spacing w:val="-13"/>
        </w:rPr>
        <w:t xml:space="preserve"> </w:t>
      </w:r>
      <w:r>
        <w:rPr>
          <w:spacing w:val="-4"/>
        </w:rPr>
        <w:t>clinicians</w:t>
      </w:r>
      <w:r>
        <w:rPr>
          <w:spacing w:val="-13"/>
        </w:rPr>
        <w:t xml:space="preserve"> </w:t>
      </w:r>
      <w:r>
        <w:rPr>
          <w:spacing w:val="-2"/>
        </w:rPr>
        <w:t>and</w:t>
      </w:r>
      <w:r>
        <w:rPr>
          <w:spacing w:val="-13"/>
        </w:rPr>
        <w:t xml:space="preserve"> </w:t>
      </w:r>
      <w:r>
        <w:t>health</w:t>
      </w:r>
      <w:r>
        <w:rPr>
          <w:spacing w:val="-13"/>
        </w:rPr>
        <w:t xml:space="preserve"> </w:t>
      </w:r>
      <w:r>
        <w:t>service</w:t>
      </w:r>
      <w:r>
        <w:rPr>
          <w:spacing w:val="-13"/>
        </w:rPr>
        <w:t xml:space="preserve"> </w:t>
      </w:r>
      <w:r>
        <w:t>providers</w:t>
      </w:r>
      <w:r>
        <w:rPr>
          <w:spacing w:val="-13"/>
        </w:rPr>
        <w:t xml:space="preserve"> </w:t>
      </w:r>
      <w:r>
        <w:rPr>
          <w:spacing w:val="-5"/>
        </w:rPr>
        <w:t xml:space="preserve">to </w:t>
      </w:r>
      <w:r>
        <w:rPr>
          <w:spacing w:val="-3"/>
        </w:rPr>
        <w:t xml:space="preserve">effectively </w:t>
      </w:r>
      <w:r>
        <w:rPr>
          <w:spacing w:val="-4"/>
        </w:rPr>
        <w:t xml:space="preserve">engage </w:t>
      </w:r>
      <w:r>
        <w:t xml:space="preserve">with </w:t>
      </w:r>
      <w:r>
        <w:rPr>
          <w:spacing w:val="-2"/>
        </w:rPr>
        <w:t xml:space="preserve">and </w:t>
      </w:r>
      <w:r>
        <w:rPr>
          <w:spacing w:val="-3"/>
        </w:rPr>
        <w:t xml:space="preserve">encourage </w:t>
      </w:r>
      <w:r>
        <w:rPr>
          <w:spacing w:val="-4"/>
        </w:rPr>
        <w:t xml:space="preserve">consumer </w:t>
      </w:r>
      <w:r>
        <w:rPr>
          <w:spacing w:val="-3"/>
        </w:rPr>
        <w:t>representation.</w:t>
      </w:r>
    </w:p>
    <w:p w:rsidR="00707D71" w:rsidRDefault="00707D71" w:rsidP="00707D71">
      <w:pPr>
        <w:widowControl w:val="0"/>
        <w:tabs>
          <w:tab w:val="left" w:pos="1580"/>
        </w:tabs>
        <w:autoSpaceDE w:val="0"/>
        <w:autoSpaceDN w:val="0"/>
        <w:spacing w:before="149" w:after="0" w:line="268" w:lineRule="auto"/>
        <w:ind w:right="238"/>
      </w:pPr>
      <w:r>
        <w:t xml:space="preserve">During its first </w:t>
      </w:r>
      <w:r w:rsidRPr="00707D71">
        <w:rPr>
          <w:spacing w:val="-3"/>
        </w:rPr>
        <w:t xml:space="preserve">year </w:t>
      </w:r>
      <w:r>
        <w:t xml:space="preserve">the </w:t>
      </w:r>
      <w:r w:rsidRPr="00707D71">
        <w:rPr>
          <w:spacing w:val="-3"/>
        </w:rPr>
        <w:t xml:space="preserve">new </w:t>
      </w:r>
      <w:r>
        <w:t xml:space="preserve">THS GC Partnership </w:t>
      </w:r>
      <w:r w:rsidRPr="00707D71">
        <w:rPr>
          <w:spacing w:val="-3"/>
        </w:rPr>
        <w:t xml:space="preserve">Subcommittee </w:t>
      </w:r>
      <w:r>
        <w:t xml:space="preserve">has </w:t>
      </w:r>
      <w:r w:rsidRPr="00707D71">
        <w:rPr>
          <w:spacing w:val="-3"/>
        </w:rPr>
        <w:t xml:space="preserve">built </w:t>
      </w:r>
      <w:r>
        <w:t xml:space="preserve">a strong </w:t>
      </w:r>
      <w:r w:rsidRPr="00707D71">
        <w:rPr>
          <w:spacing w:val="-4"/>
        </w:rPr>
        <w:t xml:space="preserve">foundation </w:t>
      </w:r>
      <w:r>
        <w:t xml:space="preserve">on </w:t>
      </w:r>
      <w:r w:rsidRPr="00707D71">
        <w:rPr>
          <w:spacing w:val="-3"/>
        </w:rPr>
        <w:t xml:space="preserve">which to promote </w:t>
      </w:r>
      <w:r w:rsidRPr="00707D71">
        <w:rPr>
          <w:spacing w:val="-2"/>
        </w:rPr>
        <w:t xml:space="preserve">and </w:t>
      </w:r>
      <w:r>
        <w:t xml:space="preserve">support </w:t>
      </w:r>
      <w:r w:rsidRPr="00707D71">
        <w:rPr>
          <w:spacing w:val="-3"/>
        </w:rPr>
        <w:t xml:space="preserve">collaboration between </w:t>
      </w:r>
      <w:r>
        <w:t xml:space="preserve">the THS </w:t>
      </w:r>
      <w:r w:rsidRPr="00707D71">
        <w:rPr>
          <w:spacing w:val="-2"/>
        </w:rPr>
        <w:t xml:space="preserve">and </w:t>
      </w:r>
      <w:r>
        <w:t>its priority partners.</w:t>
      </w:r>
    </w:p>
    <w:p w:rsidR="00707D71" w:rsidRDefault="00707D71" w:rsidP="00707D71">
      <w:pPr>
        <w:spacing w:before="1"/>
        <w:rPr>
          <w:rFonts w:ascii="GillSans-SemiBold"/>
          <w:b/>
        </w:rPr>
      </w:pPr>
    </w:p>
    <w:p w:rsidR="00707D71" w:rsidRDefault="00707D71" w:rsidP="00707D71">
      <w:pPr>
        <w:spacing w:before="1"/>
      </w:pPr>
      <w:r>
        <w:rPr>
          <w:rFonts w:ascii="GillSans-SemiBold"/>
          <w:b/>
        </w:rPr>
        <w:t>Professor Judi Walker</w:t>
      </w:r>
      <w:r>
        <w:rPr>
          <w:rFonts w:ascii="GillSans-SemiBold"/>
          <w:b/>
        </w:rPr>
        <w:br/>
      </w:r>
      <w:r>
        <w:t>Chair</w:t>
      </w:r>
    </w:p>
    <w:p w:rsidR="00707D71" w:rsidRDefault="00707D71" w:rsidP="00707D71">
      <w:pPr>
        <w:widowControl w:val="0"/>
        <w:tabs>
          <w:tab w:val="left" w:pos="1580"/>
        </w:tabs>
        <w:autoSpaceDE w:val="0"/>
        <w:autoSpaceDN w:val="0"/>
        <w:spacing w:before="149" w:after="0" w:line="268" w:lineRule="auto"/>
        <w:ind w:right="238"/>
      </w:pPr>
    </w:p>
    <w:p w:rsidR="00E730AE" w:rsidRDefault="00707D71" w:rsidP="00707D71">
      <w:pPr>
        <w:pStyle w:val="Heading4"/>
      </w:pPr>
      <w:r>
        <w:t>Quality and Safety Subcommittee</w:t>
      </w:r>
    </w:p>
    <w:p w:rsidR="00707D71" w:rsidRDefault="00707D71" w:rsidP="00707D71">
      <w:pPr>
        <w:pStyle w:val="BodyText"/>
        <w:spacing w:before="176" w:line="268" w:lineRule="auto"/>
        <w:ind w:right="396"/>
      </w:pPr>
      <w:r>
        <w:t xml:space="preserve">The Quality and Safety Subcommittee is one of the four subcommittees of the Tasmanian Health Service (THS) Governing Council (GC). The Subcommittee is constituted in accordance with Section 27 and Schedule 5 of the </w:t>
      </w:r>
      <w:r>
        <w:rPr>
          <w:rFonts w:ascii="GillSans-LightItalic"/>
          <w:i/>
        </w:rPr>
        <w:t xml:space="preserve">Tasmanian Health Organisations Act 2011 </w:t>
      </w:r>
      <w:r>
        <w:t>and the requirements therein.</w:t>
      </w:r>
    </w:p>
    <w:p w:rsidR="00707D71" w:rsidRDefault="00707D71" w:rsidP="00707D71">
      <w:pPr>
        <w:pStyle w:val="BodyText"/>
        <w:spacing w:before="160"/>
      </w:pPr>
      <w:r>
        <w:t>The purpose of the Subcommittee is to:</w:t>
      </w:r>
    </w:p>
    <w:p w:rsidR="00707D71" w:rsidRDefault="00707D71" w:rsidP="00103528">
      <w:pPr>
        <w:pStyle w:val="ListParagraph"/>
        <w:widowControl w:val="0"/>
        <w:numPr>
          <w:ilvl w:val="0"/>
          <w:numId w:val="3"/>
        </w:numPr>
        <w:tabs>
          <w:tab w:val="left" w:pos="939"/>
        </w:tabs>
        <w:autoSpaceDE w:val="0"/>
        <w:autoSpaceDN w:val="0"/>
        <w:spacing w:before="189" w:after="0" w:line="268" w:lineRule="auto"/>
        <w:ind w:right="332"/>
        <w:contextualSpacing w:val="0"/>
      </w:pPr>
      <w:r w:rsidRPr="00707D71">
        <w:rPr>
          <w:spacing w:val="2"/>
        </w:rPr>
        <w:t xml:space="preserve">Assist </w:t>
      </w:r>
      <w:r>
        <w:t xml:space="preserve">the Governing Council of the THS to </w:t>
      </w:r>
      <w:r w:rsidRPr="00707D71">
        <w:rPr>
          <w:spacing w:val="2"/>
        </w:rPr>
        <w:t xml:space="preserve">fulfil </w:t>
      </w:r>
      <w:r w:rsidRPr="00707D71">
        <w:rPr>
          <w:spacing w:val="3"/>
        </w:rPr>
        <w:t xml:space="preserve">its </w:t>
      </w:r>
      <w:r>
        <w:t>clinical governance and</w:t>
      </w:r>
      <w:r w:rsidRPr="00707D71">
        <w:rPr>
          <w:spacing w:val="24"/>
        </w:rPr>
        <w:t xml:space="preserve"> </w:t>
      </w:r>
      <w:r>
        <w:t>oversight responsibilities in relation to quality, safety and clinical risk.</w:t>
      </w:r>
    </w:p>
    <w:p w:rsidR="00707D71" w:rsidRDefault="00707D71" w:rsidP="00103528">
      <w:pPr>
        <w:pStyle w:val="ListParagraph"/>
        <w:widowControl w:val="0"/>
        <w:numPr>
          <w:ilvl w:val="0"/>
          <w:numId w:val="3"/>
        </w:numPr>
        <w:tabs>
          <w:tab w:val="left" w:pos="939"/>
        </w:tabs>
        <w:autoSpaceDE w:val="0"/>
        <w:autoSpaceDN w:val="0"/>
        <w:spacing w:before="160" w:after="0" w:line="268" w:lineRule="auto"/>
        <w:ind w:right="105"/>
        <w:contextualSpacing w:val="0"/>
      </w:pPr>
      <w:r>
        <w:rPr>
          <w:spacing w:val="2"/>
        </w:rPr>
        <w:t xml:space="preserve">Assist </w:t>
      </w:r>
      <w:r>
        <w:t xml:space="preserve">the Governing Council to lead a culture in the THS that will result in safer, more effective and more responsive care and </w:t>
      </w:r>
      <w:r>
        <w:rPr>
          <w:spacing w:val="2"/>
        </w:rPr>
        <w:t xml:space="preserve">services, </w:t>
      </w:r>
      <w:r>
        <w:t xml:space="preserve">and promote to </w:t>
      </w:r>
      <w:r>
        <w:rPr>
          <w:spacing w:val="3"/>
        </w:rPr>
        <w:t xml:space="preserve">staff </w:t>
      </w:r>
      <w:r>
        <w:t xml:space="preserve">and consumers the </w:t>
      </w:r>
      <w:r>
        <w:rPr>
          <w:spacing w:val="2"/>
        </w:rPr>
        <w:t xml:space="preserve">importance </w:t>
      </w:r>
      <w:r>
        <w:t>of safe, effective</w:t>
      </w:r>
      <w:r>
        <w:rPr>
          <w:spacing w:val="23"/>
        </w:rPr>
        <w:t xml:space="preserve"> </w:t>
      </w:r>
      <w:r>
        <w:rPr>
          <w:spacing w:val="2"/>
        </w:rPr>
        <w:t>care.</w:t>
      </w:r>
    </w:p>
    <w:p w:rsidR="00707D71" w:rsidRDefault="00707D71" w:rsidP="00707D71">
      <w:pPr>
        <w:pStyle w:val="BodyText"/>
        <w:spacing w:before="159"/>
      </w:pPr>
      <w:r>
        <w:t>Membership of the Committee includes:</w:t>
      </w:r>
    </w:p>
    <w:p w:rsidR="00707D71" w:rsidRDefault="00707D71" w:rsidP="00707D71">
      <w:pPr>
        <w:pStyle w:val="BodyText"/>
        <w:spacing w:before="189" w:line="268" w:lineRule="auto"/>
        <w:ind w:right="396"/>
      </w:pPr>
      <w:r>
        <w:t>Associate Professor Dr Deborah Wilson – Chair and THS GC member</w:t>
      </w:r>
    </w:p>
    <w:p w:rsidR="00707D71" w:rsidRDefault="00707D71" w:rsidP="00707D71">
      <w:pPr>
        <w:pStyle w:val="BodyText"/>
        <w:spacing w:before="159" w:line="422" w:lineRule="auto"/>
        <w:ind w:right="84"/>
      </w:pPr>
      <w:r>
        <w:t>Professor Denise Fassett – THS GC Member Mr John Ramsay – Chair of THS GC</w:t>
      </w:r>
    </w:p>
    <w:p w:rsidR="00707D71" w:rsidRDefault="00707D71" w:rsidP="00707D71">
      <w:pPr>
        <w:pStyle w:val="BodyText"/>
      </w:pPr>
      <w:r>
        <w:lastRenderedPageBreak/>
        <w:t>In Attendance:</w:t>
      </w:r>
    </w:p>
    <w:p w:rsidR="00707D71" w:rsidRDefault="00707D71" w:rsidP="00707D71">
      <w:pPr>
        <w:pStyle w:val="BodyText"/>
        <w:spacing w:before="190" w:line="268" w:lineRule="auto"/>
        <w:ind w:right="356"/>
      </w:pPr>
      <w:r>
        <w:t>Chief Executive Officer – Dr Anne Brand 1/6/2015-1/2/2016, Dr David Alcorn 1/2/2016</w:t>
      </w:r>
    </w:p>
    <w:p w:rsidR="00707D71" w:rsidRDefault="00707D71" w:rsidP="00707D71">
      <w:pPr>
        <w:pStyle w:val="BodyText"/>
      </w:pPr>
      <w:r>
        <w:t>-30/6/2016.</w:t>
      </w:r>
    </w:p>
    <w:p w:rsidR="00707D71" w:rsidRDefault="00707D71" w:rsidP="00707D71">
      <w:pPr>
        <w:pStyle w:val="BodyText"/>
        <w:spacing w:before="190" w:line="268" w:lineRule="auto"/>
        <w:ind w:right="84"/>
      </w:pPr>
      <w:proofErr w:type="gramStart"/>
      <w:r>
        <w:t>Acting Chief Operating Officer – Mr Craig Watson.</w:t>
      </w:r>
      <w:proofErr w:type="gramEnd"/>
      <w:r>
        <w:t xml:space="preserve"> Prior to the Appointment of the Acting Chief Operating Officer, meetings were attended by the Executive Directors of Services North, South and North West.</w:t>
      </w:r>
    </w:p>
    <w:p w:rsidR="00707D71" w:rsidRDefault="00707D71" w:rsidP="00707D71">
      <w:pPr>
        <w:pStyle w:val="BodyText"/>
        <w:spacing w:before="159" w:line="268" w:lineRule="auto"/>
        <w:ind w:right="84"/>
      </w:pPr>
      <w:proofErr w:type="gramStart"/>
      <w:r>
        <w:t>Executive Director for Patient Safety – Dr Annette Pantle.</w:t>
      </w:r>
      <w:proofErr w:type="gramEnd"/>
      <w:r>
        <w:t xml:space="preserve"> Prior to the appointment of Dr Pantle, meetings were attended by the Directors of Quality and Safety, the Directors of Nursing, the Directors of Allied Health, the Directors</w:t>
      </w:r>
    </w:p>
    <w:p w:rsidR="00707D71" w:rsidRDefault="00707D71" w:rsidP="00707D71">
      <w:pPr>
        <w:pStyle w:val="BodyText"/>
        <w:spacing w:line="268" w:lineRule="auto"/>
        <w:ind w:right="342"/>
      </w:pPr>
      <w:proofErr w:type="gramStart"/>
      <w:r>
        <w:t>of</w:t>
      </w:r>
      <w:proofErr w:type="gramEnd"/>
      <w:r>
        <w:t xml:space="preserve"> Medical Services North, South, North West on a rotating basis and a representative from Ambulance Tasmania.</w:t>
      </w:r>
    </w:p>
    <w:p w:rsidR="00707D71" w:rsidRDefault="00707D71" w:rsidP="00707D71">
      <w:pPr>
        <w:pStyle w:val="BodyText"/>
        <w:spacing w:before="159" w:line="268" w:lineRule="auto"/>
        <w:ind w:right="342"/>
      </w:pPr>
      <w:r>
        <w:t>The subcommittee met on a monthly basis. The main focus of the committee has been to amalgamate the work of the three previous</w:t>
      </w:r>
    </w:p>
    <w:p w:rsidR="00707D71" w:rsidRDefault="00707D71" w:rsidP="00707D71">
      <w:pPr>
        <w:pStyle w:val="BodyText"/>
        <w:spacing w:line="268" w:lineRule="auto"/>
        <w:ind w:right="100"/>
      </w:pPr>
      <w:proofErr w:type="gramStart"/>
      <w:r>
        <w:t>regionally</w:t>
      </w:r>
      <w:proofErr w:type="gramEnd"/>
      <w:r>
        <w:t xml:space="preserve"> based Tasmanian Health Organisations to create a statewide approach to quality and safety.</w:t>
      </w:r>
    </w:p>
    <w:p w:rsidR="00707D71" w:rsidRDefault="00707D71" w:rsidP="00707D71">
      <w:pPr>
        <w:pStyle w:val="BodyText"/>
        <w:spacing w:before="160" w:line="268" w:lineRule="auto"/>
        <w:ind w:right="100"/>
      </w:pPr>
      <w:r>
        <w:t>The Activities of the Committee during 2015/16 can be considered under the following broad headings.</w:t>
      </w:r>
    </w:p>
    <w:p w:rsidR="00707D71" w:rsidRDefault="00707D71" w:rsidP="00103528">
      <w:pPr>
        <w:pStyle w:val="ListParagraph"/>
        <w:widowControl w:val="0"/>
        <w:numPr>
          <w:ilvl w:val="0"/>
          <w:numId w:val="4"/>
        </w:numPr>
        <w:tabs>
          <w:tab w:val="left" w:pos="837"/>
        </w:tabs>
        <w:autoSpaceDE w:val="0"/>
        <w:autoSpaceDN w:val="0"/>
        <w:spacing w:before="160" w:after="0" w:line="268" w:lineRule="auto"/>
        <w:ind w:left="567" w:right="273" w:hanging="567"/>
        <w:contextualSpacing w:val="0"/>
        <w:jc w:val="left"/>
      </w:pPr>
      <w:r>
        <w:t xml:space="preserve">Monitoring the Quality and Safety of the </w:t>
      </w:r>
      <w:r>
        <w:rPr>
          <w:spacing w:val="2"/>
        </w:rPr>
        <w:t xml:space="preserve">Care </w:t>
      </w:r>
      <w:r>
        <w:t xml:space="preserve">the THS provides – This </w:t>
      </w:r>
      <w:r>
        <w:rPr>
          <w:spacing w:val="2"/>
        </w:rPr>
        <w:t xml:space="preserve">was </w:t>
      </w:r>
      <w:r>
        <w:t xml:space="preserve">achieved by reviewing a number of quality and safety </w:t>
      </w:r>
      <w:r>
        <w:rPr>
          <w:spacing w:val="4"/>
        </w:rPr>
        <w:t xml:space="preserve">reports. </w:t>
      </w:r>
      <w:r>
        <w:t xml:space="preserve">These included </w:t>
      </w:r>
      <w:r>
        <w:rPr>
          <w:spacing w:val="4"/>
        </w:rPr>
        <w:t xml:space="preserve">reports </w:t>
      </w:r>
      <w:r>
        <w:t xml:space="preserve">generated from the THS Safety </w:t>
      </w:r>
      <w:r>
        <w:rPr>
          <w:spacing w:val="2"/>
        </w:rPr>
        <w:t xml:space="preserve">Reporting </w:t>
      </w:r>
      <w:r>
        <w:t xml:space="preserve">Learning System (SRLS), spot light </w:t>
      </w:r>
      <w:r>
        <w:rPr>
          <w:spacing w:val="4"/>
        </w:rPr>
        <w:t xml:space="preserve">reports </w:t>
      </w:r>
      <w:r>
        <w:t xml:space="preserve">of the organisation’s </w:t>
      </w:r>
      <w:r>
        <w:rPr>
          <w:spacing w:val="2"/>
        </w:rPr>
        <w:t xml:space="preserve">performance </w:t>
      </w:r>
      <w:r>
        <w:t xml:space="preserve">against the 9 National Safety and Quality Health </w:t>
      </w:r>
      <w:r>
        <w:rPr>
          <w:spacing w:val="2"/>
        </w:rPr>
        <w:t xml:space="preserve">Service </w:t>
      </w:r>
      <w:r>
        <w:t xml:space="preserve">Standards (NSQHS) and a review of Coroner’s </w:t>
      </w:r>
      <w:r>
        <w:rPr>
          <w:spacing w:val="4"/>
        </w:rPr>
        <w:t xml:space="preserve">reports. </w:t>
      </w:r>
      <w:r>
        <w:rPr>
          <w:spacing w:val="2"/>
        </w:rPr>
        <w:t xml:space="preserve">Particular attention was </w:t>
      </w:r>
      <w:r>
        <w:t xml:space="preserve">given to monitoring serious adverse events across the organisation. The organisation’s </w:t>
      </w:r>
      <w:r>
        <w:rPr>
          <w:spacing w:val="2"/>
        </w:rPr>
        <w:t xml:space="preserve">performance </w:t>
      </w:r>
      <w:r>
        <w:t xml:space="preserve">against the Quality and Safety Key Performance Indicators in the </w:t>
      </w:r>
      <w:r>
        <w:rPr>
          <w:spacing w:val="2"/>
        </w:rPr>
        <w:t xml:space="preserve">Service </w:t>
      </w:r>
      <w:r>
        <w:t xml:space="preserve">Level Agreement with the DHHS </w:t>
      </w:r>
      <w:r>
        <w:rPr>
          <w:spacing w:val="2"/>
        </w:rPr>
        <w:t xml:space="preserve">was </w:t>
      </w:r>
      <w:r>
        <w:t>also monitored.</w:t>
      </w:r>
    </w:p>
    <w:p w:rsidR="00876819" w:rsidRDefault="00707D71" w:rsidP="00103528">
      <w:pPr>
        <w:pStyle w:val="ListParagraph"/>
        <w:widowControl w:val="0"/>
        <w:numPr>
          <w:ilvl w:val="0"/>
          <w:numId w:val="4"/>
        </w:numPr>
        <w:tabs>
          <w:tab w:val="left" w:pos="837"/>
        </w:tabs>
        <w:autoSpaceDE w:val="0"/>
        <w:autoSpaceDN w:val="0"/>
        <w:spacing w:before="30" w:after="0" w:line="268" w:lineRule="auto"/>
        <w:ind w:left="567" w:right="281" w:hanging="567"/>
        <w:contextualSpacing w:val="0"/>
        <w:jc w:val="left"/>
      </w:pPr>
      <w:r>
        <w:t>Overseeing the THS Accreditation</w:t>
      </w:r>
      <w:r w:rsidRPr="00876819">
        <w:rPr>
          <w:spacing w:val="48"/>
        </w:rPr>
        <w:t xml:space="preserve"> </w:t>
      </w:r>
      <w:r>
        <w:t>Processes</w:t>
      </w:r>
      <w:r w:rsidR="00876819">
        <w:t xml:space="preserve"> </w:t>
      </w:r>
      <w:r>
        <w:t xml:space="preserve">– A number of facilities across the THS were successful in achieving accreditation </w:t>
      </w:r>
      <w:proofErr w:type="gramStart"/>
      <w:r>
        <w:t>against  the</w:t>
      </w:r>
      <w:proofErr w:type="gramEnd"/>
      <w:r>
        <w:t xml:space="preserve"> relevant </w:t>
      </w:r>
      <w:r w:rsidRPr="00876819">
        <w:rPr>
          <w:spacing w:val="2"/>
        </w:rPr>
        <w:t xml:space="preserve">standards </w:t>
      </w:r>
      <w:r>
        <w:t xml:space="preserve">during the </w:t>
      </w:r>
      <w:r w:rsidRPr="00876819">
        <w:rPr>
          <w:spacing w:val="-3"/>
        </w:rPr>
        <w:t xml:space="preserve">year. </w:t>
      </w:r>
      <w:r>
        <w:t xml:space="preserve">In the THS </w:t>
      </w:r>
      <w:r w:rsidRPr="00876819">
        <w:rPr>
          <w:spacing w:val="2"/>
        </w:rPr>
        <w:t xml:space="preserve">Southern </w:t>
      </w:r>
      <w:r>
        <w:t xml:space="preserve">region these include the Acute (Royal </w:t>
      </w:r>
      <w:r w:rsidRPr="00876819">
        <w:rPr>
          <w:spacing w:val="3"/>
        </w:rPr>
        <w:t xml:space="preserve">Hobart </w:t>
      </w:r>
      <w:r>
        <w:t xml:space="preserve">Hospital excluding </w:t>
      </w:r>
      <w:r w:rsidRPr="00876819">
        <w:rPr>
          <w:spacing w:val="2"/>
        </w:rPr>
        <w:t xml:space="preserve">Mental </w:t>
      </w:r>
      <w:r>
        <w:t xml:space="preserve">Health) and Community </w:t>
      </w:r>
      <w:r w:rsidRPr="00876819">
        <w:rPr>
          <w:spacing w:val="2"/>
        </w:rPr>
        <w:t xml:space="preserve">sectors </w:t>
      </w:r>
      <w:r>
        <w:t xml:space="preserve">and </w:t>
      </w:r>
      <w:r w:rsidRPr="00876819">
        <w:rPr>
          <w:spacing w:val="2"/>
        </w:rPr>
        <w:t xml:space="preserve">Oral </w:t>
      </w:r>
      <w:r>
        <w:t xml:space="preserve">Health. In the </w:t>
      </w:r>
      <w:r w:rsidRPr="00876819">
        <w:rPr>
          <w:spacing w:val="4"/>
        </w:rPr>
        <w:t xml:space="preserve">Northern </w:t>
      </w:r>
      <w:r>
        <w:t xml:space="preserve">Region, </w:t>
      </w:r>
      <w:r w:rsidRPr="00876819">
        <w:rPr>
          <w:spacing w:val="3"/>
        </w:rPr>
        <w:t xml:space="preserve">Primary </w:t>
      </w:r>
      <w:r>
        <w:t xml:space="preserve">Health. In the </w:t>
      </w:r>
      <w:r w:rsidRPr="00876819">
        <w:rPr>
          <w:spacing w:val="4"/>
        </w:rPr>
        <w:t xml:space="preserve">North </w:t>
      </w:r>
      <w:r>
        <w:t>West Region,</w:t>
      </w:r>
      <w:r w:rsidRPr="00876819">
        <w:rPr>
          <w:spacing w:val="25"/>
        </w:rPr>
        <w:t xml:space="preserve"> </w:t>
      </w:r>
      <w:r>
        <w:t>the</w:t>
      </w:r>
      <w:r w:rsidR="00876819">
        <w:t xml:space="preserve"> </w:t>
      </w:r>
      <w:r>
        <w:t>Acute Sector (North West Regional Hospital including Mental Health, Mersey Community Hospital) and Aged Care Accreditation (Lyell House – Health West District Hospital).</w:t>
      </w:r>
    </w:p>
    <w:p w:rsidR="00707D71" w:rsidRDefault="00707D71" w:rsidP="00103528">
      <w:pPr>
        <w:pStyle w:val="ListParagraph"/>
        <w:widowControl w:val="0"/>
        <w:numPr>
          <w:ilvl w:val="0"/>
          <w:numId w:val="4"/>
        </w:numPr>
        <w:tabs>
          <w:tab w:val="left" w:pos="837"/>
        </w:tabs>
        <w:autoSpaceDE w:val="0"/>
        <w:autoSpaceDN w:val="0"/>
        <w:spacing w:before="30" w:after="0" w:line="268" w:lineRule="auto"/>
        <w:ind w:left="567" w:right="281" w:hanging="567"/>
        <w:contextualSpacing w:val="0"/>
        <w:jc w:val="left"/>
      </w:pPr>
      <w:r>
        <w:t>Monitoring Clinical Risk – The committee has worked with the THS Audit and</w:t>
      </w:r>
      <w:r w:rsidRPr="00876819">
        <w:rPr>
          <w:spacing w:val="40"/>
        </w:rPr>
        <w:t xml:space="preserve"> </w:t>
      </w:r>
      <w:r>
        <w:t>Risk</w:t>
      </w:r>
      <w:r w:rsidRPr="00707D71">
        <w:t xml:space="preserve"> </w:t>
      </w:r>
      <w:r>
        <w:t>Subcommittee to ensure clinical risk is identified, assessed, rated, controlled and monitored. Areas of clinical risk have also formed part of the THS internal audit plan.</w:t>
      </w:r>
    </w:p>
    <w:p w:rsidR="00707D71" w:rsidRDefault="00707D71" w:rsidP="00103528">
      <w:pPr>
        <w:pStyle w:val="ListParagraph"/>
        <w:widowControl w:val="0"/>
        <w:numPr>
          <w:ilvl w:val="0"/>
          <w:numId w:val="4"/>
        </w:numPr>
        <w:tabs>
          <w:tab w:val="left" w:pos="1663"/>
        </w:tabs>
        <w:autoSpaceDE w:val="0"/>
        <w:autoSpaceDN w:val="0"/>
        <w:spacing w:before="159" w:after="0" w:line="268" w:lineRule="auto"/>
        <w:ind w:left="567" w:right="281" w:hanging="567"/>
        <w:contextualSpacing w:val="0"/>
        <w:jc w:val="left"/>
      </w:pPr>
      <w:r>
        <w:t xml:space="preserve">Monitoring Clinical Governance in relation to Clinical Staff – The committee is working with the Executive to develop a </w:t>
      </w:r>
      <w:r w:rsidRPr="00876819">
        <w:rPr>
          <w:spacing w:val="2"/>
        </w:rPr>
        <w:t xml:space="preserve">robust, </w:t>
      </w:r>
      <w:r>
        <w:t xml:space="preserve">statewide </w:t>
      </w:r>
      <w:r w:rsidRPr="00876819">
        <w:rPr>
          <w:spacing w:val="2"/>
        </w:rPr>
        <w:t xml:space="preserve">system </w:t>
      </w:r>
      <w:r>
        <w:t>for Credentialling and</w:t>
      </w:r>
      <w:r w:rsidRPr="00876819">
        <w:rPr>
          <w:spacing w:val="33"/>
        </w:rPr>
        <w:t xml:space="preserve"> </w:t>
      </w:r>
      <w:r>
        <w:t>determining</w:t>
      </w:r>
      <w:r w:rsidR="00876819">
        <w:t xml:space="preserve"> </w:t>
      </w:r>
      <w:r>
        <w:t>the scope of practice for all clinical staff. The committee has also monitored the performance of a small number of senior clinical staff where AHPRA notification has occurred.</w:t>
      </w:r>
    </w:p>
    <w:p w:rsidR="00707D71" w:rsidRDefault="00707D71" w:rsidP="00103528">
      <w:pPr>
        <w:pStyle w:val="ListParagraph"/>
        <w:widowControl w:val="0"/>
        <w:numPr>
          <w:ilvl w:val="0"/>
          <w:numId w:val="4"/>
        </w:numPr>
        <w:tabs>
          <w:tab w:val="left" w:pos="1663"/>
        </w:tabs>
        <w:autoSpaceDE w:val="0"/>
        <w:autoSpaceDN w:val="0"/>
        <w:spacing w:before="160" w:after="0" w:line="268" w:lineRule="auto"/>
        <w:ind w:left="567" w:right="135" w:hanging="567"/>
        <w:contextualSpacing w:val="0"/>
        <w:jc w:val="left"/>
      </w:pPr>
      <w:r>
        <w:t>Monitoring the organisation’s clinical policies, procedures and protocols – The committee has worked with the Executive to create a statewide approach in this</w:t>
      </w:r>
      <w:r>
        <w:rPr>
          <w:spacing w:val="33"/>
        </w:rPr>
        <w:t xml:space="preserve"> </w:t>
      </w:r>
      <w:r>
        <w:rPr>
          <w:spacing w:val="2"/>
        </w:rPr>
        <w:t>area.</w:t>
      </w:r>
    </w:p>
    <w:p w:rsidR="00876819" w:rsidRDefault="00707D71" w:rsidP="00103528">
      <w:pPr>
        <w:pStyle w:val="ListParagraph"/>
        <w:widowControl w:val="0"/>
        <w:numPr>
          <w:ilvl w:val="0"/>
          <w:numId w:val="4"/>
        </w:numPr>
        <w:tabs>
          <w:tab w:val="left" w:pos="1663"/>
          <w:tab w:val="left" w:pos="5609"/>
        </w:tabs>
        <w:autoSpaceDE w:val="0"/>
        <w:autoSpaceDN w:val="0"/>
        <w:spacing w:before="160" w:after="0" w:line="268" w:lineRule="auto"/>
        <w:ind w:left="567" w:right="1315" w:hanging="567"/>
        <w:contextualSpacing w:val="0"/>
        <w:jc w:val="left"/>
      </w:pPr>
      <w:r>
        <w:t xml:space="preserve">Ensuring the THS </w:t>
      </w:r>
      <w:r w:rsidRPr="00876819">
        <w:rPr>
          <w:spacing w:val="4"/>
        </w:rPr>
        <w:t xml:space="preserve">partners </w:t>
      </w:r>
      <w:r>
        <w:t xml:space="preserve">with patients and </w:t>
      </w:r>
      <w:r w:rsidRPr="00876819">
        <w:rPr>
          <w:spacing w:val="3"/>
        </w:rPr>
        <w:t xml:space="preserve">carers </w:t>
      </w:r>
      <w:r>
        <w:t>in the provision of care –</w:t>
      </w:r>
      <w:r w:rsidRPr="00876819">
        <w:rPr>
          <w:spacing w:val="21"/>
        </w:rPr>
        <w:t xml:space="preserve"> </w:t>
      </w:r>
      <w:r>
        <w:t>The</w:t>
      </w:r>
      <w:r w:rsidR="00876819">
        <w:t xml:space="preserve"> </w:t>
      </w:r>
      <w:r>
        <w:t>committee has received reports on feedback</w:t>
      </w:r>
      <w:r w:rsidR="00876819">
        <w:t xml:space="preserve"> </w:t>
      </w:r>
      <w:r>
        <w:t>the organisation has received</w:t>
      </w:r>
      <w:r w:rsidRPr="00876819">
        <w:rPr>
          <w:spacing w:val="19"/>
        </w:rPr>
        <w:t xml:space="preserve"> </w:t>
      </w:r>
      <w:r>
        <w:t>from</w:t>
      </w:r>
      <w:r w:rsidRPr="00876819">
        <w:rPr>
          <w:spacing w:val="4"/>
        </w:rPr>
        <w:t xml:space="preserve"> </w:t>
      </w:r>
      <w:r w:rsidR="00876819">
        <w:t xml:space="preserve">patients </w:t>
      </w:r>
      <w:r>
        <w:t xml:space="preserve">and </w:t>
      </w:r>
      <w:r w:rsidRPr="00876819">
        <w:rPr>
          <w:spacing w:val="3"/>
        </w:rPr>
        <w:t xml:space="preserve">carers </w:t>
      </w:r>
      <w:r>
        <w:t xml:space="preserve">in relation to the care the THS has provided. Over the </w:t>
      </w:r>
      <w:r w:rsidRPr="00876819">
        <w:rPr>
          <w:spacing w:val="3"/>
        </w:rPr>
        <w:t xml:space="preserve">next </w:t>
      </w:r>
      <w:r>
        <w:t>year the committee will be working towards</w:t>
      </w:r>
      <w:r w:rsidRPr="00876819">
        <w:rPr>
          <w:spacing w:val="41"/>
        </w:rPr>
        <w:t xml:space="preserve"> </w:t>
      </w:r>
      <w:r>
        <w:t>a</w:t>
      </w:r>
      <w:r w:rsidR="00876819">
        <w:t xml:space="preserve"> </w:t>
      </w:r>
      <w:r>
        <w:t>statewide approach to collecting consumer feedback.</w:t>
      </w:r>
    </w:p>
    <w:p w:rsidR="00707D71" w:rsidRDefault="00707D71" w:rsidP="00103528">
      <w:pPr>
        <w:pStyle w:val="ListParagraph"/>
        <w:widowControl w:val="0"/>
        <w:numPr>
          <w:ilvl w:val="0"/>
          <w:numId w:val="4"/>
        </w:numPr>
        <w:tabs>
          <w:tab w:val="left" w:pos="1663"/>
          <w:tab w:val="left" w:pos="5609"/>
        </w:tabs>
        <w:autoSpaceDE w:val="0"/>
        <w:autoSpaceDN w:val="0"/>
        <w:spacing w:before="160" w:after="0" w:line="268" w:lineRule="auto"/>
        <w:ind w:left="567" w:right="1315" w:hanging="567"/>
        <w:contextualSpacing w:val="0"/>
        <w:jc w:val="left"/>
      </w:pPr>
      <w:r>
        <w:lastRenderedPageBreak/>
        <w:t xml:space="preserve">Monitoring Medico-Legal </w:t>
      </w:r>
      <w:r w:rsidRPr="00876819">
        <w:rPr>
          <w:spacing w:val="3"/>
        </w:rPr>
        <w:t xml:space="preserve">matters </w:t>
      </w:r>
      <w:r>
        <w:t>– The committee has monitored issues arising from medico legal claims across the</w:t>
      </w:r>
      <w:r w:rsidRPr="00876819">
        <w:rPr>
          <w:spacing w:val="35"/>
        </w:rPr>
        <w:t xml:space="preserve"> </w:t>
      </w:r>
      <w:r>
        <w:t>organisation.</w:t>
      </w:r>
    </w:p>
    <w:p w:rsidR="00707D71" w:rsidRDefault="00707D71" w:rsidP="00876819">
      <w:pPr>
        <w:pStyle w:val="BodyText"/>
        <w:spacing w:before="159" w:line="268" w:lineRule="auto"/>
        <w:ind w:right="1453"/>
      </w:pPr>
      <w:r>
        <w:t>The committee has had a number of presentations from external parties to help improve its understanding of issues relevant to the committee. These include the Coroner’s Office, AHPRA, DHHS representatives Dr Tony Lawler and Martin Hensher, and Frances Hall from Internal Audit.</w:t>
      </w:r>
    </w:p>
    <w:p w:rsidR="00707D71" w:rsidRDefault="00707D71" w:rsidP="00707D71">
      <w:pPr>
        <w:pStyle w:val="BodyText"/>
        <w:spacing w:before="10"/>
        <w:rPr>
          <w:sz w:val="27"/>
        </w:rPr>
      </w:pPr>
    </w:p>
    <w:p w:rsidR="00707D71" w:rsidRDefault="00707D71" w:rsidP="00876819">
      <w:r>
        <w:rPr>
          <w:rFonts w:ascii="GillSans-SemiBold"/>
          <w:b/>
        </w:rPr>
        <w:t>Associate Professor Dr Deborah Wilson</w:t>
      </w:r>
      <w:r w:rsidR="00876819">
        <w:rPr>
          <w:rFonts w:ascii="GillSans-SemiBold"/>
          <w:b/>
        </w:rPr>
        <w:br/>
      </w:r>
      <w:r>
        <w:t>Chair</w:t>
      </w:r>
    </w:p>
    <w:p w:rsidR="00876819" w:rsidRDefault="00876819" w:rsidP="00876819">
      <w:pPr>
        <w:pStyle w:val="BodyText"/>
        <w:sectPr w:rsidR="00876819" w:rsidSect="00025D0E">
          <w:pgSz w:w="11906" w:h="16838"/>
          <w:pgMar w:top="1440" w:right="707" w:bottom="1440" w:left="1134" w:header="708" w:footer="708" w:gutter="0"/>
          <w:cols w:space="708"/>
          <w:docGrid w:linePitch="360"/>
        </w:sectPr>
      </w:pPr>
    </w:p>
    <w:p w:rsidR="00222594" w:rsidRDefault="00222594" w:rsidP="00876819">
      <w:pPr>
        <w:pStyle w:val="Heading4"/>
      </w:pPr>
      <w:r>
        <w:lastRenderedPageBreak/>
        <w:t>Feature - Digital Medical Record (DMR)</w:t>
      </w:r>
    </w:p>
    <w:p w:rsidR="00876819" w:rsidRPr="00222594" w:rsidRDefault="00876819" w:rsidP="00222594">
      <w:pPr>
        <w:pStyle w:val="BodyText"/>
        <w:rPr>
          <w:b/>
        </w:rPr>
      </w:pPr>
      <w:r w:rsidRPr="00222594">
        <w:rPr>
          <w:b/>
        </w:rPr>
        <w:t>On the 28</w:t>
      </w:r>
      <w:r w:rsidRPr="00222594">
        <w:rPr>
          <w:b/>
          <w:vertAlign w:val="superscript"/>
        </w:rPr>
        <w:t>th</w:t>
      </w:r>
      <w:r w:rsidRPr="00222594">
        <w:rPr>
          <w:b/>
        </w:rPr>
        <w:t xml:space="preserve"> June 2016, the Digital Medical Record (DMR) was successfully launched at the Launceston General Hospital.</w:t>
      </w:r>
    </w:p>
    <w:p w:rsidR="00876819" w:rsidRDefault="00876819" w:rsidP="00161B85">
      <w:pPr>
        <w:pStyle w:val="BodyText"/>
      </w:pPr>
      <w:r>
        <w:t>This successful system deployment is the</w:t>
      </w:r>
      <w:r w:rsidR="00161B85">
        <w:t xml:space="preserve"> </w:t>
      </w:r>
      <w:r>
        <w:t>culmination of ten years’ work to provide a single</w:t>
      </w:r>
      <w:r w:rsidR="00161B85">
        <w:t xml:space="preserve"> </w:t>
      </w:r>
      <w:r>
        <w:t>instance medical record across all acute facilities</w:t>
      </w:r>
      <w:r w:rsidR="00161B85">
        <w:t xml:space="preserve"> </w:t>
      </w:r>
      <w:r>
        <w:t>across the state of Tasmania.</w:t>
      </w:r>
    </w:p>
    <w:p w:rsidR="00876819" w:rsidRDefault="00876819" w:rsidP="00161B85">
      <w:pPr>
        <w:pStyle w:val="BodyText"/>
      </w:pPr>
      <w:r>
        <w:t>Tasmania is the only state to have a single medical</w:t>
      </w:r>
      <w:r w:rsidR="00161B85">
        <w:t xml:space="preserve"> </w:t>
      </w:r>
      <w:r>
        <w:t>record spanning all State hospitals and all staff of</w:t>
      </w:r>
      <w:r w:rsidR="00161B85">
        <w:t xml:space="preserve"> </w:t>
      </w:r>
      <w:r>
        <w:t>the DHHS and THS should be very proud of this</w:t>
      </w:r>
      <w:r w:rsidR="00161B85">
        <w:t xml:space="preserve"> </w:t>
      </w:r>
      <w:r>
        <w:t>significant achievement.</w:t>
      </w:r>
    </w:p>
    <w:p w:rsidR="00876819" w:rsidRDefault="00876819" w:rsidP="00161B85">
      <w:pPr>
        <w:pStyle w:val="BodyText"/>
      </w:pPr>
      <w:r>
        <w:t>Having a single instance medical record across the</w:t>
      </w:r>
      <w:r w:rsidR="00161B85">
        <w:t xml:space="preserve"> </w:t>
      </w:r>
      <w:r>
        <w:t>acute sector ensures all clinicians have access to</w:t>
      </w:r>
      <w:r w:rsidR="00161B85">
        <w:t xml:space="preserve"> </w:t>
      </w:r>
      <w:r>
        <w:t>relevant patient information, regardless of their</w:t>
      </w:r>
      <w:r w:rsidR="00161B85">
        <w:t xml:space="preserve"> </w:t>
      </w:r>
      <w:r>
        <w:t>location; and by providing a central repository for</w:t>
      </w:r>
      <w:r w:rsidR="00161B85">
        <w:t xml:space="preserve"> </w:t>
      </w:r>
      <w:r>
        <w:t>clinical information, the DMR supports patient flow</w:t>
      </w:r>
      <w:r w:rsidR="00161B85">
        <w:t xml:space="preserve"> </w:t>
      </w:r>
      <w:r>
        <w:t>across the state.</w:t>
      </w:r>
    </w:p>
    <w:p w:rsidR="00876819" w:rsidRDefault="00876819" w:rsidP="00161B85">
      <w:pPr>
        <w:pStyle w:val="BodyText"/>
      </w:pPr>
      <w:r>
        <w:t>Further to this, by providing a statewide platform</w:t>
      </w:r>
      <w:r w:rsidR="00161B85">
        <w:t xml:space="preserve"> </w:t>
      </w:r>
      <w:r>
        <w:t>for viewing the medical record, the DMR offers</w:t>
      </w:r>
      <w:r w:rsidR="00161B85">
        <w:t xml:space="preserve"> </w:t>
      </w:r>
      <w:r>
        <w:t>significant patient safety and quality aspects (such as</w:t>
      </w:r>
      <w:r w:rsidR="00161B85">
        <w:t xml:space="preserve"> </w:t>
      </w:r>
      <w:r>
        <w:t>a platform to view Patient Administration System</w:t>
      </w:r>
      <w:r w:rsidR="00161B85">
        <w:t xml:space="preserve"> </w:t>
      </w:r>
      <w:r>
        <w:t>based Clinical and Administrative Alerts).</w:t>
      </w:r>
    </w:p>
    <w:p w:rsidR="00876819" w:rsidRDefault="00876819" w:rsidP="00161B85">
      <w:pPr>
        <w:pStyle w:val="BodyText"/>
      </w:pPr>
      <w:r>
        <w:t>There is still significant opportunity for further</w:t>
      </w:r>
      <w:r w:rsidR="00161B85">
        <w:t xml:space="preserve"> </w:t>
      </w:r>
      <w:r>
        <w:t>deployment of the DMR. Currently, work is</w:t>
      </w:r>
      <w:r w:rsidR="00161B85">
        <w:t xml:space="preserve"> </w:t>
      </w:r>
      <w:r>
        <w:t>occurring with many rural facilities and Mental</w:t>
      </w:r>
      <w:r w:rsidR="00161B85">
        <w:t xml:space="preserve"> </w:t>
      </w:r>
      <w:r>
        <w:t>Health to support their transition to and adoption</w:t>
      </w:r>
      <w:r w:rsidR="00161B85">
        <w:t xml:space="preserve"> </w:t>
      </w:r>
      <w:r>
        <w:t>of, the DMR.</w:t>
      </w:r>
    </w:p>
    <w:p w:rsidR="00876819" w:rsidRDefault="00876819" w:rsidP="00161B85">
      <w:pPr>
        <w:pStyle w:val="BodyText"/>
      </w:pPr>
      <w:r>
        <w:t>Further work is occurring to ensure that</w:t>
      </w:r>
      <w:r w:rsidR="00161B85">
        <w:t xml:space="preserve"> </w:t>
      </w:r>
      <w:r>
        <w:t>information from other Clinical Information Systems</w:t>
      </w:r>
      <w:r w:rsidR="00161B85">
        <w:t xml:space="preserve"> </w:t>
      </w:r>
      <w:r>
        <w:t>(CIS) is received by the DMR, increasing its value to</w:t>
      </w:r>
      <w:r w:rsidR="00161B85">
        <w:t xml:space="preserve"> </w:t>
      </w:r>
      <w:r>
        <w:t>clinicians for accessing holistic clinical information.</w:t>
      </w:r>
    </w:p>
    <w:p w:rsidR="00876819" w:rsidRDefault="00876819" w:rsidP="00161B85">
      <w:pPr>
        <w:pStyle w:val="BodyText"/>
      </w:pPr>
      <w:r>
        <w:t>Continuous system enhancements provide</w:t>
      </w:r>
      <w:r w:rsidR="00161B85">
        <w:t xml:space="preserve"> </w:t>
      </w:r>
      <w:r>
        <w:t>opportunity to ensure the system is able to fulfil the</w:t>
      </w:r>
      <w:r w:rsidR="00161B85">
        <w:t xml:space="preserve"> </w:t>
      </w:r>
      <w:r>
        <w:t>need of its intended function.</w:t>
      </w:r>
    </w:p>
    <w:p w:rsidR="00161B85" w:rsidRDefault="00876819" w:rsidP="00161B85">
      <w:pPr>
        <w:pStyle w:val="BodyText"/>
      </w:pPr>
      <w:r>
        <w:t>The DMR is a necessary step in the State’s journey</w:t>
      </w:r>
      <w:r w:rsidR="00161B85">
        <w:t xml:space="preserve"> </w:t>
      </w:r>
      <w:r>
        <w:t>towards a complete Electronic Health Record</w:t>
      </w:r>
      <w:r w:rsidR="00161B85">
        <w:t xml:space="preserve"> </w:t>
      </w:r>
      <w:r>
        <w:t>(EHR) with appreciation that scanning of paper</w:t>
      </w:r>
      <w:r w:rsidR="00161B85">
        <w:t xml:space="preserve"> </w:t>
      </w:r>
      <w:r>
        <w:t>will always be an important aspect of collecting</w:t>
      </w:r>
      <w:r w:rsidR="00161B85">
        <w:t xml:space="preserve"> </w:t>
      </w:r>
      <w:r>
        <w:t>health information. Currently 90,000 new pages are</w:t>
      </w:r>
      <w:r w:rsidR="00161B85">
        <w:t xml:space="preserve"> </w:t>
      </w:r>
      <w:r>
        <w:t>scanned into the system each week.</w:t>
      </w:r>
    </w:p>
    <w:p w:rsidR="00161B85" w:rsidRDefault="00161B85" w:rsidP="00161B85">
      <w:pPr>
        <w:pStyle w:val="BodyText"/>
        <w:sectPr w:rsidR="00161B85" w:rsidSect="00025D0E">
          <w:pgSz w:w="11906" w:h="16838"/>
          <w:pgMar w:top="1440" w:right="707" w:bottom="1440" w:left="1134" w:header="708" w:footer="708" w:gutter="0"/>
          <w:cols w:space="708"/>
          <w:docGrid w:linePitch="360"/>
        </w:sectPr>
      </w:pPr>
    </w:p>
    <w:p w:rsidR="00161B85" w:rsidRDefault="00161B85" w:rsidP="00161B85">
      <w:pPr>
        <w:pStyle w:val="Heading2"/>
      </w:pPr>
      <w:bookmarkStart w:id="13" w:name="_Toc472581953"/>
      <w:r>
        <w:lastRenderedPageBreak/>
        <w:t>Operations</w:t>
      </w:r>
      <w:bookmarkEnd w:id="13"/>
    </w:p>
    <w:p w:rsidR="00161B85" w:rsidRDefault="00161B85" w:rsidP="00161B85">
      <w:pPr>
        <w:pStyle w:val="Heading3"/>
      </w:pPr>
      <w:bookmarkStart w:id="14" w:name="_Toc472581954"/>
      <w:r>
        <w:t>CEO Report</w:t>
      </w:r>
      <w:bookmarkEnd w:id="14"/>
    </w:p>
    <w:p w:rsidR="00161B85" w:rsidRDefault="00161B85" w:rsidP="00161B85">
      <w:pPr>
        <w:pStyle w:val="BodyText"/>
      </w:pPr>
      <w:r>
        <w:t>It was an honour to be appointed the inaugural Tasmanian Health Service CEO starting in February 2016 and I</w:t>
      </w:r>
    </w:p>
    <w:p w:rsidR="00161B85" w:rsidRDefault="00161B85" w:rsidP="00161B85">
      <w:pPr>
        <w:pStyle w:val="BodyText"/>
      </w:pPr>
      <w:proofErr w:type="gramStart"/>
      <w:r>
        <w:t>would</w:t>
      </w:r>
      <w:proofErr w:type="gramEnd"/>
      <w:r>
        <w:t xml:space="preserve"> like to thank my acting predecessor, Dr Anne Brand, for advancing the THS to a state of readiness prior to my arrival. I would also like to thank the THS Governing Council (especially Chair, Mr John Ramsay) for their fulsome support to progress a busy change agenda, and enabling the appointment of key executive leaders. I am also impressed by the support of staff across the THS and their willingness to participate in the many challenges involved in transforming the health system.</w:t>
      </w:r>
    </w:p>
    <w:p w:rsidR="00161B85" w:rsidRDefault="00161B85" w:rsidP="00161B85">
      <w:pPr>
        <w:pStyle w:val="BodyText"/>
      </w:pPr>
      <w:r>
        <w:t>This financial year saw the achievement of a number of accreditation milestones, with the assurance for every Tasmanian that your health services are accredited to Australian standards. It also saw the appointment of Tasmania’s first Executive Director for Patient Safety, Dr Annette Pantle.</w:t>
      </w:r>
    </w:p>
    <w:p w:rsidR="00161B85" w:rsidRDefault="00161B85" w:rsidP="00161B85">
      <w:pPr>
        <w:pStyle w:val="BodyText"/>
      </w:pPr>
      <w:r>
        <w:t>Many areas of outstanding health need to continue to be identified in community surveys, such as the Australian Atlas of Healthcare Variation. THS is working hard to design statewide models of care to ensure access to better healthcare outcomes. THS has implemented the findings of the Health Services Innovation agency of the University of Tasmania, following the dedicated contributions of many THS employees. Gains in emergency patient access have been measured and are continuing to improve.</w:t>
      </w:r>
    </w:p>
    <w:p w:rsidR="00161B85" w:rsidRDefault="00161B85" w:rsidP="00161B85">
      <w:pPr>
        <w:pStyle w:val="BodyText"/>
      </w:pPr>
      <w:r>
        <w:t>It is in the area of elective surgery that the THS, in partnership with the DHHS, has worked so diligently to achieve a record number of surgeries for Tasmanians who had been, in some cases, waiting many years for their procedures. Acknowledgement must be made of the Commonwealth Government contribution through the Tasmanian Health Assistance Package and the opportunities it afforded for patients to be treated by surgeons and anaesthetists in the public and private sectors.</w:t>
      </w:r>
    </w:p>
    <w:p w:rsidR="00161B85" w:rsidRDefault="00161B85" w:rsidP="00161B85">
      <w:pPr>
        <w:pStyle w:val="BodyText"/>
      </w:pPr>
      <w:r>
        <w:t>Thanks to the additional commitment from the Government we have been able to increase the number of positions available for graduate nurses. In supporting our graduates to work in Tasmania the THS will establish a workforce pipeline to sustain and grow our services and also be better placed to manage the implications of an ageing workforce into the future.</w:t>
      </w:r>
    </w:p>
    <w:p w:rsidR="00161B85" w:rsidRDefault="00161B85" w:rsidP="00161B85">
      <w:pPr>
        <w:pStyle w:val="BodyText"/>
      </w:pPr>
      <w:r>
        <w:t xml:space="preserve">The consolidation of the three former Tasmanian health organisations into the Tasmanian Health Service has produced many tasks, with 4000 policies currently being standardised, common triage systems being introduced for elective surgery cases, renewed opportunities for statewide training of specialists and doctors and the opportunity to ensure the same, statewide standards for dealing with internal pressures and escalation of patient flow demands. A focus on improving management during winter, along with additional temporary beds opened, has meant that historical access levels were generally maintained. </w:t>
      </w:r>
    </w:p>
    <w:p w:rsidR="00161B85" w:rsidRDefault="00161B85" w:rsidP="00161B85">
      <w:pPr>
        <w:pStyle w:val="BodyText"/>
      </w:pPr>
      <w:r>
        <w:t>THS management recognise that much more work is required to improve emergency patient access and are implementing the Health Minister’s ‘Patients First’ statewide strategy. We understand that we must engage with this task through multidisciplinary clinical teams to drive improvements in patient discharge preparation and timing.</w:t>
      </w:r>
    </w:p>
    <w:p w:rsidR="00161B85" w:rsidRDefault="00161B85" w:rsidP="00161B85">
      <w:pPr>
        <w:pStyle w:val="BodyText"/>
      </w:pPr>
      <w:r>
        <w:t xml:space="preserve">Many THS doctors, nurses and midwives, allied health professionals and clinical support staff have contributed to the clinical advisory groups and their associated business cases, established under the White </w:t>
      </w:r>
      <w:proofErr w:type="gramStart"/>
      <w:r>
        <w:t>Paper  Implementation</w:t>
      </w:r>
      <w:proofErr w:type="gramEnd"/>
      <w:r>
        <w:t xml:space="preserve"> Framework. Once approved by Governing Council, the business cases will proceed to the next phase of involvement of our patients/consumers and their families, with heightened involvement by nursing and allied health professionals in design of service delivery models.</w:t>
      </w:r>
    </w:p>
    <w:p w:rsidR="00161B85" w:rsidRDefault="00161B85" w:rsidP="00161B85">
      <w:pPr>
        <w:pStyle w:val="BodyText"/>
      </w:pPr>
      <w:r>
        <w:lastRenderedPageBreak/>
        <w:t>Finally, I would like to thank the people of Tasmania for their trust in our clinicians, nurses, allied health professionals and support staff every day.</w:t>
      </w:r>
    </w:p>
    <w:p w:rsidR="00161B85" w:rsidRPr="00161B85" w:rsidRDefault="00161B85" w:rsidP="00161B85">
      <w:pPr>
        <w:pStyle w:val="BodyText"/>
        <w:rPr>
          <w:b/>
        </w:rPr>
      </w:pPr>
      <w:r w:rsidRPr="00161B85">
        <w:rPr>
          <w:b/>
        </w:rPr>
        <w:t>Dr David Alcorn</w:t>
      </w:r>
    </w:p>
    <w:p w:rsidR="00161B85" w:rsidRDefault="00161B85" w:rsidP="00161B85">
      <w:pPr>
        <w:pStyle w:val="BodyText"/>
      </w:pPr>
    </w:p>
    <w:p w:rsidR="00161B85" w:rsidRDefault="00161B85" w:rsidP="00161B85">
      <w:pPr>
        <w:pStyle w:val="Heading3"/>
      </w:pPr>
      <w:bookmarkStart w:id="15" w:name="_Toc472581955"/>
      <w:r>
        <w:t>Organisational Structure</w:t>
      </w:r>
      <w:bookmarkEnd w:id="15"/>
    </w:p>
    <w:p w:rsidR="00161B85" w:rsidRDefault="00161B85" w:rsidP="00161B85">
      <w:pPr>
        <w:pStyle w:val="Heading4"/>
      </w:pPr>
      <w:r>
        <w:t>Tasmanian Health Service Executive Structure</w:t>
      </w:r>
    </w:p>
    <w:p w:rsidR="00161B85" w:rsidRDefault="00161B85" w:rsidP="00161B85"/>
    <w:p w:rsidR="00161B85" w:rsidRDefault="00161B85" w:rsidP="00161B85">
      <w:pPr>
        <w:tabs>
          <w:tab w:val="left" w:pos="709"/>
        </w:tabs>
      </w:pPr>
      <w:r>
        <w:t xml:space="preserve">Tier 1: </w:t>
      </w:r>
      <w:r>
        <w:tab/>
        <w:t>Governing Council</w:t>
      </w:r>
    </w:p>
    <w:p w:rsidR="00161B85" w:rsidRDefault="00161B85" w:rsidP="00161B85">
      <w:pPr>
        <w:tabs>
          <w:tab w:val="left" w:pos="709"/>
        </w:tabs>
      </w:pPr>
      <w:r>
        <w:t xml:space="preserve">Tier 2: </w:t>
      </w:r>
      <w:r>
        <w:tab/>
        <w:t>Chief Executive</w:t>
      </w:r>
    </w:p>
    <w:p w:rsidR="00161B85" w:rsidRDefault="00161B85" w:rsidP="00161B85">
      <w:pPr>
        <w:tabs>
          <w:tab w:val="left" w:pos="709"/>
        </w:tabs>
      </w:pPr>
      <w:r>
        <w:t xml:space="preserve">Tier 3: </w:t>
      </w:r>
      <w:r>
        <w:tab/>
        <w:t>Director for Collaboration and Communication</w:t>
      </w:r>
    </w:p>
    <w:p w:rsidR="00161B85" w:rsidRDefault="00161B85" w:rsidP="00161B85">
      <w:pPr>
        <w:tabs>
          <w:tab w:val="left" w:pos="709"/>
        </w:tabs>
      </w:pPr>
      <w:r>
        <w:tab/>
        <w:t>Director for Strategy and Planning</w:t>
      </w:r>
    </w:p>
    <w:p w:rsidR="00161B85" w:rsidRDefault="00161B85" w:rsidP="00161B85">
      <w:pPr>
        <w:tabs>
          <w:tab w:val="left" w:pos="709"/>
        </w:tabs>
      </w:pPr>
      <w:r>
        <w:t xml:space="preserve">Tier 4: </w:t>
      </w:r>
      <w:r>
        <w:tab/>
        <w:t>ED Medical Profession</w:t>
      </w:r>
    </w:p>
    <w:p w:rsidR="00161B85" w:rsidRDefault="00161B85" w:rsidP="00161B85">
      <w:pPr>
        <w:tabs>
          <w:tab w:val="left" w:pos="709"/>
        </w:tabs>
      </w:pPr>
      <w:r>
        <w:tab/>
        <w:t>ED Nursing, Midwifery and AH Professions</w:t>
      </w:r>
    </w:p>
    <w:p w:rsidR="00161B85" w:rsidRDefault="00161B85" w:rsidP="00161B85">
      <w:pPr>
        <w:tabs>
          <w:tab w:val="left" w:pos="709"/>
        </w:tabs>
      </w:pPr>
      <w:r>
        <w:tab/>
        <w:t>ED Patient Safety</w:t>
      </w:r>
    </w:p>
    <w:p w:rsidR="00161B85" w:rsidRDefault="00161B85" w:rsidP="00161B85">
      <w:pPr>
        <w:tabs>
          <w:tab w:val="left" w:pos="709"/>
        </w:tabs>
      </w:pPr>
      <w:r>
        <w:tab/>
        <w:t>Chief Operations Officer</w:t>
      </w:r>
    </w:p>
    <w:p w:rsidR="00161B85" w:rsidRDefault="00161B85" w:rsidP="00161B85">
      <w:pPr>
        <w:tabs>
          <w:tab w:val="left" w:pos="709"/>
        </w:tabs>
      </w:pPr>
      <w:r>
        <w:tab/>
        <w:t>Chief Financial Officer</w:t>
      </w:r>
    </w:p>
    <w:p w:rsidR="00161B85" w:rsidRDefault="00161B85" w:rsidP="00161B85">
      <w:pPr>
        <w:tabs>
          <w:tab w:val="left" w:pos="709"/>
        </w:tabs>
      </w:pPr>
      <w:r>
        <w:tab/>
        <w:t>ED Human Resources and OD</w:t>
      </w:r>
    </w:p>
    <w:p w:rsidR="00161B85" w:rsidRDefault="00161B85" w:rsidP="00161B85">
      <w:pPr>
        <w:tabs>
          <w:tab w:val="left" w:pos="709"/>
        </w:tabs>
      </w:pPr>
      <w:r>
        <w:tab/>
        <w:t>ED Corporate Services</w:t>
      </w:r>
    </w:p>
    <w:p w:rsidR="00161B85" w:rsidRDefault="00161B85" w:rsidP="00161B85">
      <w:pPr>
        <w:tabs>
          <w:tab w:val="left" w:pos="709"/>
        </w:tabs>
        <w:sectPr w:rsidR="00161B85" w:rsidSect="00025D0E">
          <w:pgSz w:w="11906" w:h="16838"/>
          <w:pgMar w:top="1440" w:right="707" w:bottom="1440" w:left="1134" w:header="708" w:footer="708" w:gutter="0"/>
          <w:cols w:space="708"/>
          <w:docGrid w:linePitch="360"/>
        </w:sectPr>
      </w:pPr>
    </w:p>
    <w:p w:rsidR="00161B85" w:rsidRDefault="00161B85" w:rsidP="007A586B">
      <w:pPr>
        <w:pStyle w:val="Heading3"/>
      </w:pPr>
      <w:bookmarkStart w:id="16" w:name="_Toc472581956"/>
      <w:r>
        <w:lastRenderedPageBreak/>
        <w:t>Executive Management Team</w:t>
      </w:r>
      <w:bookmarkEnd w:id="16"/>
    </w:p>
    <w:p w:rsidR="00161B85" w:rsidRDefault="00161B85" w:rsidP="00161B85">
      <w:pPr>
        <w:keepNext/>
        <w:tabs>
          <w:tab w:val="left" w:pos="709"/>
        </w:tabs>
      </w:pPr>
      <w:r>
        <w:rPr>
          <w:noProof/>
          <w:lang w:eastAsia="en-AU"/>
        </w:rPr>
        <w:drawing>
          <wp:inline distT="0" distB="0" distL="0" distR="0" wp14:anchorId="3847B668" wp14:editId="322D8CCC">
            <wp:extent cx="6391275" cy="2595841"/>
            <wp:effectExtent l="0" t="0" r="0" b="0"/>
            <wp:docPr id="13" name="Picture 13" descr="(left to right): Kate Prince (Governing Council Support Officer), Craig Watson (Acting Chief Operations Officer), Dr Annette Pantle (Executive Director Patient Safety), Alina Fisher (Executive Support CEO Secretariat), Catherine Schofield (Acting Executive Director Nursing, Midwifery and Allied Health Professions), Scott Adams (Executive Director Corporate Systems), Eleanor Patterson (Acting Chief Finance Officer), Rohan Wade (Acting Director Collaboration and Communication), Dr David Alcorn (Chief Executive Officer)." title="Figure 2: Executive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2595841"/>
                    </a:xfrm>
                    <a:prstGeom prst="rect">
                      <a:avLst/>
                    </a:prstGeom>
                    <a:noFill/>
                    <a:ln>
                      <a:noFill/>
                    </a:ln>
                  </pic:spPr>
                </pic:pic>
              </a:graphicData>
            </a:graphic>
          </wp:inline>
        </w:drawing>
      </w:r>
    </w:p>
    <w:p w:rsidR="00161B85" w:rsidRDefault="00B241E7" w:rsidP="00161B85">
      <w:pPr>
        <w:pStyle w:val="Caption"/>
      </w:pPr>
      <w:r>
        <w:fldChar w:fldCharType="begin"/>
      </w:r>
      <w:r>
        <w:instrText xml:space="preserve"> SEQ Figure \* ARABIC </w:instrText>
      </w:r>
      <w:r>
        <w:fldChar w:fldCharType="separate"/>
      </w:r>
      <w:r w:rsidR="00560B0E">
        <w:rPr>
          <w:noProof/>
        </w:rPr>
        <w:t>2</w:t>
      </w:r>
      <w:r>
        <w:rPr>
          <w:noProof/>
        </w:rPr>
        <w:fldChar w:fldCharType="end"/>
      </w:r>
      <w:r w:rsidR="00161B85">
        <w:t>: Executive Team Members</w:t>
      </w:r>
    </w:p>
    <w:p w:rsidR="00161B85" w:rsidRDefault="007A586B" w:rsidP="00161B85">
      <w:r>
        <w:t>Figure 2: Executive Team members (left to right): Kate Prince (Governing Council Support Officer), Craig Watson (Acting Chief Operations Officer), Dr Annette Pantle (Executive Director Patient Safety), Alina Fisher (Executive Support CEO Secretariat), Catherine Schofield (Acting Executive Director Nursing, Midwifery and Allied Health Professions), Scott Adams (Executive Director Corporate Systems), Eleanor Patterson (Acting Chief Finance Officer), Rohan Wade (Acting Director Collaboration and Communication), Dr David Alcorn (Chief Executive Officer).</w:t>
      </w:r>
    </w:p>
    <w:p w:rsidR="007A586B" w:rsidRDefault="007A586B" w:rsidP="007A586B">
      <w:pPr>
        <w:pStyle w:val="Heading4"/>
      </w:pPr>
      <w:r>
        <w:t>Dr David Alcorn</w:t>
      </w:r>
    </w:p>
    <w:p w:rsidR="007A586B" w:rsidRDefault="007A586B" w:rsidP="007A586B">
      <w:pPr>
        <w:pStyle w:val="BodyText"/>
      </w:pPr>
      <w:r>
        <w:rPr>
          <w:rFonts w:ascii="GillSans" w:hAnsi="GillSans" w:cs="GillSans"/>
        </w:rPr>
        <w:t xml:space="preserve">Chief Executive Officer, Tasmanian Health Service </w:t>
      </w:r>
      <w:proofErr w:type="gramStart"/>
      <w:r>
        <w:t>As</w:t>
      </w:r>
      <w:proofErr w:type="gramEnd"/>
      <w:r>
        <w:t xml:space="preserve"> CEO of the Tasmanian Health Service, Dr Alcorn is leading State Health system reforms, improving health outcomes for all Tasmanians.</w:t>
      </w:r>
    </w:p>
    <w:p w:rsidR="007A586B" w:rsidRDefault="007A586B" w:rsidP="007A586B">
      <w:pPr>
        <w:pStyle w:val="BodyText"/>
      </w:pPr>
      <w:r>
        <w:t>Previously, David served at the Royal Melbourne Hospital as Executive Director and led the organisation through a complex transformation. He has previously led Queensland’s largest university teaching hospital the Royal Brisbane and Women’s Hospital in the same role.</w:t>
      </w:r>
    </w:p>
    <w:p w:rsidR="007A586B" w:rsidRDefault="007A586B" w:rsidP="007A586B">
      <w:pPr>
        <w:pStyle w:val="BodyText"/>
      </w:pPr>
      <w:r>
        <w:t xml:space="preserve">David is passionate about making a difference for communities and the people who need, or will need, healthcare in the future and those who care for them. The needs of patients and their families have been at the centre of David’s professional life, in healthcare management and in psychiatry. </w:t>
      </w:r>
    </w:p>
    <w:p w:rsidR="007A586B" w:rsidRDefault="007A586B" w:rsidP="007A586B">
      <w:pPr>
        <w:pStyle w:val="BodyText"/>
      </w:pPr>
      <w:r>
        <w:t>David is an experienced health administrator who was awarded the Bernard Nicholson prize of the Royal Australasian College of Medical Administrators and has undertaken additional training in healthcare delivery at the Harvard Business School, Boston. His qualifications include: BMBS, Bachelor of Laws (honours), Master of Laws, Doctor of Judicial Science, Masters of Business Administration, Fellowship RANZCP, and Fellowship RACMA. His blend of medical and business/organisational experience and sound reputation and expertise in healthcare present a strong capability for the THS CEO role.</w:t>
      </w:r>
    </w:p>
    <w:p w:rsidR="007A586B" w:rsidRDefault="007A586B" w:rsidP="007A586B">
      <w:pPr>
        <w:pStyle w:val="Heading4"/>
      </w:pPr>
      <w:r>
        <w:t>Dr Annette Pantle</w:t>
      </w:r>
    </w:p>
    <w:p w:rsidR="007A586B" w:rsidRDefault="007A586B" w:rsidP="007A586B">
      <w:pPr>
        <w:pStyle w:val="BodyText"/>
      </w:pPr>
      <w:r>
        <w:t>Executive Director for Patient Safety in the Tasmanian Health Service, Dr Pantle is responsible for the leadership and delivery of safe, sustainable health care by developing and managing the clinical governance frameworks for the Tasmanian Health Service (THS) including Clinical Standards, Safety and Quality and Accreditation.</w:t>
      </w:r>
    </w:p>
    <w:p w:rsidR="007A586B" w:rsidRDefault="007A586B" w:rsidP="007A586B">
      <w:pPr>
        <w:pStyle w:val="BodyText"/>
      </w:pPr>
      <w:r>
        <w:lastRenderedPageBreak/>
        <w:t>Dr Pantle is a graduate of the University of Sydney medical program and has been involved in Australian health care for more than 30 years through rural general practice, hospital medical administration, the NSW Clinical Excellence Commission, NSW Department of Health and St Vincent’s Health Australia where she was the inaugural Group General Manager for Clinical Governance and Chief Medical Officer.</w:t>
      </w:r>
    </w:p>
    <w:p w:rsidR="007A586B" w:rsidRDefault="007A586B" w:rsidP="007A586B">
      <w:pPr>
        <w:pStyle w:val="BodyText"/>
      </w:pPr>
      <w:r>
        <w:t xml:space="preserve">She is the Immediate Past President of the Australasian Association for Quality in Health Care. Dr Pantle is also a former Board Director of the Garvan Institute of Medical Research, a current Fellow and Board Director of RACMA and a former member of the NSW Medical Board. </w:t>
      </w:r>
    </w:p>
    <w:p w:rsidR="007A586B" w:rsidRDefault="007A586B" w:rsidP="007A586B">
      <w:pPr>
        <w:pStyle w:val="BodyText"/>
      </w:pPr>
      <w:r>
        <w:t>She has undertaken a number of reviews of clinical governance systems. Dr Pantle holds a Master of Public Health degree from the University of NSW and is a fellow of the Australian Institute of Company Directors.</w:t>
      </w:r>
    </w:p>
    <w:p w:rsidR="007A586B" w:rsidRDefault="007A586B" w:rsidP="007A586B">
      <w:pPr>
        <w:pStyle w:val="Heading4"/>
      </w:pPr>
      <w:r>
        <w:t>Matthew Double</w:t>
      </w:r>
    </w:p>
    <w:p w:rsidR="007A586B" w:rsidRDefault="007A586B" w:rsidP="007A586B">
      <w:pPr>
        <w:pStyle w:val="BodyText"/>
      </w:pPr>
      <w:r>
        <w:rPr>
          <w:rFonts w:ascii="GillSans" w:hAnsi="GillSans" w:cs="GillSans"/>
        </w:rPr>
        <w:t xml:space="preserve">Executive Director of Human Resources and Organisational Development </w:t>
      </w:r>
      <w:r>
        <w:t>With tertiary qualifications in HR and Management Matthew has over 25 years’ experience in HR and Workplace Safety. His career includes time in the private and public sectors in Tasmania, interstate and overseas. Recently, Matthew has worked across both DHHS and THS.</w:t>
      </w:r>
    </w:p>
    <w:p w:rsidR="007A586B" w:rsidRDefault="007A586B" w:rsidP="007A586B">
      <w:pPr>
        <w:pStyle w:val="Heading4"/>
      </w:pPr>
      <w:r>
        <w:t>Eleanor Paterson</w:t>
      </w:r>
    </w:p>
    <w:p w:rsidR="007A586B" w:rsidRDefault="007A586B" w:rsidP="007A586B">
      <w:pPr>
        <w:pStyle w:val="BodyText"/>
      </w:pPr>
      <w:r>
        <w:rPr>
          <w:rFonts w:ascii="GillSans" w:hAnsi="GillSans" w:cs="GillSans"/>
        </w:rPr>
        <w:t xml:space="preserve">Acting Chief Financial Officer </w:t>
      </w:r>
      <w:r>
        <w:t>Eleanor acted as the CFO for the THS from 4 January 2016 to 12 August 2016. Eleanor’s previous experience includes over 10 years at senior executive level within the Department of Health and Human Services.</w:t>
      </w:r>
    </w:p>
    <w:p w:rsidR="007A586B" w:rsidRDefault="007A586B" w:rsidP="007A586B">
      <w:pPr>
        <w:pStyle w:val="BodyText"/>
      </w:pPr>
      <w:r>
        <w:t>Eleanor is a fellow of CPA Australia with more than 20 years’ experience in the public sector including 15 years in Health. Eleanor has significant experience in the leadership of financial functions, financial management and compliance and monitoring financial performance. Eleanor’s professional qualifications include a Graduate Diploma from the Australian Institute of Company Directors, and a Bachelor of Commerce/Laws.</w:t>
      </w:r>
    </w:p>
    <w:p w:rsidR="007A586B" w:rsidRDefault="007A586B" w:rsidP="007A586B">
      <w:pPr>
        <w:pStyle w:val="Heading4"/>
      </w:pPr>
      <w:r>
        <w:t>Scott Adams</w:t>
      </w:r>
    </w:p>
    <w:p w:rsidR="007A586B" w:rsidRDefault="007A586B" w:rsidP="007A586B">
      <w:pPr>
        <w:pStyle w:val="BodyText"/>
      </w:pPr>
      <w:r>
        <w:rPr>
          <w:rFonts w:ascii="GillSans" w:hAnsi="GillSans" w:cs="GillSans"/>
        </w:rPr>
        <w:t xml:space="preserve">Acting Executive Director of Corporate Systems </w:t>
      </w:r>
      <w:proofErr w:type="gramStart"/>
      <w:r>
        <w:t>As</w:t>
      </w:r>
      <w:proofErr w:type="gramEnd"/>
      <w:r>
        <w:t xml:space="preserve"> A/Executive Director of Corporate Systems, Scott’s portfolio covers the functions of Hotel Services and logistics, Information technology, Facilities and Engineering and Procurement and Supply.</w:t>
      </w:r>
    </w:p>
    <w:p w:rsidR="007A586B" w:rsidRDefault="007A586B" w:rsidP="007A586B">
      <w:pPr>
        <w:pStyle w:val="BodyText"/>
      </w:pPr>
      <w:r>
        <w:t>Prior to this, Scott was Group Manager, Corporate Services for the Tasmanian Health Organisation-South. Scott’s previous experience includes 16 years in the Energy Industry with Aurora Energy, covering a number of senior management roles in Finance, IT and other corporate functions, and over two years working in private industry running an IT consultancy business.</w:t>
      </w:r>
    </w:p>
    <w:p w:rsidR="007A586B" w:rsidRPr="00161B85" w:rsidRDefault="007A586B" w:rsidP="007A586B">
      <w:pPr>
        <w:pStyle w:val="BodyText"/>
      </w:pPr>
      <w:r>
        <w:t>Scott is currently on the Board of Cancer Council Tasmania and has previously held board memberships on a range of not for profit enterprises. Scott’s qualifications include Bachelor of Commerce (UTAS), Certified Practicing Accountant, MBA (Deakin) and he is currently studying for his graduate Diploma in Health and Human Services.</w:t>
      </w:r>
    </w:p>
    <w:p w:rsidR="00161B85" w:rsidRDefault="00161B85" w:rsidP="007A586B">
      <w:pPr>
        <w:pStyle w:val="BodyText"/>
      </w:pPr>
    </w:p>
    <w:p w:rsidR="007A586B" w:rsidRDefault="007A586B" w:rsidP="007A586B">
      <w:pPr>
        <w:pStyle w:val="Heading4"/>
      </w:pPr>
      <w:r>
        <w:t>Craig Watson</w:t>
      </w:r>
    </w:p>
    <w:p w:rsidR="007A586B" w:rsidRDefault="007A586B" w:rsidP="007A586B">
      <w:pPr>
        <w:pStyle w:val="BodyText"/>
      </w:pPr>
      <w:r>
        <w:rPr>
          <w:rFonts w:ascii="GillSans" w:hAnsi="GillSans" w:cs="GillSans"/>
        </w:rPr>
        <w:t xml:space="preserve">Acting Chief Operating Officer </w:t>
      </w:r>
      <w:r>
        <w:t>Craig is responsible for the effective management and delivery of high quality patient-centred health services. Craig previously held the position of Executive Director of Services – South for the THS following several leadership roles with the former Tasmanian Health Organisation – South including Acting Chief Executive.</w:t>
      </w:r>
    </w:p>
    <w:p w:rsidR="007A586B" w:rsidRDefault="007A586B" w:rsidP="007A586B">
      <w:pPr>
        <w:pStyle w:val="BodyText"/>
      </w:pPr>
      <w:r>
        <w:lastRenderedPageBreak/>
        <w:t>Craig is a Fellow of CPA Australia and has held a variety of senior and executive positions during a 25 year career in the Tasmanian public service, following completion of a Bachelor of Business at the University of Tasmania.</w:t>
      </w:r>
    </w:p>
    <w:p w:rsidR="00161B85" w:rsidRPr="00161B85" w:rsidRDefault="00161B85" w:rsidP="007A586B">
      <w:pPr>
        <w:pStyle w:val="BodyText"/>
      </w:pPr>
    </w:p>
    <w:p w:rsidR="009743B1" w:rsidRDefault="009743B1" w:rsidP="009743B1">
      <w:pPr>
        <w:pStyle w:val="Heading3"/>
      </w:pPr>
      <w:bookmarkStart w:id="17" w:name="_Toc472581957"/>
      <w:r>
        <w:t>Tasmanian Health Service – Service Profile</w:t>
      </w:r>
      <w:bookmarkEnd w:id="17"/>
    </w:p>
    <w:p w:rsidR="009743B1" w:rsidRDefault="009743B1" w:rsidP="009743B1">
      <w:pPr>
        <w:pStyle w:val="BodyText"/>
      </w:pPr>
      <w:r>
        <w:t xml:space="preserve">From 1 July 2015 health services in Tasmania has been restructured into one health system (THS). This was achieved by merging of the three Tasmanian Health Organisations (THOs) and complimented by one Tasmanian Primary Health Network. All four major hospitals have a clearly defined role in the system through </w:t>
      </w:r>
      <w:proofErr w:type="gramStart"/>
      <w:r>
        <w:t>the  Tasmanian</w:t>
      </w:r>
      <w:proofErr w:type="gramEnd"/>
      <w:r>
        <w:t xml:space="preserve"> Role Delineation Framework (TRDF) with services mapped to a clinical profile.</w:t>
      </w:r>
    </w:p>
    <w:p w:rsidR="009743B1" w:rsidRDefault="009743B1" w:rsidP="009743B1">
      <w:pPr>
        <w:pStyle w:val="BodyText"/>
      </w:pPr>
      <w:r>
        <w:t xml:space="preserve">The Delivering Safe and Sustainable Clinical Services White Paper </w:t>
      </w:r>
      <w:proofErr w:type="gramStart"/>
      <w:r>
        <w:t>outlines</w:t>
      </w:r>
      <w:proofErr w:type="gramEnd"/>
      <w:r>
        <w:t xml:space="preserve"> the reforms to the health system. Governance of the THS is provided through a Governing Council supported by a Health Council and Clinical Advisory Groups (CAGS). A statewide executive structure led by the Chief Executive Officer oversees the operations of the THS and the implementation of the White Paper Implementation Plan. The executive structure is currently in varying stages of the process to recruit and appoint suitably qualified and experienced individuals.</w:t>
      </w:r>
    </w:p>
    <w:p w:rsidR="009743B1" w:rsidRDefault="009743B1" w:rsidP="009743B1">
      <w:pPr>
        <w:pStyle w:val="BodyText"/>
      </w:pPr>
      <w:r>
        <w:t>The Department of Health and Human Services is the regulatory body for the state and plays a major role as the purchaser of services from the THS under an annual Service Agreement.</w:t>
      </w:r>
    </w:p>
    <w:p w:rsidR="009743B1" w:rsidRDefault="009743B1" w:rsidP="009743B1">
      <w:pPr>
        <w:pStyle w:val="BodyText"/>
      </w:pPr>
      <w:r>
        <w:t xml:space="preserve">The THS coordinates the delivery of its services across Tasmania through a network of facilities, community services and home based care. </w:t>
      </w:r>
    </w:p>
    <w:p w:rsidR="009743B1" w:rsidRDefault="009743B1" w:rsidP="009743B1">
      <w:pPr>
        <w:pStyle w:val="BodyText"/>
      </w:pPr>
      <w:r>
        <w:t>Tasmania has 27 public health facilities. In addition to the four major hospitals, there are 23 rural and community hospital sites (rural health services) across Tasmania.</w:t>
      </w:r>
    </w:p>
    <w:p w:rsidR="009743B1" w:rsidRDefault="009743B1" w:rsidP="009743B1">
      <w:pPr>
        <w:pStyle w:val="BodyText"/>
      </w:pPr>
      <w:r>
        <w:t>The services provided at these sites vary considerably and include subacute inpatient health care, day treatment and primary health care services, residential aged care, and emergency response capability, in addition to:</w:t>
      </w:r>
    </w:p>
    <w:p w:rsidR="009743B1" w:rsidRDefault="009743B1" w:rsidP="009743B1">
      <w:pPr>
        <w:pStyle w:val="BodyText"/>
        <w:numPr>
          <w:ilvl w:val="0"/>
          <w:numId w:val="2"/>
        </w:numPr>
        <w:ind w:left="567" w:hanging="567"/>
      </w:pPr>
      <w:r>
        <w:t>21 community health centres</w:t>
      </w:r>
    </w:p>
    <w:p w:rsidR="009743B1" w:rsidRDefault="009743B1" w:rsidP="009743B1">
      <w:pPr>
        <w:pStyle w:val="BodyText"/>
        <w:numPr>
          <w:ilvl w:val="0"/>
          <w:numId w:val="2"/>
        </w:numPr>
        <w:ind w:left="567" w:hanging="567"/>
      </w:pPr>
      <w:r>
        <w:t>Three rural nursing centres</w:t>
      </w:r>
    </w:p>
    <w:p w:rsidR="009743B1" w:rsidRDefault="009743B1" w:rsidP="009743B1">
      <w:pPr>
        <w:pStyle w:val="BodyText"/>
        <w:numPr>
          <w:ilvl w:val="0"/>
          <w:numId w:val="2"/>
        </w:numPr>
        <w:ind w:left="567" w:hanging="567"/>
      </w:pPr>
      <w:r>
        <w:t>Three youth health centres</w:t>
      </w:r>
    </w:p>
    <w:p w:rsidR="009743B1" w:rsidRDefault="009743B1" w:rsidP="00103528">
      <w:pPr>
        <w:pStyle w:val="BodyText"/>
        <w:numPr>
          <w:ilvl w:val="0"/>
          <w:numId w:val="5"/>
        </w:numPr>
        <w:ind w:left="567" w:hanging="567"/>
      </w:pPr>
      <w:r>
        <w:t>24 mental health facilities (outpatient and community services)</w:t>
      </w:r>
    </w:p>
    <w:p w:rsidR="009743B1" w:rsidRDefault="009743B1" w:rsidP="009743B1">
      <w:pPr>
        <w:pStyle w:val="BodyText"/>
        <w:numPr>
          <w:ilvl w:val="0"/>
          <w:numId w:val="2"/>
        </w:numPr>
        <w:ind w:left="567" w:hanging="567"/>
      </w:pPr>
      <w:r>
        <w:t>32 oral health facilities</w:t>
      </w:r>
    </w:p>
    <w:p w:rsidR="009743B1" w:rsidRDefault="009743B1" w:rsidP="00103528">
      <w:pPr>
        <w:pStyle w:val="BodyText"/>
        <w:numPr>
          <w:ilvl w:val="0"/>
          <w:numId w:val="5"/>
        </w:numPr>
        <w:ind w:left="567" w:hanging="567"/>
      </w:pPr>
      <w:r>
        <w:t>inpatient and outpatient alcohol and drug facilities</w:t>
      </w:r>
    </w:p>
    <w:p w:rsidR="009743B1" w:rsidRDefault="009743B1" w:rsidP="009743B1">
      <w:pPr>
        <w:pStyle w:val="BodyText"/>
        <w:numPr>
          <w:ilvl w:val="0"/>
          <w:numId w:val="2"/>
        </w:numPr>
        <w:ind w:left="567" w:hanging="567"/>
      </w:pPr>
      <w:r>
        <w:t>community nursing</w:t>
      </w:r>
    </w:p>
    <w:p w:rsidR="009743B1" w:rsidRDefault="009743B1" w:rsidP="009743B1">
      <w:pPr>
        <w:pStyle w:val="BodyText"/>
        <w:numPr>
          <w:ilvl w:val="0"/>
          <w:numId w:val="2"/>
        </w:numPr>
        <w:ind w:left="567" w:hanging="567"/>
      </w:pPr>
      <w:r>
        <w:t>community health</w:t>
      </w:r>
    </w:p>
    <w:p w:rsidR="009743B1" w:rsidRDefault="009743B1" w:rsidP="009743B1">
      <w:pPr>
        <w:pStyle w:val="BodyText"/>
        <w:numPr>
          <w:ilvl w:val="0"/>
          <w:numId w:val="2"/>
        </w:numPr>
        <w:ind w:left="567" w:hanging="567"/>
      </w:pPr>
      <w:r>
        <w:t>cancer screening and control</w:t>
      </w:r>
    </w:p>
    <w:p w:rsidR="009743B1" w:rsidRDefault="009743B1" w:rsidP="009743B1">
      <w:pPr>
        <w:pStyle w:val="BodyText"/>
        <w:numPr>
          <w:ilvl w:val="0"/>
          <w:numId w:val="2"/>
        </w:numPr>
        <w:ind w:left="567" w:hanging="567"/>
      </w:pPr>
      <w:r>
        <w:t>palliative care</w:t>
      </w:r>
    </w:p>
    <w:p w:rsidR="009743B1" w:rsidRDefault="009743B1" w:rsidP="009743B1">
      <w:pPr>
        <w:pStyle w:val="BodyText"/>
        <w:numPr>
          <w:ilvl w:val="0"/>
          <w:numId w:val="2"/>
        </w:numPr>
        <w:ind w:left="567" w:hanging="567"/>
      </w:pPr>
      <w:r>
        <w:t>dementia services</w:t>
      </w:r>
    </w:p>
    <w:p w:rsidR="009743B1" w:rsidRDefault="009743B1" w:rsidP="009743B1">
      <w:pPr>
        <w:pStyle w:val="BodyText"/>
        <w:numPr>
          <w:ilvl w:val="0"/>
          <w:numId w:val="2"/>
        </w:numPr>
        <w:ind w:left="567" w:hanging="567"/>
      </w:pPr>
      <w:r>
        <w:t>aids and appliances</w:t>
      </w:r>
    </w:p>
    <w:p w:rsidR="009743B1" w:rsidRDefault="009743B1" w:rsidP="009743B1">
      <w:pPr>
        <w:pStyle w:val="BodyText"/>
        <w:numPr>
          <w:ilvl w:val="0"/>
          <w:numId w:val="2"/>
        </w:numPr>
        <w:ind w:left="567" w:hanging="567"/>
      </w:pPr>
      <w:r>
        <w:t>health promotion programs</w:t>
      </w:r>
    </w:p>
    <w:p w:rsidR="00707D71" w:rsidRDefault="005129EA" w:rsidP="005129EA">
      <w:pPr>
        <w:pStyle w:val="Heading3"/>
      </w:pPr>
      <w:bookmarkStart w:id="18" w:name="_Toc472581958"/>
      <w:r>
        <w:lastRenderedPageBreak/>
        <w:t>Services by region</w:t>
      </w:r>
      <w:bookmarkEnd w:id="18"/>
    </w:p>
    <w:p w:rsidR="005129EA" w:rsidRDefault="005129EA" w:rsidP="005129EA">
      <w:pPr>
        <w:pStyle w:val="Heading4"/>
      </w:pPr>
      <w:r>
        <w:t>North West</w:t>
      </w:r>
    </w:p>
    <w:p w:rsidR="005129EA" w:rsidRDefault="005129EA" w:rsidP="00103528">
      <w:pPr>
        <w:pStyle w:val="BodyText"/>
        <w:numPr>
          <w:ilvl w:val="0"/>
          <w:numId w:val="6"/>
        </w:numPr>
        <w:ind w:left="567" w:hanging="567"/>
      </w:pPr>
      <w:r>
        <w:t>King Island Hospital and Health Centre</w:t>
      </w:r>
    </w:p>
    <w:p w:rsidR="005129EA" w:rsidRDefault="005129EA" w:rsidP="00103528">
      <w:pPr>
        <w:pStyle w:val="BodyText"/>
        <w:numPr>
          <w:ilvl w:val="0"/>
          <w:numId w:val="6"/>
        </w:numPr>
        <w:ind w:left="567" w:hanging="567"/>
      </w:pPr>
      <w:r>
        <w:t>Smithton District Hospital</w:t>
      </w:r>
    </w:p>
    <w:p w:rsidR="005129EA" w:rsidRDefault="005129EA" w:rsidP="00103528">
      <w:pPr>
        <w:pStyle w:val="BodyText"/>
        <w:numPr>
          <w:ilvl w:val="0"/>
          <w:numId w:val="6"/>
        </w:numPr>
        <w:ind w:left="567" w:hanging="567"/>
      </w:pPr>
      <w:r>
        <w:t>James Muir CHC (Wynyard)</w:t>
      </w:r>
    </w:p>
    <w:p w:rsidR="005129EA" w:rsidRDefault="005129EA" w:rsidP="00103528">
      <w:pPr>
        <w:pStyle w:val="BodyText"/>
        <w:numPr>
          <w:ilvl w:val="0"/>
          <w:numId w:val="6"/>
        </w:numPr>
        <w:ind w:left="567" w:hanging="567"/>
      </w:pPr>
      <w:r>
        <w:t>North West Regional Hospital</w:t>
      </w:r>
    </w:p>
    <w:p w:rsidR="005129EA" w:rsidRDefault="005129EA" w:rsidP="00103528">
      <w:pPr>
        <w:pStyle w:val="BodyText"/>
        <w:numPr>
          <w:ilvl w:val="0"/>
          <w:numId w:val="6"/>
        </w:numPr>
        <w:ind w:left="567" w:hanging="567"/>
      </w:pPr>
      <w:r>
        <w:t>Partkside and Burnie CHC</w:t>
      </w:r>
    </w:p>
    <w:p w:rsidR="005129EA" w:rsidRDefault="005129EA" w:rsidP="00103528">
      <w:pPr>
        <w:pStyle w:val="BodyText"/>
        <w:numPr>
          <w:ilvl w:val="0"/>
          <w:numId w:val="6"/>
        </w:numPr>
        <w:ind w:left="567" w:hanging="567"/>
      </w:pPr>
      <w:r>
        <w:t>Central Coast CHC (Ulverstone)</w:t>
      </w:r>
    </w:p>
    <w:p w:rsidR="005129EA" w:rsidRDefault="005129EA" w:rsidP="00103528">
      <w:pPr>
        <w:pStyle w:val="BodyText"/>
        <w:numPr>
          <w:ilvl w:val="0"/>
          <w:numId w:val="6"/>
        </w:numPr>
        <w:ind w:left="567" w:hanging="567"/>
      </w:pPr>
      <w:r>
        <w:t>Devonport CHC</w:t>
      </w:r>
    </w:p>
    <w:p w:rsidR="005129EA" w:rsidRDefault="005129EA" w:rsidP="00103528">
      <w:pPr>
        <w:pStyle w:val="BodyText"/>
        <w:numPr>
          <w:ilvl w:val="0"/>
          <w:numId w:val="6"/>
        </w:numPr>
        <w:ind w:left="567" w:hanging="567"/>
      </w:pPr>
      <w:r>
        <w:t>Mersey Community Hospital</w:t>
      </w:r>
    </w:p>
    <w:p w:rsidR="005129EA" w:rsidRDefault="005129EA" w:rsidP="00103528">
      <w:pPr>
        <w:pStyle w:val="BodyText"/>
        <w:numPr>
          <w:ilvl w:val="0"/>
          <w:numId w:val="6"/>
        </w:numPr>
        <w:ind w:left="567" w:hanging="567"/>
      </w:pPr>
      <w:r>
        <w:t>Rosebery CHC</w:t>
      </w:r>
    </w:p>
    <w:p w:rsidR="005129EA" w:rsidRDefault="005129EA" w:rsidP="00103528">
      <w:pPr>
        <w:pStyle w:val="BodyText"/>
        <w:numPr>
          <w:ilvl w:val="0"/>
          <w:numId w:val="6"/>
        </w:numPr>
        <w:ind w:left="567" w:hanging="567"/>
      </w:pPr>
      <w:r>
        <w:t>Zeehan CHC</w:t>
      </w:r>
    </w:p>
    <w:p w:rsidR="005129EA" w:rsidRDefault="005129EA" w:rsidP="00103528">
      <w:pPr>
        <w:pStyle w:val="BodyText"/>
        <w:numPr>
          <w:ilvl w:val="0"/>
          <w:numId w:val="6"/>
        </w:numPr>
        <w:ind w:left="567" w:hanging="567"/>
      </w:pPr>
      <w:r>
        <w:t>West Coast District Hospital (Queenstown)</w:t>
      </w:r>
    </w:p>
    <w:p w:rsidR="005129EA" w:rsidRDefault="005129EA" w:rsidP="00103528">
      <w:pPr>
        <w:pStyle w:val="BodyText"/>
        <w:numPr>
          <w:ilvl w:val="0"/>
          <w:numId w:val="6"/>
        </w:numPr>
        <w:ind w:left="567" w:hanging="567"/>
      </w:pPr>
      <w:r>
        <w:t>Strahan CHC</w:t>
      </w:r>
    </w:p>
    <w:p w:rsidR="005129EA" w:rsidRDefault="005129EA" w:rsidP="009743B1">
      <w:pPr>
        <w:pStyle w:val="BodyText"/>
      </w:pPr>
    </w:p>
    <w:p w:rsidR="005129EA" w:rsidRDefault="005129EA" w:rsidP="005129EA">
      <w:pPr>
        <w:pStyle w:val="Heading4"/>
      </w:pPr>
      <w:r>
        <w:t>North</w:t>
      </w:r>
    </w:p>
    <w:p w:rsidR="005129EA" w:rsidRDefault="005129EA" w:rsidP="00103528">
      <w:pPr>
        <w:pStyle w:val="BodyText"/>
        <w:numPr>
          <w:ilvl w:val="0"/>
          <w:numId w:val="7"/>
        </w:numPr>
        <w:ind w:left="567" w:hanging="567"/>
      </w:pPr>
      <w:r>
        <w:t>Flinders Island MPC</w:t>
      </w:r>
    </w:p>
    <w:p w:rsidR="005129EA" w:rsidRDefault="005129EA" w:rsidP="00103528">
      <w:pPr>
        <w:pStyle w:val="BodyText"/>
        <w:numPr>
          <w:ilvl w:val="0"/>
          <w:numId w:val="7"/>
        </w:numPr>
        <w:ind w:left="567" w:hanging="567"/>
      </w:pPr>
      <w:r>
        <w:t>Cape Barren Island Nursing Centre</w:t>
      </w:r>
    </w:p>
    <w:p w:rsidR="005129EA" w:rsidRDefault="005129EA" w:rsidP="00103528">
      <w:pPr>
        <w:pStyle w:val="BodyText"/>
        <w:numPr>
          <w:ilvl w:val="0"/>
          <w:numId w:val="7"/>
        </w:numPr>
        <w:ind w:left="567" w:hanging="567"/>
      </w:pPr>
      <w:r>
        <w:t>Ravenswood CHC</w:t>
      </w:r>
    </w:p>
    <w:p w:rsidR="005129EA" w:rsidRDefault="005129EA" w:rsidP="00103528">
      <w:pPr>
        <w:pStyle w:val="BodyText"/>
        <w:numPr>
          <w:ilvl w:val="0"/>
          <w:numId w:val="7"/>
        </w:numPr>
        <w:ind w:left="567" w:hanging="567"/>
      </w:pPr>
      <w:r>
        <w:t>Deloraine DH</w:t>
      </w:r>
    </w:p>
    <w:p w:rsidR="005129EA" w:rsidRDefault="005129EA" w:rsidP="00103528">
      <w:pPr>
        <w:pStyle w:val="BodyText"/>
        <w:numPr>
          <w:ilvl w:val="0"/>
          <w:numId w:val="7"/>
        </w:numPr>
        <w:ind w:left="567" w:hanging="567"/>
      </w:pPr>
      <w:r>
        <w:t>Westbury CHC</w:t>
      </w:r>
    </w:p>
    <w:p w:rsidR="005129EA" w:rsidRDefault="005129EA" w:rsidP="00103528">
      <w:pPr>
        <w:pStyle w:val="BodyText"/>
        <w:numPr>
          <w:ilvl w:val="0"/>
          <w:numId w:val="7"/>
        </w:numPr>
        <w:ind w:left="567" w:hanging="567"/>
      </w:pPr>
      <w:r>
        <w:t>Public Palliative Care Beds at Calvary</w:t>
      </w:r>
    </w:p>
    <w:p w:rsidR="005129EA" w:rsidRDefault="005129EA" w:rsidP="00103528">
      <w:pPr>
        <w:pStyle w:val="BodyText"/>
        <w:numPr>
          <w:ilvl w:val="0"/>
          <w:numId w:val="7"/>
        </w:numPr>
        <w:ind w:left="567" w:hanging="567"/>
      </w:pPr>
      <w:r>
        <w:t>LGH and Northern Integrated Care Service</w:t>
      </w:r>
    </w:p>
    <w:p w:rsidR="005129EA" w:rsidRDefault="005129EA" w:rsidP="00103528">
      <w:pPr>
        <w:pStyle w:val="BodyText"/>
        <w:numPr>
          <w:ilvl w:val="0"/>
          <w:numId w:val="7"/>
        </w:numPr>
        <w:ind w:left="567" w:hanging="567"/>
      </w:pPr>
      <w:r>
        <w:t>Kings Meadows CHC</w:t>
      </w:r>
    </w:p>
    <w:p w:rsidR="005129EA" w:rsidRDefault="005129EA" w:rsidP="00103528">
      <w:pPr>
        <w:pStyle w:val="BodyText"/>
        <w:numPr>
          <w:ilvl w:val="0"/>
          <w:numId w:val="7"/>
        </w:numPr>
        <w:ind w:left="567" w:hanging="567"/>
      </w:pPr>
      <w:r>
        <w:t>Toosey Inc. (Longford)</w:t>
      </w:r>
    </w:p>
    <w:p w:rsidR="005129EA" w:rsidRDefault="005129EA" w:rsidP="00103528">
      <w:pPr>
        <w:pStyle w:val="BodyText"/>
        <w:numPr>
          <w:ilvl w:val="0"/>
          <w:numId w:val="7"/>
        </w:numPr>
        <w:ind w:left="567" w:hanging="567"/>
      </w:pPr>
      <w:r>
        <w:t>Longford CHC</w:t>
      </w:r>
    </w:p>
    <w:p w:rsidR="005129EA" w:rsidRDefault="005129EA" w:rsidP="00103528">
      <w:pPr>
        <w:pStyle w:val="BodyText"/>
        <w:numPr>
          <w:ilvl w:val="0"/>
          <w:numId w:val="7"/>
        </w:numPr>
        <w:ind w:left="567" w:hanging="567"/>
      </w:pPr>
      <w:r>
        <w:t>St Marys CHC</w:t>
      </w:r>
    </w:p>
    <w:p w:rsidR="005129EA" w:rsidRDefault="005129EA" w:rsidP="00103528">
      <w:pPr>
        <w:pStyle w:val="BodyText"/>
        <w:numPr>
          <w:ilvl w:val="0"/>
          <w:numId w:val="7"/>
        </w:numPr>
        <w:ind w:left="567" w:hanging="567"/>
      </w:pPr>
      <w:r>
        <w:t>Campbell Town MPC</w:t>
      </w:r>
    </w:p>
    <w:p w:rsidR="005129EA" w:rsidRDefault="005129EA" w:rsidP="00103528">
      <w:pPr>
        <w:pStyle w:val="BodyText"/>
        <w:numPr>
          <w:ilvl w:val="0"/>
          <w:numId w:val="7"/>
        </w:numPr>
        <w:ind w:left="567" w:hanging="567"/>
      </w:pPr>
      <w:r>
        <w:t>Swansea CHC</w:t>
      </w:r>
    </w:p>
    <w:p w:rsidR="005129EA" w:rsidRDefault="005129EA" w:rsidP="00103528">
      <w:pPr>
        <w:pStyle w:val="BodyText"/>
        <w:numPr>
          <w:ilvl w:val="0"/>
          <w:numId w:val="7"/>
        </w:numPr>
        <w:ind w:left="567" w:hanging="567"/>
      </w:pPr>
      <w:r>
        <w:t>May Shaw NC (Swansea)</w:t>
      </w:r>
    </w:p>
    <w:p w:rsidR="005129EA" w:rsidRDefault="005129EA" w:rsidP="005129EA">
      <w:pPr>
        <w:pStyle w:val="BodyText"/>
      </w:pPr>
    </w:p>
    <w:p w:rsidR="005129EA" w:rsidRDefault="005129EA">
      <w:pPr>
        <w:rPr>
          <w:rFonts w:ascii="Gill Sans MT" w:eastAsia="GillSans-Light" w:hAnsi="Gill Sans MT" w:cs="GillSans-Light"/>
          <w:lang w:val="en-US"/>
        </w:rPr>
      </w:pPr>
      <w:r>
        <w:br w:type="page"/>
      </w:r>
    </w:p>
    <w:p w:rsidR="005129EA" w:rsidRDefault="005129EA" w:rsidP="005129EA">
      <w:pPr>
        <w:pStyle w:val="Heading4"/>
      </w:pPr>
      <w:r>
        <w:lastRenderedPageBreak/>
        <w:t>South</w:t>
      </w:r>
    </w:p>
    <w:p w:rsidR="005129EA" w:rsidRDefault="005129EA" w:rsidP="00103528">
      <w:pPr>
        <w:pStyle w:val="BodyText"/>
        <w:numPr>
          <w:ilvl w:val="0"/>
          <w:numId w:val="8"/>
        </w:numPr>
        <w:ind w:left="567" w:hanging="567"/>
      </w:pPr>
      <w:r>
        <w:t>Midlands MPC (Oatlands)</w:t>
      </w:r>
    </w:p>
    <w:p w:rsidR="005129EA" w:rsidRDefault="005129EA" w:rsidP="00103528">
      <w:pPr>
        <w:pStyle w:val="BodyText"/>
        <w:numPr>
          <w:ilvl w:val="0"/>
          <w:numId w:val="8"/>
        </w:numPr>
        <w:ind w:left="567" w:hanging="567"/>
      </w:pPr>
      <w:r>
        <w:t>Ouse CHC</w:t>
      </w:r>
    </w:p>
    <w:p w:rsidR="005129EA" w:rsidRDefault="005129EA" w:rsidP="00103528">
      <w:pPr>
        <w:pStyle w:val="BodyText"/>
        <w:numPr>
          <w:ilvl w:val="0"/>
          <w:numId w:val="8"/>
        </w:numPr>
        <w:ind w:left="567" w:hanging="567"/>
      </w:pPr>
      <w:r>
        <w:t>Spring Bay CHC (Triabunna)</w:t>
      </w:r>
    </w:p>
    <w:p w:rsidR="005129EA" w:rsidRDefault="005129EA" w:rsidP="00103528">
      <w:pPr>
        <w:pStyle w:val="BodyText"/>
        <w:numPr>
          <w:ilvl w:val="0"/>
          <w:numId w:val="8"/>
        </w:numPr>
        <w:ind w:left="567" w:hanging="567"/>
      </w:pPr>
      <w:r>
        <w:t>Brighton CHC (Bridgewater)</w:t>
      </w:r>
    </w:p>
    <w:p w:rsidR="005129EA" w:rsidRDefault="005129EA" w:rsidP="00103528">
      <w:pPr>
        <w:pStyle w:val="BodyText"/>
        <w:numPr>
          <w:ilvl w:val="0"/>
          <w:numId w:val="8"/>
        </w:numPr>
        <w:ind w:left="567" w:hanging="567"/>
      </w:pPr>
      <w:r>
        <w:t>New Norfolk DH</w:t>
      </w:r>
    </w:p>
    <w:p w:rsidR="005129EA" w:rsidRDefault="005129EA" w:rsidP="00103528">
      <w:pPr>
        <w:pStyle w:val="BodyText"/>
        <w:numPr>
          <w:ilvl w:val="0"/>
          <w:numId w:val="8"/>
        </w:numPr>
        <w:ind w:left="567" w:hanging="567"/>
      </w:pPr>
      <w:r>
        <w:t>Glenorchy CHC</w:t>
      </w:r>
    </w:p>
    <w:p w:rsidR="005129EA" w:rsidRDefault="005129EA" w:rsidP="00103528">
      <w:pPr>
        <w:pStyle w:val="BodyText"/>
        <w:numPr>
          <w:ilvl w:val="0"/>
          <w:numId w:val="8"/>
        </w:numPr>
        <w:ind w:left="567" w:hanging="567"/>
      </w:pPr>
      <w:r>
        <w:t>Clarence ICC (Rosny Park)</w:t>
      </w:r>
    </w:p>
    <w:p w:rsidR="005129EA" w:rsidRDefault="005129EA" w:rsidP="00103528">
      <w:pPr>
        <w:pStyle w:val="BodyText"/>
        <w:numPr>
          <w:ilvl w:val="0"/>
          <w:numId w:val="8"/>
        </w:numPr>
        <w:ind w:left="567" w:hanging="567"/>
      </w:pPr>
      <w:r>
        <w:t>Risdon Vale CHC</w:t>
      </w:r>
    </w:p>
    <w:p w:rsidR="005129EA" w:rsidRDefault="005129EA" w:rsidP="00103528">
      <w:pPr>
        <w:pStyle w:val="BodyText"/>
        <w:numPr>
          <w:ilvl w:val="0"/>
          <w:numId w:val="8"/>
        </w:numPr>
        <w:ind w:left="567" w:hanging="567"/>
      </w:pPr>
      <w:r>
        <w:t>Sorell CHC</w:t>
      </w:r>
    </w:p>
    <w:p w:rsidR="005129EA" w:rsidRDefault="005129EA" w:rsidP="00103528">
      <w:pPr>
        <w:pStyle w:val="BodyText"/>
        <w:numPr>
          <w:ilvl w:val="0"/>
          <w:numId w:val="8"/>
        </w:numPr>
        <w:ind w:left="567" w:hanging="567"/>
      </w:pPr>
      <w:r>
        <w:t>Repatriation Centre (Hobart)</w:t>
      </w:r>
    </w:p>
    <w:p w:rsidR="005129EA" w:rsidRDefault="005129EA" w:rsidP="00103528">
      <w:pPr>
        <w:pStyle w:val="BodyText"/>
        <w:numPr>
          <w:ilvl w:val="0"/>
          <w:numId w:val="8"/>
        </w:numPr>
        <w:ind w:left="567" w:hanging="567"/>
      </w:pPr>
      <w:r>
        <w:t>Kingston CHC</w:t>
      </w:r>
    </w:p>
    <w:p w:rsidR="005129EA" w:rsidRDefault="005129EA" w:rsidP="00103528">
      <w:pPr>
        <w:pStyle w:val="BodyText"/>
        <w:numPr>
          <w:ilvl w:val="0"/>
          <w:numId w:val="8"/>
        </w:numPr>
        <w:ind w:left="567" w:hanging="567"/>
      </w:pPr>
      <w:r>
        <w:t>Huon CHC (Huonville)</w:t>
      </w:r>
    </w:p>
    <w:p w:rsidR="005129EA" w:rsidRDefault="005129EA" w:rsidP="00103528">
      <w:pPr>
        <w:pStyle w:val="BodyText"/>
        <w:numPr>
          <w:ilvl w:val="0"/>
          <w:numId w:val="8"/>
        </w:numPr>
        <w:ind w:left="567" w:hanging="567"/>
      </w:pPr>
      <w:r>
        <w:t>Huon Eldercare Inc (Franklin)</w:t>
      </w:r>
    </w:p>
    <w:p w:rsidR="005129EA" w:rsidRDefault="005129EA" w:rsidP="00103528">
      <w:pPr>
        <w:pStyle w:val="BodyText"/>
        <w:numPr>
          <w:ilvl w:val="0"/>
          <w:numId w:val="8"/>
        </w:numPr>
        <w:ind w:left="567" w:hanging="567"/>
      </w:pPr>
      <w:r>
        <w:t>Cygnet CHC</w:t>
      </w:r>
    </w:p>
    <w:p w:rsidR="005129EA" w:rsidRDefault="005129EA" w:rsidP="00103528">
      <w:pPr>
        <w:pStyle w:val="BodyText"/>
        <w:numPr>
          <w:ilvl w:val="0"/>
          <w:numId w:val="8"/>
        </w:numPr>
        <w:ind w:left="567" w:hanging="567"/>
      </w:pPr>
      <w:r>
        <w:t>Tasman CHC (Nubeena)</w:t>
      </w:r>
    </w:p>
    <w:p w:rsidR="005129EA" w:rsidRDefault="005129EA" w:rsidP="00103528">
      <w:pPr>
        <w:pStyle w:val="BodyText"/>
        <w:numPr>
          <w:ilvl w:val="0"/>
          <w:numId w:val="8"/>
        </w:numPr>
        <w:ind w:left="567" w:hanging="567"/>
      </w:pPr>
      <w:r>
        <w:t>Esperance CHC (Dover)</w:t>
      </w:r>
    </w:p>
    <w:p w:rsidR="005129EA" w:rsidRDefault="005129EA" w:rsidP="00103528">
      <w:pPr>
        <w:pStyle w:val="BodyText"/>
        <w:numPr>
          <w:ilvl w:val="0"/>
          <w:numId w:val="8"/>
        </w:numPr>
        <w:ind w:left="567" w:hanging="567"/>
      </w:pPr>
      <w:r>
        <w:t>Bruny Island CHC (Alonnah)</w:t>
      </w:r>
    </w:p>
    <w:p w:rsidR="005129EA" w:rsidRDefault="005129EA" w:rsidP="005129EA">
      <w:pPr>
        <w:pStyle w:val="BodyText"/>
        <w:sectPr w:rsidR="005129EA" w:rsidSect="00025D0E">
          <w:pgSz w:w="11906" w:h="16838"/>
          <w:pgMar w:top="1440" w:right="707" w:bottom="1440" w:left="1134" w:header="708" w:footer="708" w:gutter="0"/>
          <w:cols w:space="708"/>
          <w:docGrid w:linePitch="360"/>
        </w:sectPr>
      </w:pPr>
    </w:p>
    <w:p w:rsidR="005129EA" w:rsidRDefault="005129EA" w:rsidP="006577F0">
      <w:pPr>
        <w:pStyle w:val="Heading3"/>
      </w:pPr>
      <w:bookmarkStart w:id="19" w:name="_Toc472581959"/>
      <w:r>
        <w:lastRenderedPageBreak/>
        <w:t>Our Community and Volunteers</w:t>
      </w:r>
      <w:bookmarkEnd w:id="19"/>
    </w:p>
    <w:p w:rsidR="005129EA" w:rsidRPr="00484AAE" w:rsidRDefault="005129EA" w:rsidP="00484AAE">
      <w:pPr>
        <w:pStyle w:val="BodyText"/>
      </w:pPr>
      <w:r w:rsidRPr="00484AAE">
        <w:t>During the transition phase the THS has continued</w:t>
      </w:r>
      <w:r w:rsidR="006577F0" w:rsidRPr="00484AAE">
        <w:t xml:space="preserve"> </w:t>
      </w:r>
      <w:r w:rsidRPr="00484AAE">
        <w:t>to work with the existing country groups in each of</w:t>
      </w:r>
      <w:r w:rsidR="006577F0" w:rsidRPr="00484AAE">
        <w:t xml:space="preserve"> </w:t>
      </w:r>
      <w:r w:rsidRPr="00484AAE">
        <w:t>the regional areas, and their reports follow.</w:t>
      </w:r>
    </w:p>
    <w:p w:rsidR="005129EA" w:rsidRDefault="005129EA" w:rsidP="006577F0">
      <w:pPr>
        <w:pStyle w:val="Heading4"/>
      </w:pPr>
      <w:r>
        <w:t>North West Consumer Engagement</w:t>
      </w:r>
      <w:r w:rsidR="006577F0">
        <w:t xml:space="preserve"> </w:t>
      </w:r>
      <w:r>
        <w:t>Reference Group</w:t>
      </w:r>
    </w:p>
    <w:p w:rsidR="005129EA" w:rsidRPr="00484AAE" w:rsidRDefault="005129EA" w:rsidP="00484AAE">
      <w:pPr>
        <w:pStyle w:val="BodyText"/>
      </w:pPr>
      <w:r w:rsidRPr="00484AAE">
        <w:t>The Consumer and Community Engagement</w:t>
      </w:r>
      <w:r w:rsidR="006577F0" w:rsidRPr="00484AAE">
        <w:t xml:space="preserve"> </w:t>
      </w:r>
      <w:r w:rsidRPr="00484AAE">
        <w:t>Strategy 2013-16 (the strategy) was developed</w:t>
      </w:r>
      <w:r w:rsidR="006577F0" w:rsidRPr="00484AAE">
        <w:t xml:space="preserve"> </w:t>
      </w:r>
      <w:r w:rsidRPr="00484AAE">
        <w:t>to guide consumer engagement direction and</w:t>
      </w:r>
      <w:r w:rsidR="006577F0" w:rsidRPr="00484AAE">
        <w:t xml:space="preserve"> </w:t>
      </w:r>
      <w:r w:rsidRPr="00484AAE">
        <w:t>activities over a three year period and to meet</w:t>
      </w:r>
      <w:r w:rsidR="006577F0" w:rsidRPr="00484AAE">
        <w:t xml:space="preserve"> </w:t>
      </w:r>
      <w:r w:rsidRPr="00484AAE">
        <w:t>the organisational objectives outlined in the</w:t>
      </w:r>
      <w:r w:rsidR="006577F0" w:rsidRPr="00484AAE">
        <w:t xml:space="preserve"> </w:t>
      </w:r>
      <w:r w:rsidRPr="00484AAE">
        <w:t>(then) corporate plan, meet Tasmanian Health</w:t>
      </w:r>
      <w:r w:rsidR="006577F0" w:rsidRPr="00484AAE">
        <w:t xml:space="preserve"> </w:t>
      </w:r>
      <w:r w:rsidRPr="00484AAE">
        <w:t>Organisation obligations 2.3.3, 2.3.11, and 2.3.13,</w:t>
      </w:r>
      <w:r w:rsidR="006577F0" w:rsidRPr="00484AAE">
        <w:t xml:space="preserve"> </w:t>
      </w:r>
      <w:r w:rsidRPr="00484AAE">
        <w:t>and outline the ways in which the organisation</w:t>
      </w:r>
      <w:r w:rsidR="006577F0" w:rsidRPr="00484AAE">
        <w:t xml:space="preserve"> </w:t>
      </w:r>
      <w:r w:rsidRPr="00484AAE">
        <w:t>demonstrates compliance with the National Safety</w:t>
      </w:r>
      <w:r w:rsidR="006577F0" w:rsidRPr="00484AAE">
        <w:t xml:space="preserve"> </w:t>
      </w:r>
      <w:r w:rsidRPr="00484AAE">
        <w:t>and Quality Health Service Standards (NSQHS).</w:t>
      </w:r>
    </w:p>
    <w:p w:rsidR="005129EA" w:rsidRPr="00484AAE" w:rsidRDefault="005129EA" w:rsidP="00484AAE">
      <w:pPr>
        <w:pStyle w:val="BodyText"/>
      </w:pPr>
      <w:r w:rsidRPr="00484AAE">
        <w:t>The strategy was led by the Consumer Engagement</w:t>
      </w:r>
      <w:r w:rsidR="006577F0" w:rsidRPr="00484AAE">
        <w:t xml:space="preserve"> </w:t>
      </w:r>
      <w:r w:rsidRPr="00484AAE">
        <w:t>Reference Group (CERG) who developed the</w:t>
      </w:r>
      <w:r w:rsidR="006577F0" w:rsidRPr="00484AAE">
        <w:t xml:space="preserve"> </w:t>
      </w:r>
      <w:r w:rsidRPr="00484AAE">
        <w:t>principles of engagement, goals of engagement, and</w:t>
      </w:r>
      <w:r w:rsidR="006577F0" w:rsidRPr="00484AAE">
        <w:t xml:space="preserve"> </w:t>
      </w:r>
      <w:r w:rsidRPr="00484AAE">
        <w:t>key actions in collaboration with the North West</w:t>
      </w:r>
      <w:r w:rsidR="006577F0" w:rsidRPr="00484AAE">
        <w:t xml:space="preserve"> </w:t>
      </w:r>
      <w:r w:rsidRPr="00484AAE">
        <w:t>NSQHS Standard 2 Working Party.</w:t>
      </w:r>
    </w:p>
    <w:p w:rsidR="006577F0" w:rsidRPr="00484AAE" w:rsidRDefault="005129EA" w:rsidP="00484AAE">
      <w:pPr>
        <w:pStyle w:val="BodyText"/>
      </w:pPr>
      <w:r w:rsidRPr="00484AAE">
        <w:t>As part of closing the strategy in mid-2016</w:t>
      </w:r>
      <w:r w:rsidR="006577F0" w:rsidRPr="00484AAE">
        <w:t xml:space="preserve"> </w:t>
      </w:r>
      <w:proofErr w:type="gramStart"/>
      <w:r w:rsidRPr="00484AAE">
        <w:t>As</w:t>
      </w:r>
      <w:proofErr w:type="gramEnd"/>
      <w:r w:rsidRPr="00484AAE">
        <w:t xml:space="preserve"> part of closing the strategy in mid-2016, the</w:t>
      </w:r>
      <w:r w:rsidR="006577F0" w:rsidRPr="00484AAE">
        <w:t xml:space="preserve"> </w:t>
      </w:r>
      <w:r w:rsidRPr="00484AAE">
        <w:t>CERG looked at the number of actions that had</w:t>
      </w:r>
      <w:r w:rsidR="006577F0" w:rsidRPr="00484AAE">
        <w:t xml:space="preserve"> </w:t>
      </w:r>
      <w:r w:rsidRPr="00484AAE">
        <w:t>been completed, and those in which activity was</w:t>
      </w:r>
      <w:r w:rsidR="006577F0" w:rsidRPr="00484AAE">
        <w:t xml:space="preserve"> </w:t>
      </w:r>
      <w:r w:rsidRPr="00484AAE">
        <w:t>still outstanding. As there is work to develop a</w:t>
      </w:r>
      <w:r w:rsidR="006577F0" w:rsidRPr="00484AAE">
        <w:t xml:space="preserve"> </w:t>
      </w:r>
      <w:r w:rsidRPr="00484AAE">
        <w:t>consumer engagement strategy state-wide, the</w:t>
      </w:r>
      <w:r w:rsidR="006577F0" w:rsidRPr="00484AAE">
        <w:t xml:space="preserve"> </w:t>
      </w:r>
      <w:r w:rsidRPr="00484AAE">
        <w:t>CERG developed a local Quality Plan which they</w:t>
      </w:r>
      <w:r w:rsidR="006577F0" w:rsidRPr="00484AAE">
        <w:t xml:space="preserve"> </w:t>
      </w:r>
      <w:r w:rsidRPr="00484AAE">
        <w:t>could lead over the next year. This plan includes</w:t>
      </w:r>
      <w:r w:rsidR="006577F0" w:rsidRPr="00484AAE">
        <w:t xml:space="preserve"> </w:t>
      </w:r>
      <w:r w:rsidRPr="00484AAE">
        <w:t>outstanding actions from the strategy and along</w:t>
      </w:r>
      <w:r w:rsidR="006577F0" w:rsidRPr="00484AAE">
        <w:t xml:space="preserve"> </w:t>
      </w:r>
      <w:r w:rsidRPr="00484AAE">
        <w:t>with areas of work identified from their review of</w:t>
      </w:r>
      <w:r w:rsidR="006577F0" w:rsidRPr="00484AAE">
        <w:t xml:space="preserve"> </w:t>
      </w:r>
      <w:r w:rsidRPr="00484AAE">
        <w:t xml:space="preserve">safety and quality data and member </w:t>
      </w:r>
      <w:proofErr w:type="gramStart"/>
      <w:r w:rsidRPr="00484AAE">
        <w:t>experience,</w:t>
      </w:r>
      <w:proofErr w:type="gramEnd"/>
      <w:r w:rsidR="006577F0" w:rsidRPr="00484AAE">
        <w:t xml:space="preserve"> </w:t>
      </w:r>
      <w:r w:rsidRPr="00484AAE">
        <w:t>this plan is guiding the CERG’s work for 2016-17.</w:t>
      </w:r>
    </w:p>
    <w:p w:rsidR="005129EA" w:rsidRPr="00484AAE" w:rsidRDefault="005129EA" w:rsidP="00484AAE">
      <w:pPr>
        <w:pStyle w:val="BodyText"/>
      </w:pPr>
      <w:r w:rsidRPr="00484AAE">
        <w:t>CERG reviewed the existing patient information</w:t>
      </w:r>
      <w:r w:rsidR="006577F0" w:rsidRPr="00484AAE">
        <w:t xml:space="preserve"> </w:t>
      </w:r>
      <w:r w:rsidRPr="00484AAE">
        <w:t>directories which were placed in our hospitals</w:t>
      </w:r>
      <w:r w:rsidR="006577F0" w:rsidRPr="00484AAE">
        <w:t xml:space="preserve"> </w:t>
      </w:r>
      <w:r w:rsidRPr="00484AAE">
        <w:t>at the patient bedside. The directories included</w:t>
      </w:r>
      <w:r w:rsidR="006577F0" w:rsidRPr="00484AAE">
        <w:t xml:space="preserve"> </w:t>
      </w:r>
      <w:r w:rsidRPr="00484AAE">
        <w:t>information for patients and their families / carers</w:t>
      </w:r>
      <w:r w:rsidR="006577F0" w:rsidRPr="00484AAE">
        <w:t xml:space="preserve"> </w:t>
      </w:r>
      <w:r w:rsidRPr="00484AAE">
        <w:t>about the hospital such as kiosk opening times</w:t>
      </w:r>
      <w:r w:rsidR="006577F0" w:rsidRPr="00484AAE">
        <w:t xml:space="preserve"> </w:t>
      </w:r>
      <w:r w:rsidRPr="00484AAE">
        <w:t>and also information for keeping safe while in</w:t>
      </w:r>
      <w:r w:rsidR="006577F0" w:rsidRPr="00484AAE">
        <w:t xml:space="preserve"> </w:t>
      </w:r>
      <w:r w:rsidRPr="00484AAE">
        <w:t>hospital such as how to reduce the risk of falling.</w:t>
      </w:r>
    </w:p>
    <w:p w:rsidR="006577F0" w:rsidRPr="00484AAE" w:rsidRDefault="005129EA" w:rsidP="00484AAE">
      <w:pPr>
        <w:pStyle w:val="BodyText"/>
      </w:pPr>
      <w:r w:rsidRPr="00484AAE">
        <w:t>As a result, the directories were large and had lots</w:t>
      </w:r>
      <w:r w:rsidR="006577F0" w:rsidRPr="00484AAE">
        <w:t xml:space="preserve"> </w:t>
      </w:r>
      <w:r w:rsidRPr="00484AAE">
        <w:t>of written information. Their feedback was that</w:t>
      </w:r>
      <w:r w:rsidR="006577F0" w:rsidRPr="00484AAE">
        <w:t xml:space="preserve"> </w:t>
      </w:r>
      <w:r w:rsidRPr="00484AAE">
        <w:t>the information needed to be simpler and more</w:t>
      </w:r>
      <w:r w:rsidR="006577F0" w:rsidRPr="00484AAE">
        <w:t xml:space="preserve"> </w:t>
      </w:r>
      <w:r w:rsidRPr="00484AAE">
        <w:t>interactive. A patient safety card was introduced</w:t>
      </w:r>
      <w:r w:rsidR="006577F0" w:rsidRPr="00484AAE">
        <w:t xml:space="preserve"> </w:t>
      </w:r>
      <w:r w:rsidRPr="00484AAE">
        <w:t>and is now available at each patient bedside.</w:t>
      </w:r>
    </w:p>
    <w:p w:rsidR="005129EA" w:rsidRPr="00484AAE" w:rsidRDefault="005129EA" w:rsidP="00484AAE">
      <w:pPr>
        <w:pStyle w:val="BodyText"/>
      </w:pPr>
      <w:r w:rsidRPr="00484AAE">
        <w:t xml:space="preserve">The card titled ‘Keep </w:t>
      </w:r>
      <w:proofErr w:type="gramStart"/>
      <w:r w:rsidRPr="00484AAE">
        <w:t>yourself</w:t>
      </w:r>
      <w:proofErr w:type="gramEnd"/>
      <w:r w:rsidRPr="00484AAE">
        <w:t xml:space="preserve"> safe during your</w:t>
      </w:r>
      <w:r w:rsidR="006577F0" w:rsidRPr="00484AAE">
        <w:t xml:space="preserve"> </w:t>
      </w:r>
      <w:r w:rsidRPr="00484AAE">
        <w:t>hospital stay’ has lots of pictures and short, simple</w:t>
      </w:r>
      <w:r w:rsidR="006577F0" w:rsidRPr="00484AAE">
        <w:t xml:space="preserve"> </w:t>
      </w:r>
      <w:r w:rsidRPr="00484AAE">
        <w:t>sentences to make the information</w:t>
      </w:r>
      <w:r w:rsidR="006577F0" w:rsidRPr="00484AAE">
        <w:t xml:space="preserve"> </w:t>
      </w:r>
      <w:r w:rsidRPr="00484AAE">
        <w:t>easy and fun for patients to read. Some of the</w:t>
      </w:r>
      <w:r w:rsidR="006577F0" w:rsidRPr="00484AAE">
        <w:t xml:space="preserve"> </w:t>
      </w:r>
      <w:r w:rsidRPr="00484AAE">
        <w:t>CERG members are pictured with A3 versions of</w:t>
      </w:r>
      <w:r w:rsidR="006577F0" w:rsidRPr="00484AAE">
        <w:t xml:space="preserve"> </w:t>
      </w:r>
      <w:r w:rsidRPr="00484AAE">
        <w:t>the safety card above.</w:t>
      </w:r>
    </w:p>
    <w:p w:rsidR="005129EA" w:rsidRPr="00484AAE" w:rsidRDefault="005129EA" w:rsidP="00484AAE">
      <w:pPr>
        <w:pStyle w:val="BodyText"/>
      </w:pPr>
      <w:r w:rsidRPr="00484AAE">
        <w:t>The second part of this review was to identify a</w:t>
      </w:r>
      <w:r w:rsidR="006577F0" w:rsidRPr="00484AAE">
        <w:t xml:space="preserve"> </w:t>
      </w:r>
      <w:r w:rsidRPr="00484AAE">
        <w:t>way to provide information about the hospital to</w:t>
      </w:r>
      <w:r w:rsidR="006577F0" w:rsidRPr="00484AAE">
        <w:t xml:space="preserve"> </w:t>
      </w:r>
      <w:r w:rsidRPr="00484AAE">
        <w:t>patients, their families, and visitors. The North</w:t>
      </w:r>
      <w:r w:rsidR="006577F0" w:rsidRPr="00484AAE">
        <w:t xml:space="preserve"> </w:t>
      </w:r>
      <w:r w:rsidRPr="00484AAE">
        <w:t>West is currently trialling patient information</w:t>
      </w:r>
      <w:r w:rsidR="006577F0" w:rsidRPr="00484AAE">
        <w:t xml:space="preserve"> </w:t>
      </w:r>
      <w:r w:rsidRPr="00484AAE">
        <w:t>directory televisions in waiting areas of the</w:t>
      </w:r>
      <w:r w:rsidR="006577F0" w:rsidRPr="00484AAE">
        <w:t xml:space="preserve"> </w:t>
      </w:r>
      <w:r w:rsidRPr="00484AAE">
        <w:t>Emergency and Outpatients Departments of the</w:t>
      </w:r>
      <w:r w:rsidR="006577F0" w:rsidRPr="00484AAE">
        <w:t xml:space="preserve"> </w:t>
      </w:r>
      <w:r w:rsidRPr="00484AAE">
        <w:t>Mersey Community and North West Regional</w:t>
      </w:r>
      <w:r w:rsidR="006577F0" w:rsidRPr="00484AAE">
        <w:t xml:space="preserve"> </w:t>
      </w:r>
      <w:r w:rsidRPr="00484AAE">
        <w:t>hospitals. This is following a review of existing</w:t>
      </w:r>
      <w:r w:rsidR="006577F0" w:rsidRPr="00484AAE">
        <w:t xml:space="preserve"> </w:t>
      </w:r>
      <w:r w:rsidRPr="00484AAE">
        <w:t>information directories which identified that</w:t>
      </w:r>
      <w:r w:rsidR="006577F0" w:rsidRPr="00484AAE">
        <w:t xml:space="preserve"> </w:t>
      </w:r>
      <w:r w:rsidRPr="00484AAE">
        <w:t>the way information was provided to patients</w:t>
      </w:r>
      <w:r w:rsidR="006577F0" w:rsidRPr="00484AAE">
        <w:t xml:space="preserve"> </w:t>
      </w:r>
      <w:r w:rsidRPr="00484AAE">
        <w:t>and their families / carers was not ideal. As</w:t>
      </w:r>
      <w:r w:rsidR="006577F0" w:rsidRPr="00484AAE">
        <w:t xml:space="preserve"> </w:t>
      </w:r>
      <w:r w:rsidRPr="00484AAE">
        <w:t>part of this review CERG identified that the</w:t>
      </w:r>
      <w:r w:rsidR="006577F0" w:rsidRPr="00484AAE">
        <w:t xml:space="preserve"> </w:t>
      </w:r>
      <w:r w:rsidRPr="00484AAE">
        <w:t>televisions would give patients and their carers</w:t>
      </w:r>
      <w:r w:rsidR="006577F0" w:rsidRPr="00484AAE">
        <w:t xml:space="preserve"> </w:t>
      </w:r>
      <w:r w:rsidRPr="00484AAE">
        <w:t>the information they need in an easily accessible</w:t>
      </w:r>
      <w:r w:rsidR="006577F0" w:rsidRPr="00484AAE">
        <w:t xml:space="preserve"> </w:t>
      </w:r>
      <w:r w:rsidRPr="00484AAE">
        <w:t>format.</w:t>
      </w:r>
    </w:p>
    <w:p w:rsidR="006577F0" w:rsidRPr="00484AAE" w:rsidRDefault="005129EA" w:rsidP="00484AAE">
      <w:pPr>
        <w:pStyle w:val="BodyText"/>
      </w:pPr>
      <w:r w:rsidRPr="00484AAE">
        <w:t>Consumer representatives sit on three</w:t>
      </w:r>
      <w:r w:rsidR="006577F0" w:rsidRPr="00484AAE">
        <w:t xml:space="preserve"> g</w:t>
      </w:r>
      <w:r w:rsidRPr="00484AAE">
        <w:t>overnance committees in the North West and</w:t>
      </w:r>
      <w:r w:rsidR="006577F0" w:rsidRPr="00484AAE">
        <w:t xml:space="preserve"> </w:t>
      </w:r>
      <w:r w:rsidRPr="00484AAE">
        <w:t xml:space="preserve">provide </w:t>
      </w:r>
      <w:proofErr w:type="gramStart"/>
      <w:r w:rsidRPr="00484AAE">
        <w:t xml:space="preserve">valuable </w:t>
      </w:r>
      <w:r w:rsidR="006577F0" w:rsidRPr="00484AAE">
        <w:t xml:space="preserve"> c</w:t>
      </w:r>
      <w:r w:rsidRPr="00484AAE">
        <w:t>ontributions</w:t>
      </w:r>
      <w:proofErr w:type="gramEnd"/>
      <w:r w:rsidRPr="00484AAE">
        <w:t xml:space="preserve"> to the work of</w:t>
      </w:r>
      <w:r w:rsidR="006577F0" w:rsidRPr="00484AAE">
        <w:t xml:space="preserve"> </w:t>
      </w:r>
      <w:r w:rsidRPr="00484AAE">
        <w:t>these committees. The CERG group works</w:t>
      </w:r>
      <w:r w:rsidR="006577F0" w:rsidRPr="00484AAE">
        <w:t xml:space="preserve"> </w:t>
      </w:r>
      <w:r w:rsidRPr="00484AAE">
        <w:t>in close collaboration with staff to progress</w:t>
      </w:r>
      <w:r w:rsidR="006577F0" w:rsidRPr="00484AAE">
        <w:t xml:space="preserve"> </w:t>
      </w:r>
      <w:r w:rsidRPr="00484AAE">
        <w:t>work which will ensure the organisation</w:t>
      </w:r>
      <w:r w:rsidR="006577F0" w:rsidRPr="00484AAE">
        <w:t xml:space="preserve"> </w:t>
      </w:r>
      <w:r w:rsidRPr="00484AAE">
        <w:t>meets the National Safety and Quality Health</w:t>
      </w:r>
      <w:r w:rsidR="006577F0" w:rsidRPr="00484AAE">
        <w:t xml:space="preserve"> </w:t>
      </w:r>
      <w:r w:rsidRPr="00484AAE">
        <w:t>Service (NSQHS) Standard 2: Partnering with</w:t>
      </w:r>
      <w:r w:rsidR="006577F0" w:rsidRPr="00484AAE">
        <w:t xml:space="preserve"> </w:t>
      </w:r>
      <w:r w:rsidRPr="00484AAE">
        <w:t>Consumers. A CERG member attended both</w:t>
      </w:r>
      <w:r w:rsidR="006577F0" w:rsidRPr="00484AAE">
        <w:t xml:space="preserve"> </w:t>
      </w:r>
      <w:r w:rsidRPr="00484AAE">
        <w:t>the national and state meetings on the review</w:t>
      </w:r>
      <w:r w:rsidR="006577F0" w:rsidRPr="00484AAE">
        <w:t xml:space="preserve"> </w:t>
      </w:r>
      <w:r w:rsidRPr="00484AAE">
        <w:t>of the National Registration and Accreditation</w:t>
      </w:r>
      <w:r w:rsidR="006577F0" w:rsidRPr="00484AAE">
        <w:t xml:space="preserve"> </w:t>
      </w:r>
      <w:r w:rsidRPr="00484AAE">
        <w:t>Scheme for Health Professionals. Members</w:t>
      </w:r>
      <w:r w:rsidR="006577F0" w:rsidRPr="00484AAE">
        <w:t xml:space="preserve"> </w:t>
      </w:r>
      <w:r w:rsidRPr="00484AAE">
        <w:t>regularly provide advice on new projects,</w:t>
      </w:r>
      <w:r w:rsidR="006577F0" w:rsidRPr="00484AAE">
        <w:t xml:space="preserve"> </w:t>
      </w:r>
      <w:r w:rsidRPr="00484AAE">
        <w:t>such as the Health Navigation Project based</w:t>
      </w:r>
      <w:r w:rsidR="006577F0" w:rsidRPr="00484AAE">
        <w:t xml:space="preserve"> </w:t>
      </w:r>
      <w:r w:rsidRPr="00484AAE">
        <w:t>in the Emergency Department, and have</w:t>
      </w:r>
      <w:r w:rsidR="006577F0" w:rsidRPr="00484AAE">
        <w:t xml:space="preserve"> </w:t>
      </w:r>
      <w:r w:rsidRPr="00484AAE">
        <w:t>been very involved in various aspects of the</w:t>
      </w:r>
      <w:r w:rsidR="006577F0" w:rsidRPr="00484AAE">
        <w:t xml:space="preserve"> </w:t>
      </w:r>
      <w:r w:rsidRPr="00484AAE">
        <w:t>newly built Cancer Centre and capital works</w:t>
      </w:r>
      <w:r w:rsidR="006577F0" w:rsidRPr="00484AAE">
        <w:t xml:space="preserve"> </w:t>
      </w:r>
      <w:r w:rsidRPr="00484AAE">
        <w:t>/ redevelopment at North West Regional and</w:t>
      </w:r>
      <w:r w:rsidR="006577F0" w:rsidRPr="00484AAE">
        <w:t xml:space="preserve"> </w:t>
      </w:r>
      <w:r w:rsidRPr="00484AAE">
        <w:t>Mersey Community hospitals. Recently, individual</w:t>
      </w:r>
      <w:r w:rsidR="006577F0" w:rsidRPr="00484AAE">
        <w:t xml:space="preserve"> </w:t>
      </w:r>
      <w:r w:rsidRPr="00484AAE">
        <w:lastRenderedPageBreak/>
        <w:t>members of the CERG have been working on</w:t>
      </w:r>
      <w:r w:rsidR="006577F0" w:rsidRPr="00484AAE">
        <w:t xml:space="preserve"> </w:t>
      </w:r>
      <w:r w:rsidRPr="00484AAE">
        <w:t>models of care with the state-wide working</w:t>
      </w:r>
      <w:r w:rsidR="006577F0" w:rsidRPr="00484AAE">
        <w:t xml:space="preserve"> </w:t>
      </w:r>
      <w:r w:rsidRPr="00484AAE">
        <w:t>parties which were established as part of One</w:t>
      </w:r>
      <w:r w:rsidR="006577F0" w:rsidRPr="00484AAE">
        <w:t xml:space="preserve"> </w:t>
      </w:r>
      <w:r w:rsidRPr="00484AAE">
        <w:t>Health System.</w:t>
      </w:r>
      <w:r w:rsidR="006577F0" w:rsidRPr="00484AAE">
        <w:t xml:space="preserve"> </w:t>
      </w:r>
    </w:p>
    <w:p w:rsidR="005129EA" w:rsidRPr="00484AAE" w:rsidRDefault="005129EA" w:rsidP="00484AAE">
      <w:pPr>
        <w:pStyle w:val="BodyText"/>
      </w:pPr>
      <w:r w:rsidRPr="00484AAE">
        <w:t>In this period, three members were recognised</w:t>
      </w:r>
      <w:r w:rsidR="006577F0" w:rsidRPr="00484AAE">
        <w:t xml:space="preserve"> </w:t>
      </w:r>
      <w:r w:rsidRPr="00484AAE">
        <w:t>for 5 years’ service to the CERG. These</w:t>
      </w:r>
      <w:r w:rsidR="006577F0" w:rsidRPr="00484AAE">
        <w:t xml:space="preserve"> </w:t>
      </w:r>
      <w:r w:rsidRPr="00484AAE">
        <w:t>inaugural members have consistently attended</w:t>
      </w:r>
      <w:r w:rsidR="006577F0" w:rsidRPr="00484AAE">
        <w:t xml:space="preserve"> </w:t>
      </w:r>
      <w:r w:rsidRPr="00484AAE">
        <w:t>and contributed to the group, and were</w:t>
      </w:r>
      <w:r w:rsidR="006577F0" w:rsidRPr="00484AAE">
        <w:t xml:space="preserve"> </w:t>
      </w:r>
      <w:r w:rsidRPr="00484AAE">
        <w:t>acknowledged with a certificate of service.</w:t>
      </w:r>
    </w:p>
    <w:p w:rsidR="005129EA" w:rsidRPr="00484AAE" w:rsidRDefault="005129EA" w:rsidP="00484AAE">
      <w:pPr>
        <w:pStyle w:val="BodyText"/>
      </w:pPr>
      <w:r w:rsidRPr="00484AAE">
        <w:t>CERG have been very involved in the review of</w:t>
      </w:r>
      <w:r w:rsidR="006577F0" w:rsidRPr="00484AAE">
        <w:t xml:space="preserve"> </w:t>
      </w:r>
      <w:r w:rsidRPr="00484AAE">
        <w:t>the North West’s safety and quality information</w:t>
      </w:r>
      <w:r w:rsidR="006577F0" w:rsidRPr="00484AAE">
        <w:t xml:space="preserve"> </w:t>
      </w:r>
      <w:r w:rsidRPr="00484AAE">
        <w:t>which has resulted in changes to the waitlist data</w:t>
      </w:r>
      <w:r w:rsidR="006577F0" w:rsidRPr="00484AAE">
        <w:t xml:space="preserve"> </w:t>
      </w:r>
      <w:r w:rsidRPr="00484AAE">
        <w:t>reports and patient safety and quality boards at</w:t>
      </w:r>
      <w:r w:rsidR="006577F0" w:rsidRPr="00484AAE">
        <w:t xml:space="preserve"> </w:t>
      </w:r>
      <w:r w:rsidRPr="00484AAE">
        <w:t>North West Regional Hospital. Members also</w:t>
      </w:r>
      <w:r w:rsidR="006577F0" w:rsidRPr="00484AAE">
        <w:t xml:space="preserve"> </w:t>
      </w:r>
      <w:r w:rsidRPr="00484AAE">
        <w:t>review feedback on the region’s services, including</w:t>
      </w:r>
      <w:r w:rsidR="006577F0" w:rsidRPr="00484AAE">
        <w:t xml:space="preserve"> </w:t>
      </w:r>
      <w:r w:rsidRPr="00484AAE">
        <w:t>complaints and response letters to identify areas</w:t>
      </w:r>
      <w:r w:rsidR="006577F0" w:rsidRPr="00484AAE">
        <w:t xml:space="preserve"> </w:t>
      </w:r>
      <w:r w:rsidRPr="00484AAE">
        <w:t>for improvement.</w:t>
      </w:r>
    </w:p>
    <w:p w:rsidR="006577F0" w:rsidRPr="00484AAE" w:rsidRDefault="005129EA" w:rsidP="00484AAE">
      <w:pPr>
        <w:pStyle w:val="BodyText"/>
      </w:pPr>
      <w:r w:rsidRPr="00484AAE">
        <w:t>In May 2016, the THS – Northern Consumer</w:t>
      </w:r>
      <w:r w:rsidR="006577F0" w:rsidRPr="00484AAE">
        <w:t xml:space="preserve"> </w:t>
      </w:r>
      <w:r w:rsidRPr="00484AAE">
        <w:t>Advisory Committee (CAC) and THS – North</w:t>
      </w:r>
      <w:r w:rsidR="006577F0" w:rsidRPr="00484AAE">
        <w:t xml:space="preserve"> </w:t>
      </w:r>
      <w:r w:rsidRPr="00484AAE">
        <w:t xml:space="preserve">West CERG </w:t>
      </w:r>
      <w:r w:rsidR="006577F0" w:rsidRPr="00484AAE">
        <w:t>t</w:t>
      </w:r>
      <w:r w:rsidRPr="00484AAE">
        <w:t>ravelled to Deloraine House to</w:t>
      </w:r>
      <w:r w:rsidR="006577F0" w:rsidRPr="00484AAE">
        <w:t xml:space="preserve"> </w:t>
      </w:r>
      <w:r w:rsidRPr="00484AAE">
        <w:t>attend a combined North and North West</w:t>
      </w:r>
      <w:r w:rsidR="006577F0" w:rsidRPr="00484AAE">
        <w:t xml:space="preserve"> </w:t>
      </w:r>
      <w:r w:rsidRPr="00484AAE">
        <w:t>consumer representative meeting. This was</w:t>
      </w:r>
      <w:r w:rsidR="006577F0" w:rsidRPr="00484AAE">
        <w:t xml:space="preserve"> </w:t>
      </w:r>
      <w:r w:rsidRPr="00484AAE">
        <w:t>the first time the groups have met and the</w:t>
      </w:r>
      <w:r w:rsidR="006577F0" w:rsidRPr="00484AAE">
        <w:t xml:space="preserve"> </w:t>
      </w:r>
      <w:r w:rsidRPr="00484AAE">
        <w:t>meeting provided an opportunity to talk about</w:t>
      </w:r>
      <w:r w:rsidR="006577F0" w:rsidRPr="00484AAE">
        <w:t xml:space="preserve"> </w:t>
      </w:r>
      <w:r w:rsidRPr="00484AAE">
        <w:t>committee histories, successes and achievements.</w:t>
      </w:r>
      <w:r w:rsidR="006577F0" w:rsidRPr="00484AAE">
        <w:t xml:space="preserve"> </w:t>
      </w:r>
    </w:p>
    <w:p w:rsidR="005129EA" w:rsidRPr="00484AAE" w:rsidRDefault="005129EA" w:rsidP="00484AAE">
      <w:pPr>
        <w:pStyle w:val="BodyText"/>
      </w:pPr>
      <w:r w:rsidRPr="00484AAE">
        <w:t>The meeting with the Northern CAC was</w:t>
      </w:r>
      <w:r w:rsidR="006577F0" w:rsidRPr="00484AAE">
        <w:t xml:space="preserve"> </w:t>
      </w:r>
      <w:r w:rsidRPr="00484AAE">
        <w:t>very well attended, and the members enjoyed</w:t>
      </w:r>
      <w:r w:rsidR="006577F0" w:rsidRPr="00484AAE">
        <w:t xml:space="preserve"> </w:t>
      </w:r>
      <w:r w:rsidRPr="00484AAE">
        <w:t>discussing the similarities and differences between</w:t>
      </w:r>
      <w:r w:rsidR="006577F0" w:rsidRPr="00484AAE">
        <w:t xml:space="preserve"> </w:t>
      </w:r>
      <w:r w:rsidRPr="00484AAE">
        <w:t>the services and how consumer engagement</w:t>
      </w:r>
      <w:r w:rsidR="006577F0" w:rsidRPr="00484AAE">
        <w:t xml:space="preserve"> </w:t>
      </w:r>
      <w:r w:rsidRPr="00484AAE">
        <w:t>occurs. The meeting highlighted the high level</w:t>
      </w:r>
      <w:r w:rsidR="006577F0" w:rsidRPr="00484AAE">
        <w:t xml:space="preserve"> </w:t>
      </w:r>
      <w:r w:rsidRPr="00484AAE">
        <w:t>of commitment and passion that our volunteers</w:t>
      </w:r>
      <w:r w:rsidR="006577F0" w:rsidRPr="00484AAE">
        <w:t xml:space="preserve"> </w:t>
      </w:r>
      <w:r w:rsidRPr="00484AAE">
        <w:t>have for our respective services.</w:t>
      </w:r>
    </w:p>
    <w:p w:rsidR="005129EA" w:rsidRPr="00484AAE" w:rsidRDefault="005129EA" w:rsidP="00484AAE">
      <w:pPr>
        <w:pStyle w:val="BodyText"/>
      </w:pPr>
      <w:r w:rsidRPr="00484AAE">
        <w:t>CERG continue to review and provide feedback</w:t>
      </w:r>
      <w:r w:rsidR="006577F0" w:rsidRPr="00484AAE">
        <w:t xml:space="preserve"> </w:t>
      </w:r>
      <w:r w:rsidRPr="00484AAE">
        <w:t>on patient information prior to approval. A</w:t>
      </w:r>
      <w:r w:rsidR="006577F0" w:rsidRPr="00484AAE">
        <w:t xml:space="preserve"> </w:t>
      </w:r>
      <w:r w:rsidRPr="00484AAE">
        <w:t>satisfaction survey completed in late 2015</w:t>
      </w:r>
      <w:r w:rsidR="006577F0" w:rsidRPr="00484AAE">
        <w:t xml:space="preserve"> </w:t>
      </w:r>
      <w:r w:rsidRPr="00484AAE">
        <w:t>identified that CERG are proud of the group’s</w:t>
      </w:r>
      <w:r w:rsidR="006577F0" w:rsidRPr="00484AAE">
        <w:t xml:space="preserve"> </w:t>
      </w:r>
      <w:r w:rsidRPr="00484AAE">
        <w:t>contribution to the organisation and would like to</w:t>
      </w:r>
      <w:r w:rsidR="006577F0" w:rsidRPr="00484AAE">
        <w:t xml:space="preserve"> </w:t>
      </w:r>
      <w:r w:rsidRPr="00484AAE">
        <w:t>do more. We are very proud and privileged to</w:t>
      </w:r>
      <w:r w:rsidR="006577F0" w:rsidRPr="00484AAE">
        <w:t xml:space="preserve"> </w:t>
      </w:r>
      <w:r w:rsidRPr="00484AAE">
        <w:t>have such wonderful and dedicated members.</w:t>
      </w:r>
    </w:p>
    <w:p w:rsidR="005129EA" w:rsidRDefault="005129EA" w:rsidP="006577F0">
      <w:pPr>
        <w:pStyle w:val="Heading4"/>
      </w:pPr>
      <w:r>
        <w:t>South Consumer Engagement Group</w:t>
      </w:r>
    </w:p>
    <w:p w:rsidR="005129EA" w:rsidRPr="00484AAE" w:rsidRDefault="005129EA" w:rsidP="00484AAE">
      <w:pPr>
        <w:pStyle w:val="BodyText"/>
      </w:pPr>
      <w:r w:rsidRPr="00484AAE">
        <w:t>The introduction of the National Quality and</w:t>
      </w:r>
      <w:r w:rsidR="006577F0" w:rsidRPr="00484AAE">
        <w:t xml:space="preserve"> </w:t>
      </w:r>
      <w:r w:rsidRPr="00484AAE">
        <w:t>Health Service Standards particularly Standard</w:t>
      </w:r>
      <w:r w:rsidR="006577F0" w:rsidRPr="00484AAE">
        <w:t xml:space="preserve"> </w:t>
      </w:r>
      <w:r w:rsidRPr="00484AAE">
        <w:t>2 Partnering with Consumers has provided</w:t>
      </w:r>
      <w:r w:rsidR="006577F0" w:rsidRPr="00484AAE">
        <w:t xml:space="preserve"> </w:t>
      </w:r>
      <w:r w:rsidRPr="00484AAE">
        <w:t>further opportunity to embed the principals of</w:t>
      </w:r>
      <w:r w:rsidR="006577F0" w:rsidRPr="00484AAE">
        <w:t xml:space="preserve"> </w:t>
      </w:r>
      <w:r w:rsidRPr="00484AAE">
        <w:t>consumer participation and engagement within</w:t>
      </w:r>
      <w:r w:rsidR="006577F0" w:rsidRPr="00484AAE">
        <w:t xml:space="preserve"> </w:t>
      </w:r>
      <w:r w:rsidRPr="00484AAE">
        <w:t>the organisation.</w:t>
      </w:r>
    </w:p>
    <w:p w:rsidR="005129EA" w:rsidRPr="00484AAE" w:rsidRDefault="005129EA" w:rsidP="00484AAE">
      <w:pPr>
        <w:pStyle w:val="BodyText"/>
      </w:pPr>
      <w:r w:rsidRPr="00484AAE">
        <w:t>The work of CEG is supported by the Consumer</w:t>
      </w:r>
      <w:r w:rsidR="006577F0" w:rsidRPr="00484AAE">
        <w:t xml:space="preserve"> </w:t>
      </w:r>
      <w:r w:rsidRPr="00484AAE">
        <w:t>Participation Action Group (CPAG) which</w:t>
      </w:r>
      <w:r w:rsidR="006577F0" w:rsidRPr="00484AAE">
        <w:t xml:space="preserve"> </w:t>
      </w:r>
      <w:r w:rsidRPr="00484AAE">
        <w:t>operationalises the strategic direction set by</w:t>
      </w:r>
      <w:r w:rsidR="006577F0" w:rsidRPr="00484AAE">
        <w:t xml:space="preserve"> </w:t>
      </w:r>
      <w:r w:rsidRPr="00484AAE">
        <w:t>CEG.</w:t>
      </w:r>
    </w:p>
    <w:p w:rsidR="005129EA" w:rsidRPr="00484AAE" w:rsidRDefault="005129EA" w:rsidP="00484AAE">
      <w:pPr>
        <w:pStyle w:val="BodyText"/>
      </w:pPr>
      <w:r w:rsidRPr="00484AAE">
        <w:t>The membership of the committee comprises</w:t>
      </w:r>
      <w:r w:rsidR="006577F0" w:rsidRPr="00484AAE">
        <w:t xml:space="preserve"> </w:t>
      </w:r>
      <w:r w:rsidRPr="00484AAE">
        <w:t>of representatives selected from a range of</w:t>
      </w:r>
      <w:r w:rsidR="006577F0" w:rsidRPr="00484AAE">
        <w:t xml:space="preserve"> </w:t>
      </w:r>
      <w:r w:rsidRPr="00484AAE">
        <w:t xml:space="preserve">community </w:t>
      </w:r>
      <w:r w:rsidR="006577F0" w:rsidRPr="00484AAE">
        <w:t xml:space="preserve"> d</w:t>
      </w:r>
      <w:r w:rsidRPr="00484AAE">
        <w:t>emographic/interest areas including</w:t>
      </w:r>
      <w:r w:rsidR="006577F0" w:rsidRPr="00484AAE">
        <w:t xml:space="preserve"> </w:t>
      </w:r>
      <w:r w:rsidRPr="00484AAE">
        <w:t>– youth, older persons, disability, diverse</w:t>
      </w:r>
      <w:r w:rsidR="006577F0" w:rsidRPr="00484AAE">
        <w:t xml:space="preserve"> </w:t>
      </w:r>
      <w:r w:rsidRPr="00484AAE">
        <w:t>communities, mental health, men’s, children &amp;</w:t>
      </w:r>
      <w:r w:rsidR="006577F0" w:rsidRPr="00484AAE">
        <w:t xml:space="preserve"> </w:t>
      </w:r>
      <w:r w:rsidRPr="00484AAE">
        <w:t>women’s health, palliative care, carers rural and</w:t>
      </w:r>
      <w:r w:rsidR="006577F0" w:rsidRPr="00484AAE">
        <w:t xml:space="preserve"> </w:t>
      </w:r>
      <w:r w:rsidRPr="00484AAE">
        <w:t>remote, membership also includes Director</w:t>
      </w:r>
    </w:p>
    <w:p w:rsidR="00707D71" w:rsidRPr="00484AAE" w:rsidRDefault="005129EA" w:rsidP="00484AAE">
      <w:pPr>
        <w:pStyle w:val="BodyText"/>
      </w:pPr>
      <w:proofErr w:type="gramStart"/>
      <w:r w:rsidRPr="00484AAE">
        <w:t>of</w:t>
      </w:r>
      <w:proofErr w:type="gramEnd"/>
      <w:r w:rsidRPr="00484AAE">
        <w:t xml:space="preserve"> Safety and Quality and the Manager of</w:t>
      </w:r>
      <w:r w:rsidR="006577F0" w:rsidRPr="00484AAE">
        <w:t xml:space="preserve"> </w:t>
      </w:r>
      <w:r w:rsidRPr="00484AAE">
        <w:t>Community Engagement. The CEG is chaired by</w:t>
      </w:r>
      <w:r w:rsidR="006577F0" w:rsidRPr="00484AAE">
        <w:t xml:space="preserve"> </w:t>
      </w:r>
      <w:r w:rsidRPr="00484AAE">
        <w:t>a consumer.</w:t>
      </w:r>
    </w:p>
    <w:p w:rsidR="005129EA" w:rsidRDefault="005129EA" w:rsidP="006577F0">
      <w:pPr>
        <w:pStyle w:val="Heading4"/>
      </w:pPr>
      <w:r>
        <w:t>Achievements in the last 12 months:</w:t>
      </w:r>
    </w:p>
    <w:p w:rsidR="005129EA" w:rsidRPr="00484AAE" w:rsidRDefault="005129EA" w:rsidP="00484AAE">
      <w:pPr>
        <w:pStyle w:val="BodyText"/>
      </w:pPr>
      <w:r w:rsidRPr="00484AAE">
        <w:t>The CEG members have worked tirelessly</w:t>
      </w:r>
      <w:r w:rsidR="006577F0" w:rsidRPr="00484AAE">
        <w:t xml:space="preserve"> </w:t>
      </w:r>
      <w:r w:rsidRPr="00484AAE">
        <w:t>over the past 12 months and have achieved the</w:t>
      </w:r>
      <w:r w:rsidR="006577F0" w:rsidRPr="00484AAE">
        <w:t xml:space="preserve"> </w:t>
      </w:r>
      <w:r w:rsidRPr="00484AAE">
        <w:t>following:</w:t>
      </w:r>
    </w:p>
    <w:p w:rsidR="005129EA" w:rsidRPr="00484AAE" w:rsidRDefault="005129EA" w:rsidP="00484AAE">
      <w:pPr>
        <w:pStyle w:val="BodyText"/>
        <w:tabs>
          <w:tab w:val="left" w:pos="567"/>
        </w:tabs>
        <w:ind w:left="567" w:hanging="567"/>
      </w:pPr>
      <w:r w:rsidRPr="00484AAE">
        <w:t xml:space="preserve">• </w:t>
      </w:r>
      <w:r w:rsidR="00484AAE">
        <w:tab/>
      </w:r>
      <w:r w:rsidRPr="00484AAE">
        <w:t>All criteria of Standard 2 Partnering with</w:t>
      </w:r>
      <w:r w:rsidR="006577F0" w:rsidRPr="00484AAE">
        <w:t xml:space="preserve"> </w:t>
      </w:r>
      <w:r w:rsidRPr="00484AAE">
        <w:t>Consumers (National Safety and Quality</w:t>
      </w:r>
      <w:r w:rsidR="006577F0" w:rsidRPr="00484AAE">
        <w:t xml:space="preserve"> </w:t>
      </w:r>
      <w:r w:rsidRPr="00484AAE">
        <w:t>Health Service Standards) was met when the</w:t>
      </w:r>
      <w:r w:rsidR="006577F0" w:rsidRPr="00484AAE">
        <w:t xml:space="preserve"> </w:t>
      </w:r>
      <w:r w:rsidRPr="00484AAE">
        <w:t>organisation underwent accreditation – Acute;</w:t>
      </w:r>
      <w:r w:rsidR="006577F0" w:rsidRPr="00484AAE">
        <w:t xml:space="preserve"> </w:t>
      </w:r>
      <w:r w:rsidRPr="00484AAE">
        <w:t>Sub-Acute; Community and Oral Health</w:t>
      </w:r>
      <w:r w:rsidR="00484AAE">
        <w:t xml:space="preserve"> </w:t>
      </w:r>
      <w:r w:rsidRPr="00484AAE">
        <w:t>without recommendations.</w:t>
      </w:r>
    </w:p>
    <w:p w:rsidR="005129EA" w:rsidRPr="00484AAE" w:rsidRDefault="005129EA" w:rsidP="00484AAE">
      <w:pPr>
        <w:pStyle w:val="BodyText"/>
        <w:tabs>
          <w:tab w:val="left" w:pos="567"/>
        </w:tabs>
        <w:ind w:left="567" w:hanging="567"/>
      </w:pPr>
      <w:r w:rsidRPr="00484AAE">
        <w:t>•</w:t>
      </w:r>
      <w:r w:rsidR="00484AAE">
        <w:tab/>
      </w:r>
      <w:r w:rsidRPr="00484AAE">
        <w:t>The review and update of the Community and</w:t>
      </w:r>
      <w:r w:rsidR="006577F0" w:rsidRPr="00484AAE">
        <w:t xml:space="preserve"> </w:t>
      </w:r>
      <w:r w:rsidRPr="00484AAE">
        <w:t>Consumer Engagement Assessed Risk Profile.</w:t>
      </w:r>
    </w:p>
    <w:p w:rsidR="005129EA" w:rsidRPr="00484AAE" w:rsidRDefault="005129EA" w:rsidP="00484AAE">
      <w:pPr>
        <w:pStyle w:val="BodyText"/>
        <w:tabs>
          <w:tab w:val="left" w:pos="567"/>
        </w:tabs>
        <w:ind w:left="567" w:hanging="567"/>
      </w:pPr>
      <w:r w:rsidRPr="00484AAE">
        <w:t xml:space="preserve">• </w:t>
      </w:r>
      <w:r w:rsidR="00484AAE">
        <w:tab/>
      </w:r>
      <w:r w:rsidRPr="00484AAE">
        <w:t>Utilisation of Patient Stories as an education</w:t>
      </w:r>
      <w:r w:rsidR="006577F0" w:rsidRPr="00484AAE">
        <w:t xml:space="preserve"> </w:t>
      </w:r>
      <w:r w:rsidRPr="00484AAE">
        <w:t>strategy.</w:t>
      </w:r>
    </w:p>
    <w:p w:rsidR="005129EA" w:rsidRPr="00484AAE" w:rsidRDefault="005129EA" w:rsidP="00484AAE">
      <w:pPr>
        <w:pStyle w:val="BodyText"/>
        <w:tabs>
          <w:tab w:val="left" w:pos="567"/>
        </w:tabs>
        <w:ind w:left="567" w:hanging="567"/>
      </w:pPr>
      <w:r w:rsidRPr="00484AAE">
        <w:t xml:space="preserve">• </w:t>
      </w:r>
      <w:r w:rsidR="00484AAE">
        <w:tab/>
      </w:r>
      <w:r w:rsidRPr="00484AAE">
        <w:t>Education – development of education material</w:t>
      </w:r>
      <w:r w:rsidR="006577F0" w:rsidRPr="00484AAE">
        <w:t xml:space="preserve"> </w:t>
      </w:r>
      <w:r w:rsidRPr="00484AAE">
        <w:t>in regard to Consumer participation and Patient</w:t>
      </w:r>
      <w:r w:rsidR="006577F0" w:rsidRPr="00484AAE">
        <w:t xml:space="preserve"> </w:t>
      </w:r>
      <w:r w:rsidRPr="00484AAE">
        <w:t>Centred Care.</w:t>
      </w:r>
    </w:p>
    <w:p w:rsidR="005129EA" w:rsidRPr="00484AAE" w:rsidRDefault="005129EA" w:rsidP="00484AAE">
      <w:pPr>
        <w:pStyle w:val="BodyText"/>
        <w:tabs>
          <w:tab w:val="left" w:pos="567"/>
        </w:tabs>
        <w:ind w:left="567" w:hanging="567"/>
      </w:pPr>
      <w:r w:rsidRPr="00484AAE">
        <w:t xml:space="preserve">• </w:t>
      </w:r>
      <w:r w:rsidR="00484AAE">
        <w:tab/>
      </w:r>
      <w:r w:rsidRPr="00484AAE">
        <w:t>Development of, obtaining ethics approval and</w:t>
      </w:r>
      <w:r w:rsidR="006577F0" w:rsidRPr="00484AAE">
        <w:t xml:space="preserve"> </w:t>
      </w:r>
      <w:r w:rsidRPr="00484AAE">
        <w:t>implementation of an Inpatient Experience</w:t>
      </w:r>
      <w:r w:rsidR="006577F0" w:rsidRPr="00484AAE">
        <w:t xml:space="preserve"> </w:t>
      </w:r>
      <w:r w:rsidRPr="00484AAE">
        <w:t>survey.</w:t>
      </w:r>
    </w:p>
    <w:p w:rsidR="005129EA" w:rsidRPr="00484AAE" w:rsidRDefault="005129EA" w:rsidP="00484AAE">
      <w:pPr>
        <w:pStyle w:val="BodyText"/>
        <w:tabs>
          <w:tab w:val="left" w:pos="567"/>
        </w:tabs>
        <w:ind w:left="567" w:hanging="567"/>
      </w:pPr>
      <w:r w:rsidRPr="00484AAE">
        <w:lastRenderedPageBreak/>
        <w:t xml:space="preserve">• </w:t>
      </w:r>
      <w:r w:rsidR="00484AAE">
        <w:tab/>
      </w:r>
      <w:r w:rsidRPr="00484AAE">
        <w:t>Review and development of protocol and</w:t>
      </w:r>
      <w:r w:rsidR="006577F0" w:rsidRPr="00484AAE">
        <w:t xml:space="preserve"> </w:t>
      </w:r>
      <w:r w:rsidRPr="00484AAE">
        <w:t>process for the development of consumer</w:t>
      </w:r>
      <w:r w:rsidR="006577F0" w:rsidRPr="00484AAE">
        <w:t xml:space="preserve"> </w:t>
      </w:r>
      <w:r w:rsidRPr="00484AAE">
        <w:t>information material (</w:t>
      </w:r>
      <w:proofErr w:type="gramStart"/>
      <w:r w:rsidRPr="00484AAE">
        <w:t xml:space="preserve">this </w:t>
      </w:r>
      <w:r w:rsidR="00484AAE">
        <w:t xml:space="preserve"> i</w:t>
      </w:r>
      <w:r w:rsidRPr="00484AAE">
        <w:t>ncludes</w:t>
      </w:r>
      <w:proofErr w:type="gramEnd"/>
      <w:r w:rsidRPr="00484AAE">
        <w:t xml:space="preserve"> development</w:t>
      </w:r>
      <w:r w:rsidR="006577F0" w:rsidRPr="00484AAE">
        <w:t xml:space="preserve"> </w:t>
      </w:r>
      <w:r w:rsidRPr="00484AAE">
        <w:t>and implementation of a Communication</w:t>
      </w:r>
      <w:r w:rsidR="006577F0" w:rsidRPr="00484AAE">
        <w:t xml:space="preserve"> </w:t>
      </w:r>
      <w:r w:rsidRPr="00484AAE">
        <w:t>assessment tool).</w:t>
      </w:r>
    </w:p>
    <w:p w:rsidR="005129EA" w:rsidRPr="00484AAE" w:rsidRDefault="005129EA" w:rsidP="00103528">
      <w:pPr>
        <w:pStyle w:val="BodyText"/>
        <w:numPr>
          <w:ilvl w:val="0"/>
          <w:numId w:val="10"/>
        </w:numPr>
        <w:tabs>
          <w:tab w:val="left" w:pos="567"/>
        </w:tabs>
        <w:ind w:left="567" w:hanging="567"/>
      </w:pPr>
      <w:r w:rsidRPr="00484AAE">
        <w:t>Volunteer Survey</w:t>
      </w:r>
    </w:p>
    <w:p w:rsidR="005129EA" w:rsidRPr="00484AAE" w:rsidRDefault="005129EA" w:rsidP="00484AAE">
      <w:pPr>
        <w:pStyle w:val="BodyText"/>
        <w:tabs>
          <w:tab w:val="left" w:pos="567"/>
        </w:tabs>
        <w:ind w:left="567" w:hanging="567"/>
      </w:pPr>
      <w:r w:rsidRPr="00484AAE">
        <w:t xml:space="preserve">• </w:t>
      </w:r>
      <w:r w:rsidR="00484AAE">
        <w:tab/>
      </w:r>
      <w:r w:rsidRPr="00484AAE">
        <w:t>Implemented Cuddles Program; Emergency</w:t>
      </w:r>
      <w:r w:rsidR="006577F0" w:rsidRPr="00484AAE">
        <w:t xml:space="preserve"> </w:t>
      </w:r>
      <w:r w:rsidRPr="00484AAE">
        <w:t>Department Volunteer Support Program;</w:t>
      </w:r>
      <w:r w:rsidR="006577F0" w:rsidRPr="00484AAE">
        <w:t xml:space="preserve"> </w:t>
      </w:r>
      <w:r w:rsidRPr="00484AAE">
        <w:t>Paediatric Surgery Volunteer Support Program;</w:t>
      </w:r>
      <w:r w:rsidR="006577F0" w:rsidRPr="00484AAE">
        <w:t xml:space="preserve"> </w:t>
      </w:r>
      <w:r w:rsidRPr="00484AAE">
        <w:t>recognition of volunteers (who contribute over</w:t>
      </w:r>
      <w:r w:rsidR="006577F0" w:rsidRPr="00484AAE">
        <w:t xml:space="preserve"> </w:t>
      </w:r>
      <w:r w:rsidRPr="00484AAE">
        <w:t>20,000 voluntary hours per year); Baby Care</w:t>
      </w:r>
      <w:r w:rsidR="006577F0" w:rsidRPr="00484AAE">
        <w:t xml:space="preserve"> </w:t>
      </w:r>
      <w:r w:rsidRPr="00484AAE">
        <w:t>Room refurbishment</w:t>
      </w:r>
    </w:p>
    <w:p w:rsidR="005129EA" w:rsidRDefault="005129EA" w:rsidP="006577F0">
      <w:pPr>
        <w:pStyle w:val="Heading4"/>
      </w:pPr>
      <w:r>
        <w:t>Compliment from the Public</w:t>
      </w:r>
    </w:p>
    <w:p w:rsidR="005129EA" w:rsidRPr="00484AAE" w:rsidRDefault="005129EA" w:rsidP="00484AAE">
      <w:pPr>
        <w:pStyle w:val="BodyText"/>
        <w:rPr>
          <w:i/>
        </w:rPr>
      </w:pPr>
      <w:r w:rsidRPr="00484AAE">
        <w:rPr>
          <w:i/>
        </w:rPr>
        <w:t>Over the many years that I have been living in</w:t>
      </w:r>
      <w:r w:rsidR="006577F0" w:rsidRPr="00484AAE">
        <w:rPr>
          <w:i/>
        </w:rPr>
        <w:t xml:space="preserve"> </w:t>
      </w:r>
      <w:r w:rsidRPr="00484AAE">
        <w:rPr>
          <w:i/>
        </w:rPr>
        <w:t>Hobart, and either myself or my family have had</w:t>
      </w:r>
      <w:r w:rsidR="006577F0" w:rsidRPr="00484AAE">
        <w:rPr>
          <w:i/>
        </w:rPr>
        <w:t xml:space="preserve"> </w:t>
      </w:r>
      <w:r w:rsidRPr="00484AAE">
        <w:rPr>
          <w:i/>
        </w:rPr>
        <w:t>occasion to attend the Royal, I/we have experienced</w:t>
      </w:r>
      <w:r w:rsidR="006577F0" w:rsidRPr="00484AAE">
        <w:rPr>
          <w:i/>
        </w:rPr>
        <w:t xml:space="preserve"> </w:t>
      </w:r>
      <w:r w:rsidRPr="00484AAE">
        <w:rPr>
          <w:i/>
        </w:rPr>
        <w:t>excellent attention. I have often meant to write a</w:t>
      </w:r>
      <w:r w:rsidR="006577F0" w:rsidRPr="00484AAE">
        <w:rPr>
          <w:i/>
        </w:rPr>
        <w:t xml:space="preserve"> </w:t>
      </w:r>
      <w:r w:rsidRPr="00484AAE">
        <w:rPr>
          <w:i/>
        </w:rPr>
        <w:t>letter of thanks or congratulations for the attention</w:t>
      </w:r>
      <w:r w:rsidR="006577F0" w:rsidRPr="00484AAE">
        <w:rPr>
          <w:i/>
        </w:rPr>
        <w:t xml:space="preserve"> </w:t>
      </w:r>
      <w:r w:rsidRPr="00484AAE">
        <w:rPr>
          <w:i/>
        </w:rPr>
        <w:t>that I/we have received.</w:t>
      </w:r>
      <w:r w:rsidR="006577F0" w:rsidRPr="00484AAE">
        <w:rPr>
          <w:i/>
        </w:rPr>
        <w:t xml:space="preserve"> </w:t>
      </w:r>
      <w:r w:rsidRPr="00484AAE">
        <w:rPr>
          <w:i/>
        </w:rPr>
        <w:t>I would like to put on record that I consider the Royal</w:t>
      </w:r>
    </w:p>
    <w:p w:rsidR="00E730AE" w:rsidRPr="00484AAE" w:rsidRDefault="005129EA" w:rsidP="00484AAE">
      <w:pPr>
        <w:pStyle w:val="BodyText"/>
        <w:rPr>
          <w:i/>
        </w:rPr>
      </w:pPr>
      <w:proofErr w:type="gramStart"/>
      <w:r w:rsidRPr="00484AAE">
        <w:rPr>
          <w:i/>
        </w:rPr>
        <w:t>Hobart Hospital to be a wonderful institution.</w:t>
      </w:r>
      <w:proofErr w:type="gramEnd"/>
      <w:r w:rsidRPr="00484AAE">
        <w:rPr>
          <w:i/>
        </w:rPr>
        <w:t xml:space="preserve"> Sure,</w:t>
      </w:r>
      <w:r w:rsidR="006577F0" w:rsidRPr="00484AAE">
        <w:rPr>
          <w:i/>
        </w:rPr>
        <w:t xml:space="preserve"> </w:t>
      </w:r>
      <w:r w:rsidRPr="00484AAE">
        <w:rPr>
          <w:i/>
        </w:rPr>
        <w:t>it isn’t perfect. What is! We all do the best we can</w:t>
      </w:r>
      <w:r w:rsidR="006577F0" w:rsidRPr="00484AAE">
        <w:rPr>
          <w:i/>
        </w:rPr>
        <w:t xml:space="preserve"> </w:t>
      </w:r>
      <w:r w:rsidRPr="00484AAE">
        <w:rPr>
          <w:i/>
        </w:rPr>
        <w:t>with the information and funds available at the</w:t>
      </w:r>
      <w:r w:rsidR="006577F0" w:rsidRPr="00484AAE">
        <w:rPr>
          <w:i/>
        </w:rPr>
        <w:t xml:space="preserve"> </w:t>
      </w:r>
      <w:r w:rsidRPr="00484AAE">
        <w:rPr>
          <w:i/>
        </w:rPr>
        <w:t>time. I often say to people that I am glad, that if I</w:t>
      </w:r>
      <w:r w:rsidR="006577F0" w:rsidRPr="00484AAE">
        <w:rPr>
          <w:i/>
        </w:rPr>
        <w:t xml:space="preserve"> </w:t>
      </w:r>
      <w:r w:rsidRPr="00484AAE">
        <w:rPr>
          <w:i/>
        </w:rPr>
        <w:t xml:space="preserve">had to have this </w:t>
      </w:r>
      <w:proofErr w:type="gramStart"/>
      <w:r w:rsidRPr="00484AAE">
        <w:rPr>
          <w:i/>
        </w:rPr>
        <w:t>illness, that</w:t>
      </w:r>
      <w:proofErr w:type="gramEnd"/>
      <w:r w:rsidRPr="00484AAE">
        <w:rPr>
          <w:i/>
        </w:rPr>
        <w:t xml:space="preserve"> it was in Australia and</w:t>
      </w:r>
      <w:r w:rsidR="006577F0" w:rsidRPr="00484AAE">
        <w:rPr>
          <w:i/>
        </w:rPr>
        <w:t xml:space="preserve"> </w:t>
      </w:r>
      <w:r w:rsidRPr="00484AAE">
        <w:rPr>
          <w:i/>
        </w:rPr>
        <w:t>especially Tasmania where I had my treatment.</w:t>
      </w:r>
    </w:p>
    <w:p w:rsidR="00E730AE" w:rsidRDefault="006577F0" w:rsidP="006577F0">
      <w:pPr>
        <w:pStyle w:val="Heading4"/>
      </w:pPr>
      <w:r>
        <w:t>Consumer Feedback by Percentage</w:t>
      </w:r>
    </w:p>
    <w:p w:rsidR="006577F0" w:rsidRDefault="006577F0" w:rsidP="00103528">
      <w:pPr>
        <w:pStyle w:val="BodyText"/>
        <w:numPr>
          <w:ilvl w:val="0"/>
          <w:numId w:val="9"/>
        </w:numPr>
        <w:ind w:left="567" w:hanging="567"/>
      </w:pPr>
      <w:r>
        <w:t>Complaints 31%</w:t>
      </w:r>
    </w:p>
    <w:p w:rsidR="006577F0" w:rsidRDefault="006577F0" w:rsidP="00103528">
      <w:pPr>
        <w:pStyle w:val="BodyText"/>
        <w:numPr>
          <w:ilvl w:val="0"/>
          <w:numId w:val="9"/>
        </w:numPr>
        <w:ind w:left="567" w:hanging="567"/>
      </w:pPr>
      <w:r>
        <w:t>Compliments 52%</w:t>
      </w:r>
    </w:p>
    <w:p w:rsidR="006577F0" w:rsidRDefault="006577F0" w:rsidP="00103528">
      <w:pPr>
        <w:pStyle w:val="BodyText"/>
        <w:numPr>
          <w:ilvl w:val="0"/>
          <w:numId w:val="9"/>
        </w:numPr>
        <w:ind w:left="567" w:hanging="567"/>
      </w:pPr>
      <w:r>
        <w:t>Comment 9%</w:t>
      </w:r>
    </w:p>
    <w:p w:rsidR="006577F0" w:rsidRDefault="006577F0" w:rsidP="00103528">
      <w:pPr>
        <w:pStyle w:val="BodyText"/>
        <w:numPr>
          <w:ilvl w:val="0"/>
          <w:numId w:val="9"/>
        </w:numPr>
        <w:ind w:left="567" w:hanging="567"/>
      </w:pPr>
      <w:r>
        <w:t>Query 8%</w:t>
      </w:r>
    </w:p>
    <w:p w:rsidR="006577F0" w:rsidRDefault="006577F0" w:rsidP="006577F0">
      <w:pPr>
        <w:pStyle w:val="BodyText"/>
      </w:pPr>
      <w:r>
        <w:t>Examples of Outcomes from Consumer Feedback Include:</w:t>
      </w:r>
    </w:p>
    <w:p w:rsidR="006577F0" w:rsidRDefault="006577F0" w:rsidP="00103528">
      <w:pPr>
        <w:pStyle w:val="BodyText"/>
        <w:numPr>
          <w:ilvl w:val="0"/>
          <w:numId w:val="8"/>
        </w:numPr>
        <w:ind w:left="567" w:hanging="567"/>
      </w:pPr>
      <w:r>
        <w:t>Refurbishment of the Baby Care Room</w:t>
      </w:r>
    </w:p>
    <w:p w:rsidR="006577F0" w:rsidRDefault="006577F0" w:rsidP="00103528">
      <w:pPr>
        <w:pStyle w:val="BodyText"/>
        <w:numPr>
          <w:ilvl w:val="0"/>
          <w:numId w:val="8"/>
        </w:numPr>
        <w:ind w:left="567" w:hanging="567"/>
      </w:pPr>
      <w:r>
        <w:t>Provision of Children’s Entertainment Package to waiting room ICU</w:t>
      </w:r>
    </w:p>
    <w:p w:rsidR="006577F0" w:rsidRDefault="006577F0" w:rsidP="00103528">
      <w:pPr>
        <w:pStyle w:val="BodyText"/>
        <w:numPr>
          <w:ilvl w:val="0"/>
          <w:numId w:val="8"/>
        </w:numPr>
        <w:ind w:left="567" w:hanging="567"/>
      </w:pPr>
      <w:r>
        <w:t>ED Volunteer Support program</w:t>
      </w:r>
    </w:p>
    <w:p w:rsidR="007651A3" w:rsidRDefault="006577F0" w:rsidP="00103528">
      <w:pPr>
        <w:pStyle w:val="BodyText"/>
        <w:numPr>
          <w:ilvl w:val="0"/>
          <w:numId w:val="8"/>
        </w:numPr>
        <w:ind w:left="567" w:hanging="567"/>
      </w:pPr>
      <w:r>
        <w:t>Education sessions re communication and Consumer Engagement</w:t>
      </w:r>
    </w:p>
    <w:p w:rsidR="00484AAE" w:rsidRPr="00484AAE" w:rsidRDefault="00484AAE" w:rsidP="00484AAE">
      <w:pPr>
        <w:pStyle w:val="Heading4"/>
      </w:pPr>
      <w:r w:rsidRPr="00484AAE">
        <w:t>The Royal Hobart Hospital (RHH)</w:t>
      </w:r>
      <w:r>
        <w:t xml:space="preserve"> </w:t>
      </w:r>
      <w:r w:rsidRPr="00484AAE">
        <w:t>Volunteer Service</w:t>
      </w:r>
    </w:p>
    <w:p w:rsidR="00484AAE" w:rsidRPr="00484AAE" w:rsidRDefault="00484AAE" w:rsidP="00484AAE">
      <w:pPr>
        <w:pStyle w:val="BodyText"/>
      </w:pPr>
      <w:r w:rsidRPr="00484AAE">
        <w:t>The RHH has a long history of supporting volunteer programs that help assist with care and service delivery, dating back to 1967 when the first volunteer unit was formed to help deal with the aftermath of the ‘Black Tuesday’ bushfires.</w:t>
      </w:r>
    </w:p>
    <w:p w:rsidR="00484AAE" w:rsidRDefault="00484AAE" w:rsidP="00484AAE">
      <w:pPr>
        <w:pStyle w:val="BodyText"/>
      </w:pPr>
      <w:r w:rsidRPr="00484AAE">
        <w:t>Today the Volunteer Service has a membership of over 120 volunteers, ranging in age from 18 to 87, contributing over 20,000 hours towards delivering 33 individual services at the hospital.</w:t>
      </w:r>
    </w:p>
    <w:p w:rsidR="00484AAE" w:rsidRDefault="00484AAE" w:rsidP="00484AAE">
      <w:pPr>
        <w:pStyle w:val="BodyText"/>
      </w:pPr>
      <w:r>
        <w:t>The RHH Volunteer Service is instrumental in providing services to support consumer engagement, including revision of consumer information brochures, calling our patients to assist in ascertaining patient satisfaction, providing feedback to various committees and also assisting in service delivery, such as the Refreshment</w:t>
      </w:r>
    </w:p>
    <w:p w:rsidR="00484AAE" w:rsidRDefault="00484AAE" w:rsidP="00484AAE">
      <w:pPr>
        <w:pStyle w:val="BodyText"/>
      </w:pPr>
      <w:r>
        <w:t>Service that provides free tea, coffee and biscuit to consumers waiting for their outpatient appointment at the Wellington Centre, or as a source of support to environmental improvements, such as the newly refurbished RHH Baby Care Room that was made possible due to the fundraising achievements of the RHH Volunteers.</w:t>
      </w:r>
    </w:p>
    <w:p w:rsidR="00484AAE" w:rsidRDefault="00484AAE">
      <w:pPr>
        <w:rPr>
          <w:rFonts w:ascii="Gill Sans MT" w:eastAsia="GillSans-Light" w:hAnsi="Gill Sans MT" w:cs="GillSans-Light"/>
          <w:lang w:val="en-US"/>
        </w:rPr>
      </w:pPr>
      <w:r>
        <w:br w:type="page"/>
      </w:r>
    </w:p>
    <w:p w:rsidR="00484AAE" w:rsidRDefault="00A54ED3" w:rsidP="00A54ED3">
      <w:pPr>
        <w:pStyle w:val="Heading3"/>
      </w:pPr>
      <w:bookmarkStart w:id="20" w:name="_Toc472581960"/>
      <w:r>
        <w:lastRenderedPageBreak/>
        <w:t>Report from South</w:t>
      </w:r>
      <w:bookmarkEnd w:id="20"/>
    </w:p>
    <w:p w:rsidR="00484AAE" w:rsidRDefault="00484AAE" w:rsidP="00484AAE">
      <w:pPr>
        <w:pStyle w:val="BodyText"/>
      </w:pPr>
      <w:r>
        <w:t xml:space="preserve">The Tasmanian Health Service (THS) provides a wide range of health services that are delivered to, </w:t>
      </w:r>
      <w:proofErr w:type="gramStart"/>
      <w:r>
        <w:t>or  coordinated</w:t>
      </w:r>
      <w:proofErr w:type="gramEnd"/>
      <w:r>
        <w:t xml:space="preserve"> from the South of the State.</w:t>
      </w:r>
    </w:p>
    <w:p w:rsidR="00484AAE" w:rsidRDefault="00484AAE" w:rsidP="00484AAE">
      <w:pPr>
        <w:pStyle w:val="BodyText"/>
      </w:pPr>
      <w:r>
        <w:t>These services are provided through inpatient, outpatient, community health, residential aged care and in-home settings.</w:t>
      </w:r>
    </w:p>
    <w:p w:rsidR="00484AAE" w:rsidRDefault="00484AAE" w:rsidP="00484AAE">
      <w:pPr>
        <w:pStyle w:val="BodyText"/>
      </w:pPr>
      <w:r>
        <w:t>In Southern Tasmania, acute care is provided at the Royal Hobart Hospital (RHH), Tasmania’s largest, busiest and oldest hospital and the major teaching hospital of the University of Tasmania.  As Tasmania’s only tertiary referral hospital, the RHH is Tasmania’s sole public provider of a number of services in the State and delivers these for a population of over 500 000. Statewide services delivered by the RHH include cardiothoracic surgery, vascular surgery, neurosurgery, burns, hyperbaric and diving medicine, neonatal and paediatric intensive care, and high-risk obstetrics.</w:t>
      </w:r>
    </w:p>
    <w:p w:rsidR="00484AAE" w:rsidRDefault="00484AAE" w:rsidP="00484AAE">
      <w:pPr>
        <w:pStyle w:val="BodyText"/>
      </w:pPr>
      <w:r>
        <w:t>The RHH admitted 7450 procedures last financial year across all funding sources, this achieved 450 procedures more than Service Level Agreement Targets required and equated to 975 more reportable elective procedures than the previous financial year. The RHH Emergency Department also saw increased activity with over 59000 presentations for the year, an increase of over 5% from the previous year.  Of these 30% were admitted.</w:t>
      </w:r>
    </w:p>
    <w:p w:rsidR="00484AAE" w:rsidRDefault="00484AAE" w:rsidP="00484AAE">
      <w:pPr>
        <w:pStyle w:val="BodyText"/>
      </w:pPr>
      <w:r>
        <w:t>During the past year the RHH adopted the Patients First plan, which is made of a list of 19 actions designed to improve patient-flow and meet increasing demand on services.</w:t>
      </w:r>
    </w:p>
    <w:p w:rsidR="00484AAE" w:rsidRDefault="00484AAE" w:rsidP="00484AAE">
      <w:pPr>
        <w:pStyle w:val="BodyText"/>
      </w:pPr>
      <w:r>
        <w:t>One of the key actions of Patients First was to develop and implement an escalation plan that includes stepped strategies that can respond to fluctuations in demand. The RHH has been using its escalation plan since May and it’s given the facility the flexibility to make fast, informed decisions when managing patient-flow.</w:t>
      </w:r>
    </w:p>
    <w:p w:rsidR="00484AAE" w:rsidRPr="00484AAE" w:rsidRDefault="00484AAE" w:rsidP="00484AAE">
      <w:pPr>
        <w:pStyle w:val="BodyText"/>
      </w:pPr>
      <w:r w:rsidRPr="00484AAE">
        <w:t>A new forensic documentation service base was launched in April at the RHH as part of the Tasmanian Government’s Safe Homes, Safe Families Action Plan 2015-2020. The service provides forensic evaluation and documentation to victims of family violence and sexual assault and is administered by a specialist forensic nurse examiner.  This important service will provide medico-legal reports to be used as evidence in court cases as well as assist victims to find the most appropriate support services.</w:t>
      </w:r>
    </w:p>
    <w:p w:rsidR="00484AAE" w:rsidRPr="00484AAE" w:rsidRDefault="00484AAE" w:rsidP="00484AAE">
      <w:pPr>
        <w:pStyle w:val="BodyText"/>
      </w:pPr>
      <w:r w:rsidRPr="00484AAE">
        <w:t xml:space="preserve">The redevelopment of the RHH also progressed through the 2014/15 financial year. The hospital continued to provide high quality, safe care to patients whilst also facilitating a number of significant, but necessary changes that will allow the redevelopment project to move ahead with construction. A number of wards were relocated during the </w:t>
      </w:r>
      <w:proofErr w:type="gramStart"/>
      <w:r w:rsidRPr="00484AAE">
        <w:t>year, which have</w:t>
      </w:r>
      <w:proofErr w:type="gramEnd"/>
      <w:r w:rsidRPr="00484AAE">
        <w:t xml:space="preserve"> provided the space necessary for the development of the new inpatient facility K Block.</w:t>
      </w:r>
    </w:p>
    <w:p w:rsidR="00484AAE" w:rsidRPr="00484AAE" w:rsidRDefault="00484AAE" w:rsidP="00484AAE">
      <w:pPr>
        <w:pStyle w:val="BodyText"/>
      </w:pPr>
      <w:r w:rsidRPr="00484AAE">
        <w:t xml:space="preserve">The THS delivers sub-acute care in the south through rural hospitals, multi-purpose centres, and at the RHH, and services a core population of approximately 250 000. Rural hospitals also offer emergency care and primary health services, and some offer residential aged care as well. Services provided at a community level include access to general practitioners and outreach medical specialists, emergency response, allied health professions, nursing and midwifery, aged and palliative care, community care, aids and appliances, and disease prevention programs. The RHH also supports rural hospitals and health centres in the form of clinical expertise, staff training and professional development. </w:t>
      </w:r>
    </w:p>
    <w:p w:rsidR="00A54ED3" w:rsidRPr="00FE3ECD" w:rsidRDefault="00484AAE" w:rsidP="00FE3ECD">
      <w:pPr>
        <w:pStyle w:val="BodyText"/>
      </w:pPr>
      <w:r w:rsidRPr="00FE3ECD">
        <w:t>The THS, through Mental Health and Statewide Services (MHSS), delivers a number of services statewide, as well as some that are specific to the South. The service supports a wide range of clients including people experiencing complex and chronic disease, people experiencing severe mental health problems, alcohol and drug issues and people within the correction and justice system. MHSS consists of Child and</w:t>
      </w:r>
      <w:r w:rsidR="00A54ED3" w:rsidRPr="00FE3ECD">
        <w:t xml:space="preserve"> Adolescent Mental Health, Adult Mental Health,</w:t>
      </w:r>
    </w:p>
    <w:p w:rsidR="00A54ED3" w:rsidRPr="00A54ED3" w:rsidRDefault="00A54ED3" w:rsidP="00A54ED3">
      <w:pPr>
        <w:pStyle w:val="BodyText"/>
      </w:pPr>
      <w:proofErr w:type="gramStart"/>
      <w:r w:rsidRPr="00A54ED3">
        <w:lastRenderedPageBreak/>
        <w:t>Older Persons Mental Health, Alcohol and Drug Services, Forensic Mental Health Services and Correctional Health Services.</w:t>
      </w:r>
      <w:proofErr w:type="gramEnd"/>
    </w:p>
    <w:p w:rsidR="00A54ED3" w:rsidRPr="00A54ED3" w:rsidRDefault="00A54ED3" w:rsidP="00A54ED3">
      <w:pPr>
        <w:pStyle w:val="BodyText"/>
      </w:pPr>
      <w:r w:rsidRPr="00A54ED3">
        <w:t>Statewide Sexual Health Services (SSHS) operates clinics in Hobart, Launceston, and Devonport. The service is staffed by doctors, nurses, counsellors, psychologists and administrative officers who deliver a range of clinical and counselling services that relate to gender identity, HIV care, sexual activities and safety, sexual health checks, sexual response and desire, sex worker issues and STI diagnosis and treatment. In the 2014/15 year SSHS obtained funding to relocate its Launceston clinic to a new, purpose fitted location and increased its staffing to include a new medical specialist.</w:t>
      </w:r>
    </w:p>
    <w:p w:rsidR="00A54ED3" w:rsidRPr="00A54ED3" w:rsidRDefault="00A54ED3" w:rsidP="00A54ED3">
      <w:pPr>
        <w:pStyle w:val="BodyText"/>
      </w:pPr>
      <w:r w:rsidRPr="00A54ED3">
        <w:t>Oral Health Services Tasmania (OHST) provides routine and urgent dental treatment, as well as the provision of dentures for children, adolescents and adults across Tasmania. The service operates five major dental centres in Burnie, Devonport, Launceston, Clarence and Hobart, a number of special care dental units and two fully equipped mobile dental units. This passing financial yearwas highlighted by OHST receiving accreditation under the National Safety and Quality Health Service Standards for the first time.</w:t>
      </w:r>
    </w:p>
    <w:p w:rsidR="00A54ED3" w:rsidRPr="00A54ED3" w:rsidRDefault="00A54ED3" w:rsidP="00A54ED3">
      <w:pPr>
        <w:pStyle w:val="BodyText"/>
      </w:pPr>
      <w:r w:rsidRPr="00A54ED3">
        <w:t>Population Screening and Cancer Prevention (previously Cancer Screening and Control Services) delivers population screening programs for the prevention or early detection of cancers so that the number of avoidable deaths from cancer amongst Tasmanians can be minimised.</w:t>
      </w:r>
    </w:p>
    <w:p w:rsidR="00A54ED3" w:rsidRPr="00A54ED3" w:rsidRDefault="00A54ED3" w:rsidP="00A54ED3">
      <w:pPr>
        <w:pStyle w:val="BodyText"/>
      </w:pPr>
      <w:r w:rsidRPr="00A54ED3">
        <w:t>Population Screening and Cancer Prevention services are partners in cancer prevention and cancer control in collaboration with local and national health care providers. The Service is actively engaged in the development and national quality monitoring of the outcomes and effectiveness of the screening programs.</w:t>
      </w:r>
    </w:p>
    <w:p w:rsidR="00484AAE" w:rsidRDefault="00A54ED3" w:rsidP="00A54ED3">
      <w:pPr>
        <w:pStyle w:val="BodyText"/>
      </w:pPr>
      <w:r w:rsidRPr="00A54ED3">
        <w:t>January 2016 saw the official opening of the new BreastScreen Tasmania Mobile Screening Unit which will increase the number of locations the two Mobile Units can visit and improve access to BreastScreen services for Tasmanian women. 2015/16 also saw BreastScreen Tasmania continue to increase activity and efficiency, with over 31,600 eligible Tasmanian women screened – another record for the number of women screened in a financial year.</w:t>
      </w:r>
    </w:p>
    <w:p w:rsidR="00A54ED3" w:rsidRDefault="00A54ED3" w:rsidP="00F153EE">
      <w:pPr>
        <w:pStyle w:val="BodyText"/>
      </w:pPr>
      <w:bookmarkStart w:id="21" w:name="_Toc472581961"/>
      <w:r w:rsidRPr="00FE3ECD">
        <w:rPr>
          <w:rStyle w:val="Heading3Char"/>
        </w:rPr>
        <w:t>Royal Hobart Hospital Redevelopment</w:t>
      </w:r>
      <w:bookmarkEnd w:id="21"/>
      <w:r w:rsidR="00F153EE" w:rsidRPr="00FE3ECD">
        <w:rPr>
          <w:rStyle w:val="Heading3Char"/>
        </w:rPr>
        <w:t xml:space="preserve"> </w:t>
      </w:r>
      <w:r w:rsidR="00FE3ECD" w:rsidRPr="00FE3ECD">
        <w:rPr>
          <w:rStyle w:val="Heading3Char"/>
        </w:rPr>
        <w:br/>
      </w:r>
      <w:r>
        <w:t>The Royal Hobart Hospital (the RHH) has</w:t>
      </w:r>
      <w:r w:rsidR="00F153EE">
        <w:t xml:space="preserve"> </w:t>
      </w:r>
      <w:r>
        <w:t>been serving Tasmanians for almost 200 years.</w:t>
      </w:r>
    </w:p>
    <w:p w:rsidR="00A54ED3" w:rsidRDefault="00A54ED3" w:rsidP="00F153EE">
      <w:pPr>
        <w:pStyle w:val="BodyText"/>
      </w:pPr>
      <w:r>
        <w:t>Redeveloping and expanding the site is integral to</w:t>
      </w:r>
      <w:r w:rsidR="00F153EE">
        <w:t xml:space="preserve"> </w:t>
      </w:r>
      <w:r>
        <w:t>ensuring the hospital can continue to meet the</w:t>
      </w:r>
      <w:r w:rsidR="00F153EE">
        <w:t xml:space="preserve"> </w:t>
      </w:r>
      <w:r>
        <w:t>changing health needs of our community.</w:t>
      </w:r>
    </w:p>
    <w:p w:rsidR="00A54ED3" w:rsidRDefault="00A54ED3" w:rsidP="00F153EE">
      <w:pPr>
        <w:pStyle w:val="BodyText"/>
      </w:pPr>
      <w:proofErr w:type="gramStart"/>
      <w:r>
        <w:t>In July 2015, approximately $50 million worth of</w:t>
      </w:r>
      <w:r w:rsidR="00F153EE">
        <w:t xml:space="preserve"> </w:t>
      </w:r>
      <w:r>
        <w:t>refurbishment works commenced across the Royal</w:t>
      </w:r>
      <w:r w:rsidR="00F153EE">
        <w:t xml:space="preserve"> </w:t>
      </w:r>
      <w:r>
        <w:t>Hobart Hospital campus.</w:t>
      </w:r>
      <w:proofErr w:type="gramEnd"/>
    </w:p>
    <w:p w:rsidR="00A54ED3" w:rsidRDefault="00A54ED3" w:rsidP="00F153EE">
      <w:pPr>
        <w:pStyle w:val="BodyText"/>
      </w:pPr>
      <w:r>
        <w:t>These refurbishment works are being undertaken</w:t>
      </w:r>
      <w:r w:rsidR="00F153EE">
        <w:t xml:space="preserve"> </w:t>
      </w:r>
      <w:r>
        <w:t>to enable the decanting of B Block so that it can</w:t>
      </w:r>
      <w:r w:rsidR="00F153EE">
        <w:t xml:space="preserve"> </w:t>
      </w:r>
      <w:r>
        <w:t>be demolished to make way for the new inpatient</w:t>
      </w:r>
      <w:r w:rsidR="00F153EE">
        <w:t xml:space="preserve"> </w:t>
      </w:r>
      <w:r>
        <w:t>facility known as K Block.</w:t>
      </w:r>
    </w:p>
    <w:p w:rsidR="00A54ED3" w:rsidRDefault="00A54ED3" w:rsidP="00F153EE">
      <w:pPr>
        <w:pStyle w:val="BodyText"/>
      </w:pPr>
      <w:r>
        <w:t>The decanting required is complex because it</w:t>
      </w:r>
      <w:r w:rsidR="00F153EE">
        <w:t xml:space="preserve"> </w:t>
      </w:r>
      <w:r>
        <w:t>requires the relocation of around 20 services</w:t>
      </w:r>
      <w:r w:rsidR="00F153EE">
        <w:t xml:space="preserve"> </w:t>
      </w:r>
      <w:r>
        <w:t>and multiple service isolations such as water and</w:t>
      </w:r>
      <w:r w:rsidR="00F153EE">
        <w:t xml:space="preserve"> </w:t>
      </w:r>
      <w:r>
        <w:t>power. Upgrades to infrastructure are also critical</w:t>
      </w:r>
      <w:r w:rsidR="00F153EE">
        <w:t xml:space="preserve"> </w:t>
      </w:r>
      <w:r>
        <w:t>to refurbishment works underway for the RHH</w:t>
      </w:r>
      <w:r w:rsidR="00F153EE">
        <w:t xml:space="preserve"> </w:t>
      </w:r>
      <w:r>
        <w:t>Redevelopment Project.</w:t>
      </w:r>
    </w:p>
    <w:p w:rsidR="00F153EE" w:rsidRDefault="00A54ED3" w:rsidP="00F153EE">
      <w:pPr>
        <w:pStyle w:val="BodyText"/>
      </w:pPr>
      <w:r>
        <w:t>In September 2015, the Hobart City Council</w:t>
      </w:r>
      <w:r w:rsidR="00F153EE">
        <w:t xml:space="preserve"> </w:t>
      </w:r>
      <w:r>
        <w:t>supported the installation of a $10.5 million</w:t>
      </w:r>
      <w:r w:rsidR="00F153EE">
        <w:t xml:space="preserve"> </w:t>
      </w:r>
      <w:r>
        <w:t>Helipad on the roof of the new inpatient facility.</w:t>
      </w:r>
    </w:p>
    <w:p w:rsidR="00A54ED3" w:rsidRDefault="00A54ED3" w:rsidP="00F153EE">
      <w:pPr>
        <w:pStyle w:val="BodyText"/>
      </w:pPr>
      <w:r>
        <w:t>As the tertiary specialist facility in Tasmania, the</w:t>
      </w:r>
      <w:r w:rsidR="00F153EE">
        <w:t xml:space="preserve"> </w:t>
      </w:r>
      <w:r>
        <w:t>RHH takes all major head trauma and neonatal</w:t>
      </w:r>
      <w:r w:rsidR="00F153EE">
        <w:t xml:space="preserve"> </w:t>
      </w:r>
      <w:r>
        <w:t>retrievals. A Helipad is required to facilitate early</w:t>
      </w:r>
      <w:r w:rsidR="00F153EE">
        <w:t xml:space="preserve"> </w:t>
      </w:r>
      <w:r>
        <w:t>clinical management of patients who suffer serious</w:t>
      </w:r>
      <w:r w:rsidR="00F153EE">
        <w:t xml:space="preserve"> </w:t>
      </w:r>
      <w:r>
        <w:t>health events either through disease or injury.</w:t>
      </w:r>
    </w:p>
    <w:p w:rsidR="00A54ED3" w:rsidRDefault="00A54ED3" w:rsidP="00F153EE">
      <w:pPr>
        <w:pStyle w:val="BodyText"/>
      </w:pPr>
      <w:r>
        <w:lastRenderedPageBreak/>
        <w:t>The Helipad will allow the RHH to respond</w:t>
      </w:r>
      <w:r w:rsidR="00F153EE">
        <w:t xml:space="preserve"> </w:t>
      </w:r>
      <w:r>
        <w:t>to critical incidents faster, deliver patients to</w:t>
      </w:r>
      <w:r w:rsidR="00F153EE">
        <w:t xml:space="preserve"> </w:t>
      </w:r>
      <w:r>
        <w:t>treatment sooner and reduce preventable adverse</w:t>
      </w:r>
      <w:r w:rsidR="00F153EE">
        <w:t xml:space="preserve"> </w:t>
      </w:r>
      <w:r>
        <w:t>outcomes due to avoidable transit delays.</w:t>
      </w:r>
    </w:p>
    <w:p w:rsidR="00A54ED3" w:rsidRDefault="00A54ED3" w:rsidP="00F153EE">
      <w:pPr>
        <w:pStyle w:val="BodyText"/>
      </w:pPr>
      <w:r>
        <w:t>Critically ill patients will be delivered to the</w:t>
      </w:r>
      <w:r w:rsidR="00F153EE">
        <w:t xml:space="preserve"> </w:t>
      </w:r>
      <w:r>
        <w:t>Emergency Department or theatres within a few</w:t>
      </w:r>
      <w:r w:rsidR="00F153EE">
        <w:t xml:space="preserve"> </w:t>
      </w:r>
      <w:r>
        <w:t>minutes of landing at the RHH. More than 30</w:t>
      </w:r>
      <w:r w:rsidR="00F153EE">
        <w:t xml:space="preserve"> </w:t>
      </w:r>
      <w:r>
        <w:t>critical minutes after an emergency will be saved</w:t>
      </w:r>
      <w:r w:rsidR="00F153EE">
        <w:t xml:space="preserve"> </w:t>
      </w:r>
      <w:r>
        <w:t>because ground ambulance retrieval will no longer</w:t>
      </w:r>
      <w:r w:rsidR="00F153EE">
        <w:t xml:space="preserve"> </w:t>
      </w:r>
      <w:r>
        <w:t>be necessary.</w:t>
      </w:r>
    </w:p>
    <w:p w:rsidR="00A54ED3" w:rsidRDefault="00A54ED3" w:rsidP="00F153EE">
      <w:pPr>
        <w:pStyle w:val="BodyText"/>
      </w:pPr>
      <w:r>
        <w:t>The Helipad will be a major health asset for</w:t>
      </w:r>
      <w:r w:rsidR="00F153EE">
        <w:t xml:space="preserve"> </w:t>
      </w:r>
      <w:r>
        <w:t>Tasmanians.</w:t>
      </w:r>
    </w:p>
    <w:p w:rsidR="00A54ED3" w:rsidRDefault="00A54ED3" w:rsidP="00F153EE">
      <w:pPr>
        <w:pStyle w:val="BodyText"/>
      </w:pPr>
      <w:r>
        <w:t>On 8 December 2015, the Tasmanian</w:t>
      </w:r>
      <w:r w:rsidR="00F153EE">
        <w:t xml:space="preserve"> </w:t>
      </w:r>
      <w:r>
        <w:t>Government agreed to accept the critically</w:t>
      </w:r>
      <w:r w:rsidR="00F153EE">
        <w:t xml:space="preserve"> </w:t>
      </w:r>
      <w:r>
        <w:t>important $389 million Guaranteed Construction</w:t>
      </w:r>
      <w:r w:rsidR="00F153EE">
        <w:t xml:space="preserve"> </w:t>
      </w:r>
      <w:r>
        <w:t>Sum Offer from the Managing Contractor.</w:t>
      </w:r>
    </w:p>
    <w:p w:rsidR="00A54ED3" w:rsidRDefault="00A54ED3" w:rsidP="00F153EE">
      <w:pPr>
        <w:pStyle w:val="BodyText"/>
      </w:pPr>
      <w:r>
        <w:t>The Guaranteed Construction Sum is the</w:t>
      </w:r>
      <w:r w:rsidR="00F153EE">
        <w:t xml:space="preserve"> </w:t>
      </w:r>
      <w:r>
        <w:t>maximum price payable to the Managing</w:t>
      </w:r>
      <w:r w:rsidR="00F153EE">
        <w:t xml:space="preserve"> </w:t>
      </w:r>
      <w:r>
        <w:t>Contractor to perform the agreed scope of</w:t>
      </w:r>
      <w:r w:rsidR="00F153EE">
        <w:t xml:space="preserve"> </w:t>
      </w:r>
      <w:r>
        <w:t>work as required in the Managing Contractor’s</w:t>
      </w:r>
      <w:r w:rsidR="00F153EE">
        <w:t xml:space="preserve"> </w:t>
      </w:r>
      <w:r>
        <w:t>Contract.</w:t>
      </w:r>
    </w:p>
    <w:p w:rsidR="00A54ED3" w:rsidRDefault="00A54ED3" w:rsidP="00F153EE">
      <w:pPr>
        <w:pStyle w:val="BodyText"/>
      </w:pPr>
      <w:r>
        <w:t>Also in December 2015, the Tasmanian</w:t>
      </w:r>
      <w:r w:rsidR="00F153EE">
        <w:t xml:space="preserve"> </w:t>
      </w:r>
      <w:r>
        <w:t>Government approved an additional $12 million</w:t>
      </w:r>
      <w:r w:rsidR="00F153EE">
        <w:t xml:space="preserve"> </w:t>
      </w:r>
      <w:r>
        <w:t>in funding to replace the State’s ageing Hyperbaric</w:t>
      </w:r>
      <w:r w:rsidR="00F153EE">
        <w:t xml:space="preserve"> </w:t>
      </w:r>
      <w:r>
        <w:t>Chamber which will be beyond its design life by</w:t>
      </w:r>
      <w:r w:rsidR="00F153EE">
        <w:t xml:space="preserve"> </w:t>
      </w:r>
      <w:r>
        <w:t>2016.</w:t>
      </w:r>
    </w:p>
    <w:p w:rsidR="00A54ED3" w:rsidRDefault="00A54ED3" w:rsidP="00F153EE">
      <w:pPr>
        <w:pStyle w:val="BodyText"/>
      </w:pPr>
      <w:proofErr w:type="gramStart"/>
      <w:r>
        <w:t>A wide spectrum of diving and medical</w:t>
      </w:r>
      <w:r w:rsidR="00F153EE">
        <w:t xml:space="preserve"> </w:t>
      </w:r>
      <w:r>
        <w:t>emergencies are</w:t>
      </w:r>
      <w:proofErr w:type="gramEnd"/>
      <w:r>
        <w:t xml:space="preserve"> treated in the Hyperbaric Unit.</w:t>
      </w:r>
    </w:p>
    <w:p w:rsidR="00A54ED3" w:rsidRDefault="00A54ED3" w:rsidP="00F153EE">
      <w:pPr>
        <w:pStyle w:val="BodyText"/>
      </w:pPr>
      <w:r>
        <w:t>Tasmania has the highest number of resident</w:t>
      </w:r>
      <w:r w:rsidR="00F153EE">
        <w:t xml:space="preserve"> </w:t>
      </w:r>
      <w:r>
        <w:t>recreational and professional divers per capita</w:t>
      </w:r>
      <w:r w:rsidR="00F153EE">
        <w:t xml:space="preserve"> </w:t>
      </w:r>
      <w:r>
        <w:t>and aquaculture is a major export industry for the</w:t>
      </w:r>
      <w:r w:rsidR="00F153EE">
        <w:t xml:space="preserve"> </w:t>
      </w:r>
      <w:r>
        <w:t>State. Recompression with hyperbaric oxygen is</w:t>
      </w:r>
      <w:r w:rsidR="00F153EE">
        <w:t xml:space="preserve"> </w:t>
      </w:r>
      <w:r>
        <w:t>the first-line treatment for decompression sickness</w:t>
      </w:r>
      <w:r w:rsidR="00F153EE">
        <w:t xml:space="preserve"> </w:t>
      </w:r>
      <w:r>
        <w:t>from diving. Decompression sickness from diving</w:t>
      </w:r>
      <w:r w:rsidR="00F153EE">
        <w:t xml:space="preserve"> </w:t>
      </w:r>
      <w:r>
        <w:t>is time critical and delays in treatment result in</w:t>
      </w:r>
      <w:r w:rsidR="00F153EE">
        <w:t xml:space="preserve"> </w:t>
      </w:r>
      <w:r>
        <w:t>worse patient outcomes.</w:t>
      </w:r>
    </w:p>
    <w:p w:rsidR="00A54ED3" w:rsidRDefault="00A54ED3" w:rsidP="00F153EE">
      <w:pPr>
        <w:pStyle w:val="BodyText"/>
      </w:pPr>
      <w:r>
        <w:t>Hyperbaric oxygen treatment is also used to</w:t>
      </w:r>
      <w:r w:rsidR="00F153EE">
        <w:t xml:space="preserve"> </w:t>
      </w:r>
      <w:r>
        <w:t>treat medical conditions like diabetic wounds and</w:t>
      </w:r>
      <w:r w:rsidR="00F153EE">
        <w:t xml:space="preserve"> </w:t>
      </w:r>
      <w:r>
        <w:t xml:space="preserve">gangrene, </w:t>
      </w:r>
      <w:r w:rsidR="00F153EE">
        <w:t>n</w:t>
      </w:r>
      <w:r>
        <w:t>ecrotizing infections and tissue injury</w:t>
      </w:r>
      <w:r w:rsidR="00F153EE">
        <w:t xml:space="preserve"> </w:t>
      </w:r>
      <w:r>
        <w:t>following radiation treatment of cancer.</w:t>
      </w:r>
    </w:p>
    <w:p w:rsidR="00F153EE" w:rsidRDefault="00F153EE" w:rsidP="00F153EE">
      <w:pPr>
        <w:pStyle w:val="BodyText"/>
      </w:pPr>
      <w:r>
        <w:t>The new hyperbaric facility will be built on Level 3 of K-Block. It will provide over 2 000 treatments each year and will have the capacity to treat up to 10 people simultaneously. The modern design of the hyperbaric chamber will allow for the flexible scheduling of treatments for optimal use of the facility, and simultaneous treatment of scheduled and emergency cases.</w:t>
      </w:r>
    </w:p>
    <w:p w:rsidR="00F153EE" w:rsidRDefault="00F153EE" w:rsidP="00F153EE">
      <w:pPr>
        <w:pStyle w:val="BodyText"/>
      </w:pPr>
      <w:r>
        <w:t>Replacement of the hyperbaric chamber ensures continuity and safety of services throughout the RHH Redevelopment Project and for years to come.</w:t>
      </w:r>
    </w:p>
    <w:p w:rsidR="00F153EE" w:rsidRDefault="00F153EE" w:rsidP="00F153EE">
      <w:pPr>
        <w:pStyle w:val="BodyText"/>
      </w:pPr>
      <w:r>
        <w:t>The Australian and Tasmanian Governments have now committed a total of $689 million to the RHH Redevelopment Project.</w:t>
      </w:r>
    </w:p>
    <w:p w:rsidR="00F153EE" w:rsidRDefault="00F153EE" w:rsidP="00F153EE">
      <w:pPr>
        <w:pStyle w:val="BodyText"/>
      </w:pPr>
      <w:r>
        <w:t>This substantial investment provides an opportunity to transform Australia’s second oldest hospital so that it can deliver health services to Tasmanians into the future.</w:t>
      </w:r>
    </w:p>
    <w:p w:rsidR="00F153EE" w:rsidRDefault="00F153EE" w:rsidP="00F153EE">
      <w:pPr>
        <w:pStyle w:val="BodyText"/>
      </w:pPr>
      <w:r>
        <w:t>In addition, a redeveloped RHH will enhance health outcomes and provide improved patient amenities via modern clinical facilities where contemporary models of care can be practiced.</w:t>
      </w:r>
    </w:p>
    <w:p w:rsidR="00F153EE" w:rsidRDefault="00F153EE" w:rsidP="00F153EE">
      <w:pPr>
        <w:pStyle w:val="BodyText"/>
      </w:pPr>
      <w:r>
        <w:t>There are significant benefits of the RHH Redevelopment including improved patient care and operating efficiencies resulting from bringing together services in ‘precincts’ such as: women’s, adolescents and children’s services; mental health services; medical services; and surgical services.</w:t>
      </w:r>
    </w:p>
    <w:p w:rsidR="00F153EE" w:rsidRDefault="00F153EE">
      <w:pPr>
        <w:rPr>
          <w:rFonts w:ascii="Gill Sans MT" w:eastAsia="GillSans-Light" w:hAnsi="Gill Sans MT" w:cs="GillSans-Light"/>
          <w:lang w:val="en-US"/>
        </w:rPr>
      </w:pPr>
      <w:r>
        <w:br w:type="page"/>
      </w:r>
    </w:p>
    <w:p w:rsidR="00F153EE" w:rsidRDefault="00F153EE" w:rsidP="00FE3ECD">
      <w:pPr>
        <w:pStyle w:val="Heading3"/>
      </w:pPr>
      <w:bookmarkStart w:id="22" w:name="_Toc472581962"/>
      <w:r>
        <w:lastRenderedPageBreak/>
        <w:t>Report from North and North West</w:t>
      </w:r>
      <w:bookmarkEnd w:id="22"/>
    </w:p>
    <w:p w:rsidR="00F153EE" w:rsidRDefault="00F153EE" w:rsidP="00F153EE">
      <w:pPr>
        <w:pStyle w:val="BodyText"/>
      </w:pPr>
      <w:r>
        <w:t>The Tasmanian Health Service (THS) provides a wide range of health services. These services are provided in a range of inpatient, outpatient, community health, residential aged care and inhome settings.</w:t>
      </w:r>
    </w:p>
    <w:p w:rsidR="00F153EE" w:rsidRDefault="00F153EE" w:rsidP="00F153EE">
      <w:pPr>
        <w:pStyle w:val="BodyText"/>
      </w:pPr>
      <w:r>
        <w:t>In the North, services are provided to a core population of approximately 140 000 with a number of services available to a greater population of 250 000 people. The North West provides health services to approximately 114 111 Tasmanians (22.3 per cent of Tasmania’s total population).</w:t>
      </w:r>
    </w:p>
    <w:p w:rsidR="00F153EE" w:rsidRDefault="00F153EE" w:rsidP="00F153EE">
      <w:pPr>
        <w:pStyle w:val="BodyText"/>
      </w:pPr>
      <w:r>
        <w:t>Health services delivered include health promotion activities, disease prevention strategies, primary health care, palliative care, mental health services, rehabilitation, sub-acute and acute care. The services provided are flexible enough to target specific needs at the different stages of a patient’s health journey, in order to provide an integrated, holistic and patient-centred approach to health care delivery.</w:t>
      </w:r>
    </w:p>
    <w:p w:rsidR="00F153EE" w:rsidRDefault="00F153EE" w:rsidP="00F153EE">
      <w:pPr>
        <w:pStyle w:val="BodyText"/>
      </w:pPr>
      <w:r>
        <w:t>The main acute facilities include the Launceston General Hospital, Mersey Community Hospital and North West Regional Hospital.</w:t>
      </w:r>
    </w:p>
    <w:p w:rsidR="00F153EE" w:rsidRDefault="00F153EE" w:rsidP="00F153EE">
      <w:pPr>
        <w:pStyle w:val="Heading4"/>
      </w:pPr>
      <w:r>
        <w:t>About the Launceston General Hospital</w:t>
      </w:r>
    </w:p>
    <w:p w:rsidR="00F153EE" w:rsidRDefault="00F153EE" w:rsidP="00F153EE">
      <w:pPr>
        <w:pStyle w:val="BodyText"/>
      </w:pPr>
      <w:r>
        <w:t>The Launceston General Hospital is Tasmania’s second largest hospital and the major referral centre for Northern Tasmania. The hospital provides acute care, including emergency and intensive care and maternity services; outpatient; community, and sub-acute services.</w:t>
      </w:r>
    </w:p>
    <w:p w:rsidR="00F153EE" w:rsidRDefault="00F153EE" w:rsidP="00F153EE">
      <w:pPr>
        <w:pStyle w:val="BodyText"/>
      </w:pPr>
      <w:r>
        <w:t>Community and outpatient services include allied health, nursing, health promotion, home care and palliative and dementia services. These are provided from community health centres and rural facilities as well as the Northern Integrated Care Service (NICS).</w:t>
      </w:r>
    </w:p>
    <w:p w:rsidR="00F153EE" w:rsidRDefault="00F153EE" w:rsidP="00F153EE">
      <w:pPr>
        <w:pStyle w:val="BodyText"/>
      </w:pPr>
      <w:r>
        <w:t>The Launceston General Hospital is an accredited teaching hospital for undergraduate and post graduate general and specialist medical and nursing.</w:t>
      </w:r>
    </w:p>
    <w:p w:rsidR="00F153EE" w:rsidRDefault="00F153EE" w:rsidP="00F153EE">
      <w:pPr>
        <w:pStyle w:val="BodyText"/>
      </w:pPr>
      <w:r>
        <w:t>LGH challenges and key achievements:</w:t>
      </w:r>
    </w:p>
    <w:p w:rsidR="00F153EE" w:rsidRDefault="00F153EE" w:rsidP="00103528">
      <w:pPr>
        <w:pStyle w:val="BodyText"/>
        <w:numPr>
          <w:ilvl w:val="0"/>
          <w:numId w:val="8"/>
        </w:numPr>
        <w:ind w:left="567" w:hanging="567"/>
      </w:pPr>
      <w:r>
        <w:t>Infection Prevention Control Unit – Primary Health National Health Service Standards accreditation projects and activities, including development and implementation of regional Reusable Medical Device (RMD) management structure across both LGH and rural inpatient facilities. Key outputs included procedural framework and auditable traceability systems.</w:t>
      </w:r>
    </w:p>
    <w:p w:rsidR="00F153EE" w:rsidRDefault="00F153EE" w:rsidP="00103528">
      <w:pPr>
        <w:pStyle w:val="BodyText"/>
        <w:numPr>
          <w:ilvl w:val="0"/>
          <w:numId w:val="8"/>
        </w:numPr>
        <w:ind w:left="567" w:hanging="567"/>
      </w:pPr>
      <w:r>
        <w:t>Medicine - Specialist Clinic redesign and development leading to a reduction in waiting list numbers.</w:t>
      </w:r>
    </w:p>
    <w:p w:rsidR="00F153EE" w:rsidRDefault="00F153EE" w:rsidP="00103528">
      <w:pPr>
        <w:pStyle w:val="BodyText"/>
        <w:numPr>
          <w:ilvl w:val="0"/>
          <w:numId w:val="8"/>
        </w:numPr>
        <w:ind w:left="567" w:hanging="567"/>
      </w:pPr>
      <w:r>
        <w:t>Women’s and Children’s Services – Successful in a State funding bid for a redesign of children’s ward 4K to include specialist Child and Adolescent Mental Health and outpatient areas.</w:t>
      </w:r>
    </w:p>
    <w:p w:rsidR="00F153EE" w:rsidRDefault="00F153EE" w:rsidP="00103528">
      <w:pPr>
        <w:pStyle w:val="BodyText"/>
        <w:numPr>
          <w:ilvl w:val="0"/>
          <w:numId w:val="8"/>
        </w:numPr>
        <w:ind w:left="567" w:hanging="567"/>
      </w:pPr>
      <w:r>
        <w:t>Department of Surgery - As part of the Federal Government’s $40 million Health and Hospital funding the department increased theatre suite capacity from five to seven theatres and completed building a Short Stay Surgical Unit(SSSU) to help meet elective surgery targets.</w:t>
      </w:r>
    </w:p>
    <w:p w:rsidR="00F153EE" w:rsidRDefault="00F153EE" w:rsidP="00103528">
      <w:pPr>
        <w:pStyle w:val="BodyText"/>
        <w:numPr>
          <w:ilvl w:val="0"/>
          <w:numId w:val="8"/>
        </w:numPr>
        <w:ind w:left="567" w:hanging="567"/>
      </w:pPr>
      <w:r>
        <w:t>Pool Office - The Pool Office provides a service to the LGH as well as other THS hospitals and community-based care providers to assist with filling short term deficits for nursing, support and clerical staff. The office has approximately 500 staff attached to the unit as casual or rostered pool staff with the vast majority being employed as casual staff.</w:t>
      </w:r>
    </w:p>
    <w:p w:rsidR="00F153EE" w:rsidRDefault="00F153EE" w:rsidP="00103528">
      <w:pPr>
        <w:pStyle w:val="BodyText"/>
        <w:numPr>
          <w:ilvl w:val="0"/>
          <w:numId w:val="11"/>
        </w:numPr>
        <w:ind w:left="567" w:hanging="567"/>
      </w:pPr>
      <w:r>
        <w:t>Education - Introduction of enrolled nurses to Transition to Practice program which previously had only included registered nurses.</w:t>
      </w:r>
    </w:p>
    <w:p w:rsidR="00F153EE" w:rsidRDefault="00F153EE" w:rsidP="00103528">
      <w:pPr>
        <w:pStyle w:val="BodyText"/>
        <w:numPr>
          <w:ilvl w:val="0"/>
          <w:numId w:val="11"/>
        </w:numPr>
        <w:ind w:left="567" w:hanging="567"/>
      </w:pPr>
      <w:r>
        <w:t xml:space="preserve">This program has also extended to St Marys Hospital and the Flinders Island Multipurpose Centre giving </w:t>
      </w:r>
      <w:r>
        <w:lastRenderedPageBreak/>
        <w:t>nurses rural and remote nursing experience. Additional registrar trainees under the Commonwealth Specialist Training Program for Tasmania (STP).</w:t>
      </w:r>
    </w:p>
    <w:p w:rsidR="00F153EE" w:rsidRDefault="00F153EE" w:rsidP="00103528">
      <w:pPr>
        <w:pStyle w:val="BodyText"/>
        <w:numPr>
          <w:ilvl w:val="0"/>
          <w:numId w:val="11"/>
        </w:numPr>
        <w:ind w:left="567" w:hanging="567"/>
      </w:pPr>
      <w:r>
        <w:t>Communication - The LGH and surrounding</w:t>
      </w:r>
      <w:r w:rsidR="00B951AB">
        <w:t xml:space="preserve"> </w:t>
      </w:r>
      <w:r>
        <w:t>sites within the health precinct transitioned to</w:t>
      </w:r>
      <w:r w:rsidR="00B951AB">
        <w:t xml:space="preserve"> </w:t>
      </w:r>
      <w:r>
        <w:t>a digital phone service as part of the Whole-of-Government Connect V project.</w:t>
      </w:r>
    </w:p>
    <w:p w:rsidR="00F153EE" w:rsidRDefault="00F153EE" w:rsidP="00103528">
      <w:pPr>
        <w:pStyle w:val="BodyText"/>
        <w:numPr>
          <w:ilvl w:val="0"/>
          <w:numId w:val="11"/>
        </w:numPr>
        <w:ind w:left="567" w:hanging="567"/>
      </w:pPr>
      <w:r>
        <w:t>Digital Medical Records (DMR) - The DMR is a</w:t>
      </w:r>
      <w:r w:rsidR="00B951AB">
        <w:t xml:space="preserve"> </w:t>
      </w:r>
      <w:r>
        <w:t>digitised hybrid of scanned paper medical records</w:t>
      </w:r>
      <w:r w:rsidR="00B951AB">
        <w:t xml:space="preserve"> </w:t>
      </w:r>
      <w:r>
        <w:t>and electronic diagnostic feeds. The rollout of</w:t>
      </w:r>
      <w:r w:rsidR="00B951AB">
        <w:t xml:space="preserve"> </w:t>
      </w:r>
      <w:r>
        <w:t>the DMR was an important milestone for the</w:t>
      </w:r>
      <w:r w:rsidR="00B951AB">
        <w:t xml:space="preserve"> </w:t>
      </w:r>
      <w:r>
        <w:t>THS as it represents a key component towards</w:t>
      </w:r>
      <w:r w:rsidR="00B951AB">
        <w:t xml:space="preserve"> </w:t>
      </w:r>
      <w:r>
        <w:t>the commitment to use electronic systems to</w:t>
      </w:r>
      <w:r w:rsidR="00B951AB">
        <w:t xml:space="preserve"> </w:t>
      </w:r>
      <w:r>
        <w:t>improve healthcare delivery, facilitate a better</w:t>
      </w:r>
      <w:r w:rsidR="00B951AB">
        <w:t xml:space="preserve"> </w:t>
      </w:r>
      <w:r>
        <w:t>patient journey and improve safety through the</w:t>
      </w:r>
      <w:r w:rsidR="00B951AB">
        <w:t xml:space="preserve"> </w:t>
      </w:r>
      <w:r>
        <w:t>use of electronic medical records.</w:t>
      </w:r>
    </w:p>
    <w:p w:rsidR="00F153EE" w:rsidRDefault="00F153EE" w:rsidP="00103528">
      <w:pPr>
        <w:pStyle w:val="BodyText"/>
        <w:numPr>
          <w:ilvl w:val="0"/>
          <w:numId w:val="11"/>
        </w:numPr>
        <w:ind w:left="567" w:hanging="567"/>
      </w:pPr>
      <w:r>
        <w:t>Winter Strategy - Extension of the LGH winter</w:t>
      </w:r>
      <w:r w:rsidR="00B951AB">
        <w:t xml:space="preserve"> </w:t>
      </w:r>
      <w:r>
        <w:t>strategy to include additional beds on Ward 4D</w:t>
      </w:r>
      <w:r w:rsidR="00B951AB">
        <w:t xml:space="preserve"> </w:t>
      </w:r>
      <w:r>
        <w:t>for the period October to late December, 2015.</w:t>
      </w:r>
    </w:p>
    <w:p w:rsidR="00F153EE" w:rsidRDefault="00F153EE" w:rsidP="00103528">
      <w:pPr>
        <w:pStyle w:val="BodyText"/>
        <w:numPr>
          <w:ilvl w:val="0"/>
          <w:numId w:val="11"/>
        </w:numPr>
        <w:ind w:left="567" w:hanging="567"/>
      </w:pPr>
      <w:r>
        <w:t xml:space="preserve">Emergency Medical Unit (EMU) </w:t>
      </w:r>
      <w:r w:rsidR="00B951AB">
        <w:t>–</w:t>
      </w:r>
      <w:r>
        <w:t xml:space="preserve"> Introduction</w:t>
      </w:r>
      <w:r w:rsidR="00B951AB">
        <w:t xml:space="preserve"> </w:t>
      </w:r>
      <w:r>
        <w:t>of the LGH EMU, an eight bed admitted</w:t>
      </w:r>
      <w:r w:rsidR="00B951AB">
        <w:t xml:space="preserve"> </w:t>
      </w:r>
      <w:r>
        <w:t>inpatient unit which is to transition to an</w:t>
      </w:r>
      <w:r w:rsidR="00B951AB">
        <w:t xml:space="preserve"> </w:t>
      </w:r>
      <w:r>
        <w:t>Emergency Department short stay unit.</w:t>
      </w:r>
    </w:p>
    <w:p w:rsidR="00F153EE" w:rsidRDefault="00F153EE" w:rsidP="00B951AB">
      <w:pPr>
        <w:pStyle w:val="Heading4"/>
      </w:pPr>
      <w:r>
        <w:t>Mersey Community Hospital</w:t>
      </w:r>
    </w:p>
    <w:p w:rsidR="00F153EE" w:rsidRDefault="00F153EE" w:rsidP="00B951AB">
      <w:pPr>
        <w:pStyle w:val="BodyText"/>
      </w:pPr>
      <w:r>
        <w:t>The Mersey Community Hospital (MCH) is</w:t>
      </w:r>
      <w:r w:rsidR="00B951AB">
        <w:t xml:space="preserve"> </w:t>
      </w:r>
      <w:r>
        <w:t>funded by the Commonwealth Government</w:t>
      </w:r>
      <w:r w:rsidR="00B951AB">
        <w:t xml:space="preserve"> </w:t>
      </w:r>
      <w:r>
        <w:t>under a Heads of Agreement with the Tasmanian</w:t>
      </w:r>
      <w:r w:rsidR="00B951AB">
        <w:t xml:space="preserve"> </w:t>
      </w:r>
      <w:r>
        <w:t>Government. The hospital offers general and</w:t>
      </w:r>
      <w:r w:rsidR="00B951AB">
        <w:t xml:space="preserve"> </w:t>
      </w:r>
      <w:r>
        <w:t>specialist health services to the North West</w:t>
      </w:r>
      <w:r w:rsidR="00B951AB">
        <w:t xml:space="preserve"> </w:t>
      </w:r>
      <w:r>
        <w:t>region and is an integral part of the Tasmanian</w:t>
      </w:r>
      <w:r w:rsidR="00B951AB">
        <w:t xml:space="preserve"> </w:t>
      </w:r>
      <w:r>
        <w:t>ealth Service. It works closely with other</w:t>
      </w:r>
      <w:r w:rsidR="00B951AB">
        <w:t xml:space="preserve"> </w:t>
      </w:r>
      <w:r>
        <w:t>hospitals and primary health services to meet the</w:t>
      </w:r>
      <w:r w:rsidR="00B951AB">
        <w:t xml:space="preserve"> </w:t>
      </w:r>
      <w:r>
        <w:t>needs of patients across the region.</w:t>
      </w:r>
    </w:p>
    <w:p w:rsidR="00F153EE" w:rsidRPr="00F153EE" w:rsidRDefault="00F153EE" w:rsidP="00B951AB">
      <w:pPr>
        <w:pStyle w:val="BodyText"/>
      </w:pPr>
      <w:r>
        <w:t>MCH challenges and key achievements:</w:t>
      </w:r>
    </w:p>
    <w:p w:rsidR="00F153EE" w:rsidRDefault="00F153EE" w:rsidP="00103528">
      <w:pPr>
        <w:pStyle w:val="BodyText"/>
        <w:numPr>
          <w:ilvl w:val="0"/>
          <w:numId w:val="11"/>
        </w:numPr>
        <w:ind w:left="567" w:hanging="567"/>
      </w:pPr>
      <w:r>
        <w:t>Under the Tasmanian Government’s One</w:t>
      </w:r>
      <w:r w:rsidR="00B951AB">
        <w:t xml:space="preserve"> </w:t>
      </w:r>
      <w:r>
        <w:t>Health System reforms, the hospital is to</w:t>
      </w:r>
      <w:r w:rsidR="00B951AB">
        <w:t xml:space="preserve"> </w:t>
      </w:r>
      <w:r>
        <w:t>be utilised as a dedicated elective surgery</w:t>
      </w:r>
      <w:r w:rsidR="00B951AB">
        <w:t xml:space="preserve"> </w:t>
      </w:r>
      <w:r>
        <w:t>centre from 1 July 2016. In preparation, the</w:t>
      </w:r>
      <w:r w:rsidR="00B951AB">
        <w:t xml:space="preserve"> </w:t>
      </w:r>
      <w:r>
        <w:t>Tasmanian Health Service has repurposed the</w:t>
      </w:r>
      <w:r w:rsidR="00B951AB">
        <w:t xml:space="preserve"> </w:t>
      </w:r>
      <w:r>
        <w:t>High Dependency Unit at Mersey Community</w:t>
      </w:r>
      <w:r w:rsidR="00B951AB">
        <w:t xml:space="preserve"> </w:t>
      </w:r>
      <w:r>
        <w:t>Hospital, retaining the current staff and skills</w:t>
      </w:r>
      <w:r w:rsidR="00B951AB">
        <w:t xml:space="preserve"> </w:t>
      </w:r>
      <w:r>
        <w:t>to provide post-operative surgical support for</w:t>
      </w:r>
      <w:r w:rsidR="00B951AB">
        <w:t xml:space="preserve"> </w:t>
      </w:r>
      <w:r>
        <w:t>the dedicated elective surgery service, as well</w:t>
      </w:r>
      <w:r w:rsidR="00B951AB">
        <w:t xml:space="preserve"> </w:t>
      </w:r>
      <w:r>
        <w:t>as to provide care to patients who require</w:t>
      </w:r>
      <w:r w:rsidR="00B951AB">
        <w:t xml:space="preserve"> </w:t>
      </w:r>
      <w:r>
        <w:t>stabilisation prior to transfer to a larger hospital.</w:t>
      </w:r>
      <w:r w:rsidR="00B951AB">
        <w:t xml:space="preserve"> </w:t>
      </w:r>
      <w:r>
        <w:t>The unit is now called the Close Observation</w:t>
      </w:r>
      <w:r w:rsidR="00B951AB">
        <w:t xml:space="preserve"> </w:t>
      </w:r>
      <w:r>
        <w:t>Unit, which best reflects its critical postoperative</w:t>
      </w:r>
      <w:r w:rsidR="00B951AB">
        <w:t xml:space="preserve"> </w:t>
      </w:r>
      <w:r>
        <w:t>close observation function.</w:t>
      </w:r>
    </w:p>
    <w:p w:rsidR="00F153EE" w:rsidRDefault="00F153EE" w:rsidP="00103528">
      <w:pPr>
        <w:pStyle w:val="BodyText"/>
        <w:numPr>
          <w:ilvl w:val="0"/>
          <w:numId w:val="11"/>
        </w:numPr>
        <w:ind w:left="567" w:hanging="567"/>
      </w:pPr>
      <w:r>
        <w:t>Additional endoscopy sessions were also</w:t>
      </w:r>
      <w:r w:rsidR="00B951AB">
        <w:t xml:space="preserve"> </w:t>
      </w:r>
      <w:r>
        <w:t>undertaken at the hospital this year and will</w:t>
      </w:r>
      <w:r w:rsidR="00B951AB">
        <w:t xml:space="preserve"> </w:t>
      </w:r>
      <w:r>
        <w:t>continue.</w:t>
      </w:r>
    </w:p>
    <w:p w:rsidR="00F153EE" w:rsidRDefault="00F153EE" w:rsidP="00103528">
      <w:pPr>
        <w:pStyle w:val="BodyText"/>
        <w:numPr>
          <w:ilvl w:val="0"/>
          <w:numId w:val="11"/>
        </w:numPr>
        <w:ind w:left="567" w:hanging="567"/>
      </w:pPr>
      <w:r>
        <w:t>The hospital emergency department remains</w:t>
      </w:r>
      <w:r w:rsidR="00B951AB">
        <w:t xml:space="preserve"> </w:t>
      </w:r>
      <w:r>
        <w:t>a busy unit managing a large volume of</w:t>
      </w:r>
      <w:r w:rsidR="00B951AB">
        <w:t xml:space="preserve"> </w:t>
      </w:r>
      <w:r>
        <w:t>presentations and retains the capacity to provide</w:t>
      </w:r>
      <w:r w:rsidR="00B951AB">
        <w:t xml:space="preserve"> </w:t>
      </w:r>
      <w:r>
        <w:t>care for suitable low complexity paediatric</w:t>
      </w:r>
      <w:r w:rsidR="00B951AB">
        <w:t xml:space="preserve"> </w:t>
      </w:r>
      <w:r>
        <w:t>patients in the Early Assessment and Medical</w:t>
      </w:r>
      <w:r w:rsidR="00B951AB">
        <w:t xml:space="preserve"> </w:t>
      </w:r>
      <w:r>
        <w:t>Unit (EMU) formally named the Short Stay Unit.</w:t>
      </w:r>
    </w:p>
    <w:p w:rsidR="00F153EE" w:rsidRDefault="00F153EE" w:rsidP="00103528">
      <w:pPr>
        <w:pStyle w:val="BodyText"/>
        <w:numPr>
          <w:ilvl w:val="0"/>
          <w:numId w:val="11"/>
        </w:numPr>
        <w:ind w:left="567" w:hanging="567"/>
      </w:pPr>
      <w:r>
        <w:t>During the course of the current Head of</w:t>
      </w:r>
      <w:r w:rsidR="00B951AB">
        <w:t xml:space="preserve"> </w:t>
      </w:r>
      <w:r>
        <w:t>Agreement between the Australian and</w:t>
      </w:r>
      <w:r w:rsidR="00B951AB">
        <w:t xml:space="preserve"> </w:t>
      </w:r>
      <w:r>
        <w:t>Tasmanian Governments, the MCH has</w:t>
      </w:r>
      <w:r w:rsidR="00B951AB">
        <w:t xml:space="preserve"> </w:t>
      </w:r>
      <w:r>
        <w:t>continued to upgrade and improve facilities</w:t>
      </w:r>
      <w:r w:rsidR="00B951AB">
        <w:t xml:space="preserve"> </w:t>
      </w:r>
      <w:r>
        <w:t>and equipment. This has included capital</w:t>
      </w:r>
      <w:r w:rsidR="00B951AB">
        <w:t xml:space="preserve"> </w:t>
      </w:r>
      <w:r>
        <w:t>works associated with the redevelopment to</w:t>
      </w:r>
      <w:r w:rsidR="00B951AB">
        <w:t xml:space="preserve"> </w:t>
      </w:r>
      <w:r>
        <w:t>upgrade the disability compliance of the Old</w:t>
      </w:r>
      <w:r w:rsidR="00B951AB">
        <w:t xml:space="preserve"> </w:t>
      </w:r>
      <w:r>
        <w:t>Nurses Home to meet the needs of patients</w:t>
      </w:r>
      <w:r w:rsidR="00B951AB">
        <w:t xml:space="preserve"> </w:t>
      </w:r>
      <w:r>
        <w:t>and staff. This $450 000 project is funded</w:t>
      </w:r>
      <w:r w:rsidR="00B951AB">
        <w:t xml:space="preserve"> </w:t>
      </w:r>
      <w:r>
        <w:t>by the Commonwealth of Australia and sees</w:t>
      </w:r>
      <w:r w:rsidR="00B951AB">
        <w:t xml:space="preserve"> </w:t>
      </w:r>
      <w:r>
        <w:t>the installation of a vertical lift connecting the</w:t>
      </w:r>
      <w:r w:rsidR="00B951AB">
        <w:t xml:space="preserve"> </w:t>
      </w:r>
      <w:r>
        <w:t>ground and upper levels of the Nurses Home;</w:t>
      </w:r>
      <w:r w:rsidR="00B951AB">
        <w:t xml:space="preserve">  </w:t>
      </w:r>
      <w:r>
        <w:t>updating of the toilets and accessibility upgrade</w:t>
      </w:r>
      <w:r w:rsidR="00B951AB">
        <w:t xml:space="preserve"> </w:t>
      </w:r>
      <w:r>
        <w:t>of the path of travel from the building’s main</w:t>
      </w:r>
      <w:r w:rsidR="00B951AB">
        <w:t xml:space="preserve"> </w:t>
      </w:r>
      <w:r>
        <w:t>entrance. Staff safety has also been enhanced</w:t>
      </w:r>
      <w:r w:rsidR="00B951AB">
        <w:t xml:space="preserve"> </w:t>
      </w:r>
      <w:r>
        <w:t>within the Pre-Admission presentation area.</w:t>
      </w:r>
    </w:p>
    <w:p w:rsidR="00F153EE" w:rsidRPr="00F153EE" w:rsidRDefault="00F153EE" w:rsidP="00103528">
      <w:pPr>
        <w:pStyle w:val="BodyText"/>
        <w:numPr>
          <w:ilvl w:val="0"/>
          <w:numId w:val="11"/>
        </w:numPr>
        <w:ind w:left="567" w:hanging="567"/>
      </w:pPr>
      <w:r>
        <w:t>The patient volume of the Medical Day Procedure</w:t>
      </w:r>
      <w:r w:rsidR="00B951AB">
        <w:t xml:space="preserve"> </w:t>
      </w:r>
      <w:r>
        <w:t>Unit increased significantly this year, following the</w:t>
      </w:r>
      <w:r w:rsidR="00B951AB">
        <w:t xml:space="preserve"> </w:t>
      </w:r>
      <w:r>
        <w:t>unit’s $446 000 refurbishment last year.</w:t>
      </w:r>
    </w:p>
    <w:p w:rsidR="00F153EE" w:rsidRPr="00F153EE" w:rsidRDefault="00F153EE" w:rsidP="00103528">
      <w:pPr>
        <w:pStyle w:val="BodyText"/>
        <w:numPr>
          <w:ilvl w:val="0"/>
          <w:numId w:val="11"/>
        </w:numPr>
        <w:ind w:left="567" w:hanging="567"/>
      </w:pPr>
      <w:r>
        <w:t>In 2015, the Tasmanian Government made</w:t>
      </w:r>
      <w:r w:rsidR="00B951AB">
        <w:t xml:space="preserve"> </w:t>
      </w:r>
      <w:r>
        <w:t>the decision that public birthing and inpatient</w:t>
      </w:r>
      <w:r w:rsidR="00B951AB">
        <w:t xml:space="preserve"> </w:t>
      </w:r>
      <w:r>
        <w:t xml:space="preserve">maternity </w:t>
      </w:r>
      <w:r w:rsidR="00B951AB">
        <w:lastRenderedPageBreak/>
        <w:t>s</w:t>
      </w:r>
      <w:r>
        <w:t>ervices in the North West would be</w:t>
      </w:r>
      <w:r w:rsidR="00B951AB">
        <w:t xml:space="preserve"> </w:t>
      </w:r>
      <w:r>
        <w:t>consolidated in Burnie. The Tasmanian Health</w:t>
      </w:r>
      <w:r w:rsidR="00B951AB">
        <w:t xml:space="preserve"> </w:t>
      </w:r>
      <w:r>
        <w:t>Service commenced a process to develop</w:t>
      </w:r>
      <w:r w:rsidR="00B951AB">
        <w:t xml:space="preserve"> </w:t>
      </w:r>
      <w:r>
        <w:t>the service model for the new service and a</w:t>
      </w:r>
      <w:r w:rsidR="00B951AB">
        <w:t xml:space="preserve"> </w:t>
      </w:r>
      <w:r>
        <w:t>maternity services project team – based at Mersey</w:t>
      </w:r>
      <w:r w:rsidR="00B951AB">
        <w:t xml:space="preserve"> </w:t>
      </w:r>
      <w:r>
        <w:t>Community Hospital – was established to support</w:t>
      </w:r>
      <w:r w:rsidR="00B951AB">
        <w:t xml:space="preserve"> </w:t>
      </w:r>
      <w:r>
        <w:t>this work. Planning consideration included</w:t>
      </w:r>
      <w:r w:rsidR="00B951AB">
        <w:t xml:space="preserve"> </w:t>
      </w:r>
      <w:r>
        <w:t>designing a service that provides for antenatal and</w:t>
      </w:r>
      <w:r w:rsidR="00B951AB">
        <w:t xml:space="preserve"> </w:t>
      </w:r>
      <w:r>
        <w:t>postnatal care at Mersey Community Hospital,</w:t>
      </w:r>
      <w:r w:rsidR="00B951AB">
        <w:t xml:space="preserve"> </w:t>
      </w:r>
      <w:r>
        <w:t>in Burnie and in rural communities. This work</w:t>
      </w:r>
      <w:r w:rsidR="00B951AB">
        <w:t xml:space="preserve"> </w:t>
      </w:r>
      <w:r>
        <w:t>continues and includes consultation with staff, key</w:t>
      </w:r>
      <w:r w:rsidR="00B951AB">
        <w:t xml:space="preserve"> </w:t>
      </w:r>
      <w:r>
        <w:t>stakeholders, and communities.</w:t>
      </w:r>
    </w:p>
    <w:p w:rsidR="00F153EE" w:rsidRDefault="00F153EE" w:rsidP="00103528">
      <w:pPr>
        <w:pStyle w:val="BodyText"/>
        <w:numPr>
          <w:ilvl w:val="0"/>
          <w:numId w:val="11"/>
        </w:numPr>
        <w:ind w:left="567" w:hanging="567"/>
      </w:pPr>
      <w:r>
        <w:t>Boosting the resources for hepatitis treatment</w:t>
      </w:r>
      <w:r w:rsidR="00B951AB">
        <w:t xml:space="preserve"> </w:t>
      </w:r>
      <w:r>
        <w:t>and prevention in Tasmania, this year saw the</w:t>
      </w:r>
      <w:r w:rsidR="00B951AB">
        <w:t xml:space="preserve"> </w:t>
      </w:r>
      <w:r>
        <w:t>appointment of a 0.5 FTE Hepatology Clinical</w:t>
      </w:r>
      <w:r w:rsidR="00B951AB">
        <w:t xml:space="preserve"> </w:t>
      </w:r>
      <w:r>
        <w:t>Nurse Specialist at the hospital. An increase</w:t>
      </w:r>
      <w:r w:rsidR="00B951AB">
        <w:t xml:space="preserve"> </w:t>
      </w:r>
      <w:r>
        <w:t>of patients accessing this service aligned with</w:t>
      </w:r>
      <w:r w:rsidR="00B951AB">
        <w:t xml:space="preserve"> </w:t>
      </w:r>
      <w:r>
        <w:t>the listing of new hepatitis C medication on</w:t>
      </w:r>
      <w:r w:rsidR="00B951AB">
        <w:t xml:space="preserve"> </w:t>
      </w:r>
      <w:r>
        <w:t>the National Pharmaceutical Benefits Scheme</w:t>
      </w:r>
      <w:r w:rsidR="00B951AB">
        <w:t xml:space="preserve"> </w:t>
      </w:r>
      <w:r>
        <w:t>(PBS).</w:t>
      </w:r>
    </w:p>
    <w:p w:rsidR="00F153EE" w:rsidRDefault="00F153EE" w:rsidP="00103528">
      <w:pPr>
        <w:pStyle w:val="BodyText"/>
        <w:numPr>
          <w:ilvl w:val="0"/>
          <w:numId w:val="11"/>
        </w:numPr>
        <w:ind w:left="567" w:hanging="567"/>
      </w:pPr>
      <w:r>
        <w:t>Through the National Safety and Quality Health</w:t>
      </w:r>
      <w:r w:rsidR="00B951AB">
        <w:t xml:space="preserve"> </w:t>
      </w:r>
      <w:r>
        <w:t>Standards, the hospital was assessed and met</w:t>
      </w:r>
      <w:r w:rsidR="00B951AB">
        <w:t xml:space="preserve"> </w:t>
      </w:r>
      <w:r>
        <w:t>265 criteria to achieve full accreditation for a</w:t>
      </w:r>
      <w:r w:rsidR="00B951AB">
        <w:t xml:space="preserve"> </w:t>
      </w:r>
      <w:r>
        <w:t>further 4 years.</w:t>
      </w:r>
    </w:p>
    <w:p w:rsidR="00F153EE" w:rsidRPr="00F153EE" w:rsidRDefault="00F153EE" w:rsidP="00103528">
      <w:pPr>
        <w:pStyle w:val="BodyText"/>
        <w:numPr>
          <w:ilvl w:val="0"/>
          <w:numId w:val="11"/>
        </w:numPr>
        <w:ind w:left="567" w:hanging="567"/>
      </w:pPr>
      <w:r>
        <w:t>The hospital exceeded its elective surgery</w:t>
      </w:r>
      <w:r w:rsidR="00B951AB">
        <w:t xml:space="preserve"> </w:t>
      </w:r>
      <w:r>
        <w:t>activity for this financial year, including additional</w:t>
      </w:r>
      <w:r w:rsidR="00B951AB">
        <w:t xml:space="preserve"> </w:t>
      </w:r>
      <w:r>
        <w:t>in-house activity and brokerage of general</w:t>
      </w:r>
      <w:r w:rsidR="00B951AB">
        <w:t xml:space="preserve"> </w:t>
      </w:r>
      <w:r>
        <w:t>surgery and ophthalmology cases to the</w:t>
      </w:r>
      <w:r w:rsidR="00B951AB">
        <w:t xml:space="preserve"> </w:t>
      </w:r>
      <w:r>
        <w:t>North West Private Hospital of about 2287</w:t>
      </w:r>
      <w:r w:rsidR="00B951AB">
        <w:t xml:space="preserve"> </w:t>
      </w:r>
      <w:r>
        <w:t>cases. There was a significant decrease in</w:t>
      </w:r>
      <w:r w:rsidR="00B951AB">
        <w:t xml:space="preserve"> </w:t>
      </w:r>
      <w:r>
        <w:t>over-boundary elective surgery patients in the</w:t>
      </w:r>
      <w:r w:rsidR="00B951AB">
        <w:t xml:space="preserve"> </w:t>
      </w:r>
      <w:r>
        <w:t>last 12 months, moving from 145 patients in</w:t>
      </w:r>
      <w:r w:rsidR="00B951AB">
        <w:t xml:space="preserve"> </w:t>
      </w:r>
      <w:r>
        <w:t>July 2015 to 17 patients in June 2016. Review</w:t>
      </w:r>
      <w:r w:rsidR="00B951AB">
        <w:t xml:space="preserve"> </w:t>
      </w:r>
      <w:r>
        <w:t>and assessment of theatre utilisation to assist</w:t>
      </w:r>
      <w:r w:rsidR="00B951AB">
        <w:t xml:space="preserve"> </w:t>
      </w:r>
      <w:r>
        <w:t>improved elective surgery activity remains</w:t>
      </w:r>
      <w:r w:rsidR="00B951AB">
        <w:t xml:space="preserve"> </w:t>
      </w:r>
      <w:r>
        <w:t>ongoing, and waiting times have reduced</w:t>
      </w:r>
      <w:r w:rsidR="00B951AB">
        <w:t xml:space="preserve"> </w:t>
      </w:r>
      <w:r>
        <w:t>dramatically.</w:t>
      </w:r>
    </w:p>
    <w:p w:rsidR="00F153EE" w:rsidRDefault="00F153EE" w:rsidP="00B951AB">
      <w:pPr>
        <w:pStyle w:val="Heading4"/>
      </w:pPr>
      <w:r>
        <w:t>About the North West Regional Hospital</w:t>
      </w:r>
    </w:p>
    <w:p w:rsidR="00F153EE" w:rsidRDefault="00F153EE" w:rsidP="00B951AB">
      <w:pPr>
        <w:pStyle w:val="BodyText"/>
      </w:pPr>
      <w:r>
        <w:t>The North West Regional Hospital (NWRH)</w:t>
      </w:r>
      <w:r w:rsidR="00B951AB">
        <w:t xml:space="preserve"> a</w:t>
      </w:r>
      <w:r>
        <w:t>t Burnie is an acute secondary hospital offering</w:t>
      </w:r>
      <w:r w:rsidR="00B951AB">
        <w:t xml:space="preserve"> </w:t>
      </w:r>
      <w:r>
        <w:t>medical, surgical, paediatric and allied health</w:t>
      </w:r>
      <w:r w:rsidR="00B951AB">
        <w:t xml:space="preserve"> </w:t>
      </w:r>
      <w:r>
        <w:t>services through inpatient and outpatient care.</w:t>
      </w:r>
    </w:p>
    <w:p w:rsidR="00F153EE" w:rsidRPr="00F153EE" w:rsidRDefault="00F153EE" w:rsidP="00825CC4">
      <w:pPr>
        <w:pStyle w:val="BodyText"/>
      </w:pPr>
      <w:r>
        <w:t>The hospital is the receiving centre for North</w:t>
      </w:r>
      <w:r w:rsidR="00B951AB">
        <w:t xml:space="preserve"> </w:t>
      </w:r>
      <w:r>
        <w:t>West trauma patients and has a well-equipped</w:t>
      </w:r>
      <w:r w:rsidR="00B951AB">
        <w:t xml:space="preserve"> </w:t>
      </w:r>
      <w:r>
        <w:t>Emergency Department (ED) supported by an</w:t>
      </w:r>
      <w:r w:rsidR="00B951AB">
        <w:t xml:space="preserve"> </w:t>
      </w:r>
      <w:r>
        <w:t>intensive care/high dependency unit and a 24 / 7</w:t>
      </w:r>
      <w:r w:rsidR="00B951AB">
        <w:t xml:space="preserve"> </w:t>
      </w:r>
      <w:r>
        <w:t>operating theatre. As a secondary level service,</w:t>
      </w:r>
      <w:r w:rsidR="00B951AB">
        <w:t xml:space="preserve"> </w:t>
      </w:r>
      <w:r>
        <w:t>the hospital does transfer patients to tertiary</w:t>
      </w:r>
      <w:r w:rsidR="00B951AB">
        <w:t xml:space="preserve"> </w:t>
      </w:r>
      <w:r>
        <w:t>hospitals in Launceston, Hobart and Melbourne</w:t>
      </w:r>
      <w:r w:rsidR="00B951AB">
        <w:t xml:space="preserve"> </w:t>
      </w:r>
      <w:r>
        <w:t>for some injuries and illnesses. It also has a close</w:t>
      </w:r>
      <w:r w:rsidR="00B951AB">
        <w:t xml:space="preserve"> </w:t>
      </w:r>
      <w:r>
        <w:t>working relationship with the Mersey Community</w:t>
      </w:r>
      <w:r w:rsidR="00825CC4">
        <w:t xml:space="preserve"> </w:t>
      </w:r>
      <w:r>
        <w:t>Hospital in service delivery and patient care</w:t>
      </w:r>
      <w:r w:rsidR="00825CC4">
        <w:t xml:space="preserve"> </w:t>
      </w:r>
      <w:r>
        <w:t>alongside community services.</w:t>
      </w:r>
    </w:p>
    <w:p w:rsidR="00F153EE" w:rsidRDefault="00F153EE" w:rsidP="00825CC4">
      <w:pPr>
        <w:pStyle w:val="BodyText"/>
      </w:pPr>
      <w:r>
        <w:t>NWRH challenges and key achievements:</w:t>
      </w:r>
    </w:p>
    <w:p w:rsidR="00F153EE" w:rsidRDefault="00F153EE" w:rsidP="00103528">
      <w:pPr>
        <w:pStyle w:val="BodyText"/>
        <w:numPr>
          <w:ilvl w:val="0"/>
          <w:numId w:val="11"/>
        </w:numPr>
        <w:ind w:left="567" w:hanging="567"/>
      </w:pPr>
      <w:r>
        <w:t>The Northern Integrated Cancer Centre was</w:t>
      </w:r>
      <w:r w:rsidR="00825CC4">
        <w:t xml:space="preserve"> </w:t>
      </w:r>
      <w:r>
        <w:t>officially opened on 6 May 2016, in a ceremony</w:t>
      </w:r>
      <w:r w:rsidR="00825CC4">
        <w:t xml:space="preserve"> </w:t>
      </w:r>
      <w:r>
        <w:t>attended by the many community donors who</w:t>
      </w:r>
      <w:r w:rsidR="00825CC4">
        <w:t xml:space="preserve"> </w:t>
      </w:r>
      <w:r>
        <w:t>have financially contributed to the capital works</w:t>
      </w:r>
      <w:r w:rsidR="00825CC4">
        <w:t xml:space="preserve"> </w:t>
      </w:r>
      <w:r>
        <w:t>program over the past three years. The centre</w:t>
      </w:r>
      <w:r w:rsidR="00825CC4">
        <w:t xml:space="preserve"> </w:t>
      </w:r>
      <w:r>
        <w:t>has been operational for medical oncology</w:t>
      </w:r>
      <w:r w:rsidR="00825CC4">
        <w:t xml:space="preserve"> </w:t>
      </w:r>
      <w:r>
        <w:t>since 18 December 2015, while the Radiation</w:t>
      </w:r>
      <w:r w:rsidR="00825CC4">
        <w:t xml:space="preserve"> </w:t>
      </w:r>
      <w:r>
        <w:t>Oncology Service commenced treating patients</w:t>
      </w:r>
      <w:r w:rsidR="00825CC4">
        <w:t xml:space="preserve"> </w:t>
      </w:r>
      <w:r>
        <w:t>on 3 May 2016. This has been celebrated as a</w:t>
      </w:r>
      <w:r w:rsidR="00825CC4">
        <w:t xml:space="preserve"> </w:t>
      </w:r>
      <w:r>
        <w:t>major achievement by the community and staff</w:t>
      </w:r>
      <w:r w:rsidR="00825CC4">
        <w:t xml:space="preserve"> </w:t>
      </w:r>
      <w:r>
        <w:t>of the North West region and will significantly</w:t>
      </w:r>
      <w:r w:rsidR="00825CC4">
        <w:t xml:space="preserve"> </w:t>
      </w:r>
      <w:r>
        <w:t>reduce the burden of travel for patients</w:t>
      </w:r>
      <w:r w:rsidR="00825CC4">
        <w:t xml:space="preserve"> </w:t>
      </w:r>
      <w:r>
        <w:t>undergoing radiation oncology treatment, as</w:t>
      </w:r>
      <w:r w:rsidR="00825CC4">
        <w:t xml:space="preserve"> </w:t>
      </w:r>
      <w:r>
        <w:t>well as providing a more appropriate treatment</w:t>
      </w:r>
      <w:r w:rsidR="00825CC4">
        <w:t xml:space="preserve"> </w:t>
      </w:r>
      <w:r>
        <w:t>space for those having medical oncology</w:t>
      </w:r>
      <w:r w:rsidR="00825CC4">
        <w:t xml:space="preserve"> </w:t>
      </w:r>
      <w:r>
        <w:t>treatments.</w:t>
      </w:r>
    </w:p>
    <w:p w:rsidR="00F153EE" w:rsidRPr="00F153EE" w:rsidRDefault="00F153EE" w:rsidP="00103528">
      <w:pPr>
        <w:pStyle w:val="BodyText"/>
        <w:numPr>
          <w:ilvl w:val="0"/>
          <w:numId w:val="11"/>
        </w:numPr>
        <w:ind w:left="567" w:hanging="567"/>
      </w:pPr>
      <w:r>
        <w:t>The Emergency Department also finalised a</w:t>
      </w:r>
      <w:r w:rsidR="00825CC4">
        <w:t xml:space="preserve"> </w:t>
      </w:r>
      <w:r>
        <w:t>significant capital works program to extend and</w:t>
      </w:r>
      <w:r w:rsidR="00825CC4">
        <w:t xml:space="preserve"> </w:t>
      </w:r>
      <w:r>
        <w:t>refurbish the existing Emergency Department</w:t>
      </w:r>
      <w:r w:rsidR="00825CC4">
        <w:t xml:space="preserve"> </w:t>
      </w:r>
      <w:r>
        <w:t>in the 2015-2016 year. Staff and patients</w:t>
      </w:r>
      <w:r w:rsidR="00825CC4">
        <w:t xml:space="preserve"> </w:t>
      </w:r>
      <w:r>
        <w:t>relocated into the new Emergency Department</w:t>
      </w:r>
      <w:r w:rsidR="00825CC4">
        <w:t xml:space="preserve"> </w:t>
      </w:r>
      <w:r>
        <w:t>on 13 July 2015 which affords an improved</w:t>
      </w:r>
      <w:r w:rsidR="00825CC4">
        <w:t xml:space="preserve"> </w:t>
      </w:r>
      <w:r>
        <w:t>layout and design, as well as up-to-date</w:t>
      </w:r>
      <w:r w:rsidR="00825CC4">
        <w:t xml:space="preserve"> </w:t>
      </w:r>
      <w:r>
        <w:t>monitoring and patient care equipment. A link</w:t>
      </w:r>
      <w:r w:rsidR="00825CC4">
        <w:t xml:space="preserve"> </w:t>
      </w:r>
      <w:r>
        <w:t>way to Regional Imaging was also completed in</w:t>
      </w:r>
      <w:r w:rsidR="00825CC4">
        <w:t xml:space="preserve"> </w:t>
      </w:r>
      <w:r>
        <w:t>March 2016 which now facilitates streamlined</w:t>
      </w:r>
      <w:r w:rsidR="00825CC4">
        <w:t xml:space="preserve"> </w:t>
      </w:r>
      <w:r>
        <w:t>access of Emergency Department patients to</w:t>
      </w:r>
      <w:r w:rsidR="00825CC4">
        <w:t xml:space="preserve"> </w:t>
      </w:r>
      <w:r>
        <w:t>CT and X-Ray investigations.</w:t>
      </w:r>
    </w:p>
    <w:p w:rsidR="00825CC4" w:rsidRDefault="00F153EE" w:rsidP="00103528">
      <w:pPr>
        <w:pStyle w:val="BodyText"/>
        <w:numPr>
          <w:ilvl w:val="0"/>
          <w:numId w:val="11"/>
        </w:numPr>
        <w:ind w:left="567" w:hanging="567"/>
      </w:pPr>
      <w:r>
        <w:t>The hospital exceeded its elective surgery</w:t>
      </w:r>
      <w:r w:rsidR="00825CC4">
        <w:t xml:space="preserve"> </w:t>
      </w:r>
      <w:r>
        <w:t>activity for this financial year, including additional</w:t>
      </w:r>
      <w:r w:rsidR="00825CC4">
        <w:t xml:space="preserve"> </w:t>
      </w:r>
      <w:r>
        <w:t>in-house activity and brokerage of orthopaedic,</w:t>
      </w:r>
      <w:r w:rsidR="00825CC4">
        <w:t xml:space="preserve"> </w:t>
      </w:r>
      <w:r>
        <w:t>general surgery and ophthalmology cases to the</w:t>
      </w:r>
      <w:r w:rsidR="00825CC4">
        <w:t xml:space="preserve"> </w:t>
      </w:r>
      <w:r>
        <w:t xml:space="preserve">North West </w:t>
      </w:r>
      <w:r>
        <w:lastRenderedPageBreak/>
        <w:t>Private Hospital of about 2 046</w:t>
      </w:r>
      <w:r w:rsidR="00825CC4">
        <w:t xml:space="preserve"> </w:t>
      </w:r>
      <w:r>
        <w:t>cases. This year also saw a significant decrease</w:t>
      </w:r>
      <w:r w:rsidR="00825CC4">
        <w:t xml:space="preserve"> </w:t>
      </w:r>
      <w:r>
        <w:t>in over-boundary elective surgery patients in</w:t>
      </w:r>
      <w:r w:rsidR="00825CC4">
        <w:t xml:space="preserve"> </w:t>
      </w:r>
      <w:r>
        <w:t>the last 12 months, moving from 131 patients in</w:t>
      </w:r>
      <w:r w:rsidR="00825CC4">
        <w:t xml:space="preserve"> </w:t>
      </w:r>
      <w:r>
        <w:t>July 2015 to 82 patients in June 2016. As part of</w:t>
      </w:r>
      <w:r w:rsidR="00825CC4">
        <w:t xml:space="preserve"> </w:t>
      </w:r>
      <w:r>
        <w:t>the State Government’s target of treating those</w:t>
      </w:r>
      <w:r w:rsidR="00825CC4">
        <w:t xml:space="preserve"> </w:t>
      </w:r>
      <w:r>
        <w:t>patients waiting greater than two years, ongoing</w:t>
      </w:r>
      <w:r w:rsidR="00825CC4">
        <w:t xml:space="preserve"> </w:t>
      </w:r>
      <w:r>
        <w:t xml:space="preserve">review and assessment of theatre </w:t>
      </w:r>
      <w:r w:rsidR="00825CC4">
        <w:t xml:space="preserve">utilization </w:t>
      </w:r>
      <w:r>
        <w:t>to assist improved elective surgery activity</w:t>
      </w:r>
      <w:r w:rsidR="00825CC4">
        <w:t xml:space="preserve"> </w:t>
      </w:r>
      <w:r>
        <w:t>continues and waiting times have reduced</w:t>
      </w:r>
      <w:r w:rsidR="00825CC4">
        <w:t xml:space="preserve"> </w:t>
      </w:r>
      <w:r>
        <w:t>dramatically.</w:t>
      </w:r>
    </w:p>
    <w:p w:rsidR="00825CC4" w:rsidRDefault="00825CC4" w:rsidP="00103528">
      <w:pPr>
        <w:pStyle w:val="BodyText"/>
        <w:numPr>
          <w:ilvl w:val="0"/>
          <w:numId w:val="11"/>
        </w:numPr>
        <w:ind w:left="567" w:hanging="567"/>
      </w:pPr>
      <w:r>
        <w:t>The hospital underwent an Acute Organisation Wide Accreditation Survey on 16 March and 17 March and received a full four year accreditation with no unmet actions arising. Work continues towards implementing the suggestions for improvement arising from the survey as part of the hospitals ongoing quality and safety program.</w:t>
      </w:r>
    </w:p>
    <w:p w:rsidR="00825CC4" w:rsidRDefault="00825CC4" w:rsidP="00825CC4">
      <w:pPr>
        <w:pStyle w:val="BodyText"/>
        <w:rPr>
          <w:rFonts w:ascii="GillSans-SemiBold" w:hAnsi="GillSans-SemiBold" w:cs="GillSans-SemiBold"/>
          <w:b/>
          <w:bCs/>
        </w:rPr>
      </w:pPr>
      <w:r>
        <w:rPr>
          <w:rFonts w:ascii="GillSans-SemiBold" w:hAnsi="GillSans-SemiBold" w:cs="GillSans-SemiBold"/>
          <w:b/>
          <w:bCs/>
        </w:rPr>
        <w:t>Our sub-acute and primary health services</w:t>
      </w:r>
    </w:p>
    <w:p w:rsidR="00825CC4" w:rsidRDefault="00825CC4" w:rsidP="00825CC4">
      <w:pPr>
        <w:pStyle w:val="BodyText"/>
      </w:pPr>
      <w:r>
        <w:t>There are 20 rural health service sites across the North and North West (i.e. district hospitals, community health centres, multi-purpose centres / services), with eight of these facilities providing 24/7 sub-acute inpatient care. Some rural facilities also provide residential aged care, as well as a wide range of community health services.</w:t>
      </w:r>
    </w:p>
    <w:p w:rsidR="00825CC4" w:rsidRDefault="00825CC4" w:rsidP="00825CC4">
      <w:pPr>
        <w:pStyle w:val="BodyText"/>
      </w:pPr>
      <w:r>
        <w:t>District hospitals in Tasmania do not have Emergency Departments. In the North and North West, some district hospitals offer level one, or level one and level two rural medical emergency service and care.</w:t>
      </w:r>
    </w:p>
    <w:p w:rsidR="00825CC4" w:rsidRPr="00825CC4" w:rsidRDefault="00825CC4" w:rsidP="00825CC4">
      <w:pPr>
        <w:pStyle w:val="BodyText"/>
      </w:pPr>
      <w:r>
        <w:t>Rural medical emergency care level one provides for first aid and treatment prior to referral / transfer to a facility able to provide a higher level of service if necessary, and access to a general practitioner. Level two is for all services described for level one plus the facility must be able to treat minor injuries and ailments. There must be capacity for resuscitation and limited stabilisation of a patient prior to referral / transfer to a facility that is able to provide a higher level of service.</w:t>
      </w:r>
    </w:p>
    <w:p w:rsidR="00825CC4" w:rsidRDefault="00825CC4" w:rsidP="00825CC4">
      <w:pPr>
        <w:pStyle w:val="BodyText"/>
      </w:pPr>
      <w:r>
        <w:t xml:space="preserve">Services provided at a community level include community allied health, community health nursing (including specialised nursing in spinal and continence, dementia, neurological, COPD, youth health), home care, specialist palliative care, dementia support services, specialized assessment (Aged Care Assessment teams) and case management services, aids and appliances and health promotion programs. These services are provided from community health centres and rural facilities. </w:t>
      </w:r>
    </w:p>
    <w:p w:rsidR="00825CC4" w:rsidRPr="00825CC4" w:rsidRDefault="00825CC4" w:rsidP="00825CC4">
      <w:pPr>
        <w:pStyle w:val="BodyText"/>
      </w:pPr>
      <w:r>
        <w:t>Sub-acute and primary health services challenges and key achievements:</w:t>
      </w:r>
    </w:p>
    <w:p w:rsidR="00825CC4" w:rsidRDefault="00825CC4" w:rsidP="00103528">
      <w:pPr>
        <w:pStyle w:val="BodyText"/>
        <w:numPr>
          <w:ilvl w:val="0"/>
          <w:numId w:val="12"/>
        </w:numPr>
        <w:ind w:left="567" w:hanging="567"/>
      </w:pPr>
      <w:r>
        <w:t xml:space="preserve">Medical Services for district hospitals: Secured Ochre Health Pty Ltd to deliver rural medical services </w:t>
      </w:r>
      <w:proofErr w:type="gramStart"/>
      <w:r>
        <w:t>This</w:t>
      </w:r>
      <w:proofErr w:type="gramEnd"/>
      <w:r>
        <w:t xml:space="preserve"> arrangement brings stability to the West Coast, East Coast, King Island and Flinders Island communities. Improving access to doctors as part of private general practice and improving continuity of care for patients at our district hospitals.</w:t>
      </w:r>
    </w:p>
    <w:p w:rsidR="00825CC4" w:rsidRDefault="00825CC4" w:rsidP="00103528">
      <w:pPr>
        <w:pStyle w:val="BodyText"/>
        <w:numPr>
          <w:ilvl w:val="0"/>
          <w:numId w:val="12"/>
        </w:numPr>
        <w:ind w:left="567" w:hanging="567"/>
      </w:pPr>
      <w:r>
        <w:t xml:space="preserve">Accreditation of district hospitals – inpatient facilities: District hospitals have been congratulated for their outstanding efforts both prior to and during the recent accreditation survey. </w:t>
      </w:r>
    </w:p>
    <w:p w:rsidR="00825CC4" w:rsidRDefault="00825CC4" w:rsidP="00103528">
      <w:pPr>
        <w:pStyle w:val="BodyText"/>
        <w:numPr>
          <w:ilvl w:val="0"/>
          <w:numId w:val="12"/>
        </w:numPr>
        <w:ind w:left="567" w:hanging="567"/>
      </w:pPr>
      <w:r>
        <w:t xml:space="preserve">Specialist Palliative Care Service: We are very pleased to announce the recent successful recruitment of two permanent staff specialists for the Specialist Palliative Care Service in the North West. We are also working in partnership to establish an ongoing general practice registrar position conjoint funded with UTAS. </w:t>
      </w:r>
    </w:p>
    <w:p w:rsidR="008C1D17" w:rsidRDefault="00825CC4" w:rsidP="00103528">
      <w:pPr>
        <w:pStyle w:val="BodyText"/>
        <w:numPr>
          <w:ilvl w:val="0"/>
          <w:numId w:val="12"/>
        </w:numPr>
        <w:ind w:left="567" w:hanging="567"/>
      </w:pPr>
      <w:r>
        <w:t>Implementation of Clinical Pharmacy Services for admitted inpatients in Primary Health sites across Tasmania: This initiative has a dual purpose as a patient safety initiative and to assist with accreditation requirements for primary health sites. The objective of the service is to improve</w:t>
      </w:r>
      <w:r w:rsidR="008C1D17">
        <w:t xml:space="preserve"> </w:t>
      </w:r>
      <w:r>
        <w:t>medication safety, continuity of care and overall</w:t>
      </w:r>
      <w:r w:rsidR="008C1D17">
        <w:t xml:space="preserve"> </w:t>
      </w:r>
      <w:r>
        <w:t>patient care for admitted inpatients of primary</w:t>
      </w:r>
      <w:r w:rsidR="008C1D17">
        <w:t xml:space="preserve"> </w:t>
      </w:r>
      <w:r>
        <w:t>health sites.</w:t>
      </w:r>
    </w:p>
    <w:p w:rsidR="008C1D17" w:rsidRDefault="00825CC4" w:rsidP="00103528">
      <w:pPr>
        <w:pStyle w:val="BodyText"/>
        <w:numPr>
          <w:ilvl w:val="0"/>
          <w:numId w:val="12"/>
        </w:numPr>
        <w:ind w:left="567" w:hanging="567"/>
      </w:pPr>
      <w:r>
        <w:lastRenderedPageBreak/>
        <w:t>Improving Health literacy: Health promotion</w:t>
      </w:r>
      <w:r w:rsidR="008C1D17">
        <w:t xml:space="preserve"> </w:t>
      </w:r>
      <w:r>
        <w:t>staff and social workers have been involved in</w:t>
      </w:r>
      <w:r w:rsidR="008C1D17">
        <w:t xml:space="preserve"> </w:t>
      </w:r>
      <w:r>
        <w:t>facilitating education and awareness programs</w:t>
      </w:r>
      <w:r w:rsidR="008C1D17">
        <w:t xml:space="preserve"> </w:t>
      </w:r>
      <w:r>
        <w:t>about health literacy including how to develop</w:t>
      </w:r>
      <w:r w:rsidR="008C1D17">
        <w:t xml:space="preserve"> </w:t>
      </w:r>
      <w:r>
        <w:t>and write information for patients, clients and</w:t>
      </w:r>
      <w:r w:rsidR="008C1D17">
        <w:t xml:space="preserve"> </w:t>
      </w:r>
      <w:r>
        <w:t>their families.</w:t>
      </w:r>
      <w:r w:rsidR="008C1D17">
        <w:t xml:space="preserve"> </w:t>
      </w:r>
    </w:p>
    <w:p w:rsidR="008C1D17" w:rsidRDefault="00825CC4" w:rsidP="00103528">
      <w:pPr>
        <w:pStyle w:val="BodyText"/>
        <w:numPr>
          <w:ilvl w:val="0"/>
          <w:numId w:val="12"/>
        </w:numPr>
        <w:ind w:left="567" w:hanging="567"/>
        <w:rPr>
          <w:color w:val="000000"/>
        </w:rPr>
      </w:pPr>
      <w:r>
        <w:t>Efficient use of resources: There has been a</w:t>
      </w:r>
      <w:r w:rsidR="008C1D17">
        <w:t xml:space="preserve"> </w:t>
      </w:r>
      <w:r>
        <w:t>major focus on using resources more efficiently</w:t>
      </w:r>
      <w:r w:rsidR="008C1D17">
        <w:t xml:space="preserve"> </w:t>
      </w:r>
      <w:r>
        <w:t>to support budget management but also to</w:t>
      </w:r>
      <w:r w:rsidR="008C1D17">
        <w:t xml:space="preserve"> </w:t>
      </w:r>
      <w:r>
        <w:t>reduce wastage. An example is the work</w:t>
      </w:r>
      <w:r w:rsidR="008C1D17">
        <w:t xml:space="preserve"> </w:t>
      </w:r>
      <w:r>
        <w:t>across the DHHS and the THS in sharing of</w:t>
      </w:r>
      <w:r w:rsidR="008C1D17">
        <w:t xml:space="preserve"> </w:t>
      </w:r>
      <w:r>
        <w:t>Multifunctional Devices (MFDs). Desktop</w:t>
      </w:r>
      <w:r w:rsidR="008C1D17">
        <w:t xml:space="preserve"> </w:t>
      </w:r>
      <w:r>
        <w:t>printers and MFDs are an important resource</w:t>
      </w:r>
      <w:r w:rsidR="008C1D17">
        <w:t xml:space="preserve"> </w:t>
      </w:r>
      <w:r>
        <w:t>for supporting staff to complete their work</w:t>
      </w:r>
      <w:r w:rsidR="008C1D17">
        <w:t xml:space="preserve"> </w:t>
      </w:r>
      <w:r>
        <w:t>and represent a significant cost to the agency.</w:t>
      </w:r>
      <w:r w:rsidR="008C1D17">
        <w:br/>
      </w:r>
      <w:r w:rsidRPr="008C1D17">
        <w:rPr>
          <w:color w:val="000000"/>
        </w:rPr>
        <w:t>By reducing the number of desktop printers</w:t>
      </w:r>
      <w:r w:rsidR="008C1D17" w:rsidRPr="008C1D17">
        <w:rPr>
          <w:color w:val="000000"/>
        </w:rPr>
        <w:t xml:space="preserve"> </w:t>
      </w:r>
      <w:r w:rsidRPr="008C1D17">
        <w:rPr>
          <w:color w:val="000000"/>
        </w:rPr>
        <w:t>and MFDs, it is anticipated that energy</w:t>
      </w:r>
      <w:r w:rsidR="008C1D17" w:rsidRPr="008C1D17">
        <w:rPr>
          <w:color w:val="000000"/>
        </w:rPr>
        <w:t xml:space="preserve"> </w:t>
      </w:r>
      <w:r w:rsidRPr="008C1D17">
        <w:rPr>
          <w:color w:val="000000"/>
        </w:rPr>
        <w:t>consumption, and use of consumables (such</w:t>
      </w:r>
      <w:r w:rsidR="008C1D17" w:rsidRPr="008C1D17">
        <w:rPr>
          <w:color w:val="000000"/>
        </w:rPr>
        <w:t xml:space="preserve"> </w:t>
      </w:r>
      <w:r w:rsidRPr="008C1D17">
        <w:rPr>
          <w:color w:val="000000"/>
        </w:rPr>
        <w:t>as paper), ink and toner cartridges will also</w:t>
      </w:r>
      <w:r w:rsidR="008C1D17" w:rsidRPr="008C1D17">
        <w:rPr>
          <w:color w:val="000000"/>
        </w:rPr>
        <w:t xml:space="preserve"> </w:t>
      </w:r>
      <w:r w:rsidRPr="008C1D17">
        <w:rPr>
          <w:color w:val="000000"/>
        </w:rPr>
        <w:t xml:space="preserve">be reduced. This strategy has reduced </w:t>
      </w:r>
      <w:r w:rsidR="008C1D17" w:rsidRPr="008C1D17">
        <w:rPr>
          <w:color w:val="000000"/>
        </w:rPr>
        <w:t>t</w:t>
      </w:r>
      <w:r w:rsidRPr="008C1D17">
        <w:rPr>
          <w:color w:val="000000"/>
        </w:rPr>
        <w:t>he</w:t>
      </w:r>
      <w:r w:rsidR="008C1D17" w:rsidRPr="008C1D17">
        <w:rPr>
          <w:color w:val="000000"/>
        </w:rPr>
        <w:t xml:space="preserve"> </w:t>
      </w:r>
      <w:r w:rsidRPr="008C1D17">
        <w:rPr>
          <w:color w:val="000000"/>
        </w:rPr>
        <w:t>number of leased equipment; and in review of</w:t>
      </w:r>
      <w:r w:rsidR="008C1D17" w:rsidRPr="008C1D17">
        <w:rPr>
          <w:color w:val="000000"/>
        </w:rPr>
        <w:t xml:space="preserve"> </w:t>
      </w:r>
      <w:r w:rsidRPr="008C1D17">
        <w:rPr>
          <w:color w:val="000000"/>
        </w:rPr>
        <w:t>office resources the use of desktop printers</w:t>
      </w:r>
      <w:r w:rsidR="008C1D17" w:rsidRPr="008C1D17">
        <w:rPr>
          <w:color w:val="000000"/>
        </w:rPr>
        <w:t xml:space="preserve"> </w:t>
      </w:r>
      <w:r w:rsidRPr="008C1D17">
        <w:rPr>
          <w:color w:val="000000"/>
        </w:rPr>
        <w:t>with expensive consumables was also reduced.</w:t>
      </w:r>
      <w:r w:rsidR="008C1D17" w:rsidRPr="008C1D17">
        <w:rPr>
          <w:color w:val="000000"/>
        </w:rPr>
        <w:br/>
      </w:r>
      <w:r w:rsidRPr="008C1D17">
        <w:rPr>
          <w:color w:val="000000"/>
        </w:rPr>
        <w:t>The actual saving compared to what was spent</w:t>
      </w:r>
      <w:r w:rsidR="008C1D17" w:rsidRPr="008C1D17">
        <w:rPr>
          <w:color w:val="000000"/>
        </w:rPr>
        <w:t xml:space="preserve"> </w:t>
      </w:r>
      <w:r w:rsidRPr="008C1D17">
        <w:rPr>
          <w:color w:val="000000"/>
        </w:rPr>
        <w:t>the previous year (2014-2015) is $50 999.00.</w:t>
      </w:r>
    </w:p>
    <w:p w:rsidR="008C1D17" w:rsidRDefault="00825CC4" w:rsidP="00103528">
      <w:pPr>
        <w:pStyle w:val="BodyText"/>
        <w:numPr>
          <w:ilvl w:val="0"/>
          <w:numId w:val="12"/>
        </w:numPr>
        <w:ind w:left="567" w:hanging="567"/>
        <w:rPr>
          <w:color w:val="000000"/>
        </w:rPr>
      </w:pPr>
      <w:r w:rsidRPr="008C1D17">
        <w:rPr>
          <w:color w:val="000000"/>
        </w:rPr>
        <w:t>Continued progression on the partnership</w:t>
      </w:r>
      <w:r w:rsidR="008C1D17" w:rsidRPr="008C1D17">
        <w:rPr>
          <w:color w:val="000000"/>
        </w:rPr>
        <w:t xml:space="preserve"> </w:t>
      </w:r>
      <w:r w:rsidRPr="008C1D17">
        <w:rPr>
          <w:color w:val="000000"/>
        </w:rPr>
        <w:t>between acute care facilities and Rural</w:t>
      </w:r>
      <w:r w:rsidR="008C1D17" w:rsidRPr="008C1D17">
        <w:rPr>
          <w:color w:val="000000"/>
        </w:rPr>
        <w:t xml:space="preserve"> </w:t>
      </w:r>
      <w:r w:rsidRPr="008C1D17">
        <w:rPr>
          <w:color w:val="000000"/>
        </w:rPr>
        <w:t>Inpatient facilities in regard to transfer of</w:t>
      </w:r>
      <w:r w:rsidR="008C1D17" w:rsidRPr="008C1D17">
        <w:rPr>
          <w:color w:val="000000"/>
        </w:rPr>
        <w:t xml:space="preserve"> </w:t>
      </w:r>
      <w:r w:rsidRPr="008C1D17">
        <w:rPr>
          <w:color w:val="000000"/>
        </w:rPr>
        <w:t>appropriate patients to assist with patient flow.</w:t>
      </w:r>
    </w:p>
    <w:p w:rsidR="008C1D17" w:rsidRDefault="00825CC4" w:rsidP="00103528">
      <w:pPr>
        <w:pStyle w:val="BodyText"/>
        <w:numPr>
          <w:ilvl w:val="0"/>
          <w:numId w:val="12"/>
        </w:numPr>
        <w:ind w:left="567" w:hanging="567"/>
        <w:rPr>
          <w:color w:val="000000"/>
        </w:rPr>
      </w:pPr>
      <w:r w:rsidRPr="008C1D17">
        <w:rPr>
          <w:color w:val="000000"/>
        </w:rPr>
        <w:t>Innovation in community service provision</w:t>
      </w:r>
      <w:r w:rsidR="008C1D17" w:rsidRPr="008C1D17">
        <w:rPr>
          <w:color w:val="000000"/>
        </w:rPr>
        <w:t xml:space="preserve"> </w:t>
      </w:r>
      <w:r w:rsidRPr="008C1D17">
        <w:rPr>
          <w:color w:val="000000"/>
        </w:rPr>
        <w:t>through the Better Access to Community Care</w:t>
      </w:r>
      <w:r w:rsidR="008C1D17" w:rsidRPr="008C1D17">
        <w:rPr>
          <w:color w:val="000000"/>
        </w:rPr>
        <w:t xml:space="preserve"> </w:t>
      </w:r>
      <w:r w:rsidRPr="008C1D17">
        <w:rPr>
          <w:color w:val="000000"/>
        </w:rPr>
        <w:t>initiative:-</w:t>
      </w:r>
    </w:p>
    <w:p w:rsidR="008C1D17" w:rsidRPr="008C1D17" w:rsidRDefault="00825CC4" w:rsidP="00103528">
      <w:pPr>
        <w:pStyle w:val="BodyText"/>
        <w:numPr>
          <w:ilvl w:val="1"/>
          <w:numId w:val="12"/>
        </w:numPr>
      </w:pPr>
      <w:r w:rsidRPr="008C1D17">
        <w:rPr>
          <w:color w:val="000000"/>
        </w:rPr>
        <w:t>Community Nursing Enhanced</w:t>
      </w:r>
      <w:r w:rsidR="008C1D17" w:rsidRPr="008C1D17">
        <w:rPr>
          <w:color w:val="000000"/>
        </w:rPr>
        <w:t xml:space="preserve"> </w:t>
      </w:r>
      <w:r w:rsidRPr="008C1D17">
        <w:rPr>
          <w:color w:val="000000"/>
        </w:rPr>
        <w:t>Connections Service (CoNECS) which</w:t>
      </w:r>
      <w:r w:rsidR="008C1D17" w:rsidRPr="008C1D17">
        <w:rPr>
          <w:color w:val="000000"/>
        </w:rPr>
        <w:t xml:space="preserve"> </w:t>
      </w:r>
      <w:r w:rsidRPr="008C1D17">
        <w:rPr>
          <w:color w:val="000000"/>
        </w:rPr>
        <w:t>provides enhanced access for people from</w:t>
      </w:r>
      <w:r w:rsidR="008C1D17" w:rsidRPr="008C1D17">
        <w:rPr>
          <w:color w:val="000000"/>
        </w:rPr>
        <w:t xml:space="preserve"> </w:t>
      </w:r>
      <w:r w:rsidRPr="008C1D17">
        <w:rPr>
          <w:color w:val="000000"/>
        </w:rPr>
        <w:t>the Emergency Department to community</w:t>
      </w:r>
      <w:r w:rsidR="008C1D17" w:rsidRPr="008C1D17">
        <w:rPr>
          <w:color w:val="000000"/>
        </w:rPr>
        <w:t xml:space="preserve"> </w:t>
      </w:r>
      <w:r w:rsidRPr="008C1D17">
        <w:rPr>
          <w:color w:val="000000"/>
        </w:rPr>
        <w:t>health nursing services by providing a</w:t>
      </w:r>
      <w:r w:rsidR="008C1D17" w:rsidRPr="008C1D17">
        <w:rPr>
          <w:color w:val="000000"/>
        </w:rPr>
        <w:t xml:space="preserve"> </w:t>
      </w:r>
      <w:r w:rsidRPr="008C1D17">
        <w:rPr>
          <w:color w:val="000000"/>
        </w:rPr>
        <w:t>non-admitted alternative for the provision</w:t>
      </w:r>
      <w:r w:rsidR="008C1D17" w:rsidRPr="008C1D17">
        <w:rPr>
          <w:color w:val="000000"/>
        </w:rPr>
        <w:t xml:space="preserve"> </w:t>
      </w:r>
      <w:r w:rsidRPr="008C1D17">
        <w:rPr>
          <w:color w:val="000000"/>
        </w:rPr>
        <w:t>of clinical care following Emergency</w:t>
      </w:r>
      <w:r w:rsidR="008C1D17" w:rsidRPr="008C1D17">
        <w:rPr>
          <w:color w:val="000000"/>
        </w:rPr>
        <w:t xml:space="preserve"> </w:t>
      </w:r>
      <w:r w:rsidRPr="008C1D17">
        <w:rPr>
          <w:color w:val="000000"/>
        </w:rPr>
        <w:t>Department presentation, assessment</w:t>
      </w:r>
      <w:r w:rsidR="008C1D17" w:rsidRPr="008C1D17">
        <w:rPr>
          <w:color w:val="000000"/>
        </w:rPr>
        <w:t xml:space="preserve"> </w:t>
      </w:r>
      <w:r w:rsidRPr="008C1D17">
        <w:rPr>
          <w:color w:val="000000"/>
        </w:rPr>
        <w:t>and initial treatment. In 2014, CoNECS</w:t>
      </w:r>
      <w:r w:rsidR="008C1D17" w:rsidRPr="008C1D17">
        <w:rPr>
          <w:color w:val="000000"/>
        </w:rPr>
        <w:t xml:space="preserve"> </w:t>
      </w:r>
      <w:r w:rsidRPr="008C1D17">
        <w:rPr>
          <w:color w:val="000000"/>
        </w:rPr>
        <w:t>commenced in the North and is currently</w:t>
      </w:r>
      <w:r w:rsidR="008C1D17" w:rsidRPr="008C1D17">
        <w:rPr>
          <w:color w:val="000000"/>
        </w:rPr>
        <w:t xml:space="preserve"> </w:t>
      </w:r>
      <w:r w:rsidRPr="008C1D17">
        <w:rPr>
          <w:color w:val="000000"/>
        </w:rPr>
        <w:t>being implemented across the North West.</w:t>
      </w:r>
      <w:r w:rsidR="008C1D17" w:rsidRPr="008C1D17">
        <w:rPr>
          <w:color w:val="000000"/>
        </w:rPr>
        <w:t xml:space="preserve"> </w:t>
      </w:r>
      <w:proofErr w:type="gramStart"/>
      <w:r w:rsidRPr="008C1D17">
        <w:rPr>
          <w:color w:val="000000"/>
        </w:rPr>
        <w:t>CoNECS meets</w:t>
      </w:r>
      <w:proofErr w:type="gramEnd"/>
      <w:r w:rsidRPr="008C1D17">
        <w:rPr>
          <w:color w:val="000000"/>
        </w:rPr>
        <w:t xml:space="preserve"> the principles of right</w:t>
      </w:r>
      <w:r w:rsidR="008C1D17" w:rsidRPr="008C1D17">
        <w:rPr>
          <w:color w:val="000000"/>
        </w:rPr>
        <w:t xml:space="preserve"> </w:t>
      </w:r>
      <w:r w:rsidRPr="008C1D17">
        <w:rPr>
          <w:color w:val="000000"/>
        </w:rPr>
        <w:t>care in the right place at the right time by</w:t>
      </w:r>
      <w:r w:rsidR="008C1D17" w:rsidRPr="008C1D17">
        <w:rPr>
          <w:color w:val="000000"/>
        </w:rPr>
        <w:t xml:space="preserve"> </w:t>
      </w:r>
      <w:r w:rsidRPr="008C1D17">
        <w:rPr>
          <w:color w:val="000000"/>
        </w:rPr>
        <w:t>the right staff and operates within existing</w:t>
      </w:r>
      <w:r w:rsidR="008C1D17" w:rsidRPr="008C1D17">
        <w:rPr>
          <w:color w:val="000000"/>
        </w:rPr>
        <w:t xml:space="preserve"> </w:t>
      </w:r>
      <w:r w:rsidRPr="008C1D17">
        <w:rPr>
          <w:color w:val="000000"/>
        </w:rPr>
        <w:t>resources.</w:t>
      </w:r>
    </w:p>
    <w:p w:rsidR="008C1D17" w:rsidRDefault="00825CC4" w:rsidP="00103528">
      <w:pPr>
        <w:pStyle w:val="BodyText"/>
        <w:numPr>
          <w:ilvl w:val="1"/>
          <w:numId w:val="12"/>
        </w:numPr>
      </w:pPr>
      <w:r>
        <w:t>The Community Rapid Response Service</w:t>
      </w:r>
      <w:r w:rsidR="008C1D17">
        <w:t xml:space="preserve"> </w:t>
      </w:r>
      <w:r>
        <w:t>(ComRRS) commenced in May 2016 in</w:t>
      </w:r>
      <w:r w:rsidR="008C1D17">
        <w:t xml:space="preserve"> </w:t>
      </w:r>
      <w:r>
        <w:t>Launceston as a 12 month pilot program.</w:t>
      </w:r>
      <w:r w:rsidR="008C1D17">
        <w:t xml:space="preserve"> </w:t>
      </w:r>
      <w:r>
        <w:t>ComRRS provides a responsive and high</w:t>
      </w:r>
      <w:r w:rsidR="008C1D17">
        <w:t xml:space="preserve"> </w:t>
      </w:r>
      <w:r>
        <w:t>intensity intermediate multidisciplinary</w:t>
      </w:r>
      <w:r w:rsidR="008C1D17">
        <w:t xml:space="preserve"> </w:t>
      </w:r>
      <w:r>
        <w:t>service for people in the community who</w:t>
      </w:r>
      <w:r w:rsidR="008C1D17">
        <w:t xml:space="preserve"> </w:t>
      </w:r>
      <w:r>
        <w:t>would otherwise require a period of</w:t>
      </w:r>
      <w:r w:rsidR="008C1D17">
        <w:t xml:space="preserve"> </w:t>
      </w:r>
      <w:r>
        <w:t>hospitalisation. ComRRs is a ‘shared-care’</w:t>
      </w:r>
      <w:r w:rsidR="008C1D17">
        <w:t xml:space="preserve"> </w:t>
      </w:r>
      <w:r>
        <w:t>model with the patient’s usual GP.</w:t>
      </w:r>
    </w:p>
    <w:p w:rsidR="008C1D17" w:rsidRDefault="00825CC4" w:rsidP="00103528">
      <w:pPr>
        <w:pStyle w:val="BodyText"/>
        <w:numPr>
          <w:ilvl w:val="0"/>
          <w:numId w:val="12"/>
        </w:numPr>
        <w:ind w:left="567" w:hanging="567"/>
        <w:rPr>
          <w:color w:val="000000"/>
        </w:rPr>
      </w:pPr>
      <w:r>
        <w:t>There has been an overall increase of</w:t>
      </w:r>
      <w:r w:rsidR="008C1D17">
        <w:t xml:space="preserve"> </w:t>
      </w:r>
      <w:r>
        <w:t>referrals, higher numbers of complex client</w:t>
      </w:r>
      <w:r w:rsidR="008C1D17">
        <w:t xml:space="preserve"> </w:t>
      </w:r>
      <w:r>
        <w:t>presentations and staffing for primary health</w:t>
      </w:r>
      <w:r w:rsidR="008C1D17">
        <w:t xml:space="preserve"> </w:t>
      </w:r>
      <w:r w:rsidRPr="008C1D17">
        <w:rPr>
          <w:color w:val="000000"/>
        </w:rPr>
        <w:t>service providers who continue to provide high</w:t>
      </w:r>
      <w:r w:rsidR="008C1D17" w:rsidRPr="008C1D17">
        <w:rPr>
          <w:color w:val="000000"/>
        </w:rPr>
        <w:t xml:space="preserve"> </w:t>
      </w:r>
      <w:r w:rsidRPr="008C1D17">
        <w:rPr>
          <w:color w:val="000000"/>
        </w:rPr>
        <w:t>quality care for individuals in the community.</w:t>
      </w:r>
    </w:p>
    <w:p w:rsidR="008C1D17" w:rsidRDefault="00825CC4" w:rsidP="00103528">
      <w:pPr>
        <w:pStyle w:val="BodyText"/>
        <w:numPr>
          <w:ilvl w:val="0"/>
          <w:numId w:val="12"/>
        </w:numPr>
        <w:ind w:left="567" w:hanging="567"/>
        <w:rPr>
          <w:color w:val="000000"/>
        </w:rPr>
      </w:pPr>
      <w:r w:rsidRPr="008C1D17">
        <w:rPr>
          <w:color w:val="000000"/>
        </w:rPr>
        <w:t>The redevelopment of Primary Health Sites/</w:t>
      </w:r>
      <w:r w:rsidR="008C1D17" w:rsidRPr="008C1D17">
        <w:rPr>
          <w:color w:val="000000"/>
        </w:rPr>
        <w:t xml:space="preserve"> </w:t>
      </w:r>
      <w:r w:rsidRPr="008C1D17">
        <w:rPr>
          <w:color w:val="000000"/>
        </w:rPr>
        <w:t>Centres including:-</w:t>
      </w:r>
      <w:r w:rsidR="008C1D17">
        <w:rPr>
          <w:color w:val="000000"/>
        </w:rPr>
        <w:t xml:space="preserve"> </w:t>
      </w:r>
    </w:p>
    <w:p w:rsidR="008C1D17" w:rsidRDefault="00825CC4" w:rsidP="00103528">
      <w:pPr>
        <w:pStyle w:val="BodyText"/>
        <w:numPr>
          <w:ilvl w:val="1"/>
          <w:numId w:val="12"/>
        </w:numPr>
        <w:rPr>
          <w:color w:val="000000"/>
        </w:rPr>
      </w:pPr>
      <w:r w:rsidRPr="008C1D17">
        <w:rPr>
          <w:color w:val="000000"/>
        </w:rPr>
        <w:t>The Ravenswood Community Health</w:t>
      </w:r>
      <w:r w:rsidR="008C1D17" w:rsidRPr="008C1D17">
        <w:rPr>
          <w:color w:val="000000"/>
        </w:rPr>
        <w:t xml:space="preserve"> </w:t>
      </w:r>
      <w:r w:rsidRPr="008C1D17">
        <w:rPr>
          <w:color w:val="000000"/>
        </w:rPr>
        <w:t>Centre which has addressed significant</w:t>
      </w:r>
      <w:r w:rsidR="008C1D17" w:rsidRPr="008C1D17">
        <w:rPr>
          <w:color w:val="000000"/>
        </w:rPr>
        <w:t xml:space="preserve"> </w:t>
      </w:r>
      <w:r w:rsidRPr="008C1D17">
        <w:rPr>
          <w:color w:val="000000"/>
        </w:rPr>
        <w:t>quality and safety issues for clients, visitors</w:t>
      </w:r>
      <w:r w:rsidR="008C1D17" w:rsidRPr="008C1D17">
        <w:rPr>
          <w:color w:val="000000"/>
        </w:rPr>
        <w:t xml:space="preserve"> </w:t>
      </w:r>
      <w:r w:rsidRPr="008C1D17">
        <w:rPr>
          <w:color w:val="000000"/>
        </w:rPr>
        <w:t>and staff and increased services and</w:t>
      </w:r>
      <w:r w:rsidR="008C1D17" w:rsidRPr="008C1D17">
        <w:rPr>
          <w:color w:val="000000"/>
        </w:rPr>
        <w:t xml:space="preserve"> </w:t>
      </w:r>
      <w:r w:rsidRPr="008C1D17">
        <w:rPr>
          <w:color w:val="000000"/>
        </w:rPr>
        <w:t>engagement with the local community</w:t>
      </w:r>
    </w:p>
    <w:p w:rsidR="00825CC4" w:rsidRPr="008C1D17" w:rsidRDefault="00825CC4" w:rsidP="00103528">
      <w:pPr>
        <w:pStyle w:val="BodyText"/>
        <w:numPr>
          <w:ilvl w:val="1"/>
          <w:numId w:val="12"/>
        </w:numPr>
        <w:rPr>
          <w:color w:val="000000"/>
        </w:rPr>
      </w:pPr>
      <w:r w:rsidRPr="008C1D17">
        <w:rPr>
          <w:color w:val="000000"/>
        </w:rPr>
        <w:t>Approval for the redevelopment of the</w:t>
      </w:r>
      <w:r w:rsidR="008C1D17" w:rsidRPr="008C1D17">
        <w:rPr>
          <w:color w:val="000000"/>
        </w:rPr>
        <w:t xml:space="preserve"> </w:t>
      </w:r>
      <w:r w:rsidRPr="008C1D17">
        <w:rPr>
          <w:color w:val="000000"/>
        </w:rPr>
        <w:t>St Helens District Hospital to meet the</w:t>
      </w:r>
      <w:r w:rsidR="008C1D17" w:rsidRPr="008C1D17">
        <w:rPr>
          <w:color w:val="000000"/>
        </w:rPr>
        <w:t xml:space="preserve"> </w:t>
      </w:r>
      <w:r w:rsidRPr="008C1D17">
        <w:rPr>
          <w:color w:val="000000"/>
        </w:rPr>
        <w:t>ongoing and future health service delivery</w:t>
      </w:r>
      <w:r w:rsidR="008C1D17">
        <w:rPr>
          <w:color w:val="000000"/>
        </w:rPr>
        <w:t xml:space="preserve"> </w:t>
      </w:r>
      <w:r w:rsidRPr="008C1D17">
        <w:rPr>
          <w:color w:val="000000"/>
        </w:rPr>
        <w:t>for the St Helens district</w:t>
      </w:r>
    </w:p>
    <w:p w:rsidR="00825CC4" w:rsidRDefault="00825CC4" w:rsidP="008C1D17">
      <w:pPr>
        <w:pStyle w:val="Heading4"/>
        <w:rPr>
          <w:rFonts w:ascii="GillSans-SemiBold" w:hAnsi="GillSans-SemiBold" w:cs="GillSans-SemiBold"/>
          <w:color w:val="000000"/>
        </w:rPr>
      </w:pPr>
      <w:r>
        <w:t>Mental Health Services in the North</w:t>
      </w:r>
      <w:r w:rsidR="008C1D17">
        <w:t xml:space="preserve"> </w:t>
      </w:r>
      <w:r>
        <w:rPr>
          <w:rFonts w:ascii="GillSans-SemiBold" w:hAnsi="GillSans-SemiBold" w:cs="GillSans-SemiBold"/>
          <w:color w:val="000000"/>
        </w:rPr>
        <w:t>and North West</w:t>
      </w:r>
    </w:p>
    <w:p w:rsidR="00825CC4" w:rsidRDefault="00825CC4" w:rsidP="00825CC4">
      <w:pPr>
        <w:pStyle w:val="BodyText"/>
        <w:rPr>
          <w:color w:val="000000"/>
        </w:rPr>
      </w:pPr>
      <w:r>
        <w:rPr>
          <w:color w:val="000000"/>
        </w:rPr>
        <w:t>Mental Health Services provides specialist</w:t>
      </w:r>
      <w:r w:rsidR="008C1D17">
        <w:rPr>
          <w:color w:val="000000"/>
        </w:rPr>
        <w:t xml:space="preserve"> </w:t>
      </w:r>
      <w:r>
        <w:rPr>
          <w:color w:val="000000"/>
        </w:rPr>
        <w:t>assessment and treatment services to people with</w:t>
      </w:r>
      <w:r w:rsidR="008C1D17">
        <w:rPr>
          <w:color w:val="000000"/>
        </w:rPr>
        <w:t xml:space="preserve"> </w:t>
      </w:r>
      <w:r>
        <w:rPr>
          <w:color w:val="000000"/>
        </w:rPr>
        <w:t>a serious mental illness.</w:t>
      </w:r>
    </w:p>
    <w:p w:rsidR="00825CC4" w:rsidRPr="00825CC4" w:rsidRDefault="00825CC4" w:rsidP="00825CC4">
      <w:pPr>
        <w:pStyle w:val="BodyText"/>
      </w:pPr>
      <w:r>
        <w:rPr>
          <w:color w:val="000000"/>
        </w:rPr>
        <w:t>Services provided by Mental Health Services in</w:t>
      </w:r>
      <w:r w:rsidR="008C1D17">
        <w:rPr>
          <w:color w:val="000000"/>
        </w:rPr>
        <w:t xml:space="preserve"> </w:t>
      </w:r>
      <w:r>
        <w:rPr>
          <w:color w:val="000000"/>
        </w:rPr>
        <w:t>the North and North West include the provision</w:t>
      </w:r>
      <w:r w:rsidR="008C1D17">
        <w:rPr>
          <w:color w:val="000000"/>
        </w:rPr>
        <w:t xml:space="preserve"> </w:t>
      </w:r>
      <w:r>
        <w:rPr>
          <w:color w:val="000000"/>
        </w:rPr>
        <w:t>of inpatient, hospital based, and community based</w:t>
      </w:r>
      <w:r w:rsidR="008C1D17">
        <w:rPr>
          <w:color w:val="000000"/>
        </w:rPr>
        <w:t xml:space="preserve"> </w:t>
      </w:r>
      <w:r>
        <w:rPr>
          <w:color w:val="000000"/>
        </w:rPr>
        <w:t>services including child and adolescent, older</w:t>
      </w:r>
      <w:r w:rsidR="008C1D17">
        <w:rPr>
          <w:color w:val="000000"/>
        </w:rPr>
        <w:t xml:space="preserve"> </w:t>
      </w:r>
      <w:r>
        <w:rPr>
          <w:color w:val="000000"/>
        </w:rPr>
        <w:t>persons and adult community. These services are</w:t>
      </w:r>
      <w:r w:rsidR="008C1D17">
        <w:rPr>
          <w:color w:val="000000"/>
        </w:rPr>
        <w:t xml:space="preserve"> </w:t>
      </w:r>
      <w:r>
        <w:rPr>
          <w:color w:val="000000"/>
        </w:rPr>
        <w:t>provided in partnership with community sector</w:t>
      </w:r>
      <w:r w:rsidR="008C1D17">
        <w:rPr>
          <w:color w:val="000000"/>
        </w:rPr>
        <w:t xml:space="preserve"> </w:t>
      </w:r>
      <w:r>
        <w:rPr>
          <w:color w:val="000000"/>
        </w:rPr>
        <w:t>organisations.</w:t>
      </w:r>
    </w:p>
    <w:p w:rsidR="00825CC4" w:rsidRPr="00825CC4" w:rsidRDefault="00825CC4" w:rsidP="00825CC4">
      <w:pPr>
        <w:pStyle w:val="BodyText"/>
      </w:pPr>
      <w:r w:rsidRPr="00825CC4">
        <w:lastRenderedPageBreak/>
        <w:t>In the North West, the inpatient unit is based</w:t>
      </w:r>
      <w:r w:rsidR="008C1D17">
        <w:t xml:space="preserve"> </w:t>
      </w:r>
      <w:r w:rsidRPr="00825CC4">
        <w:t>at North West Regional Hospital in the North</w:t>
      </w:r>
      <w:r w:rsidR="008C1D17">
        <w:t xml:space="preserve"> </w:t>
      </w:r>
      <w:r w:rsidRPr="00825CC4">
        <w:t>it based at the Launceston General Hospital.</w:t>
      </w:r>
    </w:p>
    <w:p w:rsidR="00825CC4" w:rsidRPr="00825CC4" w:rsidRDefault="00825CC4" w:rsidP="00825CC4">
      <w:pPr>
        <w:pStyle w:val="BodyText"/>
      </w:pPr>
      <w:r w:rsidRPr="00825CC4">
        <w:t>The general adult mental health services for</w:t>
      </w:r>
      <w:r w:rsidR="008C1D17">
        <w:t xml:space="preserve"> </w:t>
      </w:r>
      <w:r w:rsidRPr="00825CC4">
        <w:t>Launceston and child and adolescent mental</w:t>
      </w:r>
      <w:r w:rsidR="008C1D17">
        <w:t xml:space="preserve"> </w:t>
      </w:r>
      <w:r w:rsidRPr="00825CC4">
        <w:t>health are provided from Launceston and in</w:t>
      </w:r>
      <w:r w:rsidR="008C1D17">
        <w:t xml:space="preserve"> </w:t>
      </w:r>
      <w:r w:rsidRPr="00825CC4">
        <w:t>the North West these services are provided</w:t>
      </w:r>
      <w:r w:rsidR="008C1D17">
        <w:t xml:space="preserve"> </w:t>
      </w:r>
      <w:r w:rsidRPr="00825CC4">
        <w:t>from bases at Devonport and Burnie, with the</w:t>
      </w:r>
      <w:r w:rsidR="008C1D17">
        <w:t xml:space="preserve"> </w:t>
      </w:r>
      <w:r w:rsidRPr="00825CC4">
        <w:t>Older Person’s Mental Health Service providing</w:t>
      </w:r>
      <w:r w:rsidR="008C1D17">
        <w:t xml:space="preserve"> </w:t>
      </w:r>
      <w:r w:rsidRPr="00825CC4">
        <w:t>outreach from Launceston and Burnie. There is</w:t>
      </w:r>
      <w:r w:rsidR="008C1D17">
        <w:t xml:space="preserve"> </w:t>
      </w:r>
      <w:r w:rsidRPr="00825CC4">
        <w:t>a dedicated crisis assessment and treatment team</w:t>
      </w:r>
      <w:r w:rsidR="008C1D17">
        <w:t xml:space="preserve"> </w:t>
      </w:r>
      <w:r w:rsidRPr="00825CC4">
        <w:t>in both service areas operating seven days a week</w:t>
      </w:r>
      <w:r w:rsidR="008C1D17">
        <w:t xml:space="preserve"> </w:t>
      </w:r>
      <w:r w:rsidRPr="00825CC4">
        <w:t>that manages referrals from the mental health</w:t>
      </w:r>
      <w:r w:rsidR="008C1D17">
        <w:t xml:space="preserve"> </w:t>
      </w:r>
      <w:r w:rsidRPr="00825CC4">
        <w:t>line, and provides emergency response to urgent</w:t>
      </w:r>
      <w:r w:rsidR="008C1D17">
        <w:t xml:space="preserve"> </w:t>
      </w:r>
      <w:r w:rsidRPr="00825CC4">
        <w:t>referrals.</w:t>
      </w:r>
    </w:p>
    <w:p w:rsidR="00825CC4" w:rsidRDefault="00825CC4" w:rsidP="00825CC4">
      <w:pPr>
        <w:pStyle w:val="BodyText"/>
      </w:pPr>
      <w:r w:rsidRPr="00825CC4">
        <w:t>The South continues to deliver some statewide</w:t>
      </w:r>
      <w:r w:rsidR="008C1D17">
        <w:t xml:space="preserve"> </w:t>
      </w:r>
      <w:r w:rsidRPr="00825CC4">
        <w:t>mental health services that are accessible to THS</w:t>
      </w:r>
      <w:r w:rsidR="008C1D17">
        <w:t xml:space="preserve"> </w:t>
      </w:r>
      <w:r>
        <w:t>North and North West clients pending their</w:t>
      </w:r>
      <w:r w:rsidR="008C1D17">
        <w:t xml:space="preserve"> </w:t>
      </w:r>
      <w:r>
        <w:t>clinical needs such as psychiatric intensive care and</w:t>
      </w:r>
      <w:r w:rsidR="008C1D17">
        <w:t xml:space="preserve"> </w:t>
      </w:r>
      <w:r>
        <w:t>dementia behaviour management and the Mental</w:t>
      </w:r>
      <w:r w:rsidR="008C1D17">
        <w:t xml:space="preserve"> </w:t>
      </w:r>
      <w:r>
        <w:t>Health Services Helpline.</w:t>
      </w:r>
    </w:p>
    <w:p w:rsidR="00825CC4" w:rsidRDefault="00825CC4" w:rsidP="00825CC4">
      <w:pPr>
        <w:pStyle w:val="BodyText"/>
      </w:pPr>
      <w:r>
        <w:t>MHS challenges and key achievements</w:t>
      </w:r>
    </w:p>
    <w:p w:rsidR="008C1D17" w:rsidRDefault="00825CC4" w:rsidP="00103528">
      <w:pPr>
        <w:pStyle w:val="BodyText"/>
        <w:numPr>
          <w:ilvl w:val="0"/>
          <w:numId w:val="12"/>
        </w:numPr>
        <w:ind w:left="567" w:hanging="567"/>
      </w:pPr>
      <w:r>
        <w:t>Seclusion rate per thousand care days is 4.2</w:t>
      </w:r>
      <w:r w:rsidR="008C1D17">
        <w:t xml:space="preserve"> </w:t>
      </w:r>
      <w:r>
        <w:t>for the North West and 13.8 for North for the</w:t>
      </w:r>
      <w:r w:rsidR="008C1D17">
        <w:t xml:space="preserve"> </w:t>
      </w:r>
      <w:r>
        <w:t>2015-2016 financial year, with our benchmark at</w:t>
      </w:r>
      <w:r w:rsidR="008C1D17">
        <w:t xml:space="preserve"> </w:t>
      </w:r>
      <w:r>
        <w:t>&lt;6. (South, 18.1).</w:t>
      </w:r>
    </w:p>
    <w:p w:rsidR="00825CC4" w:rsidRDefault="00825CC4" w:rsidP="00103528">
      <w:pPr>
        <w:pStyle w:val="BodyText"/>
        <w:numPr>
          <w:ilvl w:val="0"/>
          <w:numId w:val="12"/>
        </w:numPr>
        <w:ind w:left="567" w:hanging="567"/>
      </w:pPr>
      <w:r>
        <w:t>Post discharge community care improved by 9</w:t>
      </w:r>
      <w:r w:rsidR="008C1D17">
        <w:t xml:space="preserve"> </w:t>
      </w:r>
      <w:r>
        <w:t>per cent in the North West to average 80.2 per</w:t>
      </w:r>
      <w:r w:rsidR="008C1D17">
        <w:t xml:space="preserve"> </w:t>
      </w:r>
      <w:r>
        <w:t>cent. The North improved by 2.9 per cent to</w:t>
      </w:r>
      <w:r w:rsidR="008C1D17">
        <w:t xml:space="preserve"> </w:t>
      </w:r>
      <w:r>
        <w:t>average 73.9 per cent for the 2015-2016 financial</w:t>
      </w:r>
      <w:r w:rsidR="008C1D17">
        <w:t xml:space="preserve"> </w:t>
      </w:r>
      <w:proofErr w:type="gramStart"/>
      <w:r>
        <w:t>year</w:t>
      </w:r>
      <w:proofErr w:type="gramEnd"/>
      <w:r>
        <w:t>. (South 82.4 per cent)</w:t>
      </w:r>
    </w:p>
    <w:p w:rsidR="008C1D17" w:rsidRDefault="00825CC4" w:rsidP="00103528">
      <w:pPr>
        <w:pStyle w:val="BodyText"/>
        <w:numPr>
          <w:ilvl w:val="0"/>
          <w:numId w:val="12"/>
        </w:numPr>
        <w:ind w:left="567" w:hanging="567"/>
      </w:pPr>
      <w:r>
        <w:t>28 day re admission rate is 10 per cent for the</w:t>
      </w:r>
      <w:r w:rsidR="008C1D17">
        <w:t xml:space="preserve"> </w:t>
      </w:r>
      <w:r>
        <w:t>North West an improvement from 10.8 per</w:t>
      </w:r>
      <w:r w:rsidR="008C1D17">
        <w:t xml:space="preserve"> </w:t>
      </w:r>
      <w:r>
        <w:t>cent and North is 19.2 per cent an improvement</w:t>
      </w:r>
      <w:r w:rsidR="008C1D17">
        <w:t xml:space="preserve"> </w:t>
      </w:r>
      <w:r>
        <w:t xml:space="preserve">from 20.6 per cent for 2015-2016 financial </w:t>
      </w:r>
      <w:proofErr w:type="gramStart"/>
      <w:r>
        <w:t>year</w:t>
      </w:r>
      <w:proofErr w:type="gramEnd"/>
      <w:r>
        <w:t>.</w:t>
      </w:r>
      <w:r w:rsidR="008C1D17">
        <w:t xml:space="preserve"> </w:t>
      </w:r>
      <w:r>
        <w:t>(South 12.6 per cent).</w:t>
      </w:r>
    </w:p>
    <w:p w:rsidR="00825CC4" w:rsidRDefault="00825CC4" w:rsidP="00103528">
      <w:pPr>
        <w:pStyle w:val="BodyText"/>
        <w:numPr>
          <w:ilvl w:val="0"/>
          <w:numId w:val="12"/>
        </w:numPr>
        <w:ind w:left="567" w:hanging="567"/>
      </w:pPr>
      <w:r>
        <w:t>Consumer representatives in Mental Health</w:t>
      </w:r>
      <w:r w:rsidR="008C1D17">
        <w:t xml:space="preserve"> </w:t>
      </w:r>
      <w:r>
        <w:t>Executive and the seclusion and restraint</w:t>
      </w:r>
      <w:r w:rsidR="008C1D17">
        <w:t xml:space="preserve"> </w:t>
      </w:r>
      <w:r>
        <w:t>committees.</w:t>
      </w:r>
    </w:p>
    <w:p w:rsidR="00825CC4" w:rsidRDefault="00825CC4" w:rsidP="008C1D17">
      <w:pPr>
        <w:pStyle w:val="Heading4"/>
      </w:pPr>
      <w:r>
        <w:t>Allied Health Services in the North</w:t>
      </w:r>
      <w:r w:rsidR="008C1D17">
        <w:t xml:space="preserve"> </w:t>
      </w:r>
      <w:r>
        <w:t>and North West</w:t>
      </w:r>
    </w:p>
    <w:p w:rsidR="00825CC4" w:rsidRDefault="00825CC4" w:rsidP="00825CC4">
      <w:pPr>
        <w:pStyle w:val="BodyText"/>
      </w:pPr>
      <w:r>
        <w:t>Allied Health Services include those provided by</w:t>
      </w:r>
      <w:r w:rsidR="008C1D17">
        <w:t xml:space="preserve"> </w:t>
      </w:r>
      <w:r>
        <w:t>the following professions:</w:t>
      </w:r>
    </w:p>
    <w:p w:rsidR="00825CC4" w:rsidRDefault="00825CC4" w:rsidP="00103528">
      <w:pPr>
        <w:pStyle w:val="BodyText"/>
        <w:numPr>
          <w:ilvl w:val="0"/>
          <w:numId w:val="12"/>
        </w:numPr>
        <w:ind w:left="567" w:hanging="567"/>
      </w:pPr>
      <w:r>
        <w:t>Nutrition and Dietetics</w:t>
      </w:r>
    </w:p>
    <w:p w:rsidR="00825CC4" w:rsidRDefault="00825CC4" w:rsidP="00103528">
      <w:pPr>
        <w:pStyle w:val="BodyText"/>
        <w:numPr>
          <w:ilvl w:val="0"/>
          <w:numId w:val="12"/>
        </w:numPr>
        <w:ind w:left="567" w:hanging="567"/>
      </w:pPr>
      <w:r>
        <w:t>Occupational Therapy</w:t>
      </w:r>
    </w:p>
    <w:p w:rsidR="00825CC4" w:rsidRDefault="00825CC4" w:rsidP="00103528">
      <w:pPr>
        <w:pStyle w:val="BodyText"/>
        <w:numPr>
          <w:ilvl w:val="0"/>
          <w:numId w:val="12"/>
        </w:numPr>
        <w:ind w:left="567" w:hanging="567"/>
      </w:pPr>
      <w:r>
        <w:t>Orthotics and Prosthetics</w:t>
      </w:r>
    </w:p>
    <w:p w:rsidR="00825CC4" w:rsidRDefault="00825CC4" w:rsidP="00103528">
      <w:pPr>
        <w:pStyle w:val="BodyText"/>
        <w:numPr>
          <w:ilvl w:val="0"/>
          <w:numId w:val="12"/>
        </w:numPr>
        <w:ind w:left="567" w:hanging="567"/>
      </w:pPr>
      <w:r>
        <w:t>Physiotherapy</w:t>
      </w:r>
    </w:p>
    <w:p w:rsidR="00825CC4" w:rsidRDefault="00825CC4" w:rsidP="00103528">
      <w:pPr>
        <w:pStyle w:val="BodyText"/>
        <w:numPr>
          <w:ilvl w:val="0"/>
          <w:numId w:val="12"/>
        </w:numPr>
        <w:ind w:left="567" w:hanging="567"/>
      </w:pPr>
      <w:r>
        <w:t>Podiatry</w:t>
      </w:r>
    </w:p>
    <w:p w:rsidR="00825CC4" w:rsidRDefault="00825CC4" w:rsidP="00103528">
      <w:pPr>
        <w:pStyle w:val="BodyText"/>
        <w:numPr>
          <w:ilvl w:val="0"/>
          <w:numId w:val="12"/>
        </w:numPr>
        <w:ind w:left="567" w:hanging="567"/>
      </w:pPr>
      <w:r>
        <w:t>Psychology</w:t>
      </w:r>
    </w:p>
    <w:p w:rsidR="00825CC4" w:rsidRDefault="00825CC4" w:rsidP="00103528">
      <w:pPr>
        <w:pStyle w:val="BodyText"/>
        <w:numPr>
          <w:ilvl w:val="0"/>
          <w:numId w:val="12"/>
        </w:numPr>
        <w:ind w:left="567" w:hanging="567"/>
      </w:pPr>
      <w:r>
        <w:t>Social Work</w:t>
      </w:r>
    </w:p>
    <w:p w:rsidR="00825CC4" w:rsidRPr="00825CC4" w:rsidRDefault="00825CC4" w:rsidP="00103528">
      <w:pPr>
        <w:pStyle w:val="BodyText"/>
        <w:numPr>
          <w:ilvl w:val="0"/>
          <w:numId w:val="12"/>
        </w:numPr>
        <w:ind w:left="567" w:hanging="567"/>
      </w:pPr>
      <w:r>
        <w:t>Speech Pathology</w:t>
      </w:r>
    </w:p>
    <w:p w:rsidR="00825CC4" w:rsidRDefault="00825CC4" w:rsidP="00825CC4">
      <w:pPr>
        <w:pStyle w:val="BodyText"/>
      </w:pPr>
      <w:r>
        <w:t>They also oversee the NW Elder Care Team, the</w:t>
      </w:r>
      <w:r w:rsidR="008C1D17">
        <w:t xml:space="preserve"> </w:t>
      </w:r>
      <w:r>
        <w:t>North and North West chaplains and pastoral care</w:t>
      </w:r>
    </w:p>
    <w:p w:rsidR="00825CC4" w:rsidRDefault="00825CC4" w:rsidP="00825CC4">
      <w:pPr>
        <w:pStyle w:val="BodyText"/>
      </w:pPr>
      <w:proofErr w:type="gramStart"/>
      <w:r>
        <w:t>volunteers</w:t>
      </w:r>
      <w:proofErr w:type="gramEnd"/>
      <w:r>
        <w:t>, the NW Transitional Care Program</w:t>
      </w:r>
      <w:r w:rsidR="008C1D17">
        <w:t xml:space="preserve"> </w:t>
      </w:r>
      <w:r>
        <w:t>(TCP), and the NW Rehabilitation Service, and the</w:t>
      </w:r>
    </w:p>
    <w:p w:rsidR="00825CC4" w:rsidRDefault="00825CC4" w:rsidP="00825CC4">
      <w:pPr>
        <w:pStyle w:val="BodyText"/>
      </w:pPr>
      <w:proofErr w:type="gramStart"/>
      <w:r>
        <w:t>two</w:t>
      </w:r>
      <w:proofErr w:type="gramEnd"/>
      <w:r>
        <w:t xml:space="preserve"> Community Equipment Schemes (CES).</w:t>
      </w:r>
    </w:p>
    <w:p w:rsidR="008C1D17" w:rsidRDefault="00825CC4" w:rsidP="00825CC4">
      <w:pPr>
        <w:pStyle w:val="BodyText"/>
      </w:pPr>
      <w:r>
        <w:t>Services are provided across Tasmanian’s North</w:t>
      </w:r>
      <w:r w:rsidR="008C1D17">
        <w:t xml:space="preserve"> </w:t>
      </w:r>
      <w:r>
        <w:t>and North West through the following main</w:t>
      </w:r>
      <w:r w:rsidR="008C1D17">
        <w:t xml:space="preserve"> </w:t>
      </w:r>
      <w:r>
        <w:t>sites: Launceston General Hospital, North</w:t>
      </w:r>
      <w:r w:rsidR="008C1D17">
        <w:t xml:space="preserve"> </w:t>
      </w:r>
      <w:r>
        <w:t>West Regional Hospital, Mersey Community</w:t>
      </w:r>
      <w:r w:rsidR="008C1D17">
        <w:t xml:space="preserve"> </w:t>
      </w:r>
      <w:r>
        <w:t>Hospital, and rural inpatient facilities and</w:t>
      </w:r>
      <w:r w:rsidR="008C1D17">
        <w:t xml:space="preserve"> </w:t>
      </w:r>
      <w:r>
        <w:t>Community Health facilities. Outreach services</w:t>
      </w:r>
      <w:r w:rsidR="008C1D17">
        <w:t xml:space="preserve"> </w:t>
      </w:r>
      <w:r>
        <w:t>are also provided to the three North West</w:t>
      </w:r>
      <w:r w:rsidR="008C1D17">
        <w:t xml:space="preserve"> </w:t>
      </w:r>
      <w:r>
        <w:t xml:space="preserve">rural hospitals in </w:t>
      </w:r>
      <w:r>
        <w:lastRenderedPageBreak/>
        <w:t>Smithton, Queenstown and</w:t>
      </w:r>
      <w:r w:rsidR="008C1D17">
        <w:t xml:space="preserve"> </w:t>
      </w:r>
      <w:r>
        <w:t>King Island, as well as a number of community</w:t>
      </w:r>
      <w:r w:rsidR="008C1D17">
        <w:t xml:space="preserve"> </w:t>
      </w:r>
      <w:r>
        <w:t>health centres. A mix of onsite and outreach</w:t>
      </w:r>
      <w:r w:rsidR="008C1D17">
        <w:t xml:space="preserve"> </w:t>
      </w:r>
      <w:r>
        <w:t>services are provided or located at St Helens, St</w:t>
      </w:r>
      <w:r w:rsidR="008C1D17">
        <w:t xml:space="preserve"> </w:t>
      </w:r>
      <w:r>
        <w:t>Marys, Scottsdale, George Town, Beaconsfield,</w:t>
      </w:r>
      <w:r w:rsidR="008C1D17">
        <w:t xml:space="preserve"> </w:t>
      </w:r>
      <w:r>
        <w:t>Campbell Town, Deloraine, Longford and</w:t>
      </w:r>
      <w:r w:rsidR="008C1D17">
        <w:t xml:space="preserve"> </w:t>
      </w:r>
      <w:r>
        <w:t>Westbury.</w:t>
      </w:r>
      <w:r w:rsidR="008C1D17">
        <w:t xml:space="preserve"> </w:t>
      </w:r>
    </w:p>
    <w:p w:rsidR="008C1D17" w:rsidRDefault="00825CC4" w:rsidP="00825CC4">
      <w:pPr>
        <w:pStyle w:val="BodyText"/>
      </w:pPr>
      <w:r>
        <w:t>The Social Work department has successfully</w:t>
      </w:r>
      <w:r w:rsidR="008C1D17">
        <w:t xml:space="preserve"> </w:t>
      </w:r>
      <w:r>
        <w:t>led a joint “Health Navigator” project with</w:t>
      </w:r>
      <w:r w:rsidR="008C1D17">
        <w:t xml:space="preserve"> </w:t>
      </w:r>
      <w:r>
        <w:t>the Emergency Department at NWRH during</w:t>
      </w:r>
      <w:r w:rsidR="008C1D17">
        <w:t xml:space="preserve"> </w:t>
      </w:r>
      <w:r>
        <w:t>the past year. Through a successful grant</w:t>
      </w:r>
      <w:r w:rsidR="008C1D17">
        <w:t xml:space="preserve"> </w:t>
      </w:r>
      <w:r>
        <w:t>from Primary Health Tasmania, the project</w:t>
      </w:r>
      <w:r w:rsidR="008C1D17">
        <w:t xml:space="preserve"> </w:t>
      </w:r>
      <w:r>
        <w:t>reviewed people with chronic health conditions</w:t>
      </w:r>
      <w:r w:rsidR="008C1D17">
        <w:t xml:space="preserve"> </w:t>
      </w:r>
      <w:r>
        <w:t>presenting to the Emergency Department.</w:t>
      </w:r>
      <w:r w:rsidR="008C1D17">
        <w:t xml:space="preserve"> </w:t>
      </w:r>
      <w:r w:rsidR="008C1D17">
        <w:br/>
      </w:r>
      <w:r>
        <w:t>Patient experience surveys and staff surveys</w:t>
      </w:r>
      <w:r w:rsidR="008C1D17">
        <w:t xml:space="preserve"> </w:t>
      </w:r>
      <w:r>
        <w:t>were completed as part of the project. There</w:t>
      </w:r>
      <w:r w:rsidR="008C1D17">
        <w:t xml:space="preserve"> </w:t>
      </w:r>
      <w:r>
        <w:t>was a noted lack of confidence from our</w:t>
      </w:r>
      <w:r w:rsidR="008C1D17">
        <w:t xml:space="preserve"> </w:t>
      </w:r>
      <w:r>
        <w:t>patients in their knowledge and awareness of</w:t>
      </w:r>
      <w:r w:rsidR="008C1D17">
        <w:t xml:space="preserve"> </w:t>
      </w:r>
      <w:r>
        <w:t>their own chronic health condition. The staff</w:t>
      </w:r>
      <w:r w:rsidR="008C1D17">
        <w:t xml:space="preserve"> </w:t>
      </w:r>
      <w:r>
        <w:t>survey identified that more education and</w:t>
      </w:r>
      <w:r w:rsidR="008C1D17">
        <w:t xml:space="preserve"> </w:t>
      </w:r>
      <w:r>
        <w:t>training is required on the self-management</w:t>
      </w:r>
      <w:r w:rsidR="008C1D17">
        <w:t xml:space="preserve"> </w:t>
      </w:r>
      <w:r>
        <w:t xml:space="preserve">of chronic </w:t>
      </w:r>
      <w:proofErr w:type="gramStart"/>
      <w:r>
        <w:t xml:space="preserve">health </w:t>
      </w:r>
      <w:r w:rsidR="008C1D17">
        <w:t xml:space="preserve"> c</w:t>
      </w:r>
      <w:r>
        <w:t>onditions</w:t>
      </w:r>
      <w:proofErr w:type="gramEnd"/>
      <w:r>
        <w:t>. Staff working in</w:t>
      </w:r>
      <w:r w:rsidR="008C1D17">
        <w:t xml:space="preserve"> </w:t>
      </w:r>
      <w:r>
        <w:t>our Emergency Departments also learnt more</w:t>
      </w:r>
      <w:r w:rsidR="008C1D17">
        <w:t xml:space="preserve"> </w:t>
      </w:r>
      <w:r>
        <w:t>about the impact health literacy levels have on a</w:t>
      </w:r>
      <w:r w:rsidR="008C1D17">
        <w:t xml:space="preserve"> </w:t>
      </w:r>
      <w:r>
        <w:t>person’s ability to manage their own health.</w:t>
      </w:r>
    </w:p>
    <w:p w:rsidR="008C1D17" w:rsidRDefault="00825CC4" w:rsidP="00825CC4">
      <w:pPr>
        <w:pStyle w:val="BodyText"/>
      </w:pPr>
      <w:r>
        <w:t>In addition to the Health Navigator project,</w:t>
      </w:r>
      <w:r w:rsidR="008C1D17">
        <w:t xml:space="preserve"> </w:t>
      </w:r>
      <w:r>
        <w:t>social work has developed a health literacy plan</w:t>
      </w:r>
      <w:r w:rsidR="008C1D17">
        <w:t xml:space="preserve"> </w:t>
      </w:r>
      <w:r>
        <w:t>and campaign with the message “Small Steps, Big</w:t>
      </w:r>
      <w:r w:rsidR="008C1D17">
        <w:t xml:space="preserve"> </w:t>
      </w:r>
      <w:r>
        <w:t>Changes”. The campaign has commenced with a</w:t>
      </w:r>
      <w:r w:rsidR="008C1D17">
        <w:t xml:space="preserve"> </w:t>
      </w:r>
      <w:r>
        <w:t>number of public forums in the North West.</w:t>
      </w:r>
      <w:r w:rsidR="008C1D17">
        <w:t xml:space="preserve"> </w:t>
      </w:r>
    </w:p>
    <w:p w:rsidR="00825CC4" w:rsidRDefault="00825CC4" w:rsidP="00825CC4">
      <w:pPr>
        <w:pStyle w:val="BodyText"/>
      </w:pPr>
      <w:r>
        <w:t>Allied Health have been involved in major</w:t>
      </w:r>
      <w:r w:rsidR="008C1D17">
        <w:t xml:space="preserve"> </w:t>
      </w:r>
      <w:r>
        <w:t>clinical redesign within medicine, surgery,</w:t>
      </w:r>
      <w:r w:rsidR="008C1D17">
        <w:t xml:space="preserve"> </w:t>
      </w:r>
      <w:r>
        <w:t xml:space="preserve">and respiratory. </w:t>
      </w:r>
      <w:r w:rsidR="008C1D17">
        <w:t xml:space="preserve"> O</w:t>
      </w:r>
      <w:r>
        <w:t>ccupational therapy and</w:t>
      </w:r>
      <w:r w:rsidR="008C1D17">
        <w:t xml:space="preserve"> </w:t>
      </w:r>
      <w:r>
        <w:t>physiotherapy in Launceston General Hospital</w:t>
      </w:r>
      <w:r w:rsidR="008C1D17">
        <w:t xml:space="preserve"> </w:t>
      </w:r>
      <w:r>
        <w:t>pre-admission clinics identify issues which may</w:t>
      </w:r>
      <w:r w:rsidR="008C1D17">
        <w:t xml:space="preserve"> </w:t>
      </w:r>
      <w:r>
        <w:t>affect the patient’s recovery in hospital, and</w:t>
      </w:r>
      <w:r w:rsidR="008C1D17">
        <w:t xml:space="preserve"> </w:t>
      </w:r>
      <w:r>
        <w:t>prepare the patient for their recovery postsurgery.</w:t>
      </w:r>
      <w:r w:rsidR="008C1D17">
        <w:br/>
      </w:r>
      <w:r>
        <w:t>This allows more time for the ward</w:t>
      </w:r>
      <w:r w:rsidR="008C1D17">
        <w:t xml:space="preserve"> </w:t>
      </w:r>
      <w:r>
        <w:t>therapists to focus on patients with greater</w:t>
      </w:r>
      <w:r w:rsidR="008C1D17">
        <w:t xml:space="preserve"> </w:t>
      </w:r>
      <w:r>
        <w:t>complexity or following trauma. Joint assessment</w:t>
      </w:r>
      <w:r w:rsidR="00F021C2">
        <w:t xml:space="preserve"> </w:t>
      </w:r>
      <w:r>
        <w:t>clinics are being discussed in the Launceston</w:t>
      </w:r>
      <w:r w:rsidR="00F021C2">
        <w:t xml:space="preserve"> </w:t>
      </w:r>
      <w:r>
        <w:t>General Hospital as there is strong evidence that</w:t>
      </w:r>
      <w:r w:rsidR="00F021C2">
        <w:t xml:space="preserve"> </w:t>
      </w:r>
      <w:r>
        <w:t>they are able to provide good patient outcomes</w:t>
      </w:r>
      <w:r w:rsidR="00F021C2">
        <w:t xml:space="preserve"> </w:t>
      </w:r>
      <w:r>
        <w:t>and divert from elective surgical waitlists.</w:t>
      </w:r>
    </w:p>
    <w:p w:rsidR="00825CC4" w:rsidRDefault="00825CC4" w:rsidP="00825CC4">
      <w:pPr>
        <w:pStyle w:val="BodyText"/>
      </w:pPr>
      <w:r>
        <w:t>Positive patient outcomes are being reported</w:t>
      </w:r>
      <w:r w:rsidR="00F021C2">
        <w:t xml:space="preserve"> </w:t>
      </w:r>
      <w:r>
        <w:t>from changes in physiotherapy care models for</w:t>
      </w:r>
      <w:r w:rsidR="00F021C2">
        <w:t xml:space="preserve"> </w:t>
      </w:r>
      <w:r>
        <w:t>inpatients with exacerbation of COPD and for</w:t>
      </w:r>
      <w:r w:rsidR="00F021C2">
        <w:t xml:space="preserve"> </w:t>
      </w:r>
      <w:r>
        <w:t>those undergoing major abdominal surgery.</w:t>
      </w:r>
    </w:p>
    <w:p w:rsidR="00825CC4" w:rsidRDefault="00825CC4" w:rsidP="00825CC4">
      <w:pPr>
        <w:pStyle w:val="BodyText"/>
      </w:pPr>
      <w:r>
        <w:t>Launceston General Hospital and Primary Health</w:t>
      </w:r>
      <w:r w:rsidR="00F021C2">
        <w:t xml:space="preserve"> </w:t>
      </w:r>
      <w:r>
        <w:t>North won awards at last year’s Tasmanian Allied</w:t>
      </w:r>
      <w:r w:rsidR="00F021C2">
        <w:t xml:space="preserve"> </w:t>
      </w:r>
      <w:r>
        <w:t>Health Professional Advancement Committee</w:t>
      </w:r>
      <w:r w:rsidR="00F021C2">
        <w:t xml:space="preserve"> </w:t>
      </w:r>
      <w:r>
        <w:t>(TAHPAC) Awards for innovative programs</w:t>
      </w:r>
      <w:r w:rsidR="00F021C2">
        <w:t xml:space="preserve"> </w:t>
      </w:r>
      <w:r>
        <w:t>provided in the North of the state:</w:t>
      </w:r>
    </w:p>
    <w:p w:rsidR="00F021C2" w:rsidRDefault="00825CC4" w:rsidP="00103528">
      <w:pPr>
        <w:pStyle w:val="BodyText"/>
        <w:numPr>
          <w:ilvl w:val="0"/>
          <w:numId w:val="12"/>
        </w:numPr>
        <w:ind w:left="567" w:hanging="567"/>
      </w:pPr>
      <w:r>
        <w:t>Overcoming Pain and Living Life (OPALL)</w:t>
      </w:r>
      <w:r w:rsidR="00F021C2">
        <w:t xml:space="preserve"> </w:t>
      </w:r>
      <w:r>
        <w:t>submitted by Michelle Nicholson, Senior Social</w:t>
      </w:r>
      <w:r w:rsidR="00F021C2">
        <w:t xml:space="preserve"> </w:t>
      </w:r>
      <w:r>
        <w:t>Worker, Tasmanian Health Service - North was</w:t>
      </w:r>
      <w:r w:rsidR="00F021C2">
        <w:t xml:space="preserve"> </w:t>
      </w:r>
      <w:r>
        <w:t>awarded the Collaborative Leadership Initiatives</w:t>
      </w:r>
      <w:r w:rsidR="00F021C2">
        <w:t xml:space="preserve"> </w:t>
      </w:r>
      <w:r>
        <w:t>Award. This project began as a multidisciplinary</w:t>
      </w:r>
      <w:r w:rsidR="00F021C2">
        <w:t xml:space="preserve"> </w:t>
      </w:r>
      <w:r>
        <w:t>initiative between physiotherapy and social</w:t>
      </w:r>
      <w:r w:rsidR="00F021C2">
        <w:t xml:space="preserve"> </w:t>
      </w:r>
      <w:r>
        <w:t>work practitioners and involved development,</w:t>
      </w:r>
      <w:r w:rsidR="00F021C2">
        <w:t xml:space="preserve"> </w:t>
      </w:r>
      <w:r>
        <w:t>implementation, and evaluation of the first</w:t>
      </w:r>
      <w:r w:rsidR="00F021C2">
        <w:t xml:space="preserve"> </w:t>
      </w:r>
      <w:r>
        <w:t>Northern Tasmanian persistent pain program</w:t>
      </w:r>
      <w:r w:rsidR="00F021C2">
        <w:t xml:space="preserve"> </w:t>
      </w:r>
      <w:r>
        <w:t>based on the latest bio-psychosocial research</w:t>
      </w:r>
      <w:r w:rsidR="00F021C2">
        <w:t xml:space="preserve"> </w:t>
      </w:r>
      <w:r>
        <w:t>and literature.</w:t>
      </w:r>
      <w:r w:rsidR="00F021C2">
        <w:t xml:space="preserve"> </w:t>
      </w:r>
    </w:p>
    <w:p w:rsidR="009F7BB1" w:rsidRDefault="00825CC4" w:rsidP="00103528">
      <w:pPr>
        <w:pStyle w:val="BodyText"/>
        <w:numPr>
          <w:ilvl w:val="0"/>
          <w:numId w:val="12"/>
        </w:numPr>
        <w:ind w:left="567" w:hanging="567"/>
      </w:pPr>
      <w:r>
        <w:t>The Consumer Centred Pathways Award</w:t>
      </w:r>
      <w:r w:rsidR="00F021C2">
        <w:t xml:space="preserve"> </w:t>
      </w:r>
      <w:r>
        <w:t>went to “Food for Thought” (FFT). It is a</w:t>
      </w:r>
      <w:r w:rsidR="00F021C2">
        <w:t xml:space="preserve"> </w:t>
      </w:r>
      <w:r>
        <w:t>new interdisciplinary program for obesity</w:t>
      </w:r>
      <w:r w:rsidR="00F021C2">
        <w:t xml:space="preserve"> </w:t>
      </w:r>
      <w:r>
        <w:t>management run within the Northern Integrated</w:t>
      </w:r>
      <w:r w:rsidR="00F021C2">
        <w:t xml:space="preserve"> </w:t>
      </w:r>
      <w:r>
        <w:t>Care Service (NICS), Tasmanian Health Service.</w:t>
      </w:r>
      <w:r w:rsidR="009F7BB1">
        <w:br/>
      </w:r>
      <w:r>
        <w:t>Dr John Mercer, Chronic Condition Psychologist</w:t>
      </w:r>
      <w:r w:rsidR="009F7BB1">
        <w:t xml:space="preserve"> </w:t>
      </w:r>
      <w:r>
        <w:t>has presented his work on ‘Psycho-Dietetic</w:t>
      </w:r>
      <w:r w:rsidR="009F7BB1">
        <w:t xml:space="preserve"> </w:t>
      </w:r>
      <w:r>
        <w:t>Intervention for Obesity’ in Australia, Vienna and</w:t>
      </w:r>
      <w:r w:rsidR="009F7BB1">
        <w:t xml:space="preserve"> </w:t>
      </w:r>
      <w:r>
        <w:t>the UK.</w:t>
      </w:r>
    </w:p>
    <w:p w:rsidR="009F7BB1" w:rsidRDefault="00825CC4" w:rsidP="00103528">
      <w:pPr>
        <w:pStyle w:val="BodyText"/>
        <w:numPr>
          <w:ilvl w:val="0"/>
          <w:numId w:val="12"/>
        </w:numPr>
        <w:ind w:left="567" w:hanging="567"/>
      </w:pPr>
      <w:r>
        <w:t>Implementation of research findings for the</w:t>
      </w:r>
      <w:r w:rsidR="009F7BB1">
        <w:t xml:space="preserve"> </w:t>
      </w:r>
      <w:r>
        <w:t>benefit of patients was awarded to Optimising</w:t>
      </w:r>
      <w:r w:rsidR="009F7BB1">
        <w:t xml:space="preserve"> </w:t>
      </w:r>
      <w:r>
        <w:t>Health Literacy (OPHELIA): a process to address</w:t>
      </w:r>
      <w:r w:rsidR="009F7BB1">
        <w:t xml:space="preserve"> </w:t>
      </w:r>
      <w:r>
        <w:t>health literacy for Tasmanians with a chronic</w:t>
      </w:r>
      <w:r w:rsidR="009F7BB1">
        <w:t xml:space="preserve"> </w:t>
      </w:r>
      <w:r>
        <w:t>disease. This project was conducted within the</w:t>
      </w:r>
      <w:r w:rsidR="009F7BB1">
        <w:t xml:space="preserve"> </w:t>
      </w:r>
      <w:r>
        <w:t>Cardiac Rehabilitation program in the Northern</w:t>
      </w:r>
      <w:r w:rsidR="009F7BB1">
        <w:t xml:space="preserve"> </w:t>
      </w:r>
      <w:r>
        <w:t>Integrated Care Services, run by physiotherapy.</w:t>
      </w:r>
    </w:p>
    <w:p w:rsidR="009F7BB1" w:rsidRDefault="00825CC4" w:rsidP="00103528">
      <w:pPr>
        <w:pStyle w:val="BodyText"/>
        <w:numPr>
          <w:ilvl w:val="0"/>
          <w:numId w:val="12"/>
        </w:numPr>
        <w:ind w:left="567" w:hanging="567"/>
      </w:pPr>
      <w:r>
        <w:t>Research, training and education: Two staff in the</w:t>
      </w:r>
      <w:r w:rsidR="009F7BB1">
        <w:t xml:space="preserve"> </w:t>
      </w:r>
      <w:r>
        <w:t xml:space="preserve">LGH </w:t>
      </w:r>
      <w:proofErr w:type="gramStart"/>
      <w:r>
        <w:t>are</w:t>
      </w:r>
      <w:proofErr w:type="gramEnd"/>
      <w:r>
        <w:t xml:space="preserve"> undertaking their PhD studies, and one</w:t>
      </w:r>
      <w:r w:rsidR="009F7BB1">
        <w:t xml:space="preserve"> </w:t>
      </w:r>
      <w:r>
        <w:t>member of staff graduated with his PhD last year.</w:t>
      </w:r>
    </w:p>
    <w:p w:rsidR="00825CC4" w:rsidRDefault="00825CC4" w:rsidP="00103528">
      <w:pPr>
        <w:pStyle w:val="BodyText"/>
        <w:numPr>
          <w:ilvl w:val="0"/>
          <w:numId w:val="12"/>
        </w:numPr>
        <w:ind w:left="567" w:hanging="567"/>
      </w:pPr>
      <w:r>
        <w:lastRenderedPageBreak/>
        <w:t>Research is being actively undertaken in</w:t>
      </w:r>
      <w:r w:rsidR="009F7BB1">
        <w:t xml:space="preserve"> </w:t>
      </w:r>
      <w:r>
        <w:t>conjunction with Department of Anaesthetics</w:t>
      </w:r>
      <w:r w:rsidR="009F7BB1">
        <w:t xml:space="preserve"> </w:t>
      </w:r>
      <w:r>
        <w:t>into the prevention of respiratory complications</w:t>
      </w:r>
      <w:r w:rsidR="009F7BB1">
        <w:t xml:space="preserve"> </w:t>
      </w:r>
      <w:r>
        <w:t>following major abdominal surgery. Ianthe Boden,</w:t>
      </w:r>
      <w:r w:rsidR="009F7BB1">
        <w:t xml:space="preserve"> </w:t>
      </w:r>
      <w:r>
        <w:t xml:space="preserve">Clinical </w:t>
      </w:r>
      <w:proofErr w:type="gramStart"/>
      <w:r>
        <w:t xml:space="preserve">Lead </w:t>
      </w:r>
      <w:r w:rsidR="009F7BB1">
        <w:t xml:space="preserve"> p</w:t>
      </w:r>
      <w:r>
        <w:t>hysiotherapist</w:t>
      </w:r>
      <w:proofErr w:type="gramEnd"/>
      <w:r>
        <w:t>, was recently</w:t>
      </w:r>
      <w:r w:rsidR="009F7BB1">
        <w:t xml:space="preserve"> </w:t>
      </w:r>
      <w:r>
        <w:t>awarded Australian and New Zealand College</w:t>
      </w:r>
      <w:r w:rsidR="009F7BB1">
        <w:t xml:space="preserve"> </w:t>
      </w:r>
      <w:r>
        <w:t>of Anaesthetists (ANZCA) Open ePoster</w:t>
      </w:r>
      <w:r w:rsidR="009F7BB1">
        <w:t xml:space="preserve"> </w:t>
      </w:r>
      <w:r>
        <w:t>Prize ASM 2016 (New Zealand) and the “Jill</w:t>
      </w:r>
      <w:r w:rsidR="009F7BB1">
        <w:t xml:space="preserve"> </w:t>
      </w:r>
      <w:r>
        <w:t>Nosworthy” Award for Excellence in Research,</w:t>
      </w:r>
      <w:r w:rsidR="009F7BB1">
        <w:t xml:space="preserve"> </w:t>
      </w:r>
      <w:r>
        <w:t>Australian Physiotherapy Association Conference</w:t>
      </w:r>
      <w:r w:rsidR="009F7BB1">
        <w:t xml:space="preserve"> </w:t>
      </w:r>
      <w:r>
        <w:t>2015.</w:t>
      </w:r>
    </w:p>
    <w:p w:rsidR="00825CC4" w:rsidRDefault="00825CC4" w:rsidP="00825CC4">
      <w:pPr>
        <w:pStyle w:val="BodyText"/>
      </w:pPr>
      <w:r>
        <w:t>Statistics gathered in 2015-16 show Allied Health</w:t>
      </w:r>
      <w:r w:rsidR="009F7BB1">
        <w:t xml:space="preserve"> </w:t>
      </w:r>
      <w:r>
        <w:t>Services in the North West have been involved</w:t>
      </w:r>
      <w:r w:rsidR="009F7BB1">
        <w:t xml:space="preserve"> </w:t>
      </w:r>
      <w:r>
        <w:t>in 21 041 outpatient appointments, 36 530</w:t>
      </w:r>
      <w:r w:rsidR="009F7BB1">
        <w:t xml:space="preserve"> </w:t>
      </w:r>
      <w:r>
        <w:t>inpatient consultations, and 10 190 attendances</w:t>
      </w:r>
      <w:r w:rsidR="009F7BB1">
        <w:t xml:space="preserve"> </w:t>
      </w:r>
      <w:r>
        <w:t>for community patients. In addition there were 5</w:t>
      </w:r>
      <w:r w:rsidR="009F7BB1">
        <w:t xml:space="preserve"> </w:t>
      </w:r>
      <w:r>
        <w:t>832 attendances in group programs provided by</w:t>
      </w:r>
      <w:r w:rsidR="009F7BB1">
        <w:t xml:space="preserve"> </w:t>
      </w:r>
      <w:r>
        <w:t>allied health across the region. In the North, there</w:t>
      </w:r>
      <w:r w:rsidR="009F7BB1">
        <w:t xml:space="preserve"> </w:t>
      </w:r>
      <w:r>
        <w:t>were 52 883 outpatient appointments, 96,206</w:t>
      </w:r>
      <w:r w:rsidR="009F7BB1">
        <w:t xml:space="preserve"> </w:t>
      </w:r>
      <w:r>
        <w:t>inpatient consultations, and 23 576 attendances for</w:t>
      </w:r>
      <w:r w:rsidR="009F7BB1">
        <w:t xml:space="preserve"> </w:t>
      </w:r>
      <w:r>
        <w:t>community clients. In addition, there were 16 211</w:t>
      </w:r>
      <w:r w:rsidR="009F7BB1">
        <w:t xml:space="preserve"> </w:t>
      </w:r>
      <w:r>
        <w:t>group attendances across the North.</w:t>
      </w:r>
    </w:p>
    <w:p w:rsidR="00825CC4" w:rsidRDefault="00825CC4" w:rsidP="00825CC4">
      <w:pPr>
        <w:pStyle w:val="BodyText"/>
      </w:pPr>
      <w:r>
        <w:t>The service has and continues to provide</w:t>
      </w:r>
      <w:r w:rsidR="009F7BB1">
        <w:t xml:space="preserve"> </w:t>
      </w:r>
      <w:r>
        <w:t>leadership within the organisation for progressing</w:t>
      </w:r>
      <w:r w:rsidR="009F7BB1">
        <w:t xml:space="preserve"> </w:t>
      </w:r>
      <w:r>
        <w:t>work on preventing falls and harm from falls as part</w:t>
      </w:r>
      <w:r w:rsidR="009F7BB1">
        <w:t xml:space="preserve"> </w:t>
      </w:r>
      <w:r>
        <w:t>of the National Standards for Safety and Quality in</w:t>
      </w:r>
      <w:r w:rsidR="009F7BB1">
        <w:t xml:space="preserve"> </w:t>
      </w:r>
      <w:r>
        <w:t>the North and North West. A number of policy</w:t>
      </w:r>
      <w:r w:rsidR="009F7BB1">
        <w:t xml:space="preserve"> </w:t>
      </w:r>
      <w:r>
        <w:t>and protocol documents have been developed</w:t>
      </w:r>
      <w:r w:rsidR="009F7BB1">
        <w:t xml:space="preserve"> </w:t>
      </w:r>
      <w:r>
        <w:t>and implemented during the year. The North</w:t>
      </w:r>
      <w:r w:rsidR="009F7BB1">
        <w:t xml:space="preserve"> </w:t>
      </w:r>
      <w:r>
        <w:t>West Falls Working Party has also developed</w:t>
      </w:r>
      <w:r w:rsidR="009F7BB1">
        <w:t xml:space="preserve"> </w:t>
      </w:r>
      <w:r>
        <w:t>more robust processes to review falls incidents and</w:t>
      </w:r>
      <w:r w:rsidR="009F7BB1">
        <w:t xml:space="preserve"> </w:t>
      </w:r>
      <w:r>
        <w:t>provide feedback to clinical areas.</w:t>
      </w:r>
    </w:p>
    <w:p w:rsidR="009F7BB1" w:rsidRDefault="009F7BB1" w:rsidP="009F7BB1">
      <w:pPr>
        <w:pStyle w:val="Heading4"/>
      </w:pPr>
      <w:r>
        <w:t>Patient comfort and privacy improved in new clinic</w:t>
      </w:r>
    </w:p>
    <w:p w:rsidR="009F7BB1" w:rsidRDefault="009F7BB1" w:rsidP="009F7BB1">
      <w:pPr>
        <w:pStyle w:val="BodyText"/>
      </w:pPr>
      <w:r>
        <w:t>Volunteers from Central Auxiliary of the Launceston General Hospital have made a major contribution to the redevelopment of the hospital’s Specialist Clinic.</w:t>
      </w:r>
    </w:p>
    <w:p w:rsidR="009F7BB1" w:rsidRDefault="009F7BB1" w:rsidP="009F7BB1">
      <w:pPr>
        <w:pStyle w:val="BodyText"/>
      </w:pPr>
      <w:r>
        <w:t>Their hard work, operating the hospital’s kiosk seven-days-a-week, helped raise $140,000 toward the overall Tasmanian Health Service project.</w:t>
      </w:r>
    </w:p>
    <w:p w:rsidR="009F7BB1" w:rsidRDefault="009F7BB1" w:rsidP="009F7BB1">
      <w:pPr>
        <w:pStyle w:val="BodyText"/>
      </w:pPr>
      <w:r>
        <w:t>Extensive planning went into the development of the space.</w:t>
      </w:r>
    </w:p>
    <w:p w:rsidR="009F7BB1" w:rsidRDefault="009F7BB1" w:rsidP="009F7BB1">
      <w:pPr>
        <w:pStyle w:val="BodyText"/>
      </w:pPr>
      <w:r>
        <w:t>Feedback had been received that the previous clinic arrangement of one central waiting area did not support the desired level of patient comfort or privacy for clients.</w:t>
      </w:r>
    </w:p>
    <w:p w:rsidR="009F7BB1" w:rsidRDefault="009F7BB1" w:rsidP="009F7BB1">
      <w:pPr>
        <w:pStyle w:val="BodyText"/>
      </w:pPr>
      <w:r>
        <w:t>The new ‘pod’ model allows waiting areas to be divided into smaller groups with individual receptions and suites of rooms, and a distinctly different material palette to that used in the remainder of the hospital gives it a less clinical feel.</w:t>
      </w:r>
    </w:p>
    <w:p w:rsidR="009F7BB1" w:rsidRDefault="009F7BB1" w:rsidP="009F7BB1">
      <w:pPr>
        <w:pStyle w:val="BodyText"/>
      </w:pPr>
      <w:r>
        <w:t>Colour coding is also used so as to make it easier for patients to find their way around.</w:t>
      </w:r>
    </w:p>
    <w:p w:rsidR="006B5530" w:rsidRDefault="006B5530" w:rsidP="009F7BB1">
      <w:pPr>
        <w:pStyle w:val="Heading3"/>
        <w:sectPr w:rsidR="006B5530" w:rsidSect="00025D0E">
          <w:pgSz w:w="11906" w:h="16838"/>
          <w:pgMar w:top="1440" w:right="707" w:bottom="1440" w:left="1134" w:header="708" w:footer="708" w:gutter="0"/>
          <w:cols w:space="708"/>
          <w:docGrid w:linePitch="360"/>
        </w:sectPr>
      </w:pPr>
    </w:p>
    <w:p w:rsidR="00F153EE" w:rsidRDefault="009F7BB1" w:rsidP="006B5530">
      <w:pPr>
        <w:pStyle w:val="Heading2"/>
      </w:pPr>
      <w:bookmarkStart w:id="23" w:name="_Toc472581963"/>
      <w:r>
        <w:lastRenderedPageBreak/>
        <w:t>Our People</w:t>
      </w:r>
      <w:bookmarkEnd w:id="23"/>
    </w:p>
    <w:p w:rsidR="009F7BB1" w:rsidRDefault="009F7BB1" w:rsidP="009F7BB1">
      <w:pPr>
        <w:pStyle w:val="BodyText"/>
      </w:pPr>
      <w:r>
        <w:t xml:space="preserve">There are many challenges facing the THS as it strives to provide high standard health services to </w:t>
      </w:r>
      <w:proofErr w:type="gramStart"/>
      <w:r>
        <w:t>the  community</w:t>
      </w:r>
      <w:proofErr w:type="gramEnd"/>
      <w:r>
        <w:t xml:space="preserve">. With both an ageing population and workforce, the demands on the services are set to increase as a significant proportion of the staff exit the workforce. The economic, industrial and political environments provide additional challenges to the organisation. </w:t>
      </w:r>
    </w:p>
    <w:p w:rsidR="009F7BB1" w:rsidRDefault="009F7BB1" w:rsidP="009F7BB1">
      <w:pPr>
        <w:pStyle w:val="BodyText"/>
      </w:pPr>
      <w:r>
        <w:t>Therefore workforce planning is essential to ensure the provision of health services into the future.</w:t>
      </w:r>
    </w:p>
    <w:p w:rsidR="009F7BB1" w:rsidRDefault="009F7BB1" w:rsidP="009F7BB1">
      <w:pPr>
        <w:pStyle w:val="BodyText"/>
      </w:pPr>
      <w:r>
        <w:t>The workforce is pivotal to how successful we are in providing that service. The workforce contributes to the success of the organisation by:</w:t>
      </w:r>
    </w:p>
    <w:p w:rsidR="009F7BB1" w:rsidRDefault="009F7BB1" w:rsidP="00103528">
      <w:pPr>
        <w:pStyle w:val="BodyText"/>
        <w:numPr>
          <w:ilvl w:val="0"/>
          <w:numId w:val="13"/>
        </w:numPr>
        <w:ind w:left="567" w:hanging="567"/>
      </w:pPr>
      <w:r>
        <w:t>Working safely and staying injury free and being healthy and able to work to the best of their ability.</w:t>
      </w:r>
    </w:p>
    <w:p w:rsidR="009F7BB1" w:rsidRDefault="009F7BB1" w:rsidP="00103528">
      <w:pPr>
        <w:pStyle w:val="BodyText"/>
        <w:numPr>
          <w:ilvl w:val="0"/>
          <w:numId w:val="13"/>
        </w:numPr>
        <w:ind w:left="567" w:hanging="567"/>
      </w:pPr>
      <w:r>
        <w:t>Working efficiently and effectively through having the right people in the right numbers when and where they are needed.</w:t>
      </w:r>
    </w:p>
    <w:p w:rsidR="009F7BB1" w:rsidRDefault="009F7BB1" w:rsidP="00103528">
      <w:pPr>
        <w:pStyle w:val="BodyText"/>
        <w:numPr>
          <w:ilvl w:val="0"/>
          <w:numId w:val="13"/>
        </w:numPr>
        <w:ind w:left="567" w:hanging="567"/>
      </w:pPr>
      <w:r>
        <w:t>Continuing to develop and learn and be able to implement current best practice.</w:t>
      </w:r>
    </w:p>
    <w:p w:rsidR="009F7BB1" w:rsidRDefault="009F7BB1" w:rsidP="00103528">
      <w:pPr>
        <w:pStyle w:val="BodyText"/>
        <w:numPr>
          <w:ilvl w:val="0"/>
          <w:numId w:val="13"/>
        </w:numPr>
        <w:ind w:left="567" w:hanging="567"/>
      </w:pPr>
      <w:r>
        <w:t>Providing appropriate care and services with minimal risk and harm to clients and patients in accordance with the National Service Standards.</w:t>
      </w:r>
    </w:p>
    <w:p w:rsidR="009F7BB1" w:rsidRDefault="009F7BB1" w:rsidP="009F7BB1">
      <w:pPr>
        <w:pStyle w:val="BodyText"/>
      </w:pPr>
      <w:r>
        <w:t xml:space="preserve">There are many enablers that support the workforce to achieve the above, these include: </w:t>
      </w:r>
    </w:p>
    <w:p w:rsidR="009F7BB1" w:rsidRDefault="009F7BB1" w:rsidP="00103528">
      <w:pPr>
        <w:pStyle w:val="BodyText"/>
        <w:numPr>
          <w:ilvl w:val="0"/>
          <w:numId w:val="14"/>
        </w:numPr>
        <w:ind w:left="567" w:hanging="567"/>
      </w:pPr>
      <w:r>
        <w:t>Human Resource (HR) practices and processes such as on-boarding, performance management, recruitment, training, injury prevention and management.</w:t>
      </w:r>
    </w:p>
    <w:p w:rsidR="009F7BB1" w:rsidRDefault="009F7BB1" w:rsidP="00103528">
      <w:pPr>
        <w:pStyle w:val="BodyText"/>
        <w:numPr>
          <w:ilvl w:val="0"/>
          <w:numId w:val="14"/>
        </w:numPr>
        <w:ind w:left="567" w:hanging="567"/>
      </w:pPr>
      <w:r>
        <w:t>Organisational commitment to investing in the workforce (including HR practices and processes) and fostering a positive organisational culture.</w:t>
      </w:r>
    </w:p>
    <w:p w:rsidR="009F7BB1" w:rsidRDefault="009F7BB1" w:rsidP="00103528">
      <w:pPr>
        <w:pStyle w:val="BodyText"/>
        <w:numPr>
          <w:ilvl w:val="0"/>
          <w:numId w:val="14"/>
        </w:numPr>
        <w:ind w:left="567" w:hanging="567"/>
      </w:pPr>
      <w:r>
        <w:t>Service design including both physical (buildings and equipment) and process (systems).</w:t>
      </w:r>
    </w:p>
    <w:p w:rsidR="009F7BB1" w:rsidRDefault="009F7BB1" w:rsidP="00103528">
      <w:pPr>
        <w:pStyle w:val="BodyText"/>
        <w:numPr>
          <w:ilvl w:val="0"/>
          <w:numId w:val="14"/>
        </w:numPr>
        <w:ind w:left="567" w:hanging="567"/>
      </w:pPr>
      <w:r>
        <w:t>Strategies implemented to be reviewed and evaluated.</w:t>
      </w:r>
    </w:p>
    <w:p w:rsidR="009F7BB1" w:rsidRDefault="009F7BB1" w:rsidP="009F7BB1">
      <w:pPr>
        <w:pStyle w:val="BodyText"/>
      </w:pPr>
      <w:r>
        <w:t>Cost effectiveness and efficiency must also be considered and value for money should be sought with return on investment monitored. Workforce planning is a vital element of any organisation to ensure that it has strategies in place to meet its overarching goal or service provision.</w:t>
      </w:r>
    </w:p>
    <w:p w:rsidR="009F7BB1" w:rsidRDefault="009F7BB1" w:rsidP="009F7BB1">
      <w:pPr>
        <w:pStyle w:val="BodyText"/>
      </w:pPr>
      <w:r>
        <w:t xml:space="preserve">THS has a strong commitment to ensuring that the right </w:t>
      </w:r>
      <w:proofErr w:type="gramStart"/>
      <w:r>
        <w:t>staff are</w:t>
      </w:r>
      <w:proofErr w:type="gramEnd"/>
      <w:r>
        <w:t xml:space="preserve"> in the right place at the time they are needed and that they are supported and provided with a safe work environment. We recognise and reward excellence and value the contribution that our people make to our success.</w:t>
      </w:r>
    </w:p>
    <w:p w:rsidR="006B5530" w:rsidRDefault="006B5530">
      <w:pPr>
        <w:rPr>
          <w:rFonts w:ascii="Gill Sans MT" w:eastAsia="GillSans-Light" w:hAnsi="Gill Sans MT" w:cs="GillSans-Light"/>
          <w:lang w:val="en-US"/>
        </w:rPr>
      </w:pPr>
      <w:r>
        <w:br w:type="page"/>
      </w:r>
    </w:p>
    <w:p w:rsidR="006B5530" w:rsidRDefault="006B5530" w:rsidP="006B5530">
      <w:pPr>
        <w:pStyle w:val="Heading3"/>
      </w:pPr>
      <w:bookmarkStart w:id="24" w:name="_Toc472581964"/>
      <w:r>
        <w:lastRenderedPageBreak/>
        <w:t>Human Resources Statistics</w:t>
      </w:r>
      <w:bookmarkEnd w:id="24"/>
    </w:p>
    <w:p w:rsidR="0096134C" w:rsidRDefault="0096134C" w:rsidP="000629C4">
      <w:pPr>
        <w:pStyle w:val="Heading4"/>
      </w:pPr>
      <w:r>
        <w:t>Total number of full-time equivalent (FTE) paid employees</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96134C" w:rsidTr="0096134C">
        <w:trPr>
          <w:trHeight w:hRule="exact" w:val="291"/>
        </w:trPr>
        <w:tc>
          <w:tcPr>
            <w:tcW w:w="6549" w:type="dxa"/>
            <w:shd w:val="clear" w:color="auto" w:fill="auto"/>
          </w:tcPr>
          <w:p w:rsidR="0096134C" w:rsidRDefault="0096134C" w:rsidP="0096134C">
            <w:pPr>
              <w:pStyle w:val="TableParagraph"/>
              <w:spacing w:before="41"/>
              <w:ind w:left="142"/>
              <w:rPr>
                <w:rFonts w:ascii="GillSans-SemiBold"/>
                <w:b/>
                <w:sz w:val="18"/>
              </w:rPr>
            </w:pPr>
            <w:r w:rsidRPr="0096134C">
              <w:rPr>
                <w:rFonts w:ascii="GillSans-SemiBold"/>
                <w:b/>
                <w:sz w:val="18"/>
              </w:rPr>
              <w:t>As at end of financial year</w:t>
            </w:r>
          </w:p>
        </w:tc>
        <w:tc>
          <w:tcPr>
            <w:tcW w:w="1185" w:type="dxa"/>
            <w:shd w:val="clear" w:color="auto" w:fill="auto"/>
          </w:tcPr>
          <w:p w:rsidR="0096134C" w:rsidRPr="0096134C" w:rsidRDefault="0096134C" w:rsidP="0080575E">
            <w:pPr>
              <w:pStyle w:val="TableParagraph"/>
              <w:spacing w:before="41"/>
              <w:ind w:left="144"/>
              <w:rPr>
                <w:rFonts w:ascii="GillSans-SemiBold"/>
                <w:b/>
                <w:sz w:val="18"/>
              </w:rPr>
            </w:pPr>
            <w:r w:rsidRPr="0096134C">
              <w:rPr>
                <w:rFonts w:ascii="GillSans-SemiBold"/>
                <w:b/>
                <w:sz w:val="18"/>
              </w:rPr>
              <w:t>2013-2014*</w:t>
            </w:r>
          </w:p>
        </w:tc>
        <w:tc>
          <w:tcPr>
            <w:tcW w:w="1155" w:type="dxa"/>
            <w:shd w:val="clear" w:color="auto" w:fill="auto"/>
          </w:tcPr>
          <w:p w:rsidR="0096134C" w:rsidRPr="0096134C" w:rsidRDefault="0096134C" w:rsidP="0080575E">
            <w:pPr>
              <w:pStyle w:val="TableParagraph"/>
              <w:spacing w:before="41"/>
              <w:ind w:left="128"/>
              <w:rPr>
                <w:rFonts w:ascii="GillSans-SemiBold"/>
                <w:b/>
                <w:sz w:val="18"/>
              </w:rPr>
            </w:pPr>
            <w:r w:rsidRPr="0096134C">
              <w:rPr>
                <w:rFonts w:ascii="GillSans-SemiBold"/>
                <w:b/>
                <w:sz w:val="18"/>
              </w:rPr>
              <w:t>2014-2015*</w:t>
            </w:r>
          </w:p>
        </w:tc>
        <w:tc>
          <w:tcPr>
            <w:tcW w:w="1160" w:type="dxa"/>
            <w:shd w:val="clear" w:color="auto" w:fill="auto"/>
          </w:tcPr>
          <w:p w:rsidR="0096134C" w:rsidRPr="0096134C" w:rsidRDefault="0096134C" w:rsidP="0080575E">
            <w:pPr>
              <w:pStyle w:val="TableParagraph"/>
              <w:spacing w:before="41"/>
              <w:ind w:right="179"/>
              <w:jc w:val="right"/>
              <w:rPr>
                <w:rFonts w:ascii="GillSans-SemiBold"/>
                <w:b/>
                <w:sz w:val="18"/>
              </w:rPr>
            </w:pPr>
            <w:r w:rsidRPr="0096134C">
              <w:rPr>
                <w:rFonts w:ascii="GillSans-SemiBold"/>
                <w:b/>
                <w:sz w:val="18"/>
              </w:rPr>
              <w:t>2015-2016</w:t>
            </w:r>
          </w:p>
        </w:tc>
      </w:tr>
      <w:tr w:rsidR="0096134C" w:rsidTr="0096134C">
        <w:trPr>
          <w:trHeight w:hRule="exact" w:val="284"/>
        </w:trPr>
        <w:tc>
          <w:tcPr>
            <w:tcW w:w="6549" w:type="dxa"/>
            <w:shd w:val="clear" w:color="auto" w:fill="auto"/>
          </w:tcPr>
          <w:p w:rsidR="0096134C" w:rsidRPr="0096134C" w:rsidRDefault="0096134C" w:rsidP="0096134C">
            <w:pPr>
              <w:ind w:left="142"/>
            </w:pPr>
            <w:r>
              <w:rPr>
                <w:rFonts w:ascii="GillSans-SemiBold"/>
                <w:sz w:val="18"/>
              </w:rPr>
              <w:t>F</w:t>
            </w:r>
            <w:r w:rsidRPr="0096134C">
              <w:rPr>
                <w:rFonts w:ascii="GillSans-SemiBold"/>
                <w:sz w:val="18"/>
              </w:rPr>
              <w:t>ull-time equivalent (FTE) paid  employees</w:t>
            </w:r>
          </w:p>
        </w:tc>
        <w:tc>
          <w:tcPr>
            <w:tcW w:w="1185" w:type="dxa"/>
            <w:shd w:val="clear" w:color="auto" w:fill="auto"/>
          </w:tcPr>
          <w:p w:rsidR="0096134C" w:rsidRDefault="0096134C" w:rsidP="0080575E">
            <w:pPr>
              <w:pStyle w:val="TableParagraph"/>
              <w:spacing w:before="42"/>
              <w:ind w:left="369"/>
              <w:rPr>
                <w:sz w:val="18"/>
              </w:rPr>
            </w:pPr>
            <w:r>
              <w:rPr>
                <w:sz w:val="18"/>
              </w:rPr>
              <w:t>7955.50</w:t>
            </w:r>
          </w:p>
        </w:tc>
        <w:tc>
          <w:tcPr>
            <w:tcW w:w="1155" w:type="dxa"/>
            <w:shd w:val="clear" w:color="auto" w:fill="auto"/>
          </w:tcPr>
          <w:p w:rsidR="0096134C" w:rsidRDefault="0096134C" w:rsidP="0080575E">
            <w:pPr>
              <w:pStyle w:val="TableParagraph"/>
              <w:spacing w:before="42"/>
              <w:ind w:left="361"/>
              <w:rPr>
                <w:sz w:val="18"/>
              </w:rPr>
            </w:pPr>
            <w:r>
              <w:rPr>
                <w:sz w:val="18"/>
              </w:rPr>
              <w:t>7814.29</w:t>
            </w:r>
          </w:p>
        </w:tc>
        <w:tc>
          <w:tcPr>
            <w:tcW w:w="1160" w:type="dxa"/>
            <w:shd w:val="clear" w:color="auto" w:fill="auto"/>
          </w:tcPr>
          <w:p w:rsidR="0096134C" w:rsidRDefault="0096134C" w:rsidP="0080575E">
            <w:pPr>
              <w:pStyle w:val="TableParagraph"/>
              <w:spacing w:before="42"/>
              <w:ind w:right="220"/>
              <w:jc w:val="right"/>
              <w:rPr>
                <w:sz w:val="18"/>
              </w:rPr>
            </w:pPr>
            <w:r>
              <w:rPr>
                <w:sz w:val="18"/>
              </w:rPr>
              <w:t>8029.70</w:t>
            </w:r>
          </w:p>
        </w:tc>
      </w:tr>
    </w:tbl>
    <w:p w:rsidR="0096134C" w:rsidRDefault="0096134C" w:rsidP="0096134C">
      <w:pPr>
        <w:spacing w:before="43"/>
        <w:rPr>
          <w:sz w:val="16"/>
        </w:rPr>
      </w:pPr>
      <w:r>
        <w:rPr>
          <w:sz w:val="16"/>
        </w:rPr>
        <w:t>*Note due to organisational changes data has been remapped to the current organisational structure.</w:t>
      </w:r>
    </w:p>
    <w:p w:rsidR="0096134C" w:rsidRDefault="0096134C" w:rsidP="000629C4">
      <w:pPr>
        <w:pStyle w:val="Heading4"/>
      </w:pPr>
      <w:r>
        <w:t>Total number of FTE paid employees by award</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96134C" w:rsidTr="0096134C">
        <w:trPr>
          <w:trHeight w:hRule="exact" w:val="291"/>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1"/>
              <w:ind w:left="80"/>
              <w:rPr>
                <w:rFonts w:ascii="GillSans-SemiBold"/>
                <w:b/>
                <w:sz w:val="18"/>
              </w:rPr>
            </w:pPr>
            <w:r w:rsidRPr="0096134C">
              <w:rPr>
                <w:rFonts w:ascii="GillSans-SemiBold"/>
                <w:b/>
                <w:sz w:val="18"/>
              </w:rPr>
              <w:t>As at end of financial year</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1"/>
              <w:ind w:right="142"/>
              <w:jc w:val="right"/>
              <w:rPr>
                <w:rFonts w:ascii="GillSans-SemiBold"/>
                <w:b/>
                <w:sz w:val="18"/>
              </w:rPr>
            </w:pPr>
            <w:r w:rsidRPr="0096134C">
              <w:rPr>
                <w:rFonts w:ascii="GillSans-SemiBold"/>
                <w:b/>
                <w:sz w:val="18"/>
              </w:rPr>
              <w:t>2013-2014*</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1"/>
              <w:ind w:right="126"/>
              <w:jc w:val="right"/>
              <w:rPr>
                <w:rFonts w:ascii="GillSans-SemiBold"/>
                <w:b/>
                <w:sz w:val="18"/>
              </w:rPr>
            </w:pPr>
            <w:r w:rsidRPr="0096134C">
              <w:rPr>
                <w:rFonts w:ascii="GillSans-SemiBold"/>
                <w:b/>
                <w:sz w:val="18"/>
              </w:rPr>
              <w:t>2014-2015*</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1"/>
              <w:ind w:right="179"/>
              <w:jc w:val="right"/>
              <w:rPr>
                <w:rFonts w:ascii="GillSans-SemiBold"/>
                <w:b/>
                <w:sz w:val="18"/>
              </w:rPr>
            </w:pPr>
            <w:r w:rsidRPr="0096134C">
              <w:rPr>
                <w:rFonts w:ascii="GillSans-SemiBold"/>
                <w:b/>
                <w:sz w:val="18"/>
              </w:rPr>
              <w:t>2015-2016</w:t>
            </w:r>
          </w:p>
        </w:tc>
      </w:tr>
      <w:tr w:rsidR="0096134C" w:rsidTr="0096134C">
        <w:trPr>
          <w:trHeight w:hRule="exact" w:val="284"/>
        </w:trPr>
        <w:tc>
          <w:tcPr>
            <w:tcW w:w="6549" w:type="dxa"/>
            <w:tcBorders>
              <w:top w:val="single" w:sz="4"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42"/>
              <w:ind w:left="76"/>
              <w:rPr>
                <w:rFonts w:ascii="Gill Sans MT" w:hAnsi="Gill Sans MT"/>
                <w:sz w:val="18"/>
              </w:rPr>
            </w:pPr>
            <w:r w:rsidRPr="0096134C">
              <w:rPr>
                <w:rFonts w:ascii="Gill Sans MT" w:hAnsi="Gill Sans MT"/>
                <w:sz w:val="18"/>
              </w:rPr>
              <w:t>Allied Health Professional</w:t>
            </w:r>
          </w:p>
        </w:tc>
        <w:tc>
          <w:tcPr>
            <w:tcW w:w="1185" w:type="dxa"/>
            <w:tcBorders>
              <w:top w:val="single" w:sz="4"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42"/>
              <w:ind w:left="474"/>
              <w:rPr>
                <w:rFonts w:ascii="Gill Sans MT" w:hAnsi="Gill Sans MT"/>
                <w:sz w:val="18"/>
              </w:rPr>
            </w:pPr>
            <w:r w:rsidRPr="0096134C">
              <w:rPr>
                <w:rFonts w:ascii="Gill Sans MT" w:hAnsi="Gill Sans MT"/>
                <w:sz w:val="18"/>
              </w:rPr>
              <w:t>879.37</w:t>
            </w:r>
          </w:p>
        </w:tc>
        <w:tc>
          <w:tcPr>
            <w:tcW w:w="1155" w:type="dxa"/>
            <w:tcBorders>
              <w:top w:val="single" w:sz="4"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42"/>
              <w:ind w:left="441"/>
              <w:rPr>
                <w:rFonts w:ascii="Gill Sans MT" w:hAnsi="Gill Sans MT"/>
                <w:sz w:val="18"/>
              </w:rPr>
            </w:pPr>
            <w:r w:rsidRPr="0096134C">
              <w:rPr>
                <w:rFonts w:ascii="Gill Sans MT" w:hAnsi="Gill Sans MT"/>
                <w:sz w:val="18"/>
              </w:rPr>
              <w:t>847.88</w:t>
            </w:r>
          </w:p>
        </w:tc>
        <w:tc>
          <w:tcPr>
            <w:tcW w:w="1160" w:type="dxa"/>
            <w:tcBorders>
              <w:top w:val="single" w:sz="4"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42"/>
              <w:ind w:left="442"/>
              <w:rPr>
                <w:rFonts w:ascii="Gill Sans MT" w:hAnsi="Gill Sans MT"/>
                <w:sz w:val="18"/>
              </w:rPr>
            </w:pPr>
            <w:r w:rsidRPr="0096134C">
              <w:rPr>
                <w:rFonts w:ascii="Gill Sans MT" w:hAnsi="Gill Sans MT"/>
                <w:sz w:val="18"/>
              </w:rPr>
              <w:t>877.25</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Dental</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33.60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33.38</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33.83</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Health and Human Services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90"/>
              <w:rPr>
                <w:rFonts w:ascii="Gill Sans MT" w:hAnsi="Gill Sans MT"/>
                <w:sz w:val="18"/>
              </w:rPr>
            </w:pPr>
            <w:r w:rsidRPr="0096134C">
              <w:rPr>
                <w:rFonts w:ascii="Gill Sans MT" w:hAnsi="Gill Sans MT"/>
                <w:sz w:val="18"/>
              </w:rPr>
              <w:t>2877.97</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36"/>
              <w:rPr>
                <w:rFonts w:ascii="Gill Sans MT" w:hAnsi="Gill Sans MT"/>
                <w:sz w:val="18"/>
              </w:rPr>
            </w:pPr>
            <w:r w:rsidRPr="0096134C">
              <w:rPr>
                <w:rFonts w:ascii="Gill Sans MT" w:hAnsi="Gill Sans MT"/>
                <w:sz w:val="18"/>
              </w:rPr>
              <w:t>2798.30</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68"/>
              <w:rPr>
                <w:rFonts w:ascii="Gill Sans MT" w:hAnsi="Gill Sans MT"/>
                <w:sz w:val="18"/>
              </w:rPr>
            </w:pPr>
            <w:r w:rsidRPr="0096134C">
              <w:rPr>
                <w:rFonts w:ascii="Gill Sans MT" w:hAnsi="Gill Sans MT"/>
                <w:sz w:val="18"/>
              </w:rPr>
              <w:t>2818.97</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Medical Practitioners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451"/>
              <w:rPr>
                <w:rFonts w:ascii="Gill Sans MT" w:hAnsi="Gill Sans MT"/>
                <w:sz w:val="18"/>
              </w:rPr>
            </w:pPr>
            <w:r w:rsidRPr="0096134C">
              <w:rPr>
                <w:rFonts w:ascii="Gill Sans MT" w:hAnsi="Gill Sans MT"/>
                <w:sz w:val="18"/>
              </w:rPr>
              <w:t>804.28</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434"/>
              <w:rPr>
                <w:rFonts w:ascii="Gill Sans MT" w:hAnsi="Gill Sans MT"/>
                <w:sz w:val="18"/>
              </w:rPr>
            </w:pPr>
            <w:r w:rsidRPr="0096134C">
              <w:rPr>
                <w:rFonts w:ascii="Gill Sans MT" w:hAnsi="Gill Sans MT"/>
                <w:sz w:val="18"/>
              </w:rPr>
              <w:t>765.60</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430"/>
              <w:rPr>
                <w:rFonts w:ascii="Gill Sans MT" w:hAnsi="Gill Sans MT"/>
                <w:sz w:val="18"/>
              </w:rPr>
            </w:pPr>
            <w:r w:rsidRPr="0096134C">
              <w:rPr>
                <w:rFonts w:ascii="Gill Sans MT" w:hAnsi="Gill Sans MT"/>
                <w:sz w:val="18"/>
              </w:rPr>
              <w:t>798.23</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No Award</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1"/>
              <w:jc w:val="right"/>
              <w:rPr>
                <w:rFonts w:ascii="Gill Sans MT" w:hAnsi="Gill Sans MT"/>
                <w:sz w:val="18"/>
              </w:rPr>
            </w:pPr>
            <w:r w:rsidRPr="0096134C">
              <w:rPr>
                <w:rFonts w:ascii="Gill Sans MT" w:hAnsi="Gill Sans MT"/>
                <w:sz w:val="18"/>
              </w:rPr>
              <w:t>3.70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3"/>
              <w:jc w:val="right"/>
              <w:rPr>
                <w:rFonts w:ascii="Gill Sans MT" w:hAnsi="Gill Sans MT"/>
                <w:sz w:val="18"/>
              </w:rPr>
            </w:pPr>
            <w:r w:rsidRPr="0096134C">
              <w:rPr>
                <w:rFonts w:ascii="Gill Sans MT" w:hAnsi="Gill Sans MT"/>
                <w:sz w:val="18"/>
              </w:rPr>
              <w:t>0.42</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9"/>
              <w:jc w:val="right"/>
              <w:rPr>
                <w:rFonts w:ascii="Gill Sans MT" w:hAnsi="Gill Sans MT"/>
                <w:sz w:val="18"/>
              </w:rPr>
            </w:pPr>
            <w:r w:rsidRPr="0096134C">
              <w:rPr>
                <w:rFonts w:ascii="Gill Sans MT" w:hAnsi="Gill Sans MT"/>
                <w:sz w:val="18"/>
              </w:rPr>
              <w:t>2.15</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Nursing</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73"/>
              <w:rPr>
                <w:rFonts w:ascii="Gill Sans MT" w:hAnsi="Gill Sans MT"/>
                <w:sz w:val="18"/>
              </w:rPr>
            </w:pPr>
            <w:r w:rsidRPr="0096134C">
              <w:rPr>
                <w:rFonts w:ascii="Gill Sans MT" w:hAnsi="Gill Sans MT"/>
                <w:sz w:val="18"/>
              </w:rPr>
              <w:t>3255.46</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62"/>
              <w:rPr>
                <w:rFonts w:ascii="Gill Sans MT" w:hAnsi="Gill Sans MT"/>
                <w:sz w:val="18"/>
              </w:rPr>
            </w:pPr>
            <w:r w:rsidRPr="0096134C">
              <w:rPr>
                <w:rFonts w:ascii="Gill Sans MT" w:hAnsi="Gill Sans MT"/>
                <w:sz w:val="18"/>
              </w:rPr>
              <w:t>3267.63</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358"/>
              <w:rPr>
                <w:rFonts w:ascii="Gill Sans MT" w:hAnsi="Gill Sans MT"/>
                <w:sz w:val="18"/>
              </w:rPr>
            </w:pPr>
            <w:r w:rsidRPr="0096134C">
              <w:rPr>
                <w:rFonts w:ascii="Gill Sans MT" w:hAnsi="Gill Sans MT"/>
                <w:sz w:val="18"/>
              </w:rPr>
              <w:t>3396.61</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Radiation Therapist</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50.30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50.01</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53.75</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5"/>
              <w:rPr>
                <w:rFonts w:ascii="Gill Sans MT" w:hAnsi="Gill Sans MT"/>
                <w:sz w:val="18"/>
              </w:rPr>
            </w:pPr>
            <w:r w:rsidRPr="0096134C">
              <w:rPr>
                <w:rFonts w:ascii="Gill Sans MT" w:hAnsi="Gill Sans MT"/>
                <w:sz w:val="18"/>
              </w:rPr>
              <w:t>Senior Executive Service (SES)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6.00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6.00</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5.00</w:t>
            </w:r>
          </w:p>
        </w:tc>
      </w:tr>
      <w:tr w:rsidR="0096134C"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left="75"/>
              <w:rPr>
                <w:rFonts w:ascii="Gill Sans MT" w:hAnsi="Gill Sans MT"/>
                <w:sz w:val="18"/>
              </w:rPr>
            </w:pPr>
            <w:r w:rsidRPr="0096134C">
              <w:rPr>
                <w:rFonts w:ascii="Gill Sans MT" w:hAnsi="Gill Sans MT"/>
                <w:sz w:val="18"/>
              </w:rPr>
              <w:t>Visiting Medical Officers**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44.82</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45.06</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96134C" w:rsidRDefault="0096134C" w:rsidP="0080575E">
            <w:pPr>
              <w:pStyle w:val="TableParagraph"/>
              <w:spacing w:before="39"/>
              <w:ind w:right="231"/>
              <w:jc w:val="right"/>
              <w:rPr>
                <w:rFonts w:ascii="Gill Sans MT" w:hAnsi="Gill Sans MT"/>
                <w:sz w:val="18"/>
              </w:rPr>
            </w:pPr>
            <w:r w:rsidRPr="0096134C">
              <w:rPr>
                <w:rFonts w:ascii="Gill Sans MT" w:hAnsi="Gill Sans MT"/>
                <w:sz w:val="18"/>
              </w:rPr>
              <w:t>43.91</w:t>
            </w:r>
          </w:p>
        </w:tc>
      </w:tr>
      <w:tr w:rsidR="0096134C" w:rsidTr="0096134C">
        <w:trPr>
          <w:trHeight w:hRule="exact" w:val="291"/>
        </w:trPr>
        <w:tc>
          <w:tcPr>
            <w:tcW w:w="6549" w:type="dxa"/>
            <w:tcBorders>
              <w:top w:val="single" w:sz="3" w:space="0" w:color="004D8F"/>
              <w:left w:val="single" w:sz="3" w:space="0" w:color="004D8F"/>
              <w:bottom w:val="single" w:sz="4" w:space="0" w:color="004D8F"/>
              <w:right w:val="single" w:sz="3" w:space="0" w:color="004D8F"/>
            </w:tcBorders>
            <w:shd w:val="clear" w:color="auto" w:fill="auto"/>
          </w:tcPr>
          <w:p w:rsidR="0096134C" w:rsidRDefault="0096134C" w:rsidP="0080575E">
            <w:pPr>
              <w:pStyle w:val="TableParagraph"/>
              <w:spacing w:before="37"/>
              <w:ind w:left="75"/>
              <w:rPr>
                <w:rFonts w:ascii="GillSans-SemiBold"/>
                <w:b/>
                <w:sz w:val="18"/>
              </w:rPr>
            </w:pPr>
            <w:r>
              <w:rPr>
                <w:rFonts w:ascii="GillSans-SemiBold"/>
                <w:b/>
                <w:sz w:val="18"/>
              </w:rPr>
              <w:t>Total</w:t>
            </w:r>
          </w:p>
        </w:tc>
        <w:tc>
          <w:tcPr>
            <w:tcW w:w="1185" w:type="dxa"/>
            <w:tcBorders>
              <w:top w:val="single" w:sz="3" w:space="0" w:color="004D8F"/>
              <w:left w:val="single" w:sz="3" w:space="0" w:color="004D8F"/>
              <w:bottom w:val="single" w:sz="4" w:space="0" w:color="004D8F"/>
              <w:right w:val="single" w:sz="3" w:space="0" w:color="004D8F"/>
            </w:tcBorders>
            <w:shd w:val="clear" w:color="auto" w:fill="auto"/>
          </w:tcPr>
          <w:p w:rsidR="0096134C" w:rsidRDefault="0096134C" w:rsidP="0080575E">
            <w:pPr>
              <w:pStyle w:val="TableParagraph"/>
              <w:spacing w:before="37"/>
              <w:ind w:left="324"/>
              <w:rPr>
                <w:rFonts w:ascii="GillSans-SemiBold"/>
                <w:b/>
                <w:sz w:val="18"/>
              </w:rPr>
            </w:pPr>
            <w:r>
              <w:rPr>
                <w:rFonts w:ascii="GillSans-SemiBold"/>
                <w:b/>
                <w:sz w:val="18"/>
              </w:rPr>
              <w:t>7955.50</w:t>
            </w:r>
          </w:p>
        </w:tc>
        <w:tc>
          <w:tcPr>
            <w:tcW w:w="1155" w:type="dxa"/>
            <w:tcBorders>
              <w:top w:val="single" w:sz="3" w:space="0" w:color="004D8F"/>
              <w:left w:val="single" w:sz="3" w:space="0" w:color="004D8F"/>
              <w:bottom w:val="single" w:sz="4" w:space="0" w:color="004D8F"/>
              <w:right w:val="single" w:sz="3" w:space="0" w:color="004D8F"/>
            </w:tcBorders>
            <w:shd w:val="clear" w:color="auto" w:fill="auto"/>
          </w:tcPr>
          <w:p w:rsidR="0096134C" w:rsidRDefault="0096134C" w:rsidP="0080575E">
            <w:pPr>
              <w:pStyle w:val="TableParagraph"/>
              <w:spacing w:before="37"/>
              <w:ind w:left="312"/>
              <w:rPr>
                <w:rFonts w:ascii="GillSans-SemiBold"/>
                <w:b/>
                <w:sz w:val="18"/>
              </w:rPr>
            </w:pPr>
            <w:r>
              <w:rPr>
                <w:rFonts w:ascii="GillSans-SemiBold"/>
                <w:b/>
                <w:sz w:val="18"/>
              </w:rPr>
              <w:t>7814.29</w:t>
            </w:r>
          </w:p>
        </w:tc>
        <w:tc>
          <w:tcPr>
            <w:tcW w:w="1160" w:type="dxa"/>
            <w:tcBorders>
              <w:top w:val="single" w:sz="3" w:space="0" w:color="004D8F"/>
              <w:left w:val="single" w:sz="3" w:space="0" w:color="004D8F"/>
              <w:bottom w:val="single" w:sz="4" w:space="0" w:color="004D8F"/>
              <w:right w:val="single" w:sz="3" w:space="0" w:color="004D8F"/>
            </w:tcBorders>
            <w:shd w:val="clear" w:color="auto" w:fill="auto"/>
          </w:tcPr>
          <w:p w:rsidR="0096134C" w:rsidRDefault="0096134C" w:rsidP="0080575E">
            <w:pPr>
              <w:pStyle w:val="TableParagraph"/>
              <w:spacing w:before="37"/>
              <w:ind w:left="310"/>
              <w:rPr>
                <w:rFonts w:ascii="GillSans-SemiBold"/>
                <w:b/>
                <w:sz w:val="18"/>
              </w:rPr>
            </w:pPr>
            <w:r>
              <w:rPr>
                <w:rFonts w:ascii="GillSans-SemiBold"/>
                <w:b/>
                <w:sz w:val="18"/>
              </w:rPr>
              <w:t>8029.70</w:t>
            </w:r>
          </w:p>
        </w:tc>
      </w:tr>
    </w:tbl>
    <w:p w:rsidR="0096134C" w:rsidRDefault="0096134C" w:rsidP="0096134C">
      <w:pPr>
        <w:spacing w:before="43"/>
        <w:rPr>
          <w:sz w:val="16"/>
        </w:rPr>
      </w:pPr>
      <w:r>
        <w:rPr>
          <w:sz w:val="16"/>
        </w:rPr>
        <w:t>*Note due to organisational changes data has been remapped to the current organisational structure.</w:t>
      </w:r>
      <w:r>
        <w:rPr>
          <w:sz w:val="16"/>
        </w:rPr>
        <w:br/>
        <w:t>**Includes Rural Medical Practitioners.</w:t>
      </w:r>
    </w:p>
    <w:p w:rsidR="0096134C" w:rsidRDefault="0096134C" w:rsidP="000629C4">
      <w:pPr>
        <w:pStyle w:val="Heading4"/>
      </w:pPr>
      <w:r>
        <w:t>Total number (head count) paid by employment category: fixed-term/permanent, full time/</w:t>
      </w:r>
      <w:proofErr w:type="gramStart"/>
      <w:r>
        <w:t>part  time</w:t>
      </w:r>
      <w:proofErr w:type="gramEnd"/>
      <w:r>
        <w:t>/casual</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96134C" w:rsidTr="0096134C">
        <w:trPr>
          <w:trHeight w:hRule="exact" w:val="291"/>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96134C">
            <w:pPr>
              <w:pStyle w:val="TableParagraph"/>
              <w:spacing w:before="41"/>
              <w:ind w:left="80"/>
              <w:rPr>
                <w:sz w:val="18"/>
              </w:rPr>
            </w:pPr>
            <w:r w:rsidRPr="0096134C">
              <w:rPr>
                <w:rFonts w:ascii="GillSans-SemiBold"/>
                <w:b/>
                <w:sz w:val="18"/>
              </w:rPr>
              <w:t>As at end of financial year</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37"/>
              <w:ind w:right="142"/>
              <w:jc w:val="right"/>
              <w:rPr>
                <w:rFonts w:ascii="GillSans-SemiBold"/>
                <w:b/>
                <w:sz w:val="18"/>
              </w:rPr>
            </w:pPr>
            <w:r w:rsidRPr="0096134C">
              <w:rPr>
                <w:rFonts w:ascii="GillSans-SemiBold"/>
                <w:b/>
                <w:sz w:val="18"/>
              </w:rPr>
              <w:t>2013-2014*</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37"/>
              <w:ind w:right="126"/>
              <w:jc w:val="right"/>
              <w:rPr>
                <w:rFonts w:ascii="GillSans-SemiBold"/>
                <w:b/>
                <w:sz w:val="18"/>
              </w:rPr>
            </w:pPr>
            <w:r w:rsidRPr="0096134C">
              <w:rPr>
                <w:rFonts w:ascii="GillSans-SemiBold"/>
                <w:b/>
                <w:sz w:val="18"/>
              </w:rPr>
              <w:t>2014-2015*</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1"/>
              <w:ind w:right="179"/>
              <w:jc w:val="right"/>
              <w:rPr>
                <w:rFonts w:ascii="GillSans-SemiBold"/>
                <w:b/>
                <w:sz w:val="18"/>
              </w:rPr>
            </w:pPr>
            <w:r w:rsidRPr="0096134C">
              <w:rPr>
                <w:rFonts w:ascii="GillSans-SemiBold"/>
                <w:b/>
                <w:sz w:val="18"/>
              </w:rPr>
              <w:t>2015-2016</w:t>
            </w:r>
          </w:p>
        </w:tc>
      </w:tr>
      <w:tr w:rsidR="0096134C" w:rsidTr="0096134C">
        <w:trPr>
          <w:trHeight w:hRule="exact" w:val="284"/>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96134C">
            <w:pPr>
              <w:pStyle w:val="TableParagraph"/>
              <w:spacing w:before="41"/>
              <w:ind w:left="80"/>
              <w:rPr>
                <w:rFonts w:ascii="Gill Sans MT" w:hAnsi="Gill Sans MT"/>
                <w:sz w:val="18"/>
              </w:rPr>
            </w:pPr>
            <w:r w:rsidRPr="0096134C">
              <w:rPr>
                <w:rFonts w:ascii="Gill Sans MT" w:hAnsi="Gill Sans MT"/>
                <w:sz w:val="18"/>
              </w:rPr>
              <w:t>Permanent full-time</w:t>
            </w:r>
          </w:p>
          <w:p w:rsidR="0096134C" w:rsidRDefault="0096134C" w:rsidP="0096134C">
            <w:r w:rsidRPr="0096134C">
              <w:rPr>
                <w:sz w:val="18"/>
              </w:rPr>
              <w:t>Permanent full-time</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38"/>
              <w:ind w:right="220"/>
              <w:jc w:val="right"/>
              <w:rPr>
                <w:rFonts w:ascii="Gill Sans MT" w:hAnsi="Gill Sans MT"/>
                <w:sz w:val="18"/>
              </w:rPr>
            </w:pPr>
            <w:r w:rsidRPr="0096134C">
              <w:rPr>
                <w:rFonts w:ascii="Gill Sans MT" w:hAnsi="Gill Sans MT"/>
                <w:sz w:val="18"/>
              </w:rPr>
              <w:t>3140</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38"/>
              <w:ind w:right="220"/>
              <w:jc w:val="right"/>
              <w:rPr>
                <w:rFonts w:ascii="Gill Sans MT" w:hAnsi="Gill Sans MT"/>
                <w:sz w:val="18"/>
              </w:rPr>
            </w:pPr>
            <w:r w:rsidRPr="0096134C">
              <w:rPr>
                <w:rFonts w:ascii="Gill Sans MT" w:hAnsi="Gill Sans MT"/>
                <w:sz w:val="18"/>
              </w:rPr>
              <w:t>2830</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96134C" w:rsidRPr="0096134C" w:rsidRDefault="0096134C" w:rsidP="0080575E">
            <w:pPr>
              <w:pStyle w:val="TableParagraph"/>
              <w:spacing w:before="42"/>
              <w:ind w:right="220"/>
              <w:jc w:val="right"/>
              <w:rPr>
                <w:rFonts w:ascii="Gill Sans MT" w:hAnsi="Gill Sans MT"/>
                <w:sz w:val="18"/>
              </w:rPr>
            </w:pPr>
            <w:r w:rsidRPr="0096134C">
              <w:rPr>
                <w:rFonts w:ascii="Gill Sans MT" w:hAnsi="Gill Sans MT"/>
                <w:sz w:val="18"/>
              </w:rPr>
              <w:t>2892</w:t>
            </w:r>
          </w:p>
        </w:tc>
      </w:tr>
      <w:tr w:rsidR="0096134C" w:rsidTr="0096134C">
        <w:trPr>
          <w:trHeight w:hRule="exact" w:val="284"/>
        </w:trPr>
        <w:tc>
          <w:tcPr>
            <w:tcW w:w="6549" w:type="dxa"/>
            <w:tcBorders>
              <w:top w:val="single" w:sz="4" w:space="0" w:color="004D8F"/>
            </w:tcBorders>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Permanent part-time</w:t>
            </w:r>
          </w:p>
        </w:tc>
        <w:tc>
          <w:tcPr>
            <w:tcW w:w="1185" w:type="dxa"/>
            <w:tcBorders>
              <w:top w:val="single" w:sz="4" w:space="0" w:color="004D8F"/>
            </w:tcBorders>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4437</w:t>
            </w:r>
          </w:p>
        </w:tc>
        <w:tc>
          <w:tcPr>
            <w:tcW w:w="1155" w:type="dxa"/>
            <w:tcBorders>
              <w:top w:val="single" w:sz="4" w:space="0" w:color="004D8F"/>
            </w:tcBorders>
            <w:shd w:val="clear" w:color="auto" w:fill="auto"/>
          </w:tcPr>
          <w:p w:rsidR="0096134C" w:rsidRPr="0096134C" w:rsidRDefault="0096134C" w:rsidP="0080575E">
            <w:pPr>
              <w:pStyle w:val="TableParagraph"/>
              <w:spacing w:before="39"/>
              <w:ind w:right="230"/>
              <w:jc w:val="right"/>
              <w:rPr>
                <w:rFonts w:ascii="Gill Sans MT" w:hAnsi="Gill Sans MT"/>
                <w:sz w:val="18"/>
              </w:rPr>
            </w:pPr>
            <w:r w:rsidRPr="0096134C">
              <w:rPr>
                <w:rFonts w:ascii="Gill Sans MT" w:hAnsi="Gill Sans MT"/>
                <w:sz w:val="18"/>
              </w:rPr>
              <w:t>4371</w:t>
            </w:r>
          </w:p>
        </w:tc>
        <w:tc>
          <w:tcPr>
            <w:tcW w:w="1160" w:type="dxa"/>
            <w:tcBorders>
              <w:top w:val="single" w:sz="4" w:space="0" w:color="004D8F"/>
            </w:tcBorders>
            <w:shd w:val="clear" w:color="auto" w:fill="auto"/>
          </w:tcPr>
          <w:p w:rsidR="0096134C" w:rsidRPr="0096134C" w:rsidRDefault="0096134C" w:rsidP="0080575E">
            <w:pPr>
              <w:pStyle w:val="TableParagraph"/>
              <w:spacing w:before="39"/>
              <w:ind w:right="224"/>
              <w:jc w:val="right"/>
              <w:rPr>
                <w:rFonts w:ascii="Gill Sans MT" w:hAnsi="Gill Sans MT"/>
                <w:sz w:val="18"/>
              </w:rPr>
            </w:pPr>
            <w:r w:rsidRPr="0096134C">
              <w:rPr>
                <w:rFonts w:ascii="Gill Sans MT" w:hAnsi="Gill Sans MT"/>
                <w:sz w:val="18"/>
              </w:rPr>
              <w:t>4559</w:t>
            </w:r>
          </w:p>
        </w:tc>
      </w:tr>
      <w:tr w:rsidR="0096134C" w:rsidTr="0096134C">
        <w:trPr>
          <w:trHeight w:hRule="exact" w:val="284"/>
        </w:trPr>
        <w:tc>
          <w:tcPr>
            <w:tcW w:w="6549" w:type="dxa"/>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Fixed-term full-time</w:t>
            </w:r>
          </w:p>
        </w:tc>
        <w:tc>
          <w:tcPr>
            <w:tcW w:w="1185" w:type="dxa"/>
            <w:shd w:val="clear" w:color="auto" w:fill="auto"/>
          </w:tcPr>
          <w:p w:rsidR="0096134C" w:rsidRPr="0096134C" w:rsidRDefault="0096134C" w:rsidP="0080575E">
            <w:pPr>
              <w:pStyle w:val="TableParagraph"/>
              <w:spacing w:before="39"/>
              <w:ind w:right="218"/>
              <w:jc w:val="right"/>
              <w:rPr>
                <w:rFonts w:ascii="Gill Sans MT" w:hAnsi="Gill Sans MT"/>
                <w:sz w:val="18"/>
              </w:rPr>
            </w:pPr>
            <w:r w:rsidRPr="0096134C">
              <w:rPr>
                <w:rFonts w:ascii="Gill Sans MT" w:hAnsi="Gill Sans MT"/>
                <w:sz w:val="18"/>
              </w:rPr>
              <w:t>794</w:t>
            </w:r>
          </w:p>
        </w:tc>
        <w:tc>
          <w:tcPr>
            <w:tcW w:w="1155" w:type="dxa"/>
            <w:shd w:val="clear" w:color="auto" w:fill="auto"/>
          </w:tcPr>
          <w:p w:rsidR="0096134C" w:rsidRPr="0096134C" w:rsidRDefault="0096134C" w:rsidP="0080575E">
            <w:pPr>
              <w:pStyle w:val="TableParagraph"/>
              <w:spacing w:before="39"/>
              <w:ind w:right="216"/>
              <w:jc w:val="right"/>
              <w:rPr>
                <w:rFonts w:ascii="Gill Sans MT" w:hAnsi="Gill Sans MT"/>
                <w:sz w:val="18"/>
              </w:rPr>
            </w:pPr>
            <w:r w:rsidRPr="0096134C">
              <w:rPr>
                <w:rFonts w:ascii="Gill Sans MT" w:hAnsi="Gill Sans MT"/>
                <w:sz w:val="18"/>
              </w:rPr>
              <w:t>884</w:t>
            </w:r>
          </w:p>
        </w:tc>
        <w:tc>
          <w:tcPr>
            <w:tcW w:w="1160" w:type="dxa"/>
            <w:shd w:val="clear" w:color="auto" w:fill="auto"/>
          </w:tcPr>
          <w:p w:rsidR="0096134C" w:rsidRPr="0096134C" w:rsidRDefault="0096134C" w:rsidP="0080575E">
            <w:pPr>
              <w:pStyle w:val="TableParagraph"/>
              <w:spacing w:before="39"/>
              <w:ind w:right="214"/>
              <w:jc w:val="right"/>
              <w:rPr>
                <w:rFonts w:ascii="Gill Sans MT" w:hAnsi="Gill Sans MT"/>
                <w:sz w:val="18"/>
              </w:rPr>
            </w:pPr>
            <w:r w:rsidRPr="0096134C">
              <w:rPr>
                <w:rFonts w:ascii="Gill Sans MT" w:hAnsi="Gill Sans MT"/>
                <w:sz w:val="18"/>
              </w:rPr>
              <w:t>777</w:t>
            </w:r>
          </w:p>
        </w:tc>
      </w:tr>
      <w:tr w:rsidR="0096134C" w:rsidTr="0096134C">
        <w:trPr>
          <w:trHeight w:hRule="exact" w:val="284"/>
        </w:trPr>
        <w:tc>
          <w:tcPr>
            <w:tcW w:w="6549" w:type="dxa"/>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Fixed-term part-time</w:t>
            </w:r>
          </w:p>
        </w:tc>
        <w:tc>
          <w:tcPr>
            <w:tcW w:w="1185" w:type="dxa"/>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750</w:t>
            </w:r>
          </w:p>
        </w:tc>
        <w:tc>
          <w:tcPr>
            <w:tcW w:w="1155" w:type="dxa"/>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1006</w:t>
            </w:r>
          </w:p>
        </w:tc>
        <w:tc>
          <w:tcPr>
            <w:tcW w:w="1160" w:type="dxa"/>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970</w:t>
            </w:r>
          </w:p>
        </w:tc>
      </w:tr>
      <w:tr w:rsidR="0096134C" w:rsidTr="0096134C">
        <w:trPr>
          <w:trHeight w:hRule="exact" w:val="284"/>
        </w:trPr>
        <w:tc>
          <w:tcPr>
            <w:tcW w:w="6549" w:type="dxa"/>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Part 6**</w:t>
            </w:r>
          </w:p>
        </w:tc>
        <w:tc>
          <w:tcPr>
            <w:tcW w:w="1185" w:type="dxa"/>
            <w:shd w:val="clear" w:color="auto" w:fill="auto"/>
          </w:tcPr>
          <w:p w:rsidR="0096134C" w:rsidRPr="0096134C" w:rsidRDefault="0096134C" w:rsidP="0080575E">
            <w:pPr>
              <w:pStyle w:val="TableParagraph"/>
              <w:spacing w:before="39"/>
              <w:ind w:right="219"/>
              <w:jc w:val="right"/>
              <w:rPr>
                <w:rFonts w:ascii="Gill Sans MT" w:hAnsi="Gill Sans MT"/>
                <w:sz w:val="18"/>
              </w:rPr>
            </w:pPr>
            <w:r w:rsidRPr="0096134C">
              <w:rPr>
                <w:rFonts w:ascii="Gill Sans MT" w:hAnsi="Gill Sans MT"/>
                <w:sz w:val="18"/>
              </w:rPr>
              <w:t>20</w:t>
            </w:r>
          </w:p>
        </w:tc>
        <w:tc>
          <w:tcPr>
            <w:tcW w:w="1155" w:type="dxa"/>
            <w:shd w:val="clear" w:color="auto" w:fill="auto"/>
          </w:tcPr>
          <w:p w:rsidR="0096134C" w:rsidRPr="0096134C" w:rsidRDefault="0096134C" w:rsidP="0080575E">
            <w:pPr>
              <w:pStyle w:val="TableParagraph"/>
              <w:spacing w:before="39"/>
              <w:ind w:right="230"/>
              <w:jc w:val="right"/>
              <w:rPr>
                <w:rFonts w:ascii="Gill Sans MT" w:hAnsi="Gill Sans MT"/>
                <w:sz w:val="18"/>
              </w:rPr>
            </w:pPr>
            <w:r w:rsidRPr="0096134C">
              <w:rPr>
                <w:rFonts w:ascii="Gill Sans MT" w:hAnsi="Gill Sans MT"/>
                <w:sz w:val="18"/>
              </w:rPr>
              <w:t>16</w:t>
            </w:r>
          </w:p>
        </w:tc>
        <w:tc>
          <w:tcPr>
            <w:tcW w:w="1160" w:type="dxa"/>
            <w:shd w:val="clear" w:color="auto" w:fill="auto"/>
          </w:tcPr>
          <w:p w:rsidR="0096134C" w:rsidRPr="0096134C" w:rsidRDefault="0096134C" w:rsidP="0080575E">
            <w:pPr>
              <w:pStyle w:val="TableParagraph"/>
              <w:spacing w:before="39"/>
              <w:ind w:right="230"/>
              <w:jc w:val="right"/>
              <w:rPr>
                <w:rFonts w:ascii="Gill Sans MT" w:hAnsi="Gill Sans MT"/>
                <w:sz w:val="18"/>
              </w:rPr>
            </w:pPr>
            <w:r w:rsidRPr="0096134C">
              <w:rPr>
                <w:rFonts w:ascii="Gill Sans MT" w:hAnsi="Gill Sans MT"/>
                <w:sz w:val="18"/>
              </w:rPr>
              <w:t>16</w:t>
            </w:r>
          </w:p>
        </w:tc>
      </w:tr>
      <w:tr w:rsidR="0096134C" w:rsidTr="0096134C">
        <w:trPr>
          <w:trHeight w:hRule="exact" w:val="284"/>
        </w:trPr>
        <w:tc>
          <w:tcPr>
            <w:tcW w:w="6549" w:type="dxa"/>
            <w:shd w:val="clear" w:color="auto" w:fill="auto"/>
          </w:tcPr>
          <w:p w:rsidR="0096134C" w:rsidRPr="0096134C" w:rsidRDefault="0096134C" w:rsidP="0080575E">
            <w:pPr>
              <w:pStyle w:val="TableParagraph"/>
              <w:spacing w:before="39"/>
              <w:ind w:left="76"/>
              <w:rPr>
                <w:rFonts w:ascii="Gill Sans MT" w:hAnsi="Gill Sans MT"/>
                <w:sz w:val="18"/>
              </w:rPr>
            </w:pPr>
            <w:r w:rsidRPr="0096134C">
              <w:rPr>
                <w:rFonts w:ascii="Gill Sans MT" w:hAnsi="Gill Sans MT"/>
                <w:sz w:val="18"/>
              </w:rPr>
              <w:t>Casual</w:t>
            </w:r>
          </w:p>
        </w:tc>
        <w:tc>
          <w:tcPr>
            <w:tcW w:w="1185" w:type="dxa"/>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999</w:t>
            </w:r>
          </w:p>
        </w:tc>
        <w:tc>
          <w:tcPr>
            <w:tcW w:w="1155" w:type="dxa"/>
            <w:shd w:val="clear" w:color="auto" w:fill="auto"/>
          </w:tcPr>
          <w:p w:rsidR="0096134C" w:rsidRPr="0096134C" w:rsidRDefault="0096134C" w:rsidP="0080575E">
            <w:pPr>
              <w:pStyle w:val="TableParagraph"/>
              <w:spacing w:before="39"/>
              <w:ind w:right="224"/>
              <w:jc w:val="right"/>
              <w:rPr>
                <w:rFonts w:ascii="Gill Sans MT" w:hAnsi="Gill Sans MT"/>
                <w:sz w:val="18"/>
              </w:rPr>
            </w:pPr>
            <w:r w:rsidRPr="0096134C">
              <w:rPr>
                <w:rFonts w:ascii="Gill Sans MT" w:hAnsi="Gill Sans MT"/>
                <w:sz w:val="18"/>
              </w:rPr>
              <w:t>924</w:t>
            </w:r>
          </w:p>
        </w:tc>
        <w:tc>
          <w:tcPr>
            <w:tcW w:w="1160" w:type="dxa"/>
            <w:shd w:val="clear" w:color="auto" w:fill="auto"/>
          </w:tcPr>
          <w:p w:rsidR="0096134C" w:rsidRPr="0096134C" w:rsidRDefault="0096134C" w:rsidP="0080575E">
            <w:pPr>
              <w:pStyle w:val="TableParagraph"/>
              <w:spacing w:before="39"/>
              <w:ind w:right="220"/>
              <w:jc w:val="right"/>
              <w:rPr>
                <w:rFonts w:ascii="Gill Sans MT" w:hAnsi="Gill Sans MT"/>
                <w:sz w:val="18"/>
              </w:rPr>
            </w:pPr>
            <w:r w:rsidRPr="0096134C">
              <w:rPr>
                <w:rFonts w:ascii="Gill Sans MT" w:hAnsi="Gill Sans MT"/>
                <w:sz w:val="18"/>
              </w:rPr>
              <w:t>1160</w:t>
            </w:r>
          </w:p>
        </w:tc>
      </w:tr>
      <w:tr w:rsidR="0096134C" w:rsidTr="0096134C">
        <w:trPr>
          <w:trHeight w:hRule="exact" w:val="291"/>
        </w:trPr>
        <w:tc>
          <w:tcPr>
            <w:tcW w:w="6549" w:type="dxa"/>
            <w:tcBorders>
              <w:bottom w:val="single" w:sz="4" w:space="0" w:color="004D8F"/>
            </w:tcBorders>
            <w:shd w:val="clear" w:color="auto" w:fill="auto"/>
          </w:tcPr>
          <w:p w:rsidR="0096134C" w:rsidRDefault="0096134C" w:rsidP="0080575E">
            <w:pPr>
              <w:pStyle w:val="TableParagraph"/>
              <w:spacing w:before="37"/>
              <w:ind w:left="76"/>
              <w:rPr>
                <w:rFonts w:ascii="GillSans-SemiBold"/>
                <w:b/>
                <w:sz w:val="18"/>
              </w:rPr>
            </w:pPr>
            <w:r>
              <w:rPr>
                <w:rFonts w:ascii="GillSans-SemiBold"/>
                <w:b/>
                <w:sz w:val="18"/>
              </w:rPr>
              <w:t>Total</w:t>
            </w:r>
          </w:p>
        </w:tc>
        <w:tc>
          <w:tcPr>
            <w:tcW w:w="1185" w:type="dxa"/>
            <w:tcBorders>
              <w:bottom w:val="single" w:sz="4" w:space="0" w:color="004D8F"/>
            </w:tcBorders>
            <w:shd w:val="clear" w:color="auto" w:fill="auto"/>
          </w:tcPr>
          <w:p w:rsidR="0096134C" w:rsidRDefault="0096134C" w:rsidP="0080575E">
            <w:pPr>
              <w:pStyle w:val="TableParagraph"/>
              <w:spacing w:before="37"/>
              <w:ind w:right="220"/>
              <w:jc w:val="right"/>
              <w:rPr>
                <w:rFonts w:ascii="GillSans-SemiBold"/>
                <w:b/>
                <w:sz w:val="18"/>
              </w:rPr>
            </w:pPr>
            <w:r>
              <w:rPr>
                <w:rFonts w:ascii="GillSans-SemiBold"/>
                <w:b/>
                <w:sz w:val="18"/>
              </w:rPr>
              <w:t>10140</w:t>
            </w:r>
          </w:p>
        </w:tc>
        <w:tc>
          <w:tcPr>
            <w:tcW w:w="1155" w:type="dxa"/>
            <w:tcBorders>
              <w:bottom w:val="single" w:sz="4" w:space="0" w:color="004D8F"/>
            </w:tcBorders>
            <w:shd w:val="clear" w:color="auto" w:fill="auto"/>
          </w:tcPr>
          <w:p w:rsidR="0096134C" w:rsidRDefault="0096134C" w:rsidP="0080575E">
            <w:pPr>
              <w:pStyle w:val="TableParagraph"/>
              <w:spacing w:before="37"/>
              <w:ind w:left="452"/>
              <w:rPr>
                <w:rFonts w:ascii="GillSans-SemiBold"/>
                <w:b/>
                <w:sz w:val="18"/>
              </w:rPr>
            </w:pPr>
            <w:r>
              <w:rPr>
                <w:rFonts w:ascii="GillSans-SemiBold"/>
                <w:b/>
                <w:sz w:val="18"/>
              </w:rPr>
              <w:t>10031</w:t>
            </w:r>
          </w:p>
        </w:tc>
        <w:tc>
          <w:tcPr>
            <w:tcW w:w="1160" w:type="dxa"/>
            <w:tcBorders>
              <w:bottom w:val="single" w:sz="4" w:space="0" w:color="004D8F"/>
            </w:tcBorders>
            <w:shd w:val="clear" w:color="auto" w:fill="auto"/>
          </w:tcPr>
          <w:p w:rsidR="0096134C" w:rsidRDefault="0096134C" w:rsidP="0080575E">
            <w:pPr>
              <w:pStyle w:val="TableParagraph"/>
              <w:spacing w:before="37"/>
              <w:ind w:right="220"/>
              <w:jc w:val="right"/>
              <w:rPr>
                <w:rFonts w:ascii="GillSans-SemiBold"/>
                <w:b/>
                <w:sz w:val="18"/>
              </w:rPr>
            </w:pPr>
            <w:r>
              <w:rPr>
                <w:rFonts w:ascii="GillSans-SemiBold"/>
                <w:b/>
                <w:sz w:val="18"/>
              </w:rPr>
              <w:t>10374</w:t>
            </w:r>
          </w:p>
        </w:tc>
      </w:tr>
    </w:tbl>
    <w:p w:rsidR="0096134C" w:rsidRDefault="0096134C" w:rsidP="0096134C">
      <w:pPr>
        <w:spacing w:before="43"/>
        <w:rPr>
          <w:sz w:val="16"/>
        </w:rPr>
      </w:pPr>
      <w:r>
        <w:rPr>
          <w:sz w:val="16"/>
        </w:rPr>
        <w:t>*Note due to organisational changes data has been remapped to the current organisational structure.</w:t>
      </w:r>
      <w:r>
        <w:rPr>
          <w:sz w:val="16"/>
        </w:rPr>
        <w:br/>
        <w:t>** Head of Agency, Holders of Prescribed Offices and Senior Executives and Equivalents.</w:t>
      </w:r>
    </w:p>
    <w:p w:rsidR="0096134C" w:rsidRDefault="0096134C">
      <w:pPr>
        <w:rPr>
          <w:sz w:val="16"/>
        </w:rPr>
      </w:pPr>
      <w:r>
        <w:rPr>
          <w:sz w:val="16"/>
        </w:rPr>
        <w:br w:type="page"/>
      </w:r>
    </w:p>
    <w:p w:rsidR="0096134C" w:rsidRDefault="000629C4" w:rsidP="000629C4">
      <w:pPr>
        <w:pStyle w:val="Heading4"/>
      </w:pPr>
      <w:r>
        <w:lastRenderedPageBreak/>
        <w:t>Total Head Count – number paid by salary bands and award</w:t>
      </w:r>
    </w:p>
    <w:tbl>
      <w:tblPr>
        <w:tblW w:w="0" w:type="auto"/>
        <w:tblInd w:w="5"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587"/>
        <w:gridCol w:w="964"/>
        <w:gridCol w:w="605"/>
        <w:gridCol w:w="900"/>
        <w:gridCol w:w="1080"/>
        <w:gridCol w:w="618"/>
        <w:gridCol w:w="553"/>
        <w:gridCol w:w="809"/>
        <w:gridCol w:w="806"/>
        <w:gridCol w:w="973"/>
        <w:gridCol w:w="676"/>
      </w:tblGrid>
      <w:tr w:rsidR="00F65E67" w:rsidRPr="000629C4" w:rsidTr="00F65E67">
        <w:trPr>
          <w:trHeight w:hRule="exact" w:val="880"/>
        </w:trPr>
        <w:tc>
          <w:tcPr>
            <w:tcW w:w="1587"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ind w:left="80"/>
              <w:rPr>
                <w:rFonts w:ascii="Gill Sans MT" w:hAnsi="Gill Sans MT"/>
                <w:b/>
                <w:sz w:val="16"/>
              </w:rPr>
            </w:pPr>
            <w:r w:rsidRPr="00F65E67">
              <w:rPr>
                <w:rFonts w:ascii="Gill Sans MT" w:hAnsi="Gill Sans MT"/>
                <w:b/>
                <w:w w:val="85"/>
                <w:sz w:val="16"/>
              </w:rPr>
              <w:t>Salary Band</w:t>
            </w:r>
          </w:p>
        </w:tc>
        <w:tc>
          <w:tcPr>
            <w:tcW w:w="964"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56" w:right="54" w:firstLine="2"/>
              <w:jc w:val="center"/>
              <w:rPr>
                <w:rFonts w:ascii="Gill Sans MT" w:hAnsi="Gill Sans MT"/>
                <w:b/>
                <w:sz w:val="16"/>
              </w:rPr>
            </w:pPr>
            <w:r w:rsidRPr="00F65E67">
              <w:rPr>
                <w:rFonts w:ascii="Gill Sans MT" w:hAnsi="Gill Sans MT"/>
                <w:b/>
                <w:w w:val="90"/>
                <w:sz w:val="16"/>
              </w:rPr>
              <w:t xml:space="preserve">Allied Health </w:t>
            </w:r>
            <w:r w:rsidRPr="00F65E67">
              <w:rPr>
                <w:rFonts w:ascii="Gill Sans MT" w:hAnsi="Gill Sans MT"/>
                <w:b/>
                <w:w w:val="80"/>
                <w:sz w:val="16"/>
              </w:rPr>
              <w:t>Professional</w:t>
            </w:r>
          </w:p>
        </w:tc>
        <w:tc>
          <w:tcPr>
            <w:tcW w:w="605"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66" w:right="64" w:firstLine="5"/>
              <w:jc w:val="both"/>
              <w:rPr>
                <w:rFonts w:ascii="Gill Sans MT" w:hAnsi="Gill Sans MT"/>
                <w:b/>
                <w:sz w:val="16"/>
              </w:rPr>
            </w:pPr>
            <w:r w:rsidRPr="00F65E67">
              <w:rPr>
                <w:rFonts w:ascii="Gill Sans MT" w:hAnsi="Gill Sans MT"/>
                <w:b/>
                <w:w w:val="80"/>
                <w:sz w:val="16"/>
              </w:rPr>
              <w:t>Dental Officer Award</w:t>
            </w:r>
          </w:p>
        </w:tc>
        <w:tc>
          <w:tcPr>
            <w:tcW w:w="900"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63" w:right="58"/>
              <w:jc w:val="center"/>
              <w:rPr>
                <w:rFonts w:ascii="Gill Sans MT" w:hAnsi="Gill Sans MT"/>
                <w:b/>
                <w:sz w:val="16"/>
              </w:rPr>
            </w:pPr>
            <w:r w:rsidRPr="00F65E67">
              <w:rPr>
                <w:rFonts w:ascii="Gill Sans MT" w:hAnsi="Gill Sans MT"/>
                <w:b/>
                <w:w w:val="85"/>
                <w:sz w:val="16"/>
              </w:rPr>
              <w:t>Health and</w:t>
            </w:r>
            <w:r w:rsidRPr="00F65E67">
              <w:rPr>
                <w:rFonts w:ascii="Gill Sans MT" w:hAnsi="Gill Sans MT"/>
                <w:b/>
                <w:w w:val="84"/>
                <w:sz w:val="16"/>
              </w:rPr>
              <w:t xml:space="preserve"> </w:t>
            </w:r>
            <w:r w:rsidRPr="00F65E67">
              <w:rPr>
                <w:rFonts w:ascii="Gill Sans MT" w:hAnsi="Gill Sans MT"/>
                <w:b/>
                <w:w w:val="90"/>
                <w:sz w:val="16"/>
              </w:rPr>
              <w:t>Human Services Award</w:t>
            </w:r>
          </w:p>
        </w:tc>
        <w:tc>
          <w:tcPr>
            <w:tcW w:w="1080"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43" w:right="41"/>
              <w:jc w:val="center"/>
              <w:rPr>
                <w:rFonts w:ascii="Gill Sans MT" w:hAnsi="Gill Sans MT"/>
                <w:b/>
                <w:sz w:val="16"/>
              </w:rPr>
            </w:pPr>
            <w:r w:rsidRPr="00F65E67">
              <w:rPr>
                <w:rFonts w:ascii="Gill Sans MT" w:hAnsi="Gill Sans MT"/>
                <w:b/>
                <w:w w:val="90"/>
                <w:sz w:val="16"/>
              </w:rPr>
              <w:t xml:space="preserve">Medical </w:t>
            </w:r>
            <w:r w:rsidRPr="00F65E67">
              <w:rPr>
                <w:rFonts w:ascii="Gill Sans MT" w:hAnsi="Gill Sans MT"/>
                <w:b/>
                <w:w w:val="80"/>
                <w:sz w:val="16"/>
              </w:rPr>
              <w:t xml:space="preserve">Practitioners </w:t>
            </w:r>
            <w:r w:rsidRPr="00F65E67">
              <w:rPr>
                <w:rFonts w:ascii="Gill Sans MT" w:hAnsi="Gill Sans MT"/>
                <w:b/>
                <w:w w:val="90"/>
                <w:sz w:val="16"/>
              </w:rPr>
              <w:t>Award</w:t>
            </w:r>
          </w:p>
        </w:tc>
        <w:tc>
          <w:tcPr>
            <w:tcW w:w="618"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87" w:right="69" w:hanging="16"/>
              <w:rPr>
                <w:rFonts w:ascii="Gill Sans MT" w:hAnsi="Gill Sans MT"/>
                <w:b/>
                <w:sz w:val="16"/>
              </w:rPr>
            </w:pPr>
            <w:r w:rsidRPr="00F65E67">
              <w:rPr>
                <w:rFonts w:ascii="Gill Sans MT" w:hAnsi="Gill Sans MT"/>
                <w:b/>
                <w:w w:val="75"/>
                <w:sz w:val="16"/>
              </w:rPr>
              <w:t xml:space="preserve">Nurses </w:t>
            </w:r>
            <w:r w:rsidRPr="00F65E67">
              <w:rPr>
                <w:rFonts w:ascii="Gill Sans MT" w:hAnsi="Gill Sans MT"/>
                <w:b/>
                <w:w w:val="80"/>
                <w:sz w:val="16"/>
              </w:rPr>
              <w:t>Award</w:t>
            </w:r>
          </w:p>
        </w:tc>
        <w:tc>
          <w:tcPr>
            <w:tcW w:w="553"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ind w:right="68"/>
              <w:jc w:val="right"/>
              <w:rPr>
                <w:rFonts w:ascii="Gill Sans MT" w:hAnsi="Gill Sans MT"/>
                <w:b/>
                <w:sz w:val="16"/>
              </w:rPr>
            </w:pPr>
            <w:r w:rsidRPr="00F65E67">
              <w:rPr>
                <w:rFonts w:ascii="Gill Sans MT" w:hAnsi="Gill Sans MT"/>
                <w:b/>
                <w:w w:val="80"/>
                <w:sz w:val="16"/>
              </w:rPr>
              <w:t>Other</w:t>
            </w:r>
          </w:p>
        </w:tc>
        <w:tc>
          <w:tcPr>
            <w:tcW w:w="809"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69" w:hanging="3"/>
              <w:rPr>
                <w:rFonts w:ascii="Gill Sans MT" w:hAnsi="Gill Sans MT"/>
                <w:b/>
                <w:sz w:val="16"/>
              </w:rPr>
            </w:pPr>
            <w:r w:rsidRPr="00F65E67">
              <w:rPr>
                <w:rFonts w:ascii="Gill Sans MT" w:hAnsi="Gill Sans MT"/>
                <w:b/>
                <w:w w:val="80"/>
                <w:sz w:val="16"/>
              </w:rPr>
              <w:t>Radiation Therapist</w:t>
            </w:r>
          </w:p>
        </w:tc>
        <w:tc>
          <w:tcPr>
            <w:tcW w:w="806"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68" w:right="66" w:firstLine="3"/>
              <w:jc w:val="center"/>
              <w:rPr>
                <w:rFonts w:ascii="Gill Sans MT" w:hAnsi="Gill Sans MT"/>
                <w:b/>
                <w:sz w:val="16"/>
              </w:rPr>
            </w:pPr>
            <w:r w:rsidRPr="00F65E67">
              <w:rPr>
                <w:rFonts w:ascii="Gill Sans MT" w:hAnsi="Gill Sans MT"/>
                <w:b/>
                <w:w w:val="90"/>
                <w:sz w:val="16"/>
              </w:rPr>
              <w:t xml:space="preserve">Senior </w:t>
            </w:r>
            <w:r w:rsidRPr="00F65E67">
              <w:rPr>
                <w:rFonts w:ascii="Gill Sans MT" w:hAnsi="Gill Sans MT"/>
                <w:b/>
                <w:w w:val="80"/>
                <w:sz w:val="16"/>
              </w:rPr>
              <w:t xml:space="preserve">Executive </w:t>
            </w:r>
            <w:r w:rsidRPr="00F65E67">
              <w:rPr>
                <w:rFonts w:ascii="Gill Sans MT" w:hAnsi="Gill Sans MT"/>
                <w:b/>
                <w:w w:val="90"/>
                <w:sz w:val="16"/>
              </w:rPr>
              <w:t>Service</w:t>
            </w:r>
          </w:p>
        </w:tc>
        <w:tc>
          <w:tcPr>
            <w:tcW w:w="973"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60" w:right="58" w:hanging="1"/>
              <w:jc w:val="center"/>
              <w:rPr>
                <w:rFonts w:ascii="Gill Sans MT" w:hAnsi="Gill Sans MT"/>
                <w:b/>
                <w:sz w:val="16"/>
              </w:rPr>
            </w:pPr>
            <w:r w:rsidRPr="00F65E67">
              <w:rPr>
                <w:rFonts w:ascii="Gill Sans MT" w:hAnsi="Gill Sans MT"/>
                <w:b/>
                <w:w w:val="90"/>
                <w:sz w:val="16"/>
              </w:rPr>
              <w:t xml:space="preserve">Visiting Medical </w:t>
            </w:r>
            <w:r w:rsidRPr="00F65E67">
              <w:rPr>
                <w:rFonts w:ascii="Gill Sans MT" w:hAnsi="Gill Sans MT"/>
                <w:b/>
                <w:w w:val="80"/>
                <w:sz w:val="16"/>
              </w:rPr>
              <w:t>Practitioner</w:t>
            </w:r>
          </w:p>
        </w:tc>
        <w:tc>
          <w:tcPr>
            <w:tcW w:w="676" w:type="dxa"/>
            <w:tcBorders>
              <w:top w:val="single" w:sz="4" w:space="0" w:color="004D8F"/>
              <w:left w:val="single" w:sz="4" w:space="0" w:color="004D8F"/>
              <w:bottom w:val="single" w:sz="4" w:space="0" w:color="004D8F"/>
              <w:right w:val="single" w:sz="4" w:space="0" w:color="004D8F"/>
            </w:tcBorders>
            <w:shd w:val="clear" w:color="auto" w:fill="auto"/>
          </w:tcPr>
          <w:p w:rsidR="000629C4" w:rsidRPr="00F65E67" w:rsidRDefault="000629C4" w:rsidP="0080575E">
            <w:pPr>
              <w:pStyle w:val="TableParagraph"/>
              <w:spacing w:before="52" w:line="259" w:lineRule="auto"/>
              <w:ind w:left="159" w:right="118" w:hanging="38"/>
              <w:rPr>
                <w:rFonts w:ascii="Gill Sans MT" w:hAnsi="Gill Sans MT"/>
                <w:b/>
                <w:sz w:val="16"/>
              </w:rPr>
            </w:pPr>
            <w:r w:rsidRPr="00F65E67">
              <w:rPr>
                <w:rFonts w:ascii="Gill Sans MT" w:hAnsi="Gill Sans MT"/>
                <w:b/>
                <w:w w:val="80"/>
                <w:sz w:val="16"/>
              </w:rPr>
              <w:t xml:space="preserve">Grand </w:t>
            </w:r>
            <w:r w:rsidRPr="00F65E67">
              <w:rPr>
                <w:rFonts w:ascii="Gill Sans MT" w:hAnsi="Gill Sans MT"/>
                <w:b/>
                <w:w w:val="85"/>
                <w:sz w:val="16"/>
              </w:rPr>
              <w:t>Total</w:t>
            </w:r>
          </w:p>
        </w:tc>
      </w:tr>
      <w:tr w:rsidR="00F65E67" w:rsidRPr="000629C4" w:rsidTr="00F65E67">
        <w:trPr>
          <w:trHeight w:hRule="exact" w:val="291"/>
        </w:trPr>
        <w:tc>
          <w:tcPr>
            <w:tcW w:w="1587"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42"/>
              <w:ind w:left="75"/>
              <w:rPr>
                <w:rFonts w:ascii="Gill Sans MT" w:hAnsi="Gill Sans MT"/>
                <w:sz w:val="18"/>
              </w:rPr>
            </w:pPr>
            <w:r w:rsidRPr="000629C4">
              <w:rPr>
                <w:rFonts w:ascii="Gill Sans MT" w:hAnsi="Gill Sans MT"/>
                <w:sz w:val="18"/>
              </w:rPr>
              <w:t>19 001-23 000</w:t>
            </w:r>
          </w:p>
        </w:tc>
        <w:tc>
          <w:tcPr>
            <w:tcW w:w="964"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05"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1080"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553"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42"/>
              <w:ind w:right="107"/>
              <w:jc w:val="right"/>
              <w:rPr>
                <w:rFonts w:ascii="Gill Sans MT" w:hAnsi="Gill Sans MT"/>
                <w:sz w:val="18"/>
              </w:rPr>
            </w:pPr>
            <w:r w:rsidRPr="000629C4">
              <w:rPr>
                <w:rFonts w:ascii="Gill Sans MT" w:hAnsi="Gill Sans MT"/>
                <w:sz w:val="18"/>
              </w:rPr>
              <w:t>5</w:t>
            </w:r>
          </w:p>
        </w:tc>
        <w:tc>
          <w:tcPr>
            <w:tcW w:w="809"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4"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41"/>
              <w:ind w:right="74"/>
              <w:jc w:val="right"/>
              <w:rPr>
                <w:rFonts w:ascii="Gill Sans MT" w:hAnsi="Gill Sans MT"/>
                <w:b/>
                <w:sz w:val="18"/>
              </w:rPr>
            </w:pPr>
            <w:r w:rsidRPr="000629C4">
              <w:rPr>
                <w:rFonts w:ascii="Gill Sans MT" w:hAnsi="Gill Sans MT"/>
                <w:b/>
                <w:sz w:val="18"/>
              </w:rPr>
              <w:t>5</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40 001-45 000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140</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140</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45 001-50 000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1"/>
              <w:jc w:val="right"/>
              <w:rPr>
                <w:rFonts w:ascii="Gill Sans MT" w:hAnsi="Gill Sans MT"/>
                <w:sz w:val="18"/>
              </w:rPr>
            </w:pPr>
            <w:r w:rsidRPr="000629C4">
              <w:rPr>
                <w:rFonts w:ascii="Gill Sans MT" w:hAnsi="Gill Sans MT"/>
                <w:sz w:val="18"/>
              </w:rPr>
              <w:t>953</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3"/>
              <w:jc w:val="right"/>
              <w:rPr>
                <w:rFonts w:ascii="Gill Sans MT" w:hAnsi="Gill Sans MT"/>
                <w:sz w:val="18"/>
              </w:rPr>
            </w:pPr>
            <w:r w:rsidRPr="000629C4">
              <w:rPr>
                <w:rFonts w:ascii="Gill Sans MT" w:hAnsi="Gill Sans MT"/>
                <w:sz w:val="18"/>
              </w:rPr>
              <w:t>84</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1037</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50 001-55 000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4</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4"/>
              <w:jc w:val="right"/>
              <w:rPr>
                <w:rFonts w:ascii="Gill Sans MT" w:hAnsi="Gill Sans MT"/>
                <w:sz w:val="18"/>
              </w:rPr>
            </w:pPr>
            <w:r w:rsidRPr="000629C4">
              <w:rPr>
                <w:rFonts w:ascii="Gill Sans MT" w:hAnsi="Gill Sans MT"/>
                <w:sz w:val="18"/>
              </w:rPr>
              <w:t>776</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8"/>
              <w:jc w:val="right"/>
              <w:rPr>
                <w:rFonts w:ascii="Gill Sans MT" w:hAnsi="Gill Sans MT"/>
                <w:sz w:val="18"/>
              </w:rPr>
            </w:pPr>
            <w:r w:rsidRPr="000629C4">
              <w:rPr>
                <w:rFonts w:ascii="Gill Sans MT" w:hAnsi="Gill Sans MT"/>
                <w:sz w:val="18"/>
              </w:rPr>
              <w:t>14</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794</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55 001-60 000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8"/>
              <w:jc w:val="right"/>
              <w:rPr>
                <w:rFonts w:ascii="Gill Sans MT" w:hAnsi="Gill Sans MT"/>
                <w:sz w:val="18"/>
              </w:rPr>
            </w:pPr>
            <w:r w:rsidRPr="000629C4">
              <w:rPr>
                <w:rFonts w:ascii="Gill Sans MT" w:hAnsi="Gill Sans MT"/>
                <w:sz w:val="18"/>
              </w:rPr>
              <w:t>91</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9"/>
              <w:jc w:val="right"/>
              <w:rPr>
                <w:rFonts w:ascii="Gill Sans MT" w:hAnsi="Gill Sans MT"/>
                <w:sz w:val="18"/>
              </w:rPr>
            </w:pPr>
            <w:r w:rsidRPr="000629C4">
              <w:rPr>
                <w:rFonts w:ascii="Gill Sans MT" w:hAnsi="Gill Sans MT"/>
                <w:sz w:val="18"/>
              </w:rPr>
              <w:t>847</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4"/>
              <w:jc w:val="right"/>
              <w:rPr>
                <w:rFonts w:ascii="Gill Sans MT" w:hAnsi="Gill Sans MT"/>
                <w:sz w:val="18"/>
              </w:rPr>
            </w:pPr>
            <w:r w:rsidRPr="000629C4">
              <w:rPr>
                <w:rFonts w:ascii="Gill Sans MT" w:hAnsi="Gill Sans MT"/>
                <w:sz w:val="18"/>
              </w:rPr>
              <w:t>674</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81"/>
              <w:jc w:val="right"/>
              <w:rPr>
                <w:rFonts w:ascii="Gill Sans MT" w:hAnsi="Gill Sans MT"/>
                <w:b/>
                <w:sz w:val="18"/>
              </w:rPr>
            </w:pPr>
            <w:r w:rsidRPr="000629C4">
              <w:rPr>
                <w:rFonts w:ascii="Gill Sans MT" w:hAnsi="Gill Sans MT"/>
                <w:b/>
                <w:sz w:val="18"/>
              </w:rPr>
              <w:t>1612</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60 001-65 000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8"/>
              <w:jc w:val="right"/>
              <w:rPr>
                <w:rFonts w:ascii="Gill Sans MT" w:hAnsi="Gill Sans MT"/>
                <w:sz w:val="18"/>
              </w:rPr>
            </w:pPr>
            <w:r w:rsidRPr="000629C4">
              <w:rPr>
                <w:rFonts w:ascii="Gill Sans MT" w:hAnsi="Gill Sans MT"/>
                <w:sz w:val="18"/>
              </w:rPr>
              <w:t>37</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8"/>
              <w:jc w:val="right"/>
              <w:rPr>
                <w:rFonts w:ascii="Gill Sans MT" w:hAnsi="Gill Sans MT"/>
                <w:sz w:val="18"/>
              </w:rPr>
            </w:pPr>
            <w:r w:rsidRPr="000629C4">
              <w:rPr>
                <w:rFonts w:ascii="Gill Sans MT" w:hAnsi="Gill Sans MT"/>
                <w:sz w:val="18"/>
              </w:rPr>
              <w:t>407</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8"/>
              <w:jc w:val="right"/>
              <w:rPr>
                <w:rFonts w:ascii="Gill Sans MT" w:hAnsi="Gill Sans MT"/>
                <w:sz w:val="18"/>
              </w:rPr>
            </w:pPr>
            <w:r w:rsidRPr="000629C4">
              <w:rPr>
                <w:rFonts w:ascii="Gill Sans MT" w:hAnsi="Gill Sans MT"/>
                <w:sz w:val="18"/>
              </w:rPr>
              <w:t>91</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7"/>
              <w:jc w:val="right"/>
              <w:rPr>
                <w:rFonts w:ascii="Gill Sans MT" w:hAnsi="Gill Sans MT"/>
                <w:sz w:val="18"/>
              </w:rPr>
            </w:pPr>
            <w:r w:rsidRPr="000629C4">
              <w:rPr>
                <w:rFonts w:ascii="Gill Sans MT" w:hAnsi="Gill Sans MT"/>
                <w:sz w:val="18"/>
              </w:rPr>
              <w:t>361</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896</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65 001-70 000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6"/>
              <w:jc w:val="right"/>
              <w:rPr>
                <w:rFonts w:ascii="Gill Sans MT" w:hAnsi="Gill Sans MT"/>
                <w:sz w:val="18"/>
              </w:rPr>
            </w:pPr>
            <w:r w:rsidRPr="000629C4">
              <w:rPr>
                <w:rFonts w:ascii="Gill Sans MT" w:hAnsi="Gill Sans MT"/>
                <w:sz w:val="18"/>
              </w:rPr>
              <w:t>41</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0"/>
              <w:jc w:val="right"/>
              <w:rPr>
                <w:rFonts w:ascii="Gill Sans MT" w:hAnsi="Gill Sans MT"/>
                <w:sz w:val="18"/>
              </w:rPr>
            </w:pPr>
            <w:r w:rsidRPr="000629C4">
              <w:rPr>
                <w:rFonts w:ascii="Gill Sans MT" w:hAnsi="Gill Sans MT"/>
                <w:sz w:val="18"/>
              </w:rPr>
              <w:t>42</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4"/>
              <w:jc w:val="right"/>
              <w:rPr>
                <w:rFonts w:ascii="Gill Sans MT" w:hAnsi="Gill Sans MT"/>
                <w:sz w:val="18"/>
              </w:rPr>
            </w:pPr>
            <w:r w:rsidRPr="000629C4">
              <w:rPr>
                <w:rFonts w:ascii="Gill Sans MT" w:hAnsi="Gill Sans MT"/>
                <w:sz w:val="18"/>
              </w:rPr>
              <w:t>68</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21"/>
              <w:jc w:val="right"/>
              <w:rPr>
                <w:rFonts w:ascii="Gill Sans MT" w:hAnsi="Gill Sans MT"/>
                <w:sz w:val="18"/>
              </w:rPr>
            </w:pPr>
            <w:r w:rsidRPr="000629C4">
              <w:rPr>
                <w:rFonts w:ascii="Gill Sans MT" w:hAnsi="Gill Sans MT"/>
                <w:sz w:val="18"/>
              </w:rPr>
              <w:t>213</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364</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70 001-75 000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8"/>
              <w:jc w:val="right"/>
              <w:rPr>
                <w:rFonts w:ascii="Gill Sans MT" w:hAnsi="Gill Sans MT"/>
                <w:sz w:val="18"/>
              </w:rPr>
            </w:pPr>
            <w:r w:rsidRPr="000629C4">
              <w:rPr>
                <w:rFonts w:ascii="Gill Sans MT" w:hAnsi="Gill Sans MT"/>
                <w:sz w:val="18"/>
              </w:rPr>
              <w:t>56</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148</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23</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0"/>
              <w:jc w:val="right"/>
              <w:rPr>
                <w:rFonts w:ascii="Gill Sans MT" w:hAnsi="Gill Sans MT"/>
                <w:sz w:val="18"/>
              </w:rPr>
            </w:pPr>
            <w:r w:rsidRPr="000629C4">
              <w:rPr>
                <w:rFonts w:ascii="Gill Sans MT" w:hAnsi="Gill Sans MT"/>
                <w:sz w:val="18"/>
              </w:rPr>
              <w:t>293</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5</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525</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75 001-80 000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6"/>
              <w:jc w:val="right"/>
              <w:rPr>
                <w:rFonts w:ascii="Gill Sans MT" w:hAnsi="Gill Sans MT"/>
                <w:sz w:val="18"/>
              </w:rPr>
            </w:pPr>
            <w:r w:rsidRPr="000629C4">
              <w:rPr>
                <w:rFonts w:ascii="Gill Sans MT" w:hAnsi="Gill Sans MT"/>
                <w:sz w:val="18"/>
              </w:rPr>
              <w:t>14</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6"/>
              <w:jc w:val="right"/>
              <w:rPr>
                <w:rFonts w:ascii="Gill Sans MT" w:hAnsi="Gill Sans MT"/>
                <w:sz w:val="18"/>
              </w:rPr>
            </w:pPr>
            <w:r w:rsidRPr="000629C4">
              <w:rPr>
                <w:rFonts w:ascii="Gill Sans MT" w:hAnsi="Gill Sans MT"/>
                <w:sz w:val="18"/>
              </w:rPr>
              <w:t>19</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6"/>
              <w:jc w:val="right"/>
              <w:rPr>
                <w:rFonts w:ascii="Gill Sans MT" w:hAnsi="Gill Sans MT"/>
                <w:sz w:val="18"/>
              </w:rPr>
            </w:pPr>
            <w:r w:rsidRPr="000629C4">
              <w:rPr>
                <w:rFonts w:ascii="Gill Sans MT" w:hAnsi="Gill Sans MT"/>
                <w:sz w:val="18"/>
              </w:rPr>
              <w:t>14</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8"/>
              <w:jc w:val="right"/>
              <w:rPr>
                <w:rFonts w:ascii="Gill Sans MT" w:hAnsi="Gill Sans MT"/>
                <w:sz w:val="18"/>
              </w:rPr>
            </w:pPr>
            <w:r w:rsidRPr="000629C4">
              <w:rPr>
                <w:rFonts w:ascii="Gill Sans MT" w:hAnsi="Gill Sans MT"/>
                <w:sz w:val="18"/>
              </w:rPr>
              <w:t>1370</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9</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1426</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left="75"/>
              <w:rPr>
                <w:rFonts w:ascii="Gill Sans MT" w:hAnsi="Gill Sans MT"/>
                <w:sz w:val="18"/>
              </w:rPr>
            </w:pPr>
            <w:r w:rsidRPr="000629C4">
              <w:rPr>
                <w:rFonts w:ascii="Gill Sans MT" w:hAnsi="Gill Sans MT"/>
                <w:sz w:val="18"/>
              </w:rPr>
              <w:t>80 001-85 000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49</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1"/>
              <w:jc w:val="right"/>
              <w:rPr>
                <w:rFonts w:ascii="Gill Sans MT" w:hAnsi="Gill Sans MT"/>
                <w:sz w:val="18"/>
              </w:rPr>
            </w:pPr>
            <w:r w:rsidRPr="000629C4">
              <w:rPr>
                <w:rFonts w:ascii="Gill Sans MT" w:hAnsi="Gill Sans MT"/>
                <w:sz w:val="18"/>
              </w:rPr>
              <w:t>64</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60</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17"/>
              <w:jc w:val="right"/>
              <w:rPr>
                <w:rFonts w:ascii="Gill Sans MT" w:hAnsi="Gill Sans MT"/>
                <w:sz w:val="18"/>
              </w:rPr>
            </w:pPr>
            <w:r w:rsidRPr="000629C4">
              <w:rPr>
                <w:rFonts w:ascii="Gill Sans MT" w:hAnsi="Gill Sans MT"/>
                <w:sz w:val="18"/>
              </w:rPr>
              <w:t>991</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8"/>
              <w:ind w:right="107"/>
              <w:jc w:val="right"/>
              <w:rPr>
                <w:rFonts w:ascii="Gill Sans MT" w:hAnsi="Gill Sans MT"/>
                <w:sz w:val="18"/>
              </w:rPr>
            </w:pPr>
            <w:r w:rsidRPr="000629C4">
              <w:rPr>
                <w:rFonts w:ascii="Gill Sans MT" w:hAnsi="Gill Sans MT"/>
                <w:sz w:val="18"/>
              </w:rPr>
              <w:t>1</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1165</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6"/>
              <w:rPr>
                <w:rFonts w:ascii="Gill Sans MT" w:hAnsi="Gill Sans MT"/>
                <w:sz w:val="18"/>
              </w:rPr>
            </w:pPr>
            <w:r w:rsidRPr="000629C4">
              <w:rPr>
                <w:rFonts w:ascii="Gill Sans MT" w:hAnsi="Gill Sans MT"/>
                <w:sz w:val="18"/>
              </w:rPr>
              <w:t>85 001-90 000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215</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8"/>
              <w:jc w:val="right"/>
              <w:rPr>
                <w:rFonts w:ascii="Gill Sans MT" w:hAnsi="Gill Sans MT"/>
                <w:sz w:val="18"/>
              </w:rPr>
            </w:pPr>
            <w:r w:rsidRPr="000629C4">
              <w:rPr>
                <w:rFonts w:ascii="Gill Sans MT" w:hAnsi="Gill Sans MT"/>
                <w:sz w:val="18"/>
              </w:rPr>
              <w:t>12</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4"/>
              <w:jc w:val="right"/>
              <w:rPr>
                <w:rFonts w:ascii="Gill Sans MT" w:hAnsi="Gill Sans MT"/>
                <w:sz w:val="18"/>
              </w:rPr>
            </w:pPr>
            <w:r w:rsidRPr="000629C4">
              <w:rPr>
                <w:rFonts w:ascii="Gill Sans MT" w:hAnsi="Gill Sans MT"/>
                <w:sz w:val="18"/>
              </w:rPr>
              <w:t>54</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108</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2</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391</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5"/>
              <w:rPr>
                <w:rFonts w:ascii="Gill Sans MT" w:hAnsi="Gill Sans MT"/>
                <w:sz w:val="18"/>
              </w:rPr>
            </w:pPr>
            <w:r w:rsidRPr="000629C4">
              <w:rPr>
                <w:rFonts w:ascii="Gill Sans MT" w:hAnsi="Gill Sans MT"/>
                <w:sz w:val="18"/>
              </w:rPr>
              <w:t>90 001-95 000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384</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5"/>
              <w:jc w:val="right"/>
              <w:rPr>
                <w:rFonts w:ascii="Gill Sans MT" w:hAnsi="Gill Sans MT"/>
                <w:sz w:val="18"/>
              </w:rPr>
            </w:pPr>
            <w:r w:rsidRPr="000629C4">
              <w:rPr>
                <w:rFonts w:ascii="Gill Sans MT" w:hAnsi="Gill Sans MT"/>
                <w:sz w:val="18"/>
              </w:rPr>
              <w:t>18</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8"/>
              <w:jc w:val="right"/>
              <w:rPr>
                <w:rFonts w:ascii="Gill Sans MT" w:hAnsi="Gill Sans MT"/>
                <w:sz w:val="18"/>
              </w:rPr>
            </w:pPr>
            <w:r w:rsidRPr="000629C4">
              <w:rPr>
                <w:rFonts w:ascii="Gill Sans MT" w:hAnsi="Gill Sans MT"/>
                <w:sz w:val="18"/>
              </w:rPr>
              <w:t>227</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6</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635</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5"/>
              <w:rPr>
                <w:rFonts w:ascii="Gill Sans MT" w:hAnsi="Gill Sans MT"/>
                <w:sz w:val="18"/>
              </w:rPr>
            </w:pPr>
            <w:r w:rsidRPr="000629C4">
              <w:rPr>
                <w:rFonts w:ascii="Gill Sans MT" w:hAnsi="Gill Sans MT"/>
                <w:sz w:val="18"/>
              </w:rPr>
              <w:t>95 001-100 000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4"/>
              <w:jc w:val="right"/>
              <w:rPr>
                <w:rFonts w:ascii="Gill Sans MT" w:hAnsi="Gill Sans MT"/>
                <w:sz w:val="18"/>
              </w:rPr>
            </w:pPr>
            <w:r w:rsidRPr="000629C4">
              <w:rPr>
                <w:rFonts w:ascii="Gill Sans MT" w:hAnsi="Gill Sans MT"/>
                <w:sz w:val="18"/>
              </w:rPr>
              <w:t>10</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7"/>
              <w:jc w:val="right"/>
              <w:rPr>
                <w:rFonts w:ascii="Gill Sans MT" w:hAnsi="Gill Sans MT"/>
                <w:sz w:val="18"/>
              </w:rPr>
            </w:pPr>
            <w:r w:rsidRPr="000629C4">
              <w:rPr>
                <w:rFonts w:ascii="Gill Sans MT" w:hAnsi="Gill Sans MT"/>
                <w:sz w:val="18"/>
              </w:rPr>
              <w:t>71</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6"/>
              <w:jc w:val="right"/>
              <w:rPr>
                <w:rFonts w:ascii="Gill Sans MT" w:hAnsi="Gill Sans MT"/>
                <w:sz w:val="18"/>
              </w:rPr>
            </w:pPr>
            <w:r w:rsidRPr="000629C4">
              <w:rPr>
                <w:rFonts w:ascii="Gill Sans MT" w:hAnsi="Gill Sans MT"/>
                <w:sz w:val="18"/>
              </w:rPr>
              <w:t>35</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9"/>
              <w:jc w:val="right"/>
              <w:rPr>
                <w:rFonts w:ascii="Gill Sans MT" w:hAnsi="Gill Sans MT"/>
                <w:sz w:val="18"/>
              </w:rPr>
            </w:pPr>
            <w:r w:rsidRPr="000629C4">
              <w:rPr>
                <w:rFonts w:ascii="Gill Sans MT" w:hAnsi="Gill Sans MT"/>
                <w:sz w:val="18"/>
              </w:rPr>
              <w:t>55</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8"/>
              <w:jc w:val="right"/>
              <w:rPr>
                <w:rFonts w:ascii="Gill Sans MT" w:hAnsi="Gill Sans MT"/>
                <w:sz w:val="18"/>
              </w:rPr>
            </w:pPr>
            <w:r w:rsidRPr="000629C4">
              <w:rPr>
                <w:rFonts w:ascii="Gill Sans MT" w:hAnsi="Gill Sans MT"/>
                <w:sz w:val="18"/>
              </w:rPr>
              <w:t>12</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3"/>
              <w:jc w:val="right"/>
              <w:rPr>
                <w:rFonts w:ascii="Gill Sans MT" w:hAnsi="Gill Sans MT"/>
                <w:b/>
                <w:sz w:val="18"/>
              </w:rPr>
            </w:pPr>
            <w:r w:rsidRPr="000629C4">
              <w:rPr>
                <w:rFonts w:ascii="Gill Sans MT" w:hAnsi="Gill Sans MT"/>
                <w:b/>
                <w:sz w:val="18"/>
              </w:rPr>
              <w:t>183</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5"/>
              <w:rPr>
                <w:rFonts w:ascii="Gill Sans MT" w:hAnsi="Gill Sans MT"/>
                <w:sz w:val="18"/>
              </w:rPr>
            </w:pPr>
            <w:r w:rsidRPr="000629C4">
              <w:rPr>
                <w:rFonts w:ascii="Gill Sans MT" w:hAnsi="Gill Sans MT"/>
                <w:sz w:val="18"/>
              </w:rPr>
              <w:t>100 001-200 000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190</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0"/>
              <w:jc w:val="right"/>
              <w:rPr>
                <w:rFonts w:ascii="Gill Sans MT" w:hAnsi="Gill Sans MT"/>
                <w:sz w:val="18"/>
              </w:rPr>
            </w:pPr>
            <w:r w:rsidRPr="000629C4">
              <w:rPr>
                <w:rFonts w:ascii="Gill Sans MT" w:hAnsi="Gill Sans MT"/>
                <w:sz w:val="18"/>
              </w:rPr>
              <w:t>44</w:t>
            </w: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63</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445</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150</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11"/>
              <w:jc w:val="right"/>
              <w:rPr>
                <w:rFonts w:ascii="Gill Sans MT" w:hAnsi="Gill Sans MT"/>
                <w:sz w:val="18"/>
              </w:rPr>
            </w:pPr>
            <w:r w:rsidRPr="000629C4">
              <w:rPr>
                <w:rFonts w:ascii="Gill Sans MT" w:hAnsi="Gill Sans MT"/>
                <w:sz w:val="18"/>
              </w:rPr>
              <w:t>24</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5</w:t>
            </w: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81"/>
              <w:jc w:val="right"/>
              <w:rPr>
                <w:rFonts w:ascii="Gill Sans MT" w:hAnsi="Gill Sans MT"/>
                <w:b/>
                <w:sz w:val="18"/>
              </w:rPr>
            </w:pPr>
            <w:r w:rsidRPr="000629C4">
              <w:rPr>
                <w:rFonts w:ascii="Gill Sans MT" w:hAnsi="Gill Sans MT"/>
                <w:b/>
                <w:sz w:val="18"/>
              </w:rPr>
              <w:t>921</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5"/>
              <w:rPr>
                <w:rFonts w:ascii="Gill Sans MT" w:hAnsi="Gill Sans MT"/>
                <w:sz w:val="18"/>
              </w:rPr>
            </w:pPr>
            <w:r w:rsidRPr="000629C4">
              <w:rPr>
                <w:rFonts w:ascii="Gill Sans MT" w:hAnsi="Gill Sans MT"/>
                <w:sz w:val="18"/>
              </w:rPr>
              <w:t>200 001-400 000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92</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w:t>
            </w: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186</w:t>
            </w: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279</w:t>
            </w:r>
          </w:p>
        </w:tc>
      </w:tr>
      <w:tr w:rsidR="00F65E67" w:rsidRPr="000629C4"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left="75"/>
              <w:rPr>
                <w:rFonts w:ascii="Gill Sans MT" w:hAnsi="Gill Sans MT"/>
                <w:sz w:val="18"/>
              </w:rPr>
            </w:pPr>
            <w:r w:rsidRPr="000629C4">
              <w:rPr>
                <w:rFonts w:ascii="Gill Sans MT" w:hAnsi="Gill Sans MT"/>
                <w:sz w:val="18"/>
              </w:rPr>
              <w:t>400 001-500 000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9"/>
              <w:ind w:right="107"/>
              <w:jc w:val="right"/>
              <w:rPr>
                <w:rFonts w:ascii="Gill Sans MT" w:hAnsi="Gill Sans MT"/>
                <w:sz w:val="18"/>
              </w:rPr>
            </w:pPr>
            <w:r w:rsidRPr="000629C4">
              <w:rPr>
                <w:rFonts w:ascii="Gill Sans MT" w:hAnsi="Gill Sans MT"/>
                <w:sz w:val="18"/>
              </w:rPr>
              <w:t>1</w:t>
            </w: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1</w:t>
            </w:r>
          </w:p>
        </w:tc>
      </w:tr>
      <w:tr w:rsidR="00F65E67" w:rsidRPr="000629C4" w:rsidTr="00F65E67">
        <w:trPr>
          <w:trHeight w:hRule="exact" w:val="291"/>
        </w:trPr>
        <w:tc>
          <w:tcPr>
            <w:tcW w:w="1587"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left="75"/>
              <w:rPr>
                <w:rFonts w:ascii="Gill Sans MT" w:hAnsi="Gill Sans MT"/>
                <w:b/>
                <w:sz w:val="18"/>
              </w:rPr>
            </w:pPr>
            <w:r w:rsidRPr="000629C4">
              <w:rPr>
                <w:rFonts w:ascii="Gill Sans MT" w:hAnsi="Gill Sans MT"/>
                <w:b/>
                <w:sz w:val="18"/>
              </w:rPr>
              <w:t>Grand Total</w:t>
            </w:r>
          </w:p>
        </w:tc>
        <w:tc>
          <w:tcPr>
            <w:tcW w:w="964"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1091</w:t>
            </w:r>
          </w:p>
        </w:tc>
        <w:tc>
          <w:tcPr>
            <w:tcW w:w="605"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44</w:t>
            </w:r>
          </w:p>
        </w:tc>
        <w:tc>
          <w:tcPr>
            <w:tcW w:w="900"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3560</w:t>
            </w:r>
          </w:p>
        </w:tc>
        <w:tc>
          <w:tcPr>
            <w:tcW w:w="1080"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4"/>
              <w:jc w:val="right"/>
              <w:rPr>
                <w:rFonts w:ascii="Gill Sans MT" w:hAnsi="Gill Sans MT"/>
                <w:b/>
                <w:sz w:val="18"/>
              </w:rPr>
            </w:pPr>
            <w:r w:rsidRPr="000629C4">
              <w:rPr>
                <w:rFonts w:ascii="Gill Sans MT" w:hAnsi="Gill Sans MT"/>
                <w:b/>
                <w:sz w:val="18"/>
              </w:rPr>
              <w:t>882</w:t>
            </w:r>
          </w:p>
        </w:tc>
        <w:tc>
          <w:tcPr>
            <w:tcW w:w="618"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4540</w:t>
            </w:r>
          </w:p>
        </w:tc>
        <w:tc>
          <w:tcPr>
            <w:tcW w:w="553"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7</w:t>
            </w:r>
          </w:p>
        </w:tc>
        <w:tc>
          <w:tcPr>
            <w:tcW w:w="809"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59</w:t>
            </w:r>
          </w:p>
        </w:tc>
        <w:tc>
          <w:tcPr>
            <w:tcW w:w="806"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5</w:t>
            </w:r>
          </w:p>
        </w:tc>
        <w:tc>
          <w:tcPr>
            <w:tcW w:w="973"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107"/>
              <w:jc w:val="right"/>
              <w:rPr>
                <w:rFonts w:ascii="Gill Sans MT" w:hAnsi="Gill Sans MT"/>
                <w:b/>
                <w:sz w:val="18"/>
              </w:rPr>
            </w:pPr>
            <w:r w:rsidRPr="000629C4">
              <w:rPr>
                <w:rFonts w:ascii="Gill Sans MT" w:hAnsi="Gill Sans MT"/>
                <w:b/>
                <w:sz w:val="18"/>
              </w:rPr>
              <w:t>186</w:t>
            </w:r>
          </w:p>
        </w:tc>
        <w:tc>
          <w:tcPr>
            <w:tcW w:w="676" w:type="dxa"/>
            <w:tcBorders>
              <w:top w:val="single" w:sz="3" w:space="0" w:color="004D8F"/>
              <w:left w:val="single" w:sz="3" w:space="0" w:color="004D8F"/>
              <w:bottom w:val="single" w:sz="4" w:space="0" w:color="004D8F"/>
              <w:right w:val="single" w:sz="3" w:space="0" w:color="004D8F"/>
            </w:tcBorders>
            <w:shd w:val="clear" w:color="auto" w:fill="auto"/>
          </w:tcPr>
          <w:p w:rsidR="000629C4" w:rsidRPr="000629C4" w:rsidRDefault="000629C4" w:rsidP="0080575E">
            <w:pPr>
              <w:pStyle w:val="TableParagraph"/>
              <w:spacing w:before="37"/>
              <w:ind w:right="74"/>
              <w:jc w:val="right"/>
              <w:rPr>
                <w:rFonts w:ascii="Gill Sans MT" w:hAnsi="Gill Sans MT"/>
                <w:b/>
                <w:sz w:val="18"/>
              </w:rPr>
            </w:pPr>
            <w:r w:rsidRPr="000629C4">
              <w:rPr>
                <w:rFonts w:ascii="Gill Sans MT" w:hAnsi="Gill Sans MT"/>
                <w:b/>
                <w:sz w:val="18"/>
              </w:rPr>
              <w:t>10374</w:t>
            </w:r>
          </w:p>
        </w:tc>
      </w:tr>
    </w:tbl>
    <w:p w:rsidR="00F65E67" w:rsidRDefault="00F65E67" w:rsidP="00F65E67">
      <w:pPr>
        <w:rPr>
          <w:sz w:val="18"/>
        </w:rPr>
      </w:pPr>
      <w:r>
        <w:rPr>
          <w:sz w:val="18"/>
        </w:rPr>
        <w:t>*Based on salary for award classification; Head Count not FTE.</w:t>
      </w:r>
      <w:r>
        <w:rPr>
          <w:sz w:val="18"/>
        </w:rPr>
        <w:br/>
      </w:r>
      <w:r>
        <w:rPr>
          <w:spacing w:val="2"/>
          <w:sz w:val="18"/>
        </w:rPr>
        <w:t xml:space="preserve">**Visiting Medical </w:t>
      </w:r>
      <w:r>
        <w:rPr>
          <w:spacing w:val="3"/>
          <w:sz w:val="18"/>
        </w:rPr>
        <w:t xml:space="preserve">Practitioners </w:t>
      </w:r>
      <w:r>
        <w:rPr>
          <w:spacing w:val="2"/>
          <w:sz w:val="18"/>
        </w:rPr>
        <w:t xml:space="preserve">work </w:t>
      </w:r>
      <w:r>
        <w:rPr>
          <w:sz w:val="18"/>
        </w:rPr>
        <w:t xml:space="preserve">on a sessional basis &lt; 20 </w:t>
      </w:r>
      <w:r>
        <w:rPr>
          <w:spacing w:val="3"/>
          <w:sz w:val="18"/>
        </w:rPr>
        <w:t xml:space="preserve">hours </w:t>
      </w:r>
      <w:r>
        <w:rPr>
          <w:spacing w:val="2"/>
          <w:sz w:val="18"/>
        </w:rPr>
        <w:t xml:space="preserve">per </w:t>
      </w:r>
      <w:r>
        <w:rPr>
          <w:sz w:val="18"/>
        </w:rPr>
        <w:t xml:space="preserve">week and </w:t>
      </w:r>
      <w:r>
        <w:rPr>
          <w:spacing w:val="2"/>
          <w:sz w:val="18"/>
        </w:rPr>
        <w:t xml:space="preserve">are </w:t>
      </w:r>
      <w:r>
        <w:rPr>
          <w:sz w:val="18"/>
        </w:rPr>
        <w:t xml:space="preserve">paid on a </w:t>
      </w:r>
      <w:r>
        <w:rPr>
          <w:spacing w:val="2"/>
          <w:sz w:val="18"/>
        </w:rPr>
        <w:t xml:space="preserve">pro </w:t>
      </w:r>
      <w:r>
        <w:rPr>
          <w:spacing w:val="3"/>
          <w:sz w:val="18"/>
        </w:rPr>
        <w:t>rata</w:t>
      </w:r>
      <w:r>
        <w:rPr>
          <w:spacing w:val="53"/>
          <w:sz w:val="18"/>
        </w:rPr>
        <w:t xml:space="preserve"> </w:t>
      </w:r>
      <w:r>
        <w:rPr>
          <w:spacing w:val="2"/>
          <w:sz w:val="18"/>
        </w:rPr>
        <w:t>basis.</w:t>
      </w:r>
    </w:p>
    <w:p w:rsidR="00F65E67" w:rsidRDefault="00F65E67" w:rsidP="00F65E67">
      <w:pPr>
        <w:spacing w:before="75" w:line="202" w:lineRule="exact"/>
        <w:rPr>
          <w:spacing w:val="2"/>
          <w:sz w:val="18"/>
        </w:rPr>
      </w:pPr>
      <w:r>
        <w:rPr>
          <w:sz w:val="18"/>
        </w:rPr>
        <w:t xml:space="preserve">NOTE: In addition to Salaries and allowances under contracts of employment, Medical Practitioners at the RHH may participate in the Private Patient Scheme (PPS) if eligible by Medicare and under the management of the PPS committee. Under this scheme, Medicare, private health funds and other insurance bodies are billed where appropriate for eligible procedures performed in the RHH. PPS revenue generated by Visiting Medical Practitioners is shared with the RHH; PPS revenue raised by </w:t>
      </w:r>
      <w:r>
        <w:rPr>
          <w:spacing w:val="2"/>
          <w:sz w:val="18"/>
        </w:rPr>
        <w:t xml:space="preserve">Specialist Medical </w:t>
      </w:r>
      <w:r>
        <w:rPr>
          <w:spacing w:val="3"/>
          <w:sz w:val="18"/>
        </w:rPr>
        <w:t xml:space="preserve">Practitioners </w:t>
      </w:r>
      <w:r>
        <w:rPr>
          <w:sz w:val="18"/>
        </w:rPr>
        <w:t xml:space="preserve">is donated to the </w:t>
      </w:r>
      <w:r>
        <w:rPr>
          <w:spacing w:val="3"/>
          <w:sz w:val="18"/>
        </w:rPr>
        <w:t xml:space="preserve">RHH </w:t>
      </w:r>
      <w:r>
        <w:rPr>
          <w:sz w:val="18"/>
        </w:rPr>
        <w:t xml:space="preserve">and the </w:t>
      </w:r>
      <w:r>
        <w:rPr>
          <w:spacing w:val="2"/>
          <w:sz w:val="18"/>
        </w:rPr>
        <w:t xml:space="preserve">participating Specialists are then </w:t>
      </w:r>
      <w:r>
        <w:rPr>
          <w:sz w:val="18"/>
        </w:rPr>
        <w:t xml:space="preserve">paid an allowance, </w:t>
      </w:r>
      <w:r>
        <w:rPr>
          <w:spacing w:val="2"/>
          <w:sz w:val="18"/>
        </w:rPr>
        <w:t xml:space="preserve">as determined </w:t>
      </w:r>
      <w:r>
        <w:rPr>
          <w:sz w:val="18"/>
        </w:rPr>
        <w:t xml:space="preserve">by the </w:t>
      </w:r>
      <w:r>
        <w:rPr>
          <w:spacing w:val="2"/>
          <w:sz w:val="18"/>
        </w:rPr>
        <w:t xml:space="preserve">scheme. </w:t>
      </w:r>
      <w:r>
        <w:rPr>
          <w:sz w:val="18"/>
        </w:rPr>
        <w:t xml:space="preserve">Revenue in excess of that </w:t>
      </w:r>
      <w:r>
        <w:rPr>
          <w:spacing w:val="3"/>
          <w:sz w:val="18"/>
        </w:rPr>
        <w:t xml:space="preserve">distributed </w:t>
      </w:r>
      <w:r>
        <w:rPr>
          <w:sz w:val="18"/>
        </w:rPr>
        <w:t xml:space="preserve">to </w:t>
      </w:r>
      <w:r>
        <w:rPr>
          <w:spacing w:val="2"/>
          <w:sz w:val="18"/>
        </w:rPr>
        <w:t xml:space="preserve">medical </w:t>
      </w:r>
      <w:r>
        <w:rPr>
          <w:spacing w:val="3"/>
          <w:sz w:val="18"/>
        </w:rPr>
        <w:t xml:space="preserve">practitioners </w:t>
      </w:r>
      <w:r>
        <w:rPr>
          <w:sz w:val="18"/>
        </w:rPr>
        <w:t xml:space="preserve">is also allocated to </w:t>
      </w:r>
      <w:r>
        <w:rPr>
          <w:spacing w:val="2"/>
          <w:sz w:val="18"/>
        </w:rPr>
        <w:t xml:space="preserve">hospital unit   </w:t>
      </w:r>
      <w:r>
        <w:rPr>
          <w:spacing w:val="4"/>
          <w:sz w:val="18"/>
        </w:rPr>
        <w:t xml:space="preserve">trusts </w:t>
      </w:r>
      <w:r>
        <w:rPr>
          <w:sz w:val="18"/>
        </w:rPr>
        <w:t xml:space="preserve">to </w:t>
      </w:r>
      <w:r>
        <w:rPr>
          <w:spacing w:val="3"/>
          <w:sz w:val="18"/>
        </w:rPr>
        <w:t xml:space="preserve">support </w:t>
      </w:r>
      <w:r>
        <w:rPr>
          <w:spacing w:val="2"/>
          <w:sz w:val="18"/>
        </w:rPr>
        <w:t xml:space="preserve">research, </w:t>
      </w:r>
      <w:r>
        <w:rPr>
          <w:sz w:val="18"/>
        </w:rPr>
        <w:t xml:space="preserve">clinical </w:t>
      </w:r>
      <w:r>
        <w:rPr>
          <w:spacing w:val="2"/>
          <w:sz w:val="18"/>
        </w:rPr>
        <w:t xml:space="preserve">training </w:t>
      </w:r>
      <w:r>
        <w:rPr>
          <w:sz w:val="18"/>
        </w:rPr>
        <w:t xml:space="preserve">and continuing professional </w:t>
      </w:r>
      <w:r>
        <w:rPr>
          <w:spacing w:val="3"/>
          <w:sz w:val="18"/>
        </w:rPr>
        <w:t xml:space="preserve">activities </w:t>
      </w:r>
      <w:r>
        <w:rPr>
          <w:sz w:val="18"/>
        </w:rPr>
        <w:t xml:space="preserve">of </w:t>
      </w:r>
      <w:r>
        <w:rPr>
          <w:spacing w:val="2"/>
          <w:sz w:val="18"/>
        </w:rPr>
        <w:t xml:space="preserve">medical </w:t>
      </w:r>
      <w:r>
        <w:rPr>
          <w:sz w:val="18"/>
        </w:rPr>
        <w:t xml:space="preserve">and other </w:t>
      </w:r>
      <w:r>
        <w:rPr>
          <w:spacing w:val="2"/>
          <w:sz w:val="18"/>
        </w:rPr>
        <w:t xml:space="preserve">health </w:t>
      </w:r>
      <w:r>
        <w:rPr>
          <w:sz w:val="18"/>
        </w:rPr>
        <w:t xml:space="preserve">employees, </w:t>
      </w:r>
      <w:r>
        <w:rPr>
          <w:spacing w:val="2"/>
          <w:sz w:val="18"/>
        </w:rPr>
        <w:t xml:space="preserve">medical outreach programs </w:t>
      </w:r>
      <w:r>
        <w:rPr>
          <w:spacing w:val="3"/>
          <w:sz w:val="18"/>
        </w:rPr>
        <w:t xml:space="preserve">overseas, </w:t>
      </w:r>
      <w:r>
        <w:rPr>
          <w:sz w:val="18"/>
        </w:rPr>
        <w:t xml:space="preserve">and </w:t>
      </w:r>
      <w:r>
        <w:rPr>
          <w:spacing w:val="2"/>
          <w:sz w:val="18"/>
        </w:rPr>
        <w:t xml:space="preserve">specialist </w:t>
      </w:r>
      <w:r>
        <w:rPr>
          <w:sz w:val="18"/>
        </w:rPr>
        <w:t xml:space="preserve">medical </w:t>
      </w:r>
      <w:r>
        <w:rPr>
          <w:spacing w:val="2"/>
          <w:sz w:val="18"/>
        </w:rPr>
        <w:t xml:space="preserve">equipment </w:t>
      </w:r>
      <w:r>
        <w:rPr>
          <w:sz w:val="18"/>
        </w:rPr>
        <w:t xml:space="preserve">for the </w:t>
      </w:r>
      <w:r>
        <w:rPr>
          <w:spacing w:val="3"/>
          <w:sz w:val="18"/>
        </w:rPr>
        <w:t xml:space="preserve">RHH </w:t>
      </w:r>
      <w:r>
        <w:rPr>
          <w:sz w:val="18"/>
        </w:rPr>
        <w:t>for which public funding is not</w:t>
      </w:r>
      <w:r>
        <w:rPr>
          <w:spacing w:val="19"/>
          <w:sz w:val="18"/>
        </w:rPr>
        <w:t xml:space="preserve"> </w:t>
      </w:r>
      <w:r>
        <w:rPr>
          <w:spacing w:val="2"/>
          <w:sz w:val="18"/>
        </w:rPr>
        <w:t>available.</w:t>
      </w:r>
    </w:p>
    <w:p w:rsidR="00F65E67" w:rsidRDefault="00F65E67" w:rsidP="00F65E67">
      <w:pPr>
        <w:spacing w:before="75" w:line="202" w:lineRule="exact"/>
        <w:rPr>
          <w:spacing w:val="2"/>
          <w:sz w:val="18"/>
        </w:rPr>
      </w:pPr>
    </w:p>
    <w:p w:rsidR="00F65E67" w:rsidRDefault="00F65E67" w:rsidP="00F65E67">
      <w:pPr>
        <w:pStyle w:val="Heading4"/>
      </w:pPr>
      <w:r>
        <w:t>Total number (head count) paid by gender</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26"/>
        <w:gridCol w:w="1134"/>
        <w:gridCol w:w="1134"/>
        <w:gridCol w:w="1145"/>
      </w:tblGrid>
      <w:tr w:rsidR="00F65E67" w:rsidTr="00F65E67">
        <w:trPr>
          <w:trHeight w:hRule="exact" w:val="291"/>
        </w:trPr>
        <w:tc>
          <w:tcPr>
            <w:tcW w:w="6526" w:type="dxa"/>
            <w:tcBorders>
              <w:top w:val="single" w:sz="4" w:space="0" w:color="004D8F"/>
              <w:left w:val="single" w:sz="4" w:space="0" w:color="004D8F"/>
              <w:bottom w:val="single" w:sz="4" w:space="0" w:color="004D8F"/>
              <w:right w:val="single" w:sz="4" w:space="0" w:color="004D8F"/>
            </w:tcBorders>
            <w:shd w:val="clear" w:color="auto" w:fill="auto"/>
          </w:tcPr>
          <w:p w:rsidR="00F65E67" w:rsidRDefault="00F65E67" w:rsidP="00222594">
            <w:pPr>
              <w:pStyle w:val="TableParagraph"/>
              <w:tabs>
                <w:tab w:val="left" w:pos="6110"/>
              </w:tabs>
              <w:spacing w:before="41"/>
              <w:ind w:left="80"/>
              <w:rPr>
                <w:rFonts w:ascii="GillSans-SemiBold"/>
                <w:b/>
                <w:sz w:val="18"/>
              </w:rPr>
            </w:pPr>
            <w:r w:rsidRPr="00F65E67">
              <w:rPr>
                <w:rFonts w:ascii="GillSans-SemiBold"/>
                <w:b/>
                <w:spacing w:val="2"/>
                <w:sz w:val="18"/>
              </w:rPr>
              <w:t xml:space="preserve">As </w:t>
            </w:r>
            <w:r w:rsidRPr="00F65E67">
              <w:rPr>
                <w:rFonts w:ascii="GillSans-SemiBold"/>
                <w:b/>
                <w:sz w:val="18"/>
              </w:rPr>
              <w:t>at end of</w:t>
            </w:r>
            <w:r w:rsidRPr="00F65E67">
              <w:rPr>
                <w:rFonts w:ascii="GillSans-SemiBold"/>
                <w:b/>
                <w:spacing w:val="7"/>
                <w:sz w:val="18"/>
              </w:rPr>
              <w:t xml:space="preserve"> </w:t>
            </w:r>
            <w:r w:rsidRPr="00F65E67">
              <w:rPr>
                <w:rFonts w:ascii="GillSans-SemiBold"/>
                <w:b/>
                <w:spacing w:val="2"/>
                <w:sz w:val="18"/>
              </w:rPr>
              <w:t xml:space="preserve">financial </w:t>
            </w:r>
            <w:r>
              <w:rPr>
                <w:rFonts w:ascii="GillSans-SemiBold"/>
                <w:b/>
                <w:sz w:val="18"/>
              </w:rPr>
              <w:t>year</w:t>
            </w:r>
            <w:r w:rsidRPr="00F65E67">
              <w:rPr>
                <w:rFonts w:ascii="GillSans-SemiBold"/>
                <w:b/>
                <w:sz w:val="18"/>
              </w:rPr>
              <w:t xml:space="preserve"> </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F65E67" w:rsidRDefault="00F65E67" w:rsidP="0080575E">
            <w:pPr>
              <w:pStyle w:val="TableParagraph"/>
              <w:tabs>
                <w:tab w:val="left" w:pos="6110"/>
              </w:tabs>
              <w:spacing w:before="41"/>
              <w:ind w:left="80"/>
              <w:rPr>
                <w:rFonts w:ascii="GillSans-SemiBold"/>
                <w:b/>
                <w:sz w:val="18"/>
              </w:rPr>
            </w:pPr>
            <w:r w:rsidRPr="00F65E67">
              <w:rPr>
                <w:rFonts w:ascii="GillSans-SemiBold"/>
                <w:b/>
                <w:sz w:val="18"/>
              </w:rPr>
              <w:t>2013-2014*</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F65E67" w:rsidRDefault="00F65E67" w:rsidP="0080575E">
            <w:pPr>
              <w:pStyle w:val="TableParagraph"/>
              <w:tabs>
                <w:tab w:val="left" w:pos="6110"/>
              </w:tabs>
              <w:spacing w:before="41"/>
              <w:ind w:left="80"/>
              <w:rPr>
                <w:rFonts w:ascii="GillSans-SemiBold"/>
                <w:b/>
                <w:sz w:val="18"/>
              </w:rPr>
            </w:pPr>
            <w:r w:rsidRPr="00F65E67">
              <w:rPr>
                <w:rFonts w:ascii="GillSans-SemiBold"/>
                <w:b/>
                <w:sz w:val="18"/>
              </w:rPr>
              <w:t xml:space="preserve">2014-2015*  </w:t>
            </w:r>
            <w:r w:rsidRPr="00F65E67">
              <w:rPr>
                <w:rFonts w:ascii="GillSans-SemiBold"/>
                <w:b/>
                <w:spacing w:val="9"/>
                <w:sz w:val="18"/>
              </w:rPr>
              <w:t xml:space="preserve"> </w:t>
            </w:r>
          </w:p>
        </w:tc>
        <w:tc>
          <w:tcPr>
            <w:tcW w:w="1145" w:type="dxa"/>
            <w:tcBorders>
              <w:top w:val="single" w:sz="4" w:space="0" w:color="004D8F"/>
              <w:left w:val="single" w:sz="4" w:space="0" w:color="004D8F"/>
              <w:bottom w:val="single" w:sz="4" w:space="0" w:color="004D8F"/>
              <w:right w:val="single" w:sz="4" w:space="0" w:color="004D8F"/>
            </w:tcBorders>
            <w:shd w:val="clear" w:color="auto" w:fill="auto"/>
          </w:tcPr>
          <w:p w:rsidR="00F65E67" w:rsidRDefault="00F65E67" w:rsidP="0080575E">
            <w:pPr>
              <w:pStyle w:val="TableParagraph"/>
              <w:tabs>
                <w:tab w:val="left" w:pos="6110"/>
              </w:tabs>
              <w:spacing w:before="41"/>
              <w:ind w:left="80"/>
              <w:rPr>
                <w:rFonts w:ascii="GillSans-SemiBold"/>
                <w:b/>
                <w:sz w:val="18"/>
              </w:rPr>
            </w:pPr>
            <w:r w:rsidRPr="00F65E67">
              <w:rPr>
                <w:rFonts w:ascii="GillSans-SemiBold"/>
                <w:b/>
                <w:spacing w:val="-3"/>
                <w:sz w:val="18"/>
              </w:rPr>
              <w:t>2015-2016</w:t>
            </w:r>
          </w:p>
        </w:tc>
      </w:tr>
      <w:tr w:rsidR="00F65E67" w:rsidTr="00F65E67">
        <w:trPr>
          <w:trHeight w:hRule="exact" w:val="284"/>
        </w:trPr>
        <w:tc>
          <w:tcPr>
            <w:tcW w:w="6526" w:type="dxa"/>
            <w:tcBorders>
              <w:top w:val="single" w:sz="4" w:space="0" w:color="004D8F"/>
              <w:right w:val="single" w:sz="4" w:space="0" w:color="004D8F"/>
            </w:tcBorders>
            <w:shd w:val="clear" w:color="auto" w:fill="auto"/>
          </w:tcPr>
          <w:p w:rsidR="00F65E67" w:rsidRPr="00F65E67" w:rsidRDefault="00F65E67" w:rsidP="0080575E">
            <w:pPr>
              <w:pStyle w:val="TableParagraph"/>
              <w:spacing w:before="42"/>
              <w:ind w:left="76"/>
              <w:rPr>
                <w:rFonts w:ascii="Gill Sans MT" w:hAnsi="Gill Sans MT"/>
                <w:sz w:val="18"/>
              </w:rPr>
            </w:pPr>
            <w:r w:rsidRPr="00F65E67">
              <w:rPr>
                <w:rFonts w:ascii="Gill Sans MT" w:hAnsi="Gill Sans MT"/>
                <w:sz w:val="18"/>
              </w:rPr>
              <w:t>Female</w:t>
            </w:r>
          </w:p>
        </w:tc>
        <w:tc>
          <w:tcPr>
            <w:tcW w:w="1134" w:type="dxa"/>
            <w:tcBorders>
              <w:top w:val="single" w:sz="4" w:space="0" w:color="004D8F"/>
              <w:left w:val="single" w:sz="4" w:space="0" w:color="004D8F"/>
              <w:right w:val="single" w:sz="4" w:space="0" w:color="004D8F"/>
            </w:tcBorders>
            <w:shd w:val="clear" w:color="auto" w:fill="auto"/>
          </w:tcPr>
          <w:p w:rsidR="00F65E67" w:rsidRPr="00F65E67" w:rsidRDefault="00F65E67" w:rsidP="0080575E">
            <w:pPr>
              <w:pStyle w:val="TableParagraph"/>
              <w:spacing w:before="42"/>
              <w:ind w:right="220"/>
              <w:jc w:val="right"/>
              <w:rPr>
                <w:rFonts w:ascii="Gill Sans MT" w:hAnsi="Gill Sans MT"/>
                <w:sz w:val="18"/>
              </w:rPr>
            </w:pPr>
            <w:r w:rsidRPr="00F65E67">
              <w:rPr>
                <w:rFonts w:ascii="Gill Sans MT" w:hAnsi="Gill Sans MT"/>
                <w:sz w:val="18"/>
              </w:rPr>
              <w:t>7745</w:t>
            </w:r>
          </w:p>
        </w:tc>
        <w:tc>
          <w:tcPr>
            <w:tcW w:w="1134" w:type="dxa"/>
            <w:tcBorders>
              <w:top w:val="single" w:sz="4" w:space="0" w:color="004D8F"/>
              <w:left w:val="single" w:sz="4" w:space="0" w:color="004D8F"/>
              <w:right w:val="single" w:sz="4" w:space="0" w:color="004D8F"/>
            </w:tcBorders>
            <w:shd w:val="clear" w:color="auto" w:fill="auto"/>
          </w:tcPr>
          <w:p w:rsidR="00F65E67" w:rsidRPr="00F65E67" w:rsidRDefault="00F65E67" w:rsidP="0080575E">
            <w:pPr>
              <w:pStyle w:val="TableParagraph"/>
              <w:spacing w:before="42"/>
              <w:ind w:right="220"/>
              <w:jc w:val="right"/>
              <w:rPr>
                <w:rFonts w:ascii="Gill Sans MT" w:hAnsi="Gill Sans MT"/>
                <w:sz w:val="18"/>
              </w:rPr>
            </w:pPr>
            <w:r w:rsidRPr="00F65E67">
              <w:rPr>
                <w:rFonts w:ascii="Gill Sans MT" w:hAnsi="Gill Sans MT"/>
                <w:sz w:val="18"/>
              </w:rPr>
              <w:t>7698</w:t>
            </w:r>
          </w:p>
        </w:tc>
        <w:tc>
          <w:tcPr>
            <w:tcW w:w="1145" w:type="dxa"/>
            <w:tcBorders>
              <w:top w:val="single" w:sz="4" w:space="0" w:color="004D8F"/>
              <w:left w:val="single" w:sz="4" w:space="0" w:color="004D8F"/>
            </w:tcBorders>
            <w:shd w:val="clear" w:color="auto" w:fill="auto"/>
          </w:tcPr>
          <w:p w:rsidR="00F65E67" w:rsidRPr="00F65E67" w:rsidRDefault="00F65E67" w:rsidP="0080575E">
            <w:pPr>
              <w:pStyle w:val="TableParagraph"/>
              <w:spacing w:before="42"/>
              <w:ind w:right="222"/>
              <w:jc w:val="right"/>
              <w:rPr>
                <w:rFonts w:ascii="Gill Sans MT" w:hAnsi="Gill Sans MT"/>
                <w:sz w:val="18"/>
              </w:rPr>
            </w:pPr>
            <w:r w:rsidRPr="00F65E67">
              <w:rPr>
                <w:rFonts w:ascii="Gill Sans MT" w:hAnsi="Gill Sans MT"/>
                <w:sz w:val="18"/>
              </w:rPr>
              <w:t>7983</w:t>
            </w:r>
          </w:p>
        </w:tc>
      </w:tr>
      <w:tr w:rsidR="00F65E67" w:rsidTr="00F65E67">
        <w:trPr>
          <w:trHeight w:hRule="exact" w:val="284"/>
        </w:trPr>
        <w:tc>
          <w:tcPr>
            <w:tcW w:w="6526" w:type="dxa"/>
            <w:tcBorders>
              <w:right w:val="single" w:sz="4" w:space="0" w:color="004D8F"/>
            </w:tcBorders>
            <w:shd w:val="clear" w:color="auto" w:fill="auto"/>
          </w:tcPr>
          <w:p w:rsidR="00F65E67" w:rsidRPr="00F65E67" w:rsidRDefault="00F65E67" w:rsidP="0080575E">
            <w:pPr>
              <w:pStyle w:val="TableParagraph"/>
              <w:spacing w:before="39"/>
              <w:ind w:left="76"/>
              <w:rPr>
                <w:rFonts w:ascii="Gill Sans MT" w:hAnsi="Gill Sans MT"/>
                <w:sz w:val="18"/>
              </w:rPr>
            </w:pPr>
            <w:r w:rsidRPr="00F65E67">
              <w:rPr>
                <w:rFonts w:ascii="Gill Sans MT" w:hAnsi="Gill Sans MT"/>
                <w:sz w:val="18"/>
              </w:rPr>
              <w:t>Male</w:t>
            </w:r>
          </w:p>
        </w:tc>
        <w:tc>
          <w:tcPr>
            <w:tcW w:w="1134" w:type="dxa"/>
            <w:tcBorders>
              <w:left w:val="single" w:sz="4" w:space="0" w:color="004D8F"/>
              <w:right w:val="single" w:sz="4" w:space="0" w:color="004D8F"/>
            </w:tcBorders>
            <w:shd w:val="clear" w:color="auto" w:fill="auto"/>
          </w:tcPr>
          <w:p w:rsidR="00F65E67" w:rsidRPr="00F65E67" w:rsidRDefault="00F65E67" w:rsidP="0080575E">
            <w:pPr>
              <w:pStyle w:val="TableParagraph"/>
              <w:spacing w:before="39"/>
              <w:ind w:right="222"/>
              <w:jc w:val="right"/>
              <w:rPr>
                <w:rFonts w:ascii="Gill Sans MT" w:hAnsi="Gill Sans MT"/>
                <w:sz w:val="18"/>
              </w:rPr>
            </w:pPr>
            <w:r w:rsidRPr="00F65E67">
              <w:rPr>
                <w:rFonts w:ascii="Gill Sans MT" w:hAnsi="Gill Sans MT"/>
                <w:sz w:val="18"/>
              </w:rPr>
              <w:t>2395</w:t>
            </w:r>
          </w:p>
        </w:tc>
        <w:tc>
          <w:tcPr>
            <w:tcW w:w="1134" w:type="dxa"/>
            <w:tcBorders>
              <w:left w:val="single" w:sz="4" w:space="0" w:color="004D8F"/>
              <w:right w:val="single" w:sz="4" w:space="0" w:color="004D8F"/>
            </w:tcBorders>
            <w:shd w:val="clear" w:color="auto" w:fill="auto"/>
          </w:tcPr>
          <w:p w:rsidR="00F65E67" w:rsidRPr="00F65E67" w:rsidRDefault="00F65E67" w:rsidP="0080575E">
            <w:pPr>
              <w:pStyle w:val="TableParagraph"/>
              <w:spacing w:before="39"/>
              <w:ind w:right="223"/>
              <w:jc w:val="right"/>
              <w:rPr>
                <w:rFonts w:ascii="Gill Sans MT" w:hAnsi="Gill Sans MT"/>
                <w:sz w:val="18"/>
              </w:rPr>
            </w:pPr>
            <w:r w:rsidRPr="00F65E67">
              <w:rPr>
                <w:rFonts w:ascii="Gill Sans MT" w:hAnsi="Gill Sans MT"/>
                <w:sz w:val="18"/>
              </w:rPr>
              <w:t>2333</w:t>
            </w:r>
          </w:p>
        </w:tc>
        <w:tc>
          <w:tcPr>
            <w:tcW w:w="1145" w:type="dxa"/>
            <w:tcBorders>
              <w:left w:val="single" w:sz="4" w:space="0" w:color="004D8F"/>
            </w:tcBorders>
            <w:shd w:val="clear" w:color="auto" w:fill="auto"/>
          </w:tcPr>
          <w:p w:rsidR="00F65E67" w:rsidRPr="00F65E67" w:rsidRDefault="00F65E67" w:rsidP="0080575E">
            <w:pPr>
              <w:pStyle w:val="TableParagraph"/>
              <w:spacing w:before="39"/>
              <w:ind w:right="231"/>
              <w:jc w:val="right"/>
              <w:rPr>
                <w:rFonts w:ascii="Gill Sans MT" w:hAnsi="Gill Sans MT"/>
                <w:sz w:val="18"/>
              </w:rPr>
            </w:pPr>
            <w:r w:rsidRPr="00F65E67">
              <w:rPr>
                <w:rFonts w:ascii="Gill Sans MT" w:hAnsi="Gill Sans MT"/>
                <w:sz w:val="18"/>
              </w:rPr>
              <w:t>2391</w:t>
            </w:r>
          </w:p>
        </w:tc>
      </w:tr>
      <w:tr w:rsidR="00F65E67" w:rsidTr="00F65E67">
        <w:trPr>
          <w:trHeight w:hRule="exact" w:val="291"/>
        </w:trPr>
        <w:tc>
          <w:tcPr>
            <w:tcW w:w="6526" w:type="dxa"/>
            <w:tcBorders>
              <w:bottom w:val="single" w:sz="4" w:space="0" w:color="004D8F"/>
              <w:right w:val="single" w:sz="4" w:space="0" w:color="004D8F"/>
            </w:tcBorders>
            <w:shd w:val="clear" w:color="auto" w:fill="auto"/>
          </w:tcPr>
          <w:p w:rsidR="00F65E67" w:rsidRDefault="00F65E67" w:rsidP="0080575E">
            <w:pPr>
              <w:pStyle w:val="TableParagraph"/>
              <w:spacing w:before="37"/>
              <w:ind w:left="76"/>
              <w:rPr>
                <w:rFonts w:ascii="GillSans-SemiBold"/>
                <w:b/>
                <w:sz w:val="18"/>
              </w:rPr>
            </w:pPr>
            <w:r>
              <w:rPr>
                <w:rFonts w:ascii="GillSans-SemiBold"/>
                <w:b/>
                <w:sz w:val="18"/>
              </w:rPr>
              <w:t>Total</w:t>
            </w:r>
          </w:p>
        </w:tc>
        <w:tc>
          <w:tcPr>
            <w:tcW w:w="1134" w:type="dxa"/>
            <w:tcBorders>
              <w:left w:val="single" w:sz="4" w:space="0" w:color="004D8F"/>
              <w:bottom w:val="single" w:sz="4" w:space="0" w:color="004D8F"/>
              <w:right w:val="single" w:sz="4" w:space="0" w:color="004D8F"/>
            </w:tcBorders>
            <w:shd w:val="clear" w:color="auto" w:fill="auto"/>
          </w:tcPr>
          <w:p w:rsidR="00F65E67" w:rsidRDefault="00F65E67" w:rsidP="0080575E">
            <w:pPr>
              <w:pStyle w:val="TableParagraph"/>
              <w:spacing w:before="37"/>
              <w:ind w:right="220"/>
              <w:jc w:val="right"/>
              <w:rPr>
                <w:rFonts w:ascii="GillSans-SemiBold"/>
                <w:b/>
                <w:sz w:val="18"/>
              </w:rPr>
            </w:pPr>
            <w:r>
              <w:rPr>
                <w:rFonts w:ascii="GillSans-SemiBold"/>
                <w:b/>
                <w:sz w:val="18"/>
              </w:rPr>
              <w:t>10140</w:t>
            </w:r>
          </w:p>
        </w:tc>
        <w:tc>
          <w:tcPr>
            <w:tcW w:w="1134" w:type="dxa"/>
            <w:tcBorders>
              <w:left w:val="single" w:sz="4" w:space="0" w:color="004D8F"/>
              <w:bottom w:val="single" w:sz="4" w:space="0" w:color="004D8F"/>
              <w:right w:val="single" w:sz="4" w:space="0" w:color="004D8F"/>
            </w:tcBorders>
            <w:shd w:val="clear" w:color="auto" w:fill="auto"/>
          </w:tcPr>
          <w:p w:rsidR="00F65E67" w:rsidRDefault="00F65E67" w:rsidP="0080575E">
            <w:pPr>
              <w:pStyle w:val="TableParagraph"/>
              <w:spacing w:before="37"/>
              <w:ind w:right="229"/>
              <w:jc w:val="right"/>
              <w:rPr>
                <w:rFonts w:ascii="GillSans-SemiBold"/>
                <w:b/>
                <w:sz w:val="18"/>
              </w:rPr>
            </w:pPr>
            <w:r>
              <w:rPr>
                <w:rFonts w:ascii="GillSans-SemiBold"/>
                <w:b/>
                <w:sz w:val="18"/>
              </w:rPr>
              <w:t>10031</w:t>
            </w:r>
          </w:p>
        </w:tc>
        <w:tc>
          <w:tcPr>
            <w:tcW w:w="1145" w:type="dxa"/>
            <w:tcBorders>
              <w:left w:val="single" w:sz="4" w:space="0" w:color="004D8F"/>
              <w:bottom w:val="single" w:sz="4" w:space="0" w:color="004D8F"/>
            </w:tcBorders>
            <w:shd w:val="clear" w:color="auto" w:fill="auto"/>
          </w:tcPr>
          <w:p w:rsidR="00F65E67" w:rsidRDefault="00F65E67" w:rsidP="0080575E">
            <w:pPr>
              <w:pStyle w:val="TableParagraph"/>
              <w:spacing w:before="37"/>
              <w:ind w:right="220"/>
              <w:jc w:val="right"/>
              <w:rPr>
                <w:rFonts w:ascii="GillSans-SemiBold"/>
                <w:b/>
                <w:sz w:val="18"/>
              </w:rPr>
            </w:pPr>
            <w:r>
              <w:rPr>
                <w:rFonts w:ascii="GillSans-SemiBold"/>
                <w:b/>
                <w:sz w:val="18"/>
              </w:rPr>
              <w:t>10374</w:t>
            </w:r>
          </w:p>
        </w:tc>
      </w:tr>
    </w:tbl>
    <w:p w:rsidR="00F65E67" w:rsidRDefault="00F65E67" w:rsidP="00F65E67">
      <w:pPr>
        <w:spacing w:before="43"/>
        <w:rPr>
          <w:sz w:val="16"/>
        </w:rPr>
      </w:pPr>
      <w:r>
        <w:rPr>
          <w:sz w:val="16"/>
        </w:rPr>
        <w:t>*Note due to organisational changes data has been remapped to the current organisational structure.</w:t>
      </w:r>
    </w:p>
    <w:p w:rsidR="00F65E67" w:rsidRDefault="00F65E67">
      <w:pPr>
        <w:rPr>
          <w:sz w:val="16"/>
        </w:rPr>
      </w:pPr>
      <w:r>
        <w:rPr>
          <w:sz w:val="16"/>
        </w:rPr>
        <w:br w:type="page"/>
      </w:r>
    </w:p>
    <w:p w:rsidR="00F65E67" w:rsidRDefault="00F65E67" w:rsidP="00F65E67">
      <w:pPr>
        <w:pStyle w:val="Heading4"/>
      </w:pPr>
      <w:r>
        <w:lastRenderedPageBreak/>
        <w:t>Total number (head count) paid by age profile</w:t>
      </w:r>
    </w:p>
    <w:tbl>
      <w:tblPr>
        <w:tblW w:w="0" w:type="auto"/>
        <w:tblInd w:w="5" w:type="dxa"/>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16"/>
        <w:gridCol w:w="1134"/>
        <w:gridCol w:w="1201"/>
        <w:gridCol w:w="1072"/>
      </w:tblGrid>
      <w:tr w:rsidR="00F65E67" w:rsidRPr="00F65E67" w:rsidTr="00F65E67">
        <w:trPr>
          <w:trHeight w:hRule="exact" w:val="291"/>
        </w:trPr>
        <w:tc>
          <w:tcPr>
            <w:tcW w:w="6516" w:type="dxa"/>
            <w:tcBorders>
              <w:top w:val="single" w:sz="4" w:space="0" w:color="auto"/>
              <w:left w:val="single" w:sz="4" w:space="0" w:color="auto"/>
              <w:bottom w:val="single" w:sz="4" w:space="0" w:color="auto"/>
              <w:right w:val="single" w:sz="4" w:space="0" w:color="auto"/>
            </w:tcBorders>
            <w:shd w:val="clear" w:color="auto" w:fill="auto"/>
          </w:tcPr>
          <w:p w:rsidR="00F65E67" w:rsidRPr="004349D5" w:rsidRDefault="00F65E67" w:rsidP="00F65E67">
            <w:pPr>
              <w:pStyle w:val="TableParagraph"/>
              <w:spacing w:before="41"/>
              <w:ind w:left="80"/>
              <w:rPr>
                <w:sz w:val="18"/>
              </w:rPr>
            </w:pPr>
            <w:r w:rsidRPr="004349D5">
              <w:rPr>
                <w:rFonts w:ascii="GillSans-SemiBold"/>
                <w:b/>
                <w:sz w:val="18"/>
              </w:rPr>
              <w:t>As at end of financial year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7"/>
              <w:ind w:left="76"/>
              <w:rPr>
                <w:rFonts w:ascii="GillSans-SemiBold"/>
                <w:b/>
                <w:sz w:val="18"/>
              </w:rPr>
            </w:pPr>
            <w:r w:rsidRPr="00F65E67">
              <w:rPr>
                <w:rFonts w:ascii="GillSans-SemiBold"/>
                <w:b/>
                <w:sz w:val="18"/>
              </w:rPr>
              <w:t>2013-2014*</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7"/>
              <w:ind w:left="76"/>
              <w:rPr>
                <w:rFonts w:ascii="GillSans-SemiBold"/>
                <w:b/>
                <w:sz w:val="18"/>
              </w:rPr>
            </w:pPr>
            <w:r w:rsidRPr="00F65E67">
              <w:rPr>
                <w:rFonts w:ascii="GillSans-SemiBold"/>
                <w:b/>
                <w:sz w:val="18"/>
              </w:rPr>
              <w:t>2014-2015*</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41"/>
              <w:ind w:left="75"/>
              <w:rPr>
                <w:rFonts w:ascii="GillSans-SemiBold"/>
                <w:b/>
                <w:sz w:val="18"/>
              </w:rPr>
            </w:pPr>
            <w:r w:rsidRPr="00F65E67">
              <w:rPr>
                <w:rFonts w:ascii="GillSans-SemiBold"/>
                <w:b/>
                <w:sz w:val="18"/>
              </w:rPr>
              <w:t>2015-2016</w:t>
            </w:r>
          </w:p>
        </w:tc>
      </w:tr>
      <w:tr w:rsidR="00F65E67" w:rsidTr="00F65E67">
        <w:trPr>
          <w:trHeight w:hRule="exact" w:val="284"/>
        </w:trPr>
        <w:tc>
          <w:tcPr>
            <w:tcW w:w="6516"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rPr>
                <w:rFonts w:ascii="Gill Sans MT" w:hAnsi="Gill Sans MT"/>
              </w:rPr>
            </w:pPr>
            <w:r w:rsidRPr="00F65E67">
              <w:rPr>
                <w:rFonts w:ascii="Gill Sans MT" w:hAnsi="Gill Sans MT"/>
                <w:sz w:val="18"/>
              </w:rPr>
              <w:t>15-19 years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8"/>
              <w:ind w:left="619"/>
              <w:rPr>
                <w:rFonts w:ascii="Gill Sans MT" w:hAnsi="Gill Sans MT"/>
                <w:sz w:val="18"/>
              </w:rPr>
            </w:pPr>
            <w:r w:rsidRPr="00F65E67">
              <w:rPr>
                <w:rFonts w:ascii="Gill Sans MT" w:hAnsi="Gill Sans MT"/>
                <w:sz w:val="18"/>
              </w:rPr>
              <w:t>16</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8"/>
              <w:ind w:left="619"/>
              <w:rPr>
                <w:rFonts w:ascii="Gill Sans MT" w:hAnsi="Gill Sans MT"/>
                <w:sz w:val="18"/>
              </w:rPr>
            </w:pPr>
            <w:r w:rsidRPr="00F65E67">
              <w:rPr>
                <w:rFonts w:ascii="Gill Sans MT" w:hAnsi="Gill Sans MT"/>
                <w:sz w:val="18"/>
              </w:rPr>
              <w:t>14</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42"/>
              <w:ind w:left="624"/>
              <w:rPr>
                <w:rFonts w:ascii="Gill Sans MT" w:hAnsi="Gill Sans MT"/>
                <w:sz w:val="18"/>
              </w:rPr>
            </w:pPr>
            <w:r w:rsidRPr="00F65E67">
              <w:rPr>
                <w:rFonts w:ascii="Gill Sans MT" w:hAnsi="Gill Sans MT"/>
                <w:sz w:val="18"/>
              </w:rPr>
              <w:t>31</w:t>
            </w:r>
          </w:p>
        </w:tc>
      </w:tr>
      <w:tr w:rsidR="00F65E67" w:rsidTr="00F65E67">
        <w:trPr>
          <w:trHeight w:hRule="exact" w:val="284"/>
        </w:trPr>
        <w:tc>
          <w:tcPr>
            <w:tcW w:w="6516"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20-24 years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9"/>
              <w:ind w:left="514"/>
              <w:rPr>
                <w:rFonts w:ascii="Gill Sans MT" w:hAnsi="Gill Sans MT"/>
                <w:sz w:val="18"/>
              </w:rPr>
            </w:pPr>
            <w:r w:rsidRPr="00F65E67">
              <w:rPr>
                <w:rFonts w:ascii="Gill Sans MT" w:hAnsi="Gill Sans MT"/>
                <w:sz w:val="18"/>
              </w:rPr>
              <w:t>486</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9"/>
              <w:ind w:left="514"/>
              <w:rPr>
                <w:rFonts w:ascii="Gill Sans MT" w:hAnsi="Gill Sans MT"/>
                <w:sz w:val="18"/>
              </w:rPr>
            </w:pPr>
            <w:r w:rsidRPr="00F65E67">
              <w:rPr>
                <w:rFonts w:ascii="Gill Sans MT" w:hAnsi="Gill Sans MT"/>
                <w:sz w:val="18"/>
              </w:rPr>
              <w:t>486</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65E67" w:rsidRPr="00F65E67" w:rsidRDefault="00F65E67" w:rsidP="0080575E">
            <w:pPr>
              <w:pStyle w:val="TableParagraph"/>
              <w:spacing w:before="39"/>
              <w:ind w:left="523"/>
              <w:rPr>
                <w:rFonts w:ascii="Gill Sans MT" w:hAnsi="Gill Sans MT"/>
                <w:sz w:val="18"/>
              </w:rPr>
            </w:pPr>
            <w:r w:rsidRPr="00F65E67">
              <w:rPr>
                <w:rFonts w:ascii="Gill Sans MT" w:hAnsi="Gill Sans MT"/>
                <w:sz w:val="18"/>
              </w:rPr>
              <w:t>566</w:t>
            </w:r>
          </w:p>
        </w:tc>
      </w:tr>
      <w:tr w:rsidR="00F65E67" w:rsidTr="00F65E67">
        <w:trPr>
          <w:trHeight w:hRule="exact" w:val="284"/>
        </w:trPr>
        <w:tc>
          <w:tcPr>
            <w:tcW w:w="6516" w:type="dxa"/>
            <w:tcBorders>
              <w:top w:val="single" w:sz="4" w:space="0" w:color="auto"/>
            </w:tcBorders>
            <w:shd w:val="clear" w:color="auto" w:fill="auto"/>
          </w:tcPr>
          <w:p w:rsidR="00F65E67" w:rsidRPr="00F65E67" w:rsidRDefault="00F65E67" w:rsidP="00F65E67">
            <w:pPr>
              <w:pStyle w:val="TableParagraph"/>
              <w:spacing w:before="39"/>
              <w:rPr>
                <w:rFonts w:ascii="Gill Sans MT" w:hAnsi="Gill Sans MT"/>
                <w:sz w:val="18"/>
              </w:rPr>
            </w:pPr>
            <w:r>
              <w:rPr>
                <w:rFonts w:ascii="Gill Sans MT" w:hAnsi="Gill Sans MT"/>
                <w:sz w:val="18"/>
              </w:rPr>
              <w:t>2</w:t>
            </w:r>
            <w:r w:rsidRPr="00F65E67">
              <w:rPr>
                <w:rFonts w:ascii="Gill Sans MT" w:hAnsi="Gill Sans MT"/>
                <w:sz w:val="18"/>
              </w:rPr>
              <w:t>5-29 years</w:t>
            </w:r>
          </w:p>
        </w:tc>
        <w:tc>
          <w:tcPr>
            <w:tcW w:w="1134" w:type="dxa"/>
            <w:tcBorders>
              <w:top w:val="single" w:sz="4" w:space="0" w:color="auto"/>
            </w:tcBorders>
            <w:shd w:val="clear" w:color="auto" w:fill="auto"/>
          </w:tcPr>
          <w:p w:rsidR="00F65E67" w:rsidRPr="00F65E67" w:rsidRDefault="00F65E67" w:rsidP="0080575E">
            <w:pPr>
              <w:pStyle w:val="TableParagraph"/>
              <w:spacing w:before="39"/>
              <w:ind w:left="510"/>
              <w:rPr>
                <w:rFonts w:ascii="Gill Sans MT" w:hAnsi="Gill Sans MT"/>
                <w:sz w:val="18"/>
              </w:rPr>
            </w:pPr>
            <w:r w:rsidRPr="00F65E67">
              <w:rPr>
                <w:rFonts w:ascii="Gill Sans MT" w:hAnsi="Gill Sans MT"/>
                <w:sz w:val="18"/>
              </w:rPr>
              <w:t>944</w:t>
            </w:r>
          </w:p>
        </w:tc>
        <w:tc>
          <w:tcPr>
            <w:tcW w:w="1201" w:type="dxa"/>
            <w:tcBorders>
              <w:top w:val="single" w:sz="4" w:space="0" w:color="auto"/>
            </w:tcBorders>
            <w:shd w:val="clear" w:color="auto" w:fill="auto"/>
          </w:tcPr>
          <w:p w:rsidR="00F65E67" w:rsidRPr="00F65E67" w:rsidRDefault="00F65E67" w:rsidP="0080575E">
            <w:pPr>
              <w:pStyle w:val="TableParagraph"/>
              <w:spacing w:before="39"/>
              <w:ind w:left="512"/>
              <w:rPr>
                <w:rFonts w:ascii="Gill Sans MT" w:hAnsi="Gill Sans MT"/>
                <w:sz w:val="18"/>
              </w:rPr>
            </w:pPr>
            <w:r w:rsidRPr="00F65E67">
              <w:rPr>
                <w:rFonts w:ascii="Gill Sans MT" w:hAnsi="Gill Sans MT"/>
                <w:sz w:val="18"/>
              </w:rPr>
              <w:t>906</w:t>
            </w:r>
          </w:p>
        </w:tc>
        <w:tc>
          <w:tcPr>
            <w:tcW w:w="1072" w:type="dxa"/>
            <w:tcBorders>
              <w:top w:val="single" w:sz="4" w:space="0" w:color="auto"/>
            </w:tcBorders>
            <w:shd w:val="clear" w:color="auto" w:fill="auto"/>
          </w:tcPr>
          <w:p w:rsidR="00F65E67" w:rsidRPr="00F65E67" w:rsidRDefault="00F65E67" w:rsidP="0080575E">
            <w:pPr>
              <w:pStyle w:val="TableParagraph"/>
              <w:spacing w:before="39"/>
              <w:ind w:left="520"/>
              <w:rPr>
                <w:rFonts w:ascii="Gill Sans MT" w:hAnsi="Gill Sans MT"/>
                <w:sz w:val="18"/>
              </w:rPr>
            </w:pPr>
            <w:r w:rsidRPr="00F65E67">
              <w:rPr>
                <w:rFonts w:ascii="Gill Sans MT" w:hAnsi="Gill Sans MT"/>
                <w:sz w:val="18"/>
              </w:rPr>
              <w:t>994</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30-34 years</w:t>
            </w:r>
          </w:p>
        </w:tc>
        <w:tc>
          <w:tcPr>
            <w:tcW w:w="1134" w:type="dxa"/>
            <w:shd w:val="clear" w:color="auto" w:fill="auto"/>
          </w:tcPr>
          <w:p w:rsidR="00F65E67" w:rsidRPr="00F65E67" w:rsidRDefault="00F65E67" w:rsidP="0080575E">
            <w:pPr>
              <w:pStyle w:val="TableParagraph"/>
              <w:spacing w:before="39"/>
              <w:ind w:left="512"/>
              <w:rPr>
                <w:rFonts w:ascii="Gill Sans MT" w:hAnsi="Gill Sans MT"/>
                <w:sz w:val="18"/>
              </w:rPr>
            </w:pPr>
            <w:r w:rsidRPr="00F65E67">
              <w:rPr>
                <w:rFonts w:ascii="Gill Sans MT" w:hAnsi="Gill Sans MT"/>
                <w:sz w:val="18"/>
              </w:rPr>
              <w:t>889</w:t>
            </w:r>
          </w:p>
        </w:tc>
        <w:tc>
          <w:tcPr>
            <w:tcW w:w="1201" w:type="dxa"/>
            <w:shd w:val="clear" w:color="auto" w:fill="auto"/>
          </w:tcPr>
          <w:p w:rsidR="00F65E67" w:rsidRPr="00F65E67" w:rsidRDefault="00F65E67" w:rsidP="0080575E">
            <w:pPr>
              <w:pStyle w:val="TableParagraph"/>
              <w:spacing w:before="39"/>
              <w:ind w:left="541"/>
              <w:rPr>
                <w:rFonts w:ascii="Gill Sans MT" w:hAnsi="Gill Sans MT"/>
                <w:sz w:val="18"/>
              </w:rPr>
            </w:pPr>
            <w:r w:rsidRPr="00F65E67">
              <w:rPr>
                <w:rFonts w:ascii="Gill Sans MT" w:hAnsi="Gill Sans MT"/>
                <w:sz w:val="18"/>
              </w:rPr>
              <w:t>912</w:t>
            </w:r>
          </w:p>
        </w:tc>
        <w:tc>
          <w:tcPr>
            <w:tcW w:w="1072" w:type="dxa"/>
            <w:shd w:val="clear" w:color="auto" w:fill="auto"/>
          </w:tcPr>
          <w:p w:rsidR="00F65E67" w:rsidRPr="00F65E67" w:rsidRDefault="00F65E67" w:rsidP="0080575E">
            <w:pPr>
              <w:pStyle w:val="TableParagraph"/>
              <w:spacing w:before="39"/>
              <w:ind w:left="454"/>
              <w:rPr>
                <w:rFonts w:ascii="Gill Sans MT" w:hAnsi="Gill Sans MT"/>
                <w:sz w:val="18"/>
              </w:rPr>
            </w:pPr>
            <w:r w:rsidRPr="00F65E67">
              <w:rPr>
                <w:rFonts w:ascii="Gill Sans MT" w:hAnsi="Gill Sans MT"/>
                <w:sz w:val="18"/>
              </w:rPr>
              <w:t>1018</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35-39 years</w:t>
            </w:r>
          </w:p>
        </w:tc>
        <w:tc>
          <w:tcPr>
            <w:tcW w:w="1134" w:type="dxa"/>
            <w:shd w:val="clear" w:color="auto" w:fill="auto"/>
          </w:tcPr>
          <w:p w:rsidR="00F65E67" w:rsidRPr="00F65E67" w:rsidRDefault="00F65E67" w:rsidP="0080575E">
            <w:pPr>
              <w:pStyle w:val="TableParagraph"/>
              <w:spacing w:before="39"/>
              <w:ind w:left="521"/>
              <w:rPr>
                <w:rFonts w:ascii="Gill Sans MT" w:hAnsi="Gill Sans MT"/>
                <w:sz w:val="18"/>
              </w:rPr>
            </w:pPr>
            <w:r w:rsidRPr="00F65E67">
              <w:rPr>
                <w:rFonts w:ascii="Gill Sans MT" w:hAnsi="Gill Sans MT"/>
                <w:sz w:val="18"/>
              </w:rPr>
              <w:t>878</w:t>
            </w:r>
          </w:p>
        </w:tc>
        <w:tc>
          <w:tcPr>
            <w:tcW w:w="1201" w:type="dxa"/>
            <w:shd w:val="clear" w:color="auto" w:fill="auto"/>
          </w:tcPr>
          <w:p w:rsidR="00F65E67" w:rsidRPr="00F65E67" w:rsidRDefault="00F65E67" w:rsidP="0080575E">
            <w:pPr>
              <w:pStyle w:val="TableParagraph"/>
              <w:spacing w:before="39"/>
              <w:ind w:left="518"/>
              <w:rPr>
                <w:rFonts w:ascii="Gill Sans MT" w:hAnsi="Gill Sans MT"/>
                <w:sz w:val="18"/>
              </w:rPr>
            </w:pPr>
            <w:r w:rsidRPr="00F65E67">
              <w:rPr>
                <w:rFonts w:ascii="Gill Sans MT" w:hAnsi="Gill Sans MT"/>
                <w:sz w:val="18"/>
              </w:rPr>
              <w:t>897</w:t>
            </w:r>
          </w:p>
        </w:tc>
        <w:tc>
          <w:tcPr>
            <w:tcW w:w="1072" w:type="dxa"/>
            <w:shd w:val="clear" w:color="auto" w:fill="auto"/>
          </w:tcPr>
          <w:p w:rsidR="00F65E67" w:rsidRPr="00F65E67" w:rsidRDefault="00F65E67" w:rsidP="0080575E">
            <w:pPr>
              <w:pStyle w:val="TableParagraph"/>
              <w:spacing w:before="39"/>
              <w:ind w:left="536"/>
              <w:rPr>
                <w:rFonts w:ascii="Gill Sans MT" w:hAnsi="Gill Sans MT"/>
                <w:sz w:val="18"/>
              </w:rPr>
            </w:pPr>
            <w:r w:rsidRPr="00F65E67">
              <w:rPr>
                <w:rFonts w:ascii="Gill Sans MT" w:hAnsi="Gill Sans MT"/>
                <w:sz w:val="18"/>
              </w:rPr>
              <w:t>961</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40-44 years</w:t>
            </w:r>
          </w:p>
        </w:tc>
        <w:tc>
          <w:tcPr>
            <w:tcW w:w="1134" w:type="dxa"/>
            <w:shd w:val="clear" w:color="auto" w:fill="auto"/>
          </w:tcPr>
          <w:p w:rsidR="00F65E67" w:rsidRPr="00F65E67" w:rsidRDefault="00F65E67" w:rsidP="0080575E">
            <w:pPr>
              <w:pStyle w:val="TableParagraph"/>
              <w:spacing w:before="39"/>
              <w:ind w:left="471"/>
              <w:rPr>
                <w:rFonts w:ascii="Gill Sans MT" w:hAnsi="Gill Sans MT"/>
                <w:sz w:val="18"/>
              </w:rPr>
            </w:pPr>
            <w:r w:rsidRPr="00F65E67">
              <w:rPr>
                <w:rFonts w:ascii="Gill Sans MT" w:hAnsi="Gill Sans MT"/>
                <w:sz w:val="18"/>
              </w:rPr>
              <w:t>1211</w:t>
            </w:r>
          </w:p>
        </w:tc>
        <w:tc>
          <w:tcPr>
            <w:tcW w:w="1201" w:type="dxa"/>
            <w:shd w:val="clear" w:color="auto" w:fill="auto"/>
          </w:tcPr>
          <w:p w:rsidR="00F65E67" w:rsidRPr="00F65E67" w:rsidRDefault="00F65E67" w:rsidP="0080575E">
            <w:pPr>
              <w:pStyle w:val="TableParagraph"/>
              <w:spacing w:before="39"/>
              <w:ind w:left="460"/>
              <w:rPr>
                <w:rFonts w:ascii="Gill Sans MT" w:hAnsi="Gill Sans MT"/>
                <w:sz w:val="18"/>
              </w:rPr>
            </w:pPr>
            <w:r w:rsidRPr="00F65E67">
              <w:rPr>
                <w:rFonts w:ascii="Gill Sans MT" w:hAnsi="Gill Sans MT"/>
                <w:sz w:val="18"/>
              </w:rPr>
              <w:t>1120</w:t>
            </w:r>
          </w:p>
        </w:tc>
        <w:tc>
          <w:tcPr>
            <w:tcW w:w="1072" w:type="dxa"/>
            <w:shd w:val="clear" w:color="auto" w:fill="auto"/>
          </w:tcPr>
          <w:p w:rsidR="00F65E67" w:rsidRPr="00F65E67" w:rsidRDefault="00F65E67" w:rsidP="0080575E">
            <w:pPr>
              <w:pStyle w:val="TableParagraph"/>
              <w:spacing w:before="39"/>
              <w:ind w:left="433"/>
              <w:rPr>
                <w:rFonts w:ascii="Gill Sans MT" w:hAnsi="Gill Sans MT"/>
                <w:sz w:val="18"/>
              </w:rPr>
            </w:pPr>
            <w:r w:rsidRPr="00F65E67">
              <w:rPr>
                <w:rFonts w:ascii="Gill Sans MT" w:hAnsi="Gill Sans MT"/>
                <w:sz w:val="18"/>
              </w:rPr>
              <w:t>1065</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45-49 years</w:t>
            </w:r>
          </w:p>
        </w:tc>
        <w:tc>
          <w:tcPr>
            <w:tcW w:w="1134" w:type="dxa"/>
            <w:shd w:val="clear" w:color="auto" w:fill="auto"/>
          </w:tcPr>
          <w:p w:rsidR="00F65E67" w:rsidRPr="00F65E67" w:rsidRDefault="00F65E67" w:rsidP="0080575E">
            <w:pPr>
              <w:pStyle w:val="TableParagraph"/>
              <w:spacing w:before="39"/>
              <w:ind w:left="457"/>
              <w:rPr>
                <w:rFonts w:ascii="Gill Sans MT" w:hAnsi="Gill Sans MT"/>
                <w:sz w:val="18"/>
              </w:rPr>
            </w:pPr>
            <w:r w:rsidRPr="00F65E67">
              <w:rPr>
                <w:rFonts w:ascii="Gill Sans MT" w:hAnsi="Gill Sans MT"/>
                <w:sz w:val="18"/>
              </w:rPr>
              <w:t>1414</w:t>
            </w:r>
          </w:p>
        </w:tc>
        <w:tc>
          <w:tcPr>
            <w:tcW w:w="1201" w:type="dxa"/>
            <w:shd w:val="clear" w:color="auto" w:fill="auto"/>
          </w:tcPr>
          <w:p w:rsidR="00F65E67" w:rsidRPr="00F65E67" w:rsidRDefault="00F65E67" w:rsidP="0080575E">
            <w:pPr>
              <w:pStyle w:val="TableParagraph"/>
              <w:spacing w:before="39"/>
              <w:ind w:left="461"/>
              <w:rPr>
                <w:rFonts w:ascii="Gill Sans MT" w:hAnsi="Gill Sans MT"/>
                <w:sz w:val="18"/>
              </w:rPr>
            </w:pPr>
            <w:r w:rsidRPr="00F65E67">
              <w:rPr>
                <w:rFonts w:ascii="Gill Sans MT" w:hAnsi="Gill Sans MT"/>
                <w:sz w:val="18"/>
              </w:rPr>
              <w:t>1413</w:t>
            </w:r>
          </w:p>
        </w:tc>
        <w:tc>
          <w:tcPr>
            <w:tcW w:w="1072" w:type="dxa"/>
            <w:shd w:val="clear" w:color="auto" w:fill="auto"/>
          </w:tcPr>
          <w:p w:rsidR="00F65E67" w:rsidRPr="00F65E67" w:rsidRDefault="00F65E67" w:rsidP="0080575E">
            <w:pPr>
              <w:pStyle w:val="TableParagraph"/>
              <w:spacing w:before="39"/>
              <w:ind w:left="446"/>
              <w:rPr>
                <w:rFonts w:ascii="Gill Sans MT" w:hAnsi="Gill Sans MT"/>
                <w:sz w:val="18"/>
              </w:rPr>
            </w:pPr>
            <w:r w:rsidRPr="00F65E67">
              <w:rPr>
                <w:rFonts w:ascii="Gill Sans MT" w:hAnsi="Gill Sans MT"/>
                <w:sz w:val="18"/>
              </w:rPr>
              <w:t>1438</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50-54 years</w:t>
            </w:r>
          </w:p>
        </w:tc>
        <w:tc>
          <w:tcPr>
            <w:tcW w:w="1134" w:type="dxa"/>
            <w:shd w:val="clear" w:color="auto" w:fill="auto"/>
          </w:tcPr>
          <w:p w:rsidR="00F65E67" w:rsidRPr="00F65E67" w:rsidRDefault="00F65E67" w:rsidP="0080575E">
            <w:pPr>
              <w:pStyle w:val="TableParagraph"/>
              <w:spacing w:before="39"/>
              <w:ind w:left="439"/>
              <w:rPr>
                <w:rFonts w:ascii="Gill Sans MT" w:hAnsi="Gill Sans MT"/>
                <w:sz w:val="18"/>
              </w:rPr>
            </w:pPr>
            <w:r w:rsidRPr="00F65E67">
              <w:rPr>
                <w:rFonts w:ascii="Gill Sans MT" w:hAnsi="Gill Sans MT"/>
                <w:sz w:val="18"/>
              </w:rPr>
              <w:t>1694</w:t>
            </w:r>
          </w:p>
        </w:tc>
        <w:tc>
          <w:tcPr>
            <w:tcW w:w="1201" w:type="dxa"/>
            <w:shd w:val="clear" w:color="auto" w:fill="auto"/>
          </w:tcPr>
          <w:p w:rsidR="00F65E67" w:rsidRPr="00F65E67" w:rsidRDefault="00F65E67" w:rsidP="0080575E">
            <w:pPr>
              <w:pStyle w:val="TableParagraph"/>
              <w:spacing w:before="39"/>
              <w:ind w:left="458"/>
              <w:rPr>
                <w:rFonts w:ascii="Gill Sans MT" w:hAnsi="Gill Sans MT"/>
                <w:sz w:val="18"/>
              </w:rPr>
            </w:pPr>
            <w:r w:rsidRPr="00F65E67">
              <w:rPr>
                <w:rFonts w:ascii="Gill Sans MT" w:hAnsi="Gill Sans MT"/>
                <w:sz w:val="18"/>
              </w:rPr>
              <w:t>1615</w:t>
            </w:r>
          </w:p>
        </w:tc>
        <w:tc>
          <w:tcPr>
            <w:tcW w:w="1072" w:type="dxa"/>
            <w:shd w:val="clear" w:color="auto" w:fill="auto"/>
          </w:tcPr>
          <w:p w:rsidR="00F65E67" w:rsidRPr="00F65E67" w:rsidRDefault="00F65E67" w:rsidP="0080575E">
            <w:pPr>
              <w:pStyle w:val="TableParagraph"/>
              <w:spacing w:before="39"/>
              <w:ind w:left="440"/>
              <w:rPr>
                <w:rFonts w:ascii="Gill Sans MT" w:hAnsi="Gill Sans MT"/>
                <w:sz w:val="18"/>
              </w:rPr>
            </w:pPr>
            <w:r w:rsidRPr="00F65E67">
              <w:rPr>
                <w:rFonts w:ascii="Gill Sans MT" w:hAnsi="Gill Sans MT"/>
                <w:sz w:val="18"/>
              </w:rPr>
              <w:t>1549</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55-59 years</w:t>
            </w:r>
          </w:p>
        </w:tc>
        <w:tc>
          <w:tcPr>
            <w:tcW w:w="1134" w:type="dxa"/>
            <w:shd w:val="clear" w:color="auto" w:fill="auto"/>
          </w:tcPr>
          <w:p w:rsidR="00F65E67" w:rsidRPr="00F65E67" w:rsidRDefault="00F65E67" w:rsidP="0080575E">
            <w:pPr>
              <w:pStyle w:val="TableParagraph"/>
              <w:spacing w:before="39"/>
              <w:ind w:left="438"/>
              <w:rPr>
                <w:rFonts w:ascii="Gill Sans MT" w:hAnsi="Gill Sans MT"/>
                <w:sz w:val="18"/>
              </w:rPr>
            </w:pPr>
            <w:r w:rsidRPr="00F65E67">
              <w:rPr>
                <w:rFonts w:ascii="Gill Sans MT" w:hAnsi="Gill Sans MT"/>
                <w:sz w:val="18"/>
              </w:rPr>
              <w:t>1498</w:t>
            </w:r>
          </w:p>
        </w:tc>
        <w:tc>
          <w:tcPr>
            <w:tcW w:w="1201" w:type="dxa"/>
            <w:shd w:val="clear" w:color="auto" w:fill="auto"/>
          </w:tcPr>
          <w:p w:rsidR="00F65E67" w:rsidRPr="00F65E67" w:rsidRDefault="00F65E67" w:rsidP="0080575E">
            <w:pPr>
              <w:pStyle w:val="TableParagraph"/>
              <w:spacing w:before="39"/>
              <w:ind w:left="470"/>
              <w:rPr>
                <w:rFonts w:ascii="Gill Sans MT" w:hAnsi="Gill Sans MT"/>
                <w:sz w:val="18"/>
              </w:rPr>
            </w:pPr>
            <w:r w:rsidRPr="00F65E67">
              <w:rPr>
                <w:rFonts w:ascii="Gill Sans MT" w:hAnsi="Gill Sans MT"/>
                <w:sz w:val="18"/>
              </w:rPr>
              <w:t>1511</w:t>
            </w:r>
          </w:p>
        </w:tc>
        <w:tc>
          <w:tcPr>
            <w:tcW w:w="1072" w:type="dxa"/>
            <w:shd w:val="clear" w:color="auto" w:fill="auto"/>
          </w:tcPr>
          <w:p w:rsidR="00F65E67" w:rsidRPr="00F65E67" w:rsidRDefault="00F65E67" w:rsidP="0080575E">
            <w:pPr>
              <w:pStyle w:val="TableParagraph"/>
              <w:spacing w:before="39"/>
              <w:ind w:left="450"/>
              <w:rPr>
                <w:rFonts w:ascii="Gill Sans MT" w:hAnsi="Gill Sans MT"/>
                <w:sz w:val="18"/>
              </w:rPr>
            </w:pPr>
            <w:r w:rsidRPr="00F65E67">
              <w:rPr>
                <w:rFonts w:ascii="Gill Sans MT" w:hAnsi="Gill Sans MT"/>
                <w:sz w:val="18"/>
              </w:rPr>
              <w:t>1524</w:t>
            </w:r>
          </w:p>
        </w:tc>
      </w:tr>
      <w:tr w:rsidR="00F65E67" w:rsidTr="00F65E67">
        <w:trPr>
          <w:trHeight w:hRule="exact" w:val="284"/>
        </w:trPr>
        <w:tc>
          <w:tcPr>
            <w:tcW w:w="6516" w:type="dxa"/>
            <w:shd w:val="clear" w:color="auto" w:fill="auto"/>
          </w:tcPr>
          <w:p w:rsidR="00F65E67" w:rsidRPr="00F65E67" w:rsidRDefault="00F65E67" w:rsidP="00F65E67">
            <w:pPr>
              <w:pStyle w:val="TableParagraph"/>
              <w:spacing w:before="39"/>
              <w:rPr>
                <w:rFonts w:ascii="Gill Sans MT" w:hAnsi="Gill Sans MT"/>
                <w:sz w:val="18"/>
              </w:rPr>
            </w:pPr>
            <w:r w:rsidRPr="00F65E67">
              <w:rPr>
                <w:rFonts w:ascii="Gill Sans MT" w:hAnsi="Gill Sans MT"/>
                <w:sz w:val="18"/>
              </w:rPr>
              <w:t>60+ years</w:t>
            </w:r>
          </w:p>
        </w:tc>
        <w:tc>
          <w:tcPr>
            <w:tcW w:w="1134" w:type="dxa"/>
            <w:shd w:val="clear" w:color="auto" w:fill="auto"/>
          </w:tcPr>
          <w:p w:rsidR="00F65E67" w:rsidRPr="00F65E67" w:rsidRDefault="00F65E67" w:rsidP="0080575E">
            <w:pPr>
              <w:pStyle w:val="TableParagraph"/>
              <w:spacing w:before="39"/>
              <w:ind w:left="475"/>
              <w:rPr>
                <w:rFonts w:ascii="Gill Sans MT" w:hAnsi="Gill Sans MT"/>
                <w:sz w:val="18"/>
              </w:rPr>
            </w:pPr>
            <w:r w:rsidRPr="00F65E67">
              <w:rPr>
                <w:rFonts w:ascii="Gill Sans MT" w:hAnsi="Gill Sans MT"/>
                <w:sz w:val="18"/>
              </w:rPr>
              <w:t>1110</w:t>
            </w:r>
          </w:p>
        </w:tc>
        <w:tc>
          <w:tcPr>
            <w:tcW w:w="1201" w:type="dxa"/>
            <w:shd w:val="clear" w:color="auto" w:fill="auto"/>
          </w:tcPr>
          <w:p w:rsidR="00F65E67" w:rsidRPr="00F65E67" w:rsidRDefault="00F65E67" w:rsidP="0080575E">
            <w:pPr>
              <w:pStyle w:val="TableParagraph"/>
              <w:spacing w:before="39"/>
              <w:ind w:left="459"/>
              <w:rPr>
                <w:rFonts w:ascii="Gill Sans MT" w:hAnsi="Gill Sans MT"/>
                <w:sz w:val="18"/>
              </w:rPr>
            </w:pPr>
            <w:r w:rsidRPr="00F65E67">
              <w:rPr>
                <w:rFonts w:ascii="Gill Sans MT" w:hAnsi="Gill Sans MT"/>
                <w:sz w:val="18"/>
              </w:rPr>
              <w:t>1157</w:t>
            </w:r>
          </w:p>
        </w:tc>
        <w:tc>
          <w:tcPr>
            <w:tcW w:w="1072" w:type="dxa"/>
            <w:shd w:val="clear" w:color="auto" w:fill="auto"/>
          </w:tcPr>
          <w:p w:rsidR="00F65E67" w:rsidRPr="00F65E67" w:rsidRDefault="00F65E67" w:rsidP="0080575E">
            <w:pPr>
              <w:pStyle w:val="TableParagraph"/>
              <w:spacing w:before="39"/>
              <w:ind w:left="441"/>
              <w:rPr>
                <w:rFonts w:ascii="Gill Sans MT" w:hAnsi="Gill Sans MT"/>
                <w:sz w:val="18"/>
              </w:rPr>
            </w:pPr>
            <w:r w:rsidRPr="00F65E67">
              <w:rPr>
                <w:rFonts w:ascii="Gill Sans MT" w:hAnsi="Gill Sans MT"/>
                <w:sz w:val="18"/>
              </w:rPr>
              <w:t>1228</w:t>
            </w:r>
          </w:p>
        </w:tc>
      </w:tr>
      <w:tr w:rsidR="00F65E67" w:rsidTr="00F65E67">
        <w:trPr>
          <w:trHeight w:hRule="exact" w:val="291"/>
        </w:trPr>
        <w:tc>
          <w:tcPr>
            <w:tcW w:w="6516" w:type="dxa"/>
            <w:tcBorders>
              <w:bottom w:val="single" w:sz="4" w:space="0" w:color="004D8F"/>
            </w:tcBorders>
            <w:shd w:val="clear" w:color="auto" w:fill="auto"/>
          </w:tcPr>
          <w:p w:rsidR="00F65E67" w:rsidRDefault="00F65E67" w:rsidP="00F65E67">
            <w:pPr>
              <w:pStyle w:val="TableParagraph"/>
              <w:spacing w:before="37"/>
              <w:rPr>
                <w:rFonts w:ascii="GillSans-SemiBold"/>
                <w:b/>
                <w:sz w:val="18"/>
              </w:rPr>
            </w:pPr>
            <w:r>
              <w:rPr>
                <w:rFonts w:ascii="GillSans-SemiBold"/>
                <w:b/>
                <w:sz w:val="18"/>
              </w:rPr>
              <w:t>Total</w:t>
            </w:r>
          </w:p>
        </w:tc>
        <w:tc>
          <w:tcPr>
            <w:tcW w:w="1134" w:type="dxa"/>
            <w:tcBorders>
              <w:bottom w:val="single" w:sz="4" w:space="0" w:color="004D8F"/>
            </w:tcBorders>
            <w:shd w:val="clear" w:color="auto" w:fill="auto"/>
          </w:tcPr>
          <w:p w:rsidR="00F65E67" w:rsidRDefault="00F65E67" w:rsidP="0080575E">
            <w:pPr>
              <w:pStyle w:val="TableParagraph"/>
              <w:spacing w:before="37"/>
              <w:ind w:left="327"/>
              <w:rPr>
                <w:rFonts w:ascii="GillSans-SemiBold"/>
                <w:b/>
                <w:sz w:val="18"/>
              </w:rPr>
            </w:pPr>
            <w:r>
              <w:rPr>
                <w:rFonts w:ascii="GillSans-SemiBold"/>
                <w:b/>
                <w:sz w:val="18"/>
              </w:rPr>
              <w:t>10140</w:t>
            </w:r>
          </w:p>
        </w:tc>
        <w:tc>
          <w:tcPr>
            <w:tcW w:w="1201" w:type="dxa"/>
            <w:tcBorders>
              <w:bottom w:val="single" w:sz="4" w:space="0" w:color="004D8F"/>
            </w:tcBorders>
            <w:shd w:val="clear" w:color="auto" w:fill="auto"/>
          </w:tcPr>
          <w:p w:rsidR="00F65E67" w:rsidRDefault="00F65E67" w:rsidP="0080575E">
            <w:pPr>
              <w:pStyle w:val="TableParagraph"/>
              <w:spacing w:before="37"/>
              <w:ind w:left="317"/>
              <w:rPr>
                <w:rFonts w:ascii="GillSans-SemiBold"/>
                <w:b/>
                <w:sz w:val="18"/>
              </w:rPr>
            </w:pPr>
            <w:r>
              <w:rPr>
                <w:rFonts w:ascii="GillSans-SemiBold"/>
                <w:b/>
                <w:sz w:val="18"/>
              </w:rPr>
              <w:t>10031</w:t>
            </w:r>
          </w:p>
        </w:tc>
        <w:tc>
          <w:tcPr>
            <w:tcW w:w="1072" w:type="dxa"/>
            <w:tcBorders>
              <w:bottom w:val="single" w:sz="4" w:space="0" w:color="004D8F"/>
            </w:tcBorders>
            <w:shd w:val="clear" w:color="auto" w:fill="auto"/>
          </w:tcPr>
          <w:p w:rsidR="00F65E67" w:rsidRDefault="00F65E67" w:rsidP="0080575E">
            <w:pPr>
              <w:pStyle w:val="TableParagraph"/>
              <w:spacing w:before="37"/>
              <w:ind w:left="331"/>
              <w:rPr>
                <w:rFonts w:ascii="GillSans-SemiBold"/>
                <w:b/>
                <w:sz w:val="18"/>
              </w:rPr>
            </w:pPr>
            <w:r>
              <w:rPr>
                <w:rFonts w:ascii="GillSans-SemiBold"/>
                <w:b/>
                <w:sz w:val="18"/>
              </w:rPr>
              <w:t>10374</w:t>
            </w:r>
          </w:p>
        </w:tc>
      </w:tr>
    </w:tbl>
    <w:p w:rsidR="00F65E67" w:rsidRDefault="00F65E67" w:rsidP="00220828">
      <w:pPr>
        <w:spacing w:before="43"/>
        <w:rPr>
          <w:sz w:val="16"/>
        </w:rPr>
      </w:pPr>
      <w:r>
        <w:rPr>
          <w:sz w:val="16"/>
        </w:rPr>
        <w:t>*Note due to organisational changes data has been remapped to the current organisational structure.</w:t>
      </w:r>
    </w:p>
    <w:p w:rsidR="00F65E67" w:rsidRDefault="00220828" w:rsidP="00220828">
      <w:pPr>
        <w:pStyle w:val="Heading4"/>
      </w:pPr>
      <w:r>
        <w:t>Number of employees (head count) paid by award as at 30 June 2016</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8789"/>
        <w:gridCol w:w="1223"/>
      </w:tblGrid>
      <w:tr w:rsidR="00220828" w:rsidRPr="00220828" w:rsidTr="00220828">
        <w:trPr>
          <w:trHeight w:hRule="exact" w:val="280"/>
        </w:trPr>
        <w:tc>
          <w:tcPr>
            <w:tcW w:w="8789"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220828">
            <w:pPr>
              <w:pStyle w:val="TableParagraph"/>
              <w:spacing w:before="38" w:line="333" w:lineRule="auto"/>
              <w:ind w:right="6068"/>
              <w:rPr>
                <w:rFonts w:ascii="Gill Sans MT" w:hAnsi="Gill Sans MT"/>
                <w:b/>
                <w:sz w:val="18"/>
                <w:szCs w:val="18"/>
              </w:rPr>
            </w:pPr>
            <w:r w:rsidRPr="00220828">
              <w:rPr>
                <w:rFonts w:ascii="Gill Sans MT" w:hAnsi="Gill Sans MT"/>
                <w:b/>
                <w:sz w:val="18"/>
                <w:szCs w:val="18"/>
              </w:rPr>
              <w:t>As at end of financial year</w:t>
            </w:r>
          </w:p>
        </w:tc>
        <w:tc>
          <w:tcPr>
            <w:tcW w:w="1223"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38"/>
              <w:ind w:left="76"/>
              <w:rPr>
                <w:rFonts w:ascii="Gill Sans MT" w:hAnsi="Gill Sans MT"/>
                <w:b/>
                <w:sz w:val="18"/>
                <w:szCs w:val="18"/>
              </w:rPr>
            </w:pPr>
            <w:r w:rsidRPr="00220828">
              <w:rPr>
                <w:rFonts w:ascii="Gill Sans MT" w:hAnsi="Gill Sans MT"/>
                <w:b/>
                <w:sz w:val="18"/>
                <w:szCs w:val="18"/>
              </w:rPr>
              <w:t>Total</w:t>
            </w:r>
          </w:p>
        </w:tc>
      </w:tr>
      <w:tr w:rsidR="00220828" w:rsidRPr="00220828" w:rsidTr="00220828">
        <w:trPr>
          <w:trHeight w:hRule="exact" w:val="284"/>
        </w:trPr>
        <w:tc>
          <w:tcPr>
            <w:tcW w:w="8789"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rPr>
                <w:rFonts w:ascii="Gill Sans MT" w:hAnsi="Gill Sans MT"/>
                <w:sz w:val="18"/>
                <w:szCs w:val="18"/>
              </w:rPr>
            </w:pPr>
            <w:r w:rsidRPr="00220828">
              <w:rPr>
                <w:rFonts w:ascii="Gill Sans MT" w:hAnsi="Gill Sans MT"/>
                <w:sz w:val="18"/>
                <w:szCs w:val="18"/>
              </w:rPr>
              <w:t>Allied Health Professionals</w:t>
            </w:r>
          </w:p>
        </w:tc>
        <w:tc>
          <w:tcPr>
            <w:tcW w:w="1223"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39"/>
              <w:ind w:right="174"/>
              <w:jc w:val="right"/>
              <w:rPr>
                <w:rFonts w:ascii="Gill Sans MT" w:hAnsi="Gill Sans MT"/>
                <w:sz w:val="18"/>
                <w:szCs w:val="18"/>
              </w:rPr>
            </w:pPr>
            <w:r w:rsidRPr="00220828">
              <w:rPr>
                <w:rFonts w:ascii="Gill Sans MT" w:hAnsi="Gill Sans MT"/>
                <w:sz w:val="18"/>
                <w:szCs w:val="18"/>
              </w:rPr>
              <w:t>1091</w:t>
            </w:r>
          </w:p>
        </w:tc>
      </w:tr>
      <w:tr w:rsidR="00220828" w:rsidRPr="00220828" w:rsidTr="00220828">
        <w:trPr>
          <w:trHeight w:hRule="exact" w:val="284"/>
        </w:trPr>
        <w:tc>
          <w:tcPr>
            <w:tcW w:w="8789" w:type="dxa"/>
            <w:tcBorders>
              <w:top w:val="single" w:sz="4" w:space="0" w:color="004D8F"/>
            </w:tcBorders>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Dental Officers</w:t>
            </w:r>
          </w:p>
        </w:tc>
        <w:tc>
          <w:tcPr>
            <w:tcW w:w="1223" w:type="dxa"/>
            <w:tcBorders>
              <w:top w:val="single" w:sz="4" w:space="0" w:color="004D8F"/>
            </w:tcBorders>
            <w:shd w:val="clear" w:color="auto" w:fill="auto"/>
          </w:tcPr>
          <w:p w:rsidR="00220828" w:rsidRPr="00220828" w:rsidRDefault="00220828" w:rsidP="0080575E">
            <w:pPr>
              <w:pStyle w:val="TableParagraph"/>
              <w:spacing w:before="39"/>
              <w:ind w:right="156"/>
              <w:jc w:val="right"/>
              <w:rPr>
                <w:rFonts w:ascii="Gill Sans MT" w:hAnsi="Gill Sans MT"/>
                <w:sz w:val="18"/>
                <w:szCs w:val="18"/>
              </w:rPr>
            </w:pPr>
            <w:r w:rsidRPr="00220828">
              <w:rPr>
                <w:rFonts w:ascii="Gill Sans MT" w:hAnsi="Gill Sans MT"/>
                <w:sz w:val="18"/>
                <w:szCs w:val="18"/>
              </w:rPr>
              <w:t>44</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Health and Human Services Award</w:t>
            </w:r>
          </w:p>
        </w:tc>
        <w:tc>
          <w:tcPr>
            <w:tcW w:w="1223" w:type="dxa"/>
            <w:shd w:val="clear" w:color="auto" w:fill="auto"/>
          </w:tcPr>
          <w:p w:rsidR="00220828" w:rsidRPr="00220828" w:rsidRDefault="00220828" w:rsidP="0080575E">
            <w:pPr>
              <w:pStyle w:val="TableParagraph"/>
              <w:spacing w:before="39"/>
              <w:ind w:right="164"/>
              <w:jc w:val="right"/>
              <w:rPr>
                <w:rFonts w:ascii="Gill Sans MT" w:hAnsi="Gill Sans MT"/>
                <w:sz w:val="18"/>
                <w:szCs w:val="18"/>
              </w:rPr>
            </w:pPr>
            <w:r w:rsidRPr="00220828">
              <w:rPr>
                <w:rFonts w:ascii="Gill Sans MT" w:hAnsi="Gill Sans MT"/>
                <w:sz w:val="18"/>
                <w:szCs w:val="18"/>
              </w:rPr>
              <w:t>3560</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Medical Practitioners</w:t>
            </w:r>
          </w:p>
        </w:tc>
        <w:tc>
          <w:tcPr>
            <w:tcW w:w="1223" w:type="dxa"/>
            <w:shd w:val="clear" w:color="auto" w:fill="auto"/>
          </w:tcPr>
          <w:p w:rsidR="00220828" w:rsidRPr="00220828" w:rsidRDefault="00220828" w:rsidP="0080575E">
            <w:pPr>
              <w:pStyle w:val="TableParagraph"/>
              <w:spacing w:before="39"/>
              <w:ind w:right="165"/>
              <w:jc w:val="right"/>
              <w:rPr>
                <w:rFonts w:ascii="Gill Sans MT" w:hAnsi="Gill Sans MT"/>
                <w:sz w:val="18"/>
                <w:szCs w:val="18"/>
              </w:rPr>
            </w:pPr>
            <w:r w:rsidRPr="00220828">
              <w:rPr>
                <w:rFonts w:ascii="Gill Sans MT" w:hAnsi="Gill Sans MT"/>
                <w:sz w:val="18"/>
                <w:szCs w:val="18"/>
              </w:rPr>
              <w:t>882</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No Award</w:t>
            </w:r>
          </w:p>
        </w:tc>
        <w:tc>
          <w:tcPr>
            <w:tcW w:w="1223" w:type="dxa"/>
            <w:shd w:val="clear" w:color="auto" w:fill="auto"/>
          </w:tcPr>
          <w:p w:rsidR="00220828" w:rsidRPr="00220828" w:rsidRDefault="00220828" w:rsidP="0080575E">
            <w:pPr>
              <w:pStyle w:val="TableParagraph"/>
              <w:spacing w:before="39"/>
              <w:ind w:right="164"/>
              <w:jc w:val="right"/>
              <w:rPr>
                <w:rFonts w:ascii="Gill Sans MT" w:hAnsi="Gill Sans MT"/>
                <w:sz w:val="18"/>
                <w:szCs w:val="18"/>
              </w:rPr>
            </w:pPr>
            <w:r w:rsidRPr="00220828">
              <w:rPr>
                <w:rFonts w:ascii="Gill Sans MT" w:hAnsi="Gill Sans MT"/>
                <w:sz w:val="18"/>
                <w:szCs w:val="18"/>
              </w:rPr>
              <w:t>7</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Nursing</w:t>
            </w:r>
          </w:p>
        </w:tc>
        <w:tc>
          <w:tcPr>
            <w:tcW w:w="1223" w:type="dxa"/>
            <w:shd w:val="clear" w:color="auto" w:fill="auto"/>
          </w:tcPr>
          <w:p w:rsidR="00220828" w:rsidRPr="00220828" w:rsidRDefault="00220828" w:rsidP="0080575E">
            <w:pPr>
              <w:pStyle w:val="TableParagraph"/>
              <w:spacing w:before="39"/>
              <w:ind w:right="164"/>
              <w:jc w:val="right"/>
              <w:rPr>
                <w:rFonts w:ascii="Gill Sans MT" w:hAnsi="Gill Sans MT"/>
                <w:sz w:val="18"/>
                <w:szCs w:val="18"/>
              </w:rPr>
            </w:pPr>
            <w:r w:rsidRPr="00220828">
              <w:rPr>
                <w:rFonts w:ascii="Gill Sans MT" w:hAnsi="Gill Sans MT"/>
                <w:sz w:val="18"/>
                <w:szCs w:val="18"/>
              </w:rPr>
              <w:t>4540</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Radiation Therapist</w:t>
            </w:r>
          </w:p>
        </w:tc>
        <w:tc>
          <w:tcPr>
            <w:tcW w:w="1223" w:type="dxa"/>
            <w:shd w:val="clear" w:color="auto" w:fill="auto"/>
          </w:tcPr>
          <w:p w:rsidR="00220828" w:rsidRPr="00220828" w:rsidRDefault="00220828" w:rsidP="0080575E">
            <w:pPr>
              <w:pStyle w:val="TableParagraph"/>
              <w:spacing w:before="39"/>
              <w:ind w:right="168"/>
              <w:jc w:val="right"/>
              <w:rPr>
                <w:rFonts w:ascii="Gill Sans MT" w:hAnsi="Gill Sans MT"/>
                <w:sz w:val="18"/>
                <w:szCs w:val="18"/>
              </w:rPr>
            </w:pPr>
            <w:r w:rsidRPr="00220828">
              <w:rPr>
                <w:rFonts w:ascii="Gill Sans MT" w:hAnsi="Gill Sans MT"/>
                <w:sz w:val="18"/>
                <w:szCs w:val="18"/>
              </w:rPr>
              <w:t>59</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Senior Executive Service</w:t>
            </w:r>
          </w:p>
        </w:tc>
        <w:tc>
          <w:tcPr>
            <w:tcW w:w="1223" w:type="dxa"/>
            <w:shd w:val="clear" w:color="auto" w:fill="auto"/>
          </w:tcPr>
          <w:p w:rsidR="00220828" w:rsidRPr="00220828" w:rsidRDefault="00220828" w:rsidP="0080575E">
            <w:pPr>
              <w:pStyle w:val="TableParagraph"/>
              <w:spacing w:before="39"/>
              <w:ind w:right="164"/>
              <w:jc w:val="right"/>
              <w:rPr>
                <w:rFonts w:ascii="Gill Sans MT" w:hAnsi="Gill Sans MT"/>
                <w:sz w:val="18"/>
                <w:szCs w:val="18"/>
              </w:rPr>
            </w:pPr>
            <w:r w:rsidRPr="00220828">
              <w:rPr>
                <w:rFonts w:ascii="Gill Sans MT" w:hAnsi="Gill Sans MT"/>
                <w:sz w:val="18"/>
                <w:szCs w:val="18"/>
              </w:rPr>
              <w:t>5</w:t>
            </w:r>
          </w:p>
        </w:tc>
      </w:tr>
      <w:tr w:rsidR="00220828" w:rsidRPr="00220828" w:rsidTr="00220828">
        <w:trPr>
          <w:trHeight w:hRule="exact" w:val="284"/>
        </w:trPr>
        <w:tc>
          <w:tcPr>
            <w:tcW w:w="8789" w:type="dxa"/>
            <w:shd w:val="clear" w:color="auto" w:fill="auto"/>
          </w:tcPr>
          <w:p w:rsidR="00220828" w:rsidRPr="00220828" w:rsidRDefault="00220828" w:rsidP="00220828">
            <w:pPr>
              <w:pStyle w:val="TableParagraph"/>
              <w:spacing w:before="39"/>
              <w:rPr>
                <w:rFonts w:ascii="Gill Sans MT" w:hAnsi="Gill Sans MT"/>
                <w:sz w:val="18"/>
                <w:szCs w:val="18"/>
              </w:rPr>
            </w:pPr>
            <w:r w:rsidRPr="00220828">
              <w:rPr>
                <w:rFonts w:ascii="Gill Sans MT" w:hAnsi="Gill Sans MT"/>
                <w:sz w:val="18"/>
                <w:szCs w:val="18"/>
              </w:rPr>
              <w:t>Visiting Medical Officers*</w:t>
            </w:r>
          </w:p>
        </w:tc>
        <w:tc>
          <w:tcPr>
            <w:tcW w:w="1223" w:type="dxa"/>
            <w:shd w:val="clear" w:color="auto" w:fill="auto"/>
          </w:tcPr>
          <w:p w:rsidR="00220828" w:rsidRPr="00220828" w:rsidRDefault="00220828" w:rsidP="0080575E">
            <w:pPr>
              <w:pStyle w:val="TableParagraph"/>
              <w:spacing w:before="39"/>
              <w:ind w:right="164"/>
              <w:jc w:val="right"/>
              <w:rPr>
                <w:rFonts w:ascii="Gill Sans MT" w:hAnsi="Gill Sans MT"/>
                <w:sz w:val="18"/>
                <w:szCs w:val="18"/>
              </w:rPr>
            </w:pPr>
            <w:r w:rsidRPr="00220828">
              <w:rPr>
                <w:rFonts w:ascii="Gill Sans MT" w:hAnsi="Gill Sans MT"/>
                <w:sz w:val="18"/>
                <w:szCs w:val="18"/>
              </w:rPr>
              <w:t>186</w:t>
            </w:r>
          </w:p>
        </w:tc>
      </w:tr>
      <w:tr w:rsidR="00220828" w:rsidRPr="00220828" w:rsidTr="00220828">
        <w:trPr>
          <w:trHeight w:hRule="exact" w:val="291"/>
        </w:trPr>
        <w:tc>
          <w:tcPr>
            <w:tcW w:w="8789" w:type="dxa"/>
            <w:tcBorders>
              <w:bottom w:val="single" w:sz="4" w:space="0" w:color="004D8F"/>
            </w:tcBorders>
            <w:shd w:val="clear" w:color="auto" w:fill="auto"/>
          </w:tcPr>
          <w:p w:rsidR="00220828" w:rsidRPr="00220828" w:rsidRDefault="00220828" w:rsidP="00220828">
            <w:pPr>
              <w:pStyle w:val="TableParagraph"/>
              <w:spacing w:before="37"/>
              <w:rPr>
                <w:rFonts w:ascii="Gill Sans MT" w:hAnsi="Gill Sans MT"/>
                <w:b/>
                <w:sz w:val="18"/>
                <w:szCs w:val="18"/>
              </w:rPr>
            </w:pPr>
            <w:r w:rsidRPr="00220828">
              <w:rPr>
                <w:rFonts w:ascii="Gill Sans MT" w:hAnsi="Gill Sans MT"/>
                <w:b/>
                <w:sz w:val="18"/>
                <w:szCs w:val="18"/>
              </w:rPr>
              <w:t>Total</w:t>
            </w:r>
          </w:p>
        </w:tc>
        <w:tc>
          <w:tcPr>
            <w:tcW w:w="1223" w:type="dxa"/>
            <w:tcBorders>
              <w:bottom w:val="single" w:sz="4" w:space="0" w:color="004D8F"/>
            </w:tcBorders>
            <w:shd w:val="clear" w:color="auto" w:fill="auto"/>
          </w:tcPr>
          <w:p w:rsidR="00220828" w:rsidRPr="00220828" w:rsidRDefault="00220828" w:rsidP="0080575E">
            <w:pPr>
              <w:pStyle w:val="TableParagraph"/>
              <w:spacing w:before="37"/>
              <w:ind w:right="164"/>
              <w:jc w:val="right"/>
              <w:rPr>
                <w:rFonts w:ascii="Gill Sans MT" w:hAnsi="Gill Sans MT"/>
                <w:b/>
                <w:sz w:val="18"/>
                <w:szCs w:val="18"/>
              </w:rPr>
            </w:pPr>
            <w:r w:rsidRPr="00220828">
              <w:rPr>
                <w:rFonts w:ascii="Gill Sans MT" w:hAnsi="Gill Sans MT"/>
                <w:b/>
                <w:sz w:val="18"/>
                <w:szCs w:val="18"/>
              </w:rPr>
              <w:t>10374</w:t>
            </w:r>
          </w:p>
        </w:tc>
      </w:tr>
    </w:tbl>
    <w:p w:rsidR="00220828" w:rsidRDefault="00220828" w:rsidP="00220828">
      <w:pPr>
        <w:spacing w:before="56"/>
        <w:rPr>
          <w:sz w:val="16"/>
        </w:rPr>
      </w:pPr>
      <w:r>
        <w:rPr>
          <w:sz w:val="16"/>
        </w:rPr>
        <w:t>*Includes Rural Medical Practitioners.</w:t>
      </w:r>
    </w:p>
    <w:p w:rsidR="00220828" w:rsidRDefault="00220828" w:rsidP="00220828">
      <w:pPr>
        <w:pStyle w:val="Heading4"/>
      </w:pPr>
      <w:r>
        <w:t>Average Personal Leave days per FTE*</w:t>
      </w:r>
    </w:p>
    <w:tbl>
      <w:tblPr>
        <w:tblW w:w="1008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242"/>
        <w:gridCol w:w="1418"/>
        <w:gridCol w:w="1276"/>
        <w:gridCol w:w="1147"/>
      </w:tblGrid>
      <w:tr w:rsidR="00220828" w:rsidRPr="00220828" w:rsidTr="00220828">
        <w:trPr>
          <w:trHeight w:hRule="exact" w:val="284"/>
        </w:trPr>
        <w:tc>
          <w:tcPr>
            <w:tcW w:w="6242"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80"/>
              <w:rPr>
                <w:rFonts w:ascii="Gill Sans MT" w:hAnsi="Gill Sans MT"/>
                <w:b/>
                <w:sz w:val="18"/>
              </w:rPr>
            </w:pPr>
            <w:r w:rsidRPr="00220828">
              <w:rPr>
                <w:rFonts w:ascii="Gill Sans MT" w:hAnsi="Gill Sans MT"/>
                <w:b/>
                <w:sz w:val="18"/>
              </w:rPr>
              <w:t>As at end of financial year</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45" w:right="118"/>
              <w:jc w:val="center"/>
              <w:rPr>
                <w:rFonts w:ascii="Gill Sans MT" w:hAnsi="Gill Sans MT"/>
                <w:b/>
                <w:sz w:val="18"/>
              </w:rPr>
            </w:pPr>
            <w:r w:rsidRPr="00220828">
              <w:rPr>
                <w:rFonts w:ascii="Gill Sans MT" w:hAnsi="Gill Sans MT"/>
                <w:b/>
                <w:sz w:val="18"/>
              </w:rPr>
              <w:t>2013-2014**</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43" w:right="43"/>
              <w:jc w:val="center"/>
              <w:rPr>
                <w:rFonts w:ascii="Gill Sans MT" w:hAnsi="Gill Sans MT"/>
                <w:b/>
                <w:sz w:val="18"/>
              </w:rPr>
            </w:pPr>
            <w:r w:rsidRPr="00220828">
              <w:rPr>
                <w:rFonts w:ascii="Gill Sans MT" w:hAnsi="Gill Sans MT"/>
                <w:b/>
                <w:sz w:val="18"/>
              </w:rPr>
              <w:t>2014-2015**</w:t>
            </w:r>
          </w:p>
        </w:tc>
        <w:tc>
          <w:tcPr>
            <w:tcW w:w="1147"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76"/>
              <w:rPr>
                <w:rFonts w:ascii="Gill Sans MT" w:hAnsi="Gill Sans MT"/>
                <w:b/>
                <w:sz w:val="18"/>
              </w:rPr>
            </w:pPr>
            <w:r w:rsidRPr="00220828">
              <w:rPr>
                <w:rFonts w:ascii="Gill Sans MT" w:hAnsi="Gill Sans MT"/>
                <w:b/>
                <w:sz w:val="18"/>
              </w:rPr>
              <w:t>2015-2016</w:t>
            </w:r>
          </w:p>
        </w:tc>
      </w:tr>
      <w:tr w:rsidR="00220828" w:rsidRPr="00220828" w:rsidTr="00220828">
        <w:trPr>
          <w:trHeight w:hRule="exact" w:val="284"/>
        </w:trPr>
        <w:tc>
          <w:tcPr>
            <w:tcW w:w="6242"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75"/>
              <w:rPr>
                <w:rFonts w:ascii="Gill Sans MT" w:hAnsi="Gill Sans MT"/>
                <w:sz w:val="18"/>
              </w:rPr>
            </w:pPr>
            <w:r w:rsidRPr="00220828">
              <w:rPr>
                <w:rFonts w:ascii="Gill Sans MT" w:hAnsi="Gill Sans MT"/>
                <w:sz w:val="18"/>
              </w:rPr>
              <w:t>Personal leave days per average paid FTE</w:t>
            </w:r>
          </w:p>
        </w:tc>
        <w:tc>
          <w:tcPr>
            <w:tcW w:w="1418"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30" w:right="118"/>
              <w:jc w:val="center"/>
              <w:rPr>
                <w:rFonts w:ascii="Gill Sans MT" w:hAnsi="Gill Sans MT"/>
                <w:sz w:val="18"/>
              </w:rPr>
            </w:pPr>
            <w:r w:rsidRPr="00220828">
              <w:rPr>
                <w:rFonts w:ascii="Gill Sans MT" w:hAnsi="Gill Sans MT"/>
                <w:sz w:val="18"/>
              </w:rPr>
              <w:t>12.0</w:t>
            </w:r>
          </w:p>
        </w:tc>
        <w:tc>
          <w:tcPr>
            <w:tcW w:w="1276"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43" w:right="130"/>
              <w:jc w:val="center"/>
              <w:rPr>
                <w:rFonts w:ascii="Gill Sans MT" w:hAnsi="Gill Sans MT"/>
                <w:sz w:val="18"/>
              </w:rPr>
            </w:pPr>
            <w:r w:rsidRPr="00220828">
              <w:rPr>
                <w:rFonts w:ascii="Gill Sans MT" w:hAnsi="Gill Sans MT"/>
                <w:sz w:val="18"/>
              </w:rPr>
              <w:t>11.9</w:t>
            </w:r>
          </w:p>
        </w:tc>
        <w:tc>
          <w:tcPr>
            <w:tcW w:w="1147"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340"/>
              <w:rPr>
                <w:rFonts w:ascii="Gill Sans MT" w:hAnsi="Gill Sans MT"/>
                <w:sz w:val="18"/>
              </w:rPr>
            </w:pPr>
            <w:r w:rsidRPr="00220828">
              <w:rPr>
                <w:rFonts w:ascii="Gill Sans MT" w:hAnsi="Gill Sans MT"/>
                <w:sz w:val="18"/>
              </w:rPr>
              <w:t>12.3</w:t>
            </w:r>
          </w:p>
        </w:tc>
      </w:tr>
    </w:tbl>
    <w:p w:rsidR="00220828" w:rsidRDefault="00220828" w:rsidP="00220828">
      <w:pPr>
        <w:spacing w:before="56"/>
        <w:rPr>
          <w:sz w:val="16"/>
        </w:rPr>
      </w:pPr>
      <w:r>
        <w:rPr>
          <w:sz w:val="16"/>
        </w:rPr>
        <w:t>*Includes sick, carers leave and family leave.</w:t>
      </w:r>
      <w:r>
        <w:rPr>
          <w:sz w:val="16"/>
        </w:rPr>
        <w:br/>
        <w:t>** Note due to organisational changes data has been remapped to the current organisational structure.</w:t>
      </w:r>
    </w:p>
    <w:p w:rsidR="00220828" w:rsidRDefault="00220828" w:rsidP="00220828">
      <w:pPr>
        <w:pStyle w:val="Heading4"/>
      </w:pPr>
      <w:r>
        <w:t>Total paid overtime* hourse per average FTE</w:t>
      </w:r>
    </w:p>
    <w:tbl>
      <w:tblPr>
        <w:tblW w:w="10063" w:type="dxa"/>
        <w:tblInd w:w="5" w:type="dxa"/>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237"/>
        <w:gridCol w:w="1418"/>
        <w:gridCol w:w="1276"/>
        <w:gridCol w:w="1132"/>
      </w:tblGrid>
      <w:tr w:rsidR="00220828" w:rsidRPr="00220828"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80"/>
              <w:rPr>
                <w:rFonts w:ascii="Gill Sans MT" w:hAnsi="Gill Sans MT"/>
                <w:b/>
                <w:sz w:val="18"/>
                <w:szCs w:val="18"/>
              </w:rPr>
            </w:pPr>
            <w:r w:rsidRPr="00220828">
              <w:rPr>
                <w:rFonts w:ascii="Gill Sans MT" w:hAnsi="Gill Sans MT"/>
                <w:b/>
                <w:sz w:val="18"/>
                <w:szCs w:val="18"/>
              </w:rPr>
              <w:t>As at end of financial year</w:t>
            </w:r>
          </w:p>
          <w:p w:rsidR="00220828" w:rsidRPr="00220828" w:rsidRDefault="00220828" w:rsidP="0080575E">
            <w:pPr>
              <w:pStyle w:val="TableParagraph"/>
              <w:spacing w:before="79"/>
              <w:ind w:left="80"/>
              <w:rPr>
                <w:rFonts w:ascii="Gill Sans MT" w:hAnsi="Gill Sans MT"/>
                <w:b/>
                <w:sz w:val="18"/>
                <w:szCs w:val="18"/>
              </w:rPr>
            </w:pP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38"/>
              <w:ind w:left="45" w:right="118"/>
              <w:jc w:val="center"/>
              <w:rPr>
                <w:rFonts w:ascii="Gill Sans MT" w:hAnsi="Gill Sans MT"/>
                <w:b/>
                <w:sz w:val="18"/>
                <w:szCs w:val="18"/>
              </w:rPr>
            </w:pPr>
            <w:r w:rsidRPr="00220828">
              <w:rPr>
                <w:rFonts w:ascii="Gill Sans MT" w:hAnsi="Gill Sans MT"/>
                <w:b/>
                <w:sz w:val="18"/>
                <w:szCs w:val="18"/>
              </w:rPr>
              <w:t>2013-2014**</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38"/>
              <w:ind w:left="43" w:right="43"/>
              <w:jc w:val="center"/>
              <w:rPr>
                <w:rFonts w:ascii="Gill Sans MT" w:hAnsi="Gill Sans MT"/>
                <w:b/>
                <w:sz w:val="18"/>
                <w:szCs w:val="18"/>
              </w:rPr>
            </w:pPr>
            <w:r w:rsidRPr="00220828">
              <w:rPr>
                <w:rFonts w:ascii="Gill Sans MT" w:hAnsi="Gill Sans MT"/>
                <w:b/>
                <w:sz w:val="18"/>
                <w:szCs w:val="18"/>
              </w:rPr>
              <w:t>2014-2015**</w:t>
            </w:r>
          </w:p>
        </w:tc>
        <w:tc>
          <w:tcPr>
            <w:tcW w:w="1132"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43" w:right="215"/>
              <w:jc w:val="center"/>
              <w:rPr>
                <w:rFonts w:ascii="Gill Sans MT" w:hAnsi="Gill Sans MT"/>
                <w:b/>
                <w:sz w:val="18"/>
                <w:szCs w:val="18"/>
              </w:rPr>
            </w:pPr>
            <w:r w:rsidRPr="00220828">
              <w:rPr>
                <w:rFonts w:ascii="Gill Sans MT" w:hAnsi="Gill Sans MT"/>
                <w:b/>
                <w:sz w:val="18"/>
                <w:szCs w:val="18"/>
              </w:rPr>
              <w:t>2015-2016</w:t>
            </w:r>
          </w:p>
        </w:tc>
      </w:tr>
      <w:tr w:rsidR="00220828" w:rsidRPr="00220828"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tcPr>
          <w:p w:rsidR="00220828" w:rsidRPr="00220828" w:rsidRDefault="00220828" w:rsidP="0080575E">
            <w:pPr>
              <w:rPr>
                <w:rFonts w:ascii="Gill Sans MT" w:hAnsi="Gill Sans MT"/>
                <w:sz w:val="18"/>
                <w:szCs w:val="18"/>
              </w:rPr>
            </w:pPr>
            <w:r w:rsidRPr="00220828">
              <w:rPr>
                <w:rFonts w:ascii="Gill Sans MT" w:hAnsi="Gill Sans MT"/>
                <w:sz w:val="18"/>
                <w:szCs w:val="18"/>
              </w:rPr>
              <w:t>Overtime/callback paid hours per averaged paid FTE</w:t>
            </w:r>
          </w:p>
        </w:tc>
        <w:tc>
          <w:tcPr>
            <w:tcW w:w="1418" w:type="dxa"/>
            <w:tcBorders>
              <w:top w:val="single" w:sz="4" w:space="0" w:color="004D8F"/>
              <w:left w:val="single" w:sz="4" w:space="0" w:color="004D8F"/>
              <w:bottom w:val="single" w:sz="4" w:space="0" w:color="004D8F"/>
            </w:tcBorders>
            <w:shd w:val="clear" w:color="auto" w:fill="F9FAFB"/>
          </w:tcPr>
          <w:p w:rsidR="00220828" w:rsidRPr="00220828" w:rsidRDefault="00220828" w:rsidP="0080575E">
            <w:pPr>
              <w:pStyle w:val="TableParagraph"/>
              <w:spacing w:before="39"/>
              <w:ind w:left="379"/>
              <w:rPr>
                <w:rFonts w:ascii="Gill Sans MT" w:hAnsi="Gill Sans MT"/>
                <w:sz w:val="18"/>
                <w:szCs w:val="18"/>
              </w:rPr>
            </w:pPr>
            <w:r w:rsidRPr="00220828">
              <w:rPr>
                <w:rFonts w:ascii="Gill Sans MT" w:hAnsi="Gill Sans MT"/>
                <w:sz w:val="18"/>
                <w:szCs w:val="18"/>
              </w:rPr>
              <w:t>49.0</w:t>
            </w:r>
          </w:p>
        </w:tc>
        <w:tc>
          <w:tcPr>
            <w:tcW w:w="1276" w:type="dxa"/>
            <w:tcBorders>
              <w:top w:val="single" w:sz="4" w:space="0" w:color="004D8F"/>
              <w:bottom w:val="single" w:sz="4" w:space="0" w:color="004D8F"/>
            </w:tcBorders>
            <w:shd w:val="clear" w:color="auto" w:fill="F9FAFB"/>
          </w:tcPr>
          <w:p w:rsidR="00220828" w:rsidRPr="00220828" w:rsidRDefault="00220828" w:rsidP="0080575E">
            <w:pPr>
              <w:pStyle w:val="TableParagraph"/>
              <w:spacing w:before="39"/>
              <w:ind w:left="340"/>
              <w:rPr>
                <w:rFonts w:ascii="Gill Sans MT" w:hAnsi="Gill Sans MT"/>
                <w:sz w:val="18"/>
                <w:szCs w:val="18"/>
              </w:rPr>
            </w:pPr>
            <w:r w:rsidRPr="00220828">
              <w:rPr>
                <w:rFonts w:ascii="Gill Sans MT" w:hAnsi="Gill Sans MT"/>
                <w:sz w:val="18"/>
                <w:szCs w:val="18"/>
              </w:rPr>
              <w:t>49.8</w:t>
            </w:r>
          </w:p>
        </w:tc>
        <w:tc>
          <w:tcPr>
            <w:tcW w:w="1132" w:type="dxa"/>
            <w:tcBorders>
              <w:top w:val="single" w:sz="4" w:space="0" w:color="004D8F"/>
              <w:bottom w:val="single" w:sz="4" w:space="0" w:color="004D8F"/>
            </w:tcBorders>
            <w:shd w:val="clear" w:color="auto" w:fill="F9FAFB"/>
          </w:tcPr>
          <w:p w:rsidR="00220828" w:rsidRPr="00220828" w:rsidRDefault="00220828" w:rsidP="0080575E">
            <w:pPr>
              <w:pStyle w:val="TableParagraph"/>
              <w:spacing w:before="43"/>
              <w:ind w:left="320" w:right="410"/>
              <w:jc w:val="center"/>
              <w:rPr>
                <w:rFonts w:ascii="Gill Sans MT" w:hAnsi="Gill Sans MT"/>
                <w:sz w:val="18"/>
                <w:szCs w:val="18"/>
              </w:rPr>
            </w:pPr>
            <w:r w:rsidRPr="00220828">
              <w:rPr>
                <w:rFonts w:ascii="Gill Sans MT" w:hAnsi="Gill Sans MT"/>
                <w:sz w:val="18"/>
                <w:szCs w:val="18"/>
              </w:rPr>
              <w:t>50.4</w:t>
            </w:r>
          </w:p>
        </w:tc>
      </w:tr>
      <w:tr w:rsidR="00220828" w:rsidRPr="00220828" w:rsidTr="00220828">
        <w:trPr>
          <w:trHeight w:hRule="exact" w:val="551"/>
        </w:trPr>
        <w:tc>
          <w:tcPr>
            <w:tcW w:w="10063" w:type="dxa"/>
            <w:gridSpan w:val="4"/>
            <w:tcBorders>
              <w:top w:val="single" w:sz="4" w:space="0" w:color="004D8F"/>
              <w:left w:val="single" w:sz="4" w:space="0" w:color="FFFFFF"/>
              <w:bottom w:val="single" w:sz="4" w:space="0" w:color="FFFFFF"/>
              <w:right w:val="single" w:sz="4" w:space="0" w:color="FFFFFF"/>
            </w:tcBorders>
            <w:shd w:val="clear" w:color="auto" w:fill="auto"/>
          </w:tcPr>
          <w:p w:rsidR="00220828" w:rsidRPr="00220828" w:rsidRDefault="00220828" w:rsidP="0080575E">
            <w:pPr>
              <w:pStyle w:val="TableParagraph"/>
              <w:spacing w:before="43"/>
              <w:ind w:left="76"/>
              <w:rPr>
                <w:rFonts w:ascii="Gill Sans MT" w:hAnsi="Gill Sans MT"/>
                <w:sz w:val="18"/>
                <w:szCs w:val="18"/>
              </w:rPr>
            </w:pPr>
            <w:r w:rsidRPr="00220828">
              <w:rPr>
                <w:rFonts w:ascii="Gill Sans MT" w:hAnsi="Gill Sans MT"/>
                <w:sz w:val="18"/>
                <w:szCs w:val="18"/>
              </w:rPr>
              <w:t>* Includes callback and overtime hours.</w:t>
            </w:r>
          </w:p>
          <w:p w:rsidR="00220828" w:rsidRPr="00220828" w:rsidRDefault="00220828" w:rsidP="0080575E">
            <w:pPr>
              <w:pStyle w:val="TableParagraph"/>
              <w:spacing w:before="98"/>
              <w:ind w:left="76"/>
              <w:rPr>
                <w:rFonts w:ascii="Gill Sans MT" w:hAnsi="Gill Sans MT"/>
                <w:sz w:val="18"/>
                <w:szCs w:val="18"/>
              </w:rPr>
            </w:pPr>
            <w:r w:rsidRPr="00220828">
              <w:rPr>
                <w:rFonts w:ascii="Gill Sans MT" w:hAnsi="Gill Sans MT"/>
                <w:sz w:val="18"/>
                <w:szCs w:val="18"/>
              </w:rPr>
              <w:t>**Note due to organisational changes data has been remapped to the current organisational structure.</w:t>
            </w:r>
          </w:p>
        </w:tc>
      </w:tr>
    </w:tbl>
    <w:p w:rsidR="00220828" w:rsidRDefault="00220828" w:rsidP="00220828">
      <w:pPr>
        <w:spacing w:before="56"/>
        <w:rPr>
          <w:sz w:val="16"/>
        </w:rPr>
      </w:pPr>
    </w:p>
    <w:p w:rsidR="00220828" w:rsidRDefault="00220828" w:rsidP="00220828">
      <w:pPr>
        <w:pStyle w:val="Heading4"/>
      </w:pPr>
      <w:r>
        <w:t>Turnover Rate</w:t>
      </w:r>
    </w:p>
    <w:p w:rsidR="00220828" w:rsidRPr="00220828" w:rsidRDefault="00220828" w:rsidP="00F65E67">
      <w:pPr>
        <w:spacing w:before="43"/>
        <w:rPr>
          <w:rFonts w:ascii="Gill Sans MT" w:hAnsi="Gill Sans MT"/>
        </w:rPr>
      </w:pPr>
      <w:r w:rsidRPr="00220828">
        <w:rPr>
          <w:rFonts w:ascii="Gill Sans MT" w:hAnsi="Gill Sans MT"/>
        </w:rPr>
        <w:t>The turnover rate is the rate at which people were leaving the THS as at 30 June 2016.</w:t>
      </w:r>
    </w:p>
    <w:tbl>
      <w:tblPr>
        <w:tblW w:w="10078"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237"/>
        <w:gridCol w:w="1418"/>
        <w:gridCol w:w="1276"/>
        <w:gridCol w:w="1147"/>
      </w:tblGrid>
      <w:tr w:rsidR="00220828" w:rsidRPr="00220828"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80"/>
              <w:rPr>
                <w:rFonts w:ascii="Gill Sans MT" w:hAnsi="Gill Sans MT"/>
                <w:b/>
                <w:sz w:val="18"/>
              </w:rPr>
            </w:pPr>
            <w:r w:rsidRPr="00220828">
              <w:rPr>
                <w:rFonts w:ascii="Gill Sans MT" w:hAnsi="Gill Sans MT"/>
                <w:b/>
                <w:sz w:val="18"/>
              </w:rPr>
              <w:t>As at end of financial year</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76"/>
              <w:rPr>
                <w:rFonts w:ascii="Gill Sans MT" w:hAnsi="Gill Sans MT"/>
                <w:b/>
                <w:sz w:val="18"/>
              </w:rPr>
            </w:pPr>
            <w:r w:rsidRPr="00220828">
              <w:rPr>
                <w:rFonts w:ascii="Gill Sans MT" w:hAnsi="Gill Sans MT"/>
                <w:b/>
                <w:sz w:val="18"/>
              </w:rPr>
              <w:t>2013-2014*</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38" w:right="148"/>
              <w:jc w:val="center"/>
              <w:rPr>
                <w:rFonts w:ascii="Gill Sans MT" w:hAnsi="Gill Sans MT"/>
                <w:b/>
                <w:sz w:val="18"/>
              </w:rPr>
            </w:pPr>
            <w:r w:rsidRPr="00220828">
              <w:rPr>
                <w:rFonts w:ascii="Gill Sans MT" w:hAnsi="Gill Sans MT"/>
                <w:b/>
                <w:sz w:val="18"/>
              </w:rPr>
              <w:t>2014-2015*</w:t>
            </w:r>
          </w:p>
        </w:tc>
        <w:tc>
          <w:tcPr>
            <w:tcW w:w="1147" w:type="dxa"/>
            <w:tcBorders>
              <w:top w:val="single" w:sz="4" w:space="0" w:color="004D8F"/>
              <w:left w:val="single" w:sz="4" w:space="0" w:color="004D8F"/>
              <w:bottom w:val="single" w:sz="4" w:space="0" w:color="004D8F"/>
              <w:right w:val="single" w:sz="4" w:space="0" w:color="004D8F"/>
            </w:tcBorders>
            <w:shd w:val="clear" w:color="auto" w:fill="auto"/>
          </w:tcPr>
          <w:p w:rsidR="00220828" w:rsidRPr="00220828" w:rsidRDefault="00220828" w:rsidP="0080575E">
            <w:pPr>
              <w:pStyle w:val="TableParagraph"/>
              <w:spacing w:before="42"/>
              <w:ind w:left="76"/>
              <w:rPr>
                <w:rFonts w:ascii="Gill Sans MT" w:hAnsi="Gill Sans MT"/>
                <w:b/>
                <w:sz w:val="18"/>
              </w:rPr>
            </w:pPr>
            <w:r w:rsidRPr="00220828">
              <w:rPr>
                <w:rFonts w:ascii="Gill Sans MT" w:hAnsi="Gill Sans MT"/>
                <w:b/>
                <w:sz w:val="18"/>
              </w:rPr>
              <w:t>2015-2016</w:t>
            </w:r>
          </w:p>
        </w:tc>
      </w:tr>
      <w:tr w:rsidR="00220828" w:rsidRPr="00220828" w:rsidTr="00220828">
        <w:trPr>
          <w:trHeight w:hRule="exact" w:val="484"/>
        </w:trPr>
        <w:tc>
          <w:tcPr>
            <w:tcW w:w="6237"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4" w:line="200" w:lineRule="exact"/>
              <w:ind w:left="75" w:right="264"/>
              <w:rPr>
                <w:rFonts w:ascii="Gill Sans MT" w:hAnsi="Gill Sans MT"/>
                <w:sz w:val="18"/>
              </w:rPr>
            </w:pPr>
            <w:r w:rsidRPr="00220828">
              <w:rPr>
                <w:rFonts w:ascii="Gill Sans MT" w:hAnsi="Gill Sans MT"/>
                <w:sz w:val="18"/>
              </w:rPr>
              <w:t>Turnover rate = total number of separations (FTEs) divided by the average paid FTE</w:t>
            </w:r>
          </w:p>
        </w:tc>
        <w:tc>
          <w:tcPr>
            <w:tcW w:w="1418"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45" w:right="45"/>
              <w:jc w:val="center"/>
              <w:rPr>
                <w:rFonts w:ascii="Gill Sans MT" w:hAnsi="Gill Sans MT"/>
                <w:sz w:val="18"/>
              </w:rPr>
            </w:pPr>
            <w:r w:rsidRPr="00220828">
              <w:rPr>
                <w:rFonts w:ascii="Gill Sans MT" w:hAnsi="Gill Sans MT"/>
                <w:sz w:val="18"/>
              </w:rPr>
              <w:t>9.4%</w:t>
            </w:r>
          </w:p>
        </w:tc>
        <w:tc>
          <w:tcPr>
            <w:tcW w:w="1276"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38" w:right="38"/>
              <w:jc w:val="center"/>
              <w:rPr>
                <w:rFonts w:ascii="Gill Sans MT" w:hAnsi="Gill Sans MT"/>
                <w:sz w:val="18"/>
              </w:rPr>
            </w:pPr>
            <w:r w:rsidRPr="00220828">
              <w:rPr>
                <w:rFonts w:ascii="Gill Sans MT" w:hAnsi="Gill Sans MT"/>
                <w:sz w:val="18"/>
              </w:rPr>
              <w:t>11%</w:t>
            </w:r>
          </w:p>
        </w:tc>
        <w:tc>
          <w:tcPr>
            <w:tcW w:w="1147" w:type="dxa"/>
            <w:tcBorders>
              <w:top w:val="single" w:sz="4" w:space="0" w:color="004D8F"/>
              <w:left w:val="single" w:sz="3" w:space="0" w:color="004D8F"/>
              <w:bottom w:val="single" w:sz="4" w:space="0" w:color="004D8F"/>
              <w:right w:val="single" w:sz="3" w:space="0" w:color="004D8F"/>
            </w:tcBorders>
            <w:shd w:val="clear" w:color="auto" w:fill="auto"/>
          </w:tcPr>
          <w:p w:rsidR="00220828" w:rsidRPr="00220828" w:rsidRDefault="00220828" w:rsidP="0080575E">
            <w:pPr>
              <w:pStyle w:val="TableParagraph"/>
              <w:spacing w:before="43"/>
              <w:ind w:left="313"/>
              <w:rPr>
                <w:rFonts w:ascii="Gill Sans MT" w:hAnsi="Gill Sans MT"/>
                <w:sz w:val="18"/>
              </w:rPr>
            </w:pPr>
            <w:r w:rsidRPr="00220828">
              <w:rPr>
                <w:rFonts w:ascii="Gill Sans MT" w:hAnsi="Gill Sans MT"/>
                <w:sz w:val="18"/>
              </w:rPr>
              <w:t>10.1%</w:t>
            </w:r>
          </w:p>
        </w:tc>
      </w:tr>
    </w:tbl>
    <w:p w:rsidR="00220828" w:rsidRDefault="00220828" w:rsidP="00220828">
      <w:pPr>
        <w:spacing w:before="43"/>
        <w:rPr>
          <w:sz w:val="16"/>
        </w:rPr>
      </w:pPr>
      <w:r>
        <w:rPr>
          <w:sz w:val="16"/>
        </w:rPr>
        <w:t>*Note due to organisational changes data has been remapped to the current organisational structure.</w:t>
      </w:r>
    </w:p>
    <w:p w:rsidR="0080575E" w:rsidRDefault="0080575E" w:rsidP="0080575E">
      <w:pPr>
        <w:pStyle w:val="Heading4"/>
      </w:pPr>
      <w:r>
        <w:lastRenderedPageBreak/>
        <w:t>Wastage Rate</w:t>
      </w:r>
    </w:p>
    <w:p w:rsidR="0080575E" w:rsidRPr="0080575E" w:rsidRDefault="0080575E" w:rsidP="0080575E">
      <w:pPr>
        <w:pStyle w:val="BodyText"/>
      </w:pPr>
      <w:r w:rsidRPr="0080575E">
        <w:t>The wastage rate is similar to the turnover rate but takes into account the number of employees who joined THS as new</w:t>
      </w:r>
      <w:r>
        <w:t xml:space="preserve"> </w:t>
      </w:r>
      <w:r w:rsidRPr="0080575E">
        <w:t>starts. A negative result means more people are becoming employees than are exiting.</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133"/>
        <w:gridCol w:w="1168"/>
        <w:gridCol w:w="1209"/>
        <w:gridCol w:w="1413"/>
      </w:tblGrid>
      <w:tr w:rsidR="0080575E" w:rsidTr="001A7D0B">
        <w:trPr>
          <w:trHeight w:hRule="exact" w:val="284"/>
        </w:trPr>
        <w:tc>
          <w:tcPr>
            <w:tcW w:w="6133" w:type="dxa"/>
            <w:tcBorders>
              <w:top w:val="single" w:sz="4" w:space="0" w:color="004D8F"/>
              <w:left w:val="single" w:sz="4" w:space="0" w:color="004D8F"/>
              <w:bottom w:val="single" w:sz="4" w:space="0" w:color="004D8F"/>
              <w:right w:val="single" w:sz="4" w:space="0" w:color="004D8F"/>
            </w:tcBorders>
            <w:shd w:val="clear" w:color="auto" w:fill="auto"/>
          </w:tcPr>
          <w:p w:rsidR="0080575E" w:rsidRPr="0080575E" w:rsidRDefault="0080575E" w:rsidP="0080575E">
            <w:pPr>
              <w:pStyle w:val="BodyText"/>
              <w:rPr>
                <w:b/>
                <w:sz w:val="18"/>
              </w:rPr>
            </w:pPr>
            <w:r w:rsidRPr="0080575E">
              <w:rPr>
                <w:b/>
                <w:sz w:val="18"/>
              </w:rPr>
              <w:t>As at end of financial year</w:t>
            </w:r>
          </w:p>
        </w:tc>
        <w:tc>
          <w:tcPr>
            <w:tcW w:w="1168" w:type="dxa"/>
            <w:tcBorders>
              <w:top w:val="single" w:sz="4" w:space="0" w:color="004D8F"/>
              <w:left w:val="single" w:sz="4" w:space="0" w:color="004D8F"/>
              <w:bottom w:val="single" w:sz="4" w:space="0" w:color="004D8F"/>
              <w:right w:val="single" w:sz="4" w:space="0" w:color="004D8F"/>
            </w:tcBorders>
            <w:shd w:val="clear" w:color="auto" w:fill="auto"/>
          </w:tcPr>
          <w:p w:rsidR="0080575E" w:rsidRPr="0080575E" w:rsidRDefault="0080575E" w:rsidP="0080575E">
            <w:pPr>
              <w:pStyle w:val="BodyText"/>
              <w:rPr>
                <w:b/>
                <w:sz w:val="18"/>
              </w:rPr>
            </w:pPr>
            <w:r w:rsidRPr="0080575E">
              <w:rPr>
                <w:b/>
                <w:sz w:val="18"/>
              </w:rPr>
              <w:t>2013-2014*</w:t>
            </w:r>
          </w:p>
        </w:tc>
        <w:tc>
          <w:tcPr>
            <w:tcW w:w="1209" w:type="dxa"/>
            <w:tcBorders>
              <w:top w:val="single" w:sz="4" w:space="0" w:color="004D8F"/>
              <w:left w:val="single" w:sz="4" w:space="0" w:color="004D8F"/>
              <w:bottom w:val="single" w:sz="4" w:space="0" w:color="004D8F"/>
              <w:right w:val="single" w:sz="4" w:space="0" w:color="004D8F"/>
            </w:tcBorders>
            <w:shd w:val="clear" w:color="auto" w:fill="auto"/>
          </w:tcPr>
          <w:p w:rsidR="0080575E" w:rsidRPr="0080575E" w:rsidRDefault="0080575E" w:rsidP="0080575E">
            <w:pPr>
              <w:pStyle w:val="BodyText"/>
              <w:rPr>
                <w:b/>
                <w:sz w:val="18"/>
              </w:rPr>
            </w:pPr>
            <w:r w:rsidRPr="0080575E">
              <w:rPr>
                <w:b/>
                <w:sz w:val="18"/>
              </w:rPr>
              <w:t>2014-2015*</w:t>
            </w:r>
          </w:p>
        </w:tc>
        <w:tc>
          <w:tcPr>
            <w:tcW w:w="1413" w:type="dxa"/>
            <w:tcBorders>
              <w:top w:val="single" w:sz="4" w:space="0" w:color="004D8F"/>
              <w:left w:val="single" w:sz="4" w:space="0" w:color="004D8F"/>
              <w:bottom w:val="single" w:sz="4" w:space="0" w:color="004D8F"/>
              <w:right w:val="single" w:sz="4" w:space="0" w:color="004D8F"/>
            </w:tcBorders>
            <w:shd w:val="clear" w:color="auto" w:fill="auto"/>
          </w:tcPr>
          <w:p w:rsidR="0080575E" w:rsidRPr="0080575E" w:rsidRDefault="0080575E" w:rsidP="0080575E">
            <w:pPr>
              <w:pStyle w:val="BodyText"/>
              <w:rPr>
                <w:b/>
                <w:sz w:val="18"/>
              </w:rPr>
            </w:pPr>
            <w:r w:rsidRPr="0080575E">
              <w:rPr>
                <w:b/>
                <w:sz w:val="18"/>
              </w:rPr>
              <w:t>2015-2016</w:t>
            </w:r>
          </w:p>
        </w:tc>
      </w:tr>
      <w:tr w:rsidR="0080575E" w:rsidTr="001A7D0B">
        <w:trPr>
          <w:trHeight w:hRule="exact" w:val="284"/>
        </w:trPr>
        <w:tc>
          <w:tcPr>
            <w:tcW w:w="6133" w:type="dxa"/>
            <w:tcBorders>
              <w:top w:val="single" w:sz="4" w:space="0" w:color="004D8F"/>
              <w:left w:val="single" w:sz="3" w:space="0" w:color="004D8F"/>
              <w:bottom w:val="single" w:sz="4" w:space="0" w:color="004D8F"/>
              <w:right w:val="single" w:sz="3" w:space="0" w:color="004D8F"/>
            </w:tcBorders>
            <w:shd w:val="clear" w:color="auto" w:fill="auto"/>
          </w:tcPr>
          <w:p w:rsidR="0080575E" w:rsidRDefault="0080575E" w:rsidP="0080575E">
            <w:pPr>
              <w:pStyle w:val="BodyText"/>
              <w:rPr>
                <w:sz w:val="18"/>
              </w:rPr>
            </w:pPr>
            <w:r>
              <w:rPr>
                <w:sz w:val="18"/>
              </w:rPr>
              <w:t>Wastage rate = (separation FTE – Newstart FTE)/average paid FTE</w:t>
            </w:r>
          </w:p>
        </w:tc>
        <w:tc>
          <w:tcPr>
            <w:tcW w:w="1168" w:type="dxa"/>
            <w:tcBorders>
              <w:top w:val="single" w:sz="4" w:space="0" w:color="004D8F"/>
              <w:left w:val="single" w:sz="3" w:space="0" w:color="004D8F"/>
              <w:bottom w:val="single" w:sz="4" w:space="0" w:color="004D8F"/>
              <w:right w:val="single" w:sz="3" w:space="0" w:color="004D8F"/>
            </w:tcBorders>
            <w:shd w:val="clear" w:color="auto" w:fill="auto"/>
          </w:tcPr>
          <w:p w:rsidR="0080575E" w:rsidRDefault="0080575E" w:rsidP="00091C51">
            <w:pPr>
              <w:pStyle w:val="BodyText"/>
              <w:jc w:val="center"/>
              <w:rPr>
                <w:sz w:val="18"/>
              </w:rPr>
            </w:pPr>
            <w:r>
              <w:rPr>
                <w:sz w:val="18"/>
              </w:rPr>
              <w:t>-2.0%</w:t>
            </w:r>
          </w:p>
        </w:tc>
        <w:tc>
          <w:tcPr>
            <w:tcW w:w="1209" w:type="dxa"/>
            <w:tcBorders>
              <w:top w:val="single" w:sz="4" w:space="0" w:color="004D8F"/>
              <w:left w:val="single" w:sz="3" w:space="0" w:color="004D8F"/>
              <w:bottom w:val="single" w:sz="4" w:space="0" w:color="004D8F"/>
              <w:right w:val="single" w:sz="3" w:space="0" w:color="004D8F"/>
            </w:tcBorders>
            <w:shd w:val="clear" w:color="auto" w:fill="auto"/>
          </w:tcPr>
          <w:p w:rsidR="0080575E" w:rsidRDefault="0080575E" w:rsidP="00091C51">
            <w:pPr>
              <w:pStyle w:val="BodyText"/>
              <w:jc w:val="center"/>
              <w:rPr>
                <w:sz w:val="18"/>
              </w:rPr>
            </w:pPr>
            <w:r>
              <w:rPr>
                <w:sz w:val="18"/>
              </w:rPr>
              <w:t>2%</w:t>
            </w:r>
          </w:p>
        </w:tc>
        <w:tc>
          <w:tcPr>
            <w:tcW w:w="1413" w:type="dxa"/>
            <w:tcBorders>
              <w:top w:val="single" w:sz="4" w:space="0" w:color="004D8F"/>
              <w:left w:val="single" w:sz="3" w:space="0" w:color="004D8F"/>
              <w:bottom w:val="single" w:sz="4" w:space="0" w:color="004D8F"/>
              <w:right w:val="single" w:sz="3" w:space="0" w:color="004D8F"/>
            </w:tcBorders>
            <w:shd w:val="clear" w:color="auto" w:fill="auto"/>
          </w:tcPr>
          <w:p w:rsidR="0080575E" w:rsidRDefault="0080575E" w:rsidP="00091C51">
            <w:pPr>
              <w:pStyle w:val="BodyText"/>
              <w:jc w:val="center"/>
              <w:rPr>
                <w:sz w:val="18"/>
              </w:rPr>
            </w:pPr>
            <w:r>
              <w:rPr>
                <w:sz w:val="18"/>
              </w:rPr>
              <w:t>0%</w:t>
            </w:r>
          </w:p>
        </w:tc>
      </w:tr>
    </w:tbl>
    <w:p w:rsidR="0080575E" w:rsidRDefault="0080575E" w:rsidP="0080575E">
      <w:pPr>
        <w:spacing w:before="43"/>
        <w:rPr>
          <w:sz w:val="16"/>
        </w:rPr>
      </w:pPr>
      <w:r>
        <w:rPr>
          <w:sz w:val="16"/>
        </w:rPr>
        <w:t>*Note due to organisational changes data has been remapped to the current organisational structure.</w:t>
      </w:r>
    </w:p>
    <w:p w:rsidR="008344C1" w:rsidRDefault="008344C1" w:rsidP="00091C51">
      <w:pPr>
        <w:pStyle w:val="Heading4"/>
      </w:pPr>
      <w:r>
        <w:t>Long Service Leave</w:t>
      </w:r>
    </w:p>
    <w:tbl>
      <w:tblPr>
        <w:tblW w:w="992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103"/>
        <w:gridCol w:w="1176"/>
        <w:gridCol w:w="1231"/>
        <w:gridCol w:w="1413"/>
      </w:tblGrid>
      <w:tr w:rsidR="008344C1" w:rsidTr="001A7D0B">
        <w:trPr>
          <w:trHeight w:hRule="exact" w:val="284"/>
        </w:trPr>
        <w:tc>
          <w:tcPr>
            <w:tcW w:w="6103" w:type="dxa"/>
            <w:tcBorders>
              <w:top w:val="single" w:sz="4" w:space="0" w:color="004D8F"/>
              <w:left w:val="single" w:sz="4" w:space="0" w:color="004D8F"/>
              <w:bottom w:val="single" w:sz="4" w:space="0" w:color="004D8F"/>
              <w:right w:val="single" w:sz="4" w:space="0" w:color="004D8F"/>
            </w:tcBorders>
            <w:shd w:val="clear" w:color="auto" w:fill="auto"/>
          </w:tcPr>
          <w:p w:rsidR="008344C1" w:rsidRPr="00091C51" w:rsidRDefault="008344C1" w:rsidP="00091C51">
            <w:pPr>
              <w:pStyle w:val="BodyText"/>
              <w:rPr>
                <w:b/>
                <w:sz w:val="18"/>
                <w:szCs w:val="18"/>
              </w:rPr>
            </w:pPr>
            <w:r w:rsidRPr="00091C51">
              <w:rPr>
                <w:b/>
                <w:sz w:val="18"/>
                <w:szCs w:val="18"/>
              </w:rPr>
              <w:t>As at end of financial year</w:t>
            </w:r>
          </w:p>
        </w:tc>
        <w:tc>
          <w:tcPr>
            <w:tcW w:w="1176" w:type="dxa"/>
            <w:tcBorders>
              <w:top w:val="single" w:sz="4" w:space="0" w:color="004D8F"/>
              <w:left w:val="single" w:sz="4" w:space="0" w:color="004D8F"/>
              <w:bottom w:val="single" w:sz="4" w:space="0" w:color="004D8F"/>
              <w:right w:val="single" w:sz="4" w:space="0" w:color="004D8F"/>
            </w:tcBorders>
            <w:shd w:val="clear" w:color="auto" w:fill="auto"/>
          </w:tcPr>
          <w:p w:rsidR="008344C1" w:rsidRPr="00091C51" w:rsidRDefault="008344C1" w:rsidP="00091C51">
            <w:pPr>
              <w:pStyle w:val="BodyText"/>
              <w:rPr>
                <w:b/>
                <w:sz w:val="18"/>
                <w:szCs w:val="18"/>
              </w:rPr>
            </w:pPr>
            <w:r w:rsidRPr="00091C51">
              <w:rPr>
                <w:b/>
                <w:sz w:val="18"/>
                <w:szCs w:val="18"/>
              </w:rPr>
              <w:t>2013-2014**</w:t>
            </w:r>
          </w:p>
        </w:tc>
        <w:tc>
          <w:tcPr>
            <w:tcW w:w="1231" w:type="dxa"/>
            <w:tcBorders>
              <w:top w:val="single" w:sz="4" w:space="0" w:color="004D8F"/>
              <w:left w:val="single" w:sz="4" w:space="0" w:color="004D8F"/>
              <w:bottom w:val="single" w:sz="4" w:space="0" w:color="004D8F"/>
              <w:right w:val="single" w:sz="4" w:space="0" w:color="004D8F"/>
            </w:tcBorders>
            <w:shd w:val="clear" w:color="auto" w:fill="auto"/>
          </w:tcPr>
          <w:p w:rsidR="008344C1" w:rsidRPr="00091C51" w:rsidRDefault="008344C1" w:rsidP="00091C51">
            <w:pPr>
              <w:pStyle w:val="BodyText"/>
              <w:rPr>
                <w:b/>
                <w:sz w:val="18"/>
                <w:szCs w:val="18"/>
              </w:rPr>
            </w:pPr>
            <w:r w:rsidRPr="00091C51">
              <w:rPr>
                <w:b/>
                <w:sz w:val="18"/>
                <w:szCs w:val="18"/>
              </w:rPr>
              <w:t>2014-2015**</w:t>
            </w:r>
          </w:p>
        </w:tc>
        <w:tc>
          <w:tcPr>
            <w:tcW w:w="1413" w:type="dxa"/>
            <w:tcBorders>
              <w:top w:val="single" w:sz="4" w:space="0" w:color="004D8F"/>
              <w:left w:val="single" w:sz="4" w:space="0" w:color="004D8F"/>
              <w:bottom w:val="single" w:sz="4" w:space="0" w:color="004D8F"/>
              <w:right w:val="single" w:sz="4" w:space="0" w:color="004D8F"/>
            </w:tcBorders>
            <w:shd w:val="clear" w:color="auto" w:fill="auto"/>
          </w:tcPr>
          <w:p w:rsidR="008344C1" w:rsidRPr="00091C51" w:rsidRDefault="008344C1" w:rsidP="00091C51">
            <w:pPr>
              <w:pStyle w:val="BodyText"/>
              <w:rPr>
                <w:b/>
                <w:sz w:val="18"/>
                <w:szCs w:val="18"/>
              </w:rPr>
            </w:pPr>
            <w:r w:rsidRPr="00091C51">
              <w:rPr>
                <w:b/>
                <w:sz w:val="18"/>
                <w:szCs w:val="18"/>
              </w:rPr>
              <w:t>2015-2016</w:t>
            </w:r>
          </w:p>
        </w:tc>
      </w:tr>
      <w:tr w:rsidR="008344C1" w:rsidTr="001A7D0B">
        <w:trPr>
          <w:trHeight w:hRule="exact" w:val="284"/>
        </w:trPr>
        <w:tc>
          <w:tcPr>
            <w:tcW w:w="6103" w:type="dxa"/>
            <w:tcBorders>
              <w:top w:val="single" w:sz="4" w:space="0" w:color="004D8F"/>
              <w:left w:val="single" w:sz="3" w:space="0" w:color="004D8F"/>
              <w:bottom w:val="single" w:sz="4" w:space="0" w:color="004D8F"/>
              <w:right w:val="single" w:sz="3" w:space="0" w:color="004D8F"/>
            </w:tcBorders>
            <w:shd w:val="clear" w:color="auto" w:fill="auto"/>
          </w:tcPr>
          <w:p w:rsidR="008344C1" w:rsidRPr="00091C51" w:rsidRDefault="008344C1" w:rsidP="00091C51">
            <w:pPr>
              <w:pStyle w:val="TableParagraph"/>
              <w:spacing w:before="42"/>
              <w:rPr>
                <w:rFonts w:ascii="Gill Sans MT" w:hAnsi="Gill Sans MT"/>
                <w:sz w:val="18"/>
              </w:rPr>
            </w:pPr>
            <w:r w:rsidRPr="00091C51">
              <w:rPr>
                <w:rFonts w:ascii="Gill Sans MT" w:hAnsi="Gill Sans MT"/>
                <w:sz w:val="18"/>
              </w:rPr>
              <w:t>Average number of days used per paid FTE*</w:t>
            </w:r>
          </w:p>
        </w:tc>
        <w:tc>
          <w:tcPr>
            <w:tcW w:w="1176" w:type="dxa"/>
            <w:tcBorders>
              <w:top w:val="single" w:sz="4" w:space="0" w:color="004D8F"/>
              <w:left w:val="single" w:sz="3" w:space="0" w:color="004D8F"/>
              <w:bottom w:val="single" w:sz="4" w:space="0" w:color="004D8F"/>
              <w:right w:val="single" w:sz="3" w:space="0" w:color="004D8F"/>
            </w:tcBorders>
            <w:shd w:val="clear" w:color="auto" w:fill="auto"/>
          </w:tcPr>
          <w:p w:rsidR="008344C1" w:rsidRPr="00091C51" w:rsidRDefault="008344C1" w:rsidP="008344C1">
            <w:pPr>
              <w:pStyle w:val="TableParagraph"/>
              <w:spacing w:before="42"/>
              <w:ind w:left="45" w:right="45"/>
              <w:jc w:val="center"/>
              <w:rPr>
                <w:rFonts w:ascii="Gill Sans MT" w:hAnsi="Gill Sans MT"/>
                <w:sz w:val="18"/>
              </w:rPr>
            </w:pPr>
            <w:r w:rsidRPr="00091C51">
              <w:rPr>
                <w:rFonts w:ascii="Gill Sans MT" w:hAnsi="Gill Sans MT"/>
                <w:sz w:val="18"/>
              </w:rPr>
              <w:t>3.3</w:t>
            </w:r>
          </w:p>
        </w:tc>
        <w:tc>
          <w:tcPr>
            <w:tcW w:w="1231" w:type="dxa"/>
            <w:tcBorders>
              <w:top w:val="single" w:sz="4" w:space="0" w:color="004D8F"/>
              <w:left w:val="single" w:sz="3" w:space="0" w:color="004D8F"/>
              <w:bottom w:val="single" w:sz="4" w:space="0" w:color="004D8F"/>
              <w:right w:val="single" w:sz="3" w:space="0" w:color="004D8F"/>
            </w:tcBorders>
            <w:shd w:val="clear" w:color="auto" w:fill="auto"/>
          </w:tcPr>
          <w:p w:rsidR="008344C1" w:rsidRPr="00091C51" w:rsidRDefault="008344C1" w:rsidP="008344C1">
            <w:pPr>
              <w:pStyle w:val="TableParagraph"/>
              <w:spacing w:before="42"/>
              <w:ind w:left="38" w:right="38"/>
              <w:jc w:val="center"/>
              <w:rPr>
                <w:rFonts w:ascii="Gill Sans MT" w:hAnsi="Gill Sans MT"/>
                <w:sz w:val="18"/>
              </w:rPr>
            </w:pPr>
            <w:r w:rsidRPr="00091C51">
              <w:rPr>
                <w:rFonts w:ascii="Gill Sans MT" w:hAnsi="Gill Sans MT"/>
                <w:sz w:val="18"/>
              </w:rPr>
              <w:t>3.1</w:t>
            </w:r>
          </w:p>
        </w:tc>
        <w:tc>
          <w:tcPr>
            <w:tcW w:w="1413" w:type="dxa"/>
            <w:tcBorders>
              <w:top w:val="single" w:sz="4" w:space="0" w:color="004D8F"/>
              <w:left w:val="single" w:sz="3" w:space="0" w:color="004D8F"/>
              <w:bottom w:val="single" w:sz="4" w:space="0" w:color="004D8F"/>
              <w:right w:val="single" w:sz="3" w:space="0" w:color="004D8F"/>
            </w:tcBorders>
            <w:shd w:val="clear" w:color="auto" w:fill="auto"/>
          </w:tcPr>
          <w:p w:rsidR="008344C1" w:rsidRPr="00091C51" w:rsidRDefault="008344C1" w:rsidP="008344C1">
            <w:pPr>
              <w:pStyle w:val="TableParagraph"/>
              <w:spacing w:before="42"/>
              <w:ind w:left="349" w:right="349"/>
              <w:jc w:val="center"/>
              <w:rPr>
                <w:rFonts w:ascii="Gill Sans MT" w:hAnsi="Gill Sans MT"/>
                <w:sz w:val="18"/>
              </w:rPr>
            </w:pPr>
            <w:r w:rsidRPr="00091C51">
              <w:rPr>
                <w:rFonts w:ascii="Gill Sans MT" w:hAnsi="Gill Sans MT"/>
                <w:sz w:val="18"/>
              </w:rPr>
              <w:t>3.5</w:t>
            </w:r>
          </w:p>
        </w:tc>
      </w:tr>
    </w:tbl>
    <w:p w:rsidR="00091C51" w:rsidRDefault="00091C51" w:rsidP="00091C51">
      <w:pPr>
        <w:spacing w:before="39"/>
        <w:rPr>
          <w:sz w:val="18"/>
        </w:rPr>
      </w:pPr>
      <w:r>
        <w:rPr>
          <w:sz w:val="18"/>
        </w:rPr>
        <w:t>*Includes Maternity Long Service Leave.</w:t>
      </w:r>
      <w:r>
        <w:rPr>
          <w:sz w:val="18"/>
        </w:rPr>
        <w:br/>
        <w:t>**Note due to organisational changes data has been remapped to the current organisational structure.</w:t>
      </w:r>
    </w:p>
    <w:p w:rsidR="00091C51" w:rsidRDefault="001A7D0B" w:rsidP="001A7D0B">
      <w:pPr>
        <w:pStyle w:val="Heading4"/>
      </w:pPr>
      <w:r>
        <w:t>Annual Leave</w:t>
      </w:r>
    </w:p>
    <w:tbl>
      <w:tblPr>
        <w:tblW w:w="992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096"/>
        <w:gridCol w:w="1134"/>
        <w:gridCol w:w="1275"/>
        <w:gridCol w:w="1418"/>
      </w:tblGrid>
      <w:tr w:rsidR="001A7D0B" w:rsidRPr="001A7D0B" w:rsidTr="001A7D0B">
        <w:trPr>
          <w:trHeight w:hRule="exact" w:val="284"/>
        </w:trPr>
        <w:tc>
          <w:tcPr>
            <w:tcW w:w="6096" w:type="dxa"/>
            <w:tcBorders>
              <w:top w:val="single" w:sz="4" w:space="0" w:color="004D8F"/>
              <w:left w:val="single" w:sz="4" w:space="0" w:color="004D8F"/>
              <w:bottom w:val="single" w:sz="4" w:space="0" w:color="004D8F"/>
              <w:right w:val="single" w:sz="4" w:space="0" w:color="004D8F"/>
            </w:tcBorders>
            <w:shd w:val="clear" w:color="auto" w:fill="auto"/>
          </w:tcPr>
          <w:p w:rsidR="001A7D0B" w:rsidRPr="001A7D0B" w:rsidRDefault="001A7D0B" w:rsidP="001A7D0B">
            <w:pPr>
              <w:pStyle w:val="BodyText"/>
              <w:rPr>
                <w:b/>
                <w:sz w:val="18"/>
                <w:szCs w:val="18"/>
              </w:rPr>
            </w:pPr>
            <w:r w:rsidRPr="001A7D0B">
              <w:rPr>
                <w:b/>
                <w:sz w:val="18"/>
                <w:szCs w:val="18"/>
              </w:rPr>
              <w:t>As at end of financial year</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1A7D0B" w:rsidRPr="001A7D0B" w:rsidRDefault="001A7D0B" w:rsidP="001A7D0B">
            <w:pPr>
              <w:pStyle w:val="BodyText"/>
              <w:rPr>
                <w:b/>
                <w:sz w:val="18"/>
                <w:szCs w:val="18"/>
              </w:rPr>
            </w:pPr>
            <w:r w:rsidRPr="001A7D0B">
              <w:rPr>
                <w:b/>
                <w:sz w:val="18"/>
                <w:szCs w:val="18"/>
              </w:rPr>
              <w:t>2013-2014*</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1A7D0B" w:rsidRPr="001A7D0B" w:rsidRDefault="001A7D0B" w:rsidP="001A7D0B">
            <w:pPr>
              <w:pStyle w:val="BodyText"/>
              <w:rPr>
                <w:b/>
                <w:sz w:val="18"/>
                <w:szCs w:val="18"/>
              </w:rPr>
            </w:pPr>
            <w:r w:rsidRPr="001A7D0B">
              <w:rPr>
                <w:b/>
                <w:sz w:val="18"/>
                <w:szCs w:val="18"/>
              </w:rPr>
              <w:t>2014-2015*</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1A7D0B" w:rsidRPr="001A7D0B" w:rsidRDefault="001A7D0B" w:rsidP="001A7D0B">
            <w:pPr>
              <w:pStyle w:val="BodyText"/>
              <w:rPr>
                <w:b/>
                <w:sz w:val="18"/>
                <w:szCs w:val="18"/>
              </w:rPr>
            </w:pPr>
            <w:r w:rsidRPr="001A7D0B">
              <w:rPr>
                <w:b/>
                <w:sz w:val="18"/>
                <w:szCs w:val="18"/>
              </w:rPr>
              <w:t>2015-2016</w:t>
            </w:r>
          </w:p>
        </w:tc>
      </w:tr>
      <w:tr w:rsidR="001A7D0B" w:rsidTr="001A7D0B">
        <w:trPr>
          <w:trHeight w:hRule="exact" w:val="284"/>
        </w:trPr>
        <w:tc>
          <w:tcPr>
            <w:tcW w:w="6096" w:type="dxa"/>
            <w:tcBorders>
              <w:top w:val="single" w:sz="4" w:space="0" w:color="004D8F"/>
              <w:left w:val="single" w:sz="3" w:space="0" w:color="004D8F"/>
              <w:bottom w:val="single" w:sz="3" w:space="0" w:color="004D8F"/>
              <w:right w:val="single" w:sz="3" w:space="0" w:color="004D8F"/>
            </w:tcBorders>
            <w:shd w:val="clear" w:color="auto" w:fill="auto"/>
          </w:tcPr>
          <w:p w:rsidR="001A7D0B" w:rsidRPr="001A7D0B" w:rsidRDefault="001A7D0B" w:rsidP="001A7D0B">
            <w:pPr>
              <w:pStyle w:val="TableParagraph"/>
              <w:spacing w:before="43"/>
              <w:rPr>
                <w:rFonts w:ascii="Gill Sans MT" w:hAnsi="Gill Sans MT"/>
                <w:sz w:val="18"/>
              </w:rPr>
            </w:pPr>
            <w:r w:rsidRPr="001A7D0B">
              <w:rPr>
                <w:rFonts w:ascii="Gill Sans MT" w:hAnsi="Gill Sans MT"/>
                <w:sz w:val="18"/>
              </w:rPr>
              <w:t>Average number of days used per paid FTE</w:t>
            </w:r>
          </w:p>
        </w:tc>
        <w:tc>
          <w:tcPr>
            <w:tcW w:w="1134" w:type="dxa"/>
            <w:tcBorders>
              <w:top w:val="single" w:sz="4"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43"/>
              <w:ind w:left="45" w:right="45"/>
              <w:jc w:val="center"/>
              <w:rPr>
                <w:rFonts w:ascii="Gill Sans MT" w:hAnsi="Gill Sans MT"/>
                <w:sz w:val="18"/>
              </w:rPr>
            </w:pPr>
            <w:r w:rsidRPr="001A7D0B">
              <w:rPr>
                <w:rFonts w:ascii="Gill Sans MT" w:hAnsi="Gill Sans MT"/>
                <w:sz w:val="18"/>
              </w:rPr>
              <w:t>20.6</w:t>
            </w:r>
          </w:p>
        </w:tc>
        <w:tc>
          <w:tcPr>
            <w:tcW w:w="1275" w:type="dxa"/>
            <w:tcBorders>
              <w:top w:val="single" w:sz="4"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43"/>
              <w:ind w:left="38" w:right="38"/>
              <w:jc w:val="center"/>
              <w:rPr>
                <w:rFonts w:ascii="Gill Sans MT" w:hAnsi="Gill Sans MT"/>
                <w:sz w:val="18"/>
              </w:rPr>
            </w:pPr>
            <w:r w:rsidRPr="001A7D0B">
              <w:rPr>
                <w:rFonts w:ascii="Gill Sans MT" w:hAnsi="Gill Sans MT"/>
                <w:sz w:val="18"/>
              </w:rPr>
              <w:t>19.6</w:t>
            </w:r>
          </w:p>
        </w:tc>
        <w:tc>
          <w:tcPr>
            <w:tcW w:w="1418" w:type="dxa"/>
            <w:tcBorders>
              <w:top w:val="single" w:sz="4"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43"/>
              <w:ind w:left="349" w:right="349"/>
              <w:jc w:val="center"/>
              <w:rPr>
                <w:rFonts w:ascii="Gill Sans MT" w:hAnsi="Gill Sans MT"/>
                <w:sz w:val="18"/>
              </w:rPr>
            </w:pPr>
            <w:r w:rsidRPr="001A7D0B">
              <w:rPr>
                <w:rFonts w:ascii="Gill Sans MT" w:hAnsi="Gill Sans MT"/>
                <w:sz w:val="18"/>
              </w:rPr>
              <w:t>19.1</w:t>
            </w:r>
          </w:p>
        </w:tc>
      </w:tr>
      <w:tr w:rsidR="001A7D0B" w:rsidTr="001A7D0B">
        <w:trPr>
          <w:trHeight w:hRule="exact" w:val="284"/>
        </w:trPr>
        <w:tc>
          <w:tcPr>
            <w:tcW w:w="6096" w:type="dxa"/>
            <w:tcBorders>
              <w:top w:val="single" w:sz="3" w:space="0" w:color="004D8F"/>
              <w:left w:val="single" w:sz="3" w:space="0" w:color="004D8F"/>
              <w:bottom w:val="single" w:sz="3" w:space="0" w:color="004D8F"/>
              <w:right w:val="single" w:sz="3" w:space="0" w:color="004D8F"/>
            </w:tcBorders>
            <w:shd w:val="clear" w:color="auto" w:fill="auto"/>
          </w:tcPr>
          <w:p w:rsidR="001A7D0B" w:rsidRPr="001A7D0B" w:rsidRDefault="001A7D0B" w:rsidP="001A7D0B">
            <w:pPr>
              <w:pStyle w:val="TableParagraph"/>
              <w:spacing w:before="39"/>
              <w:rPr>
                <w:rFonts w:ascii="Gill Sans MT" w:hAnsi="Gill Sans MT"/>
                <w:sz w:val="18"/>
              </w:rPr>
            </w:pPr>
            <w:r>
              <w:rPr>
                <w:rFonts w:ascii="Gill Sans MT" w:hAnsi="Gill Sans MT"/>
                <w:sz w:val="18"/>
              </w:rPr>
              <w:t>N</w:t>
            </w:r>
            <w:r w:rsidRPr="001A7D0B">
              <w:rPr>
                <w:rFonts w:ascii="Gill Sans MT" w:hAnsi="Gill Sans MT"/>
                <w:sz w:val="18"/>
              </w:rPr>
              <w:t>umber of FTEs with entitlements equal to the 2 year limit</w:t>
            </w:r>
          </w:p>
        </w:tc>
        <w:tc>
          <w:tcPr>
            <w:tcW w:w="1134" w:type="dxa"/>
            <w:tcBorders>
              <w:top w:val="single" w:sz="3"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39"/>
              <w:ind w:left="45" w:right="40"/>
              <w:jc w:val="center"/>
              <w:rPr>
                <w:rFonts w:ascii="Gill Sans MT" w:hAnsi="Gill Sans MT"/>
                <w:sz w:val="18"/>
              </w:rPr>
            </w:pPr>
            <w:r w:rsidRPr="001A7D0B">
              <w:rPr>
                <w:rFonts w:ascii="Gill Sans MT" w:hAnsi="Gill Sans MT"/>
                <w:sz w:val="18"/>
              </w:rPr>
              <w:t>8.3</w:t>
            </w:r>
          </w:p>
        </w:tc>
        <w:tc>
          <w:tcPr>
            <w:tcW w:w="1275" w:type="dxa"/>
            <w:tcBorders>
              <w:top w:val="single" w:sz="3"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39"/>
              <w:ind w:left="38" w:right="38"/>
              <w:jc w:val="center"/>
              <w:rPr>
                <w:rFonts w:ascii="Gill Sans MT" w:hAnsi="Gill Sans MT"/>
                <w:sz w:val="18"/>
              </w:rPr>
            </w:pPr>
            <w:r w:rsidRPr="001A7D0B">
              <w:rPr>
                <w:rFonts w:ascii="Gill Sans MT" w:hAnsi="Gill Sans MT"/>
                <w:sz w:val="18"/>
              </w:rPr>
              <w:t>5.8</w:t>
            </w:r>
          </w:p>
        </w:tc>
        <w:tc>
          <w:tcPr>
            <w:tcW w:w="1418" w:type="dxa"/>
            <w:tcBorders>
              <w:top w:val="single" w:sz="3" w:space="0" w:color="004D8F"/>
              <w:left w:val="single" w:sz="3" w:space="0" w:color="004D8F"/>
              <w:bottom w:val="single" w:sz="3" w:space="0" w:color="004D8F"/>
              <w:right w:val="single" w:sz="3" w:space="0" w:color="004D8F"/>
            </w:tcBorders>
            <w:shd w:val="clear" w:color="auto" w:fill="auto"/>
          </w:tcPr>
          <w:p w:rsidR="001A7D0B" w:rsidRPr="001A7D0B" w:rsidRDefault="001A7D0B" w:rsidP="006F4537">
            <w:pPr>
              <w:pStyle w:val="TableParagraph"/>
              <w:spacing w:before="39"/>
              <w:ind w:left="349" w:right="348"/>
              <w:jc w:val="center"/>
              <w:rPr>
                <w:rFonts w:ascii="Gill Sans MT" w:hAnsi="Gill Sans MT"/>
                <w:sz w:val="18"/>
              </w:rPr>
            </w:pPr>
            <w:r w:rsidRPr="001A7D0B">
              <w:rPr>
                <w:rFonts w:ascii="Gill Sans MT" w:hAnsi="Gill Sans MT"/>
                <w:sz w:val="18"/>
              </w:rPr>
              <w:t>5.7</w:t>
            </w:r>
          </w:p>
        </w:tc>
      </w:tr>
      <w:tr w:rsidR="001A7D0B" w:rsidTr="001A7D0B">
        <w:trPr>
          <w:trHeight w:hRule="exact" w:val="284"/>
        </w:trPr>
        <w:tc>
          <w:tcPr>
            <w:tcW w:w="6096" w:type="dxa"/>
            <w:tcBorders>
              <w:top w:val="single" w:sz="3" w:space="0" w:color="004D8F"/>
              <w:left w:val="single" w:sz="3" w:space="0" w:color="004D8F"/>
              <w:bottom w:val="single" w:sz="4" w:space="0" w:color="004D8F"/>
              <w:right w:val="single" w:sz="3" w:space="0" w:color="004D8F"/>
            </w:tcBorders>
            <w:shd w:val="clear" w:color="auto" w:fill="auto"/>
          </w:tcPr>
          <w:p w:rsidR="001A7D0B" w:rsidRPr="001A7D0B" w:rsidRDefault="001A7D0B" w:rsidP="001A7D0B">
            <w:pPr>
              <w:pStyle w:val="TableParagraph"/>
              <w:spacing w:before="39"/>
              <w:rPr>
                <w:rFonts w:ascii="Gill Sans MT" w:hAnsi="Gill Sans MT"/>
                <w:sz w:val="18"/>
              </w:rPr>
            </w:pPr>
            <w:r w:rsidRPr="001A7D0B">
              <w:rPr>
                <w:rFonts w:ascii="Gill Sans MT" w:hAnsi="Gill Sans MT"/>
                <w:sz w:val="18"/>
              </w:rPr>
              <w:t>Number of FTEs in excess of 2 year limit</w:t>
            </w:r>
          </w:p>
        </w:tc>
        <w:tc>
          <w:tcPr>
            <w:tcW w:w="1134" w:type="dxa"/>
            <w:tcBorders>
              <w:top w:val="single" w:sz="3" w:space="0" w:color="004D8F"/>
              <w:left w:val="single" w:sz="3" w:space="0" w:color="004D8F"/>
              <w:bottom w:val="single" w:sz="4" w:space="0" w:color="004D8F"/>
              <w:right w:val="single" w:sz="3" w:space="0" w:color="004D8F"/>
            </w:tcBorders>
            <w:shd w:val="clear" w:color="auto" w:fill="auto"/>
          </w:tcPr>
          <w:p w:rsidR="001A7D0B" w:rsidRPr="001A7D0B" w:rsidRDefault="001A7D0B" w:rsidP="006F4537">
            <w:pPr>
              <w:pStyle w:val="TableParagraph"/>
              <w:spacing w:before="39"/>
              <w:ind w:left="376"/>
              <w:rPr>
                <w:rFonts w:ascii="Gill Sans MT" w:hAnsi="Gill Sans MT"/>
                <w:sz w:val="18"/>
              </w:rPr>
            </w:pPr>
            <w:r w:rsidRPr="001A7D0B">
              <w:rPr>
                <w:rFonts w:ascii="Gill Sans MT" w:hAnsi="Gill Sans MT"/>
                <w:sz w:val="18"/>
              </w:rPr>
              <w:t>446.4</w:t>
            </w:r>
          </w:p>
        </w:tc>
        <w:tc>
          <w:tcPr>
            <w:tcW w:w="1275" w:type="dxa"/>
            <w:tcBorders>
              <w:top w:val="single" w:sz="3" w:space="0" w:color="004D8F"/>
              <w:left w:val="single" w:sz="3" w:space="0" w:color="004D8F"/>
              <w:bottom w:val="single" w:sz="4" w:space="0" w:color="004D8F"/>
              <w:right w:val="single" w:sz="3" w:space="0" w:color="004D8F"/>
            </w:tcBorders>
            <w:shd w:val="clear" w:color="auto" w:fill="auto"/>
          </w:tcPr>
          <w:p w:rsidR="001A7D0B" w:rsidRPr="001A7D0B" w:rsidRDefault="001A7D0B" w:rsidP="006F4537">
            <w:pPr>
              <w:pStyle w:val="TableParagraph"/>
              <w:spacing w:before="39"/>
              <w:ind w:left="38" w:right="38"/>
              <w:jc w:val="center"/>
              <w:rPr>
                <w:rFonts w:ascii="Gill Sans MT" w:hAnsi="Gill Sans MT"/>
                <w:sz w:val="18"/>
              </w:rPr>
            </w:pPr>
            <w:r w:rsidRPr="001A7D0B">
              <w:rPr>
                <w:rFonts w:ascii="Gill Sans MT" w:hAnsi="Gill Sans MT"/>
                <w:sz w:val="18"/>
              </w:rPr>
              <w:t>403.2</w:t>
            </w:r>
          </w:p>
        </w:tc>
        <w:tc>
          <w:tcPr>
            <w:tcW w:w="1418" w:type="dxa"/>
            <w:tcBorders>
              <w:top w:val="single" w:sz="3" w:space="0" w:color="004D8F"/>
              <w:left w:val="single" w:sz="3" w:space="0" w:color="004D8F"/>
              <w:bottom w:val="single" w:sz="4" w:space="0" w:color="004D8F"/>
              <w:right w:val="single" w:sz="3" w:space="0" w:color="004D8F"/>
            </w:tcBorders>
            <w:shd w:val="clear" w:color="auto" w:fill="auto"/>
          </w:tcPr>
          <w:p w:rsidR="001A7D0B" w:rsidRPr="001A7D0B" w:rsidRDefault="001A7D0B" w:rsidP="006F4537">
            <w:pPr>
              <w:pStyle w:val="TableParagraph"/>
              <w:spacing w:before="39"/>
              <w:ind w:left="322"/>
              <w:rPr>
                <w:rFonts w:ascii="Gill Sans MT" w:hAnsi="Gill Sans MT"/>
                <w:sz w:val="18"/>
              </w:rPr>
            </w:pPr>
            <w:r w:rsidRPr="001A7D0B">
              <w:rPr>
                <w:rFonts w:ascii="Gill Sans MT" w:hAnsi="Gill Sans MT"/>
                <w:sz w:val="18"/>
              </w:rPr>
              <w:t>435.8</w:t>
            </w:r>
          </w:p>
        </w:tc>
      </w:tr>
    </w:tbl>
    <w:p w:rsidR="001A7D0B" w:rsidRDefault="001A7D0B" w:rsidP="001A7D0B">
      <w:pPr>
        <w:spacing w:before="39"/>
        <w:rPr>
          <w:sz w:val="18"/>
        </w:rPr>
      </w:pPr>
      <w:r>
        <w:rPr>
          <w:sz w:val="18"/>
        </w:rPr>
        <w:t>*Note due to organisational changes data has been remapped to the current organisational structure.</w:t>
      </w:r>
    </w:p>
    <w:p w:rsidR="00D41FF4" w:rsidRDefault="00D41FF4" w:rsidP="001A7D0B">
      <w:pPr>
        <w:spacing w:before="39"/>
        <w:rPr>
          <w:sz w:val="18"/>
        </w:rPr>
        <w:sectPr w:rsidR="00D41FF4" w:rsidSect="00025D0E">
          <w:pgSz w:w="11906" w:h="16838"/>
          <w:pgMar w:top="1440" w:right="707" w:bottom="1440" w:left="1134" w:header="708" w:footer="708" w:gutter="0"/>
          <w:cols w:space="708"/>
          <w:docGrid w:linePitch="360"/>
        </w:sectPr>
      </w:pPr>
    </w:p>
    <w:p w:rsidR="00D41FF4" w:rsidRDefault="00D41FF4" w:rsidP="00D41FF4">
      <w:pPr>
        <w:pStyle w:val="Heading3"/>
      </w:pPr>
      <w:bookmarkStart w:id="25" w:name="_Toc472581965"/>
      <w:r>
        <w:lastRenderedPageBreak/>
        <w:t>Human Resource Policies and Programs</w:t>
      </w:r>
      <w:bookmarkEnd w:id="25"/>
    </w:p>
    <w:p w:rsidR="00D41FF4" w:rsidRPr="00D41FF4" w:rsidRDefault="00D41FF4" w:rsidP="00D41FF4">
      <w:pPr>
        <w:pStyle w:val="BodyText"/>
        <w:rPr>
          <w:b/>
        </w:rPr>
      </w:pPr>
      <w:r w:rsidRPr="00D41FF4">
        <w:rPr>
          <w:b/>
        </w:rPr>
        <w:t>Activities and initiatives have included:</w:t>
      </w:r>
    </w:p>
    <w:p w:rsidR="00D41FF4" w:rsidRDefault="00D41FF4" w:rsidP="00103528">
      <w:pPr>
        <w:pStyle w:val="ListParagraph"/>
        <w:widowControl w:val="0"/>
        <w:numPr>
          <w:ilvl w:val="0"/>
          <w:numId w:val="15"/>
        </w:numPr>
        <w:autoSpaceDE w:val="0"/>
        <w:autoSpaceDN w:val="0"/>
        <w:spacing w:before="187" w:after="0" w:line="268" w:lineRule="auto"/>
        <w:ind w:left="567" w:hanging="567"/>
        <w:contextualSpacing w:val="0"/>
      </w:pPr>
      <w:r>
        <w:t xml:space="preserve">Completing the </w:t>
      </w:r>
      <w:r>
        <w:rPr>
          <w:spacing w:val="5"/>
        </w:rPr>
        <w:t xml:space="preserve">first </w:t>
      </w:r>
      <w:r>
        <w:t xml:space="preserve">phase of harmonisation of human resource policies and protocols following the introduction of the THS on 1 July </w:t>
      </w:r>
      <w:r>
        <w:rPr>
          <w:spacing w:val="-5"/>
        </w:rPr>
        <w:t xml:space="preserve">2015. </w:t>
      </w:r>
      <w:r>
        <w:t xml:space="preserve">This phase saw key policies and protocols adopted across the </w:t>
      </w:r>
      <w:r>
        <w:rPr>
          <w:spacing w:val="2"/>
        </w:rPr>
        <w:t xml:space="preserve">state </w:t>
      </w:r>
      <w:r>
        <w:t xml:space="preserve">such as protocols relating to Recruitment and </w:t>
      </w:r>
      <w:r>
        <w:rPr>
          <w:spacing w:val="2"/>
        </w:rPr>
        <w:t xml:space="preserve">Conflict </w:t>
      </w:r>
      <w:r>
        <w:t xml:space="preserve">of </w:t>
      </w:r>
      <w:r>
        <w:rPr>
          <w:spacing w:val="2"/>
        </w:rPr>
        <w:t xml:space="preserve">Interest. </w:t>
      </w:r>
      <w:r>
        <w:t>This work will continue in</w:t>
      </w:r>
      <w:r>
        <w:rPr>
          <w:spacing w:val="11"/>
        </w:rPr>
        <w:t xml:space="preserve"> </w:t>
      </w:r>
      <w:r>
        <w:rPr>
          <w:spacing w:val="-8"/>
        </w:rPr>
        <w:t>2016-17.</w:t>
      </w:r>
    </w:p>
    <w:p w:rsidR="00D41FF4" w:rsidRDefault="00D41FF4" w:rsidP="00103528">
      <w:pPr>
        <w:pStyle w:val="ListParagraph"/>
        <w:widowControl w:val="0"/>
        <w:numPr>
          <w:ilvl w:val="0"/>
          <w:numId w:val="15"/>
        </w:numPr>
        <w:autoSpaceDE w:val="0"/>
        <w:autoSpaceDN w:val="0"/>
        <w:spacing w:before="159" w:after="0" w:line="268" w:lineRule="auto"/>
        <w:ind w:left="567" w:right="54" w:hanging="567"/>
        <w:contextualSpacing w:val="0"/>
      </w:pPr>
      <w:r>
        <w:t xml:space="preserve">Implementation of Working with Children Registration relevant to the health sector. This has involved actions ranging from the </w:t>
      </w:r>
      <w:r w:rsidRPr="00D41FF4">
        <w:rPr>
          <w:spacing w:val="2"/>
        </w:rPr>
        <w:t xml:space="preserve">identification </w:t>
      </w:r>
      <w:r>
        <w:t xml:space="preserve">of roles and </w:t>
      </w:r>
      <w:r w:rsidRPr="00D41FF4">
        <w:rPr>
          <w:spacing w:val="2"/>
        </w:rPr>
        <w:t xml:space="preserve">services </w:t>
      </w:r>
      <w:r>
        <w:t xml:space="preserve">which require this </w:t>
      </w:r>
      <w:r w:rsidRPr="00D41FF4">
        <w:rPr>
          <w:spacing w:val="2"/>
        </w:rPr>
        <w:t xml:space="preserve">registration </w:t>
      </w:r>
      <w:r>
        <w:t>and communication with employees to the development</w:t>
      </w:r>
      <w:r w:rsidRPr="00D41FF4">
        <w:rPr>
          <w:spacing w:val="24"/>
        </w:rPr>
        <w:t xml:space="preserve"> </w:t>
      </w:r>
      <w:r>
        <w:t>of documents, systems and processes to support the implementation and ongoing management. With registration required by 1 August 2016, this work will continue in 2016-17.</w:t>
      </w:r>
    </w:p>
    <w:p w:rsidR="00D41FF4" w:rsidRDefault="00D41FF4" w:rsidP="00103528">
      <w:pPr>
        <w:pStyle w:val="ListParagraph"/>
        <w:widowControl w:val="0"/>
        <w:numPr>
          <w:ilvl w:val="0"/>
          <w:numId w:val="16"/>
        </w:numPr>
        <w:tabs>
          <w:tab w:val="left" w:pos="726"/>
        </w:tabs>
        <w:autoSpaceDE w:val="0"/>
        <w:autoSpaceDN w:val="0"/>
        <w:spacing w:before="151" w:after="0" w:line="268" w:lineRule="auto"/>
        <w:ind w:left="567" w:right="1560" w:hanging="567"/>
        <w:contextualSpacing w:val="0"/>
      </w:pPr>
      <w:r>
        <w:t xml:space="preserve">Statewide approach to the facilitation of employee and union engagement, in </w:t>
      </w:r>
      <w:r>
        <w:rPr>
          <w:spacing w:val="2"/>
        </w:rPr>
        <w:t xml:space="preserve">particular </w:t>
      </w:r>
      <w:r>
        <w:t xml:space="preserve">consultation processes to </w:t>
      </w:r>
      <w:r>
        <w:rPr>
          <w:spacing w:val="3"/>
        </w:rPr>
        <w:t xml:space="preserve">support </w:t>
      </w:r>
      <w:r>
        <w:t xml:space="preserve">changed working </w:t>
      </w:r>
      <w:r>
        <w:rPr>
          <w:spacing w:val="2"/>
        </w:rPr>
        <w:t xml:space="preserve">arrangements </w:t>
      </w:r>
      <w:r>
        <w:t xml:space="preserve">and models of </w:t>
      </w:r>
      <w:r>
        <w:rPr>
          <w:spacing w:val="2"/>
        </w:rPr>
        <w:t xml:space="preserve">care,  </w:t>
      </w:r>
      <w:r>
        <w:t xml:space="preserve">for example the Royal </w:t>
      </w:r>
      <w:r>
        <w:rPr>
          <w:spacing w:val="3"/>
        </w:rPr>
        <w:t xml:space="preserve">Hobart </w:t>
      </w:r>
      <w:r>
        <w:t>Hospital Redevelopment</w:t>
      </w:r>
      <w:r>
        <w:rPr>
          <w:spacing w:val="14"/>
        </w:rPr>
        <w:t xml:space="preserve"> </w:t>
      </w:r>
      <w:r>
        <w:rPr>
          <w:spacing w:val="2"/>
        </w:rPr>
        <w:t>Project.</w:t>
      </w:r>
    </w:p>
    <w:p w:rsidR="00D41FF4" w:rsidRDefault="00D41FF4" w:rsidP="00103528">
      <w:pPr>
        <w:pStyle w:val="ListParagraph"/>
        <w:widowControl w:val="0"/>
        <w:numPr>
          <w:ilvl w:val="0"/>
          <w:numId w:val="16"/>
        </w:numPr>
        <w:tabs>
          <w:tab w:val="left" w:pos="726"/>
        </w:tabs>
        <w:autoSpaceDE w:val="0"/>
        <w:autoSpaceDN w:val="0"/>
        <w:spacing w:before="160" w:after="0" w:line="268" w:lineRule="auto"/>
        <w:ind w:left="567" w:right="2112" w:hanging="567"/>
        <w:contextualSpacing w:val="0"/>
      </w:pPr>
      <w:r>
        <w:t>Streamlining and consistent approach to vacancy approval</w:t>
      </w:r>
      <w:r>
        <w:rPr>
          <w:spacing w:val="29"/>
        </w:rPr>
        <w:t xml:space="preserve"> </w:t>
      </w:r>
      <w:r>
        <w:t>processes.</w:t>
      </w:r>
    </w:p>
    <w:p w:rsidR="00D41FF4" w:rsidRDefault="00D41FF4" w:rsidP="00103528">
      <w:pPr>
        <w:pStyle w:val="ListParagraph"/>
        <w:widowControl w:val="0"/>
        <w:numPr>
          <w:ilvl w:val="0"/>
          <w:numId w:val="16"/>
        </w:numPr>
        <w:tabs>
          <w:tab w:val="left" w:pos="726"/>
        </w:tabs>
        <w:autoSpaceDE w:val="0"/>
        <w:autoSpaceDN w:val="0"/>
        <w:spacing w:before="160" w:after="0" w:line="268" w:lineRule="auto"/>
        <w:ind w:left="567" w:right="1495" w:hanging="567"/>
        <w:contextualSpacing w:val="0"/>
      </w:pPr>
      <w:r>
        <w:t xml:space="preserve">Continuing provision of </w:t>
      </w:r>
      <w:r>
        <w:rPr>
          <w:spacing w:val="3"/>
        </w:rPr>
        <w:t xml:space="preserve">support </w:t>
      </w:r>
      <w:r>
        <w:t xml:space="preserve">and assistance to key </w:t>
      </w:r>
      <w:r>
        <w:rPr>
          <w:spacing w:val="2"/>
        </w:rPr>
        <w:t xml:space="preserve">stakeholders </w:t>
      </w:r>
      <w:r>
        <w:t xml:space="preserve">in relation to a wide range of human resources </w:t>
      </w:r>
      <w:r>
        <w:rPr>
          <w:spacing w:val="3"/>
        </w:rPr>
        <w:t xml:space="preserve">matters </w:t>
      </w:r>
      <w:r>
        <w:t xml:space="preserve">such as grievances and change management including the management of </w:t>
      </w:r>
      <w:r>
        <w:rPr>
          <w:spacing w:val="3"/>
        </w:rPr>
        <w:t xml:space="preserve">matters </w:t>
      </w:r>
      <w:r>
        <w:t xml:space="preserve">through to </w:t>
      </w:r>
      <w:r>
        <w:rPr>
          <w:spacing w:val="3"/>
        </w:rPr>
        <w:t xml:space="preserve">external </w:t>
      </w:r>
      <w:r>
        <w:t>forums.</w:t>
      </w:r>
    </w:p>
    <w:p w:rsidR="00D41FF4" w:rsidRDefault="00D41FF4" w:rsidP="00D41FF4">
      <w:pPr>
        <w:pStyle w:val="BodyText"/>
        <w:spacing w:line="268" w:lineRule="auto"/>
        <w:ind w:left="845" w:right="54"/>
      </w:pPr>
    </w:p>
    <w:p w:rsidR="00D41FF4" w:rsidRDefault="00D41FF4" w:rsidP="00D41FF4">
      <w:pPr>
        <w:pStyle w:val="Heading3"/>
      </w:pPr>
      <w:bookmarkStart w:id="26" w:name="_Toc472581966"/>
      <w:r>
        <w:t>Work Health, safety and Wellbeing</w:t>
      </w:r>
      <w:bookmarkEnd w:id="26"/>
    </w:p>
    <w:p w:rsidR="00D41FF4" w:rsidRDefault="00D41FF4" w:rsidP="00D41FF4">
      <w:pPr>
        <w:pStyle w:val="BodyText"/>
      </w:pPr>
      <w:r>
        <w:t>Tasmanian Health Service is committed to a wide range of work health and safety strategies to improve worker safety and lower workers compensation injuries and claims.</w:t>
      </w:r>
    </w:p>
    <w:p w:rsidR="00D41FF4" w:rsidRDefault="00D41FF4" w:rsidP="00D41FF4">
      <w:pPr>
        <w:pStyle w:val="BodyText"/>
      </w:pPr>
      <w:r>
        <w:t>The key focus within these strategies is the continued work in developing and increasing the safety culture within THS to help support managers and workers within their workplaces.</w:t>
      </w:r>
    </w:p>
    <w:p w:rsidR="00D41FF4" w:rsidRDefault="00D41FF4" w:rsidP="00D41FF4">
      <w:pPr>
        <w:pStyle w:val="BodyText"/>
      </w:pPr>
      <w:r>
        <w:t>Currently THS has 3 WHS Consultants within the state and 122 Health and Safety Representatives (HSR’s).</w:t>
      </w:r>
    </w:p>
    <w:p w:rsidR="00D41FF4" w:rsidRDefault="00D41FF4" w:rsidP="00D41FF4">
      <w:pPr>
        <w:pStyle w:val="BodyText"/>
      </w:pPr>
      <w:r>
        <w:t>2016 has seen the start of a state-wide WHS harmonisation project being undertaken by WHS Consultants, Manual Task Coordinators and Aggression Management Coordinators.</w:t>
      </w:r>
      <w:r>
        <w:br/>
        <w:t>The outcome of this project will have one streamlined and consistent work health and safety management system covering all of THS. This project is due to be completed late October 2016 and will include;</w:t>
      </w:r>
    </w:p>
    <w:p w:rsidR="00D41FF4" w:rsidRDefault="00D41FF4" w:rsidP="00103528">
      <w:pPr>
        <w:pStyle w:val="BodyText"/>
        <w:numPr>
          <w:ilvl w:val="0"/>
          <w:numId w:val="16"/>
        </w:numPr>
        <w:ind w:left="567" w:hanging="567"/>
      </w:pPr>
      <w:r>
        <w:t>Review of aggression management training packages and transfer to one training module for the State</w:t>
      </w:r>
    </w:p>
    <w:p w:rsidR="00D41FF4" w:rsidRDefault="00D41FF4" w:rsidP="00103528">
      <w:pPr>
        <w:pStyle w:val="BodyText"/>
        <w:numPr>
          <w:ilvl w:val="0"/>
          <w:numId w:val="16"/>
        </w:numPr>
        <w:ind w:left="567" w:hanging="567"/>
      </w:pPr>
      <w:r>
        <w:t>Review of Manual Tasks systems, procedures and proactive measures to reduce workers compensation claims</w:t>
      </w:r>
    </w:p>
    <w:p w:rsidR="00D41FF4" w:rsidRDefault="00D41FF4" w:rsidP="00103528">
      <w:pPr>
        <w:pStyle w:val="BodyText"/>
        <w:numPr>
          <w:ilvl w:val="0"/>
          <w:numId w:val="16"/>
        </w:numPr>
        <w:ind w:left="567" w:hanging="567"/>
      </w:pPr>
      <w:r>
        <w:t xml:space="preserve">Review of reporting systems and development of THS templates for use state-wide </w:t>
      </w:r>
    </w:p>
    <w:p w:rsidR="00D41FF4" w:rsidRDefault="00D41FF4" w:rsidP="00103528">
      <w:pPr>
        <w:pStyle w:val="BodyText"/>
        <w:numPr>
          <w:ilvl w:val="0"/>
          <w:numId w:val="16"/>
        </w:numPr>
        <w:ind w:left="567" w:hanging="567"/>
      </w:pPr>
      <w:r>
        <w:t>Review of Officer, Manager, HSR and worker training requirements and development of training packages where required Integration of regional WHS policies and protocols into THS wide documents where applicable</w:t>
      </w:r>
    </w:p>
    <w:p w:rsidR="00D41FF4" w:rsidRDefault="00D41FF4" w:rsidP="00103528">
      <w:pPr>
        <w:pStyle w:val="BodyText"/>
        <w:numPr>
          <w:ilvl w:val="0"/>
          <w:numId w:val="16"/>
        </w:numPr>
        <w:ind w:left="567" w:hanging="567"/>
      </w:pPr>
      <w:r>
        <w:t xml:space="preserve">Development of THS WHS Management System </w:t>
      </w:r>
    </w:p>
    <w:p w:rsidR="00D41FF4" w:rsidRDefault="00D41FF4" w:rsidP="00103528">
      <w:pPr>
        <w:pStyle w:val="BodyText"/>
        <w:numPr>
          <w:ilvl w:val="0"/>
          <w:numId w:val="16"/>
        </w:numPr>
        <w:ind w:left="567" w:hanging="567"/>
      </w:pPr>
      <w:r>
        <w:t>Development and promotion of WHS safety branding</w:t>
      </w:r>
    </w:p>
    <w:p w:rsidR="00D41FF4" w:rsidRDefault="00D41FF4" w:rsidP="00103528">
      <w:pPr>
        <w:pStyle w:val="BodyText"/>
        <w:numPr>
          <w:ilvl w:val="0"/>
          <w:numId w:val="16"/>
        </w:numPr>
      </w:pPr>
      <w:r>
        <w:t>Development and improvement of WHS on THS Intranet</w:t>
      </w:r>
    </w:p>
    <w:p w:rsidR="00D41FF4" w:rsidRDefault="00D41FF4" w:rsidP="00103528">
      <w:pPr>
        <w:pStyle w:val="BodyText"/>
        <w:numPr>
          <w:ilvl w:val="0"/>
          <w:numId w:val="16"/>
        </w:numPr>
      </w:pPr>
      <w:r>
        <w:lastRenderedPageBreak/>
        <w:t>Development and improvement of WHS records database</w:t>
      </w:r>
    </w:p>
    <w:p w:rsidR="00D41FF4" w:rsidRDefault="00D41FF4" w:rsidP="00D41FF4">
      <w:pPr>
        <w:pStyle w:val="BodyText"/>
      </w:pPr>
      <w:r>
        <w:t>Notable achievement during 2015/2016 was THS NW Personal Security @ Work training package receiving national recognition at the National Safety Council of Australia Safety Awards – runner up, Best WHS Training package in Australia.</w:t>
      </w:r>
    </w:p>
    <w:p w:rsidR="00D41FF4" w:rsidRDefault="00D41FF4" w:rsidP="00D41FF4">
      <w:pPr>
        <w:pStyle w:val="BodyText"/>
      </w:pPr>
      <w:r>
        <w:t>Exposure to Workplace Violence and Aggression (WVA) is the most common Safety Reporting and Learning System (SRLS) entry for WHS.</w:t>
      </w:r>
    </w:p>
    <w:p w:rsidR="00D41FF4" w:rsidRDefault="00D41FF4" w:rsidP="00D41FF4">
      <w:pPr>
        <w:pStyle w:val="BodyText"/>
      </w:pPr>
      <w:r>
        <w:t>During 2015/2016 there were 1920 incidents reported that included exposure to; verbal threats, physical assaults, inappropriate/aggressive behaviours and/or assault with weapon.</w:t>
      </w:r>
    </w:p>
    <w:p w:rsidR="00D41FF4" w:rsidRDefault="00D41FF4" w:rsidP="00D41FF4">
      <w:pPr>
        <w:pStyle w:val="BodyText"/>
      </w:pPr>
      <w:r>
        <w:t xml:space="preserve">Body strains continue to be the highest incident group for workers compensation claims. During 2015/2016 there were </w:t>
      </w:r>
      <w:r>
        <w:rPr>
          <w:rFonts w:ascii="GillSans-SemiBold" w:hAnsi="GillSans-SemiBold" w:cs="GillSans-SemiBold"/>
          <w:b/>
          <w:bCs/>
        </w:rPr>
        <w:t xml:space="preserve">585 </w:t>
      </w:r>
      <w:r>
        <w:t xml:space="preserve">body strain incidents reported on SRLS with the clear majority of these as a result of Muscular Stress while handling or Lifting Person (transporting patient, pushing/ pulling). Currently </w:t>
      </w:r>
      <w:r>
        <w:rPr>
          <w:rFonts w:ascii="GillSans-SemiBold" w:hAnsi="GillSans-SemiBold" w:cs="GillSans-SemiBold"/>
          <w:b/>
          <w:bCs/>
        </w:rPr>
        <w:t xml:space="preserve">40% </w:t>
      </w:r>
      <w:r>
        <w:t>of all Body Strain incidents result in a workers compensation claim.</w:t>
      </w:r>
    </w:p>
    <w:p w:rsidR="00D41FF4" w:rsidRDefault="00D41FF4" w:rsidP="00D41FF4">
      <w:pPr>
        <w:pStyle w:val="BodyText"/>
      </w:pPr>
    </w:p>
    <w:p w:rsidR="00D41FF4" w:rsidRDefault="00D41FF4" w:rsidP="00D41FF4">
      <w:pPr>
        <w:pStyle w:val="BodyText"/>
      </w:pPr>
      <w:r>
        <w:t>Progress against the THS Safety Management System KPI Targets</w:t>
      </w:r>
    </w:p>
    <w:p w:rsidR="00D41FF4" w:rsidRDefault="00D41FF4" w:rsidP="00D41FF4">
      <w:pPr>
        <w:pStyle w:val="BodyText"/>
      </w:pPr>
      <w:r>
        <w:t>State WHS objectives (DPAC/SSMO) are for 3% reduction per year</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3828"/>
        <w:gridCol w:w="3118"/>
        <w:gridCol w:w="1559"/>
        <w:gridCol w:w="1418"/>
      </w:tblGrid>
      <w:tr w:rsidR="00D41FF4" w:rsidTr="00D41FF4">
        <w:trPr>
          <w:trHeight w:hRule="exact" w:val="857"/>
        </w:trPr>
        <w:tc>
          <w:tcPr>
            <w:tcW w:w="3828" w:type="dxa"/>
            <w:tcBorders>
              <w:top w:val="single" w:sz="4" w:space="0" w:color="004D8F"/>
              <w:left w:val="single" w:sz="4" w:space="0" w:color="004D8F"/>
              <w:bottom w:val="single" w:sz="4" w:space="0" w:color="004D8F"/>
              <w:right w:val="single" w:sz="4" w:space="0" w:color="004D8F"/>
            </w:tcBorders>
            <w:shd w:val="clear" w:color="auto" w:fill="auto"/>
          </w:tcPr>
          <w:p w:rsidR="00D41FF4" w:rsidRPr="00D41FF4" w:rsidRDefault="00D41FF4" w:rsidP="006F4537">
            <w:pPr>
              <w:pStyle w:val="TableParagraph"/>
              <w:spacing w:before="32"/>
              <w:ind w:left="80"/>
              <w:rPr>
                <w:rFonts w:ascii="GillSans-SemiBold"/>
                <w:b/>
              </w:rPr>
            </w:pPr>
            <w:r w:rsidRPr="00D41FF4">
              <w:rPr>
                <w:rFonts w:ascii="GillSans-SemiBold"/>
                <w:b/>
              </w:rPr>
              <w:t>Objective</w:t>
            </w:r>
          </w:p>
        </w:tc>
        <w:tc>
          <w:tcPr>
            <w:tcW w:w="3118" w:type="dxa"/>
            <w:tcBorders>
              <w:top w:val="single" w:sz="4" w:space="0" w:color="004D8F"/>
              <w:left w:val="single" w:sz="4" w:space="0" w:color="004D8F"/>
              <w:bottom w:val="single" w:sz="4" w:space="0" w:color="004D8F"/>
              <w:right w:val="single" w:sz="4" w:space="0" w:color="004D8F"/>
            </w:tcBorders>
            <w:shd w:val="clear" w:color="auto" w:fill="auto"/>
          </w:tcPr>
          <w:p w:rsidR="00D41FF4" w:rsidRPr="00D41FF4" w:rsidRDefault="00D41FF4" w:rsidP="006F4537">
            <w:pPr>
              <w:pStyle w:val="TableParagraph"/>
              <w:spacing w:before="32"/>
              <w:ind w:left="756"/>
              <w:rPr>
                <w:rFonts w:ascii="GillSans-SemiBold"/>
                <w:b/>
              </w:rPr>
            </w:pPr>
            <w:r w:rsidRPr="00D41FF4">
              <w:rPr>
                <w:rFonts w:ascii="GillSans-SemiBold"/>
                <w:b/>
              </w:rPr>
              <w:t>Measures/Targets</w:t>
            </w:r>
          </w:p>
        </w:tc>
        <w:tc>
          <w:tcPr>
            <w:tcW w:w="1559" w:type="dxa"/>
            <w:tcBorders>
              <w:top w:val="single" w:sz="4" w:space="0" w:color="004D8F"/>
              <w:left w:val="single" w:sz="4" w:space="0" w:color="004D8F"/>
              <w:bottom w:val="single" w:sz="4" w:space="0" w:color="004D8F"/>
              <w:right w:val="single" w:sz="4" w:space="0" w:color="004D8F"/>
            </w:tcBorders>
            <w:shd w:val="clear" w:color="auto" w:fill="auto"/>
          </w:tcPr>
          <w:p w:rsidR="00D41FF4" w:rsidRPr="00D41FF4" w:rsidRDefault="00D41FF4" w:rsidP="006F4537">
            <w:pPr>
              <w:pStyle w:val="TableParagraph"/>
              <w:spacing w:before="32" w:line="256" w:lineRule="auto"/>
              <w:ind w:left="120" w:right="118"/>
              <w:jc w:val="center"/>
              <w:rPr>
                <w:rFonts w:ascii="GillSans-SemiBold"/>
                <w:b/>
              </w:rPr>
            </w:pPr>
            <w:r w:rsidRPr="00D41FF4">
              <w:rPr>
                <w:rFonts w:ascii="GillSans-SemiBold"/>
                <w:b/>
              </w:rPr>
              <w:t>Benchmark (2014-15</w:t>
            </w:r>
          </w:p>
          <w:p w:rsidR="00D41FF4" w:rsidRPr="00D41FF4" w:rsidRDefault="00D41FF4" w:rsidP="006F4537">
            <w:pPr>
              <w:pStyle w:val="TableParagraph"/>
              <w:spacing w:line="262" w:lineRule="exact"/>
              <w:ind w:left="118" w:right="118"/>
              <w:jc w:val="center"/>
              <w:rPr>
                <w:rFonts w:ascii="GillSans-SemiBold"/>
                <w:b/>
              </w:rPr>
            </w:pPr>
            <w:r w:rsidRPr="00D41FF4">
              <w:rPr>
                <w:rFonts w:ascii="GillSans-SemiBold"/>
                <w:b/>
              </w:rPr>
              <w:t>FY)</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D41FF4" w:rsidRPr="00D41FF4" w:rsidRDefault="00D41FF4" w:rsidP="006F4537">
            <w:pPr>
              <w:pStyle w:val="TableParagraph"/>
              <w:spacing w:before="33" w:line="256" w:lineRule="auto"/>
              <w:ind w:left="145" w:right="143"/>
              <w:jc w:val="center"/>
              <w:rPr>
                <w:rFonts w:ascii="GillSans-SemiBold"/>
                <w:b/>
              </w:rPr>
            </w:pPr>
            <w:r w:rsidRPr="00D41FF4">
              <w:rPr>
                <w:rFonts w:ascii="GillSans-SemiBold"/>
                <w:b/>
              </w:rPr>
              <w:t>Outcomes (2015-16</w:t>
            </w:r>
          </w:p>
          <w:p w:rsidR="00D41FF4" w:rsidRPr="00D41FF4" w:rsidRDefault="00D41FF4" w:rsidP="006F4537">
            <w:pPr>
              <w:pStyle w:val="TableParagraph"/>
              <w:spacing w:line="262" w:lineRule="exact"/>
              <w:ind w:left="143" w:right="143"/>
              <w:jc w:val="center"/>
              <w:rPr>
                <w:rFonts w:ascii="GillSans-SemiBold"/>
                <w:b/>
              </w:rPr>
            </w:pPr>
            <w:r w:rsidRPr="00D41FF4">
              <w:rPr>
                <w:rFonts w:ascii="GillSans-SemiBold"/>
                <w:b/>
              </w:rPr>
              <w:t>FY)</w:t>
            </w:r>
          </w:p>
        </w:tc>
      </w:tr>
      <w:tr w:rsidR="00D41FF4" w:rsidTr="00D41FF4">
        <w:trPr>
          <w:trHeight w:hRule="exact" w:val="560"/>
        </w:trPr>
        <w:tc>
          <w:tcPr>
            <w:tcW w:w="3828" w:type="dxa"/>
            <w:tcBorders>
              <w:top w:val="single" w:sz="4" w:space="0" w:color="004D8F"/>
            </w:tcBorders>
            <w:shd w:val="clear" w:color="auto" w:fill="auto"/>
          </w:tcPr>
          <w:p w:rsidR="00D41FF4" w:rsidRPr="00D41FF4" w:rsidRDefault="00D41FF4" w:rsidP="006F4537">
            <w:pPr>
              <w:pStyle w:val="TableParagraph"/>
              <w:spacing w:before="26" w:line="268" w:lineRule="auto"/>
              <w:ind w:left="75" w:right="120"/>
              <w:rPr>
                <w:rFonts w:ascii="Gill Sans MT" w:hAnsi="Gill Sans MT"/>
              </w:rPr>
            </w:pPr>
            <w:r w:rsidRPr="00D41FF4">
              <w:rPr>
                <w:rFonts w:ascii="Gill Sans MT" w:hAnsi="Gill Sans MT"/>
              </w:rPr>
              <w:t>Reduce the total number of workers compensation claims</w:t>
            </w:r>
          </w:p>
        </w:tc>
        <w:tc>
          <w:tcPr>
            <w:tcW w:w="3118" w:type="dxa"/>
            <w:tcBorders>
              <w:top w:val="single" w:sz="4" w:space="0" w:color="004D8F"/>
            </w:tcBorders>
            <w:shd w:val="clear" w:color="auto" w:fill="auto"/>
          </w:tcPr>
          <w:p w:rsidR="00D41FF4" w:rsidRPr="00D41FF4" w:rsidRDefault="00D41FF4" w:rsidP="006F4537">
            <w:pPr>
              <w:pStyle w:val="TableParagraph"/>
              <w:spacing w:before="26" w:line="268" w:lineRule="auto"/>
              <w:ind w:left="76" w:right="23"/>
              <w:rPr>
                <w:rFonts w:ascii="Gill Sans MT" w:hAnsi="Gill Sans MT"/>
              </w:rPr>
            </w:pPr>
            <w:r w:rsidRPr="00D41FF4">
              <w:rPr>
                <w:rFonts w:ascii="Gill Sans MT" w:hAnsi="Gill Sans MT"/>
              </w:rPr>
              <w:t>Number of injuries resulting in workers compensation claims</w:t>
            </w:r>
          </w:p>
        </w:tc>
        <w:tc>
          <w:tcPr>
            <w:tcW w:w="1559" w:type="dxa"/>
            <w:tcBorders>
              <w:top w:val="single" w:sz="4" w:space="0" w:color="004D8F"/>
            </w:tcBorders>
            <w:shd w:val="clear" w:color="auto" w:fill="auto"/>
          </w:tcPr>
          <w:p w:rsidR="00D41FF4" w:rsidRPr="00D41FF4" w:rsidRDefault="00D41FF4" w:rsidP="006F4537">
            <w:pPr>
              <w:pStyle w:val="TableParagraph"/>
              <w:spacing w:before="26"/>
              <w:ind w:right="270"/>
              <w:jc w:val="right"/>
              <w:rPr>
                <w:rFonts w:ascii="Gill Sans MT" w:hAnsi="Gill Sans MT"/>
              </w:rPr>
            </w:pPr>
            <w:r w:rsidRPr="00D41FF4">
              <w:rPr>
                <w:rFonts w:ascii="Gill Sans MT" w:hAnsi="Gill Sans MT"/>
              </w:rPr>
              <w:t>444</w:t>
            </w:r>
          </w:p>
        </w:tc>
        <w:tc>
          <w:tcPr>
            <w:tcW w:w="1418" w:type="dxa"/>
            <w:tcBorders>
              <w:top w:val="single" w:sz="4" w:space="0" w:color="004D8F"/>
            </w:tcBorders>
            <w:shd w:val="clear" w:color="auto" w:fill="auto"/>
          </w:tcPr>
          <w:p w:rsidR="00D41FF4" w:rsidRPr="00D41FF4" w:rsidRDefault="00D41FF4" w:rsidP="006F4537">
            <w:pPr>
              <w:pStyle w:val="TableParagraph"/>
              <w:spacing w:before="26"/>
              <w:ind w:right="277"/>
              <w:jc w:val="right"/>
              <w:rPr>
                <w:rFonts w:ascii="Gill Sans MT" w:hAnsi="Gill Sans MT"/>
              </w:rPr>
            </w:pPr>
            <w:r w:rsidRPr="00D41FF4">
              <w:rPr>
                <w:rFonts w:ascii="Gill Sans MT" w:hAnsi="Gill Sans MT"/>
              </w:rPr>
              <w:t>450</w:t>
            </w:r>
          </w:p>
        </w:tc>
      </w:tr>
      <w:tr w:rsidR="00D41FF4" w:rsidTr="00D41FF4">
        <w:trPr>
          <w:trHeight w:hRule="exact" w:val="840"/>
        </w:trPr>
        <w:tc>
          <w:tcPr>
            <w:tcW w:w="3828" w:type="dxa"/>
            <w:shd w:val="clear" w:color="auto" w:fill="auto"/>
          </w:tcPr>
          <w:p w:rsidR="00D41FF4" w:rsidRPr="00D41FF4" w:rsidRDefault="00D41FF4" w:rsidP="006F4537">
            <w:pPr>
              <w:pStyle w:val="TableParagraph"/>
              <w:spacing w:before="22" w:line="268" w:lineRule="auto"/>
              <w:ind w:left="75" w:right="120"/>
              <w:rPr>
                <w:rFonts w:ascii="Gill Sans MT" w:hAnsi="Gill Sans MT"/>
              </w:rPr>
            </w:pPr>
            <w:r w:rsidRPr="00D41FF4">
              <w:rPr>
                <w:rFonts w:ascii="Gill Sans MT" w:hAnsi="Gill Sans MT"/>
              </w:rPr>
              <w:t>Reduce the number of WC claims resulting in &gt;1 week’s absence (serious claims)</w:t>
            </w:r>
          </w:p>
        </w:tc>
        <w:tc>
          <w:tcPr>
            <w:tcW w:w="3118" w:type="dxa"/>
            <w:shd w:val="clear" w:color="auto" w:fill="auto"/>
          </w:tcPr>
          <w:p w:rsidR="00D41FF4" w:rsidRPr="00D41FF4" w:rsidRDefault="00D41FF4" w:rsidP="006F4537">
            <w:pPr>
              <w:pStyle w:val="TableParagraph"/>
              <w:spacing w:before="22" w:line="268" w:lineRule="auto"/>
              <w:ind w:left="76" w:right="23"/>
              <w:rPr>
                <w:rFonts w:ascii="Gill Sans MT" w:hAnsi="Gill Sans MT"/>
              </w:rPr>
            </w:pPr>
            <w:r w:rsidRPr="00D41FF4">
              <w:rPr>
                <w:rFonts w:ascii="Gill Sans MT" w:hAnsi="Gill Sans MT"/>
              </w:rPr>
              <w:t>Number of claims resulting in greater than 1 week off work</w:t>
            </w:r>
          </w:p>
        </w:tc>
        <w:tc>
          <w:tcPr>
            <w:tcW w:w="1559"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196</w:t>
            </w:r>
          </w:p>
        </w:tc>
        <w:tc>
          <w:tcPr>
            <w:tcW w:w="1418"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205</w:t>
            </w:r>
          </w:p>
        </w:tc>
      </w:tr>
      <w:tr w:rsidR="00D41FF4" w:rsidTr="00D41FF4">
        <w:trPr>
          <w:trHeight w:hRule="exact" w:val="560"/>
        </w:trPr>
        <w:tc>
          <w:tcPr>
            <w:tcW w:w="3828" w:type="dxa"/>
            <w:shd w:val="clear" w:color="auto" w:fill="auto"/>
          </w:tcPr>
          <w:p w:rsidR="00D41FF4" w:rsidRPr="00D41FF4" w:rsidRDefault="00D41FF4" w:rsidP="006F4537">
            <w:pPr>
              <w:pStyle w:val="TableParagraph"/>
              <w:spacing w:before="22" w:line="268" w:lineRule="auto"/>
              <w:ind w:left="75" w:right="120"/>
              <w:rPr>
                <w:rFonts w:ascii="Gill Sans MT" w:hAnsi="Gill Sans MT"/>
              </w:rPr>
            </w:pPr>
            <w:r w:rsidRPr="00D41FF4">
              <w:rPr>
                <w:rFonts w:ascii="Gill Sans MT" w:hAnsi="Gill Sans MT"/>
              </w:rPr>
              <w:t>Reduce the Lost Time Injury Frequency Rate (LTIFR)</w:t>
            </w:r>
          </w:p>
        </w:tc>
        <w:tc>
          <w:tcPr>
            <w:tcW w:w="3118" w:type="dxa"/>
            <w:shd w:val="clear" w:color="auto" w:fill="auto"/>
          </w:tcPr>
          <w:p w:rsidR="00D41FF4" w:rsidRPr="00D41FF4" w:rsidRDefault="00D41FF4" w:rsidP="006F4537">
            <w:pPr>
              <w:pStyle w:val="TableParagraph"/>
              <w:spacing w:before="22" w:line="268" w:lineRule="auto"/>
              <w:ind w:left="76" w:right="23"/>
              <w:rPr>
                <w:rFonts w:ascii="Gill Sans MT" w:hAnsi="Gill Sans MT"/>
              </w:rPr>
            </w:pPr>
            <w:r w:rsidRPr="00D41FF4">
              <w:rPr>
                <w:rFonts w:ascii="Gill Sans MT" w:hAnsi="Gill Sans MT"/>
              </w:rPr>
              <w:t>% of injuries resulting in &gt;1 day off work per 1,000,000 hours worked</w:t>
            </w:r>
          </w:p>
        </w:tc>
        <w:tc>
          <w:tcPr>
            <w:tcW w:w="1559"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23.00%</w:t>
            </w:r>
          </w:p>
        </w:tc>
        <w:tc>
          <w:tcPr>
            <w:tcW w:w="1418"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24.20%</w:t>
            </w:r>
          </w:p>
        </w:tc>
      </w:tr>
      <w:tr w:rsidR="00D41FF4" w:rsidTr="00D41FF4">
        <w:trPr>
          <w:trHeight w:hRule="exact" w:val="560"/>
        </w:trPr>
        <w:tc>
          <w:tcPr>
            <w:tcW w:w="3828" w:type="dxa"/>
            <w:shd w:val="clear" w:color="auto" w:fill="auto"/>
          </w:tcPr>
          <w:p w:rsidR="00D41FF4" w:rsidRPr="00D41FF4" w:rsidRDefault="00D41FF4" w:rsidP="006F4537">
            <w:pPr>
              <w:pStyle w:val="TableParagraph"/>
              <w:spacing w:before="22" w:line="268" w:lineRule="auto"/>
              <w:ind w:left="75" w:right="120"/>
              <w:rPr>
                <w:rFonts w:ascii="Gill Sans MT" w:hAnsi="Gill Sans MT"/>
              </w:rPr>
            </w:pPr>
            <w:r w:rsidRPr="00D41FF4">
              <w:rPr>
                <w:rFonts w:ascii="Gill Sans MT" w:hAnsi="Gill Sans MT"/>
              </w:rPr>
              <w:t>Reduce the Lost Time Injury Severity Rate (LTISR)</w:t>
            </w:r>
          </w:p>
        </w:tc>
        <w:tc>
          <w:tcPr>
            <w:tcW w:w="3118" w:type="dxa"/>
            <w:shd w:val="clear" w:color="auto" w:fill="auto"/>
          </w:tcPr>
          <w:p w:rsidR="00D41FF4" w:rsidRPr="00D41FF4" w:rsidRDefault="00D41FF4" w:rsidP="006F4537">
            <w:pPr>
              <w:pStyle w:val="TableParagraph"/>
              <w:spacing w:before="22" w:line="268" w:lineRule="auto"/>
              <w:ind w:left="76" w:right="195"/>
              <w:rPr>
                <w:rFonts w:ascii="Gill Sans MT" w:hAnsi="Gill Sans MT"/>
              </w:rPr>
            </w:pPr>
            <w:r w:rsidRPr="00D41FF4">
              <w:rPr>
                <w:rFonts w:ascii="Gill Sans MT" w:hAnsi="Gill Sans MT"/>
              </w:rPr>
              <w:t>Number of days lost per 1,000,000 hours worked</w:t>
            </w:r>
          </w:p>
        </w:tc>
        <w:tc>
          <w:tcPr>
            <w:tcW w:w="1559"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1,249.50</w:t>
            </w:r>
          </w:p>
        </w:tc>
        <w:tc>
          <w:tcPr>
            <w:tcW w:w="1418" w:type="dxa"/>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1247.08</w:t>
            </w:r>
          </w:p>
        </w:tc>
      </w:tr>
      <w:tr w:rsidR="00D41FF4" w:rsidTr="00D41FF4">
        <w:trPr>
          <w:trHeight w:hRule="exact" w:val="280"/>
        </w:trPr>
        <w:tc>
          <w:tcPr>
            <w:tcW w:w="3828" w:type="dxa"/>
            <w:tcBorders>
              <w:bottom w:val="single" w:sz="4" w:space="0" w:color="004D8F"/>
            </w:tcBorders>
            <w:shd w:val="clear" w:color="auto" w:fill="auto"/>
          </w:tcPr>
          <w:p w:rsidR="00D41FF4" w:rsidRPr="00D41FF4" w:rsidRDefault="00D41FF4" w:rsidP="006F4537">
            <w:pPr>
              <w:pStyle w:val="TableParagraph"/>
              <w:spacing w:before="22"/>
              <w:ind w:left="75"/>
              <w:rPr>
                <w:rFonts w:ascii="Gill Sans MT" w:hAnsi="Gill Sans MT"/>
              </w:rPr>
            </w:pPr>
            <w:r w:rsidRPr="00D41FF4">
              <w:rPr>
                <w:rFonts w:ascii="Gill Sans MT" w:hAnsi="Gill Sans MT"/>
              </w:rPr>
              <w:t>Reduce Manual Task Related Injuries</w:t>
            </w:r>
          </w:p>
        </w:tc>
        <w:tc>
          <w:tcPr>
            <w:tcW w:w="3118" w:type="dxa"/>
            <w:tcBorders>
              <w:bottom w:val="single" w:sz="4" w:space="0" w:color="004D8F"/>
            </w:tcBorders>
            <w:shd w:val="clear" w:color="auto" w:fill="auto"/>
          </w:tcPr>
          <w:p w:rsidR="00D41FF4" w:rsidRPr="00D41FF4" w:rsidRDefault="00D41FF4" w:rsidP="006F4537">
            <w:pPr>
              <w:pStyle w:val="TableParagraph"/>
              <w:spacing w:before="22"/>
              <w:ind w:left="76"/>
              <w:rPr>
                <w:rFonts w:ascii="Gill Sans MT" w:hAnsi="Gill Sans MT"/>
              </w:rPr>
            </w:pPr>
            <w:r w:rsidRPr="00D41FF4">
              <w:rPr>
                <w:rFonts w:ascii="Gill Sans MT" w:hAnsi="Gill Sans MT"/>
              </w:rPr>
              <w:t>Reduction of injury rate</w:t>
            </w:r>
          </w:p>
        </w:tc>
        <w:tc>
          <w:tcPr>
            <w:tcW w:w="1559" w:type="dxa"/>
            <w:tcBorders>
              <w:bottom w:val="single" w:sz="4" w:space="0" w:color="004D8F"/>
            </w:tcBorders>
            <w:shd w:val="clear" w:color="auto" w:fill="auto"/>
          </w:tcPr>
          <w:p w:rsidR="00D41FF4" w:rsidRPr="00D41FF4" w:rsidRDefault="00D41FF4" w:rsidP="006F4537">
            <w:pPr>
              <w:pStyle w:val="TableParagraph"/>
              <w:spacing w:before="22"/>
              <w:ind w:right="277"/>
              <w:jc w:val="right"/>
              <w:rPr>
                <w:rFonts w:ascii="Gill Sans MT" w:hAnsi="Gill Sans MT"/>
              </w:rPr>
            </w:pPr>
            <w:r w:rsidRPr="00D41FF4">
              <w:rPr>
                <w:rFonts w:ascii="Gill Sans MT" w:hAnsi="Gill Sans MT"/>
              </w:rPr>
              <w:t>210</w:t>
            </w:r>
          </w:p>
        </w:tc>
        <w:tc>
          <w:tcPr>
            <w:tcW w:w="1418" w:type="dxa"/>
            <w:tcBorders>
              <w:bottom w:val="single" w:sz="4" w:space="0" w:color="004D8F"/>
            </w:tcBorders>
            <w:shd w:val="clear" w:color="auto" w:fill="auto"/>
          </w:tcPr>
          <w:p w:rsidR="00D41FF4" w:rsidRPr="00D41FF4" w:rsidRDefault="00D41FF4" w:rsidP="006F4537">
            <w:pPr>
              <w:pStyle w:val="TableParagraph"/>
              <w:spacing w:before="22"/>
              <w:ind w:right="290"/>
              <w:jc w:val="right"/>
              <w:rPr>
                <w:rFonts w:ascii="Gill Sans MT" w:hAnsi="Gill Sans MT"/>
              </w:rPr>
            </w:pPr>
            <w:r w:rsidRPr="00D41FF4">
              <w:rPr>
                <w:rFonts w:ascii="Gill Sans MT" w:hAnsi="Gill Sans MT"/>
              </w:rPr>
              <w:t>231</w:t>
            </w:r>
          </w:p>
        </w:tc>
      </w:tr>
    </w:tbl>
    <w:p w:rsidR="00222594" w:rsidRDefault="00222594" w:rsidP="00D41FF4">
      <w:pPr>
        <w:pStyle w:val="Heading3"/>
      </w:pPr>
    </w:p>
    <w:p w:rsidR="00222594" w:rsidRDefault="00222594">
      <w:pPr>
        <w:rPr>
          <w:rFonts w:ascii="Gill Sans MT" w:eastAsiaTheme="majorEastAsia" w:hAnsi="Gill Sans MT" w:cstheme="majorBidi"/>
          <w:b/>
          <w:bCs/>
          <w:sz w:val="28"/>
        </w:rPr>
      </w:pPr>
      <w:r>
        <w:br w:type="page"/>
      </w:r>
    </w:p>
    <w:p w:rsidR="000629C4" w:rsidRDefault="00D41FF4" w:rsidP="00D41FF4">
      <w:pPr>
        <w:pStyle w:val="Heading3"/>
      </w:pPr>
      <w:bookmarkStart w:id="27" w:name="_Toc472581967"/>
      <w:r>
        <w:lastRenderedPageBreak/>
        <w:t>Awards and Agreements</w:t>
      </w:r>
      <w:bookmarkEnd w:id="27"/>
    </w:p>
    <w:p w:rsidR="00D41FF4" w:rsidRDefault="00D41FF4" w:rsidP="00D41FF4">
      <w:pPr>
        <w:pStyle w:val="Heading4"/>
      </w:pPr>
      <w:r>
        <w:t>Allied Health Professionals</w:t>
      </w:r>
    </w:p>
    <w:p w:rsidR="00D41FF4" w:rsidRDefault="00D41FF4" w:rsidP="00D41FF4">
      <w:pPr>
        <w:pStyle w:val="BodyText"/>
      </w:pPr>
      <w:r>
        <w:t>Allied Health Professionals (Tasmanian State Service) Agreement 2014</w:t>
      </w:r>
    </w:p>
    <w:p w:rsidR="00D41FF4" w:rsidRDefault="00D41FF4" w:rsidP="00D41FF4">
      <w:pPr>
        <w:pStyle w:val="BodyText"/>
      </w:pPr>
      <w:r>
        <w:t>Radiation Therapists (State Service) Union Agreement 2013</w:t>
      </w:r>
    </w:p>
    <w:p w:rsidR="00D41FF4" w:rsidRDefault="00D41FF4" w:rsidP="00D41FF4">
      <w:pPr>
        <w:pStyle w:val="Heading4"/>
      </w:pPr>
      <w:r>
        <w:t>Nurses</w:t>
      </w:r>
    </w:p>
    <w:p w:rsidR="00D41FF4" w:rsidRDefault="00D41FF4" w:rsidP="00D41FF4">
      <w:pPr>
        <w:pStyle w:val="BodyText"/>
      </w:pPr>
      <w:r>
        <w:t>Nurses and Midwives (Tasmanian State Service) Award</w:t>
      </w:r>
    </w:p>
    <w:p w:rsidR="00D41FF4" w:rsidRDefault="00D41FF4" w:rsidP="00D41FF4">
      <w:pPr>
        <w:pStyle w:val="BodyText"/>
      </w:pPr>
      <w:r>
        <w:t>Caseload Midwifery Industrial Agreement 2012</w:t>
      </w:r>
    </w:p>
    <w:p w:rsidR="00D41FF4" w:rsidRDefault="00D41FF4" w:rsidP="00D41FF4">
      <w:pPr>
        <w:pStyle w:val="BodyText"/>
      </w:pPr>
      <w:r>
        <w:t>Nurses and Midwives (Tasmanian State Service) Agreement 2014</w:t>
      </w:r>
    </w:p>
    <w:p w:rsidR="00D41FF4" w:rsidRDefault="00D41FF4" w:rsidP="00D41FF4">
      <w:pPr>
        <w:pStyle w:val="BodyText"/>
      </w:pPr>
      <w:r>
        <w:t>Nurses and Midwives (Tasmanian State Service) Interim Agreement 2013</w:t>
      </w:r>
    </w:p>
    <w:p w:rsidR="00D41FF4" w:rsidRDefault="00D41FF4" w:rsidP="00D41FF4">
      <w:pPr>
        <w:pStyle w:val="BodyText"/>
      </w:pPr>
      <w:r>
        <w:t>Nurses and Midwives Work Value Agreement 2015</w:t>
      </w:r>
    </w:p>
    <w:p w:rsidR="00D41FF4" w:rsidRDefault="00D41FF4" w:rsidP="00D41FF4">
      <w:pPr>
        <w:pStyle w:val="Heading4"/>
      </w:pPr>
      <w:r>
        <w:t>Medical Practitioners</w:t>
      </w:r>
    </w:p>
    <w:p w:rsidR="00D41FF4" w:rsidRDefault="00D41FF4" w:rsidP="00D41FF4">
      <w:pPr>
        <w:pStyle w:val="BodyText"/>
      </w:pPr>
      <w:r>
        <w:t>Medical Practitioners (Public Sector) Award</w:t>
      </w:r>
    </w:p>
    <w:p w:rsidR="00D41FF4" w:rsidRDefault="00D41FF4" w:rsidP="00D41FF4">
      <w:pPr>
        <w:pStyle w:val="BodyText"/>
      </w:pPr>
      <w:r>
        <w:t>Rural Medical Practitioners (Public Sector) Agreement 2011 - 2014</w:t>
      </w:r>
    </w:p>
    <w:p w:rsidR="00D41FF4" w:rsidRDefault="00D41FF4" w:rsidP="00D41FF4">
      <w:pPr>
        <w:pStyle w:val="BodyText"/>
      </w:pPr>
      <w:r>
        <w:t>Salaried Medical Practitioners Interim Agreement 2015</w:t>
      </w:r>
    </w:p>
    <w:p w:rsidR="00D41FF4" w:rsidRDefault="00D41FF4" w:rsidP="00D41FF4">
      <w:pPr>
        <w:pStyle w:val="BodyText"/>
      </w:pPr>
      <w:r>
        <w:t>Salaried Medical Practitioners (AMA Tasmania/DHHS) Agreement 2009</w:t>
      </w:r>
    </w:p>
    <w:p w:rsidR="00D41FF4" w:rsidRDefault="00D41FF4" w:rsidP="00D41FF4">
      <w:pPr>
        <w:pStyle w:val="BodyText"/>
      </w:pPr>
      <w:r>
        <w:t>Tasmanian Visiting Medical Practitioners (Public Sector) Agreement 2013</w:t>
      </w:r>
    </w:p>
    <w:p w:rsidR="00D41FF4" w:rsidRDefault="00D41FF4" w:rsidP="00D41FF4">
      <w:pPr>
        <w:pStyle w:val="Heading4"/>
      </w:pPr>
      <w:r>
        <w:t>Administrative and Operational</w:t>
      </w:r>
    </w:p>
    <w:p w:rsidR="00D41FF4" w:rsidRDefault="00D41FF4" w:rsidP="00D41FF4">
      <w:pPr>
        <w:pStyle w:val="BodyText"/>
      </w:pPr>
      <w:r>
        <w:t>Public Sector Unions Wages Agreement 2013</w:t>
      </w:r>
    </w:p>
    <w:p w:rsidR="00D41FF4" w:rsidRDefault="00D41FF4" w:rsidP="00D41FF4">
      <w:pPr>
        <w:pStyle w:val="Heading4"/>
      </w:pPr>
      <w:r>
        <w:t>Other not listed above</w:t>
      </w:r>
    </w:p>
    <w:p w:rsidR="00D41FF4" w:rsidRDefault="00D41FF4" w:rsidP="00D41FF4">
      <w:pPr>
        <w:pStyle w:val="BodyText"/>
      </w:pPr>
      <w:r>
        <w:t>Health and Human Services (Tasmanian State Service) Award</w:t>
      </w:r>
    </w:p>
    <w:p w:rsidR="00D41FF4" w:rsidRDefault="00D41FF4" w:rsidP="00D41FF4">
      <w:pPr>
        <w:pStyle w:val="Heading4"/>
      </w:pPr>
      <w:r>
        <w:rPr>
          <w:rFonts w:ascii="GillSans-Light" w:hAnsi="GillSans-Light" w:cs="GillSans-Light"/>
        </w:rPr>
        <w:t>T</w:t>
      </w:r>
      <w:r>
        <w:t>asmanian State Service Award</w:t>
      </w:r>
    </w:p>
    <w:p w:rsidR="00D41FF4" w:rsidRDefault="00D41FF4" w:rsidP="00D41FF4">
      <w:pPr>
        <w:pStyle w:val="BodyText"/>
      </w:pPr>
      <w:r>
        <w:t>Department of Health and Human Services Mental Health Services NW Crisis Assessment Team 10 Hour Shift Arrangements Agreement 2012</w:t>
      </w:r>
    </w:p>
    <w:p w:rsidR="00D41FF4" w:rsidRDefault="00D41FF4" w:rsidP="00D41FF4">
      <w:pPr>
        <w:pStyle w:val="BodyText"/>
      </w:pPr>
      <w:r>
        <w:t>Department of Health and Human Services Northside Clinic Attendant Shift Arrangements Agreement 2010</w:t>
      </w:r>
    </w:p>
    <w:p w:rsidR="00D41FF4" w:rsidRDefault="00D41FF4" w:rsidP="00D41FF4">
      <w:pPr>
        <w:pStyle w:val="BodyText"/>
      </w:pPr>
      <w:r>
        <w:t>Department of Health and Human Services - Roy Fagan Centre Shift Work Arrangements Agreement 2003</w:t>
      </w:r>
    </w:p>
    <w:p w:rsidR="00D41FF4" w:rsidRDefault="00D41FF4" w:rsidP="00D41FF4">
      <w:pPr>
        <w:pStyle w:val="BodyText"/>
      </w:pPr>
      <w:r>
        <w:t>Department of Health and Human Services - Wilfred Lopes Centre - Care Assistant Shift Arrangements 2006</w:t>
      </w:r>
    </w:p>
    <w:p w:rsidR="00D41FF4" w:rsidRDefault="00D41FF4" w:rsidP="00D41FF4">
      <w:pPr>
        <w:pStyle w:val="BodyText"/>
      </w:pPr>
      <w:r>
        <w:t>Tasmanian Health Service - Southern Region Microbiology Laboratory Agreement 2016</w:t>
      </w:r>
    </w:p>
    <w:p w:rsidR="00D41FF4" w:rsidRDefault="00D41FF4" w:rsidP="00D41FF4">
      <w:pPr>
        <w:pStyle w:val="BodyText"/>
        <w:sectPr w:rsidR="00D41FF4" w:rsidSect="00025D0E">
          <w:pgSz w:w="11906" w:h="16838"/>
          <w:pgMar w:top="1440" w:right="707" w:bottom="1440" w:left="1134" w:header="708" w:footer="708" w:gutter="0"/>
          <w:cols w:space="708"/>
          <w:docGrid w:linePitch="360"/>
        </w:sectPr>
      </w:pPr>
    </w:p>
    <w:p w:rsidR="00D41FF4" w:rsidRDefault="00D41FF4" w:rsidP="00306B93">
      <w:pPr>
        <w:pStyle w:val="Heading3"/>
      </w:pPr>
      <w:bookmarkStart w:id="28" w:name="_Toc472581968"/>
      <w:r>
        <w:lastRenderedPageBreak/>
        <w:t>Education, Research and Clinical Trials</w:t>
      </w:r>
      <w:bookmarkEnd w:id="28"/>
    </w:p>
    <w:p w:rsidR="00306B93" w:rsidRDefault="00D41FF4" w:rsidP="00306B93">
      <w:pPr>
        <w:pStyle w:val="Heading4"/>
      </w:pPr>
      <w:r>
        <w:t>Allied Health Professional Education and</w:t>
      </w:r>
      <w:r w:rsidR="00306B93">
        <w:t xml:space="preserve"> </w:t>
      </w:r>
      <w:r>
        <w:t>Research 2015/2016</w:t>
      </w:r>
      <w:r w:rsidR="00306B93">
        <w:t xml:space="preserve"> </w:t>
      </w:r>
    </w:p>
    <w:p w:rsidR="00D41FF4" w:rsidRDefault="00D41FF4" w:rsidP="00306B93">
      <w:pPr>
        <w:pStyle w:val="Heading4"/>
      </w:pPr>
      <w:r>
        <w:t>Education and Training</w:t>
      </w:r>
    </w:p>
    <w:p w:rsidR="00D41FF4" w:rsidRDefault="00D41FF4" w:rsidP="00306B93">
      <w:pPr>
        <w:pStyle w:val="BodyText"/>
      </w:pPr>
      <w:r>
        <w:t>Allied health professional, allied health assistant</w:t>
      </w:r>
      <w:r w:rsidR="00306B93">
        <w:t xml:space="preserve"> </w:t>
      </w:r>
      <w:r>
        <w:t xml:space="preserve">and related support </w:t>
      </w:r>
      <w:proofErr w:type="gramStart"/>
      <w:r>
        <w:t>staff continue</w:t>
      </w:r>
      <w:proofErr w:type="gramEnd"/>
      <w:r>
        <w:t xml:space="preserve"> to maintain</w:t>
      </w:r>
      <w:r w:rsidR="00306B93">
        <w:t xml:space="preserve"> </w:t>
      </w:r>
      <w:r>
        <w:t>their commitment to excellence in patient care</w:t>
      </w:r>
      <w:r w:rsidR="00306B93">
        <w:t xml:space="preserve"> </w:t>
      </w:r>
      <w:r>
        <w:t>by demonstrating a high level of engagement in</w:t>
      </w:r>
      <w:r w:rsidR="00306B93">
        <w:t xml:space="preserve"> </w:t>
      </w:r>
      <w:r>
        <w:t>education, training and research activity at all</w:t>
      </w:r>
      <w:r w:rsidR="00306B93">
        <w:t xml:space="preserve"> </w:t>
      </w:r>
      <w:r>
        <w:t>staff levels.</w:t>
      </w:r>
    </w:p>
    <w:p w:rsidR="00D41FF4" w:rsidRDefault="00D41FF4" w:rsidP="00306B93">
      <w:pPr>
        <w:pStyle w:val="BodyText"/>
      </w:pPr>
      <w:r>
        <w:t>Across the many departments of this diverse</w:t>
      </w:r>
      <w:r w:rsidR="00306B93">
        <w:t xml:space="preserve"> </w:t>
      </w:r>
      <w:r>
        <w:t>professional group a foundation for ongoing</w:t>
      </w:r>
      <w:r w:rsidR="00306B93">
        <w:t xml:space="preserve"> </w:t>
      </w:r>
      <w:r>
        <w:t>staff professional development is provided by</w:t>
      </w:r>
      <w:r w:rsidR="00306B93">
        <w:t xml:space="preserve"> </w:t>
      </w:r>
      <w:r>
        <w:t>well-established ‘in-service’ programs, e-learning</w:t>
      </w:r>
      <w:r w:rsidR="00306B93">
        <w:t xml:space="preserve"> </w:t>
      </w:r>
      <w:r>
        <w:t>opportunities, participation in journal clubs,</w:t>
      </w:r>
      <w:r w:rsidR="00306B93">
        <w:t xml:space="preserve"> </w:t>
      </w:r>
      <w:r>
        <w:t>profession-specific rounds, communities of</w:t>
      </w:r>
      <w:r w:rsidR="00306B93">
        <w:t xml:space="preserve"> </w:t>
      </w:r>
      <w:r>
        <w:t>practice and access to mentoring and professional</w:t>
      </w:r>
    </w:p>
    <w:p w:rsidR="00306B93" w:rsidRDefault="00D41FF4" w:rsidP="00306B93">
      <w:pPr>
        <w:pStyle w:val="BodyText"/>
      </w:pPr>
      <w:proofErr w:type="gramStart"/>
      <w:r>
        <w:t>supervision</w:t>
      </w:r>
      <w:proofErr w:type="gramEnd"/>
      <w:r>
        <w:t xml:space="preserve"> relationships. A large proportion</w:t>
      </w:r>
      <w:r w:rsidR="00306B93">
        <w:t xml:space="preserve"> </w:t>
      </w:r>
      <w:r>
        <w:t>of staff are engaged in additional externally</w:t>
      </w:r>
      <w:r w:rsidR="00306B93">
        <w:t xml:space="preserve"> </w:t>
      </w:r>
      <w:r>
        <w:t>provided</w:t>
      </w:r>
      <w:r w:rsidR="00306B93">
        <w:t xml:space="preserve"> </w:t>
      </w:r>
      <w:r>
        <w:t>training workshops, conferences</w:t>
      </w:r>
      <w:r w:rsidR="00306B93">
        <w:t xml:space="preserve"> </w:t>
      </w:r>
      <w:r>
        <w:t>or online programs to further extend their</w:t>
      </w:r>
      <w:r w:rsidR="00306B93">
        <w:t xml:space="preserve"> </w:t>
      </w:r>
      <w:r>
        <w:t xml:space="preserve">knowledge base and skill set. At least 50 staff </w:t>
      </w:r>
      <w:proofErr w:type="gramStart"/>
      <w:r>
        <w:t>are</w:t>
      </w:r>
      <w:proofErr w:type="gramEnd"/>
      <w:r w:rsidR="00306B93">
        <w:t xml:space="preserve"> </w:t>
      </w:r>
      <w:r>
        <w:t>currently completing or have recently completed</w:t>
      </w:r>
      <w:r w:rsidR="00306B93">
        <w:t xml:space="preserve"> </w:t>
      </w:r>
      <w:r>
        <w:t>postgraduate training beyond their vocational</w:t>
      </w:r>
      <w:r w:rsidR="00306B93">
        <w:t xml:space="preserve"> </w:t>
      </w:r>
      <w:r>
        <w:t>entry level qualifications, with enrolments at</w:t>
      </w:r>
      <w:r w:rsidR="00306B93">
        <w:t xml:space="preserve"> </w:t>
      </w:r>
      <w:r>
        <w:t>universities around the country. Their programs</w:t>
      </w:r>
      <w:r w:rsidR="00306B93">
        <w:t xml:space="preserve"> </w:t>
      </w:r>
      <w:r>
        <w:t>of study span many areas of clinical specialisation</w:t>
      </w:r>
      <w:r w:rsidR="00306B93">
        <w:t xml:space="preserve"> </w:t>
      </w:r>
      <w:r>
        <w:t>and leadership and management competence</w:t>
      </w:r>
      <w:r w:rsidR="00306B93">
        <w:t xml:space="preserve"> </w:t>
      </w:r>
      <w:r>
        <w:t>and are frequently being completed at a masters</w:t>
      </w:r>
      <w:r w:rsidR="00306B93">
        <w:t xml:space="preserve"> </w:t>
      </w:r>
      <w:r>
        <w:t>or doctoral level. A number of staff from the</w:t>
      </w:r>
      <w:r w:rsidR="00306B93">
        <w:t xml:space="preserve"> </w:t>
      </w:r>
      <w:r>
        <w:t>Department of Social Work successfully applied</w:t>
      </w:r>
      <w:r w:rsidR="00306B93">
        <w:t xml:space="preserve"> </w:t>
      </w:r>
      <w:r>
        <w:t>for SARRAH scholarships in order to undertake</w:t>
      </w:r>
      <w:r w:rsidR="00306B93">
        <w:t xml:space="preserve"> </w:t>
      </w:r>
      <w:r>
        <w:t>their postgraduate study (Ella Little, Suzanne Smith</w:t>
      </w:r>
      <w:r w:rsidR="00306B93">
        <w:t xml:space="preserve">, </w:t>
      </w:r>
      <w:r>
        <w:t>Leonie Hannam, Tamika Holton) and Lisa Cleary,</w:t>
      </w:r>
      <w:r w:rsidR="00306B93">
        <w:t xml:space="preserve"> </w:t>
      </w:r>
      <w:r>
        <w:t>from the Holman Clinic, was awarded the Jeanne</w:t>
      </w:r>
      <w:r w:rsidR="00306B93">
        <w:t xml:space="preserve"> </w:t>
      </w:r>
      <w:r>
        <w:t>Foster Scholarship for 2016 to support professional</w:t>
      </w:r>
      <w:r w:rsidR="00306B93">
        <w:t xml:space="preserve"> </w:t>
      </w:r>
      <w:r>
        <w:t>development in a field of cancer control.</w:t>
      </w:r>
    </w:p>
    <w:p w:rsidR="00D41FF4" w:rsidRDefault="00D41FF4" w:rsidP="00306B93">
      <w:pPr>
        <w:pStyle w:val="BodyText"/>
      </w:pPr>
      <w:r>
        <w:t>Staff from many allied health professional</w:t>
      </w:r>
      <w:r w:rsidR="00306B93">
        <w:t xml:space="preserve"> </w:t>
      </w:r>
      <w:r>
        <w:t>departments have been active in the development</w:t>
      </w:r>
      <w:r w:rsidR="00306B93">
        <w:t xml:space="preserve"> </w:t>
      </w:r>
      <w:r>
        <w:t>and delivery of profession-specific and also cross</w:t>
      </w:r>
      <w:r w:rsidR="00306B93">
        <w:t xml:space="preserve"> </w:t>
      </w:r>
      <w:r>
        <w:t>professional</w:t>
      </w:r>
      <w:r w:rsidR="00306B93">
        <w:t xml:space="preserve"> </w:t>
      </w:r>
      <w:r>
        <w:t>training and public education often</w:t>
      </w:r>
      <w:r w:rsidR="00306B93">
        <w:t xml:space="preserve"> </w:t>
      </w:r>
      <w:r>
        <w:t>in collaboration with professional associations</w:t>
      </w:r>
      <w:r w:rsidR="00306B93">
        <w:t xml:space="preserve"> </w:t>
      </w:r>
      <w:r>
        <w:t>or community service organisations (e.g. Speech Pathology Department seminars on choking</w:t>
      </w:r>
      <w:r w:rsidR="00306B93">
        <w:t xml:space="preserve"> </w:t>
      </w:r>
      <w:r>
        <w:t>management for many different staff groups</w:t>
      </w:r>
      <w:r w:rsidR="00306B93">
        <w:t xml:space="preserve"> </w:t>
      </w:r>
      <w:r>
        <w:t>and carers; Psychology Services work with the</w:t>
      </w:r>
      <w:r w:rsidR="00306B93">
        <w:t xml:space="preserve"> </w:t>
      </w:r>
      <w:r>
        <w:t>Prader Willi Syndrome (PWS) Association of</w:t>
      </w:r>
      <w:r w:rsidR="00306B93">
        <w:t xml:space="preserve"> </w:t>
      </w:r>
      <w:r>
        <w:t>Victoria to develop understanding of PWS). The</w:t>
      </w:r>
      <w:r w:rsidR="00306B93">
        <w:t xml:space="preserve"> </w:t>
      </w:r>
      <w:r>
        <w:t>Allied Health Professional Development Unit’s</w:t>
      </w:r>
      <w:r w:rsidR="00306B93">
        <w:t xml:space="preserve"> </w:t>
      </w:r>
      <w:r>
        <w:t>collaboration with the University of Tasmania,</w:t>
      </w:r>
      <w:r w:rsidR="00306B93">
        <w:t xml:space="preserve"> </w:t>
      </w:r>
      <w:r>
        <w:t>Faculty of Health Sciences delivered a new</w:t>
      </w:r>
    </w:p>
    <w:p w:rsidR="00D41FF4" w:rsidRDefault="00D41FF4" w:rsidP="00306B93">
      <w:pPr>
        <w:pStyle w:val="BodyText"/>
      </w:pPr>
      <w:proofErr w:type="gramStart"/>
      <w:r>
        <w:t>postgraduate</w:t>
      </w:r>
      <w:proofErr w:type="gramEnd"/>
      <w:r>
        <w:t xml:space="preserve"> unit on supervision for health</w:t>
      </w:r>
      <w:r w:rsidR="00306B93">
        <w:t xml:space="preserve"> </w:t>
      </w:r>
      <w:r>
        <w:t>professionals with strong interest and positive</w:t>
      </w:r>
      <w:r w:rsidR="00306B93">
        <w:t xml:space="preserve"> </w:t>
      </w:r>
      <w:r>
        <w:t>feedback from students both locally and interstate.</w:t>
      </w:r>
    </w:p>
    <w:p w:rsidR="00D41FF4" w:rsidRDefault="00D41FF4" w:rsidP="00306B93">
      <w:pPr>
        <w:pStyle w:val="BodyText"/>
      </w:pPr>
      <w:r>
        <w:t>Around the state allied health professionals have</w:t>
      </w:r>
      <w:r w:rsidR="00306B93">
        <w:t xml:space="preserve"> </w:t>
      </w:r>
      <w:r>
        <w:t>provided in excess of 120 placements for allied</w:t>
      </w:r>
      <w:r w:rsidR="00306B93">
        <w:t xml:space="preserve"> </w:t>
      </w:r>
      <w:r>
        <w:t>health professional students at varying points</w:t>
      </w:r>
      <w:r w:rsidR="00306B93">
        <w:t xml:space="preserve"> </w:t>
      </w:r>
      <w:r>
        <w:t>in their professional entry training, and from a</w:t>
      </w:r>
      <w:r w:rsidR="00306B93">
        <w:t xml:space="preserve"> </w:t>
      </w:r>
      <w:r>
        <w:t>large number of universities. Placements have</w:t>
      </w:r>
      <w:r w:rsidR="00306B93">
        <w:t xml:space="preserve"> </w:t>
      </w:r>
      <w:r>
        <w:t>ranged, depending on profession, from 2 weeks</w:t>
      </w:r>
      <w:r w:rsidR="00306B93">
        <w:t xml:space="preserve"> </w:t>
      </w:r>
      <w:r>
        <w:t>to 4-5 months and have provided students with</w:t>
      </w:r>
      <w:r w:rsidR="00306B93">
        <w:t xml:space="preserve"> </w:t>
      </w:r>
      <w:r>
        <w:t>exposure to a wide range of community and acute</w:t>
      </w:r>
      <w:r w:rsidR="00306B93">
        <w:t xml:space="preserve"> </w:t>
      </w:r>
      <w:r>
        <w:t>service delivery settings and modes of practice.</w:t>
      </w:r>
    </w:p>
    <w:p w:rsidR="00306B93" w:rsidRDefault="00306B93" w:rsidP="00306B93">
      <w:pPr>
        <w:pStyle w:val="Heading4"/>
      </w:pPr>
      <w:r>
        <w:t>Research</w:t>
      </w:r>
    </w:p>
    <w:p w:rsidR="006B5530" w:rsidRDefault="00306B93" w:rsidP="00306B93">
      <w:pPr>
        <w:pStyle w:val="BodyText"/>
      </w:pPr>
      <w:proofErr w:type="gramStart"/>
      <w:r>
        <w:t>Staff in all departments are</w:t>
      </w:r>
      <w:proofErr w:type="gramEnd"/>
      <w:r>
        <w:t xml:space="preserve"> contributing to a large program of work in quality improvement and service evaluation, activity which is encouraging participation in other forms of inquiry and research; higher degree research projects, national and international clinical trials and collaborations with university and Menzies Centre Projects. The Tasmanian Allied Health Professional Symposium, a cross-sector allied health </w:t>
      </w:r>
      <w:proofErr w:type="gramStart"/>
      <w:r>
        <w:t>professional  initiative</w:t>
      </w:r>
      <w:proofErr w:type="gramEnd"/>
      <w:r>
        <w:t>, has been strongly supported by Tasmanian Health Service staff as a forum for presenting service innovations and research activity. Their participation in the most recent symposium, held in Launceston on 17th November last year, provided a varied and stimulating program and reflected a healthy climate of inquiry within the service. Of particular note in the area of research endeavor is the awarding of the Peter Bladin Australasian Stroke Society New Investigator Award 2015 to Michele Callisaya from the Physiotherapy Department.</w:t>
      </w:r>
    </w:p>
    <w:p w:rsidR="00306B93" w:rsidRPr="006B5530" w:rsidRDefault="00306B93" w:rsidP="00306B93">
      <w:pPr>
        <w:pStyle w:val="BodyText"/>
      </w:pPr>
    </w:p>
    <w:p w:rsidR="00306B93" w:rsidRDefault="00306B93" w:rsidP="00306B93">
      <w:pPr>
        <w:pStyle w:val="Heading3"/>
      </w:pPr>
      <w:bookmarkStart w:id="29" w:name="_Toc472581969"/>
      <w:r>
        <w:lastRenderedPageBreak/>
        <w:t>Conference Presentations</w:t>
      </w:r>
      <w:bookmarkEnd w:id="29"/>
    </w:p>
    <w:p w:rsidR="00306B93" w:rsidRPr="00306B93" w:rsidRDefault="00306B93" w:rsidP="00306B93">
      <w:pPr>
        <w:pStyle w:val="BodyText"/>
      </w:pPr>
      <w:r w:rsidRPr="00306B93">
        <w:t>Bird M.</w:t>
      </w:r>
      <w:proofErr w:type="gramStart"/>
      <w:r w:rsidRPr="00306B93">
        <w:t>,Callisaya</w:t>
      </w:r>
      <w:proofErr w:type="gramEnd"/>
      <w:r w:rsidRPr="00306B93">
        <w:t xml:space="preserve"> M et al. Study protocol of “find technology”: a randomised control trial investigating the feasibility and efficacy of controller-free interactive digital technology in an inpatient stroke population. European Stroke Organisation Conference Barcelona, Spain, May 2016</w:t>
      </w:r>
    </w:p>
    <w:p w:rsidR="00306B93" w:rsidRPr="00306B93" w:rsidRDefault="00306B93" w:rsidP="00306B93">
      <w:pPr>
        <w:pStyle w:val="BodyText"/>
      </w:pPr>
      <w:r w:rsidRPr="00306B93">
        <w:t>Bird M.</w:t>
      </w:r>
      <w:proofErr w:type="gramStart"/>
      <w:r w:rsidRPr="00306B93">
        <w:t>,Callisaya</w:t>
      </w:r>
      <w:proofErr w:type="gramEnd"/>
      <w:r w:rsidRPr="00306B93">
        <w:t xml:space="preserve"> M et al. Measuring fatigue and perceived exertion in rehabilitation. European Stroke Organisation Conference Barcelona, Spain, May 2016</w:t>
      </w:r>
    </w:p>
    <w:p w:rsidR="00306B93" w:rsidRPr="00306B93" w:rsidRDefault="00306B93" w:rsidP="00306B93">
      <w:pPr>
        <w:pStyle w:val="BodyText"/>
      </w:pPr>
      <w:r w:rsidRPr="00306B93">
        <w:t xml:space="preserve">Bird, M., Smith, ST., Cannell, J., Elmer, S. &amp; Callisaya, </w:t>
      </w:r>
      <w:proofErr w:type="gramStart"/>
      <w:r w:rsidRPr="00306B93">
        <w:t>M</w:t>
      </w:r>
      <w:proofErr w:type="gramEnd"/>
      <w:r w:rsidRPr="00306B93">
        <w:t>. Implementation of an iteratively developed stroke specific rehabilitation system: Perceptions from clinicians and the health service. International Journal of Stroke Society of Australasia Conference, Melbourne, September 2015</w:t>
      </w:r>
    </w:p>
    <w:p w:rsidR="00306B93" w:rsidRPr="00306B93" w:rsidRDefault="00306B93" w:rsidP="00306B93">
      <w:pPr>
        <w:pStyle w:val="BodyText"/>
      </w:pPr>
      <w:r w:rsidRPr="00306B93">
        <w:t>Callisaya ML., Ayers E, Barzilai N, Ferrucci L; Guralnik JM., Lipton RB, Otahal P, Srikanth VK &amp; Verghese J. Motoric Cognitive Risk Syndrome and Falls Risk - a multi-centre study. Journal of Alzheimers Disease American Geriatric Society Conference California USA</w:t>
      </w:r>
    </w:p>
    <w:p w:rsidR="00306B93" w:rsidRPr="00306B93" w:rsidRDefault="00306B93" w:rsidP="00306B93">
      <w:pPr>
        <w:pStyle w:val="BodyText"/>
      </w:pPr>
      <w:r w:rsidRPr="00306B93">
        <w:t xml:space="preserve">Callisaya, </w:t>
      </w:r>
      <w:proofErr w:type="gramStart"/>
      <w:r w:rsidRPr="00306B93">
        <w:t>ML.,</w:t>
      </w:r>
      <w:proofErr w:type="gramEnd"/>
      <w:r w:rsidRPr="00306B93">
        <w:t xml:space="preserve"> Blizzard, CL., Wood, AG., Thrift, AG., Wardill, T. &amp; Srikanth, VK. Longitudinal Relationships </w:t>
      </w:r>
      <w:proofErr w:type="gramStart"/>
      <w:r w:rsidRPr="00306B93">
        <w:t>Between</w:t>
      </w:r>
      <w:proofErr w:type="gramEnd"/>
      <w:r w:rsidRPr="00306B93">
        <w:t xml:space="preserve"> Cognitive Decline and Gait Slowing: The Tasmanian Study of Cognition and Gait. VASCOG, Japan, 2015</w:t>
      </w:r>
    </w:p>
    <w:p w:rsidR="00306B93" w:rsidRPr="00306B93" w:rsidRDefault="00306B93" w:rsidP="00306B93">
      <w:pPr>
        <w:pStyle w:val="BodyText"/>
      </w:pPr>
      <w:r w:rsidRPr="00306B93">
        <w:t>Callisaya ML, Sharman JE, Close J, Lord SR. &amp; Srikanth VK. Greater daily defined dose of antihypertensive medication increases the risk of falls in older people – A population-based study. American Geriatric Society Conference California</w:t>
      </w:r>
    </w:p>
    <w:p w:rsidR="006B5530" w:rsidRPr="00306B93" w:rsidRDefault="00306B93" w:rsidP="00306B93">
      <w:pPr>
        <w:pStyle w:val="BodyText"/>
      </w:pPr>
      <w:r w:rsidRPr="00306B93">
        <w:t xml:space="preserve">USA Callisaya, M., Srikanth, </w:t>
      </w:r>
      <w:proofErr w:type="gramStart"/>
      <w:r w:rsidRPr="00306B93">
        <w:t>VK.,</w:t>
      </w:r>
      <w:proofErr w:type="gramEnd"/>
      <w:r w:rsidRPr="00306B93">
        <w:t xml:space="preserve"> Lord, SR., Close, JC., Brodaty, H., Sachdev, PS., Phan, T., Beare, R., Trollor, J., Wen, W., Zheng, JJ. &amp; Delbaere, K. Sub-cortical infarcts and the risk of falls in older people: combined results of TASCOG and Sydney MAS studies. European Stroke Organisation Conference Barcelona, Spain, May 2016</w:t>
      </w:r>
    </w:p>
    <w:p w:rsidR="00306B93" w:rsidRPr="00306B93" w:rsidRDefault="00306B93" w:rsidP="00306B93">
      <w:pPr>
        <w:pStyle w:val="BodyText"/>
      </w:pPr>
      <w:r w:rsidRPr="00306B93">
        <w:t>Chen PY, Elmer S, Callisaya ML Greenaway TM, Wills KE, Buchbinder R. &amp; Winzenberg, TM. Influence of health literacy on foot outcomes in diabetes: A systematic review protocol and preliminary results. International Symposium of the Diabetic Foot, 2015</w:t>
      </w:r>
    </w:p>
    <w:p w:rsidR="00306B93" w:rsidRPr="00306B93" w:rsidRDefault="00306B93" w:rsidP="00306B93">
      <w:pPr>
        <w:pStyle w:val="BodyText"/>
      </w:pPr>
      <w:r w:rsidRPr="00306B93">
        <w:t xml:space="preserve">Cuellar, </w:t>
      </w:r>
      <w:proofErr w:type="gramStart"/>
      <w:r w:rsidRPr="00306B93">
        <w:t>WA.,</w:t>
      </w:r>
      <w:proofErr w:type="gramEnd"/>
      <w:r w:rsidRPr="00306B93">
        <w:t xml:space="preserve"> Blizzard, CL., Callisaya, M., Hides, J., Jones, G. &amp; Winzenberg, TM. Ultrasound imaging: Reliability of measurements of abdominal and multifidus muscle thickness and multifidus crosssectional area of adults aged 50-79 years, Gold Coast, Australia, October, 2015</w:t>
      </w:r>
    </w:p>
    <w:p w:rsidR="00306B93" w:rsidRPr="00306B93" w:rsidRDefault="00306B93" w:rsidP="00306B93">
      <w:pPr>
        <w:pStyle w:val="BodyText"/>
      </w:pPr>
      <w:r w:rsidRPr="00306B93">
        <w:t>Dawborn, J. &amp; Teisch, L. Arts program on the Older Persons Unit. Tasmanian Allied Health Symposium, Launceston, November 2015.</w:t>
      </w:r>
    </w:p>
    <w:p w:rsidR="00306B93" w:rsidRPr="00306B93" w:rsidRDefault="00306B93" w:rsidP="00306B93">
      <w:pPr>
        <w:pStyle w:val="BodyText"/>
      </w:pPr>
      <w:r w:rsidRPr="00306B93">
        <w:t>Fulton, K &amp; Hunter, C. Prolonged Aspiration of Blom Singer Indwelling Prosthesis, Poster presentation at the World Congress on Larynx Cancer, Queensland Australia, July 2015</w:t>
      </w:r>
    </w:p>
    <w:p w:rsidR="00306B93" w:rsidRPr="00306B93" w:rsidRDefault="00306B93" w:rsidP="00306B93">
      <w:pPr>
        <w:pStyle w:val="BodyText"/>
      </w:pPr>
      <w:proofErr w:type="gramStart"/>
      <w:r w:rsidRPr="00306B93">
        <w:t>Green, L. Motor symptom presentation and the assessment of mood using the HADS in Parkinson’s disease.</w:t>
      </w:r>
      <w:proofErr w:type="gramEnd"/>
      <w:r w:rsidRPr="00306B93">
        <w:t xml:space="preserve"> 5th International Neuropsychological Society Pacific Rim Conference, Sydney 1st – 4th July 2015</w:t>
      </w:r>
    </w:p>
    <w:p w:rsidR="00306B93" w:rsidRPr="00306B93" w:rsidRDefault="00306B93" w:rsidP="00306B93">
      <w:pPr>
        <w:pStyle w:val="BodyText"/>
      </w:pPr>
      <w:r w:rsidRPr="00306B93">
        <w:t xml:space="preserve">Green, L. Psychology in multidisciplinary teams: Paediatric diabetes service. Tasmanian Allied Health Symposium, Launceston, November 2015 Gould, D. Contribution of Social Work to the Management of Refractory Symptoms. 7th International Conference in Social Work in Health and Mental Health, Singapore, July 2016. </w:t>
      </w:r>
    </w:p>
    <w:p w:rsidR="00306B93" w:rsidRPr="00306B93" w:rsidRDefault="00306B93" w:rsidP="00306B93">
      <w:pPr>
        <w:pStyle w:val="BodyText"/>
      </w:pPr>
      <w:r w:rsidRPr="00306B93">
        <w:t>Hart, E. &amp; Leworthy, S. Clinical supervision training</w:t>
      </w:r>
      <w:r>
        <w:t xml:space="preserve"> </w:t>
      </w:r>
      <w:r w:rsidRPr="00306B93">
        <w:t>to meet clinician and organisational needs; ‘Teaching</w:t>
      </w:r>
      <w:r>
        <w:t xml:space="preserve"> </w:t>
      </w:r>
      <w:r w:rsidRPr="00306B93">
        <w:t>on the Run’ in Tasmanian Health Service- southern</w:t>
      </w:r>
      <w:r>
        <w:t xml:space="preserve"> </w:t>
      </w:r>
      <w:r w:rsidRPr="00306B93">
        <w:t>region. Tasmanian Allied Health Symposium,</w:t>
      </w:r>
      <w:r>
        <w:t xml:space="preserve"> </w:t>
      </w:r>
      <w:r w:rsidRPr="00306B93">
        <w:t>Launceston, November 2015.</w:t>
      </w:r>
    </w:p>
    <w:p w:rsidR="00306B93" w:rsidRDefault="00306B93" w:rsidP="00306B93">
      <w:pPr>
        <w:pStyle w:val="BodyText"/>
      </w:pPr>
      <w:r w:rsidRPr="00306B93">
        <w:t>Hilder, B. The RT Profession – where to now? 2015</w:t>
      </w:r>
      <w:r>
        <w:t xml:space="preserve"> </w:t>
      </w:r>
      <w:r w:rsidRPr="00306B93">
        <w:t>NZIMRT-AIR Scientific Meeting, Wellington July</w:t>
      </w:r>
      <w:r>
        <w:t xml:space="preserve"> </w:t>
      </w:r>
      <w:r w:rsidRPr="00306B93">
        <w:t>24 2015</w:t>
      </w:r>
    </w:p>
    <w:p w:rsidR="00306B93" w:rsidRDefault="00306B93" w:rsidP="002B7A25">
      <w:pPr>
        <w:pStyle w:val="BodyText"/>
      </w:pPr>
      <w:proofErr w:type="gramStart"/>
      <w:r>
        <w:lastRenderedPageBreak/>
        <w:t>Hueston, P. &amp; Thompson, S.</w:t>
      </w:r>
      <w:proofErr w:type="gramEnd"/>
      <w:r>
        <w:t xml:space="preserve"> </w:t>
      </w:r>
      <w:r>
        <w:rPr>
          <w:rFonts w:ascii="GillSans-LightItalic" w:hAnsi="GillSans-LightItalic" w:cs="GillSans-LightItalic"/>
          <w:i/>
          <w:iCs/>
        </w:rPr>
        <w:t>A Place for Sadness –</w:t>
      </w:r>
      <w:r w:rsidR="002B7A25">
        <w:rPr>
          <w:rFonts w:ascii="GillSans-LightItalic" w:hAnsi="GillSans-LightItalic" w:cs="GillSans-LightItalic"/>
          <w:i/>
          <w:iCs/>
        </w:rPr>
        <w:t xml:space="preserve"> </w:t>
      </w:r>
      <w:r>
        <w:rPr>
          <w:rFonts w:ascii="GillSans-LightItalic" w:hAnsi="GillSans-LightItalic" w:cs="GillSans-LightItalic"/>
          <w:i/>
          <w:iCs/>
        </w:rPr>
        <w:t>The relevance of the Palliative Care Memorial Service</w:t>
      </w:r>
      <w:r>
        <w:t>,</w:t>
      </w:r>
      <w:r w:rsidR="002B7A25">
        <w:t xml:space="preserve"> </w:t>
      </w:r>
      <w:r>
        <w:t>The National Grief and Bereavement Conference</w:t>
      </w:r>
      <w:r w:rsidR="002B7A25">
        <w:t xml:space="preserve"> </w:t>
      </w:r>
      <w:r>
        <w:t>Melbourne, May 2016</w:t>
      </w:r>
      <w:r w:rsidR="002B7A25">
        <w:t xml:space="preserve"> </w:t>
      </w:r>
      <w:r>
        <w:t xml:space="preserve">May, J. </w:t>
      </w:r>
      <w:r>
        <w:rPr>
          <w:rFonts w:ascii="GillSans-LightItalic" w:hAnsi="GillSans-LightItalic" w:cs="GillSans-LightItalic"/>
          <w:i/>
          <w:iCs/>
        </w:rPr>
        <w:t xml:space="preserve">Analysis of data following an </w:t>
      </w:r>
      <w:r w:rsidR="002B7A25">
        <w:rPr>
          <w:rFonts w:ascii="GillSans-LightItalic" w:hAnsi="GillSans-LightItalic" w:cs="GillSans-LightItalic"/>
          <w:i/>
          <w:iCs/>
        </w:rPr>
        <w:t>a</w:t>
      </w:r>
      <w:r>
        <w:rPr>
          <w:rFonts w:ascii="GillSans-LightItalic" w:hAnsi="GillSans-LightItalic" w:cs="GillSans-LightItalic"/>
          <w:i/>
          <w:iCs/>
        </w:rPr>
        <w:t>lternative</w:t>
      </w:r>
      <w:r w:rsidR="002B7A25">
        <w:rPr>
          <w:rFonts w:ascii="GillSans-LightItalic" w:hAnsi="GillSans-LightItalic" w:cs="GillSans-LightItalic"/>
          <w:i/>
          <w:iCs/>
        </w:rPr>
        <w:t xml:space="preserve"> </w:t>
      </w:r>
      <w:r>
        <w:rPr>
          <w:rFonts w:ascii="GillSans-LightItalic" w:hAnsi="GillSans-LightItalic" w:cs="GillSans-LightItalic"/>
          <w:i/>
          <w:iCs/>
        </w:rPr>
        <w:t>model to manage inpatient referrals to occupational</w:t>
      </w:r>
      <w:r w:rsidR="002B7A25">
        <w:rPr>
          <w:rFonts w:ascii="GillSans-LightItalic" w:hAnsi="GillSans-LightItalic" w:cs="GillSans-LightItalic"/>
          <w:i/>
          <w:iCs/>
        </w:rPr>
        <w:t xml:space="preserve"> </w:t>
      </w:r>
      <w:r>
        <w:rPr>
          <w:rFonts w:ascii="GillSans-LightItalic" w:hAnsi="GillSans-LightItalic" w:cs="GillSans-LightItalic"/>
          <w:i/>
          <w:iCs/>
        </w:rPr>
        <w:t>therapy</w:t>
      </w:r>
      <w:r>
        <w:t>. Tasmanian Allied Health Symposium,</w:t>
      </w:r>
    </w:p>
    <w:p w:rsidR="00306B93" w:rsidRDefault="00306B93" w:rsidP="002B7A25">
      <w:pPr>
        <w:pStyle w:val="BodyText"/>
      </w:pPr>
      <w:r>
        <w:t>Launceston, November 2015.</w:t>
      </w:r>
    </w:p>
    <w:p w:rsidR="00306B93" w:rsidRDefault="00306B93" w:rsidP="002B7A25">
      <w:pPr>
        <w:pStyle w:val="BodyText"/>
      </w:pPr>
      <w:r>
        <w:t xml:space="preserve">Millner J. </w:t>
      </w:r>
      <w:r>
        <w:rPr>
          <w:rFonts w:ascii="GillSans-LightItalic" w:hAnsi="GillSans-LightItalic" w:cs="GillSans-LightItalic"/>
          <w:i/>
          <w:iCs/>
        </w:rPr>
        <w:t>Sounds like a plan: exercise preparation</w:t>
      </w:r>
      <w:r w:rsidR="002B7A25">
        <w:rPr>
          <w:rFonts w:ascii="GillSans-LightItalic" w:hAnsi="GillSans-LightItalic" w:cs="GillSans-LightItalic"/>
          <w:i/>
          <w:iCs/>
        </w:rPr>
        <w:t xml:space="preserve"> </w:t>
      </w:r>
      <w:r>
        <w:rPr>
          <w:rFonts w:ascii="GillSans-LightItalic" w:hAnsi="GillSans-LightItalic" w:cs="GillSans-LightItalic"/>
          <w:i/>
          <w:iCs/>
        </w:rPr>
        <w:t xml:space="preserve">for arthritis and pain </w:t>
      </w:r>
      <w:r>
        <w:t>(Invited speaker, Australian</w:t>
      </w:r>
      <w:r w:rsidR="002B7A25">
        <w:t xml:space="preserve"> </w:t>
      </w:r>
      <w:r>
        <w:t>Rheumatology Association Annual Scientific</w:t>
      </w:r>
      <w:r w:rsidR="002B7A25">
        <w:t xml:space="preserve"> </w:t>
      </w:r>
      <w:r>
        <w:t xml:space="preserve">Meeting, Darwin, </w:t>
      </w:r>
      <w:proofErr w:type="gramStart"/>
      <w:r>
        <w:t>May</w:t>
      </w:r>
      <w:proofErr w:type="gramEnd"/>
      <w:r>
        <w:t xml:space="preserve"> 2016)</w:t>
      </w:r>
    </w:p>
    <w:p w:rsidR="00306B93" w:rsidRDefault="00306B93" w:rsidP="002B7A25">
      <w:pPr>
        <w:pStyle w:val="BodyText"/>
      </w:pPr>
      <w:r>
        <w:t>Moran, C., Beare, R., Phan, T., Bruce, D., Callisaya,</w:t>
      </w:r>
      <w:r w:rsidR="002B7A25">
        <w:t xml:space="preserve"> </w:t>
      </w:r>
      <w:r>
        <w:t xml:space="preserve">M. &amp; Srikanth, V. </w:t>
      </w:r>
      <w:r>
        <w:rPr>
          <w:rFonts w:ascii="GillSans-LightItalic" w:hAnsi="GillSans-LightItalic" w:cs="GillSans-LightItalic"/>
          <w:i/>
          <w:iCs/>
        </w:rPr>
        <w:t>Type 2 diabetes mellitus, brain</w:t>
      </w:r>
      <w:r w:rsidR="002B7A25">
        <w:rPr>
          <w:rFonts w:ascii="GillSans-LightItalic" w:hAnsi="GillSans-LightItalic" w:cs="GillSans-LightItalic"/>
          <w:i/>
          <w:iCs/>
        </w:rPr>
        <w:t xml:space="preserve"> </w:t>
      </w:r>
      <w:r>
        <w:rPr>
          <w:rFonts w:ascii="GillSans-LightItalic" w:hAnsi="GillSans-LightItalic" w:cs="GillSans-LightItalic"/>
          <w:i/>
          <w:iCs/>
        </w:rPr>
        <w:t>atrophy and cerebrospinal fluid (CSF) biomarkers</w:t>
      </w:r>
      <w:r w:rsidR="002B7A25">
        <w:rPr>
          <w:rFonts w:ascii="GillSans-LightItalic" w:hAnsi="GillSans-LightItalic" w:cs="GillSans-LightItalic"/>
          <w:i/>
          <w:iCs/>
        </w:rPr>
        <w:t xml:space="preserve"> </w:t>
      </w:r>
      <w:r>
        <w:rPr>
          <w:rFonts w:ascii="GillSans-LightItalic" w:hAnsi="GillSans-LightItalic" w:cs="GillSans-LightItalic"/>
          <w:i/>
          <w:iCs/>
        </w:rPr>
        <w:t>of Alzheimer’s Disease</w:t>
      </w:r>
      <w:r>
        <w:t>. International Conference</w:t>
      </w:r>
      <w:r w:rsidR="002B7A25">
        <w:t xml:space="preserve"> </w:t>
      </w:r>
      <w:r>
        <w:t>on Neurology &amp; Epidemiology, Gold Coast,</w:t>
      </w:r>
      <w:r w:rsidR="002B7A25">
        <w:t xml:space="preserve"> </w:t>
      </w:r>
      <w:r>
        <w:t>November 2015</w:t>
      </w:r>
    </w:p>
    <w:p w:rsidR="00306B93" w:rsidRDefault="00306B93" w:rsidP="002B7A25">
      <w:pPr>
        <w:pStyle w:val="BodyText"/>
      </w:pPr>
      <w:r>
        <w:t xml:space="preserve">Nalder, J. </w:t>
      </w:r>
      <w:r>
        <w:rPr>
          <w:rFonts w:ascii="GillSans-LightItalic" w:hAnsi="GillSans-LightItalic" w:cs="GillSans-LightItalic"/>
          <w:i/>
          <w:iCs/>
        </w:rPr>
        <w:t>Mid meal snacks – to stay or not to stay?</w:t>
      </w:r>
      <w:r w:rsidR="002B7A25">
        <w:rPr>
          <w:rFonts w:ascii="GillSans-LightItalic" w:hAnsi="GillSans-LightItalic" w:cs="GillSans-LightItalic"/>
          <w:i/>
          <w:iCs/>
        </w:rPr>
        <w:t xml:space="preserve"> </w:t>
      </w:r>
      <w:r>
        <w:t>Poster presentation at the Tasmanian Allied</w:t>
      </w:r>
      <w:r w:rsidR="002B7A25">
        <w:t xml:space="preserve"> </w:t>
      </w:r>
      <w:r>
        <w:t>Health Symposium, Launceston, November 2016</w:t>
      </w:r>
    </w:p>
    <w:p w:rsidR="00306B93" w:rsidRDefault="00306B93" w:rsidP="002B7A25">
      <w:pPr>
        <w:pStyle w:val="BodyText"/>
      </w:pPr>
      <w:r>
        <w:t xml:space="preserve">Nichols, L. </w:t>
      </w:r>
      <w:r>
        <w:rPr>
          <w:rFonts w:ascii="GillSans-LightItalic" w:hAnsi="GillSans-LightItalic" w:cs="GillSans-LightItalic"/>
          <w:i/>
          <w:iCs/>
        </w:rPr>
        <w:t>Clinical Usefulness of the Kettle Test in</w:t>
      </w:r>
      <w:r w:rsidR="002B7A25">
        <w:rPr>
          <w:rFonts w:ascii="GillSans-LightItalic" w:hAnsi="GillSans-LightItalic" w:cs="GillSans-LightItalic"/>
          <w:i/>
          <w:iCs/>
        </w:rPr>
        <w:t xml:space="preserve"> </w:t>
      </w:r>
      <w:r>
        <w:rPr>
          <w:rFonts w:ascii="GillSans-LightItalic" w:hAnsi="GillSans-LightItalic" w:cs="GillSans-LightItalic"/>
          <w:i/>
          <w:iCs/>
        </w:rPr>
        <w:t>Conjunction with the Montreal Cognitive Assessment</w:t>
      </w:r>
      <w:r w:rsidR="002B7A25">
        <w:rPr>
          <w:rFonts w:ascii="GillSans-LightItalic" w:hAnsi="GillSans-LightItalic" w:cs="GillSans-LightItalic"/>
          <w:i/>
          <w:iCs/>
        </w:rPr>
        <w:t xml:space="preserve"> </w:t>
      </w:r>
      <w:r>
        <w:rPr>
          <w:rFonts w:ascii="GillSans-LightItalic" w:hAnsi="GillSans-LightItalic" w:cs="GillSans-LightItalic"/>
          <w:i/>
          <w:iCs/>
        </w:rPr>
        <w:t>in a Neurosurgical Population</w:t>
      </w:r>
      <w:r>
        <w:t>. Tasmanian Allied</w:t>
      </w:r>
      <w:r w:rsidR="002B7A25">
        <w:t xml:space="preserve"> </w:t>
      </w:r>
      <w:r>
        <w:t>Health Symposium, Launceston, November 2015.</w:t>
      </w:r>
    </w:p>
    <w:p w:rsidR="00306B93" w:rsidRDefault="00306B93" w:rsidP="002B7A25">
      <w:pPr>
        <w:pStyle w:val="BodyText"/>
      </w:pPr>
      <w:proofErr w:type="gramStart"/>
      <w:r>
        <w:t>O’Meagher, S., Kemp, N., Skilbeck, C. &amp; Anderson,</w:t>
      </w:r>
      <w:r w:rsidR="002B7A25">
        <w:t xml:space="preserve"> </w:t>
      </w:r>
      <w:r>
        <w:t>P.</w:t>
      </w:r>
      <w:proofErr w:type="gramEnd"/>
      <w:r>
        <w:t xml:space="preserve"> </w:t>
      </w:r>
      <w:r>
        <w:rPr>
          <w:rFonts w:ascii="GillSans-LightItalic" w:hAnsi="GillSans-LightItalic" w:cs="GillSans-LightItalic"/>
          <w:i/>
          <w:iCs/>
        </w:rPr>
        <w:t>Does the performance of preterm preschool</w:t>
      </w:r>
      <w:r w:rsidR="002B7A25">
        <w:rPr>
          <w:rFonts w:ascii="GillSans-LightItalic" w:hAnsi="GillSans-LightItalic" w:cs="GillSans-LightItalic"/>
          <w:i/>
          <w:iCs/>
        </w:rPr>
        <w:t xml:space="preserve"> </w:t>
      </w:r>
      <w:r>
        <w:rPr>
          <w:rFonts w:ascii="GillSans-LightItalic" w:hAnsi="GillSans-LightItalic" w:cs="GillSans-LightItalic"/>
          <w:i/>
          <w:iCs/>
        </w:rPr>
        <w:t>children on executive function tests predict executive</w:t>
      </w:r>
      <w:r w:rsidR="002B7A25">
        <w:rPr>
          <w:rFonts w:ascii="GillSans-LightItalic" w:hAnsi="GillSans-LightItalic" w:cs="GillSans-LightItalic"/>
          <w:i/>
          <w:iCs/>
        </w:rPr>
        <w:t xml:space="preserve"> </w:t>
      </w:r>
      <w:r>
        <w:rPr>
          <w:rFonts w:ascii="GillSans-LightItalic" w:hAnsi="GillSans-LightItalic" w:cs="GillSans-LightItalic"/>
          <w:i/>
          <w:iCs/>
        </w:rPr>
        <w:t xml:space="preserve">functioning in real life? </w:t>
      </w:r>
      <w:r>
        <w:t>Poster presentation at the</w:t>
      </w:r>
      <w:r w:rsidR="002B7A25">
        <w:t xml:space="preserve"> </w:t>
      </w:r>
      <w:r>
        <w:t>5th International Neuropsychological Society</w:t>
      </w:r>
      <w:r w:rsidR="002B7A25">
        <w:t xml:space="preserve"> </w:t>
      </w:r>
      <w:r>
        <w:t>Pacific Rim Conference, Sydney 1st – 4th July 2015</w:t>
      </w:r>
    </w:p>
    <w:p w:rsidR="00306B93" w:rsidRDefault="00306B93" w:rsidP="002B7A25">
      <w:pPr>
        <w:pStyle w:val="BodyText"/>
      </w:pPr>
      <w:proofErr w:type="gramStart"/>
      <w:r>
        <w:t>Physiotherapy Department.</w:t>
      </w:r>
      <w:proofErr w:type="gramEnd"/>
      <w:r>
        <w:t xml:space="preserve"> </w:t>
      </w:r>
      <w:proofErr w:type="gramStart"/>
      <w:r>
        <w:rPr>
          <w:rFonts w:ascii="GillSans-LightItalic" w:hAnsi="GillSans-LightItalic" w:cs="GillSans-LightItalic"/>
          <w:i/>
          <w:iCs/>
        </w:rPr>
        <w:t>Evaluating an</w:t>
      </w:r>
      <w:r w:rsidR="002B7A25">
        <w:rPr>
          <w:rFonts w:ascii="GillSans-LightItalic" w:hAnsi="GillSans-LightItalic" w:cs="GillSans-LightItalic"/>
          <w:i/>
          <w:iCs/>
        </w:rPr>
        <w:t xml:space="preserve"> </w:t>
      </w:r>
      <w:r>
        <w:rPr>
          <w:rFonts w:ascii="GillSans-LightItalic" w:hAnsi="GillSans-LightItalic" w:cs="GillSans-LightItalic"/>
          <w:i/>
          <w:iCs/>
        </w:rPr>
        <w:t>education resource for physiotherapists to improve</w:t>
      </w:r>
      <w:r w:rsidR="002B7A25">
        <w:rPr>
          <w:rFonts w:ascii="GillSans-LightItalic" w:hAnsi="GillSans-LightItalic" w:cs="GillSans-LightItalic"/>
          <w:i/>
          <w:iCs/>
        </w:rPr>
        <w:t xml:space="preserve"> </w:t>
      </w:r>
      <w:r>
        <w:rPr>
          <w:rFonts w:ascii="GillSans-LightItalic" w:hAnsi="GillSans-LightItalic" w:cs="GillSans-LightItalic"/>
          <w:i/>
          <w:iCs/>
        </w:rPr>
        <w:t>confidence and knowledge in treating individuals with</w:t>
      </w:r>
      <w:r w:rsidR="002B7A25">
        <w:rPr>
          <w:rFonts w:ascii="GillSans-LightItalic" w:hAnsi="GillSans-LightItalic" w:cs="GillSans-LightItalic"/>
          <w:i/>
          <w:iCs/>
        </w:rPr>
        <w:t xml:space="preserve"> </w:t>
      </w:r>
      <w:r>
        <w:rPr>
          <w:rFonts w:ascii="GillSans-LightItalic" w:hAnsi="GillSans-LightItalic" w:cs="GillSans-LightItalic"/>
          <w:i/>
          <w:iCs/>
        </w:rPr>
        <w:t>cystic fibrosis</w:t>
      </w:r>
      <w:r>
        <w:t>.</w:t>
      </w:r>
      <w:proofErr w:type="gramEnd"/>
      <w:r>
        <w:t xml:space="preserve"> Poster accepted for CF conference,</w:t>
      </w:r>
      <w:r w:rsidR="002B7A25">
        <w:t xml:space="preserve"> </w:t>
      </w:r>
      <w:r>
        <w:t>2015</w:t>
      </w:r>
    </w:p>
    <w:p w:rsidR="00306B93" w:rsidRDefault="00306B93" w:rsidP="002B7A25">
      <w:pPr>
        <w:pStyle w:val="BodyText"/>
      </w:pPr>
      <w:proofErr w:type="gramStart"/>
      <w:r>
        <w:t xml:space="preserve">Ramsden, C. </w:t>
      </w:r>
      <w:r>
        <w:rPr>
          <w:rFonts w:ascii="GillSans-LightItalic" w:hAnsi="GillSans-LightItalic" w:cs="GillSans-LightItalic"/>
          <w:i/>
          <w:iCs/>
        </w:rPr>
        <w:t>Musical hallucinations following</w:t>
      </w:r>
      <w:r w:rsidR="002B7A25">
        <w:rPr>
          <w:rFonts w:ascii="GillSans-LightItalic" w:hAnsi="GillSans-LightItalic" w:cs="GillSans-LightItalic"/>
          <w:i/>
          <w:iCs/>
        </w:rPr>
        <w:t xml:space="preserve"> </w:t>
      </w:r>
      <w:r>
        <w:rPr>
          <w:rFonts w:ascii="GillSans-LightItalic" w:hAnsi="GillSans-LightItalic" w:cs="GillSans-LightItalic"/>
          <w:i/>
          <w:iCs/>
        </w:rPr>
        <w:t>acquired brain injury</w:t>
      </w:r>
      <w:r>
        <w:t>.</w:t>
      </w:r>
      <w:proofErr w:type="gramEnd"/>
      <w:r>
        <w:t xml:space="preserve"> Poster presentation at the 5</w:t>
      </w:r>
      <w:r w:rsidRPr="002B7A25">
        <w:rPr>
          <w:vertAlign w:val="superscript"/>
        </w:rPr>
        <w:t>th</w:t>
      </w:r>
      <w:r w:rsidR="002B7A25">
        <w:t xml:space="preserve"> </w:t>
      </w:r>
      <w:r>
        <w:t>International Neuropsychological Society Pacific</w:t>
      </w:r>
      <w:r w:rsidR="002B7A25">
        <w:t xml:space="preserve"> </w:t>
      </w:r>
      <w:r>
        <w:t>Rim Conference, Sydney 1 – 4th July 2015</w:t>
      </w:r>
    </w:p>
    <w:p w:rsidR="00306B93" w:rsidRDefault="00306B93" w:rsidP="002B7A25">
      <w:pPr>
        <w:pStyle w:val="BodyText"/>
      </w:pPr>
      <w:r>
        <w:t xml:space="preserve">Ramsden, C. </w:t>
      </w:r>
      <w:r>
        <w:rPr>
          <w:rFonts w:ascii="GillSans-LightItalic" w:hAnsi="GillSans-LightItalic" w:cs="GillSans-LightItalic"/>
          <w:i/>
          <w:iCs/>
        </w:rPr>
        <w:t>Mobile Assistive Technology and</w:t>
      </w:r>
      <w:r w:rsidR="002B7A25">
        <w:rPr>
          <w:rFonts w:ascii="GillSans-LightItalic" w:hAnsi="GillSans-LightItalic" w:cs="GillSans-LightItalic"/>
          <w:i/>
          <w:iCs/>
        </w:rPr>
        <w:t xml:space="preserve"> </w:t>
      </w:r>
      <w:r>
        <w:rPr>
          <w:rFonts w:ascii="GillSans-LightItalic" w:hAnsi="GillSans-LightItalic" w:cs="GillSans-LightItalic"/>
          <w:i/>
          <w:iCs/>
        </w:rPr>
        <w:t>Cognitive Impairments: How apps and devices can</w:t>
      </w:r>
      <w:r w:rsidR="002B7A25">
        <w:rPr>
          <w:rFonts w:ascii="GillSans-LightItalic" w:hAnsi="GillSans-LightItalic" w:cs="GillSans-LightItalic"/>
          <w:i/>
          <w:iCs/>
        </w:rPr>
        <w:t xml:space="preserve"> </w:t>
      </w:r>
      <w:r>
        <w:rPr>
          <w:rFonts w:ascii="GillSans-LightItalic" w:hAnsi="GillSans-LightItalic" w:cs="GillSans-LightItalic"/>
          <w:i/>
          <w:iCs/>
        </w:rPr>
        <w:t>support people in community settings to be more</w:t>
      </w:r>
      <w:r w:rsidR="002B7A25">
        <w:rPr>
          <w:rFonts w:ascii="GillSans-LightItalic" w:hAnsi="GillSans-LightItalic" w:cs="GillSans-LightItalic"/>
          <w:i/>
          <w:iCs/>
        </w:rPr>
        <w:t xml:space="preserve"> </w:t>
      </w:r>
      <w:r>
        <w:rPr>
          <w:rFonts w:ascii="GillSans-LightItalic" w:hAnsi="GillSans-LightItalic" w:cs="GillSans-LightItalic"/>
          <w:i/>
          <w:iCs/>
        </w:rPr>
        <w:t>independent</w:t>
      </w:r>
      <w:r>
        <w:t>. 2015 Aged and Community Services</w:t>
      </w:r>
      <w:r w:rsidR="002B7A25">
        <w:t xml:space="preserve"> </w:t>
      </w:r>
      <w:r>
        <w:t>Tasmania Conference, 20 November 2015.</w:t>
      </w:r>
    </w:p>
    <w:p w:rsidR="00306B93" w:rsidRDefault="00306B93" w:rsidP="002B7A25">
      <w:pPr>
        <w:pStyle w:val="BodyText"/>
      </w:pPr>
      <w:proofErr w:type="gramStart"/>
      <w:r>
        <w:t xml:space="preserve">Simpson, D. </w:t>
      </w:r>
      <w:r>
        <w:rPr>
          <w:rFonts w:ascii="GillSans-LightItalic" w:hAnsi="GillSans-LightItalic" w:cs="GillSans-LightItalic"/>
          <w:i/>
          <w:iCs/>
        </w:rPr>
        <w:t>Long term exercise participation after</w:t>
      </w:r>
      <w:r w:rsidR="002B7A25">
        <w:rPr>
          <w:rFonts w:ascii="GillSans-LightItalic" w:hAnsi="GillSans-LightItalic" w:cs="GillSans-LightItalic"/>
          <w:i/>
          <w:iCs/>
        </w:rPr>
        <w:t xml:space="preserve"> </w:t>
      </w:r>
      <w:r>
        <w:rPr>
          <w:rFonts w:ascii="GillSans-LightItalic" w:hAnsi="GillSans-LightItalic" w:cs="GillSans-LightItalic"/>
          <w:i/>
          <w:iCs/>
        </w:rPr>
        <w:t>Stroke</w:t>
      </w:r>
      <w:r>
        <w:t>.</w:t>
      </w:r>
      <w:proofErr w:type="gramEnd"/>
      <w:r>
        <w:t xml:space="preserve"> </w:t>
      </w:r>
      <w:proofErr w:type="gramStart"/>
      <w:r>
        <w:t>Invited speaker: Australasian Rehabilitation</w:t>
      </w:r>
      <w:r w:rsidR="002B7A25">
        <w:t xml:space="preserve"> </w:t>
      </w:r>
      <w:r>
        <w:t>Nurses Association (Victorian/Tasmanian Chapter)</w:t>
      </w:r>
      <w:r w:rsidR="002B7A25">
        <w:t xml:space="preserve"> </w:t>
      </w:r>
      <w:r>
        <w:t>Seminar day, 2015.</w:t>
      </w:r>
      <w:proofErr w:type="gramEnd"/>
    </w:p>
    <w:p w:rsidR="00306B93" w:rsidRDefault="00306B93" w:rsidP="002B7A25">
      <w:pPr>
        <w:pStyle w:val="BodyText"/>
      </w:pPr>
      <w:proofErr w:type="gramStart"/>
      <w:r>
        <w:t>Simpson, D., Schmidt, M., Smith, S. &amp; Calisaya, M.</w:t>
      </w:r>
      <w:r w:rsidR="002B7A25">
        <w:t xml:space="preserve"> </w:t>
      </w:r>
      <w:r>
        <w:rPr>
          <w:rFonts w:ascii="GillSans-LightItalic" w:hAnsi="GillSans-LightItalic" w:cs="GillSans-LightItalic"/>
          <w:i/>
          <w:iCs/>
        </w:rPr>
        <w:t>Using apps, internet and sensors to connect patients</w:t>
      </w:r>
      <w:r w:rsidR="002B7A25">
        <w:rPr>
          <w:rFonts w:ascii="GillSans-LightItalic" w:hAnsi="GillSans-LightItalic" w:cs="GillSans-LightItalic"/>
          <w:i/>
          <w:iCs/>
        </w:rPr>
        <w:t xml:space="preserve"> </w:t>
      </w:r>
      <w:r>
        <w:rPr>
          <w:rFonts w:ascii="GillSans-LightItalic" w:hAnsi="GillSans-LightItalic" w:cs="GillSans-LightItalic"/>
          <w:i/>
          <w:iCs/>
        </w:rPr>
        <w:t>and therapists remotely</w:t>
      </w:r>
      <w:r>
        <w:t>.</w:t>
      </w:r>
      <w:proofErr w:type="gramEnd"/>
      <w:r>
        <w:t xml:space="preserve"> World Congress of Active</w:t>
      </w:r>
      <w:r w:rsidR="002B7A25">
        <w:t xml:space="preserve"> </w:t>
      </w:r>
      <w:r>
        <w:t>Ageing, Melbourne, Australia, 2016</w:t>
      </w:r>
    </w:p>
    <w:p w:rsidR="00306B93" w:rsidRDefault="00306B93" w:rsidP="002B7A25">
      <w:pPr>
        <w:pStyle w:val="BodyText"/>
      </w:pPr>
      <w:r>
        <w:t>Simpson, D., Callisaya, M., English, C., Thrift, A. &amp;</w:t>
      </w:r>
      <w:r w:rsidR="002B7A25">
        <w:t xml:space="preserve"> </w:t>
      </w:r>
      <w:r>
        <w:t xml:space="preserve">Gall, S </w:t>
      </w:r>
      <w:r>
        <w:rPr>
          <w:rFonts w:ascii="GillSans-LightItalic" w:hAnsi="GillSans-LightItalic" w:cs="GillSans-LightItalic"/>
          <w:i/>
          <w:iCs/>
        </w:rPr>
        <w:t>Change in long term exercise participation</w:t>
      </w:r>
      <w:r w:rsidR="002B7A25">
        <w:rPr>
          <w:rFonts w:ascii="GillSans-LightItalic" w:hAnsi="GillSans-LightItalic" w:cs="GillSans-LightItalic"/>
          <w:i/>
          <w:iCs/>
        </w:rPr>
        <w:t xml:space="preserve"> </w:t>
      </w:r>
      <w:r>
        <w:rPr>
          <w:rFonts w:ascii="GillSans-LightItalic" w:hAnsi="GillSans-LightItalic" w:cs="GillSans-LightItalic"/>
          <w:i/>
          <w:iCs/>
        </w:rPr>
        <w:t>after stroke: The North East Melbourne Stroke</w:t>
      </w:r>
      <w:r w:rsidR="002B7A25">
        <w:rPr>
          <w:rFonts w:ascii="GillSans-LightItalic" w:hAnsi="GillSans-LightItalic" w:cs="GillSans-LightItalic"/>
          <w:i/>
          <w:iCs/>
        </w:rPr>
        <w:t xml:space="preserve"> </w:t>
      </w:r>
      <w:r>
        <w:rPr>
          <w:rFonts w:ascii="GillSans-LightItalic" w:hAnsi="GillSans-LightItalic" w:cs="GillSans-LightItalic"/>
          <w:i/>
          <w:iCs/>
        </w:rPr>
        <w:t>Incidence Study (NEMESIS)</w:t>
      </w:r>
      <w:r>
        <w:t>. Poster Presentation at</w:t>
      </w:r>
      <w:r w:rsidR="002B7A25">
        <w:t xml:space="preserve"> </w:t>
      </w:r>
      <w:r>
        <w:t>the European Stroke Organisation Conference,</w:t>
      </w:r>
      <w:r w:rsidR="002B7A25">
        <w:t xml:space="preserve"> </w:t>
      </w:r>
      <w:r>
        <w:t>Barcelona, Spain, 2016</w:t>
      </w:r>
    </w:p>
    <w:p w:rsidR="00306B93" w:rsidRDefault="00306B93" w:rsidP="002B7A25">
      <w:pPr>
        <w:pStyle w:val="BodyText"/>
      </w:pPr>
      <w:r>
        <w:t>Simpson, D., Callisaya, M., English, C., Thrift, A.</w:t>
      </w:r>
      <w:r w:rsidR="002B7A25">
        <w:t xml:space="preserve"> </w:t>
      </w:r>
      <w:r>
        <w:t xml:space="preserve">&amp; Gall, </w:t>
      </w:r>
      <w:proofErr w:type="gramStart"/>
      <w:r>
        <w:t>S</w:t>
      </w:r>
      <w:proofErr w:type="gramEnd"/>
      <w:r>
        <w:t xml:space="preserve">. </w:t>
      </w:r>
      <w:r>
        <w:rPr>
          <w:rFonts w:ascii="GillSans-LightItalic" w:hAnsi="GillSans-LightItalic" w:cs="GillSans-LightItalic"/>
          <w:i/>
          <w:iCs/>
        </w:rPr>
        <w:t>Exercise after stroke: The North East</w:t>
      </w:r>
      <w:r w:rsidR="002B7A25">
        <w:rPr>
          <w:rFonts w:ascii="GillSans-LightItalic" w:hAnsi="GillSans-LightItalic" w:cs="GillSans-LightItalic"/>
          <w:i/>
          <w:iCs/>
        </w:rPr>
        <w:t xml:space="preserve"> </w:t>
      </w:r>
      <w:r>
        <w:rPr>
          <w:rFonts w:ascii="GillSans-LightItalic" w:hAnsi="GillSans-LightItalic" w:cs="GillSans-LightItalic"/>
          <w:i/>
          <w:iCs/>
        </w:rPr>
        <w:t>Melbourne Stroke Incidence Study (NEMESIS)</w:t>
      </w:r>
      <w:r>
        <w:t>.</w:t>
      </w:r>
    </w:p>
    <w:p w:rsidR="00306B93" w:rsidRDefault="00306B93" w:rsidP="002B7A25">
      <w:pPr>
        <w:pStyle w:val="BodyText"/>
      </w:pPr>
      <w:r>
        <w:t>Combined 26th Annual Scientific Meeting of</w:t>
      </w:r>
      <w:r w:rsidR="00FE374D">
        <w:t xml:space="preserve"> </w:t>
      </w:r>
      <w:r>
        <w:t>the Stroke Society of Australasia and the 11</w:t>
      </w:r>
      <w:r w:rsidRPr="00FE374D">
        <w:rPr>
          <w:vertAlign w:val="superscript"/>
        </w:rPr>
        <w:t>th</w:t>
      </w:r>
      <w:r w:rsidR="00FE374D">
        <w:t xml:space="preserve"> </w:t>
      </w:r>
      <w:r>
        <w:t>Australasian Nursing and Allied Health Stroke</w:t>
      </w:r>
      <w:r w:rsidR="00FE374D">
        <w:t xml:space="preserve"> </w:t>
      </w:r>
      <w:r>
        <w:t>Conference SMART STROKES, 2015.</w:t>
      </w:r>
    </w:p>
    <w:p w:rsidR="00306B93" w:rsidRDefault="00306B93" w:rsidP="002B7A25">
      <w:pPr>
        <w:pStyle w:val="BodyText"/>
      </w:pPr>
      <w:r>
        <w:t xml:space="preserve">Ta’eed, G. </w:t>
      </w:r>
      <w:r>
        <w:rPr>
          <w:rFonts w:ascii="GillSans-LightItalic" w:hAnsi="GillSans-LightItalic" w:cs="GillSans-LightItalic"/>
          <w:i/>
          <w:iCs/>
        </w:rPr>
        <w:t>Predicting Referral to Rehabilitation</w:t>
      </w:r>
      <w:r w:rsidR="00FE374D">
        <w:rPr>
          <w:rFonts w:ascii="GillSans-LightItalic" w:hAnsi="GillSans-LightItalic" w:cs="GillSans-LightItalic"/>
          <w:i/>
          <w:iCs/>
        </w:rPr>
        <w:t xml:space="preserve"> </w:t>
      </w:r>
      <w:r>
        <w:rPr>
          <w:rFonts w:ascii="GillSans-LightItalic" w:hAnsi="GillSans-LightItalic" w:cs="GillSans-LightItalic"/>
          <w:i/>
          <w:iCs/>
        </w:rPr>
        <w:t>and Amount of Therapy</w:t>
      </w:r>
      <w:r>
        <w:t>. 5th International</w:t>
      </w:r>
      <w:r w:rsidR="00FE374D">
        <w:t xml:space="preserve"> </w:t>
      </w:r>
      <w:r>
        <w:t>Neuropsychological Society Pacific Rim</w:t>
      </w:r>
      <w:r w:rsidR="00FE374D">
        <w:t xml:space="preserve"> </w:t>
      </w:r>
      <w:r>
        <w:t>Conference, Sydney, 1st – 4th July 2015</w:t>
      </w:r>
    </w:p>
    <w:p w:rsidR="00FE374D" w:rsidRDefault="00FE374D">
      <w:pPr>
        <w:rPr>
          <w:rFonts w:ascii="Gill Sans MT" w:eastAsia="GillSans-Light" w:hAnsi="Gill Sans MT" w:cs="GillSans-Light"/>
          <w:lang w:val="en-US"/>
        </w:rPr>
      </w:pPr>
      <w:r>
        <w:br w:type="page"/>
      </w:r>
    </w:p>
    <w:p w:rsidR="00306B93" w:rsidRDefault="00306B93" w:rsidP="002B7A25">
      <w:pPr>
        <w:pStyle w:val="BodyText"/>
      </w:pPr>
      <w:proofErr w:type="gramStart"/>
      <w:r>
        <w:lastRenderedPageBreak/>
        <w:t xml:space="preserve">Ta’eed, G. </w:t>
      </w:r>
      <w:r>
        <w:rPr>
          <w:rFonts w:ascii="GillSans-LightItalic" w:hAnsi="GillSans-LightItalic" w:cs="GillSans-LightItalic"/>
          <w:i/>
          <w:iCs/>
        </w:rPr>
        <w:t>Mood and Cognition in Mid-Teens and</w:t>
      </w:r>
      <w:r w:rsidR="00FE374D">
        <w:rPr>
          <w:rFonts w:ascii="GillSans-LightItalic" w:hAnsi="GillSans-LightItalic" w:cs="GillSans-LightItalic"/>
          <w:i/>
          <w:iCs/>
        </w:rPr>
        <w:t xml:space="preserve"> </w:t>
      </w:r>
      <w:r>
        <w:rPr>
          <w:rFonts w:ascii="GillSans-LightItalic" w:hAnsi="GillSans-LightItalic" w:cs="GillSans-LightItalic"/>
          <w:i/>
          <w:iCs/>
        </w:rPr>
        <w:t>Young Adults following TBI.</w:t>
      </w:r>
      <w:proofErr w:type="gramEnd"/>
      <w:r>
        <w:rPr>
          <w:rFonts w:ascii="GillSans-LightItalic" w:hAnsi="GillSans-LightItalic" w:cs="GillSans-LightItalic"/>
          <w:i/>
          <w:iCs/>
        </w:rPr>
        <w:t xml:space="preserve"> T</w:t>
      </w:r>
      <w:r>
        <w:t>. The International</w:t>
      </w:r>
      <w:r w:rsidR="00FE374D">
        <w:t xml:space="preserve"> </w:t>
      </w:r>
      <w:r>
        <w:t>Brain Injury Association Conference on Paediatric</w:t>
      </w:r>
      <w:r w:rsidR="00FE374D">
        <w:t xml:space="preserve"> </w:t>
      </w:r>
      <w:r>
        <w:t>Acquired Brain Injury, Liverpool, UK, 16th – 18</w:t>
      </w:r>
      <w:r w:rsidRPr="00FE374D">
        <w:rPr>
          <w:vertAlign w:val="superscript"/>
        </w:rPr>
        <w:t>th</w:t>
      </w:r>
      <w:r w:rsidR="00FE374D">
        <w:t xml:space="preserve"> </w:t>
      </w:r>
      <w:r>
        <w:t>September 2015</w:t>
      </w:r>
    </w:p>
    <w:p w:rsidR="00306B93" w:rsidRDefault="00306B93" w:rsidP="002B7A25">
      <w:pPr>
        <w:pStyle w:val="BodyText"/>
      </w:pPr>
      <w:r>
        <w:t xml:space="preserve">Walker, A. </w:t>
      </w:r>
      <w:r>
        <w:rPr>
          <w:rFonts w:ascii="GillSans-LightItalic" w:hAnsi="GillSans-LightItalic" w:cs="GillSans-LightItalic"/>
          <w:i/>
          <w:iCs/>
        </w:rPr>
        <w:t>Malnutrition at the Royal Hobart</w:t>
      </w:r>
      <w:r w:rsidR="00FE374D">
        <w:rPr>
          <w:rFonts w:ascii="GillSans-LightItalic" w:hAnsi="GillSans-LightItalic" w:cs="GillSans-LightItalic"/>
          <w:i/>
          <w:iCs/>
        </w:rPr>
        <w:t xml:space="preserve"> </w:t>
      </w:r>
      <w:r>
        <w:rPr>
          <w:rFonts w:ascii="GillSans-LightItalic" w:hAnsi="GillSans-LightItalic" w:cs="GillSans-LightItalic"/>
          <w:i/>
          <w:iCs/>
        </w:rPr>
        <w:t xml:space="preserve">Hospital – going the way of the Tasmanian </w:t>
      </w:r>
      <w:proofErr w:type="gramStart"/>
      <w:r>
        <w:rPr>
          <w:rFonts w:ascii="GillSans-LightItalic" w:hAnsi="GillSans-LightItalic" w:cs="GillSans-LightItalic"/>
          <w:i/>
          <w:iCs/>
        </w:rPr>
        <w:t>Tiger</w:t>
      </w:r>
      <w:proofErr w:type="gramEnd"/>
      <w:r>
        <w:rPr>
          <w:rFonts w:ascii="GillSans-LightItalic" w:hAnsi="GillSans-LightItalic" w:cs="GillSans-LightItalic"/>
          <w:i/>
          <w:iCs/>
        </w:rPr>
        <w:t>?</w:t>
      </w:r>
      <w:r w:rsidR="00FE374D">
        <w:rPr>
          <w:rFonts w:ascii="GillSans-LightItalic" w:hAnsi="GillSans-LightItalic" w:cs="GillSans-LightItalic"/>
          <w:i/>
          <w:iCs/>
        </w:rPr>
        <w:t xml:space="preserve"> </w:t>
      </w:r>
      <w:r w:rsidR="00FE374D">
        <w:rPr>
          <w:rFonts w:ascii="GillSans-LightItalic" w:hAnsi="GillSans-LightItalic" w:cs="GillSans-LightItalic"/>
          <w:i/>
          <w:iCs/>
        </w:rPr>
        <w:br/>
      </w:r>
      <w:proofErr w:type="gramStart"/>
      <w:r>
        <w:t>National Dietetics Association of Australia</w:t>
      </w:r>
      <w:r w:rsidR="00FE374D">
        <w:t xml:space="preserve"> </w:t>
      </w:r>
      <w:r>
        <w:t>Conference 2015</w:t>
      </w:r>
      <w:r w:rsidR="00FE374D">
        <w:t>.</w:t>
      </w:r>
      <w:proofErr w:type="gramEnd"/>
    </w:p>
    <w:p w:rsidR="00FE374D" w:rsidRDefault="00FE374D" w:rsidP="008B65D7">
      <w:pPr>
        <w:pStyle w:val="Heading3"/>
      </w:pPr>
      <w:bookmarkStart w:id="30" w:name="_Toc472581970"/>
      <w:r>
        <w:t>Publications</w:t>
      </w:r>
      <w:bookmarkEnd w:id="30"/>
    </w:p>
    <w:p w:rsidR="00FE374D" w:rsidRPr="008B65D7" w:rsidRDefault="00FE374D" w:rsidP="008B65D7">
      <w:pPr>
        <w:pStyle w:val="BodyText"/>
        <w:rPr>
          <w:i/>
        </w:rPr>
      </w:pPr>
      <w:r w:rsidRPr="008B65D7">
        <w:t xml:space="preserve">Cameron-Tucker, H. (submitted a paper).  </w:t>
      </w:r>
      <w:proofErr w:type="gramStart"/>
      <w:r w:rsidRPr="008B65D7">
        <w:t>A randomized controlled trial of telephone-mentoring with home-based walking preceding rehabilitation in COPD.</w:t>
      </w:r>
      <w:proofErr w:type="gramEnd"/>
      <w:r w:rsidRPr="008B65D7">
        <w:t xml:space="preserve"> </w:t>
      </w:r>
      <w:proofErr w:type="gramStart"/>
      <w:r w:rsidRPr="008B65D7">
        <w:rPr>
          <w:i/>
        </w:rPr>
        <w:t>International Journal of Chronic Obstructive Pulmonary Disease.</w:t>
      </w:r>
      <w:proofErr w:type="gramEnd"/>
    </w:p>
    <w:p w:rsidR="00FE374D" w:rsidRPr="008B65D7" w:rsidRDefault="00FE374D" w:rsidP="008B65D7">
      <w:pPr>
        <w:pStyle w:val="BodyText"/>
      </w:pPr>
      <w:r w:rsidRPr="008B65D7">
        <w:t>Millner, JR., et al. Exercise for ankylosing</w:t>
      </w:r>
      <w:r w:rsidR="006F4537" w:rsidRPr="008B65D7">
        <w:t xml:space="preserve"> </w:t>
      </w:r>
      <w:r w:rsidRPr="008B65D7">
        <w:t>spondylitis: An evidence-based consensus</w:t>
      </w:r>
      <w:r w:rsidR="006F4537" w:rsidRPr="008B65D7">
        <w:t xml:space="preserve"> </w:t>
      </w:r>
      <w:r w:rsidRPr="008B65D7">
        <w:t xml:space="preserve">statement. </w:t>
      </w:r>
      <w:proofErr w:type="gramStart"/>
      <w:r w:rsidRPr="008B65D7">
        <w:t>Seminars in Arthritis and Rheumatism.</w:t>
      </w:r>
      <w:proofErr w:type="gramEnd"/>
      <w:r w:rsidR="006F4537" w:rsidRPr="008B65D7">
        <w:t xml:space="preserve"> </w:t>
      </w:r>
      <w:r w:rsidRPr="008B65D7">
        <w:t>45</w:t>
      </w:r>
      <w:proofErr w:type="gramStart"/>
      <w:r w:rsidRPr="008B65D7">
        <w:t>.(</w:t>
      </w:r>
      <w:proofErr w:type="gramEnd"/>
      <w:r w:rsidRPr="008B65D7">
        <w:t>4), WB Saunders, 2016.</w:t>
      </w:r>
    </w:p>
    <w:p w:rsidR="00FE374D" w:rsidRPr="008B65D7" w:rsidRDefault="00FE374D" w:rsidP="008B65D7">
      <w:pPr>
        <w:pStyle w:val="BodyText"/>
      </w:pPr>
      <w:r w:rsidRPr="008B65D7">
        <w:t xml:space="preserve">Millner, J. et al. 10 Empfehlungen </w:t>
      </w:r>
      <w:proofErr w:type="gramStart"/>
      <w:r w:rsidRPr="008B65D7">
        <w:t>fur die</w:t>
      </w:r>
      <w:proofErr w:type="gramEnd"/>
      <w:r w:rsidR="006F4537" w:rsidRPr="008B65D7">
        <w:t xml:space="preserve"> </w:t>
      </w:r>
      <w:r w:rsidRPr="008B65D7">
        <w:t>Kranken-gymnastik bei Morbus Bechterew.</w:t>
      </w:r>
      <w:r w:rsidR="006F4537" w:rsidRPr="008B65D7">
        <w:t xml:space="preserve"> </w:t>
      </w:r>
      <w:proofErr w:type="gramStart"/>
      <w:r w:rsidRPr="008B65D7">
        <w:t>Mobus-Bechterew-Journal Nr. 145 (Juni 2016).</w:t>
      </w:r>
      <w:proofErr w:type="gramEnd"/>
    </w:p>
    <w:p w:rsidR="00FE374D" w:rsidRDefault="00FE374D" w:rsidP="008B65D7">
      <w:pPr>
        <w:pStyle w:val="BodyText"/>
      </w:pPr>
      <w:r w:rsidRPr="008B65D7">
        <w:t xml:space="preserve">Schüz, N., Walters, </w:t>
      </w:r>
      <w:proofErr w:type="gramStart"/>
      <w:r w:rsidRPr="008B65D7">
        <w:t>JAE.,</w:t>
      </w:r>
      <w:proofErr w:type="gramEnd"/>
      <w:r w:rsidRPr="008B65D7">
        <w:t xml:space="preserve"> Cameron-Tucker, H.,</w:t>
      </w:r>
      <w:r w:rsidR="006F4537" w:rsidRPr="008B65D7">
        <w:t xml:space="preserve"> </w:t>
      </w:r>
      <w:r w:rsidRPr="008B65D7">
        <w:t>Scott, J., Wood-Baker, R. &amp; Haydn Walters, E</w:t>
      </w:r>
      <w:r w:rsidR="006F4537" w:rsidRPr="008B65D7">
        <w:t xml:space="preserve"> </w:t>
      </w:r>
      <w:r w:rsidRPr="008B65D7">
        <w:t>(2015). Patient anxiety and depression moderate</w:t>
      </w:r>
      <w:r w:rsidR="006F4537" w:rsidRPr="008B65D7">
        <w:t xml:space="preserve"> </w:t>
      </w:r>
      <w:r w:rsidRPr="008B65D7">
        <w:t>the effects of increased self-management</w:t>
      </w:r>
      <w:r w:rsidR="008B65D7" w:rsidRPr="008B65D7">
        <w:t xml:space="preserve"> </w:t>
      </w:r>
      <w:r w:rsidRPr="008B65D7">
        <w:t>knowledge on physical activity: A secondary</w:t>
      </w:r>
      <w:r w:rsidR="00C431D3" w:rsidRPr="008B65D7">
        <w:t xml:space="preserve"> </w:t>
      </w:r>
      <w:r w:rsidRPr="008B65D7">
        <w:t>analysis of a randomised controlled trial on</w:t>
      </w:r>
      <w:r w:rsidR="00C431D3" w:rsidRPr="008B65D7">
        <w:t xml:space="preserve"> </w:t>
      </w:r>
      <w:r w:rsidRPr="008B65D7">
        <w:t>health-mentoring in COPD. Journal of Chronic</w:t>
      </w:r>
      <w:r w:rsidR="00C431D3" w:rsidRPr="008B65D7">
        <w:t xml:space="preserve"> </w:t>
      </w:r>
      <w:r w:rsidRPr="008B65D7">
        <w:t>Obstructive Pulmonary Disease, 12:5, 502-509,</w:t>
      </w:r>
      <w:r w:rsidR="00C431D3" w:rsidRPr="008B65D7">
        <w:t xml:space="preserve"> </w:t>
      </w:r>
      <w:r w:rsidRPr="008B65D7">
        <w:t>DOI: 10.3109/15412555.2014.995289 To link to</w:t>
      </w:r>
      <w:r w:rsidR="00C431D3" w:rsidRPr="008B65D7">
        <w:t xml:space="preserve"> </w:t>
      </w:r>
      <w:r w:rsidRPr="008B65D7">
        <w:t xml:space="preserve">this article: </w:t>
      </w:r>
      <w:hyperlink r:id="rId14" w:history="1">
        <w:r w:rsidR="008B65D7" w:rsidRPr="008B65D7">
          <w:rPr>
            <w:rStyle w:val="Hyperlink"/>
            <w:color w:val="auto"/>
            <w:u w:val="none"/>
          </w:rPr>
          <w:t>http://dx.doi.org/10.3109/15412555.20 14.995289</w:t>
        </w:r>
      </w:hyperlink>
    </w:p>
    <w:p w:rsidR="008B65D7" w:rsidRDefault="008B65D7" w:rsidP="008B65D7">
      <w:pPr>
        <w:pStyle w:val="BodyText"/>
      </w:pPr>
    </w:p>
    <w:p w:rsidR="008B65D7" w:rsidRDefault="008B65D7" w:rsidP="00F60BD6">
      <w:pPr>
        <w:pStyle w:val="Heading4"/>
      </w:pPr>
      <w:r>
        <w:t>Research update</w:t>
      </w:r>
    </w:p>
    <w:tbl>
      <w:tblPr>
        <w:tblW w:w="10074"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2236"/>
        <w:gridCol w:w="1440"/>
        <w:gridCol w:w="3837"/>
        <w:gridCol w:w="1276"/>
        <w:gridCol w:w="1285"/>
      </w:tblGrid>
      <w:tr w:rsidR="008B65D7" w:rsidRPr="008B65D7" w:rsidTr="0015464F">
        <w:trPr>
          <w:trHeight w:hRule="exact" w:val="253"/>
        </w:trPr>
        <w:tc>
          <w:tcPr>
            <w:tcW w:w="2236" w:type="dxa"/>
            <w:tcBorders>
              <w:top w:val="single" w:sz="4" w:space="0" w:color="004D8F"/>
              <w:left w:val="single" w:sz="4" w:space="0" w:color="004D8F"/>
              <w:bottom w:val="single" w:sz="4" w:space="0" w:color="004D8F"/>
              <w:right w:val="single" w:sz="4" w:space="0" w:color="004D8F"/>
            </w:tcBorders>
            <w:shd w:val="clear" w:color="auto" w:fill="auto"/>
          </w:tcPr>
          <w:p w:rsidR="008B65D7" w:rsidRPr="0015464F" w:rsidRDefault="008B65D7" w:rsidP="00AC79F5">
            <w:pPr>
              <w:pStyle w:val="TableParagraph"/>
              <w:spacing w:before="26"/>
              <w:ind w:left="56"/>
              <w:rPr>
                <w:rFonts w:ascii="Gill Sans MT" w:hAnsi="Gill Sans MT"/>
                <w:b/>
                <w:sz w:val="18"/>
                <w:szCs w:val="18"/>
              </w:rPr>
            </w:pPr>
            <w:r w:rsidRPr="0015464F">
              <w:rPr>
                <w:rFonts w:ascii="Gill Sans MT" w:hAnsi="Gill Sans MT"/>
                <w:b/>
                <w:sz w:val="18"/>
                <w:szCs w:val="18"/>
              </w:rPr>
              <w:t>Title</w:t>
            </w:r>
          </w:p>
        </w:tc>
        <w:tc>
          <w:tcPr>
            <w:tcW w:w="1440" w:type="dxa"/>
            <w:tcBorders>
              <w:top w:val="single" w:sz="4" w:space="0" w:color="004D8F"/>
              <w:left w:val="single" w:sz="4" w:space="0" w:color="004D8F"/>
              <w:bottom w:val="single" w:sz="4" w:space="0" w:color="004D8F"/>
              <w:right w:val="single" w:sz="4" w:space="0" w:color="004D8F"/>
            </w:tcBorders>
            <w:shd w:val="clear" w:color="auto" w:fill="auto"/>
          </w:tcPr>
          <w:p w:rsidR="008B65D7" w:rsidRPr="0015464F" w:rsidRDefault="008B65D7" w:rsidP="00AC79F5">
            <w:pPr>
              <w:pStyle w:val="TableParagraph"/>
              <w:spacing w:before="26"/>
              <w:ind w:left="52"/>
              <w:rPr>
                <w:rFonts w:ascii="Gill Sans MT" w:hAnsi="Gill Sans MT"/>
                <w:b/>
                <w:sz w:val="18"/>
                <w:szCs w:val="18"/>
              </w:rPr>
            </w:pPr>
            <w:r w:rsidRPr="0015464F">
              <w:rPr>
                <w:rFonts w:ascii="Gill Sans MT" w:hAnsi="Gill Sans MT"/>
                <w:b/>
                <w:sz w:val="18"/>
                <w:szCs w:val="18"/>
              </w:rPr>
              <w:t>Investigators</w:t>
            </w:r>
          </w:p>
        </w:tc>
        <w:tc>
          <w:tcPr>
            <w:tcW w:w="3837" w:type="dxa"/>
            <w:tcBorders>
              <w:top w:val="single" w:sz="4" w:space="0" w:color="004D8F"/>
              <w:left w:val="single" w:sz="4" w:space="0" w:color="004D8F"/>
              <w:bottom w:val="single" w:sz="4" w:space="0" w:color="004D8F"/>
              <w:right w:val="single" w:sz="4" w:space="0" w:color="004D8F"/>
            </w:tcBorders>
            <w:shd w:val="clear" w:color="auto" w:fill="auto"/>
          </w:tcPr>
          <w:p w:rsidR="008B65D7" w:rsidRPr="0015464F" w:rsidRDefault="008B65D7" w:rsidP="00AC79F5">
            <w:pPr>
              <w:pStyle w:val="TableParagraph"/>
              <w:spacing w:before="26"/>
              <w:ind w:left="52"/>
              <w:rPr>
                <w:rFonts w:ascii="Gill Sans MT" w:hAnsi="Gill Sans MT"/>
                <w:b/>
                <w:sz w:val="18"/>
                <w:szCs w:val="18"/>
              </w:rPr>
            </w:pPr>
            <w:r w:rsidRPr="0015464F">
              <w:rPr>
                <w:rFonts w:ascii="Gill Sans MT" w:hAnsi="Gill Sans MT"/>
                <w:b/>
                <w:sz w:val="18"/>
                <w:szCs w:val="18"/>
              </w:rPr>
              <w:t>Synopsis</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8B65D7" w:rsidRPr="0015464F" w:rsidRDefault="008B65D7" w:rsidP="00AC79F5">
            <w:pPr>
              <w:pStyle w:val="TableParagraph"/>
              <w:spacing w:before="26"/>
              <w:ind w:left="52"/>
              <w:rPr>
                <w:rFonts w:ascii="Gill Sans MT" w:hAnsi="Gill Sans MT"/>
                <w:b/>
                <w:sz w:val="18"/>
                <w:szCs w:val="18"/>
              </w:rPr>
            </w:pPr>
            <w:r w:rsidRPr="0015464F">
              <w:rPr>
                <w:rFonts w:ascii="Gill Sans MT" w:hAnsi="Gill Sans MT"/>
                <w:b/>
                <w:sz w:val="18"/>
                <w:szCs w:val="18"/>
              </w:rPr>
              <w:t>Site/Facility</w:t>
            </w:r>
          </w:p>
        </w:tc>
        <w:tc>
          <w:tcPr>
            <w:tcW w:w="1285" w:type="dxa"/>
            <w:tcBorders>
              <w:top w:val="single" w:sz="4" w:space="0" w:color="004D8F"/>
              <w:left w:val="single" w:sz="4" w:space="0" w:color="004D8F"/>
              <w:bottom w:val="single" w:sz="4" w:space="0" w:color="004D8F"/>
              <w:right w:val="single" w:sz="4" w:space="0" w:color="004D8F"/>
            </w:tcBorders>
            <w:shd w:val="clear" w:color="auto" w:fill="auto"/>
          </w:tcPr>
          <w:p w:rsidR="008B65D7" w:rsidRPr="0015464F" w:rsidRDefault="008B65D7" w:rsidP="00AC79F5">
            <w:pPr>
              <w:pStyle w:val="TableParagraph"/>
              <w:spacing w:before="26"/>
              <w:ind w:left="52"/>
              <w:rPr>
                <w:rFonts w:ascii="Gill Sans MT" w:hAnsi="Gill Sans MT"/>
                <w:b/>
                <w:sz w:val="18"/>
                <w:szCs w:val="18"/>
              </w:rPr>
            </w:pPr>
            <w:r w:rsidRPr="0015464F">
              <w:rPr>
                <w:rFonts w:ascii="Gill Sans MT" w:hAnsi="Gill Sans MT"/>
                <w:b/>
                <w:sz w:val="18"/>
                <w:szCs w:val="18"/>
              </w:rPr>
              <w:t>Status</w:t>
            </w:r>
          </w:p>
        </w:tc>
      </w:tr>
      <w:tr w:rsidR="008B65D7" w:rsidRPr="008B65D7" w:rsidTr="0015464F">
        <w:trPr>
          <w:trHeight w:hRule="exact" w:val="224"/>
        </w:trPr>
        <w:tc>
          <w:tcPr>
            <w:tcW w:w="2236" w:type="dxa"/>
            <w:tcBorders>
              <w:top w:val="single" w:sz="4"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21"/>
              <w:ind w:left="52"/>
              <w:rPr>
                <w:rFonts w:ascii="Gill Sans MT" w:hAnsi="Gill Sans MT"/>
                <w:sz w:val="18"/>
                <w:szCs w:val="18"/>
              </w:rPr>
            </w:pPr>
            <w:r w:rsidRPr="008B65D7">
              <w:rPr>
                <w:rFonts w:ascii="Gill Sans MT" w:hAnsi="Gill Sans MT"/>
                <w:sz w:val="18"/>
                <w:szCs w:val="18"/>
              </w:rPr>
              <w:t>Right Time Every</w:t>
            </w:r>
          </w:p>
        </w:tc>
        <w:tc>
          <w:tcPr>
            <w:tcW w:w="1440" w:type="dxa"/>
            <w:tcBorders>
              <w:top w:val="single" w:sz="4"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21"/>
              <w:ind w:left="52"/>
              <w:rPr>
                <w:rFonts w:ascii="Gill Sans MT" w:hAnsi="Gill Sans MT"/>
                <w:sz w:val="18"/>
                <w:szCs w:val="18"/>
              </w:rPr>
            </w:pPr>
            <w:r w:rsidRPr="008B65D7">
              <w:rPr>
                <w:rFonts w:ascii="Gill Sans MT" w:hAnsi="Gill Sans MT"/>
                <w:sz w:val="18"/>
                <w:szCs w:val="18"/>
              </w:rPr>
              <w:t>McKenzie, D.</w:t>
            </w:r>
          </w:p>
        </w:tc>
        <w:tc>
          <w:tcPr>
            <w:tcW w:w="3837" w:type="dxa"/>
            <w:tcBorders>
              <w:top w:val="single" w:sz="4"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21"/>
              <w:ind w:left="52"/>
              <w:rPr>
                <w:rFonts w:ascii="Gill Sans MT" w:hAnsi="Gill Sans MT"/>
                <w:sz w:val="18"/>
                <w:szCs w:val="18"/>
              </w:rPr>
            </w:pPr>
            <w:r w:rsidRPr="008B65D7">
              <w:rPr>
                <w:rFonts w:ascii="Gill Sans MT" w:hAnsi="Gill Sans MT"/>
                <w:sz w:val="18"/>
                <w:szCs w:val="18"/>
              </w:rPr>
              <w:t>This project was successful in its aim of reducing the</w:t>
            </w:r>
          </w:p>
        </w:tc>
        <w:tc>
          <w:tcPr>
            <w:tcW w:w="1276" w:type="dxa"/>
            <w:tcBorders>
              <w:top w:val="single" w:sz="4"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21"/>
              <w:ind w:left="52"/>
              <w:rPr>
                <w:rFonts w:ascii="Gill Sans MT" w:hAnsi="Gill Sans MT"/>
                <w:sz w:val="18"/>
                <w:szCs w:val="18"/>
              </w:rPr>
            </w:pPr>
            <w:r w:rsidRPr="008B65D7">
              <w:rPr>
                <w:rFonts w:ascii="Gill Sans MT" w:hAnsi="Gill Sans MT"/>
                <w:sz w:val="18"/>
                <w:szCs w:val="18"/>
              </w:rPr>
              <w:t>RHH</w:t>
            </w:r>
          </w:p>
        </w:tc>
        <w:tc>
          <w:tcPr>
            <w:tcW w:w="1285" w:type="dxa"/>
            <w:tcBorders>
              <w:top w:val="single" w:sz="4"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21"/>
              <w:ind w:left="52"/>
              <w:rPr>
                <w:rFonts w:ascii="Gill Sans MT" w:hAnsi="Gill Sans MT"/>
                <w:sz w:val="18"/>
                <w:szCs w:val="18"/>
              </w:rPr>
            </w:pPr>
            <w:r w:rsidRPr="008B65D7">
              <w:rPr>
                <w:rFonts w:ascii="Gill Sans MT" w:hAnsi="Gill Sans MT"/>
                <w:sz w:val="18"/>
                <w:szCs w:val="18"/>
              </w:rPr>
              <w:t>Completed</w:t>
            </w: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Time: Improving</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Ford, K.</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incidence of omitted or delayed administration of</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2015.</w:t>
            </w: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patient outcomes</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McLeod, E.</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charted medications to hospitalised patients in order</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by reducing harm</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Peterson, G.</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to</w:t>
            </w:r>
            <w:proofErr w:type="gramEnd"/>
            <w:r w:rsidRPr="008B65D7">
              <w:rPr>
                <w:rFonts w:ascii="Gill Sans MT" w:hAnsi="Gill Sans MT"/>
                <w:sz w:val="18"/>
                <w:szCs w:val="18"/>
              </w:rPr>
              <w:t xml:space="preserve"> reduce associated adverse outcomes. The project</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from omitted</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Walsh, K.</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used a participatory, collaborative approach to design</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and duplicated</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Chalmers, L.</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to test and evaluate a variety of interventions which</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medicines in</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Morley, C.</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were</w:t>
            </w:r>
            <w:proofErr w:type="gramEnd"/>
            <w:r w:rsidRPr="008B65D7">
              <w:rPr>
                <w:rFonts w:ascii="Gill Sans MT" w:hAnsi="Gill Sans MT"/>
                <w:sz w:val="18"/>
                <w:szCs w:val="18"/>
              </w:rPr>
              <w:t xml:space="preserve"> then embedded in practice.</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15"/>
        </w:trPr>
        <w:tc>
          <w:tcPr>
            <w:tcW w:w="2236"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proofErr w:type="gramStart"/>
            <w:r w:rsidRPr="008B65D7">
              <w:rPr>
                <w:rFonts w:ascii="Gill Sans MT" w:hAnsi="Gill Sans MT"/>
                <w:sz w:val="18"/>
                <w:szCs w:val="18"/>
              </w:rPr>
              <w:t>hospital</w:t>
            </w:r>
            <w:proofErr w:type="gramEnd"/>
            <w:r w:rsidRPr="008B65D7">
              <w:rPr>
                <w:rFonts w:ascii="Gill Sans MT" w:hAnsi="Gill Sans MT"/>
                <w:sz w:val="18"/>
                <w:szCs w:val="18"/>
              </w:rPr>
              <w:t>.</w:t>
            </w:r>
          </w:p>
        </w:tc>
        <w:tc>
          <w:tcPr>
            <w:tcW w:w="1440"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Gordon-Croal, S.</w:t>
            </w:r>
          </w:p>
        </w:tc>
        <w:tc>
          <w:tcPr>
            <w:tcW w:w="3837"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76"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23"/>
        </w:trPr>
        <w:tc>
          <w:tcPr>
            <w:tcW w:w="2236"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Knowledge</w:t>
            </w:r>
          </w:p>
        </w:tc>
        <w:tc>
          <w:tcPr>
            <w:tcW w:w="1440"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Walsh, K. Ford, K.</w:t>
            </w:r>
          </w:p>
        </w:tc>
        <w:tc>
          <w:tcPr>
            <w:tcW w:w="3837"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This study aims to support existing clinical staff to be</w:t>
            </w:r>
          </w:p>
        </w:tc>
        <w:tc>
          <w:tcPr>
            <w:tcW w:w="1276"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RHH</w:t>
            </w:r>
          </w:p>
        </w:tc>
        <w:tc>
          <w:tcPr>
            <w:tcW w:w="1285"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Commenced</w:t>
            </w: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Brokers for</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Moss, C.</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Knowledge Brokers (KBs) in their speciality areas and</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(Palliative</w:t>
            </w: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2015 –</w:t>
            </w: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Knowledge</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Campbell, S.</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apply a pragmatic, stepwise, knowledge utilisation</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Care,</w:t>
            </w: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ongoing</w:t>
            </w:r>
            <w:proofErr w:type="gramEnd"/>
            <w:r w:rsidRPr="008B65D7">
              <w:rPr>
                <w:rFonts w:ascii="Gill Sans MT" w:hAnsi="Gill Sans MT"/>
                <w:sz w:val="18"/>
                <w:szCs w:val="18"/>
              </w:rPr>
              <w:t>.</w:t>
            </w: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Utilisation</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Kinsman, L.</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intervention (Knowledge Brokers for Knowledge</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Orthopaedics</w:t>
            </w: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(KB4KU).</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Sykes, P.</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Utilisation Stepped Intervention – KB4KU) to work</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and</w:t>
            </w:r>
            <w:proofErr w:type="gramEnd"/>
            <w:r w:rsidRPr="008B65D7">
              <w:rPr>
                <w:rFonts w:ascii="Gill Sans MT" w:hAnsi="Gill Sans MT"/>
                <w:sz w:val="18"/>
                <w:szCs w:val="18"/>
              </w:rPr>
              <w:t xml:space="preserve"> NPICU).</w:t>
            </w: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with their clinical teams to translate evidence  into</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17"/>
        </w:trPr>
        <w:tc>
          <w:tcPr>
            <w:tcW w:w="2236"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440"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practice</w:t>
            </w:r>
            <w:proofErr w:type="gramEnd"/>
            <w:r w:rsidRPr="008B65D7">
              <w:rPr>
                <w:rFonts w:ascii="Gill Sans MT" w:hAnsi="Gill Sans MT"/>
                <w:sz w:val="18"/>
                <w:szCs w:val="18"/>
              </w:rPr>
              <w:t xml:space="preserve"> change to achieve improved patient outcomes.</w:t>
            </w:r>
          </w:p>
        </w:tc>
        <w:tc>
          <w:tcPr>
            <w:tcW w:w="1276"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single" w:sz="3"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24"/>
        </w:trPr>
        <w:tc>
          <w:tcPr>
            <w:tcW w:w="2236"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7"/>
              <w:ind w:left="52"/>
              <w:rPr>
                <w:rFonts w:ascii="Gill Sans MT" w:hAnsi="Gill Sans MT"/>
                <w:sz w:val="18"/>
                <w:szCs w:val="18"/>
              </w:rPr>
            </w:pPr>
            <w:r w:rsidRPr="008B65D7">
              <w:rPr>
                <w:rFonts w:ascii="Gill Sans MT" w:hAnsi="Gill Sans MT"/>
                <w:sz w:val="18"/>
                <w:szCs w:val="18"/>
              </w:rPr>
              <w:t>The impact,</w:t>
            </w:r>
          </w:p>
        </w:tc>
        <w:tc>
          <w:tcPr>
            <w:tcW w:w="1440"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6"/>
              <w:ind w:left="52"/>
              <w:rPr>
                <w:rFonts w:ascii="Gill Sans MT" w:hAnsi="Gill Sans MT"/>
                <w:sz w:val="18"/>
                <w:szCs w:val="18"/>
              </w:rPr>
            </w:pPr>
            <w:r w:rsidRPr="008B65D7">
              <w:rPr>
                <w:rFonts w:ascii="Gill Sans MT" w:hAnsi="Gill Sans MT"/>
                <w:sz w:val="18"/>
                <w:szCs w:val="18"/>
              </w:rPr>
              <w:t>Walsh, K.</w:t>
            </w:r>
          </w:p>
        </w:tc>
        <w:tc>
          <w:tcPr>
            <w:tcW w:w="3837"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6"/>
              <w:ind w:left="52"/>
              <w:rPr>
                <w:rFonts w:ascii="Gill Sans MT" w:hAnsi="Gill Sans MT"/>
                <w:sz w:val="18"/>
                <w:szCs w:val="18"/>
              </w:rPr>
            </w:pPr>
            <w:r w:rsidRPr="008B65D7">
              <w:rPr>
                <w:rFonts w:ascii="Gill Sans MT" w:hAnsi="Gill Sans MT"/>
                <w:sz w:val="18"/>
                <w:szCs w:val="18"/>
              </w:rPr>
              <w:t>This collaborative study seeks to explore the</w:t>
            </w:r>
          </w:p>
        </w:tc>
        <w:tc>
          <w:tcPr>
            <w:tcW w:w="1276"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6"/>
              <w:ind w:left="52"/>
              <w:rPr>
                <w:rFonts w:ascii="Gill Sans MT" w:hAnsi="Gill Sans MT"/>
                <w:sz w:val="18"/>
                <w:szCs w:val="18"/>
              </w:rPr>
            </w:pPr>
            <w:r w:rsidRPr="008B65D7">
              <w:rPr>
                <w:rFonts w:ascii="Gill Sans MT" w:hAnsi="Gill Sans MT"/>
                <w:sz w:val="18"/>
                <w:szCs w:val="18"/>
              </w:rPr>
              <w:t>RHH</w:t>
            </w:r>
          </w:p>
        </w:tc>
        <w:tc>
          <w:tcPr>
            <w:tcW w:w="1285" w:type="dxa"/>
            <w:tcBorders>
              <w:top w:val="single" w:sz="3" w:space="0" w:color="004D8F"/>
              <w:left w:val="single" w:sz="3" w:space="0" w:color="004D8F"/>
              <w:bottom w:val="nil"/>
              <w:right w:val="single" w:sz="3" w:space="0" w:color="004D8F"/>
            </w:tcBorders>
            <w:shd w:val="clear" w:color="auto" w:fill="auto"/>
          </w:tcPr>
          <w:p w:rsidR="008B65D7" w:rsidRPr="008B65D7" w:rsidRDefault="008B65D7" w:rsidP="00AC79F5">
            <w:pPr>
              <w:pStyle w:val="TableParagraph"/>
              <w:spacing w:before="16"/>
              <w:ind w:left="52"/>
              <w:rPr>
                <w:rFonts w:ascii="Gill Sans MT" w:hAnsi="Gill Sans MT"/>
                <w:sz w:val="18"/>
                <w:szCs w:val="18"/>
              </w:rPr>
            </w:pPr>
            <w:r w:rsidRPr="008B65D7">
              <w:rPr>
                <w:rFonts w:ascii="Gill Sans MT" w:hAnsi="Gill Sans MT"/>
                <w:sz w:val="18"/>
                <w:szCs w:val="18"/>
              </w:rPr>
              <w:t>Commenced</w:t>
            </w: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value and</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Ford, K.</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understandings of the impact, value and effectiveness</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2016-</w:t>
            </w: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3" w:lineRule="exact"/>
              <w:ind w:left="52"/>
              <w:rPr>
                <w:rFonts w:ascii="Gill Sans MT" w:hAnsi="Gill Sans MT"/>
                <w:sz w:val="18"/>
                <w:szCs w:val="18"/>
              </w:rPr>
            </w:pPr>
            <w:r w:rsidRPr="008B65D7">
              <w:rPr>
                <w:rFonts w:ascii="Gill Sans MT" w:hAnsi="Gill Sans MT"/>
                <w:sz w:val="18"/>
                <w:szCs w:val="18"/>
              </w:rPr>
              <w:t>effectiveness</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Paine, E.</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of the work of clinical nurse educators and clinical</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ongoing</w:t>
            </w:r>
            <w:proofErr w:type="gramEnd"/>
            <w:r w:rsidRPr="008B65D7">
              <w:rPr>
                <w:rFonts w:ascii="Gill Sans MT" w:hAnsi="Gill Sans MT"/>
                <w:sz w:val="18"/>
                <w:szCs w:val="18"/>
              </w:rPr>
              <w:t>.</w:t>
            </w: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of the work of</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Walsh, A.</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midwife educators (CNE/CMEs) as perceived by</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0"/>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clinical nurse</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Marsden, K.</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educators</w:t>
            </w:r>
            <w:proofErr w:type="gramEnd"/>
            <w:r w:rsidRPr="008B65D7">
              <w:rPr>
                <w:rFonts w:ascii="Gill Sans MT" w:hAnsi="Gill Sans MT"/>
                <w:sz w:val="18"/>
                <w:szCs w:val="18"/>
              </w:rPr>
              <w:t xml:space="preserve"> and stakeholders. It also seeks to clarify the</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and midwife</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Hosken, E.</w:t>
            </w: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work of the CNE/CME, explore how CNEs/CMEs do</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educators as</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their work and explore the future possibilities of the</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01"/>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perceived by</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r w:rsidRPr="008B65D7">
              <w:rPr>
                <w:rFonts w:ascii="Gill Sans MT" w:hAnsi="Gill Sans MT"/>
                <w:sz w:val="18"/>
                <w:szCs w:val="18"/>
              </w:rPr>
              <w:t>CNE/CME work and role.</w:t>
            </w: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199"/>
        </w:trPr>
        <w:tc>
          <w:tcPr>
            <w:tcW w:w="2236" w:type="dxa"/>
            <w:tcBorders>
              <w:top w:val="nil"/>
              <w:left w:val="single" w:sz="3" w:space="0" w:color="004D8F"/>
              <w:bottom w:val="nil"/>
              <w:right w:val="single" w:sz="3" w:space="0" w:color="004D8F"/>
            </w:tcBorders>
            <w:shd w:val="clear" w:color="auto" w:fill="auto"/>
          </w:tcPr>
          <w:p w:rsidR="008B65D7" w:rsidRPr="008B65D7" w:rsidRDefault="008B65D7" w:rsidP="00AC79F5">
            <w:pPr>
              <w:pStyle w:val="TableParagraph"/>
              <w:spacing w:line="201" w:lineRule="exact"/>
              <w:ind w:left="52"/>
              <w:rPr>
                <w:rFonts w:ascii="Gill Sans MT" w:hAnsi="Gill Sans MT"/>
                <w:sz w:val="18"/>
                <w:szCs w:val="18"/>
              </w:rPr>
            </w:pPr>
            <w:r w:rsidRPr="008B65D7">
              <w:rPr>
                <w:rFonts w:ascii="Gill Sans MT" w:hAnsi="Gill Sans MT"/>
                <w:sz w:val="18"/>
                <w:szCs w:val="18"/>
              </w:rPr>
              <w:t>educators and</w:t>
            </w:r>
          </w:p>
        </w:tc>
        <w:tc>
          <w:tcPr>
            <w:tcW w:w="1440"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76"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nil"/>
              <w:right w:val="single" w:sz="3" w:space="0" w:color="004D8F"/>
            </w:tcBorders>
            <w:shd w:val="clear" w:color="auto" w:fill="auto"/>
          </w:tcPr>
          <w:p w:rsidR="008B65D7" w:rsidRPr="008B65D7" w:rsidRDefault="008B65D7" w:rsidP="00AC79F5">
            <w:pPr>
              <w:rPr>
                <w:rFonts w:ascii="Gill Sans MT" w:hAnsi="Gill Sans MT"/>
                <w:sz w:val="18"/>
                <w:szCs w:val="18"/>
              </w:rPr>
            </w:pPr>
          </w:p>
        </w:tc>
      </w:tr>
      <w:tr w:rsidR="008B65D7" w:rsidRPr="008B65D7" w:rsidTr="0015464F">
        <w:trPr>
          <w:trHeight w:hRule="exact" w:val="217"/>
        </w:trPr>
        <w:tc>
          <w:tcPr>
            <w:tcW w:w="2236" w:type="dxa"/>
            <w:tcBorders>
              <w:top w:val="nil"/>
              <w:left w:val="single" w:sz="3" w:space="0" w:color="004D8F"/>
              <w:bottom w:val="single" w:sz="4" w:space="0" w:color="004D8F"/>
              <w:right w:val="single" w:sz="3" w:space="0" w:color="004D8F"/>
            </w:tcBorders>
            <w:shd w:val="clear" w:color="auto" w:fill="auto"/>
          </w:tcPr>
          <w:p w:rsidR="008B65D7" w:rsidRPr="008B65D7" w:rsidRDefault="008B65D7" w:rsidP="00AC79F5">
            <w:pPr>
              <w:pStyle w:val="TableParagraph"/>
              <w:spacing w:line="202" w:lineRule="exact"/>
              <w:ind w:left="52"/>
              <w:rPr>
                <w:rFonts w:ascii="Gill Sans MT" w:hAnsi="Gill Sans MT"/>
                <w:sz w:val="18"/>
                <w:szCs w:val="18"/>
              </w:rPr>
            </w:pPr>
            <w:proofErr w:type="gramStart"/>
            <w:r w:rsidRPr="008B65D7">
              <w:rPr>
                <w:rFonts w:ascii="Gill Sans MT" w:hAnsi="Gill Sans MT"/>
                <w:sz w:val="18"/>
                <w:szCs w:val="18"/>
              </w:rPr>
              <w:t>stakeholders</w:t>
            </w:r>
            <w:proofErr w:type="gramEnd"/>
            <w:r w:rsidRPr="008B65D7">
              <w:rPr>
                <w:rFonts w:ascii="Gill Sans MT" w:hAnsi="Gill Sans MT"/>
                <w:sz w:val="18"/>
                <w:szCs w:val="18"/>
              </w:rPr>
              <w:t>.</w:t>
            </w:r>
          </w:p>
        </w:tc>
        <w:tc>
          <w:tcPr>
            <w:tcW w:w="1440" w:type="dxa"/>
            <w:tcBorders>
              <w:top w:val="nil"/>
              <w:left w:val="single" w:sz="3" w:space="0" w:color="004D8F"/>
              <w:bottom w:val="single" w:sz="4"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3837" w:type="dxa"/>
            <w:tcBorders>
              <w:top w:val="nil"/>
              <w:left w:val="single" w:sz="3" w:space="0" w:color="004D8F"/>
              <w:bottom w:val="single" w:sz="4"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76" w:type="dxa"/>
            <w:tcBorders>
              <w:top w:val="nil"/>
              <w:left w:val="single" w:sz="3" w:space="0" w:color="004D8F"/>
              <w:bottom w:val="single" w:sz="4"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c>
          <w:tcPr>
            <w:tcW w:w="1285" w:type="dxa"/>
            <w:tcBorders>
              <w:top w:val="nil"/>
              <w:left w:val="single" w:sz="3" w:space="0" w:color="004D8F"/>
              <w:bottom w:val="single" w:sz="4" w:space="0" w:color="004D8F"/>
              <w:right w:val="single" w:sz="3" w:space="0" w:color="004D8F"/>
            </w:tcBorders>
            <w:shd w:val="clear" w:color="auto" w:fill="auto"/>
          </w:tcPr>
          <w:p w:rsidR="008B65D7" w:rsidRPr="008B65D7" w:rsidRDefault="008B65D7" w:rsidP="00AC79F5">
            <w:pPr>
              <w:rPr>
                <w:rFonts w:ascii="Gill Sans MT" w:hAnsi="Gill Sans MT"/>
                <w:sz w:val="18"/>
                <w:szCs w:val="18"/>
              </w:rPr>
            </w:pPr>
          </w:p>
        </w:tc>
      </w:tr>
    </w:tbl>
    <w:p w:rsidR="008B65D7" w:rsidRDefault="008B65D7" w:rsidP="008B65D7">
      <w:pPr>
        <w:pStyle w:val="BodyText"/>
      </w:pPr>
    </w:p>
    <w:p w:rsidR="008B65D7" w:rsidRDefault="008B65D7">
      <w:pPr>
        <w:rPr>
          <w:rFonts w:ascii="Gill Sans MT" w:eastAsia="GillSans-Light" w:hAnsi="Gill Sans MT" w:cs="GillSans-Light"/>
          <w:lang w:val="en-US"/>
        </w:rPr>
      </w:pPr>
      <w:r>
        <w:br w:type="page"/>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2055"/>
        <w:gridCol w:w="1440"/>
        <w:gridCol w:w="4136"/>
        <w:gridCol w:w="1192"/>
        <w:gridCol w:w="1070"/>
      </w:tblGrid>
      <w:tr w:rsidR="0015464F" w:rsidRPr="0015464F" w:rsidTr="0015464F">
        <w:trPr>
          <w:trHeight w:hRule="exact" w:val="250"/>
        </w:trPr>
        <w:tc>
          <w:tcPr>
            <w:tcW w:w="2055"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6"/>
              <w:rPr>
                <w:rFonts w:ascii="Gill Sans MT" w:hAnsi="Gill Sans MT"/>
                <w:b/>
                <w:sz w:val="18"/>
                <w:szCs w:val="18"/>
              </w:rPr>
            </w:pPr>
            <w:r w:rsidRPr="0015464F">
              <w:rPr>
                <w:rFonts w:ascii="Gill Sans MT" w:hAnsi="Gill Sans MT"/>
                <w:b/>
                <w:sz w:val="18"/>
                <w:szCs w:val="18"/>
              </w:rPr>
              <w:lastRenderedPageBreak/>
              <w:t>Title</w:t>
            </w:r>
          </w:p>
        </w:tc>
        <w:tc>
          <w:tcPr>
            <w:tcW w:w="1440"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Investigators</w:t>
            </w:r>
          </w:p>
        </w:tc>
        <w:tc>
          <w:tcPr>
            <w:tcW w:w="4136"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Synopsis</w:t>
            </w:r>
          </w:p>
        </w:tc>
        <w:tc>
          <w:tcPr>
            <w:tcW w:w="1192"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Site/Facility</w:t>
            </w:r>
          </w:p>
        </w:tc>
        <w:tc>
          <w:tcPr>
            <w:tcW w:w="1070"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Status</w:t>
            </w:r>
          </w:p>
        </w:tc>
      </w:tr>
      <w:tr w:rsidR="0015464F" w:rsidRPr="0015464F" w:rsidTr="0015464F">
        <w:trPr>
          <w:trHeight w:hRule="exact" w:val="4240"/>
        </w:trPr>
        <w:tc>
          <w:tcPr>
            <w:tcW w:w="2055" w:type="dxa"/>
            <w:tcBorders>
              <w:top w:val="single" w:sz="4"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23" w:line="200" w:lineRule="exact"/>
              <w:ind w:left="52" w:right="73"/>
              <w:rPr>
                <w:rFonts w:ascii="Gill Sans MT" w:hAnsi="Gill Sans MT"/>
                <w:sz w:val="18"/>
                <w:szCs w:val="18"/>
              </w:rPr>
            </w:pPr>
            <w:r w:rsidRPr="0015464F">
              <w:rPr>
                <w:rFonts w:ascii="Gill Sans MT" w:hAnsi="Gill Sans MT"/>
                <w:sz w:val="18"/>
                <w:szCs w:val="18"/>
              </w:rPr>
              <w:t>Positive Wards: Making health care encounters visible – a pilot study</w:t>
            </w:r>
          </w:p>
        </w:tc>
        <w:tc>
          <w:tcPr>
            <w:tcW w:w="1440" w:type="dxa"/>
            <w:tcBorders>
              <w:top w:val="single" w:sz="4"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23" w:line="200" w:lineRule="exact"/>
              <w:ind w:left="52" w:right="412"/>
              <w:rPr>
                <w:rFonts w:ascii="Gill Sans MT" w:hAnsi="Gill Sans MT"/>
                <w:sz w:val="18"/>
                <w:szCs w:val="18"/>
              </w:rPr>
            </w:pPr>
            <w:r w:rsidRPr="0015464F">
              <w:rPr>
                <w:rFonts w:ascii="Gill Sans MT" w:hAnsi="Gill Sans MT"/>
                <w:sz w:val="18"/>
                <w:szCs w:val="18"/>
              </w:rPr>
              <w:t>Walsh, K. Iedema, R. Ford, K. Walker, K. Duff, J. Kinsman, L. Hughes, C. Campbell, S.</w:t>
            </w:r>
          </w:p>
        </w:tc>
        <w:tc>
          <w:tcPr>
            <w:tcW w:w="4136" w:type="dxa"/>
            <w:tcBorders>
              <w:top w:val="single" w:sz="4"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23" w:line="200" w:lineRule="exact"/>
              <w:ind w:left="52" w:right="116"/>
              <w:rPr>
                <w:rFonts w:ascii="Gill Sans MT" w:hAnsi="Gill Sans MT"/>
                <w:sz w:val="18"/>
                <w:szCs w:val="18"/>
              </w:rPr>
            </w:pPr>
            <w:r w:rsidRPr="0015464F">
              <w:rPr>
                <w:rFonts w:ascii="Gill Sans MT" w:hAnsi="Gill Sans MT"/>
                <w:sz w:val="18"/>
                <w:szCs w:val="18"/>
              </w:rPr>
              <w:t>This pilot project involves healthcare professionals reflecting on the clinical, technical, experiential and relational dimensions of the care they provide using Video Reflective Ethnography (VRE). It explores care as it is done: it focuses on day-to-day, moment-to- moment encounters between health professional staff and patients and families which make up the everyday experience of health care provision.</w:t>
            </w:r>
          </w:p>
          <w:p w:rsidR="0015464F" w:rsidRPr="0015464F" w:rsidRDefault="0015464F" w:rsidP="00AC79F5">
            <w:pPr>
              <w:pStyle w:val="TableParagraph"/>
              <w:spacing w:line="200" w:lineRule="exact"/>
              <w:ind w:left="52" w:right="219"/>
              <w:rPr>
                <w:rFonts w:ascii="Gill Sans MT" w:hAnsi="Gill Sans MT"/>
                <w:sz w:val="18"/>
                <w:szCs w:val="18"/>
              </w:rPr>
            </w:pPr>
            <w:r w:rsidRPr="0015464F">
              <w:rPr>
                <w:rFonts w:ascii="Gill Sans MT" w:hAnsi="Gill Sans MT"/>
                <w:spacing w:val="2"/>
                <w:sz w:val="18"/>
                <w:szCs w:val="18"/>
              </w:rPr>
              <w:t xml:space="preserve">The research </w:t>
            </w:r>
            <w:r w:rsidRPr="0015464F">
              <w:rPr>
                <w:rFonts w:ascii="Gill Sans MT" w:hAnsi="Gill Sans MT"/>
                <w:sz w:val="18"/>
                <w:szCs w:val="18"/>
              </w:rPr>
              <w:t xml:space="preserve">aims to </w:t>
            </w:r>
            <w:r w:rsidRPr="0015464F">
              <w:rPr>
                <w:rFonts w:ascii="Gill Sans MT" w:hAnsi="Gill Sans MT"/>
                <w:spacing w:val="3"/>
                <w:sz w:val="18"/>
                <w:szCs w:val="18"/>
              </w:rPr>
              <w:t xml:space="preserve">understand </w:t>
            </w:r>
            <w:r w:rsidRPr="0015464F">
              <w:rPr>
                <w:rFonts w:ascii="Gill Sans MT" w:hAnsi="Gill Sans MT"/>
                <w:sz w:val="18"/>
                <w:szCs w:val="18"/>
              </w:rPr>
              <w:t xml:space="preserve">the </w:t>
            </w:r>
            <w:r w:rsidRPr="0015464F">
              <w:rPr>
                <w:rFonts w:ascii="Gill Sans MT" w:hAnsi="Gill Sans MT"/>
                <w:spacing w:val="2"/>
                <w:sz w:val="18"/>
                <w:szCs w:val="18"/>
              </w:rPr>
              <w:t xml:space="preserve">manifestation </w:t>
            </w:r>
            <w:r w:rsidRPr="0015464F">
              <w:rPr>
                <w:rFonts w:ascii="Gill Sans MT" w:hAnsi="Gill Sans MT"/>
                <w:sz w:val="18"/>
                <w:szCs w:val="18"/>
              </w:rPr>
              <w:t xml:space="preserve">of </w:t>
            </w:r>
            <w:r w:rsidRPr="0015464F">
              <w:rPr>
                <w:rFonts w:ascii="Gill Sans MT" w:hAnsi="Gill Sans MT"/>
                <w:spacing w:val="2"/>
                <w:sz w:val="18"/>
                <w:szCs w:val="18"/>
              </w:rPr>
              <w:t xml:space="preserve">quality relationships </w:t>
            </w:r>
            <w:r w:rsidRPr="0015464F">
              <w:rPr>
                <w:rFonts w:ascii="Gill Sans MT" w:hAnsi="Gill Sans MT"/>
                <w:sz w:val="18"/>
                <w:szCs w:val="18"/>
              </w:rPr>
              <w:t xml:space="preserve">in </w:t>
            </w:r>
            <w:r w:rsidRPr="0015464F">
              <w:rPr>
                <w:rFonts w:ascii="Gill Sans MT" w:hAnsi="Gill Sans MT"/>
                <w:spacing w:val="2"/>
                <w:sz w:val="18"/>
                <w:szCs w:val="18"/>
              </w:rPr>
              <w:t xml:space="preserve">health care; </w:t>
            </w:r>
            <w:r w:rsidRPr="0015464F">
              <w:rPr>
                <w:rFonts w:ascii="Gill Sans MT" w:hAnsi="Gill Sans MT"/>
                <w:spacing w:val="3"/>
                <w:sz w:val="18"/>
                <w:szCs w:val="18"/>
              </w:rPr>
              <w:t>understand</w:t>
            </w:r>
            <w:r w:rsidRPr="0015464F">
              <w:rPr>
                <w:rFonts w:ascii="Gill Sans MT" w:hAnsi="Gill Sans MT"/>
                <w:spacing w:val="19"/>
                <w:sz w:val="18"/>
                <w:szCs w:val="18"/>
              </w:rPr>
              <w:t xml:space="preserve"> </w:t>
            </w:r>
            <w:r w:rsidRPr="0015464F">
              <w:rPr>
                <w:rFonts w:ascii="Gill Sans MT" w:hAnsi="Gill Sans MT"/>
                <w:sz w:val="18"/>
                <w:szCs w:val="18"/>
              </w:rPr>
              <w:t>the</w:t>
            </w:r>
          </w:p>
          <w:p w:rsidR="0015464F" w:rsidRPr="0015464F" w:rsidRDefault="0015464F" w:rsidP="00AC79F5">
            <w:pPr>
              <w:pStyle w:val="TableParagraph"/>
              <w:spacing w:line="200" w:lineRule="exact"/>
              <w:ind w:left="52"/>
              <w:rPr>
                <w:rFonts w:ascii="Gill Sans MT" w:hAnsi="Gill Sans MT"/>
                <w:sz w:val="18"/>
                <w:szCs w:val="18"/>
              </w:rPr>
            </w:pPr>
            <w:proofErr w:type="gramStart"/>
            <w:r w:rsidRPr="0015464F">
              <w:rPr>
                <w:rFonts w:ascii="Gill Sans MT" w:hAnsi="Gill Sans MT"/>
                <w:sz w:val="18"/>
                <w:szCs w:val="18"/>
              </w:rPr>
              <w:t>impact</w:t>
            </w:r>
            <w:proofErr w:type="gramEnd"/>
            <w:r w:rsidRPr="0015464F">
              <w:rPr>
                <w:rFonts w:ascii="Gill Sans MT" w:hAnsi="Gill Sans MT"/>
                <w:sz w:val="18"/>
                <w:szCs w:val="18"/>
              </w:rPr>
              <w:t xml:space="preserve"> of video reflexive ethnography (VRE) on ward culture; validate VRE for future research in this area. Outcomes of this project include:</w:t>
            </w:r>
          </w:p>
          <w:p w:rsidR="0015464F" w:rsidRPr="0015464F" w:rsidRDefault="0015464F" w:rsidP="00103528">
            <w:pPr>
              <w:pStyle w:val="TableParagraph"/>
              <w:numPr>
                <w:ilvl w:val="0"/>
                <w:numId w:val="17"/>
              </w:numPr>
              <w:tabs>
                <w:tab w:val="left" w:pos="193"/>
              </w:tabs>
              <w:spacing w:line="200" w:lineRule="exact"/>
              <w:ind w:right="95" w:hanging="140"/>
              <w:rPr>
                <w:rFonts w:ascii="Gill Sans MT" w:hAnsi="Gill Sans MT"/>
                <w:sz w:val="18"/>
                <w:szCs w:val="18"/>
              </w:rPr>
            </w:pPr>
            <w:r w:rsidRPr="0015464F">
              <w:rPr>
                <w:rFonts w:ascii="Gill Sans MT" w:hAnsi="Gill Sans MT"/>
                <w:spacing w:val="2"/>
                <w:sz w:val="18"/>
                <w:szCs w:val="18"/>
              </w:rPr>
              <w:t xml:space="preserve">Increased </w:t>
            </w:r>
            <w:r w:rsidRPr="0015464F">
              <w:rPr>
                <w:rFonts w:ascii="Gill Sans MT" w:hAnsi="Gill Sans MT"/>
                <w:spacing w:val="3"/>
                <w:sz w:val="18"/>
                <w:szCs w:val="18"/>
              </w:rPr>
              <w:t xml:space="preserve">staff </w:t>
            </w:r>
            <w:r w:rsidRPr="0015464F">
              <w:rPr>
                <w:rFonts w:ascii="Gill Sans MT" w:hAnsi="Gill Sans MT"/>
                <w:spacing w:val="2"/>
                <w:sz w:val="18"/>
                <w:szCs w:val="18"/>
              </w:rPr>
              <w:t xml:space="preserve">awareness </w:t>
            </w:r>
            <w:r w:rsidRPr="0015464F">
              <w:rPr>
                <w:rFonts w:ascii="Gill Sans MT" w:hAnsi="Gill Sans MT"/>
                <w:sz w:val="18"/>
                <w:szCs w:val="18"/>
              </w:rPr>
              <w:t xml:space="preserve">of the </w:t>
            </w:r>
            <w:r w:rsidRPr="0015464F">
              <w:rPr>
                <w:rFonts w:ascii="Gill Sans MT" w:hAnsi="Gill Sans MT"/>
                <w:spacing w:val="3"/>
                <w:sz w:val="18"/>
                <w:szCs w:val="18"/>
              </w:rPr>
              <w:t xml:space="preserve">therapeutic </w:t>
            </w:r>
            <w:r w:rsidRPr="0015464F">
              <w:rPr>
                <w:rFonts w:ascii="Gill Sans MT" w:hAnsi="Gill Sans MT"/>
                <w:spacing w:val="2"/>
                <w:sz w:val="18"/>
                <w:szCs w:val="18"/>
              </w:rPr>
              <w:t xml:space="preserve">significance </w:t>
            </w:r>
            <w:r w:rsidRPr="0015464F">
              <w:rPr>
                <w:rFonts w:ascii="Gill Sans MT" w:hAnsi="Gill Sans MT"/>
                <w:sz w:val="18"/>
                <w:szCs w:val="18"/>
              </w:rPr>
              <w:t xml:space="preserve">of </w:t>
            </w:r>
            <w:r w:rsidRPr="0015464F">
              <w:rPr>
                <w:rFonts w:ascii="Gill Sans MT" w:hAnsi="Gill Sans MT"/>
                <w:spacing w:val="2"/>
                <w:sz w:val="18"/>
                <w:szCs w:val="18"/>
              </w:rPr>
              <w:t xml:space="preserve">health professional-health </w:t>
            </w:r>
            <w:r w:rsidRPr="0015464F">
              <w:rPr>
                <w:rFonts w:ascii="Gill Sans MT" w:hAnsi="Gill Sans MT"/>
                <w:sz w:val="18"/>
                <w:szCs w:val="18"/>
              </w:rPr>
              <w:t xml:space="preserve">professional and </w:t>
            </w:r>
            <w:r w:rsidRPr="0015464F">
              <w:rPr>
                <w:rFonts w:ascii="Gill Sans MT" w:hAnsi="Gill Sans MT"/>
                <w:spacing w:val="2"/>
                <w:sz w:val="18"/>
                <w:szCs w:val="18"/>
              </w:rPr>
              <w:t xml:space="preserve">health professional-patient encounters </w:t>
            </w:r>
            <w:r w:rsidRPr="0015464F">
              <w:rPr>
                <w:rFonts w:ascii="Gill Sans MT" w:hAnsi="Gill Sans MT"/>
                <w:sz w:val="18"/>
                <w:szCs w:val="18"/>
              </w:rPr>
              <w:t xml:space="preserve">for patient healing and for </w:t>
            </w:r>
            <w:r w:rsidRPr="0015464F">
              <w:rPr>
                <w:rFonts w:ascii="Gill Sans MT" w:hAnsi="Gill Sans MT"/>
                <w:spacing w:val="3"/>
                <w:sz w:val="18"/>
                <w:szCs w:val="18"/>
              </w:rPr>
              <w:t>staff</w:t>
            </w:r>
            <w:r w:rsidRPr="0015464F">
              <w:rPr>
                <w:rFonts w:ascii="Gill Sans MT" w:hAnsi="Gill Sans MT"/>
                <w:spacing w:val="44"/>
                <w:sz w:val="18"/>
                <w:szCs w:val="18"/>
              </w:rPr>
              <w:t xml:space="preserve"> </w:t>
            </w:r>
            <w:r w:rsidRPr="0015464F">
              <w:rPr>
                <w:rFonts w:ascii="Gill Sans MT" w:hAnsi="Gill Sans MT"/>
                <w:spacing w:val="2"/>
                <w:sz w:val="18"/>
                <w:szCs w:val="18"/>
              </w:rPr>
              <w:t>effectiveness</w:t>
            </w:r>
          </w:p>
          <w:p w:rsidR="0015464F" w:rsidRPr="0015464F" w:rsidRDefault="0015464F" w:rsidP="00103528">
            <w:pPr>
              <w:pStyle w:val="TableParagraph"/>
              <w:numPr>
                <w:ilvl w:val="0"/>
                <w:numId w:val="17"/>
              </w:numPr>
              <w:tabs>
                <w:tab w:val="left" w:pos="193"/>
              </w:tabs>
              <w:spacing w:line="201" w:lineRule="exact"/>
              <w:ind w:hanging="140"/>
              <w:rPr>
                <w:rFonts w:ascii="Gill Sans MT" w:hAnsi="Gill Sans MT"/>
                <w:sz w:val="18"/>
                <w:szCs w:val="18"/>
              </w:rPr>
            </w:pPr>
            <w:r w:rsidRPr="0015464F">
              <w:rPr>
                <w:rFonts w:ascii="Gill Sans MT" w:hAnsi="Gill Sans MT"/>
                <w:sz w:val="18"/>
                <w:szCs w:val="18"/>
              </w:rPr>
              <w:t xml:space="preserve">enhanced </w:t>
            </w:r>
            <w:r w:rsidRPr="0015464F">
              <w:rPr>
                <w:rFonts w:ascii="Gill Sans MT" w:hAnsi="Gill Sans MT"/>
                <w:spacing w:val="3"/>
                <w:sz w:val="18"/>
                <w:szCs w:val="18"/>
              </w:rPr>
              <w:t xml:space="preserve">therapeutic </w:t>
            </w:r>
            <w:r w:rsidRPr="0015464F">
              <w:rPr>
                <w:rFonts w:ascii="Gill Sans MT" w:hAnsi="Gill Sans MT"/>
                <w:spacing w:val="2"/>
                <w:sz w:val="18"/>
                <w:szCs w:val="18"/>
              </w:rPr>
              <w:t>relationship skills</w:t>
            </w:r>
            <w:r w:rsidRPr="0015464F">
              <w:rPr>
                <w:rFonts w:ascii="Gill Sans MT" w:hAnsi="Gill Sans MT"/>
                <w:spacing w:val="25"/>
                <w:sz w:val="18"/>
                <w:szCs w:val="18"/>
              </w:rPr>
              <w:t xml:space="preserve"> </w:t>
            </w:r>
            <w:r w:rsidRPr="0015464F">
              <w:rPr>
                <w:rFonts w:ascii="Gill Sans MT" w:hAnsi="Gill Sans MT"/>
                <w:sz w:val="18"/>
                <w:szCs w:val="18"/>
              </w:rPr>
              <w:t>among</w:t>
            </w:r>
          </w:p>
          <w:p w:rsidR="0015464F" w:rsidRPr="0015464F" w:rsidRDefault="0015464F" w:rsidP="00AC79F5">
            <w:pPr>
              <w:pStyle w:val="TableParagraph"/>
              <w:spacing w:line="200" w:lineRule="exact"/>
              <w:ind w:left="192"/>
              <w:rPr>
                <w:rFonts w:ascii="Gill Sans MT" w:hAnsi="Gill Sans MT"/>
                <w:sz w:val="18"/>
                <w:szCs w:val="18"/>
              </w:rPr>
            </w:pPr>
            <w:r w:rsidRPr="0015464F">
              <w:rPr>
                <w:rFonts w:ascii="Gill Sans MT" w:hAnsi="Gill Sans MT"/>
                <w:sz w:val="18"/>
                <w:szCs w:val="18"/>
              </w:rPr>
              <w:t>participants through reflection on actual encounters</w:t>
            </w:r>
          </w:p>
          <w:p w:rsidR="0015464F" w:rsidRPr="0015464F" w:rsidRDefault="0015464F" w:rsidP="00103528">
            <w:pPr>
              <w:pStyle w:val="TableParagraph"/>
              <w:numPr>
                <w:ilvl w:val="0"/>
                <w:numId w:val="17"/>
              </w:numPr>
              <w:tabs>
                <w:tab w:val="left" w:pos="193"/>
              </w:tabs>
              <w:spacing w:before="1" w:line="235" w:lineRule="auto"/>
              <w:ind w:right="340" w:hanging="140"/>
              <w:rPr>
                <w:rFonts w:ascii="Gill Sans MT" w:hAnsi="Gill Sans MT"/>
                <w:sz w:val="18"/>
                <w:szCs w:val="18"/>
              </w:rPr>
            </w:pPr>
            <w:r w:rsidRPr="0015464F">
              <w:rPr>
                <w:rFonts w:ascii="Gill Sans MT" w:hAnsi="Gill Sans MT"/>
                <w:sz w:val="18"/>
                <w:szCs w:val="18"/>
              </w:rPr>
              <w:t xml:space="preserve">an improved </w:t>
            </w:r>
            <w:r w:rsidRPr="0015464F">
              <w:rPr>
                <w:rFonts w:ascii="Gill Sans MT" w:hAnsi="Gill Sans MT"/>
                <w:spacing w:val="3"/>
                <w:sz w:val="18"/>
                <w:szCs w:val="18"/>
              </w:rPr>
              <w:t xml:space="preserve">understanding </w:t>
            </w:r>
            <w:r w:rsidRPr="0015464F">
              <w:rPr>
                <w:rFonts w:ascii="Gill Sans MT" w:hAnsi="Gill Sans MT"/>
                <w:sz w:val="18"/>
                <w:szCs w:val="18"/>
              </w:rPr>
              <w:t xml:space="preserve">of </w:t>
            </w:r>
            <w:r w:rsidRPr="0015464F">
              <w:rPr>
                <w:rFonts w:ascii="Gill Sans MT" w:hAnsi="Gill Sans MT"/>
                <w:spacing w:val="2"/>
                <w:sz w:val="18"/>
                <w:szCs w:val="18"/>
              </w:rPr>
              <w:t>patient satisfaction with</w:t>
            </w:r>
            <w:r w:rsidRPr="0015464F">
              <w:rPr>
                <w:rFonts w:ascii="Gill Sans MT" w:hAnsi="Gill Sans MT"/>
                <w:spacing w:val="5"/>
                <w:sz w:val="18"/>
                <w:szCs w:val="18"/>
              </w:rPr>
              <w:t xml:space="preserve"> </w:t>
            </w:r>
            <w:r w:rsidRPr="0015464F">
              <w:rPr>
                <w:rFonts w:ascii="Gill Sans MT" w:hAnsi="Gill Sans MT"/>
                <w:spacing w:val="2"/>
                <w:sz w:val="18"/>
                <w:szCs w:val="18"/>
              </w:rPr>
              <w:t>care</w:t>
            </w:r>
          </w:p>
        </w:tc>
        <w:tc>
          <w:tcPr>
            <w:tcW w:w="1192" w:type="dxa"/>
            <w:tcBorders>
              <w:top w:val="single" w:sz="4"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22" w:line="200" w:lineRule="exact"/>
              <w:ind w:left="52" w:right="40"/>
              <w:rPr>
                <w:rFonts w:ascii="Gill Sans MT" w:hAnsi="Gill Sans MT"/>
                <w:sz w:val="18"/>
                <w:szCs w:val="18"/>
              </w:rPr>
            </w:pPr>
            <w:r w:rsidRPr="0015464F">
              <w:rPr>
                <w:rFonts w:ascii="Gill Sans MT" w:hAnsi="Gill Sans MT"/>
                <w:sz w:val="18"/>
                <w:szCs w:val="18"/>
              </w:rPr>
              <w:t>Westbury Community Centre, RHH, St Vincent’s Private Sydney</w:t>
            </w:r>
          </w:p>
        </w:tc>
        <w:tc>
          <w:tcPr>
            <w:tcW w:w="1070" w:type="dxa"/>
            <w:tcBorders>
              <w:top w:val="single" w:sz="4"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22" w:line="200" w:lineRule="exact"/>
              <w:ind w:left="52"/>
              <w:rPr>
                <w:rFonts w:ascii="Gill Sans MT" w:hAnsi="Gill Sans MT"/>
                <w:sz w:val="18"/>
                <w:szCs w:val="18"/>
              </w:rPr>
            </w:pPr>
            <w:r w:rsidRPr="0015464F">
              <w:rPr>
                <w:rFonts w:ascii="Gill Sans MT" w:hAnsi="Gill Sans MT"/>
                <w:sz w:val="18"/>
                <w:szCs w:val="18"/>
              </w:rPr>
              <w:t>Commenced 2015 –</w:t>
            </w:r>
          </w:p>
          <w:p w:rsidR="0015464F" w:rsidRPr="0015464F" w:rsidRDefault="0015464F"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ongoing</w:t>
            </w:r>
          </w:p>
        </w:tc>
      </w:tr>
      <w:tr w:rsidR="0015464F" w:rsidRPr="0015464F" w:rsidTr="0015464F">
        <w:trPr>
          <w:trHeight w:hRule="exact" w:val="2640"/>
        </w:trPr>
        <w:tc>
          <w:tcPr>
            <w:tcW w:w="2055"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329"/>
              <w:rPr>
                <w:rFonts w:ascii="Gill Sans MT" w:hAnsi="Gill Sans MT"/>
                <w:sz w:val="18"/>
                <w:szCs w:val="18"/>
              </w:rPr>
            </w:pPr>
            <w:r w:rsidRPr="0015464F">
              <w:rPr>
                <w:rFonts w:ascii="Gill Sans MT" w:hAnsi="Gill Sans MT"/>
                <w:sz w:val="18"/>
                <w:szCs w:val="18"/>
              </w:rPr>
              <w:t>Introduction of mealtime assistance interventions, including a coloured</w:t>
            </w:r>
          </w:p>
          <w:p w:rsidR="0015464F" w:rsidRPr="0015464F" w:rsidRDefault="0015464F" w:rsidP="00AC79F5">
            <w:pPr>
              <w:pStyle w:val="TableParagraph"/>
              <w:spacing w:line="200" w:lineRule="exact"/>
              <w:ind w:left="52" w:right="360"/>
              <w:rPr>
                <w:rFonts w:ascii="Gill Sans MT" w:hAnsi="Gill Sans MT"/>
                <w:sz w:val="18"/>
                <w:szCs w:val="18"/>
              </w:rPr>
            </w:pPr>
            <w:r w:rsidRPr="0015464F">
              <w:rPr>
                <w:rFonts w:ascii="Gill Sans MT" w:hAnsi="Gill Sans MT"/>
                <w:sz w:val="18"/>
                <w:szCs w:val="18"/>
              </w:rPr>
              <w:t>tray system, to an acute</w:t>
            </w:r>
          </w:p>
          <w:p w:rsidR="0015464F" w:rsidRPr="0015464F" w:rsidRDefault="0015464F" w:rsidP="00AC79F5">
            <w:pPr>
              <w:pStyle w:val="TableParagraph"/>
              <w:spacing w:line="200" w:lineRule="exact"/>
              <w:ind w:left="52" w:right="170"/>
              <w:rPr>
                <w:rFonts w:ascii="Gill Sans MT" w:hAnsi="Gill Sans MT"/>
                <w:sz w:val="18"/>
                <w:szCs w:val="18"/>
              </w:rPr>
            </w:pPr>
            <w:proofErr w:type="gramStart"/>
            <w:r w:rsidRPr="0015464F">
              <w:rPr>
                <w:rFonts w:ascii="Gill Sans MT" w:hAnsi="Gill Sans MT"/>
                <w:spacing w:val="3"/>
                <w:sz w:val="18"/>
                <w:szCs w:val="18"/>
              </w:rPr>
              <w:t>general</w:t>
            </w:r>
            <w:proofErr w:type="gramEnd"/>
            <w:r w:rsidRPr="0015464F">
              <w:rPr>
                <w:rFonts w:ascii="Gill Sans MT" w:hAnsi="Gill Sans MT"/>
                <w:spacing w:val="3"/>
                <w:sz w:val="18"/>
                <w:szCs w:val="18"/>
              </w:rPr>
              <w:t xml:space="preserve"> </w:t>
            </w:r>
            <w:r w:rsidRPr="0015464F">
              <w:rPr>
                <w:rFonts w:ascii="Gill Sans MT" w:hAnsi="Gill Sans MT"/>
                <w:spacing w:val="2"/>
                <w:sz w:val="18"/>
                <w:szCs w:val="18"/>
              </w:rPr>
              <w:t xml:space="preserve">medical inpatient ward: </w:t>
            </w:r>
            <w:r w:rsidRPr="0015464F">
              <w:rPr>
                <w:rFonts w:ascii="Gill Sans MT" w:hAnsi="Gill Sans MT"/>
                <w:sz w:val="18"/>
                <w:szCs w:val="18"/>
              </w:rPr>
              <w:t xml:space="preserve">a </w:t>
            </w:r>
            <w:r w:rsidRPr="0015464F">
              <w:rPr>
                <w:rFonts w:ascii="Gill Sans MT" w:hAnsi="Gill Sans MT"/>
                <w:spacing w:val="3"/>
                <w:sz w:val="18"/>
                <w:szCs w:val="18"/>
              </w:rPr>
              <w:t xml:space="preserve">best </w:t>
            </w:r>
            <w:r w:rsidRPr="0015464F">
              <w:rPr>
                <w:rFonts w:ascii="Gill Sans MT" w:hAnsi="Gill Sans MT"/>
                <w:spacing w:val="2"/>
                <w:sz w:val="18"/>
                <w:szCs w:val="18"/>
              </w:rPr>
              <w:t xml:space="preserve">practice implementation </w:t>
            </w:r>
            <w:r w:rsidRPr="0015464F">
              <w:rPr>
                <w:rFonts w:ascii="Gill Sans MT" w:hAnsi="Gill Sans MT"/>
                <w:spacing w:val="3"/>
                <w:sz w:val="18"/>
                <w:szCs w:val="18"/>
              </w:rPr>
              <w:t>project.</w:t>
            </w:r>
          </w:p>
        </w:tc>
        <w:tc>
          <w:tcPr>
            <w:tcW w:w="144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412"/>
              <w:rPr>
                <w:rFonts w:ascii="Gill Sans MT" w:hAnsi="Gill Sans MT"/>
                <w:sz w:val="18"/>
                <w:szCs w:val="18"/>
              </w:rPr>
            </w:pPr>
            <w:r w:rsidRPr="0015464F">
              <w:rPr>
                <w:rFonts w:ascii="Gill Sans MT" w:hAnsi="Gill Sans MT"/>
                <w:sz w:val="18"/>
                <w:szCs w:val="18"/>
              </w:rPr>
              <w:t>Walsh, K. Sykes, P.</w:t>
            </w:r>
          </w:p>
        </w:tc>
        <w:tc>
          <w:tcPr>
            <w:tcW w:w="4136"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76"/>
              <w:rPr>
                <w:rFonts w:ascii="Gill Sans MT" w:hAnsi="Gill Sans MT"/>
                <w:sz w:val="18"/>
                <w:szCs w:val="18"/>
              </w:rPr>
            </w:pPr>
            <w:r w:rsidRPr="0015464F">
              <w:rPr>
                <w:rFonts w:ascii="Gill Sans MT" w:hAnsi="Gill Sans MT"/>
                <w:spacing w:val="2"/>
                <w:sz w:val="18"/>
                <w:szCs w:val="18"/>
              </w:rPr>
              <w:t xml:space="preserve">The </w:t>
            </w:r>
            <w:r w:rsidRPr="0015464F">
              <w:rPr>
                <w:rFonts w:ascii="Gill Sans MT" w:hAnsi="Gill Sans MT"/>
                <w:sz w:val="18"/>
                <w:szCs w:val="18"/>
              </w:rPr>
              <w:t xml:space="preserve">focus of this </w:t>
            </w:r>
            <w:r w:rsidRPr="0015464F">
              <w:rPr>
                <w:rFonts w:ascii="Gill Sans MT" w:hAnsi="Gill Sans MT"/>
                <w:spacing w:val="2"/>
                <w:sz w:val="18"/>
                <w:szCs w:val="18"/>
              </w:rPr>
              <w:t xml:space="preserve">study </w:t>
            </w:r>
            <w:r w:rsidRPr="0015464F">
              <w:rPr>
                <w:rFonts w:ascii="Gill Sans MT" w:hAnsi="Gill Sans MT"/>
                <w:sz w:val="18"/>
                <w:szCs w:val="18"/>
              </w:rPr>
              <w:t xml:space="preserve">is the </w:t>
            </w:r>
            <w:r w:rsidRPr="0015464F">
              <w:rPr>
                <w:rFonts w:ascii="Gill Sans MT" w:hAnsi="Gill Sans MT"/>
                <w:spacing w:val="2"/>
                <w:sz w:val="18"/>
                <w:szCs w:val="18"/>
              </w:rPr>
              <w:t xml:space="preserve">assistance </w:t>
            </w:r>
            <w:r w:rsidRPr="0015464F">
              <w:rPr>
                <w:rFonts w:ascii="Gill Sans MT" w:hAnsi="Gill Sans MT"/>
                <w:sz w:val="18"/>
                <w:szCs w:val="18"/>
              </w:rPr>
              <w:t xml:space="preserve">given to </w:t>
            </w:r>
            <w:r w:rsidRPr="0015464F">
              <w:rPr>
                <w:rFonts w:ascii="Gill Sans MT" w:hAnsi="Gill Sans MT"/>
                <w:spacing w:val="2"/>
                <w:sz w:val="18"/>
                <w:szCs w:val="18"/>
              </w:rPr>
              <w:t xml:space="preserve">patients </w:t>
            </w:r>
            <w:r w:rsidRPr="0015464F">
              <w:rPr>
                <w:rFonts w:ascii="Gill Sans MT" w:hAnsi="Gill Sans MT"/>
                <w:sz w:val="18"/>
                <w:szCs w:val="18"/>
              </w:rPr>
              <w:t xml:space="preserve">at </w:t>
            </w:r>
            <w:r w:rsidRPr="0015464F">
              <w:rPr>
                <w:rFonts w:ascii="Gill Sans MT" w:hAnsi="Gill Sans MT"/>
                <w:spacing w:val="2"/>
                <w:sz w:val="18"/>
                <w:szCs w:val="18"/>
              </w:rPr>
              <w:t xml:space="preserve">mealtimes. The study </w:t>
            </w:r>
            <w:r w:rsidRPr="0015464F">
              <w:rPr>
                <w:rFonts w:ascii="Gill Sans MT" w:hAnsi="Gill Sans MT"/>
                <w:sz w:val="18"/>
                <w:szCs w:val="18"/>
              </w:rPr>
              <w:t xml:space="preserve">is </w:t>
            </w:r>
            <w:r w:rsidRPr="0015464F">
              <w:rPr>
                <w:rFonts w:ascii="Gill Sans MT" w:hAnsi="Gill Sans MT"/>
                <w:spacing w:val="2"/>
                <w:sz w:val="18"/>
                <w:szCs w:val="18"/>
              </w:rPr>
              <w:t xml:space="preserve">seen as </w:t>
            </w:r>
            <w:r w:rsidRPr="0015464F">
              <w:rPr>
                <w:rFonts w:ascii="Gill Sans MT" w:hAnsi="Gill Sans MT"/>
                <w:sz w:val="18"/>
                <w:szCs w:val="18"/>
              </w:rPr>
              <w:t xml:space="preserve">an </w:t>
            </w:r>
            <w:r w:rsidRPr="0015464F">
              <w:rPr>
                <w:rFonts w:ascii="Gill Sans MT" w:hAnsi="Gill Sans MT"/>
                <w:spacing w:val="2"/>
                <w:sz w:val="18"/>
                <w:szCs w:val="18"/>
              </w:rPr>
              <w:t xml:space="preserve">initial </w:t>
            </w:r>
            <w:r w:rsidRPr="0015464F">
              <w:rPr>
                <w:rFonts w:ascii="Gill Sans MT" w:hAnsi="Gill Sans MT"/>
                <w:spacing w:val="3"/>
                <w:sz w:val="18"/>
                <w:szCs w:val="18"/>
              </w:rPr>
              <w:t xml:space="preserve">step </w:t>
            </w:r>
            <w:r w:rsidRPr="0015464F">
              <w:rPr>
                <w:rFonts w:ascii="Gill Sans MT" w:hAnsi="Gill Sans MT"/>
                <w:sz w:val="18"/>
                <w:szCs w:val="18"/>
              </w:rPr>
              <w:t xml:space="preserve">in </w:t>
            </w:r>
            <w:r w:rsidRPr="0015464F">
              <w:rPr>
                <w:rFonts w:ascii="Gill Sans MT" w:hAnsi="Gill Sans MT"/>
                <w:spacing w:val="3"/>
                <w:sz w:val="18"/>
                <w:szCs w:val="18"/>
              </w:rPr>
              <w:t xml:space="preserve">staff </w:t>
            </w:r>
            <w:r w:rsidRPr="0015464F">
              <w:rPr>
                <w:rFonts w:ascii="Gill Sans MT" w:hAnsi="Gill Sans MT"/>
                <w:sz w:val="18"/>
                <w:szCs w:val="18"/>
              </w:rPr>
              <w:t xml:space="preserve">to becoming </w:t>
            </w:r>
            <w:r w:rsidRPr="0015464F">
              <w:rPr>
                <w:rFonts w:ascii="Gill Sans MT" w:hAnsi="Gill Sans MT"/>
                <w:spacing w:val="2"/>
                <w:sz w:val="18"/>
                <w:szCs w:val="18"/>
              </w:rPr>
              <w:t xml:space="preserve">more </w:t>
            </w:r>
            <w:r w:rsidRPr="0015464F">
              <w:rPr>
                <w:rFonts w:ascii="Gill Sans MT" w:hAnsi="Gill Sans MT"/>
                <w:sz w:val="18"/>
                <w:szCs w:val="18"/>
              </w:rPr>
              <w:t xml:space="preserve">food </w:t>
            </w:r>
            <w:r w:rsidRPr="0015464F">
              <w:rPr>
                <w:rFonts w:ascii="Gill Sans MT" w:hAnsi="Gill Sans MT"/>
                <w:spacing w:val="2"/>
                <w:sz w:val="18"/>
                <w:szCs w:val="18"/>
              </w:rPr>
              <w:t xml:space="preserve">aware. It </w:t>
            </w:r>
            <w:r w:rsidRPr="0015464F">
              <w:rPr>
                <w:rFonts w:ascii="Gill Sans MT" w:hAnsi="Gill Sans MT"/>
                <w:sz w:val="18"/>
                <w:szCs w:val="18"/>
              </w:rPr>
              <w:t xml:space="preserve">is aimed at designing </w:t>
            </w:r>
            <w:r w:rsidRPr="0015464F">
              <w:rPr>
                <w:rFonts w:ascii="Gill Sans MT" w:hAnsi="Gill Sans MT"/>
                <w:spacing w:val="2"/>
                <w:sz w:val="18"/>
                <w:szCs w:val="18"/>
              </w:rPr>
              <w:t xml:space="preserve">systems </w:t>
            </w:r>
            <w:r w:rsidRPr="0015464F">
              <w:rPr>
                <w:rFonts w:ascii="Gill Sans MT" w:hAnsi="Gill Sans MT"/>
                <w:sz w:val="18"/>
                <w:szCs w:val="18"/>
              </w:rPr>
              <w:t xml:space="preserve">and processes to </w:t>
            </w:r>
            <w:r w:rsidRPr="0015464F">
              <w:rPr>
                <w:rFonts w:ascii="Gill Sans MT" w:hAnsi="Gill Sans MT"/>
                <w:spacing w:val="2"/>
                <w:sz w:val="18"/>
                <w:szCs w:val="18"/>
              </w:rPr>
              <w:t xml:space="preserve">ensure patients who </w:t>
            </w:r>
            <w:r w:rsidRPr="0015464F">
              <w:rPr>
                <w:rFonts w:ascii="Gill Sans MT" w:hAnsi="Gill Sans MT"/>
                <w:sz w:val="18"/>
                <w:szCs w:val="18"/>
              </w:rPr>
              <w:t xml:space="preserve">need </w:t>
            </w:r>
            <w:r w:rsidRPr="0015464F">
              <w:rPr>
                <w:rFonts w:ascii="Gill Sans MT" w:hAnsi="Gill Sans MT"/>
                <w:spacing w:val="2"/>
                <w:sz w:val="18"/>
                <w:szCs w:val="18"/>
              </w:rPr>
              <w:t xml:space="preserve">assistance </w:t>
            </w:r>
            <w:r w:rsidRPr="0015464F">
              <w:rPr>
                <w:rFonts w:ascii="Gill Sans MT" w:hAnsi="Gill Sans MT"/>
                <w:sz w:val="18"/>
                <w:szCs w:val="18"/>
              </w:rPr>
              <w:t xml:space="preserve">at </w:t>
            </w:r>
            <w:r w:rsidRPr="0015464F">
              <w:rPr>
                <w:rFonts w:ascii="Gill Sans MT" w:hAnsi="Gill Sans MT"/>
                <w:spacing w:val="2"/>
                <w:sz w:val="18"/>
                <w:szCs w:val="18"/>
              </w:rPr>
              <w:t xml:space="preserve">mealtime </w:t>
            </w:r>
            <w:r w:rsidRPr="0015464F">
              <w:rPr>
                <w:rFonts w:ascii="Gill Sans MT" w:hAnsi="Gill Sans MT"/>
                <w:sz w:val="18"/>
                <w:szCs w:val="18"/>
              </w:rPr>
              <w:t xml:space="preserve">receive the </w:t>
            </w:r>
            <w:r w:rsidRPr="0015464F">
              <w:rPr>
                <w:rFonts w:ascii="Gill Sans MT" w:hAnsi="Gill Sans MT"/>
                <w:spacing w:val="2"/>
                <w:sz w:val="18"/>
                <w:szCs w:val="18"/>
              </w:rPr>
              <w:t xml:space="preserve">assistance required. The project </w:t>
            </w:r>
            <w:r w:rsidRPr="0015464F">
              <w:rPr>
                <w:rFonts w:ascii="Gill Sans MT" w:hAnsi="Gill Sans MT"/>
                <w:sz w:val="18"/>
                <w:szCs w:val="18"/>
              </w:rPr>
              <w:t>will include the</w:t>
            </w:r>
            <w:r w:rsidRPr="0015464F">
              <w:rPr>
                <w:rFonts w:ascii="Gill Sans MT" w:hAnsi="Gill Sans MT"/>
                <w:spacing w:val="38"/>
                <w:sz w:val="18"/>
                <w:szCs w:val="18"/>
              </w:rPr>
              <w:t xml:space="preserve"> </w:t>
            </w:r>
            <w:r w:rsidRPr="0015464F">
              <w:rPr>
                <w:rFonts w:ascii="Gill Sans MT" w:hAnsi="Gill Sans MT"/>
                <w:spacing w:val="2"/>
                <w:sz w:val="18"/>
                <w:szCs w:val="18"/>
              </w:rPr>
              <w:t>introduction</w:t>
            </w:r>
          </w:p>
          <w:p w:rsidR="0015464F" w:rsidRPr="0015464F" w:rsidRDefault="0015464F" w:rsidP="00AC79F5">
            <w:pPr>
              <w:pStyle w:val="TableParagraph"/>
              <w:spacing w:line="200" w:lineRule="exact"/>
              <w:ind w:left="52"/>
              <w:rPr>
                <w:rFonts w:ascii="Gill Sans MT" w:hAnsi="Gill Sans MT"/>
                <w:sz w:val="18"/>
                <w:szCs w:val="18"/>
              </w:rPr>
            </w:pPr>
            <w:proofErr w:type="gramStart"/>
            <w:r w:rsidRPr="0015464F">
              <w:rPr>
                <w:rFonts w:ascii="Gill Sans MT" w:hAnsi="Gill Sans MT"/>
                <w:sz w:val="18"/>
                <w:szCs w:val="18"/>
              </w:rPr>
              <w:t>and</w:t>
            </w:r>
            <w:proofErr w:type="gramEnd"/>
            <w:r w:rsidRPr="0015464F">
              <w:rPr>
                <w:rFonts w:ascii="Gill Sans MT" w:hAnsi="Gill Sans MT"/>
                <w:sz w:val="18"/>
                <w:szCs w:val="18"/>
              </w:rPr>
              <w:t xml:space="preserve"> evaluation of a coloured tray system to improve mealtime assistance.</w:t>
            </w:r>
          </w:p>
        </w:tc>
        <w:tc>
          <w:tcPr>
            <w:tcW w:w="1192"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6"/>
              <w:ind w:left="52"/>
              <w:rPr>
                <w:rFonts w:ascii="Gill Sans MT" w:hAnsi="Gill Sans MT"/>
                <w:sz w:val="18"/>
                <w:szCs w:val="18"/>
              </w:rPr>
            </w:pPr>
            <w:r w:rsidRPr="0015464F">
              <w:rPr>
                <w:rFonts w:ascii="Gill Sans MT" w:hAnsi="Gill Sans MT"/>
                <w:sz w:val="18"/>
                <w:szCs w:val="18"/>
              </w:rPr>
              <w:t>RHH</w:t>
            </w:r>
          </w:p>
        </w:tc>
        <w:tc>
          <w:tcPr>
            <w:tcW w:w="107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Pr>
                <w:rFonts w:ascii="Gill Sans MT" w:hAnsi="Gill Sans MT"/>
                <w:sz w:val="18"/>
                <w:szCs w:val="18"/>
              </w:rPr>
            </w:pPr>
            <w:r w:rsidRPr="0015464F">
              <w:rPr>
                <w:rFonts w:ascii="Gill Sans MT" w:hAnsi="Gill Sans MT"/>
                <w:sz w:val="18"/>
                <w:szCs w:val="18"/>
              </w:rPr>
              <w:t>Commenced 2016-</w:t>
            </w:r>
          </w:p>
          <w:p w:rsidR="0015464F" w:rsidRPr="0015464F" w:rsidRDefault="0015464F"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ongoing</w:t>
            </w:r>
          </w:p>
        </w:tc>
      </w:tr>
      <w:tr w:rsidR="0015464F" w:rsidRPr="0015464F" w:rsidTr="0015464F">
        <w:trPr>
          <w:trHeight w:hRule="exact" w:val="2240"/>
        </w:trPr>
        <w:tc>
          <w:tcPr>
            <w:tcW w:w="2055"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73"/>
              <w:rPr>
                <w:rFonts w:ascii="Gill Sans MT" w:hAnsi="Gill Sans MT"/>
                <w:sz w:val="18"/>
                <w:szCs w:val="18"/>
              </w:rPr>
            </w:pPr>
            <w:r w:rsidRPr="0015464F">
              <w:rPr>
                <w:rFonts w:ascii="Gill Sans MT" w:hAnsi="Gill Sans MT"/>
                <w:sz w:val="18"/>
                <w:szCs w:val="18"/>
              </w:rPr>
              <w:t>Getting the job done - ways of working in the operating room and implications for patient safety and nursing practice.</w:t>
            </w:r>
          </w:p>
        </w:tc>
        <w:tc>
          <w:tcPr>
            <w:tcW w:w="144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412"/>
              <w:rPr>
                <w:rFonts w:ascii="Gill Sans MT" w:hAnsi="Gill Sans MT"/>
                <w:sz w:val="18"/>
                <w:szCs w:val="18"/>
              </w:rPr>
            </w:pPr>
            <w:r w:rsidRPr="0015464F">
              <w:rPr>
                <w:rFonts w:ascii="Gill Sans MT" w:hAnsi="Gill Sans MT"/>
                <w:sz w:val="18"/>
                <w:szCs w:val="18"/>
              </w:rPr>
              <w:t>Bingham,S. Walsh, K. Ford, K.</w:t>
            </w:r>
          </w:p>
        </w:tc>
        <w:tc>
          <w:tcPr>
            <w:tcW w:w="4136"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8" w:line="200" w:lineRule="exact"/>
              <w:ind w:left="52" w:right="243"/>
              <w:rPr>
                <w:rFonts w:ascii="Gill Sans MT" w:hAnsi="Gill Sans MT"/>
                <w:sz w:val="18"/>
                <w:szCs w:val="18"/>
              </w:rPr>
            </w:pPr>
            <w:r w:rsidRPr="0015464F">
              <w:rPr>
                <w:rFonts w:ascii="Gill Sans MT" w:hAnsi="Gill Sans MT"/>
                <w:sz w:val="18"/>
                <w:szCs w:val="18"/>
              </w:rPr>
              <w:t>This research is about patient safety during surgery and the role of the perioperative nurse in minimizing the risk of patient harm. The ways that perioperative nurses respond and adapt to competing goals and demands in order to get the job done is the focus</w:t>
            </w:r>
          </w:p>
          <w:p w:rsidR="0015464F" w:rsidRPr="0015464F" w:rsidRDefault="0015464F" w:rsidP="00AC79F5">
            <w:pPr>
              <w:pStyle w:val="TableParagraph"/>
              <w:spacing w:line="200" w:lineRule="exact"/>
              <w:ind w:left="52" w:right="116"/>
              <w:rPr>
                <w:rFonts w:ascii="Gill Sans MT" w:hAnsi="Gill Sans MT"/>
                <w:sz w:val="18"/>
                <w:szCs w:val="18"/>
              </w:rPr>
            </w:pPr>
            <w:proofErr w:type="gramStart"/>
            <w:r w:rsidRPr="0015464F">
              <w:rPr>
                <w:rFonts w:ascii="Gill Sans MT" w:hAnsi="Gill Sans MT"/>
                <w:sz w:val="18"/>
                <w:szCs w:val="18"/>
              </w:rPr>
              <w:t>of</w:t>
            </w:r>
            <w:proofErr w:type="gramEnd"/>
            <w:r w:rsidRPr="0015464F">
              <w:rPr>
                <w:rFonts w:ascii="Gill Sans MT" w:hAnsi="Gill Sans MT"/>
                <w:sz w:val="18"/>
                <w:szCs w:val="18"/>
              </w:rPr>
              <w:t xml:space="preserve"> this project. The aim of this research is to better understand the relationship between the ways that perioperative nurses work and patient safety so that perioperative nurses can minimise the risk of harm to their patients and patients can remain free from injury during their surgery.</w:t>
            </w:r>
          </w:p>
        </w:tc>
        <w:tc>
          <w:tcPr>
            <w:tcW w:w="1192"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6"/>
              <w:ind w:left="52"/>
              <w:rPr>
                <w:rFonts w:ascii="Gill Sans MT" w:hAnsi="Gill Sans MT"/>
                <w:sz w:val="18"/>
                <w:szCs w:val="18"/>
              </w:rPr>
            </w:pPr>
            <w:r w:rsidRPr="0015464F">
              <w:rPr>
                <w:rFonts w:ascii="Gill Sans MT" w:hAnsi="Gill Sans MT"/>
                <w:sz w:val="18"/>
                <w:szCs w:val="18"/>
              </w:rPr>
              <w:t>RHH</w:t>
            </w:r>
          </w:p>
        </w:tc>
        <w:tc>
          <w:tcPr>
            <w:tcW w:w="107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Pr>
                <w:rFonts w:ascii="Gill Sans MT" w:hAnsi="Gill Sans MT"/>
                <w:sz w:val="18"/>
                <w:szCs w:val="18"/>
              </w:rPr>
            </w:pPr>
            <w:r w:rsidRPr="0015464F">
              <w:rPr>
                <w:rFonts w:ascii="Gill Sans MT" w:hAnsi="Gill Sans MT"/>
                <w:sz w:val="18"/>
                <w:szCs w:val="18"/>
              </w:rPr>
              <w:t>Commenced 2015</w:t>
            </w:r>
          </w:p>
          <w:p w:rsidR="0015464F" w:rsidRPr="0015464F" w:rsidRDefault="0015464F"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-ongoing.</w:t>
            </w:r>
          </w:p>
        </w:tc>
      </w:tr>
      <w:tr w:rsidR="0015464F" w:rsidRPr="0015464F" w:rsidTr="0015464F">
        <w:trPr>
          <w:trHeight w:hRule="exact" w:val="1640"/>
        </w:trPr>
        <w:tc>
          <w:tcPr>
            <w:tcW w:w="2055"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6" w:line="202" w:lineRule="exact"/>
              <w:ind w:left="52"/>
              <w:rPr>
                <w:rFonts w:ascii="Gill Sans MT" w:hAnsi="Gill Sans MT"/>
                <w:sz w:val="18"/>
                <w:szCs w:val="18"/>
              </w:rPr>
            </w:pPr>
            <w:r w:rsidRPr="0015464F">
              <w:rPr>
                <w:rFonts w:ascii="Gill Sans MT" w:hAnsi="Gill Sans MT"/>
                <w:sz w:val="18"/>
                <w:szCs w:val="18"/>
              </w:rPr>
              <w:t>Arts in Health</w:t>
            </w:r>
          </w:p>
          <w:p w:rsidR="0015464F" w:rsidRPr="0015464F" w:rsidRDefault="0015464F" w:rsidP="00AC79F5">
            <w:pPr>
              <w:pStyle w:val="TableParagraph"/>
              <w:spacing w:before="1" w:line="235" w:lineRule="auto"/>
              <w:ind w:left="52"/>
              <w:rPr>
                <w:rFonts w:ascii="Gill Sans MT" w:hAnsi="Gill Sans MT"/>
                <w:sz w:val="18"/>
                <w:szCs w:val="18"/>
              </w:rPr>
            </w:pPr>
            <w:r w:rsidRPr="0015464F">
              <w:rPr>
                <w:rFonts w:ascii="Gill Sans MT" w:hAnsi="Gill Sans MT"/>
                <w:sz w:val="18"/>
                <w:szCs w:val="18"/>
              </w:rPr>
              <w:t>– Pilot Project: Acute Older Person’s Unit</w:t>
            </w:r>
          </w:p>
        </w:tc>
        <w:tc>
          <w:tcPr>
            <w:tcW w:w="144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ight="412"/>
              <w:rPr>
                <w:rFonts w:ascii="Gill Sans MT" w:hAnsi="Gill Sans MT"/>
                <w:sz w:val="18"/>
                <w:szCs w:val="18"/>
              </w:rPr>
            </w:pPr>
            <w:r w:rsidRPr="0015464F">
              <w:rPr>
                <w:rFonts w:ascii="Gill Sans MT" w:hAnsi="Gill Sans MT"/>
                <w:sz w:val="18"/>
                <w:szCs w:val="18"/>
              </w:rPr>
              <w:t>Ford, K Dawborn, J Tesch, L Styles, L</w:t>
            </w:r>
          </w:p>
        </w:tc>
        <w:tc>
          <w:tcPr>
            <w:tcW w:w="4136"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ight="368"/>
              <w:rPr>
                <w:rFonts w:ascii="Gill Sans MT" w:hAnsi="Gill Sans MT"/>
                <w:sz w:val="18"/>
                <w:szCs w:val="18"/>
              </w:rPr>
            </w:pPr>
            <w:r w:rsidRPr="0015464F">
              <w:rPr>
                <w:rFonts w:ascii="Gill Sans MT" w:hAnsi="Gill Sans MT"/>
                <w:sz w:val="18"/>
                <w:szCs w:val="18"/>
              </w:rPr>
              <w:t>This arts in health pilot involved evaluation of the arts in health project on the Acute Older Person’s Unit of the RHH. The arts health worker worked with patients, their families/carers and staff of the</w:t>
            </w:r>
          </w:p>
          <w:p w:rsidR="0015464F" w:rsidRPr="0015464F" w:rsidRDefault="0015464F" w:rsidP="00AC79F5">
            <w:pPr>
              <w:pStyle w:val="TableParagraph"/>
              <w:spacing w:line="200" w:lineRule="exact"/>
              <w:ind w:left="52" w:right="50"/>
              <w:rPr>
                <w:rFonts w:ascii="Gill Sans MT" w:hAnsi="Gill Sans MT"/>
                <w:sz w:val="18"/>
                <w:szCs w:val="18"/>
              </w:rPr>
            </w:pPr>
            <w:proofErr w:type="gramStart"/>
            <w:r w:rsidRPr="0015464F">
              <w:rPr>
                <w:rFonts w:ascii="Gill Sans MT" w:hAnsi="Gill Sans MT"/>
                <w:spacing w:val="3"/>
                <w:sz w:val="18"/>
                <w:szCs w:val="18"/>
              </w:rPr>
              <w:t>unit</w:t>
            </w:r>
            <w:proofErr w:type="gramEnd"/>
            <w:r w:rsidRPr="0015464F">
              <w:rPr>
                <w:rFonts w:ascii="Gill Sans MT" w:hAnsi="Gill Sans MT"/>
                <w:spacing w:val="3"/>
                <w:sz w:val="18"/>
                <w:szCs w:val="18"/>
              </w:rPr>
              <w:t xml:space="preserve">. </w:t>
            </w:r>
            <w:r w:rsidRPr="0015464F">
              <w:rPr>
                <w:rFonts w:ascii="Gill Sans MT" w:hAnsi="Gill Sans MT"/>
                <w:spacing w:val="2"/>
                <w:sz w:val="18"/>
                <w:szCs w:val="18"/>
              </w:rPr>
              <w:t xml:space="preserve">The program </w:t>
            </w:r>
            <w:r w:rsidRPr="0015464F">
              <w:rPr>
                <w:rFonts w:ascii="Gill Sans MT" w:hAnsi="Gill Sans MT"/>
                <w:sz w:val="18"/>
                <w:szCs w:val="18"/>
              </w:rPr>
              <w:t xml:space="preserve">aimed to improve the </w:t>
            </w:r>
            <w:proofErr w:type="gramStart"/>
            <w:r w:rsidRPr="0015464F">
              <w:rPr>
                <w:rFonts w:ascii="Gill Sans MT" w:hAnsi="Gill Sans MT"/>
                <w:spacing w:val="2"/>
                <w:sz w:val="18"/>
                <w:szCs w:val="18"/>
              </w:rPr>
              <w:t xml:space="preserve">experiences  </w:t>
            </w:r>
            <w:r w:rsidRPr="0015464F">
              <w:rPr>
                <w:rFonts w:ascii="Gill Sans MT" w:hAnsi="Gill Sans MT"/>
                <w:sz w:val="18"/>
                <w:szCs w:val="18"/>
              </w:rPr>
              <w:t>of</w:t>
            </w:r>
            <w:proofErr w:type="gramEnd"/>
            <w:r w:rsidRPr="0015464F">
              <w:rPr>
                <w:rFonts w:ascii="Gill Sans MT" w:hAnsi="Gill Sans MT"/>
                <w:sz w:val="18"/>
                <w:szCs w:val="18"/>
              </w:rPr>
              <w:t xml:space="preserve"> </w:t>
            </w:r>
            <w:r w:rsidRPr="0015464F">
              <w:rPr>
                <w:rFonts w:ascii="Gill Sans MT" w:hAnsi="Gill Sans MT"/>
                <w:spacing w:val="2"/>
                <w:sz w:val="18"/>
                <w:szCs w:val="18"/>
              </w:rPr>
              <w:t xml:space="preserve">patients, families/carers </w:t>
            </w:r>
            <w:r w:rsidRPr="0015464F">
              <w:rPr>
                <w:rFonts w:ascii="Gill Sans MT" w:hAnsi="Gill Sans MT"/>
                <w:sz w:val="18"/>
                <w:szCs w:val="18"/>
              </w:rPr>
              <w:t xml:space="preserve">and </w:t>
            </w:r>
            <w:r w:rsidRPr="0015464F">
              <w:rPr>
                <w:rFonts w:ascii="Gill Sans MT" w:hAnsi="Gill Sans MT"/>
                <w:spacing w:val="3"/>
                <w:sz w:val="18"/>
                <w:szCs w:val="18"/>
              </w:rPr>
              <w:t xml:space="preserve">staff </w:t>
            </w:r>
            <w:r w:rsidRPr="0015464F">
              <w:rPr>
                <w:rFonts w:ascii="Gill Sans MT" w:hAnsi="Gill Sans MT"/>
                <w:spacing w:val="2"/>
                <w:sz w:val="18"/>
                <w:szCs w:val="18"/>
              </w:rPr>
              <w:t xml:space="preserve">through </w:t>
            </w:r>
            <w:r w:rsidRPr="0015464F">
              <w:rPr>
                <w:rFonts w:ascii="Gill Sans MT" w:hAnsi="Gill Sans MT"/>
                <w:sz w:val="18"/>
                <w:szCs w:val="18"/>
              </w:rPr>
              <w:t xml:space="preserve">their </w:t>
            </w:r>
            <w:r w:rsidRPr="0015464F">
              <w:rPr>
                <w:rFonts w:ascii="Gill Sans MT" w:hAnsi="Gill Sans MT"/>
                <w:spacing w:val="2"/>
                <w:sz w:val="18"/>
                <w:szCs w:val="18"/>
              </w:rPr>
              <w:t xml:space="preserve">engagement </w:t>
            </w:r>
            <w:r w:rsidRPr="0015464F">
              <w:rPr>
                <w:rFonts w:ascii="Gill Sans MT" w:hAnsi="Gill Sans MT"/>
                <w:sz w:val="18"/>
                <w:szCs w:val="18"/>
              </w:rPr>
              <w:t xml:space="preserve">in </w:t>
            </w:r>
            <w:r w:rsidRPr="0015464F">
              <w:rPr>
                <w:rFonts w:ascii="Gill Sans MT" w:hAnsi="Gill Sans MT"/>
                <w:spacing w:val="5"/>
                <w:sz w:val="18"/>
                <w:szCs w:val="18"/>
              </w:rPr>
              <w:t xml:space="preserve">arts </w:t>
            </w:r>
            <w:r w:rsidRPr="0015464F">
              <w:rPr>
                <w:rFonts w:ascii="Gill Sans MT" w:hAnsi="Gill Sans MT"/>
                <w:spacing w:val="3"/>
                <w:sz w:val="18"/>
                <w:szCs w:val="18"/>
              </w:rPr>
              <w:t xml:space="preserve">activities. </w:t>
            </w:r>
            <w:r w:rsidRPr="0015464F">
              <w:rPr>
                <w:rFonts w:ascii="Gill Sans MT" w:hAnsi="Gill Sans MT"/>
                <w:spacing w:val="2"/>
                <w:sz w:val="18"/>
                <w:szCs w:val="18"/>
              </w:rPr>
              <w:t xml:space="preserve">The project </w:t>
            </w:r>
            <w:r w:rsidRPr="0015464F">
              <w:rPr>
                <w:rFonts w:ascii="Gill Sans MT" w:hAnsi="Gill Sans MT"/>
                <w:sz w:val="18"/>
                <w:szCs w:val="18"/>
              </w:rPr>
              <w:t>had 3</w:t>
            </w:r>
            <w:r w:rsidRPr="0015464F">
              <w:rPr>
                <w:rFonts w:ascii="Gill Sans MT" w:hAnsi="Gill Sans MT"/>
                <w:spacing w:val="-4"/>
                <w:sz w:val="18"/>
                <w:szCs w:val="18"/>
              </w:rPr>
              <w:t xml:space="preserve"> </w:t>
            </w:r>
            <w:r w:rsidRPr="0015464F">
              <w:rPr>
                <w:rFonts w:ascii="Gill Sans MT" w:hAnsi="Gill Sans MT"/>
                <w:spacing w:val="2"/>
                <w:sz w:val="18"/>
                <w:szCs w:val="18"/>
              </w:rPr>
              <w:t>phases:</w:t>
            </w:r>
          </w:p>
          <w:p w:rsidR="0015464F" w:rsidRPr="0015464F" w:rsidRDefault="0015464F"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1. Consultation; 2. Implementation and 3: Evaluation.</w:t>
            </w:r>
          </w:p>
        </w:tc>
        <w:tc>
          <w:tcPr>
            <w:tcW w:w="1192"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6"/>
              <w:ind w:left="52"/>
              <w:rPr>
                <w:rFonts w:ascii="Gill Sans MT" w:hAnsi="Gill Sans MT"/>
                <w:sz w:val="18"/>
                <w:szCs w:val="18"/>
              </w:rPr>
            </w:pPr>
            <w:r w:rsidRPr="0015464F">
              <w:rPr>
                <w:rFonts w:ascii="Gill Sans MT" w:hAnsi="Gill Sans MT"/>
                <w:sz w:val="18"/>
                <w:szCs w:val="18"/>
              </w:rPr>
              <w:t>RHH</w:t>
            </w:r>
          </w:p>
        </w:tc>
        <w:tc>
          <w:tcPr>
            <w:tcW w:w="1070" w:type="dxa"/>
            <w:tcBorders>
              <w:top w:val="single" w:sz="3" w:space="0" w:color="004D8F"/>
              <w:left w:val="single" w:sz="3" w:space="0" w:color="004D8F"/>
              <w:bottom w:val="single" w:sz="3"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Pr>
                <w:rFonts w:ascii="Gill Sans MT" w:hAnsi="Gill Sans MT"/>
                <w:sz w:val="18"/>
                <w:szCs w:val="18"/>
              </w:rPr>
            </w:pPr>
            <w:r w:rsidRPr="0015464F">
              <w:rPr>
                <w:rFonts w:ascii="Gill Sans MT" w:hAnsi="Gill Sans MT"/>
                <w:sz w:val="18"/>
                <w:szCs w:val="18"/>
              </w:rPr>
              <w:t>Commenced 2015.</w:t>
            </w:r>
          </w:p>
          <w:p w:rsidR="0015464F" w:rsidRPr="0015464F" w:rsidRDefault="0015464F" w:rsidP="00AC79F5">
            <w:pPr>
              <w:pStyle w:val="TableParagraph"/>
              <w:spacing w:line="200" w:lineRule="exact"/>
              <w:ind w:left="52"/>
              <w:rPr>
                <w:rFonts w:ascii="Gill Sans MT" w:hAnsi="Gill Sans MT"/>
                <w:sz w:val="18"/>
                <w:szCs w:val="18"/>
              </w:rPr>
            </w:pPr>
            <w:r w:rsidRPr="0015464F">
              <w:rPr>
                <w:rFonts w:ascii="Gill Sans MT" w:hAnsi="Gill Sans MT"/>
                <w:sz w:val="18"/>
                <w:szCs w:val="18"/>
              </w:rPr>
              <w:t>Completed 2016</w:t>
            </w:r>
          </w:p>
        </w:tc>
      </w:tr>
      <w:tr w:rsidR="0015464F" w:rsidRPr="0015464F" w:rsidTr="0015464F">
        <w:trPr>
          <w:trHeight w:hRule="exact" w:val="1840"/>
        </w:trPr>
        <w:tc>
          <w:tcPr>
            <w:tcW w:w="2055" w:type="dxa"/>
            <w:tcBorders>
              <w:top w:val="single" w:sz="3" w:space="0" w:color="004D8F"/>
              <w:left w:val="single" w:sz="3" w:space="0" w:color="004D8F"/>
              <w:bottom w:val="single" w:sz="4"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ight="71"/>
              <w:rPr>
                <w:rFonts w:ascii="Gill Sans MT" w:hAnsi="Gill Sans MT"/>
                <w:sz w:val="18"/>
                <w:szCs w:val="18"/>
              </w:rPr>
            </w:pPr>
            <w:r w:rsidRPr="0015464F">
              <w:rPr>
                <w:rFonts w:ascii="Gill Sans MT" w:hAnsi="Gill Sans MT"/>
                <w:spacing w:val="2"/>
                <w:sz w:val="18"/>
                <w:szCs w:val="18"/>
              </w:rPr>
              <w:t xml:space="preserve">The experiences </w:t>
            </w:r>
            <w:r w:rsidRPr="0015464F">
              <w:rPr>
                <w:rFonts w:ascii="Gill Sans MT" w:hAnsi="Gill Sans MT"/>
                <w:sz w:val="18"/>
                <w:szCs w:val="18"/>
              </w:rPr>
              <w:t xml:space="preserve">of </w:t>
            </w:r>
            <w:r w:rsidRPr="0015464F">
              <w:rPr>
                <w:rFonts w:ascii="Gill Sans MT" w:hAnsi="Gill Sans MT"/>
                <w:spacing w:val="2"/>
                <w:sz w:val="18"/>
                <w:szCs w:val="18"/>
              </w:rPr>
              <w:t xml:space="preserve">adults recently </w:t>
            </w:r>
            <w:r w:rsidRPr="0015464F">
              <w:rPr>
                <w:rFonts w:ascii="Gill Sans MT" w:hAnsi="Gill Sans MT"/>
                <w:sz w:val="18"/>
                <w:szCs w:val="18"/>
              </w:rPr>
              <w:t xml:space="preserve">diagnosed </w:t>
            </w:r>
            <w:r w:rsidRPr="0015464F">
              <w:rPr>
                <w:rFonts w:ascii="Gill Sans MT" w:hAnsi="Gill Sans MT"/>
                <w:spacing w:val="2"/>
                <w:sz w:val="18"/>
                <w:szCs w:val="18"/>
              </w:rPr>
              <w:t xml:space="preserve">with </w:t>
            </w:r>
            <w:r w:rsidRPr="0015464F">
              <w:rPr>
                <w:rFonts w:ascii="Gill Sans MT" w:hAnsi="Gill Sans MT"/>
                <w:sz w:val="18"/>
                <w:szCs w:val="18"/>
              </w:rPr>
              <w:t xml:space="preserve">Type 1 </w:t>
            </w:r>
            <w:r w:rsidRPr="0015464F">
              <w:rPr>
                <w:rFonts w:ascii="Gill Sans MT" w:hAnsi="Gill Sans MT"/>
                <w:spacing w:val="2"/>
                <w:sz w:val="18"/>
                <w:szCs w:val="18"/>
              </w:rPr>
              <w:t xml:space="preserve">Diabetes </w:t>
            </w:r>
            <w:r w:rsidRPr="0015464F">
              <w:rPr>
                <w:rFonts w:ascii="Gill Sans MT" w:hAnsi="Gill Sans MT"/>
                <w:sz w:val="18"/>
                <w:szCs w:val="18"/>
              </w:rPr>
              <w:t xml:space="preserve">and their </w:t>
            </w:r>
            <w:r w:rsidRPr="0015464F">
              <w:rPr>
                <w:rFonts w:ascii="Gill Sans MT" w:hAnsi="Gill Sans MT"/>
                <w:spacing w:val="2"/>
                <w:sz w:val="18"/>
                <w:szCs w:val="18"/>
              </w:rPr>
              <w:t xml:space="preserve">care </w:t>
            </w:r>
            <w:r w:rsidRPr="0015464F">
              <w:rPr>
                <w:rFonts w:ascii="Gill Sans MT" w:hAnsi="Gill Sans MT"/>
                <w:sz w:val="18"/>
                <w:szCs w:val="18"/>
              </w:rPr>
              <w:t xml:space="preserve">in a </w:t>
            </w:r>
            <w:r w:rsidRPr="0015464F">
              <w:rPr>
                <w:rFonts w:ascii="Gill Sans MT" w:hAnsi="Gill Sans MT"/>
                <w:spacing w:val="4"/>
                <w:sz w:val="18"/>
                <w:szCs w:val="18"/>
              </w:rPr>
              <w:t>tertiary</w:t>
            </w:r>
            <w:r w:rsidRPr="0015464F">
              <w:rPr>
                <w:rFonts w:ascii="Gill Sans MT" w:hAnsi="Gill Sans MT"/>
                <w:spacing w:val="5"/>
                <w:sz w:val="18"/>
                <w:szCs w:val="18"/>
              </w:rPr>
              <w:t xml:space="preserve"> </w:t>
            </w:r>
            <w:r w:rsidRPr="0015464F">
              <w:rPr>
                <w:rFonts w:ascii="Gill Sans MT" w:hAnsi="Gill Sans MT"/>
                <w:spacing w:val="3"/>
                <w:sz w:val="18"/>
                <w:szCs w:val="18"/>
              </w:rPr>
              <w:t>service</w:t>
            </w:r>
          </w:p>
        </w:tc>
        <w:tc>
          <w:tcPr>
            <w:tcW w:w="1440" w:type="dxa"/>
            <w:tcBorders>
              <w:top w:val="single" w:sz="3" w:space="0" w:color="004D8F"/>
              <w:left w:val="single" w:sz="3" w:space="0" w:color="004D8F"/>
              <w:bottom w:val="single" w:sz="4"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ight="412"/>
              <w:rPr>
                <w:rFonts w:ascii="Gill Sans MT" w:hAnsi="Gill Sans MT"/>
                <w:sz w:val="18"/>
                <w:szCs w:val="18"/>
              </w:rPr>
            </w:pPr>
            <w:r w:rsidRPr="0015464F">
              <w:rPr>
                <w:rFonts w:ascii="Gill Sans MT" w:hAnsi="Gill Sans MT"/>
                <w:sz w:val="18"/>
                <w:szCs w:val="18"/>
              </w:rPr>
              <w:t>Muskett, A Van Galen, R Van Reit, C Armstrong, S Woods, M Ford, K Walsh, K</w:t>
            </w:r>
          </w:p>
        </w:tc>
        <w:tc>
          <w:tcPr>
            <w:tcW w:w="4136" w:type="dxa"/>
            <w:tcBorders>
              <w:top w:val="single" w:sz="3" w:space="0" w:color="004D8F"/>
              <w:left w:val="single" w:sz="3" w:space="0" w:color="004D8F"/>
              <w:bottom w:val="single" w:sz="4"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ight="178"/>
              <w:rPr>
                <w:rFonts w:ascii="Gill Sans MT" w:hAnsi="Gill Sans MT"/>
                <w:sz w:val="18"/>
                <w:szCs w:val="18"/>
              </w:rPr>
            </w:pPr>
            <w:r w:rsidRPr="0015464F">
              <w:rPr>
                <w:rFonts w:ascii="Gill Sans MT" w:hAnsi="Gill Sans MT"/>
                <w:spacing w:val="2"/>
                <w:sz w:val="18"/>
                <w:szCs w:val="18"/>
              </w:rPr>
              <w:t xml:space="preserve">The study </w:t>
            </w:r>
            <w:r w:rsidRPr="0015464F">
              <w:rPr>
                <w:rFonts w:ascii="Gill Sans MT" w:hAnsi="Gill Sans MT"/>
                <w:sz w:val="18"/>
                <w:szCs w:val="18"/>
              </w:rPr>
              <w:t xml:space="preserve">aims to </w:t>
            </w:r>
            <w:r w:rsidRPr="0015464F">
              <w:rPr>
                <w:rFonts w:ascii="Gill Sans MT" w:hAnsi="Gill Sans MT"/>
                <w:spacing w:val="2"/>
                <w:sz w:val="18"/>
                <w:szCs w:val="18"/>
              </w:rPr>
              <w:t xml:space="preserve">explore </w:t>
            </w:r>
            <w:r w:rsidRPr="0015464F">
              <w:rPr>
                <w:rFonts w:ascii="Gill Sans MT" w:hAnsi="Gill Sans MT"/>
                <w:sz w:val="18"/>
                <w:szCs w:val="18"/>
              </w:rPr>
              <w:t xml:space="preserve">the </w:t>
            </w:r>
            <w:r w:rsidRPr="0015464F">
              <w:rPr>
                <w:rFonts w:ascii="Gill Sans MT" w:hAnsi="Gill Sans MT"/>
                <w:spacing w:val="2"/>
                <w:sz w:val="18"/>
                <w:szCs w:val="18"/>
              </w:rPr>
              <w:t xml:space="preserve">experiences </w:t>
            </w:r>
            <w:r w:rsidRPr="0015464F">
              <w:rPr>
                <w:rFonts w:ascii="Gill Sans MT" w:hAnsi="Gill Sans MT"/>
                <w:sz w:val="18"/>
                <w:szCs w:val="18"/>
              </w:rPr>
              <w:t xml:space="preserve">of </w:t>
            </w:r>
            <w:r w:rsidRPr="0015464F">
              <w:rPr>
                <w:rFonts w:ascii="Gill Sans MT" w:hAnsi="Gill Sans MT"/>
                <w:spacing w:val="2"/>
                <w:sz w:val="18"/>
                <w:szCs w:val="18"/>
              </w:rPr>
              <w:t xml:space="preserve">adults </w:t>
            </w:r>
            <w:r w:rsidRPr="0015464F">
              <w:rPr>
                <w:rFonts w:ascii="Gill Sans MT" w:hAnsi="Gill Sans MT"/>
                <w:sz w:val="18"/>
                <w:szCs w:val="18"/>
              </w:rPr>
              <w:t xml:space="preserve">newly diagnosed </w:t>
            </w:r>
            <w:r w:rsidRPr="0015464F">
              <w:rPr>
                <w:rFonts w:ascii="Gill Sans MT" w:hAnsi="Gill Sans MT"/>
                <w:spacing w:val="2"/>
                <w:sz w:val="18"/>
                <w:szCs w:val="18"/>
              </w:rPr>
              <w:t xml:space="preserve">with </w:t>
            </w:r>
            <w:r w:rsidRPr="0015464F">
              <w:rPr>
                <w:rFonts w:ascii="Gill Sans MT" w:hAnsi="Gill Sans MT"/>
                <w:sz w:val="18"/>
                <w:szCs w:val="18"/>
              </w:rPr>
              <w:t xml:space="preserve">Type 1 </w:t>
            </w:r>
            <w:r w:rsidRPr="0015464F">
              <w:rPr>
                <w:rFonts w:ascii="Gill Sans MT" w:hAnsi="Gill Sans MT"/>
                <w:spacing w:val="2"/>
                <w:sz w:val="18"/>
                <w:szCs w:val="18"/>
              </w:rPr>
              <w:t xml:space="preserve">Diabetes who attend </w:t>
            </w:r>
            <w:r w:rsidRPr="0015464F">
              <w:rPr>
                <w:rFonts w:ascii="Gill Sans MT" w:hAnsi="Gill Sans MT"/>
                <w:sz w:val="18"/>
                <w:szCs w:val="18"/>
              </w:rPr>
              <w:t xml:space="preserve">the </w:t>
            </w:r>
            <w:r w:rsidRPr="0015464F">
              <w:rPr>
                <w:rFonts w:ascii="Gill Sans MT" w:hAnsi="Gill Sans MT"/>
                <w:spacing w:val="2"/>
                <w:sz w:val="18"/>
                <w:szCs w:val="18"/>
              </w:rPr>
              <w:t xml:space="preserve">Diabetes Education Centre </w:t>
            </w:r>
            <w:r w:rsidRPr="0015464F">
              <w:rPr>
                <w:rFonts w:ascii="Gill Sans MT" w:hAnsi="Gill Sans MT"/>
                <w:sz w:val="18"/>
                <w:szCs w:val="18"/>
              </w:rPr>
              <w:t xml:space="preserve">at the Royal </w:t>
            </w:r>
            <w:r w:rsidRPr="0015464F">
              <w:rPr>
                <w:rFonts w:ascii="Gill Sans MT" w:hAnsi="Gill Sans MT"/>
                <w:spacing w:val="3"/>
                <w:sz w:val="18"/>
                <w:szCs w:val="18"/>
              </w:rPr>
              <w:t xml:space="preserve">Hobart Hospital– </w:t>
            </w:r>
            <w:r w:rsidRPr="0015464F">
              <w:rPr>
                <w:rFonts w:ascii="Gill Sans MT" w:hAnsi="Gill Sans MT"/>
                <w:sz w:val="18"/>
                <w:szCs w:val="18"/>
              </w:rPr>
              <w:t xml:space="preserve">including their </w:t>
            </w:r>
            <w:r w:rsidRPr="0015464F">
              <w:rPr>
                <w:rFonts w:ascii="Gill Sans MT" w:hAnsi="Gill Sans MT"/>
                <w:spacing w:val="2"/>
                <w:sz w:val="18"/>
                <w:szCs w:val="18"/>
              </w:rPr>
              <w:t xml:space="preserve">experiences </w:t>
            </w:r>
            <w:r w:rsidRPr="0015464F">
              <w:rPr>
                <w:rFonts w:ascii="Gill Sans MT" w:hAnsi="Gill Sans MT"/>
                <w:sz w:val="18"/>
                <w:szCs w:val="18"/>
              </w:rPr>
              <w:t xml:space="preserve">of </w:t>
            </w:r>
            <w:r w:rsidRPr="0015464F">
              <w:rPr>
                <w:rFonts w:ascii="Gill Sans MT" w:hAnsi="Gill Sans MT"/>
                <w:spacing w:val="3"/>
                <w:sz w:val="18"/>
                <w:szCs w:val="18"/>
              </w:rPr>
              <w:t xml:space="preserve">person- </w:t>
            </w:r>
            <w:r w:rsidRPr="0015464F">
              <w:rPr>
                <w:rFonts w:ascii="Gill Sans MT" w:hAnsi="Gill Sans MT"/>
                <w:spacing w:val="2"/>
                <w:sz w:val="18"/>
                <w:szCs w:val="18"/>
              </w:rPr>
              <w:t xml:space="preserve">centred care; self-management </w:t>
            </w:r>
            <w:r w:rsidRPr="0015464F">
              <w:rPr>
                <w:rFonts w:ascii="Gill Sans MT" w:hAnsi="Gill Sans MT"/>
                <w:sz w:val="18"/>
                <w:szCs w:val="18"/>
              </w:rPr>
              <w:t xml:space="preserve">(including education); </w:t>
            </w:r>
            <w:r w:rsidRPr="0015464F">
              <w:rPr>
                <w:rFonts w:ascii="Gill Sans MT" w:hAnsi="Gill Sans MT"/>
                <w:spacing w:val="2"/>
                <w:sz w:val="18"/>
                <w:szCs w:val="18"/>
              </w:rPr>
              <w:t xml:space="preserve">shared </w:t>
            </w:r>
            <w:r w:rsidRPr="0015464F">
              <w:rPr>
                <w:rFonts w:ascii="Gill Sans MT" w:hAnsi="Gill Sans MT"/>
                <w:sz w:val="18"/>
                <w:szCs w:val="18"/>
              </w:rPr>
              <w:t xml:space="preserve">decision </w:t>
            </w:r>
            <w:r w:rsidRPr="0015464F">
              <w:rPr>
                <w:rFonts w:ascii="Gill Sans MT" w:hAnsi="Gill Sans MT"/>
                <w:spacing w:val="2"/>
                <w:sz w:val="18"/>
                <w:szCs w:val="18"/>
              </w:rPr>
              <w:t xml:space="preserve">making; </w:t>
            </w:r>
            <w:r w:rsidRPr="0015464F">
              <w:rPr>
                <w:rFonts w:ascii="Gill Sans MT" w:hAnsi="Gill Sans MT"/>
                <w:sz w:val="18"/>
                <w:szCs w:val="18"/>
              </w:rPr>
              <w:t xml:space="preserve">patient goals; access to </w:t>
            </w:r>
            <w:r w:rsidRPr="0015464F">
              <w:rPr>
                <w:rFonts w:ascii="Gill Sans MT" w:hAnsi="Gill Sans MT"/>
                <w:spacing w:val="2"/>
                <w:sz w:val="18"/>
                <w:szCs w:val="18"/>
              </w:rPr>
              <w:t xml:space="preserve">services </w:t>
            </w:r>
            <w:r w:rsidRPr="0015464F">
              <w:rPr>
                <w:rFonts w:ascii="Gill Sans MT" w:hAnsi="Gill Sans MT"/>
                <w:sz w:val="18"/>
                <w:szCs w:val="18"/>
              </w:rPr>
              <w:t xml:space="preserve">(including </w:t>
            </w:r>
            <w:r w:rsidRPr="0015464F">
              <w:rPr>
                <w:rFonts w:ascii="Gill Sans MT" w:hAnsi="Gill Sans MT"/>
                <w:spacing w:val="3"/>
                <w:sz w:val="18"/>
                <w:szCs w:val="18"/>
              </w:rPr>
              <w:t xml:space="preserve">frequency </w:t>
            </w:r>
            <w:r w:rsidRPr="0015464F">
              <w:rPr>
                <w:rFonts w:ascii="Gill Sans MT" w:hAnsi="Gill Sans MT"/>
                <w:sz w:val="18"/>
                <w:szCs w:val="18"/>
              </w:rPr>
              <w:t xml:space="preserve">of </w:t>
            </w:r>
            <w:r w:rsidRPr="0015464F">
              <w:rPr>
                <w:rFonts w:ascii="Gill Sans MT" w:hAnsi="Gill Sans MT"/>
                <w:spacing w:val="3"/>
                <w:sz w:val="18"/>
                <w:szCs w:val="18"/>
              </w:rPr>
              <w:t xml:space="preserve">visits, </w:t>
            </w:r>
            <w:r w:rsidRPr="0015464F">
              <w:rPr>
                <w:rFonts w:ascii="Gill Sans MT" w:hAnsi="Gill Sans MT"/>
                <w:spacing w:val="2"/>
                <w:sz w:val="18"/>
                <w:szCs w:val="18"/>
              </w:rPr>
              <w:t xml:space="preserve">ease </w:t>
            </w:r>
            <w:r w:rsidRPr="0015464F">
              <w:rPr>
                <w:rFonts w:ascii="Gill Sans MT" w:hAnsi="Gill Sans MT"/>
                <w:sz w:val="18"/>
                <w:szCs w:val="18"/>
              </w:rPr>
              <w:t xml:space="preserve">of access; phone </w:t>
            </w:r>
            <w:r w:rsidRPr="0015464F">
              <w:rPr>
                <w:rFonts w:ascii="Gill Sans MT" w:hAnsi="Gill Sans MT"/>
                <w:spacing w:val="2"/>
                <w:sz w:val="18"/>
                <w:szCs w:val="18"/>
              </w:rPr>
              <w:t xml:space="preserve">support); </w:t>
            </w:r>
            <w:r w:rsidRPr="0015464F">
              <w:rPr>
                <w:rFonts w:ascii="Gill Sans MT" w:hAnsi="Gill Sans MT"/>
                <w:sz w:val="18"/>
                <w:szCs w:val="18"/>
              </w:rPr>
              <w:t xml:space="preserve">the </w:t>
            </w:r>
            <w:r w:rsidRPr="0015464F">
              <w:rPr>
                <w:rFonts w:ascii="Gill Sans MT" w:hAnsi="Gill Sans MT"/>
                <w:spacing w:val="2"/>
                <w:sz w:val="18"/>
                <w:szCs w:val="18"/>
              </w:rPr>
              <w:t xml:space="preserve">treatment </w:t>
            </w:r>
            <w:r w:rsidRPr="0015464F">
              <w:rPr>
                <w:rFonts w:ascii="Gill Sans MT" w:hAnsi="Gill Sans MT"/>
                <w:sz w:val="18"/>
                <w:szCs w:val="18"/>
              </w:rPr>
              <w:t xml:space="preserve">‘regime’ and </w:t>
            </w:r>
            <w:r w:rsidRPr="0015464F">
              <w:rPr>
                <w:rFonts w:ascii="Gill Sans MT" w:hAnsi="Gill Sans MT"/>
                <w:spacing w:val="3"/>
                <w:sz w:val="18"/>
                <w:szCs w:val="18"/>
              </w:rPr>
              <w:t xml:space="preserve">its </w:t>
            </w:r>
            <w:r w:rsidRPr="0015464F">
              <w:rPr>
                <w:rFonts w:ascii="Gill Sans MT" w:hAnsi="Gill Sans MT"/>
                <w:spacing w:val="2"/>
                <w:sz w:val="18"/>
                <w:szCs w:val="18"/>
              </w:rPr>
              <w:t xml:space="preserve">impact </w:t>
            </w:r>
            <w:r w:rsidRPr="0015464F">
              <w:rPr>
                <w:rFonts w:ascii="Gill Sans MT" w:hAnsi="Gill Sans MT"/>
                <w:sz w:val="18"/>
                <w:szCs w:val="18"/>
              </w:rPr>
              <w:t>for</w:t>
            </w:r>
            <w:r w:rsidRPr="0015464F">
              <w:rPr>
                <w:rFonts w:ascii="Gill Sans MT" w:hAnsi="Gill Sans MT"/>
                <w:spacing w:val="4"/>
                <w:sz w:val="18"/>
                <w:szCs w:val="18"/>
              </w:rPr>
              <w:t xml:space="preserve"> </w:t>
            </w:r>
            <w:r w:rsidRPr="0015464F">
              <w:rPr>
                <w:rFonts w:ascii="Gill Sans MT" w:hAnsi="Gill Sans MT"/>
                <w:spacing w:val="2"/>
                <w:sz w:val="18"/>
                <w:szCs w:val="18"/>
              </w:rPr>
              <w:t>them.</w:t>
            </w:r>
          </w:p>
        </w:tc>
        <w:tc>
          <w:tcPr>
            <w:tcW w:w="1192" w:type="dxa"/>
            <w:tcBorders>
              <w:top w:val="single" w:sz="3" w:space="0" w:color="004D8F"/>
              <w:left w:val="single" w:sz="3" w:space="0" w:color="004D8F"/>
              <w:bottom w:val="single" w:sz="4" w:space="0" w:color="004D8F"/>
              <w:right w:val="single" w:sz="3" w:space="0" w:color="004D8F"/>
            </w:tcBorders>
            <w:shd w:val="clear" w:color="auto" w:fill="auto"/>
          </w:tcPr>
          <w:p w:rsidR="0015464F" w:rsidRPr="0015464F" w:rsidRDefault="0015464F" w:rsidP="00AC79F5">
            <w:pPr>
              <w:pStyle w:val="TableParagraph"/>
              <w:spacing w:before="15"/>
              <w:ind w:left="52"/>
              <w:rPr>
                <w:rFonts w:ascii="Gill Sans MT" w:hAnsi="Gill Sans MT"/>
                <w:sz w:val="18"/>
                <w:szCs w:val="18"/>
              </w:rPr>
            </w:pPr>
            <w:r w:rsidRPr="0015464F">
              <w:rPr>
                <w:rFonts w:ascii="Gill Sans MT" w:hAnsi="Gill Sans MT"/>
                <w:sz w:val="18"/>
                <w:szCs w:val="18"/>
              </w:rPr>
              <w:t>RHH</w:t>
            </w:r>
          </w:p>
        </w:tc>
        <w:tc>
          <w:tcPr>
            <w:tcW w:w="1070" w:type="dxa"/>
            <w:tcBorders>
              <w:top w:val="single" w:sz="3" w:space="0" w:color="004D8F"/>
              <w:left w:val="single" w:sz="3" w:space="0" w:color="004D8F"/>
              <w:bottom w:val="single" w:sz="4" w:space="0" w:color="004D8F"/>
              <w:right w:val="single" w:sz="3" w:space="0" w:color="004D8F"/>
            </w:tcBorders>
            <w:shd w:val="clear" w:color="auto" w:fill="auto"/>
          </w:tcPr>
          <w:p w:rsidR="0015464F" w:rsidRPr="0015464F" w:rsidRDefault="0015464F" w:rsidP="00AC79F5">
            <w:pPr>
              <w:pStyle w:val="TableParagraph"/>
              <w:spacing w:before="17" w:line="200" w:lineRule="exact"/>
              <w:ind w:left="52"/>
              <w:rPr>
                <w:rFonts w:ascii="Gill Sans MT" w:hAnsi="Gill Sans MT"/>
                <w:sz w:val="18"/>
                <w:szCs w:val="18"/>
              </w:rPr>
            </w:pPr>
            <w:r w:rsidRPr="0015464F">
              <w:rPr>
                <w:rFonts w:ascii="Gill Sans MT" w:hAnsi="Gill Sans MT"/>
                <w:sz w:val="18"/>
                <w:szCs w:val="18"/>
              </w:rPr>
              <w:t>Commenced 2016</w:t>
            </w:r>
          </w:p>
        </w:tc>
      </w:tr>
    </w:tbl>
    <w:p w:rsidR="0015464F" w:rsidRDefault="0015464F" w:rsidP="008B65D7">
      <w:pPr>
        <w:pStyle w:val="BodyText"/>
      </w:pPr>
    </w:p>
    <w:p w:rsidR="0015464F" w:rsidRDefault="0015464F">
      <w:pPr>
        <w:rPr>
          <w:rFonts w:ascii="Gill Sans MT" w:eastAsia="GillSans-Light" w:hAnsi="Gill Sans MT" w:cs="GillSans-Light"/>
          <w:lang w:val="en-US"/>
        </w:rPr>
      </w:pPr>
      <w:r>
        <w:br w:type="page"/>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382"/>
        <w:gridCol w:w="1440"/>
        <w:gridCol w:w="4136"/>
        <w:gridCol w:w="1192"/>
        <w:gridCol w:w="1070"/>
      </w:tblGrid>
      <w:tr w:rsidR="0015464F" w:rsidRPr="0015464F" w:rsidTr="0015464F">
        <w:trPr>
          <w:trHeight w:hRule="exact" w:val="250"/>
        </w:trPr>
        <w:tc>
          <w:tcPr>
            <w:tcW w:w="1382"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6"/>
              <w:rPr>
                <w:rFonts w:ascii="Gill Sans MT" w:hAnsi="Gill Sans MT"/>
                <w:b/>
                <w:sz w:val="18"/>
                <w:szCs w:val="18"/>
              </w:rPr>
            </w:pPr>
            <w:r w:rsidRPr="0015464F">
              <w:rPr>
                <w:rFonts w:ascii="Gill Sans MT" w:hAnsi="Gill Sans MT"/>
                <w:b/>
                <w:sz w:val="18"/>
                <w:szCs w:val="18"/>
              </w:rPr>
              <w:lastRenderedPageBreak/>
              <w:t>Title</w:t>
            </w:r>
          </w:p>
        </w:tc>
        <w:tc>
          <w:tcPr>
            <w:tcW w:w="1440"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Investigators</w:t>
            </w:r>
          </w:p>
        </w:tc>
        <w:tc>
          <w:tcPr>
            <w:tcW w:w="4136"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Synopsis</w:t>
            </w:r>
          </w:p>
        </w:tc>
        <w:tc>
          <w:tcPr>
            <w:tcW w:w="1192"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Site/Facility</w:t>
            </w:r>
          </w:p>
        </w:tc>
        <w:tc>
          <w:tcPr>
            <w:tcW w:w="1070" w:type="dxa"/>
            <w:tcBorders>
              <w:top w:val="single" w:sz="4" w:space="0" w:color="004D8F"/>
              <w:left w:val="single" w:sz="4" w:space="0" w:color="004D8F"/>
              <w:bottom w:val="single" w:sz="4" w:space="0" w:color="004D8F"/>
              <w:right w:val="single" w:sz="4" w:space="0" w:color="004D8F"/>
            </w:tcBorders>
            <w:shd w:val="clear" w:color="auto" w:fill="auto"/>
          </w:tcPr>
          <w:p w:rsidR="0015464F" w:rsidRPr="0015464F" w:rsidRDefault="0015464F" w:rsidP="00AC79F5">
            <w:pPr>
              <w:pStyle w:val="TableParagraph"/>
              <w:spacing w:before="23"/>
              <w:ind w:left="52"/>
              <w:rPr>
                <w:rFonts w:ascii="Gill Sans MT" w:hAnsi="Gill Sans MT"/>
                <w:b/>
                <w:sz w:val="18"/>
                <w:szCs w:val="18"/>
              </w:rPr>
            </w:pPr>
            <w:r w:rsidRPr="0015464F">
              <w:rPr>
                <w:rFonts w:ascii="Gill Sans MT" w:hAnsi="Gill Sans MT"/>
                <w:b/>
                <w:sz w:val="18"/>
                <w:szCs w:val="18"/>
              </w:rPr>
              <w:t>Status</w:t>
            </w:r>
          </w:p>
        </w:tc>
      </w:tr>
      <w:tr w:rsidR="00F60BD6" w:rsidRPr="0015464F" w:rsidTr="00AC79F5">
        <w:trPr>
          <w:trHeight w:val="3434"/>
        </w:trPr>
        <w:tc>
          <w:tcPr>
            <w:tcW w:w="1382" w:type="dxa"/>
            <w:tcBorders>
              <w:top w:val="single" w:sz="4" w:space="0" w:color="004D8F"/>
              <w:left w:val="single" w:sz="3" w:space="0" w:color="004D8F"/>
              <w:right w:val="single" w:sz="3" w:space="0" w:color="004D8F"/>
            </w:tcBorders>
            <w:shd w:val="clear" w:color="auto" w:fill="auto"/>
          </w:tcPr>
          <w:p w:rsidR="00F60BD6" w:rsidRPr="0015464F" w:rsidRDefault="00F60BD6" w:rsidP="00AC79F5">
            <w:pPr>
              <w:pStyle w:val="TableParagraph"/>
              <w:spacing w:before="21"/>
              <w:ind w:left="52"/>
              <w:rPr>
                <w:rFonts w:ascii="Gill Sans MT" w:hAnsi="Gill Sans MT"/>
                <w:sz w:val="18"/>
                <w:szCs w:val="18"/>
              </w:rPr>
            </w:pPr>
            <w:r w:rsidRPr="0015464F">
              <w:rPr>
                <w:rFonts w:ascii="Gill Sans MT" w:hAnsi="Gill Sans MT"/>
                <w:sz w:val="18"/>
                <w:szCs w:val="18"/>
              </w:rPr>
              <w:t>International</w:t>
            </w:r>
          </w:p>
          <w:p w:rsidR="00F60BD6" w:rsidRPr="0015464F" w:rsidRDefault="00F60BD6"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Children’s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Illness and</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Symptom Study:</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perspectives of</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children with</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chronic illness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from the UK,</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Australia and</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New Zealand</w:t>
            </w:r>
          </w:p>
        </w:tc>
        <w:tc>
          <w:tcPr>
            <w:tcW w:w="1440" w:type="dxa"/>
            <w:tcBorders>
              <w:top w:val="single" w:sz="4" w:space="0" w:color="004D8F"/>
              <w:left w:val="single" w:sz="3" w:space="0" w:color="004D8F"/>
              <w:right w:val="single" w:sz="3" w:space="0" w:color="004D8F"/>
            </w:tcBorders>
            <w:shd w:val="clear" w:color="auto" w:fill="auto"/>
          </w:tcPr>
          <w:p w:rsidR="00F60BD6" w:rsidRPr="0015464F" w:rsidRDefault="00F60BD6" w:rsidP="00AC79F5">
            <w:pPr>
              <w:pStyle w:val="TableParagraph"/>
              <w:spacing w:before="21"/>
              <w:ind w:left="52"/>
              <w:rPr>
                <w:rFonts w:ascii="Gill Sans MT" w:hAnsi="Gill Sans MT"/>
                <w:sz w:val="18"/>
                <w:szCs w:val="18"/>
              </w:rPr>
            </w:pPr>
            <w:r w:rsidRPr="0015464F">
              <w:rPr>
                <w:rFonts w:ascii="Gill Sans MT" w:hAnsi="Gill Sans MT"/>
                <w:sz w:val="18"/>
                <w:szCs w:val="18"/>
              </w:rPr>
              <w:t>Carter, B</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Dickinson, A</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Ford, K Bray, L</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Arnott, J</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Water, T</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Tichanow, C</w:t>
            </w:r>
          </w:p>
        </w:tc>
        <w:tc>
          <w:tcPr>
            <w:tcW w:w="4136" w:type="dxa"/>
            <w:tcBorders>
              <w:top w:val="single" w:sz="4" w:space="0" w:color="004D8F"/>
              <w:left w:val="single" w:sz="3" w:space="0" w:color="004D8F"/>
              <w:right w:val="single" w:sz="3" w:space="0" w:color="004D8F"/>
            </w:tcBorders>
            <w:shd w:val="clear" w:color="auto" w:fill="auto"/>
          </w:tcPr>
          <w:p w:rsidR="00F60BD6" w:rsidRPr="0015464F" w:rsidRDefault="00F60BD6" w:rsidP="00AC79F5">
            <w:pPr>
              <w:pStyle w:val="TableParagraph"/>
              <w:spacing w:before="21"/>
              <w:ind w:left="52"/>
              <w:rPr>
                <w:rFonts w:ascii="Gill Sans MT" w:hAnsi="Gill Sans MT"/>
                <w:sz w:val="18"/>
                <w:szCs w:val="18"/>
              </w:rPr>
            </w:pPr>
            <w:r w:rsidRPr="0015464F">
              <w:rPr>
                <w:rFonts w:ascii="Gill Sans MT" w:hAnsi="Gill Sans MT"/>
                <w:sz w:val="18"/>
                <w:szCs w:val="18"/>
              </w:rPr>
              <w:t>This is a qualitative study using photovoice and</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interviews with children aged 7-12 years with a</w:t>
            </w:r>
          </w:p>
          <w:p w:rsidR="00F60BD6" w:rsidRPr="0015464F" w:rsidRDefault="00F60BD6" w:rsidP="00AC79F5">
            <w:pPr>
              <w:pStyle w:val="TableParagraph"/>
              <w:spacing w:line="201" w:lineRule="exact"/>
              <w:ind w:left="52"/>
              <w:rPr>
                <w:rFonts w:ascii="Gill Sans MT" w:hAnsi="Gill Sans MT"/>
                <w:sz w:val="18"/>
                <w:szCs w:val="18"/>
              </w:rPr>
            </w:pPr>
            <w:proofErr w:type="gramStart"/>
            <w:r w:rsidRPr="0015464F">
              <w:rPr>
                <w:rFonts w:ascii="Gill Sans MT" w:hAnsi="Gill Sans MT"/>
                <w:sz w:val="18"/>
                <w:szCs w:val="18"/>
              </w:rPr>
              <w:t>range</w:t>
            </w:r>
            <w:proofErr w:type="gramEnd"/>
            <w:r w:rsidRPr="0015464F">
              <w:rPr>
                <w:rFonts w:ascii="Gill Sans MT" w:hAnsi="Gill Sans MT"/>
                <w:sz w:val="18"/>
                <w:szCs w:val="18"/>
              </w:rPr>
              <w:t xml:space="preserve"> of chronic illnesses. The purpose of this study</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was to investigate the experiences of children</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with chronic conditions, and ways in which they</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perceive</w:t>
            </w:r>
            <w:proofErr w:type="gramEnd"/>
            <w:r w:rsidRPr="0015464F">
              <w:rPr>
                <w:rFonts w:ascii="Gill Sans MT" w:hAnsi="Gill Sans MT"/>
                <w:sz w:val="18"/>
                <w:szCs w:val="18"/>
              </w:rPr>
              <w:t xml:space="preserve"> and manage their symptoms. The specific</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research question is: What do children living with</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a chronic illness in the UK, Australia and New</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Zealand perceive and understand about their  illness</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and</w:t>
            </w:r>
            <w:proofErr w:type="gramEnd"/>
            <w:r w:rsidRPr="0015464F">
              <w:rPr>
                <w:rFonts w:ascii="Gill Sans MT" w:hAnsi="Gill Sans MT"/>
                <w:sz w:val="18"/>
                <w:szCs w:val="18"/>
              </w:rPr>
              <w:t xml:space="preserve"> symptoms? The study aims were to explore:</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1. children’s understandings of their illness and its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associated management (medication and/or medical</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interventions</w:t>
            </w:r>
            <w:proofErr w:type="gramEnd"/>
            <w:r w:rsidRPr="0015464F">
              <w:rPr>
                <w:rFonts w:ascii="Gill Sans MT" w:hAnsi="Gill Sans MT"/>
                <w:sz w:val="18"/>
                <w:szCs w:val="18"/>
              </w:rPr>
              <w:t>); 2. children’s perceptions of  how</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their lives are shaped (or not) by their illness and its</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associated</w:t>
            </w:r>
            <w:proofErr w:type="gramEnd"/>
            <w:r w:rsidRPr="0015464F">
              <w:rPr>
                <w:rFonts w:ascii="Gill Sans MT" w:hAnsi="Gill Sans MT"/>
                <w:sz w:val="18"/>
                <w:szCs w:val="18"/>
              </w:rPr>
              <w:t xml:space="preserve"> management; and 3. to what extent children</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feel they are involved in the management of their</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chronic</w:t>
            </w:r>
            <w:proofErr w:type="gramEnd"/>
            <w:r w:rsidRPr="0015464F">
              <w:rPr>
                <w:rFonts w:ascii="Gill Sans MT" w:hAnsi="Gill Sans MT"/>
                <w:sz w:val="18"/>
                <w:szCs w:val="18"/>
              </w:rPr>
              <w:t xml:space="preserve"> disease.</w:t>
            </w:r>
          </w:p>
        </w:tc>
        <w:tc>
          <w:tcPr>
            <w:tcW w:w="1192" w:type="dxa"/>
            <w:tcBorders>
              <w:top w:val="single" w:sz="4" w:space="0" w:color="004D8F"/>
              <w:left w:val="single" w:sz="3" w:space="0" w:color="004D8F"/>
              <w:right w:val="single" w:sz="3" w:space="0" w:color="004D8F"/>
            </w:tcBorders>
            <w:shd w:val="clear" w:color="auto" w:fill="auto"/>
          </w:tcPr>
          <w:p w:rsidR="00F60BD6" w:rsidRPr="0015464F" w:rsidRDefault="00F60BD6" w:rsidP="00AC79F5">
            <w:pPr>
              <w:pStyle w:val="TableParagraph"/>
              <w:spacing w:before="21"/>
              <w:ind w:left="52"/>
              <w:rPr>
                <w:rFonts w:ascii="Gill Sans MT" w:hAnsi="Gill Sans MT"/>
                <w:sz w:val="18"/>
                <w:szCs w:val="18"/>
              </w:rPr>
            </w:pPr>
            <w:r w:rsidRPr="0015464F">
              <w:rPr>
                <w:rFonts w:ascii="Gill Sans MT" w:hAnsi="Gill Sans MT"/>
                <w:sz w:val="18"/>
                <w:szCs w:val="18"/>
              </w:rPr>
              <w:t>RHH</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UK</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NZ</w:t>
            </w:r>
          </w:p>
        </w:tc>
        <w:tc>
          <w:tcPr>
            <w:tcW w:w="1070" w:type="dxa"/>
            <w:tcBorders>
              <w:top w:val="single" w:sz="4" w:space="0" w:color="004D8F"/>
              <w:left w:val="single" w:sz="3" w:space="0" w:color="004D8F"/>
              <w:right w:val="single" w:sz="3" w:space="0" w:color="004D8F"/>
            </w:tcBorders>
            <w:shd w:val="clear" w:color="auto" w:fill="auto"/>
          </w:tcPr>
          <w:p w:rsidR="00F60BD6" w:rsidRPr="0015464F" w:rsidRDefault="00F60BD6" w:rsidP="00AC79F5">
            <w:pPr>
              <w:pStyle w:val="TableParagraph"/>
              <w:spacing w:before="21"/>
              <w:ind w:left="52"/>
              <w:rPr>
                <w:rFonts w:ascii="Gill Sans MT" w:hAnsi="Gill Sans MT"/>
                <w:sz w:val="18"/>
                <w:szCs w:val="18"/>
              </w:rPr>
            </w:pPr>
            <w:r w:rsidRPr="0015464F">
              <w:rPr>
                <w:rFonts w:ascii="Gill Sans MT" w:hAnsi="Gill Sans MT"/>
                <w:sz w:val="18"/>
                <w:szCs w:val="18"/>
              </w:rPr>
              <w:t>Complete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2015</w:t>
            </w:r>
          </w:p>
        </w:tc>
      </w:tr>
      <w:tr w:rsidR="00F60BD6" w:rsidRPr="0015464F" w:rsidTr="00F60BD6">
        <w:trPr>
          <w:trHeight w:val="3033"/>
        </w:trPr>
        <w:tc>
          <w:tcPr>
            <w:tcW w:w="1382" w:type="dxa"/>
            <w:tcBorders>
              <w:top w:val="single" w:sz="4" w:space="0" w:color="004D8F"/>
              <w:left w:val="single" w:sz="4" w:space="0" w:color="004D8F"/>
              <w:bottom w:val="single" w:sz="4" w:space="0" w:color="004D8F"/>
              <w:right w:val="single" w:sz="4" w:space="0" w:color="004D8F"/>
            </w:tcBorders>
            <w:shd w:val="clear" w:color="auto" w:fill="auto"/>
          </w:tcPr>
          <w:p w:rsidR="00F60BD6" w:rsidRPr="0015464F" w:rsidRDefault="00F60BD6" w:rsidP="00AC79F5">
            <w:pPr>
              <w:pStyle w:val="TableParagraph"/>
              <w:spacing w:before="17"/>
              <w:ind w:left="52"/>
              <w:rPr>
                <w:rFonts w:ascii="Gill Sans MT" w:hAnsi="Gill Sans MT"/>
                <w:sz w:val="18"/>
                <w:szCs w:val="18"/>
              </w:rPr>
            </w:pPr>
            <w:r w:rsidRPr="0015464F">
              <w:rPr>
                <w:rFonts w:ascii="Gill Sans MT" w:hAnsi="Gill Sans MT"/>
                <w:sz w:val="18"/>
                <w:szCs w:val="18"/>
              </w:rPr>
              <w:t>Holding children</w:t>
            </w:r>
          </w:p>
          <w:p w:rsidR="00F60BD6" w:rsidRPr="0015464F" w:rsidRDefault="00F60BD6" w:rsidP="00AC79F5">
            <w:pPr>
              <w:pStyle w:val="TableParagraph"/>
              <w:spacing w:line="203" w:lineRule="exact"/>
              <w:ind w:left="52"/>
              <w:rPr>
                <w:rFonts w:ascii="Gill Sans MT" w:hAnsi="Gill Sans MT"/>
                <w:sz w:val="18"/>
                <w:szCs w:val="18"/>
              </w:rPr>
            </w:pPr>
            <w:r w:rsidRPr="0015464F">
              <w:rPr>
                <w:rFonts w:ascii="Gill Sans MT" w:hAnsi="Gill Sans MT"/>
                <w:sz w:val="18"/>
                <w:szCs w:val="18"/>
              </w:rPr>
              <w:t>still for clinical</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procedures: an</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international</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survey of health</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professionals</w:t>
            </w:r>
          </w:p>
        </w:tc>
        <w:tc>
          <w:tcPr>
            <w:tcW w:w="1440" w:type="dxa"/>
            <w:tcBorders>
              <w:top w:val="single" w:sz="4" w:space="0" w:color="004D8F"/>
              <w:left w:val="single" w:sz="4" w:space="0" w:color="004D8F"/>
              <w:bottom w:val="single" w:sz="4" w:space="0" w:color="004D8F"/>
              <w:right w:val="single" w:sz="4" w:space="0" w:color="004D8F"/>
            </w:tcBorders>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Bray, L Carter, B</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Ford, K</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Dickinson, A</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Water, T</w:t>
            </w:r>
          </w:p>
        </w:tc>
        <w:tc>
          <w:tcPr>
            <w:tcW w:w="4136" w:type="dxa"/>
            <w:tcBorders>
              <w:top w:val="single" w:sz="4" w:space="0" w:color="004D8F"/>
              <w:left w:val="single" w:sz="4" w:space="0" w:color="004D8F"/>
              <w:bottom w:val="single" w:sz="4" w:space="0" w:color="004D8F"/>
              <w:right w:val="single" w:sz="4" w:space="0" w:color="004D8F"/>
            </w:tcBorders>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This study aims to capture an international perspective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of professionals reported practice of holding children</w:t>
            </w:r>
          </w:p>
          <w:p w:rsidR="00F60BD6" w:rsidRPr="0015464F" w:rsidRDefault="00F60BD6" w:rsidP="00AC79F5">
            <w:pPr>
              <w:pStyle w:val="TableParagraph"/>
              <w:spacing w:line="201" w:lineRule="exact"/>
              <w:ind w:left="52"/>
              <w:rPr>
                <w:rFonts w:ascii="Gill Sans MT" w:hAnsi="Gill Sans MT"/>
                <w:sz w:val="18"/>
                <w:szCs w:val="18"/>
              </w:rPr>
            </w:pPr>
            <w:proofErr w:type="gramStart"/>
            <w:r w:rsidRPr="0015464F">
              <w:rPr>
                <w:rFonts w:ascii="Gill Sans MT" w:hAnsi="Gill Sans MT"/>
                <w:sz w:val="18"/>
                <w:szCs w:val="18"/>
              </w:rPr>
              <w:t>for</w:t>
            </w:r>
            <w:proofErr w:type="gramEnd"/>
            <w:r w:rsidRPr="0015464F">
              <w:rPr>
                <w:rFonts w:ascii="Gill Sans MT" w:hAnsi="Gill Sans MT"/>
                <w:sz w:val="18"/>
                <w:szCs w:val="18"/>
              </w:rPr>
              <w:t xml:space="preserve"> clinical procedures. The aim of the study is to</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investigate the reported perceptions and  practices</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of health professionals  (including nurses, doctors,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paramedics and anaesthetists as well as students</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training to become health professionals) relating to</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holding children and young people still for  clinical</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procedures</w:t>
            </w:r>
            <w:proofErr w:type="gramEnd"/>
            <w:r w:rsidRPr="0015464F">
              <w:rPr>
                <w:rFonts w:ascii="Gill Sans MT" w:hAnsi="Gill Sans MT"/>
                <w:sz w:val="18"/>
                <w:szCs w:val="18"/>
              </w:rPr>
              <w:t>.</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The study objectives are: 1. To examine the factors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that health professionals report influence their  holding</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of</w:t>
            </w:r>
            <w:proofErr w:type="gramEnd"/>
            <w:r w:rsidRPr="0015464F">
              <w:rPr>
                <w:rFonts w:ascii="Gill Sans MT" w:hAnsi="Gill Sans MT"/>
                <w:sz w:val="18"/>
                <w:szCs w:val="18"/>
              </w:rPr>
              <w:t xml:space="preserve"> children still for clinical procedures; 2. To  investigate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the reported practices used when children are held</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still</w:t>
            </w:r>
            <w:proofErr w:type="gramEnd"/>
            <w:r w:rsidRPr="0015464F">
              <w:rPr>
                <w:rFonts w:ascii="Gill Sans MT" w:hAnsi="Gill Sans MT"/>
                <w:sz w:val="18"/>
                <w:szCs w:val="18"/>
              </w:rPr>
              <w:t xml:space="preserve"> for clinical procedures; 3. To examine guidance  and</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training</w:t>
            </w:r>
            <w:proofErr w:type="gramEnd"/>
            <w:r w:rsidRPr="0015464F">
              <w:rPr>
                <w:rFonts w:ascii="Gill Sans MT" w:hAnsi="Gill Sans MT"/>
                <w:sz w:val="18"/>
                <w:szCs w:val="18"/>
              </w:rPr>
              <w:t xml:space="preserve"> that inform holding practices.</w:t>
            </w:r>
          </w:p>
        </w:tc>
        <w:tc>
          <w:tcPr>
            <w:tcW w:w="1192" w:type="dxa"/>
            <w:tcBorders>
              <w:top w:val="single" w:sz="4" w:space="0" w:color="004D8F"/>
              <w:left w:val="single" w:sz="4" w:space="0" w:color="004D8F"/>
              <w:bottom w:val="single" w:sz="4" w:space="0" w:color="004D8F"/>
              <w:right w:val="single" w:sz="4" w:space="0" w:color="004D8F"/>
            </w:tcBorders>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RHH</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(international)</w:t>
            </w:r>
          </w:p>
        </w:tc>
        <w:tc>
          <w:tcPr>
            <w:tcW w:w="1070" w:type="dxa"/>
            <w:tcBorders>
              <w:top w:val="single" w:sz="4" w:space="0" w:color="004D8F"/>
              <w:left w:val="single" w:sz="4" w:space="0" w:color="004D8F"/>
              <w:bottom w:val="single" w:sz="4" w:space="0" w:color="004D8F"/>
              <w:right w:val="single" w:sz="4" w:space="0" w:color="004D8F"/>
            </w:tcBorders>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Commenced</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2015,</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ongoing</w:t>
            </w:r>
          </w:p>
        </w:tc>
      </w:tr>
    </w:tbl>
    <w:p w:rsidR="008B65D7" w:rsidRDefault="008B65D7" w:rsidP="008B65D7">
      <w:pPr>
        <w:pStyle w:val="BodyText"/>
      </w:pPr>
    </w:p>
    <w:p w:rsidR="0015464F" w:rsidRDefault="0015464F" w:rsidP="00F60BD6">
      <w:pPr>
        <w:pStyle w:val="Heading4"/>
      </w:pPr>
      <w:r>
        <w:t>Multi-disciplinary projects</w:t>
      </w: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1382"/>
        <w:gridCol w:w="1440"/>
        <w:gridCol w:w="4136"/>
        <w:gridCol w:w="1192"/>
        <w:gridCol w:w="1070"/>
      </w:tblGrid>
      <w:tr w:rsidR="0015464F" w:rsidRPr="0015464F" w:rsidTr="00AC79F5">
        <w:trPr>
          <w:trHeight w:hRule="exact" w:val="1670"/>
        </w:trPr>
        <w:tc>
          <w:tcPr>
            <w:tcW w:w="1382" w:type="dxa"/>
            <w:shd w:val="clear" w:color="auto" w:fill="auto"/>
          </w:tcPr>
          <w:p w:rsidR="0015464F" w:rsidRPr="0015464F" w:rsidRDefault="0015464F" w:rsidP="00AC79F5">
            <w:pPr>
              <w:pStyle w:val="TableParagraph"/>
              <w:spacing w:before="49" w:line="200" w:lineRule="exact"/>
              <w:ind w:left="52" w:right="329"/>
              <w:rPr>
                <w:rFonts w:ascii="Gill Sans MT" w:hAnsi="Gill Sans MT"/>
                <w:sz w:val="18"/>
                <w:szCs w:val="18"/>
              </w:rPr>
            </w:pPr>
            <w:r w:rsidRPr="0015464F">
              <w:rPr>
                <w:rFonts w:ascii="Gill Sans MT" w:hAnsi="Gill Sans MT"/>
                <w:sz w:val="18"/>
                <w:szCs w:val="18"/>
              </w:rPr>
              <w:t>Epidemiology of Nervous</w:t>
            </w:r>
          </w:p>
          <w:p w:rsidR="0015464F" w:rsidRPr="0015464F" w:rsidRDefault="0015464F" w:rsidP="00AC79F5">
            <w:pPr>
              <w:pStyle w:val="TableParagraph"/>
              <w:spacing w:line="200" w:lineRule="exact"/>
              <w:ind w:left="52" w:right="103"/>
              <w:rPr>
                <w:rFonts w:ascii="Gill Sans MT" w:hAnsi="Gill Sans MT"/>
                <w:sz w:val="18"/>
                <w:szCs w:val="18"/>
              </w:rPr>
            </w:pPr>
            <w:r w:rsidRPr="0015464F">
              <w:rPr>
                <w:rFonts w:ascii="Gill Sans MT" w:hAnsi="Gill Sans MT"/>
                <w:sz w:val="18"/>
                <w:szCs w:val="18"/>
              </w:rPr>
              <w:t>System Tumours in Children: A Survey of cases in Royal Hobart Hospital from 2006 to 2015</w:t>
            </w:r>
          </w:p>
        </w:tc>
        <w:tc>
          <w:tcPr>
            <w:tcW w:w="1440" w:type="dxa"/>
            <w:shd w:val="clear" w:color="auto" w:fill="auto"/>
          </w:tcPr>
          <w:p w:rsidR="0015464F" w:rsidRPr="0015464F" w:rsidRDefault="0015464F" w:rsidP="00AC79F5">
            <w:pPr>
              <w:pStyle w:val="TableParagraph"/>
              <w:spacing w:before="49" w:line="200" w:lineRule="exact"/>
              <w:ind w:left="52" w:right="412"/>
              <w:rPr>
                <w:rFonts w:ascii="Gill Sans MT" w:hAnsi="Gill Sans MT"/>
                <w:sz w:val="18"/>
                <w:szCs w:val="18"/>
              </w:rPr>
            </w:pPr>
            <w:r w:rsidRPr="0015464F">
              <w:rPr>
                <w:rFonts w:ascii="Gill Sans MT" w:hAnsi="Gill Sans MT"/>
                <w:sz w:val="18"/>
                <w:szCs w:val="18"/>
              </w:rPr>
              <w:t>Kapoor, U Daubenton, J Starosta, H Collins, L Hofman, S Ford, K</w:t>
            </w:r>
          </w:p>
        </w:tc>
        <w:tc>
          <w:tcPr>
            <w:tcW w:w="4136" w:type="dxa"/>
            <w:shd w:val="clear" w:color="auto" w:fill="auto"/>
          </w:tcPr>
          <w:p w:rsidR="0015464F" w:rsidRPr="0015464F" w:rsidRDefault="0015464F" w:rsidP="00AC79F5">
            <w:pPr>
              <w:pStyle w:val="TableParagraph"/>
              <w:spacing w:before="49" w:line="200" w:lineRule="exact"/>
              <w:ind w:left="52" w:right="268"/>
              <w:rPr>
                <w:rFonts w:ascii="Gill Sans MT" w:hAnsi="Gill Sans MT"/>
                <w:sz w:val="18"/>
                <w:szCs w:val="18"/>
              </w:rPr>
            </w:pPr>
            <w:r w:rsidRPr="0015464F">
              <w:rPr>
                <w:rFonts w:ascii="Gill Sans MT" w:hAnsi="Gill Sans MT"/>
                <w:sz w:val="18"/>
                <w:szCs w:val="18"/>
              </w:rPr>
              <w:t xml:space="preserve">This is a </w:t>
            </w:r>
            <w:r w:rsidRPr="0015464F">
              <w:rPr>
                <w:rFonts w:ascii="Gill Sans MT" w:hAnsi="Gill Sans MT"/>
                <w:spacing w:val="2"/>
                <w:sz w:val="18"/>
                <w:szCs w:val="18"/>
              </w:rPr>
              <w:t xml:space="preserve">retrospective study </w:t>
            </w:r>
            <w:r w:rsidRPr="0015464F">
              <w:rPr>
                <w:rFonts w:ascii="Gill Sans MT" w:hAnsi="Gill Sans MT"/>
                <w:sz w:val="18"/>
                <w:szCs w:val="18"/>
              </w:rPr>
              <w:t xml:space="preserve">of all </w:t>
            </w:r>
            <w:r w:rsidRPr="0015464F">
              <w:rPr>
                <w:rFonts w:ascii="Gill Sans MT" w:hAnsi="Gill Sans MT"/>
                <w:spacing w:val="2"/>
                <w:sz w:val="18"/>
                <w:szCs w:val="18"/>
              </w:rPr>
              <w:t xml:space="preserve">children </w:t>
            </w:r>
            <w:r w:rsidRPr="0015464F">
              <w:rPr>
                <w:rFonts w:ascii="Gill Sans MT" w:hAnsi="Gill Sans MT"/>
                <w:sz w:val="18"/>
                <w:szCs w:val="18"/>
              </w:rPr>
              <w:t xml:space="preserve">younger than </w:t>
            </w:r>
            <w:r w:rsidRPr="0015464F">
              <w:rPr>
                <w:rFonts w:ascii="Gill Sans MT" w:hAnsi="Gill Sans MT"/>
                <w:spacing w:val="-4"/>
                <w:sz w:val="18"/>
                <w:szCs w:val="18"/>
              </w:rPr>
              <w:t xml:space="preserve">18 </w:t>
            </w:r>
            <w:r w:rsidRPr="0015464F">
              <w:rPr>
                <w:rFonts w:ascii="Gill Sans MT" w:hAnsi="Gill Sans MT"/>
                <w:spacing w:val="2"/>
                <w:sz w:val="18"/>
                <w:szCs w:val="18"/>
              </w:rPr>
              <w:t xml:space="preserve">years </w:t>
            </w:r>
            <w:r w:rsidRPr="0015464F">
              <w:rPr>
                <w:rFonts w:ascii="Gill Sans MT" w:hAnsi="Gill Sans MT"/>
                <w:sz w:val="18"/>
                <w:szCs w:val="18"/>
              </w:rPr>
              <w:t xml:space="preserve">of age </w:t>
            </w:r>
            <w:r w:rsidRPr="0015464F">
              <w:rPr>
                <w:rFonts w:ascii="Gill Sans MT" w:hAnsi="Gill Sans MT"/>
                <w:spacing w:val="2"/>
                <w:sz w:val="18"/>
                <w:szCs w:val="18"/>
              </w:rPr>
              <w:t xml:space="preserve">who </w:t>
            </w:r>
            <w:r w:rsidRPr="0015464F">
              <w:rPr>
                <w:rFonts w:ascii="Gill Sans MT" w:hAnsi="Gill Sans MT"/>
                <w:sz w:val="18"/>
                <w:szCs w:val="18"/>
              </w:rPr>
              <w:t xml:space="preserve">have </w:t>
            </w:r>
            <w:r w:rsidRPr="0015464F">
              <w:rPr>
                <w:rFonts w:ascii="Gill Sans MT" w:hAnsi="Gill Sans MT"/>
                <w:spacing w:val="2"/>
                <w:sz w:val="18"/>
                <w:szCs w:val="18"/>
              </w:rPr>
              <w:t xml:space="preserve">been </w:t>
            </w:r>
            <w:r w:rsidRPr="0015464F">
              <w:rPr>
                <w:rFonts w:ascii="Gill Sans MT" w:hAnsi="Gill Sans MT"/>
                <w:sz w:val="18"/>
                <w:szCs w:val="18"/>
              </w:rPr>
              <w:t xml:space="preserve">diagnosed </w:t>
            </w:r>
            <w:proofErr w:type="gramStart"/>
            <w:r w:rsidRPr="0015464F">
              <w:rPr>
                <w:rFonts w:ascii="Gill Sans MT" w:hAnsi="Gill Sans MT"/>
                <w:spacing w:val="2"/>
                <w:sz w:val="18"/>
                <w:szCs w:val="18"/>
              </w:rPr>
              <w:t xml:space="preserve">with  </w:t>
            </w:r>
            <w:r w:rsidRPr="0015464F">
              <w:rPr>
                <w:rFonts w:ascii="Gill Sans MT" w:hAnsi="Gill Sans MT"/>
                <w:sz w:val="18"/>
                <w:szCs w:val="18"/>
              </w:rPr>
              <w:t>a</w:t>
            </w:r>
            <w:proofErr w:type="gramEnd"/>
            <w:r w:rsidRPr="0015464F">
              <w:rPr>
                <w:rFonts w:ascii="Gill Sans MT" w:hAnsi="Gill Sans MT"/>
                <w:sz w:val="18"/>
                <w:szCs w:val="18"/>
              </w:rPr>
              <w:t xml:space="preserve"> </w:t>
            </w:r>
            <w:r w:rsidRPr="0015464F">
              <w:rPr>
                <w:rFonts w:ascii="Gill Sans MT" w:hAnsi="Gill Sans MT"/>
                <w:spacing w:val="2"/>
                <w:sz w:val="18"/>
                <w:szCs w:val="18"/>
              </w:rPr>
              <w:t xml:space="preserve">CNS </w:t>
            </w:r>
            <w:r w:rsidRPr="0015464F">
              <w:rPr>
                <w:rFonts w:ascii="Gill Sans MT" w:hAnsi="Gill Sans MT"/>
                <w:sz w:val="18"/>
                <w:szCs w:val="18"/>
              </w:rPr>
              <w:t xml:space="preserve">tumour and </w:t>
            </w:r>
            <w:r w:rsidRPr="0015464F">
              <w:rPr>
                <w:rFonts w:ascii="Gill Sans MT" w:hAnsi="Gill Sans MT"/>
                <w:spacing w:val="2"/>
                <w:sz w:val="18"/>
                <w:szCs w:val="18"/>
              </w:rPr>
              <w:t xml:space="preserve">treated </w:t>
            </w:r>
            <w:r w:rsidRPr="0015464F">
              <w:rPr>
                <w:rFonts w:ascii="Gill Sans MT" w:hAnsi="Gill Sans MT"/>
                <w:sz w:val="18"/>
                <w:szCs w:val="18"/>
              </w:rPr>
              <w:t xml:space="preserve">at the </w:t>
            </w:r>
            <w:r w:rsidRPr="0015464F">
              <w:rPr>
                <w:rFonts w:ascii="Gill Sans MT" w:hAnsi="Gill Sans MT"/>
                <w:spacing w:val="2"/>
                <w:sz w:val="18"/>
                <w:szCs w:val="18"/>
              </w:rPr>
              <w:t xml:space="preserve">Oncology </w:t>
            </w:r>
            <w:r w:rsidRPr="0015464F">
              <w:rPr>
                <w:rFonts w:ascii="Gill Sans MT" w:hAnsi="Gill Sans MT"/>
                <w:spacing w:val="3"/>
                <w:sz w:val="18"/>
                <w:szCs w:val="18"/>
              </w:rPr>
              <w:t xml:space="preserve">Service </w:t>
            </w:r>
            <w:r w:rsidRPr="0015464F">
              <w:rPr>
                <w:rFonts w:ascii="Gill Sans MT" w:hAnsi="Gill Sans MT"/>
                <w:sz w:val="18"/>
                <w:szCs w:val="18"/>
              </w:rPr>
              <w:t xml:space="preserve">at </w:t>
            </w:r>
            <w:r w:rsidRPr="0015464F">
              <w:rPr>
                <w:rFonts w:ascii="Gill Sans MT" w:hAnsi="Gill Sans MT"/>
                <w:spacing w:val="2"/>
                <w:sz w:val="18"/>
                <w:szCs w:val="18"/>
              </w:rPr>
              <w:t xml:space="preserve">The </w:t>
            </w:r>
            <w:r w:rsidRPr="0015464F">
              <w:rPr>
                <w:rFonts w:ascii="Gill Sans MT" w:hAnsi="Gill Sans MT"/>
                <w:sz w:val="18"/>
                <w:szCs w:val="18"/>
              </w:rPr>
              <w:t xml:space="preserve">Royal </w:t>
            </w:r>
            <w:r w:rsidRPr="0015464F">
              <w:rPr>
                <w:rFonts w:ascii="Gill Sans MT" w:hAnsi="Gill Sans MT"/>
                <w:spacing w:val="3"/>
                <w:sz w:val="18"/>
                <w:szCs w:val="18"/>
              </w:rPr>
              <w:t xml:space="preserve">Hobart </w:t>
            </w:r>
            <w:r w:rsidRPr="0015464F">
              <w:rPr>
                <w:rFonts w:ascii="Gill Sans MT" w:hAnsi="Gill Sans MT"/>
                <w:spacing w:val="2"/>
                <w:sz w:val="18"/>
                <w:szCs w:val="18"/>
              </w:rPr>
              <w:t xml:space="preserve">Hospital between 2006 </w:t>
            </w:r>
            <w:r w:rsidRPr="0015464F">
              <w:rPr>
                <w:rFonts w:ascii="Gill Sans MT" w:hAnsi="Gill Sans MT"/>
                <w:sz w:val="18"/>
                <w:szCs w:val="18"/>
              </w:rPr>
              <w:t xml:space="preserve">and </w:t>
            </w:r>
            <w:r w:rsidRPr="0015464F">
              <w:rPr>
                <w:rFonts w:ascii="Gill Sans MT" w:hAnsi="Gill Sans MT"/>
                <w:spacing w:val="-3"/>
                <w:sz w:val="18"/>
                <w:szCs w:val="18"/>
              </w:rPr>
              <w:t xml:space="preserve">2015. </w:t>
            </w:r>
            <w:r w:rsidRPr="0015464F">
              <w:rPr>
                <w:rFonts w:ascii="Gill Sans MT" w:hAnsi="Gill Sans MT"/>
                <w:spacing w:val="2"/>
                <w:sz w:val="18"/>
                <w:szCs w:val="18"/>
              </w:rPr>
              <w:t xml:space="preserve">The </w:t>
            </w:r>
            <w:r w:rsidRPr="0015464F">
              <w:rPr>
                <w:rFonts w:ascii="Gill Sans MT" w:hAnsi="Gill Sans MT"/>
                <w:sz w:val="18"/>
                <w:szCs w:val="18"/>
              </w:rPr>
              <w:t xml:space="preserve">review will include </w:t>
            </w:r>
            <w:r w:rsidRPr="0015464F">
              <w:rPr>
                <w:rFonts w:ascii="Gill Sans MT" w:hAnsi="Gill Sans MT"/>
                <w:spacing w:val="2"/>
                <w:sz w:val="18"/>
                <w:szCs w:val="18"/>
              </w:rPr>
              <w:t xml:space="preserve">Demographic </w:t>
            </w:r>
            <w:r w:rsidRPr="0015464F">
              <w:rPr>
                <w:rFonts w:ascii="Gill Sans MT" w:hAnsi="Gill Sans MT"/>
                <w:spacing w:val="3"/>
                <w:sz w:val="18"/>
                <w:szCs w:val="18"/>
              </w:rPr>
              <w:t xml:space="preserve">data, </w:t>
            </w:r>
            <w:r w:rsidRPr="0015464F">
              <w:rPr>
                <w:rFonts w:ascii="Gill Sans MT" w:hAnsi="Gill Sans MT"/>
                <w:sz w:val="18"/>
                <w:szCs w:val="18"/>
              </w:rPr>
              <w:t xml:space="preserve">age of </w:t>
            </w:r>
            <w:r w:rsidRPr="0015464F">
              <w:rPr>
                <w:rFonts w:ascii="Gill Sans MT" w:hAnsi="Gill Sans MT"/>
                <w:spacing w:val="2"/>
                <w:sz w:val="18"/>
                <w:szCs w:val="18"/>
              </w:rPr>
              <w:t xml:space="preserve">presentation, </w:t>
            </w:r>
            <w:r w:rsidRPr="0015464F">
              <w:rPr>
                <w:rFonts w:ascii="Gill Sans MT" w:hAnsi="Gill Sans MT"/>
                <w:sz w:val="18"/>
                <w:szCs w:val="18"/>
              </w:rPr>
              <w:t xml:space="preserve">age of onset of </w:t>
            </w:r>
            <w:r w:rsidRPr="0015464F">
              <w:rPr>
                <w:rFonts w:ascii="Gill Sans MT" w:hAnsi="Gill Sans MT"/>
                <w:spacing w:val="2"/>
                <w:sz w:val="18"/>
                <w:szCs w:val="18"/>
              </w:rPr>
              <w:t xml:space="preserve">symptoms, </w:t>
            </w:r>
            <w:r w:rsidRPr="0015464F">
              <w:rPr>
                <w:rFonts w:ascii="Gill Sans MT" w:hAnsi="Gill Sans MT"/>
                <w:sz w:val="18"/>
                <w:szCs w:val="18"/>
              </w:rPr>
              <w:t xml:space="preserve">tumour </w:t>
            </w:r>
            <w:r w:rsidRPr="0015464F">
              <w:rPr>
                <w:rFonts w:ascii="Gill Sans MT" w:hAnsi="Gill Sans MT"/>
                <w:spacing w:val="2"/>
                <w:sz w:val="18"/>
                <w:szCs w:val="18"/>
              </w:rPr>
              <w:t xml:space="preserve">location, </w:t>
            </w:r>
            <w:r w:rsidRPr="0015464F">
              <w:rPr>
                <w:rFonts w:ascii="Gill Sans MT" w:hAnsi="Gill Sans MT"/>
                <w:spacing w:val="3"/>
                <w:sz w:val="18"/>
                <w:szCs w:val="18"/>
              </w:rPr>
              <w:t xml:space="preserve">classification, </w:t>
            </w:r>
            <w:r w:rsidRPr="0015464F">
              <w:rPr>
                <w:rFonts w:ascii="Gill Sans MT" w:hAnsi="Gill Sans MT"/>
                <w:sz w:val="18"/>
                <w:szCs w:val="18"/>
              </w:rPr>
              <w:t xml:space="preserve">histopathology, </w:t>
            </w:r>
            <w:r w:rsidRPr="0015464F">
              <w:rPr>
                <w:rFonts w:ascii="Gill Sans MT" w:hAnsi="Gill Sans MT"/>
                <w:spacing w:val="3"/>
                <w:sz w:val="18"/>
                <w:szCs w:val="18"/>
              </w:rPr>
              <w:t xml:space="preserve">treatment </w:t>
            </w:r>
            <w:r w:rsidRPr="0015464F">
              <w:rPr>
                <w:rFonts w:ascii="Gill Sans MT" w:hAnsi="Gill Sans MT"/>
                <w:spacing w:val="2"/>
                <w:sz w:val="18"/>
                <w:szCs w:val="18"/>
              </w:rPr>
              <w:t xml:space="preserve">modalities </w:t>
            </w:r>
            <w:r w:rsidRPr="0015464F">
              <w:rPr>
                <w:rFonts w:ascii="Gill Sans MT" w:hAnsi="Gill Sans MT"/>
                <w:sz w:val="18"/>
                <w:szCs w:val="18"/>
              </w:rPr>
              <w:t xml:space="preserve">and </w:t>
            </w:r>
            <w:r w:rsidRPr="0015464F">
              <w:rPr>
                <w:rFonts w:ascii="Gill Sans MT" w:hAnsi="Gill Sans MT"/>
                <w:spacing w:val="2"/>
                <w:sz w:val="18"/>
                <w:szCs w:val="18"/>
              </w:rPr>
              <w:t xml:space="preserve">associated </w:t>
            </w:r>
            <w:r w:rsidRPr="0015464F">
              <w:rPr>
                <w:rFonts w:ascii="Gill Sans MT" w:hAnsi="Gill Sans MT"/>
                <w:spacing w:val="3"/>
                <w:sz w:val="18"/>
                <w:szCs w:val="18"/>
              </w:rPr>
              <w:t xml:space="preserve">morbidity </w:t>
            </w:r>
            <w:r w:rsidRPr="0015464F">
              <w:rPr>
                <w:rFonts w:ascii="Gill Sans MT" w:hAnsi="Gill Sans MT"/>
                <w:sz w:val="18"/>
                <w:szCs w:val="18"/>
              </w:rPr>
              <w:t>and</w:t>
            </w:r>
            <w:r w:rsidRPr="0015464F">
              <w:rPr>
                <w:rFonts w:ascii="Gill Sans MT" w:hAnsi="Gill Sans MT"/>
                <w:spacing w:val="8"/>
                <w:sz w:val="18"/>
                <w:szCs w:val="18"/>
              </w:rPr>
              <w:t xml:space="preserve"> </w:t>
            </w:r>
            <w:r w:rsidRPr="0015464F">
              <w:rPr>
                <w:rFonts w:ascii="Gill Sans MT" w:hAnsi="Gill Sans MT"/>
                <w:spacing w:val="3"/>
                <w:sz w:val="18"/>
                <w:szCs w:val="18"/>
              </w:rPr>
              <w:t>mortality.</w:t>
            </w:r>
          </w:p>
        </w:tc>
        <w:tc>
          <w:tcPr>
            <w:tcW w:w="1192" w:type="dxa"/>
            <w:shd w:val="clear" w:color="auto" w:fill="auto"/>
          </w:tcPr>
          <w:p w:rsidR="0015464F" w:rsidRPr="0015464F" w:rsidRDefault="0015464F" w:rsidP="00AC79F5">
            <w:pPr>
              <w:pStyle w:val="TableParagraph"/>
              <w:spacing w:before="47"/>
              <w:ind w:left="52"/>
              <w:rPr>
                <w:rFonts w:ascii="Gill Sans MT" w:hAnsi="Gill Sans MT"/>
                <w:sz w:val="18"/>
                <w:szCs w:val="18"/>
              </w:rPr>
            </w:pPr>
            <w:r w:rsidRPr="0015464F">
              <w:rPr>
                <w:rFonts w:ascii="Gill Sans MT" w:hAnsi="Gill Sans MT"/>
                <w:sz w:val="18"/>
                <w:szCs w:val="18"/>
              </w:rPr>
              <w:t>RHH</w:t>
            </w:r>
          </w:p>
        </w:tc>
        <w:tc>
          <w:tcPr>
            <w:tcW w:w="1070" w:type="dxa"/>
            <w:shd w:val="clear" w:color="auto" w:fill="auto"/>
          </w:tcPr>
          <w:p w:rsidR="0015464F" w:rsidRPr="0015464F" w:rsidRDefault="0015464F" w:rsidP="00AC79F5">
            <w:pPr>
              <w:pStyle w:val="TableParagraph"/>
              <w:spacing w:before="47" w:line="202" w:lineRule="exact"/>
              <w:ind w:left="52"/>
              <w:rPr>
                <w:rFonts w:ascii="Gill Sans MT" w:hAnsi="Gill Sans MT"/>
                <w:sz w:val="18"/>
                <w:szCs w:val="18"/>
              </w:rPr>
            </w:pPr>
            <w:r w:rsidRPr="0015464F">
              <w:rPr>
                <w:rFonts w:ascii="Gill Sans MT" w:hAnsi="Gill Sans MT"/>
                <w:sz w:val="18"/>
                <w:szCs w:val="18"/>
              </w:rPr>
              <w:t>2016</w:t>
            </w:r>
          </w:p>
          <w:p w:rsidR="0015464F" w:rsidRPr="0015464F" w:rsidRDefault="0015464F"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ongoing</w:t>
            </w:r>
          </w:p>
        </w:tc>
      </w:tr>
      <w:tr w:rsidR="00F60BD6" w:rsidRPr="0015464F" w:rsidTr="00AC79F5">
        <w:trPr>
          <w:trHeight w:val="1833"/>
        </w:trPr>
        <w:tc>
          <w:tcPr>
            <w:tcW w:w="1382" w:type="dxa"/>
            <w:shd w:val="clear" w:color="auto" w:fill="auto"/>
          </w:tcPr>
          <w:p w:rsidR="00F60BD6" w:rsidRPr="0015464F" w:rsidRDefault="00F60BD6" w:rsidP="00AC79F5">
            <w:pPr>
              <w:pStyle w:val="TableParagraph"/>
              <w:spacing w:before="17"/>
              <w:ind w:left="52"/>
              <w:rPr>
                <w:rFonts w:ascii="Gill Sans MT" w:hAnsi="Gill Sans MT"/>
                <w:sz w:val="18"/>
                <w:szCs w:val="18"/>
              </w:rPr>
            </w:pPr>
            <w:r w:rsidRPr="0015464F">
              <w:rPr>
                <w:rFonts w:ascii="Gill Sans MT" w:hAnsi="Gill Sans MT"/>
                <w:sz w:val="18"/>
                <w:szCs w:val="18"/>
              </w:rPr>
              <w:t>A review of</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Asthma Action</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Plans for use</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with children</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from the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perspectives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of health care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professionals and</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parents</w:t>
            </w:r>
          </w:p>
        </w:tc>
        <w:tc>
          <w:tcPr>
            <w:tcW w:w="1440" w:type="dxa"/>
            <w:shd w:val="clear" w:color="auto" w:fill="auto"/>
          </w:tcPr>
          <w:p w:rsidR="00F60BD6" w:rsidRPr="0015464F" w:rsidRDefault="00F60BD6" w:rsidP="00AC79F5">
            <w:pPr>
              <w:pStyle w:val="TableParagraph"/>
              <w:spacing w:before="17"/>
              <w:ind w:left="52"/>
              <w:rPr>
                <w:rFonts w:ascii="Gill Sans MT" w:hAnsi="Gill Sans MT"/>
                <w:sz w:val="18"/>
                <w:szCs w:val="18"/>
              </w:rPr>
            </w:pPr>
            <w:r w:rsidRPr="0015464F">
              <w:rPr>
                <w:rFonts w:ascii="Gill Sans MT" w:hAnsi="Gill Sans MT"/>
                <w:sz w:val="18"/>
                <w:szCs w:val="18"/>
              </w:rPr>
              <w:t>Beggs, S</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Kapoor, U</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Tichanow, C</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Ford, K</w:t>
            </w:r>
          </w:p>
        </w:tc>
        <w:tc>
          <w:tcPr>
            <w:tcW w:w="4136" w:type="dxa"/>
            <w:shd w:val="clear" w:color="auto" w:fill="auto"/>
          </w:tcPr>
          <w:p w:rsidR="00F60BD6" w:rsidRPr="0015464F" w:rsidRDefault="00F60BD6" w:rsidP="00AC79F5">
            <w:pPr>
              <w:pStyle w:val="TableParagraph"/>
              <w:spacing w:before="17"/>
              <w:ind w:left="52"/>
              <w:rPr>
                <w:rFonts w:ascii="Gill Sans MT" w:hAnsi="Gill Sans MT"/>
                <w:sz w:val="18"/>
                <w:szCs w:val="18"/>
              </w:rPr>
            </w:pPr>
            <w:r w:rsidRPr="0015464F">
              <w:rPr>
                <w:rFonts w:ascii="Gill Sans MT" w:hAnsi="Gill Sans MT"/>
                <w:sz w:val="18"/>
                <w:szCs w:val="18"/>
              </w:rPr>
              <w:t>This project used a number of tools to assess a range</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of asthma action plans (AAPs) to determine the plans</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that best meet the needs of 1) health professionals – in</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providing essential information about management</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and control of asthma; and 2) consumers – parents of</w:t>
            </w:r>
          </w:p>
          <w:p w:rsidR="00F60BD6" w:rsidRPr="0015464F" w:rsidRDefault="00F60BD6" w:rsidP="00AC79F5">
            <w:pPr>
              <w:pStyle w:val="TableParagraph"/>
              <w:spacing w:line="202" w:lineRule="exact"/>
              <w:ind w:left="52"/>
              <w:rPr>
                <w:rFonts w:ascii="Gill Sans MT" w:hAnsi="Gill Sans MT"/>
                <w:sz w:val="18"/>
                <w:szCs w:val="18"/>
              </w:rPr>
            </w:pPr>
            <w:proofErr w:type="gramStart"/>
            <w:r w:rsidRPr="0015464F">
              <w:rPr>
                <w:rFonts w:ascii="Gill Sans MT" w:hAnsi="Gill Sans MT"/>
                <w:sz w:val="18"/>
                <w:szCs w:val="18"/>
              </w:rPr>
              <w:t>children</w:t>
            </w:r>
            <w:proofErr w:type="gramEnd"/>
            <w:r w:rsidRPr="0015464F">
              <w:rPr>
                <w:rFonts w:ascii="Gill Sans MT" w:hAnsi="Gill Sans MT"/>
                <w:sz w:val="18"/>
                <w:szCs w:val="18"/>
              </w:rPr>
              <w:t xml:space="preserve"> who have asthma.</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The aim of the study was to systematically examine the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readability, suitability, characteristics and useability of a</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range of asthma action plans for children</w:t>
            </w:r>
          </w:p>
        </w:tc>
        <w:tc>
          <w:tcPr>
            <w:tcW w:w="1192" w:type="dxa"/>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RHH</w:t>
            </w:r>
          </w:p>
        </w:tc>
        <w:tc>
          <w:tcPr>
            <w:tcW w:w="1070" w:type="dxa"/>
            <w:shd w:val="clear" w:color="auto" w:fill="auto"/>
          </w:tcPr>
          <w:p w:rsidR="00F60BD6" w:rsidRPr="0015464F" w:rsidRDefault="00F60BD6" w:rsidP="00AC79F5">
            <w:pPr>
              <w:pStyle w:val="TableParagraph"/>
              <w:spacing w:before="16"/>
              <w:ind w:left="52"/>
              <w:rPr>
                <w:rFonts w:ascii="Gill Sans MT" w:hAnsi="Gill Sans MT"/>
                <w:sz w:val="18"/>
                <w:szCs w:val="18"/>
              </w:rPr>
            </w:pPr>
            <w:r w:rsidRPr="0015464F">
              <w:rPr>
                <w:rFonts w:ascii="Gill Sans MT" w:hAnsi="Gill Sans MT"/>
                <w:sz w:val="18"/>
                <w:szCs w:val="18"/>
              </w:rPr>
              <w:t>2014,</w:t>
            </w:r>
          </w:p>
          <w:p w:rsidR="00F60BD6" w:rsidRPr="0015464F" w:rsidRDefault="00F60BD6" w:rsidP="00AC79F5">
            <w:pPr>
              <w:pStyle w:val="TableParagraph"/>
              <w:spacing w:line="201" w:lineRule="exact"/>
              <w:ind w:left="52"/>
              <w:rPr>
                <w:rFonts w:ascii="Gill Sans MT" w:hAnsi="Gill Sans MT"/>
                <w:sz w:val="18"/>
                <w:szCs w:val="18"/>
              </w:rPr>
            </w:pPr>
            <w:r w:rsidRPr="0015464F">
              <w:rPr>
                <w:rFonts w:ascii="Gill Sans MT" w:hAnsi="Gill Sans MT"/>
                <w:sz w:val="18"/>
                <w:szCs w:val="18"/>
              </w:rPr>
              <w:t>complete</w:t>
            </w:r>
          </w:p>
          <w:p w:rsidR="00F60BD6" w:rsidRPr="0015464F" w:rsidRDefault="00F60BD6" w:rsidP="00AC79F5">
            <w:pPr>
              <w:pStyle w:val="TableParagraph"/>
              <w:spacing w:line="202" w:lineRule="exact"/>
              <w:ind w:left="52"/>
              <w:rPr>
                <w:rFonts w:ascii="Gill Sans MT" w:hAnsi="Gill Sans MT"/>
                <w:sz w:val="18"/>
                <w:szCs w:val="18"/>
              </w:rPr>
            </w:pPr>
            <w:r w:rsidRPr="0015464F">
              <w:rPr>
                <w:rFonts w:ascii="Gill Sans MT" w:hAnsi="Gill Sans MT"/>
                <w:sz w:val="18"/>
                <w:szCs w:val="18"/>
              </w:rPr>
              <w:t>2016</w:t>
            </w:r>
          </w:p>
        </w:tc>
      </w:tr>
    </w:tbl>
    <w:p w:rsidR="0015464F" w:rsidRDefault="0015464F" w:rsidP="008B65D7">
      <w:pPr>
        <w:pStyle w:val="BodyText"/>
      </w:pPr>
    </w:p>
    <w:p w:rsidR="002672C1" w:rsidRDefault="002672C1">
      <w:pPr>
        <w:rPr>
          <w:rFonts w:ascii="Gill Sans MT" w:eastAsia="GillSans-Light" w:hAnsi="Gill Sans MT" w:cs="GillSans-Light"/>
          <w:lang w:val="en-US"/>
        </w:rPr>
      </w:pPr>
      <w:r>
        <w:br w:type="page"/>
      </w:r>
    </w:p>
    <w:p w:rsidR="002672C1" w:rsidRDefault="002672C1" w:rsidP="002672C1">
      <w:pPr>
        <w:pStyle w:val="Heading4"/>
      </w:pPr>
      <w:r>
        <w:lastRenderedPageBreak/>
        <w:t xml:space="preserve">Research Projects with </w:t>
      </w:r>
      <w:proofErr w:type="gramStart"/>
      <w:r>
        <w:t>THS(</w:t>
      </w:r>
      <w:proofErr w:type="gramEnd"/>
      <w:r>
        <w:t>N): Professor of Healthcare Improvement, August  2016</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546"/>
        <w:gridCol w:w="1349"/>
        <w:gridCol w:w="1234"/>
        <w:gridCol w:w="907"/>
        <w:gridCol w:w="921"/>
        <w:gridCol w:w="1912"/>
        <w:gridCol w:w="1678"/>
      </w:tblGrid>
      <w:tr w:rsidR="002672C1" w:rsidRPr="002672C1" w:rsidTr="002672C1">
        <w:trPr>
          <w:trHeight w:hRule="exact" w:val="516"/>
        </w:trPr>
        <w:tc>
          <w:tcPr>
            <w:tcW w:w="1546"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76" w:line="200" w:lineRule="exact"/>
              <w:ind w:left="79" w:right="577"/>
              <w:rPr>
                <w:rFonts w:ascii="Gill Sans MT" w:hAnsi="Gill Sans MT"/>
                <w:b/>
                <w:sz w:val="18"/>
                <w:szCs w:val="18"/>
              </w:rPr>
            </w:pPr>
            <w:r w:rsidRPr="002672C1">
              <w:rPr>
                <w:rFonts w:ascii="Gill Sans MT" w:hAnsi="Gill Sans MT"/>
                <w:b/>
                <w:sz w:val="18"/>
                <w:szCs w:val="18"/>
              </w:rPr>
              <w:t>THS staff member(s)</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378"/>
              <w:rPr>
                <w:rFonts w:ascii="Gill Sans MT" w:hAnsi="Gill Sans MT"/>
                <w:b/>
                <w:sz w:val="18"/>
                <w:szCs w:val="18"/>
              </w:rPr>
            </w:pPr>
            <w:r w:rsidRPr="002672C1">
              <w:rPr>
                <w:rFonts w:ascii="Gill Sans MT" w:hAnsi="Gill Sans MT"/>
                <w:b/>
                <w:sz w:val="18"/>
                <w:szCs w:val="18"/>
              </w:rPr>
              <w:t>Project</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75"/>
              <w:rPr>
                <w:rFonts w:ascii="Gill Sans MT" w:hAnsi="Gill Sans MT"/>
                <w:b/>
                <w:sz w:val="18"/>
                <w:szCs w:val="18"/>
              </w:rPr>
            </w:pPr>
            <w:r w:rsidRPr="002672C1">
              <w:rPr>
                <w:rFonts w:ascii="Gill Sans MT" w:hAnsi="Gill Sans MT"/>
                <w:b/>
                <w:sz w:val="18"/>
                <w:szCs w:val="18"/>
              </w:rPr>
              <w:t>Funding body</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119"/>
              <w:rPr>
                <w:rFonts w:ascii="Gill Sans MT" w:hAnsi="Gill Sans MT"/>
                <w:b/>
                <w:sz w:val="18"/>
                <w:szCs w:val="18"/>
              </w:rPr>
            </w:pPr>
            <w:r w:rsidRPr="002672C1">
              <w:rPr>
                <w:rFonts w:ascii="Gill Sans MT" w:hAnsi="Gill Sans MT"/>
                <w:b/>
                <w:sz w:val="18"/>
                <w:szCs w:val="18"/>
              </w:rPr>
              <w:t>Amount</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192"/>
              <w:rPr>
                <w:rFonts w:ascii="Gill Sans MT" w:hAnsi="Gill Sans MT"/>
                <w:b/>
                <w:sz w:val="18"/>
                <w:szCs w:val="18"/>
              </w:rPr>
            </w:pPr>
            <w:r w:rsidRPr="002672C1">
              <w:rPr>
                <w:rFonts w:ascii="Gill Sans MT" w:hAnsi="Gill Sans MT"/>
                <w:b/>
                <w:sz w:val="18"/>
                <w:szCs w:val="18"/>
              </w:rPr>
              <w:t>Period</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601"/>
              <w:rPr>
                <w:rFonts w:ascii="Gill Sans MT" w:hAnsi="Gill Sans MT"/>
                <w:b/>
                <w:sz w:val="18"/>
                <w:szCs w:val="18"/>
              </w:rPr>
            </w:pPr>
            <w:r w:rsidRPr="002672C1">
              <w:rPr>
                <w:rFonts w:ascii="Gill Sans MT" w:hAnsi="Gill Sans MT"/>
                <w:b/>
                <w:sz w:val="18"/>
                <w:szCs w:val="18"/>
              </w:rPr>
              <w:t>Progress</w:t>
            </w:r>
          </w:p>
        </w:tc>
        <w:tc>
          <w:tcPr>
            <w:tcW w:w="1678"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66"/>
              <w:ind w:left="391"/>
              <w:rPr>
                <w:rFonts w:ascii="Gill Sans MT" w:hAnsi="Gill Sans MT"/>
                <w:b/>
                <w:sz w:val="18"/>
                <w:szCs w:val="18"/>
              </w:rPr>
            </w:pPr>
            <w:r w:rsidRPr="002672C1">
              <w:rPr>
                <w:rFonts w:ascii="Gill Sans MT" w:hAnsi="Gill Sans MT"/>
                <w:b/>
                <w:sz w:val="18"/>
                <w:szCs w:val="18"/>
              </w:rPr>
              <w:t>Comments</w:t>
            </w:r>
          </w:p>
        </w:tc>
      </w:tr>
      <w:tr w:rsidR="002672C1" w:rsidTr="002672C1">
        <w:trPr>
          <w:trHeight w:hRule="exact" w:val="720"/>
        </w:trPr>
        <w:tc>
          <w:tcPr>
            <w:tcW w:w="1546"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8"/>
              <w:ind w:left="75"/>
              <w:rPr>
                <w:rFonts w:ascii="Gill Sans MT" w:hAnsi="Gill Sans MT"/>
                <w:sz w:val="18"/>
                <w:szCs w:val="18"/>
              </w:rPr>
            </w:pPr>
            <w:r w:rsidRPr="002672C1">
              <w:rPr>
                <w:rFonts w:ascii="Gill Sans MT" w:hAnsi="Gill Sans MT"/>
                <w:sz w:val="18"/>
                <w:szCs w:val="18"/>
              </w:rPr>
              <w:t>John Aitken</w:t>
            </w:r>
          </w:p>
        </w:tc>
        <w:tc>
          <w:tcPr>
            <w:tcW w:w="1349"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80" w:line="200" w:lineRule="exact"/>
              <w:ind w:left="75" w:right="109"/>
              <w:rPr>
                <w:rFonts w:ascii="Gill Sans MT" w:hAnsi="Gill Sans MT"/>
                <w:sz w:val="18"/>
                <w:szCs w:val="18"/>
              </w:rPr>
            </w:pPr>
            <w:r w:rsidRPr="002672C1">
              <w:rPr>
                <w:rFonts w:ascii="Gill Sans MT" w:hAnsi="Gill Sans MT"/>
                <w:sz w:val="18"/>
                <w:szCs w:val="18"/>
              </w:rPr>
              <w:t>Health literacy and cardiac rehabilitation</w:t>
            </w:r>
          </w:p>
        </w:tc>
        <w:tc>
          <w:tcPr>
            <w:tcW w:w="1234"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8"/>
              <w:ind w:left="75"/>
              <w:rPr>
                <w:rFonts w:ascii="Gill Sans MT" w:hAnsi="Gill Sans MT"/>
                <w:sz w:val="18"/>
                <w:szCs w:val="18"/>
              </w:rPr>
            </w:pPr>
            <w:r w:rsidRPr="002672C1">
              <w:rPr>
                <w:rFonts w:ascii="Gill Sans MT" w:hAnsi="Gill Sans MT"/>
                <w:sz w:val="18"/>
                <w:szCs w:val="18"/>
              </w:rPr>
              <w:t>UTAS</w:t>
            </w:r>
          </w:p>
        </w:tc>
        <w:tc>
          <w:tcPr>
            <w:tcW w:w="907"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8"/>
              <w:ind w:left="75"/>
              <w:rPr>
                <w:rFonts w:ascii="Gill Sans MT" w:hAnsi="Gill Sans MT"/>
                <w:sz w:val="18"/>
                <w:szCs w:val="18"/>
              </w:rPr>
            </w:pPr>
            <w:r w:rsidRPr="002672C1">
              <w:rPr>
                <w:rFonts w:ascii="Gill Sans MT" w:hAnsi="Gill Sans MT"/>
                <w:sz w:val="18"/>
                <w:szCs w:val="18"/>
              </w:rPr>
              <w:t>$19,000</w:t>
            </w:r>
          </w:p>
        </w:tc>
        <w:tc>
          <w:tcPr>
            <w:tcW w:w="921"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8"/>
              <w:ind w:left="75"/>
              <w:rPr>
                <w:rFonts w:ascii="Gill Sans MT" w:hAnsi="Gill Sans MT"/>
                <w:sz w:val="18"/>
                <w:szCs w:val="18"/>
              </w:rPr>
            </w:pPr>
            <w:r w:rsidRPr="002672C1">
              <w:rPr>
                <w:rFonts w:ascii="Gill Sans MT" w:hAnsi="Gill Sans MT"/>
                <w:sz w:val="18"/>
                <w:szCs w:val="18"/>
              </w:rPr>
              <w:t>2015</w:t>
            </w:r>
          </w:p>
        </w:tc>
        <w:tc>
          <w:tcPr>
            <w:tcW w:w="1912"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8"/>
              <w:ind w:left="75"/>
              <w:rPr>
                <w:rFonts w:ascii="Gill Sans MT" w:hAnsi="Gill Sans MT"/>
                <w:sz w:val="18"/>
                <w:szCs w:val="18"/>
              </w:rPr>
            </w:pPr>
            <w:r w:rsidRPr="002672C1">
              <w:rPr>
                <w:rFonts w:ascii="Gill Sans MT" w:hAnsi="Gill Sans MT"/>
                <w:sz w:val="18"/>
                <w:szCs w:val="18"/>
              </w:rPr>
              <w:t>Completed</w:t>
            </w:r>
          </w:p>
        </w:tc>
        <w:tc>
          <w:tcPr>
            <w:tcW w:w="1678" w:type="dxa"/>
            <w:tcBorders>
              <w:top w:val="single" w:sz="4" w:space="0" w:color="auto"/>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80" w:line="200" w:lineRule="exact"/>
              <w:ind w:left="75"/>
              <w:rPr>
                <w:rFonts w:ascii="Gill Sans MT" w:hAnsi="Gill Sans MT"/>
                <w:sz w:val="18"/>
                <w:szCs w:val="18"/>
              </w:rPr>
            </w:pPr>
            <w:r w:rsidRPr="002672C1">
              <w:rPr>
                <w:rFonts w:ascii="Gill Sans MT" w:hAnsi="Gill Sans MT"/>
                <w:sz w:val="18"/>
                <w:szCs w:val="18"/>
              </w:rPr>
              <w:t>Education sessions modified.</w:t>
            </w:r>
          </w:p>
          <w:p w:rsidR="002672C1" w:rsidRPr="002672C1" w:rsidRDefault="002672C1" w:rsidP="00EB7B26">
            <w:pPr>
              <w:pStyle w:val="TableParagraph"/>
              <w:spacing w:line="203" w:lineRule="exact"/>
              <w:ind w:left="75"/>
              <w:rPr>
                <w:rFonts w:ascii="Gill Sans MT" w:hAnsi="Gill Sans MT"/>
                <w:sz w:val="18"/>
                <w:szCs w:val="18"/>
              </w:rPr>
            </w:pPr>
            <w:r w:rsidRPr="002672C1">
              <w:rPr>
                <w:rFonts w:ascii="Gill Sans MT" w:hAnsi="Gill Sans MT"/>
                <w:sz w:val="18"/>
                <w:szCs w:val="18"/>
              </w:rPr>
              <w:t>Article submitted.</w:t>
            </w:r>
          </w:p>
        </w:tc>
      </w:tr>
      <w:tr w:rsidR="002672C1" w:rsidTr="002672C1">
        <w:trPr>
          <w:trHeight w:hRule="exact" w:val="7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26"/>
              <w:rPr>
                <w:rFonts w:ascii="Gill Sans MT" w:hAnsi="Gill Sans MT"/>
                <w:sz w:val="18"/>
                <w:szCs w:val="18"/>
              </w:rPr>
            </w:pPr>
            <w:r w:rsidRPr="002672C1">
              <w:rPr>
                <w:rFonts w:ascii="Gill Sans MT" w:hAnsi="Gill Sans MT"/>
                <w:sz w:val="18"/>
                <w:szCs w:val="18"/>
              </w:rPr>
              <w:t>John Aitken, Caroline Handley</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09"/>
              <w:rPr>
                <w:rFonts w:ascii="Gill Sans MT" w:hAnsi="Gill Sans MT"/>
                <w:sz w:val="18"/>
                <w:szCs w:val="18"/>
              </w:rPr>
            </w:pPr>
            <w:r w:rsidRPr="002672C1">
              <w:rPr>
                <w:rFonts w:ascii="Gill Sans MT" w:hAnsi="Gill Sans MT"/>
                <w:sz w:val="18"/>
                <w:szCs w:val="18"/>
              </w:rPr>
              <w:t>Evidence-base for cardiac rehabilitation</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UTAS</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$7,000</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Ongoing</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Support with patient database.</w:t>
            </w:r>
          </w:p>
        </w:tc>
      </w:tr>
      <w:tr w:rsidR="002672C1" w:rsidTr="002672C1">
        <w:trPr>
          <w:trHeight w:hRule="exact" w:val="7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Elizabeth Gordon</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09"/>
              <w:rPr>
                <w:rFonts w:ascii="Gill Sans MT" w:hAnsi="Gill Sans MT"/>
                <w:sz w:val="18"/>
                <w:szCs w:val="18"/>
              </w:rPr>
            </w:pPr>
            <w:r w:rsidRPr="002672C1">
              <w:rPr>
                <w:rFonts w:ascii="Gill Sans MT" w:hAnsi="Gill Sans MT"/>
                <w:sz w:val="18"/>
                <w:szCs w:val="18"/>
              </w:rPr>
              <w:t>Chest pain patient journey</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90"/>
              <w:rPr>
                <w:rFonts w:ascii="Gill Sans MT" w:hAnsi="Gill Sans MT"/>
                <w:sz w:val="18"/>
                <w:szCs w:val="18"/>
              </w:rPr>
            </w:pPr>
            <w:r w:rsidRPr="002672C1">
              <w:rPr>
                <w:rFonts w:ascii="Gill Sans MT" w:hAnsi="Gill Sans MT"/>
                <w:sz w:val="18"/>
                <w:szCs w:val="18"/>
              </w:rPr>
              <w:t>UTAS (Clinical Redesign Scholarship)</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$5,000</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2015-2016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Postponed</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r w:rsidR="002672C1" w:rsidTr="002672C1">
        <w:trPr>
          <w:trHeight w:hRule="exact" w:val="11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26"/>
              <w:rPr>
                <w:rFonts w:ascii="Gill Sans MT" w:hAnsi="Gill Sans MT"/>
                <w:sz w:val="18"/>
                <w:szCs w:val="18"/>
              </w:rPr>
            </w:pPr>
            <w:r w:rsidRPr="002672C1">
              <w:rPr>
                <w:rFonts w:ascii="Gill Sans MT" w:hAnsi="Gill Sans MT"/>
                <w:sz w:val="18"/>
                <w:szCs w:val="18"/>
              </w:rPr>
              <w:t>Jess Lawton, Sharon Williams, Helen Bryan, Faye Walsh</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CoNECs evaluation</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Clifford Craig, UTAS</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5"/>
              <w:rPr>
                <w:rFonts w:ascii="Gill Sans MT" w:hAnsi="Gill Sans MT"/>
                <w:sz w:val="18"/>
                <w:szCs w:val="18"/>
              </w:rPr>
            </w:pPr>
            <w:r w:rsidRPr="002672C1">
              <w:rPr>
                <w:rFonts w:ascii="Gill Sans MT" w:hAnsi="Gill Sans MT"/>
                <w:sz w:val="18"/>
                <w:szCs w:val="18"/>
              </w:rPr>
              <w:t>$5,000</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CCMRT</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and</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$5,000</w:t>
            </w:r>
          </w:p>
          <w:p w:rsidR="002672C1" w:rsidRPr="002672C1" w:rsidRDefault="002672C1" w:rsidP="00EB7B26">
            <w:pPr>
              <w:pStyle w:val="TableParagraph"/>
              <w:spacing w:line="202" w:lineRule="exact"/>
              <w:ind w:left="75"/>
              <w:rPr>
                <w:rFonts w:ascii="Gill Sans MT" w:hAnsi="Gill Sans MT"/>
                <w:sz w:val="18"/>
                <w:szCs w:val="18"/>
              </w:rPr>
            </w:pPr>
            <w:r w:rsidRPr="002672C1">
              <w:rPr>
                <w:rFonts w:ascii="Gill Sans MT" w:hAnsi="Gill Sans MT"/>
                <w:sz w:val="18"/>
                <w:szCs w:val="18"/>
              </w:rPr>
              <w:t>UTAS</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5"/>
              <w:rPr>
                <w:rFonts w:ascii="Gill Sans MT" w:hAnsi="Gill Sans MT"/>
                <w:sz w:val="18"/>
                <w:szCs w:val="18"/>
              </w:rPr>
            </w:pPr>
            <w:r w:rsidRPr="002672C1">
              <w:rPr>
                <w:rFonts w:ascii="Gill Sans MT" w:hAnsi="Gill Sans MT"/>
                <w:sz w:val="18"/>
                <w:szCs w:val="18"/>
              </w:rPr>
              <w:t>Ethics approved.</w:t>
            </w:r>
          </w:p>
          <w:p w:rsidR="002672C1" w:rsidRPr="002672C1" w:rsidRDefault="002672C1" w:rsidP="00EB7B26">
            <w:pPr>
              <w:pStyle w:val="TableParagraph"/>
              <w:spacing w:line="235" w:lineRule="auto"/>
              <w:ind w:left="75"/>
              <w:rPr>
                <w:rFonts w:ascii="Gill Sans MT" w:hAnsi="Gill Sans MT"/>
                <w:sz w:val="18"/>
                <w:szCs w:val="18"/>
              </w:rPr>
            </w:pPr>
            <w:r w:rsidRPr="002672C1">
              <w:rPr>
                <w:rFonts w:ascii="Gill Sans MT" w:hAnsi="Gill Sans MT"/>
                <w:sz w:val="18"/>
                <w:szCs w:val="18"/>
              </w:rPr>
              <w:t>Data analysis complete, focus groups underway.</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r w:rsidR="002672C1" w:rsidTr="002672C1">
        <w:trPr>
          <w:trHeight w:hRule="exact" w:val="11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84"/>
              <w:rPr>
                <w:rFonts w:ascii="Gill Sans MT" w:hAnsi="Gill Sans MT"/>
                <w:sz w:val="18"/>
                <w:szCs w:val="18"/>
              </w:rPr>
            </w:pPr>
            <w:r w:rsidRPr="002672C1">
              <w:rPr>
                <w:rFonts w:ascii="Gill Sans MT" w:hAnsi="Gill Sans MT"/>
                <w:sz w:val="18"/>
                <w:szCs w:val="18"/>
              </w:rPr>
              <w:t>Maria Unwin, Scott Rigby</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93"/>
              <w:rPr>
                <w:rFonts w:ascii="Gill Sans MT" w:hAnsi="Gill Sans MT"/>
                <w:sz w:val="18"/>
                <w:szCs w:val="18"/>
              </w:rPr>
            </w:pPr>
            <w:r w:rsidRPr="002672C1">
              <w:rPr>
                <w:rFonts w:ascii="Gill Sans MT" w:hAnsi="Gill Sans MT"/>
                <w:sz w:val="18"/>
                <w:szCs w:val="18"/>
              </w:rPr>
              <w:t>Non-urgent presentations to ED</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Clifford Craig, UTAS</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5"/>
              <w:rPr>
                <w:rFonts w:ascii="Gill Sans MT" w:hAnsi="Gill Sans MT"/>
                <w:sz w:val="18"/>
                <w:szCs w:val="18"/>
              </w:rPr>
            </w:pPr>
            <w:r w:rsidRPr="002672C1">
              <w:rPr>
                <w:rFonts w:ascii="Gill Sans MT" w:hAnsi="Gill Sans MT"/>
                <w:sz w:val="18"/>
                <w:szCs w:val="18"/>
              </w:rPr>
              <w:t>$5,000</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CCMRT</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and</w:t>
            </w:r>
          </w:p>
          <w:p w:rsidR="002672C1" w:rsidRPr="002672C1" w:rsidRDefault="002672C1" w:rsidP="00EB7B26">
            <w:pPr>
              <w:pStyle w:val="TableParagraph"/>
              <w:spacing w:line="200" w:lineRule="exact"/>
              <w:ind w:left="75"/>
              <w:rPr>
                <w:rFonts w:ascii="Gill Sans MT" w:hAnsi="Gill Sans MT"/>
                <w:sz w:val="18"/>
                <w:szCs w:val="18"/>
              </w:rPr>
            </w:pPr>
            <w:r w:rsidRPr="002672C1">
              <w:rPr>
                <w:rFonts w:ascii="Gill Sans MT" w:hAnsi="Gill Sans MT"/>
                <w:sz w:val="18"/>
                <w:szCs w:val="18"/>
              </w:rPr>
              <w:t>$20,000</w:t>
            </w:r>
          </w:p>
          <w:p w:rsidR="002672C1" w:rsidRPr="002672C1" w:rsidRDefault="002672C1" w:rsidP="00EB7B26">
            <w:pPr>
              <w:pStyle w:val="TableParagraph"/>
              <w:spacing w:line="202" w:lineRule="exact"/>
              <w:ind w:left="75"/>
              <w:rPr>
                <w:rFonts w:ascii="Gill Sans MT" w:hAnsi="Gill Sans MT"/>
                <w:sz w:val="18"/>
                <w:szCs w:val="18"/>
              </w:rPr>
            </w:pPr>
            <w:r w:rsidRPr="002672C1">
              <w:rPr>
                <w:rFonts w:ascii="Gill Sans MT" w:hAnsi="Gill Sans MT"/>
                <w:sz w:val="18"/>
                <w:szCs w:val="18"/>
              </w:rPr>
              <w:t>UTAS</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2015-2016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First class Honours. Report to Minister for Health.</w:t>
            </w:r>
          </w:p>
          <w:p w:rsidR="002672C1" w:rsidRPr="002672C1" w:rsidRDefault="002672C1" w:rsidP="00EB7B26">
            <w:pPr>
              <w:pStyle w:val="TableParagraph"/>
              <w:spacing w:line="203" w:lineRule="exact"/>
              <w:ind w:left="75"/>
              <w:rPr>
                <w:rFonts w:ascii="Gill Sans MT" w:hAnsi="Gill Sans MT"/>
                <w:sz w:val="18"/>
                <w:szCs w:val="18"/>
              </w:rPr>
            </w:pPr>
            <w:r w:rsidRPr="002672C1">
              <w:rPr>
                <w:rFonts w:ascii="Gill Sans MT" w:hAnsi="Gill Sans MT"/>
                <w:sz w:val="18"/>
                <w:szCs w:val="18"/>
              </w:rPr>
              <w:t>CCMRT EOI submitted.</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Pr>
                <w:rFonts w:ascii="Gill Sans MT" w:hAnsi="Gill Sans MT"/>
                <w:sz w:val="18"/>
                <w:szCs w:val="18"/>
              </w:rPr>
            </w:pPr>
            <w:r w:rsidRPr="002672C1">
              <w:rPr>
                <w:rFonts w:ascii="Gill Sans MT" w:hAnsi="Gill Sans MT"/>
                <w:sz w:val="18"/>
                <w:szCs w:val="18"/>
              </w:rPr>
              <w:t>Submitted to international journal and conference (accepted).</w:t>
            </w:r>
          </w:p>
        </w:tc>
      </w:tr>
      <w:tr w:rsidR="002672C1" w:rsidTr="002672C1">
        <w:trPr>
          <w:trHeight w:hRule="exact" w:val="9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Juliet Scott</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193"/>
              <w:rPr>
                <w:rFonts w:ascii="Gill Sans MT" w:hAnsi="Gill Sans MT"/>
                <w:sz w:val="18"/>
                <w:szCs w:val="18"/>
              </w:rPr>
            </w:pPr>
            <w:r w:rsidRPr="002672C1">
              <w:rPr>
                <w:rFonts w:ascii="Gill Sans MT" w:hAnsi="Gill Sans MT"/>
                <w:sz w:val="18"/>
                <w:szCs w:val="18"/>
              </w:rPr>
              <w:t>Evidence- based wound assessment</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5" w:right="90"/>
              <w:rPr>
                <w:rFonts w:ascii="Gill Sans MT" w:hAnsi="Gill Sans MT"/>
                <w:sz w:val="18"/>
                <w:szCs w:val="18"/>
              </w:rPr>
            </w:pPr>
            <w:r w:rsidRPr="002672C1">
              <w:rPr>
                <w:rFonts w:ascii="Gill Sans MT" w:hAnsi="Gill Sans MT"/>
                <w:sz w:val="18"/>
                <w:szCs w:val="18"/>
              </w:rPr>
              <w:t>Wound Management Innovation CRC</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5"/>
              <w:rPr>
                <w:rFonts w:ascii="Gill Sans MT" w:hAnsi="Gill Sans MT"/>
                <w:sz w:val="18"/>
                <w:szCs w:val="18"/>
              </w:rPr>
            </w:pPr>
            <w:r w:rsidRPr="002672C1">
              <w:rPr>
                <w:rFonts w:ascii="Gill Sans MT" w:hAnsi="Gill Sans MT"/>
                <w:sz w:val="18"/>
                <w:szCs w:val="18"/>
              </w:rPr>
              <w:t>$129,000</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2016-2017</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48"/>
              <w:rPr>
                <w:rFonts w:ascii="Gill Sans MT" w:hAnsi="Gill Sans MT"/>
                <w:sz w:val="18"/>
                <w:szCs w:val="18"/>
              </w:rPr>
            </w:pPr>
            <w:r w:rsidRPr="002672C1">
              <w:rPr>
                <w:rFonts w:ascii="Gill Sans MT" w:hAnsi="Gill Sans MT"/>
                <w:sz w:val="18"/>
                <w:szCs w:val="18"/>
              </w:rPr>
              <w:t>Funding approved, ethics submitted</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5"/>
              <w:rPr>
                <w:rFonts w:ascii="Gill Sans MT" w:hAnsi="Gill Sans MT"/>
                <w:sz w:val="18"/>
                <w:szCs w:val="18"/>
              </w:rPr>
            </w:pPr>
            <w:r w:rsidRPr="002672C1">
              <w:rPr>
                <w:rFonts w:ascii="Gill Sans MT" w:hAnsi="Gill Sans MT"/>
                <w:sz w:val="18"/>
                <w:szCs w:val="18"/>
              </w:rPr>
              <w:t>Commenced July 2016.</w:t>
            </w:r>
          </w:p>
        </w:tc>
      </w:tr>
      <w:tr w:rsidR="002672C1" w:rsidTr="002672C1">
        <w:trPr>
          <w:trHeight w:hRule="exact" w:val="7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Annette Barrett, Danielle Bywaters</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Positive Wards: Using video to inform policy</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UTAS</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$30,000</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Ethics approved</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r w:rsidR="002672C1" w:rsidTr="002672C1">
        <w:trPr>
          <w:trHeight w:hRule="exact" w:val="11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26"/>
              <w:rPr>
                <w:rFonts w:ascii="Gill Sans MT" w:hAnsi="Gill Sans MT"/>
                <w:sz w:val="18"/>
                <w:szCs w:val="18"/>
              </w:rPr>
            </w:pPr>
            <w:r w:rsidRPr="002672C1">
              <w:rPr>
                <w:rFonts w:ascii="Gill Sans MT" w:hAnsi="Gill Sans MT"/>
                <w:sz w:val="18"/>
                <w:szCs w:val="18"/>
              </w:rPr>
              <w:t>Fiona Swinton, Daniel Coleman, Ann Corbauld</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52"/>
              <w:rPr>
                <w:rFonts w:ascii="Gill Sans MT" w:hAnsi="Gill Sans MT"/>
                <w:sz w:val="18"/>
                <w:szCs w:val="18"/>
              </w:rPr>
            </w:pPr>
            <w:r w:rsidRPr="002672C1">
              <w:rPr>
                <w:rFonts w:ascii="Gill Sans MT" w:hAnsi="Gill Sans MT"/>
                <w:spacing w:val="2"/>
                <w:sz w:val="18"/>
                <w:szCs w:val="18"/>
              </w:rPr>
              <w:t xml:space="preserve">Evidence- </w:t>
            </w:r>
            <w:r w:rsidRPr="002672C1">
              <w:rPr>
                <w:rFonts w:ascii="Gill Sans MT" w:hAnsi="Gill Sans MT"/>
                <w:sz w:val="18"/>
                <w:szCs w:val="18"/>
              </w:rPr>
              <w:t xml:space="preserve">based diabetes </w:t>
            </w:r>
            <w:r w:rsidRPr="002672C1">
              <w:rPr>
                <w:rFonts w:ascii="Gill Sans MT" w:hAnsi="Gill Sans MT"/>
                <w:spacing w:val="2"/>
                <w:sz w:val="18"/>
                <w:szCs w:val="18"/>
              </w:rPr>
              <w:t xml:space="preserve">management </w:t>
            </w:r>
            <w:r w:rsidRPr="002672C1">
              <w:rPr>
                <w:rFonts w:ascii="Gill Sans MT" w:hAnsi="Gill Sans MT"/>
                <w:sz w:val="18"/>
                <w:szCs w:val="18"/>
              </w:rPr>
              <w:t xml:space="preserve">in </w:t>
            </w:r>
            <w:r w:rsidRPr="002672C1">
              <w:rPr>
                <w:rFonts w:ascii="Gill Sans MT" w:hAnsi="Gill Sans MT"/>
                <w:spacing w:val="3"/>
                <w:sz w:val="18"/>
                <w:szCs w:val="18"/>
              </w:rPr>
              <w:t>AMU</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Clifford Craig and UTAS</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4"/>
              <w:rPr>
                <w:rFonts w:ascii="Gill Sans MT" w:hAnsi="Gill Sans MT"/>
                <w:sz w:val="18"/>
                <w:szCs w:val="18"/>
              </w:rPr>
            </w:pPr>
            <w:r w:rsidRPr="002672C1">
              <w:rPr>
                <w:rFonts w:ascii="Gill Sans MT" w:hAnsi="Gill Sans MT"/>
                <w:sz w:val="18"/>
                <w:szCs w:val="18"/>
              </w:rPr>
              <w:t>$17,000</w:t>
            </w:r>
          </w:p>
          <w:p w:rsidR="002672C1" w:rsidRPr="002672C1" w:rsidRDefault="002672C1" w:rsidP="00EB7B26">
            <w:pPr>
              <w:pStyle w:val="TableParagraph"/>
              <w:spacing w:line="200" w:lineRule="exact"/>
              <w:ind w:left="74"/>
              <w:rPr>
                <w:rFonts w:ascii="Gill Sans MT" w:hAnsi="Gill Sans MT"/>
                <w:sz w:val="18"/>
                <w:szCs w:val="18"/>
              </w:rPr>
            </w:pPr>
            <w:r w:rsidRPr="002672C1">
              <w:rPr>
                <w:rFonts w:ascii="Gill Sans MT" w:hAnsi="Gill Sans MT"/>
                <w:sz w:val="18"/>
                <w:szCs w:val="18"/>
              </w:rPr>
              <w:t>CCMRT</w:t>
            </w:r>
          </w:p>
          <w:p w:rsidR="002672C1" w:rsidRPr="002672C1" w:rsidRDefault="002672C1" w:rsidP="00EB7B26">
            <w:pPr>
              <w:pStyle w:val="TableParagraph"/>
              <w:spacing w:line="200" w:lineRule="exact"/>
              <w:ind w:left="74"/>
              <w:rPr>
                <w:rFonts w:ascii="Gill Sans MT" w:hAnsi="Gill Sans MT"/>
                <w:sz w:val="18"/>
                <w:szCs w:val="18"/>
              </w:rPr>
            </w:pPr>
            <w:r w:rsidRPr="002672C1">
              <w:rPr>
                <w:rFonts w:ascii="Gill Sans MT" w:hAnsi="Gill Sans MT"/>
                <w:sz w:val="18"/>
                <w:szCs w:val="18"/>
              </w:rPr>
              <w:t>and</w:t>
            </w:r>
          </w:p>
          <w:p w:rsidR="002672C1" w:rsidRPr="002672C1" w:rsidRDefault="002672C1" w:rsidP="00EB7B26">
            <w:pPr>
              <w:pStyle w:val="TableParagraph"/>
              <w:spacing w:line="200" w:lineRule="exact"/>
              <w:ind w:left="74"/>
              <w:rPr>
                <w:rFonts w:ascii="Gill Sans MT" w:hAnsi="Gill Sans MT"/>
                <w:sz w:val="18"/>
                <w:szCs w:val="18"/>
              </w:rPr>
            </w:pPr>
            <w:r w:rsidRPr="002672C1">
              <w:rPr>
                <w:rFonts w:ascii="Gill Sans MT" w:hAnsi="Gill Sans MT"/>
                <w:sz w:val="18"/>
                <w:szCs w:val="18"/>
              </w:rPr>
              <w:t>$14,000</w:t>
            </w:r>
          </w:p>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UTAS</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Medical records audit underway</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18"/>
              <w:rPr>
                <w:rFonts w:ascii="Gill Sans MT" w:hAnsi="Gill Sans MT"/>
                <w:sz w:val="18"/>
                <w:szCs w:val="18"/>
              </w:rPr>
            </w:pPr>
            <w:r w:rsidRPr="002672C1">
              <w:rPr>
                <w:rFonts w:ascii="Gill Sans MT" w:hAnsi="Gill Sans MT"/>
                <w:sz w:val="18"/>
                <w:szCs w:val="18"/>
              </w:rPr>
              <w:t>Early results: 60- 80% of blood sugars above normal (22 patients)</w:t>
            </w:r>
          </w:p>
        </w:tc>
      </w:tr>
      <w:tr w:rsidR="002672C1" w:rsidTr="002672C1">
        <w:trPr>
          <w:trHeight w:hRule="exact" w:val="9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Danielle Bywaters</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09"/>
              <w:rPr>
                <w:rFonts w:ascii="Gill Sans MT" w:hAnsi="Gill Sans MT"/>
                <w:sz w:val="18"/>
                <w:szCs w:val="18"/>
              </w:rPr>
            </w:pPr>
            <w:r w:rsidRPr="002672C1">
              <w:rPr>
                <w:rFonts w:ascii="Gill Sans MT" w:hAnsi="Gill Sans MT"/>
                <w:sz w:val="18"/>
                <w:szCs w:val="18"/>
              </w:rPr>
              <w:t>Patient education using Video Reflexive Ethnography</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4"/>
              <w:rPr>
                <w:rFonts w:ascii="Gill Sans MT" w:hAnsi="Gill Sans MT"/>
                <w:sz w:val="18"/>
                <w:szCs w:val="18"/>
              </w:rPr>
            </w:pPr>
            <w:r w:rsidRPr="002672C1">
              <w:rPr>
                <w:rFonts w:ascii="Gill Sans MT" w:hAnsi="Gill Sans MT"/>
                <w:sz w:val="18"/>
                <w:szCs w:val="18"/>
              </w:rPr>
              <w:t>APA PhD</w:t>
            </w:r>
          </w:p>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scholarship</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$78,000</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2015-2017</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Ethics submitted</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r w:rsidR="002672C1" w:rsidTr="002672C1">
        <w:trPr>
          <w:trHeight w:hRule="exact" w:val="9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Multiple key staff interviewed</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93"/>
              <w:rPr>
                <w:rFonts w:ascii="Gill Sans MT" w:hAnsi="Gill Sans MT"/>
                <w:sz w:val="18"/>
                <w:szCs w:val="18"/>
              </w:rPr>
            </w:pPr>
            <w:r w:rsidRPr="002672C1">
              <w:rPr>
                <w:rFonts w:ascii="Gill Sans MT" w:hAnsi="Gill Sans MT"/>
                <w:sz w:val="18"/>
                <w:szCs w:val="18"/>
              </w:rPr>
              <w:t>Factors impacting Clinical Redesign</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4"/>
              <w:rPr>
                <w:rFonts w:ascii="Gill Sans MT" w:hAnsi="Gill Sans MT"/>
                <w:sz w:val="18"/>
                <w:szCs w:val="18"/>
              </w:rPr>
            </w:pPr>
            <w:r w:rsidRPr="002672C1">
              <w:rPr>
                <w:rFonts w:ascii="Gill Sans MT" w:hAnsi="Gill Sans MT"/>
                <w:sz w:val="18"/>
                <w:szCs w:val="18"/>
              </w:rPr>
              <w:t>UTAS /</w:t>
            </w:r>
          </w:p>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Saskatchewan</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4"/>
              <w:rPr>
                <w:rFonts w:ascii="Gill Sans MT" w:hAnsi="Gill Sans MT"/>
                <w:sz w:val="18"/>
                <w:szCs w:val="18"/>
              </w:rPr>
            </w:pPr>
            <w:r w:rsidRPr="002672C1">
              <w:rPr>
                <w:rFonts w:ascii="Gill Sans MT" w:hAnsi="Gill Sans MT"/>
                <w:sz w:val="18"/>
                <w:szCs w:val="18"/>
              </w:rPr>
              <w:t>$20,000</w:t>
            </w:r>
          </w:p>
          <w:p w:rsidR="002672C1" w:rsidRPr="002672C1" w:rsidRDefault="002672C1" w:rsidP="00EB7B26">
            <w:pPr>
              <w:pStyle w:val="TableParagraph"/>
              <w:spacing w:line="200" w:lineRule="exact"/>
              <w:ind w:left="74"/>
              <w:rPr>
                <w:rFonts w:ascii="Gill Sans MT" w:hAnsi="Gill Sans MT"/>
                <w:sz w:val="18"/>
                <w:szCs w:val="18"/>
              </w:rPr>
            </w:pPr>
            <w:r w:rsidRPr="002672C1">
              <w:rPr>
                <w:rFonts w:ascii="Gill Sans MT" w:hAnsi="Gill Sans MT"/>
                <w:sz w:val="18"/>
                <w:szCs w:val="18"/>
              </w:rPr>
              <w:t>UTAS and</w:t>
            </w:r>
          </w:p>
          <w:p w:rsidR="002672C1" w:rsidRPr="002672C1" w:rsidRDefault="002672C1" w:rsidP="00EB7B26">
            <w:pPr>
              <w:pStyle w:val="TableParagraph"/>
              <w:spacing w:line="200" w:lineRule="exact"/>
              <w:ind w:left="74"/>
              <w:rPr>
                <w:rFonts w:ascii="Gill Sans MT" w:hAnsi="Gill Sans MT"/>
                <w:sz w:val="18"/>
                <w:szCs w:val="18"/>
              </w:rPr>
            </w:pPr>
            <w:r w:rsidRPr="002672C1">
              <w:rPr>
                <w:rFonts w:ascii="Gill Sans MT" w:hAnsi="Gill Sans MT"/>
                <w:sz w:val="18"/>
                <w:szCs w:val="18"/>
              </w:rPr>
              <w:t>$40,000</w:t>
            </w:r>
          </w:p>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USask</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2016</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148"/>
              <w:rPr>
                <w:rFonts w:ascii="Gill Sans MT" w:hAnsi="Gill Sans MT"/>
                <w:sz w:val="18"/>
                <w:szCs w:val="18"/>
              </w:rPr>
            </w:pPr>
            <w:r w:rsidRPr="002672C1">
              <w:rPr>
                <w:rFonts w:ascii="Gill Sans MT" w:hAnsi="Gill Sans MT"/>
                <w:sz w:val="18"/>
                <w:szCs w:val="18"/>
              </w:rPr>
              <w:t>Interviews completed (23 in total)</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r w:rsidR="002672C1" w:rsidTr="002672C1">
        <w:trPr>
          <w:trHeight w:hRule="exact" w:val="1120"/>
        </w:trPr>
        <w:tc>
          <w:tcPr>
            <w:tcW w:w="1546"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Gavin Mackie</w:t>
            </w:r>
          </w:p>
        </w:tc>
        <w:tc>
          <w:tcPr>
            <w:tcW w:w="1349"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ight="298"/>
              <w:rPr>
                <w:rFonts w:ascii="Gill Sans MT" w:hAnsi="Gill Sans MT"/>
                <w:sz w:val="18"/>
                <w:szCs w:val="18"/>
              </w:rPr>
            </w:pPr>
            <w:r w:rsidRPr="002672C1">
              <w:rPr>
                <w:rFonts w:ascii="Gill Sans MT" w:hAnsi="Gill Sans MT"/>
                <w:sz w:val="18"/>
                <w:szCs w:val="18"/>
              </w:rPr>
              <w:t>Optimising CT scans for pulmonary embolus diagnosis</w:t>
            </w:r>
          </w:p>
        </w:tc>
        <w:tc>
          <w:tcPr>
            <w:tcW w:w="1234"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line="202" w:lineRule="exact"/>
              <w:ind w:left="74"/>
              <w:rPr>
                <w:rFonts w:ascii="Gill Sans MT" w:hAnsi="Gill Sans MT"/>
                <w:sz w:val="18"/>
                <w:szCs w:val="18"/>
              </w:rPr>
            </w:pPr>
            <w:r w:rsidRPr="002672C1">
              <w:rPr>
                <w:rFonts w:ascii="Gill Sans MT" w:hAnsi="Gill Sans MT"/>
                <w:sz w:val="18"/>
                <w:szCs w:val="18"/>
              </w:rPr>
              <w:t>UTAS</w:t>
            </w:r>
          </w:p>
          <w:p w:rsidR="002672C1" w:rsidRPr="002672C1" w:rsidRDefault="002672C1" w:rsidP="00EB7B26">
            <w:pPr>
              <w:pStyle w:val="TableParagraph"/>
              <w:spacing w:line="235" w:lineRule="auto"/>
              <w:ind w:left="74"/>
              <w:rPr>
                <w:rFonts w:ascii="Gill Sans MT" w:hAnsi="Gill Sans MT"/>
                <w:sz w:val="18"/>
                <w:szCs w:val="18"/>
              </w:rPr>
            </w:pPr>
            <w:r w:rsidRPr="002672C1">
              <w:rPr>
                <w:rFonts w:ascii="Gill Sans MT" w:hAnsi="Gill Sans MT"/>
                <w:sz w:val="18"/>
                <w:szCs w:val="18"/>
              </w:rPr>
              <w:t>Professional Doctorate program</w:t>
            </w:r>
          </w:p>
        </w:tc>
        <w:tc>
          <w:tcPr>
            <w:tcW w:w="90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Fees</w:t>
            </w:r>
          </w:p>
        </w:tc>
        <w:tc>
          <w:tcPr>
            <w:tcW w:w="92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4"/>
              <w:ind w:left="74"/>
              <w:rPr>
                <w:rFonts w:ascii="Gill Sans MT" w:hAnsi="Gill Sans MT"/>
                <w:sz w:val="18"/>
                <w:szCs w:val="18"/>
              </w:rPr>
            </w:pPr>
            <w:r w:rsidRPr="002672C1">
              <w:rPr>
                <w:rFonts w:ascii="Gill Sans MT" w:hAnsi="Gill Sans MT"/>
                <w:sz w:val="18"/>
                <w:szCs w:val="18"/>
              </w:rPr>
              <w:t>2015-2018</w:t>
            </w:r>
          </w:p>
        </w:tc>
        <w:tc>
          <w:tcPr>
            <w:tcW w:w="1912"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76" w:line="200" w:lineRule="exact"/>
              <w:ind w:left="74"/>
              <w:rPr>
                <w:rFonts w:ascii="Gill Sans MT" w:hAnsi="Gill Sans MT"/>
                <w:sz w:val="18"/>
                <w:szCs w:val="18"/>
              </w:rPr>
            </w:pPr>
            <w:r w:rsidRPr="002672C1">
              <w:rPr>
                <w:rFonts w:ascii="Gill Sans MT" w:hAnsi="Gill Sans MT"/>
                <w:sz w:val="18"/>
                <w:szCs w:val="18"/>
              </w:rPr>
              <w:t>Proposal approved and data extraction tools under development.</w:t>
            </w:r>
          </w:p>
        </w:tc>
        <w:tc>
          <w:tcPr>
            <w:tcW w:w="167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rPr>
                <w:rFonts w:ascii="Gill Sans MT" w:hAnsi="Gill Sans MT"/>
                <w:sz w:val="18"/>
                <w:szCs w:val="18"/>
              </w:rPr>
            </w:pPr>
          </w:p>
        </w:tc>
      </w:tr>
    </w:tbl>
    <w:p w:rsidR="002672C1" w:rsidRDefault="002672C1" w:rsidP="002672C1"/>
    <w:p w:rsidR="002672C1" w:rsidRDefault="002672C1">
      <w:r>
        <w:br w:type="page"/>
      </w:r>
    </w:p>
    <w:p w:rsidR="002672C1" w:rsidRDefault="002672C1" w:rsidP="002672C1">
      <w:pPr>
        <w:pStyle w:val="Heading4"/>
      </w:pPr>
      <w:r>
        <w:lastRenderedPageBreak/>
        <w:t>Current Clinical Trials and Research North</w:t>
      </w:r>
    </w:p>
    <w:tbl>
      <w:tblPr>
        <w:tblW w:w="0" w:type="auto"/>
        <w:tblBorders>
          <w:left w:val="single" w:sz="6" w:space="0" w:color="004D8F"/>
          <w:bottom w:val="single" w:sz="6" w:space="0" w:color="004D8F"/>
          <w:right w:val="single" w:sz="6" w:space="0" w:color="004D8F"/>
          <w:insideH w:val="single" w:sz="6" w:space="0" w:color="004D8F"/>
          <w:insideV w:val="single" w:sz="6" w:space="0" w:color="004D8F"/>
        </w:tblBorders>
        <w:tblLayout w:type="fixed"/>
        <w:tblCellMar>
          <w:left w:w="0" w:type="dxa"/>
          <w:right w:w="0" w:type="dxa"/>
        </w:tblCellMar>
        <w:tblLook w:val="01E0" w:firstRow="1" w:lastRow="1" w:firstColumn="1" w:lastColumn="1" w:noHBand="0" w:noVBand="0"/>
      </w:tblPr>
      <w:tblGrid>
        <w:gridCol w:w="1328"/>
        <w:gridCol w:w="911"/>
        <w:gridCol w:w="7047"/>
      </w:tblGrid>
      <w:tr w:rsidR="002672C1" w:rsidRPr="002672C1" w:rsidTr="002672C1">
        <w:trPr>
          <w:trHeight w:hRule="exact" w:val="530"/>
        </w:trPr>
        <w:tc>
          <w:tcPr>
            <w:tcW w:w="1328"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2672C1">
            <w:pPr>
              <w:pStyle w:val="TableParagraph"/>
              <w:spacing w:before="39" w:line="200" w:lineRule="exact"/>
              <w:ind w:left="74" w:right="44"/>
              <w:rPr>
                <w:rFonts w:ascii="Gill Sans MT" w:hAnsi="Gill Sans MT"/>
                <w:b/>
                <w:sz w:val="18"/>
                <w:szCs w:val="18"/>
              </w:rPr>
            </w:pPr>
            <w:r w:rsidRPr="002672C1">
              <w:rPr>
                <w:rFonts w:ascii="Gill Sans MT" w:hAnsi="Gill Sans MT"/>
                <w:b/>
                <w:sz w:val="18"/>
                <w:szCs w:val="18"/>
              </w:rPr>
              <w:t>Researchers</w:t>
            </w:r>
          </w:p>
        </w:tc>
        <w:tc>
          <w:tcPr>
            <w:tcW w:w="911"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38"/>
              <w:ind w:left="74"/>
              <w:rPr>
                <w:rFonts w:ascii="Gill Sans MT" w:hAnsi="Gill Sans MT"/>
                <w:b/>
                <w:sz w:val="18"/>
                <w:szCs w:val="18"/>
              </w:rPr>
            </w:pPr>
            <w:r w:rsidRPr="002672C1">
              <w:rPr>
                <w:rFonts w:ascii="Gill Sans MT" w:hAnsi="Gill Sans MT"/>
                <w:b/>
                <w:sz w:val="18"/>
                <w:szCs w:val="18"/>
              </w:rPr>
              <w:t>Location</w:t>
            </w:r>
          </w:p>
        </w:tc>
        <w:tc>
          <w:tcPr>
            <w:tcW w:w="7047" w:type="dxa"/>
            <w:tcBorders>
              <w:top w:val="single" w:sz="4" w:space="0" w:color="004D8F"/>
              <w:left w:val="single" w:sz="4" w:space="0" w:color="004D8F"/>
              <w:bottom w:val="single" w:sz="4" w:space="0" w:color="004D8F"/>
              <w:right w:val="single" w:sz="4" w:space="0" w:color="004D8F"/>
            </w:tcBorders>
            <w:shd w:val="clear" w:color="auto" w:fill="auto"/>
          </w:tcPr>
          <w:p w:rsidR="002672C1" w:rsidRPr="002672C1" w:rsidRDefault="002672C1" w:rsidP="00EB7B26">
            <w:pPr>
              <w:pStyle w:val="TableParagraph"/>
              <w:spacing w:before="39" w:line="200" w:lineRule="exact"/>
              <w:ind w:left="73" w:right="254"/>
              <w:rPr>
                <w:rFonts w:ascii="Gill Sans MT" w:hAnsi="Gill Sans MT"/>
                <w:b/>
                <w:sz w:val="18"/>
                <w:szCs w:val="18"/>
              </w:rPr>
            </w:pPr>
            <w:r w:rsidRPr="002672C1">
              <w:rPr>
                <w:rFonts w:ascii="Gill Sans MT" w:hAnsi="Gill Sans MT"/>
                <w:b/>
                <w:sz w:val="18"/>
                <w:szCs w:val="18"/>
              </w:rPr>
              <w:t>Project</w:t>
            </w:r>
          </w:p>
        </w:tc>
      </w:tr>
      <w:tr w:rsidR="002672C1" w:rsidRPr="002672C1" w:rsidTr="002672C1">
        <w:trPr>
          <w:trHeight w:hRule="exact" w:val="880"/>
        </w:trPr>
        <w:tc>
          <w:tcPr>
            <w:tcW w:w="1328" w:type="dxa"/>
            <w:tcBorders>
              <w:top w:val="single" w:sz="4" w:space="0" w:color="004D8F"/>
            </w:tcBorders>
            <w:shd w:val="clear" w:color="auto" w:fill="auto"/>
          </w:tcPr>
          <w:p w:rsidR="002672C1" w:rsidRPr="002672C1" w:rsidRDefault="002672C1" w:rsidP="00EB7B26">
            <w:pPr>
              <w:pStyle w:val="TableParagraph"/>
              <w:spacing w:before="39" w:line="200" w:lineRule="exact"/>
              <w:ind w:left="74" w:right="356"/>
              <w:rPr>
                <w:rFonts w:ascii="Gill Sans MT" w:hAnsi="Gill Sans MT"/>
                <w:sz w:val="18"/>
                <w:szCs w:val="18"/>
              </w:rPr>
            </w:pPr>
            <w:r w:rsidRPr="002672C1">
              <w:rPr>
                <w:rFonts w:ascii="Gill Sans MT" w:hAnsi="Gill Sans MT"/>
                <w:sz w:val="18"/>
                <w:szCs w:val="18"/>
              </w:rPr>
              <w:t>Gauden, S; Young, A; Power, J; Byram, D</w:t>
            </w:r>
          </w:p>
        </w:tc>
        <w:tc>
          <w:tcPr>
            <w:tcW w:w="911" w:type="dxa"/>
            <w:tcBorders>
              <w:top w:val="single" w:sz="4" w:space="0" w:color="004D8F"/>
            </w:tcBorders>
            <w:shd w:val="clear" w:color="auto" w:fill="auto"/>
          </w:tcPr>
          <w:p w:rsidR="002672C1" w:rsidRPr="002672C1" w:rsidRDefault="002672C1" w:rsidP="00EB7B26">
            <w:pPr>
              <w:pStyle w:val="TableParagraph"/>
              <w:spacing w:before="38"/>
              <w:ind w:left="74"/>
              <w:rPr>
                <w:rFonts w:ascii="Gill Sans MT" w:hAnsi="Gill Sans MT"/>
                <w:sz w:val="18"/>
                <w:szCs w:val="18"/>
              </w:rPr>
            </w:pPr>
            <w:r w:rsidRPr="002672C1">
              <w:rPr>
                <w:rFonts w:ascii="Gill Sans MT" w:hAnsi="Gill Sans MT"/>
                <w:sz w:val="18"/>
                <w:szCs w:val="18"/>
              </w:rPr>
              <w:t>LGH</w:t>
            </w:r>
          </w:p>
        </w:tc>
        <w:tc>
          <w:tcPr>
            <w:tcW w:w="7047" w:type="dxa"/>
            <w:tcBorders>
              <w:top w:val="single" w:sz="4" w:space="0" w:color="004D8F"/>
            </w:tcBorders>
            <w:shd w:val="clear" w:color="auto" w:fill="auto"/>
          </w:tcPr>
          <w:p w:rsidR="002672C1" w:rsidRPr="002672C1" w:rsidRDefault="002672C1" w:rsidP="00EB7B26">
            <w:pPr>
              <w:pStyle w:val="TableParagraph"/>
              <w:spacing w:before="39" w:line="200" w:lineRule="exact"/>
              <w:ind w:left="73" w:right="254"/>
              <w:rPr>
                <w:rFonts w:ascii="Gill Sans MT" w:hAnsi="Gill Sans MT"/>
                <w:sz w:val="18"/>
                <w:szCs w:val="18"/>
              </w:rPr>
            </w:pPr>
            <w:r w:rsidRPr="002672C1">
              <w:rPr>
                <w:rFonts w:ascii="Gill Sans MT" w:hAnsi="Gill Sans MT"/>
                <w:sz w:val="18"/>
                <w:szCs w:val="18"/>
              </w:rPr>
              <w:t>IBCSG 24-02 BIG 2-02 SOFT A Phase III trial Evaluating the role of Ovarian Function Suppression and the Role of Exemestane as Adjuvant Therapies for Postmenopausal Women with Endocrine Responsive Breast Cancer</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Gauden, S; Power, J; Young, A</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IBCSG 25-02 BIG 3-02 TEXT A Phase III trial Evaluating the Role of Exemestane plus GnRH Analogue as Adjuvant Therapy for Premenopausal Women with Endocrine Responsive Breast Cancer</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Mathew, M</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 randomized, controlled, open-label, multi-centre, parallel-group study to assess all-cause mortality and cardiovascular morbidity in patients with chronic kidney disease on dialysis and those not on renal replacement therapy under treatment with MIRCERA or reference ESAs</w:t>
            </w:r>
          </w:p>
        </w:tc>
      </w:tr>
      <w:tr w:rsidR="002672C1" w:rsidRPr="002672C1" w:rsidTr="002672C1">
        <w:trPr>
          <w:trHeight w:hRule="exact" w:val="520"/>
        </w:trPr>
        <w:tc>
          <w:tcPr>
            <w:tcW w:w="1328" w:type="dxa"/>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Razay, G; Wimmer, M</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Normal pressure hydrocephalus: treatable dementia, missed diagnosis: Diagnostic guidelines to improve clinical decision making</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Crowther, C; Dennis, AE; Strong, D</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A*STEROID: Australasian antenatal study to evaluate the role of intramuscular Dexamethasone versus Betamethasone prior to preterm birth to increase survival free of childhood neurosensory disability</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Cooke, D; Corbould, A</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164"/>
              <w:jc w:val="both"/>
              <w:rPr>
                <w:rFonts w:ascii="Gill Sans MT" w:hAnsi="Gill Sans MT"/>
                <w:sz w:val="18"/>
                <w:szCs w:val="18"/>
              </w:rPr>
            </w:pPr>
            <w:r w:rsidRPr="002672C1">
              <w:rPr>
                <w:rFonts w:ascii="Gill Sans MT" w:hAnsi="Gill Sans MT"/>
                <w:sz w:val="18"/>
                <w:szCs w:val="18"/>
              </w:rPr>
              <w:t>The CANVAS Study: A Randomized, Multicenter, Double-Blind, Parallel, Placebo-Controlled, Study of the Effects of JNJ-28431754 on Cardiovasular Outcomes in Adult Subjects with Type 2 Diabetes Mellitus</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Bell, M; Sharma, S; Power, J</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TOP GEAR: A randomised phase II/III trial of preoperative chemoradiotherapy versus preoperative chemotherapy for resectable gastric cancer</w:t>
            </w:r>
          </w:p>
        </w:tc>
      </w:tr>
      <w:tr w:rsidR="002672C1" w:rsidRPr="002672C1" w:rsidTr="002672C1">
        <w:trPr>
          <w:trHeight w:hRule="exact" w:val="920"/>
        </w:trPr>
        <w:tc>
          <w:tcPr>
            <w:tcW w:w="1328" w:type="dxa"/>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Sharma, S; Gauden, S</w:t>
            </w:r>
          </w:p>
        </w:tc>
        <w:tc>
          <w:tcPr>
            <w:tcW w:w="911" w:type="dxa"/>
            <w:shd w:val="clear" w:color="auto" w:fill="auto"/>
          </w:tcPr>
          <w:p w:rsidR="002672C1" w:rsidRPr="002672C1" w:rsidRDefault="002672C1" w:rsidP="00EB7B26">
            <w:pPr>
              <w:pStyle w:val="TableParagraph"/>
              <w:spacing w:before="72" w:line="422" w:lineRule="auto"/>
              <w:ind w:left="74" w:right="398"/>
              <w:rPr>
                <w:rFonts w:ascii="Gill Sans MT" w:hAnsi="Gill Sans MT"/>
                <w:sz w:val="18"/>
                <w:szCs w:val="18"/>
              </w:rPr>
            </w:pPr>
            <w:r w:rsidRPr="002672C1">
              <w:rPr>
                <w:rFonts w:ascii="Gill Sans MT" w:hAnsi="Gill Sans MT"/>
                <w:sz w:val="18"/>
                <w:szCs w:val="18"/>
              </w:rPr>
              <w:t>WPH LGH</w:t>
            </w:r>
          </w:p>
        </w:tc>
        <w:tc>
          <w:tcPr>
            <w:tcW w:w="7047" w:type="dxa"/>
            <w:shd w:val="clear" w:color="auto" w:fill="auto"/>
          </w:tcPr>
          <w:p w:rsidR="002672C1" w:rsidRPr="002672C1" w:rsidRDefault="002672C1" w:rsidP="00EB7B26">
            <w:pPr>
              <w:pStyle w:val="TableParagraph"/>
              <w:spacing w:before="74" w:line="200" w:lineRule="exact"/>
              <w:ind w:left="73" w:right="330"/>
              <w:jc w:val="both"/>
              <w:rPr>
                <w:rFonts w:ascii="Gill Sans MT" w:hAnsi="Gill Sans MT"/>
                <w:sz w:val="18"/>
                <w:szCs w:val="18"/>
              </w:rPr>
            </w:pPr>
            <w:r w:rsidRPr="002672C1">
              <w:rPr>
                <w:rFonts w:ascii="Gill Sans MT" w:hAnsi="Gill Sans MT"/>
                <w:sz w:val="18"/>
                <w:szCs w:val="18"/>
              </w:rPr>
              <w:t>SOLE Study of letrozole extension. Phase III trial evaluating the role of continuous letrozole versus intermittent letrozole following 4 to 6 years of prior adjuvant endocrine therapy for postmenopausal women with hormone-receptor positive, node positive early stage breast cancer</w:t>
            </w:r>
          </w:p>
        </w:tc>
      </w:tr>
      <w:tr w:rsidR="002672C1" w:rsidRPr="002672C1" w:rsidTr="002672C1">
        <w:trPr>
          <w:trHeight w:hRule="exact" w:val="680"/>
        </w:trPr>
        <w:tc>
          <w:tcPr>
            <w:tcW w:w="1328" w:type="dxa"/>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Power, J; Gauden, S</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WPH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ANZGOG-0701 Symptom Benefit- Does Palliative Chemotherapy Improve Symptoms in Women with Recurrent Ovarian Cancer</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Beamish, M; Khalafallah, AA</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WPH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An Australian, phase II, multicentre, randomised, dose intensification study investigating oral fludarabine, oral cyclophosphamide, and i.v. rituximab (poFCivR) tolerance in previously untreated elderly (&gt;= 65 years old) patients with chronic lymphocytic leukaemia</w:t>
            </w:r>
          </w:p>
        </w:tc>
      </w:tr>
      <w:tr w:rsidR="002672C1" w:rsidRPr="002672C1" w:rsidTr="002672C1">
        <w:trPr>
          <w:trHeight w:hRule="exact" w:val="68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Beamish, M; Khalafallah, AA</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WPH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CML10: Response Post Tyrosine Kinase Inhibitor: Assessment of Sensitivity and Therapeutic Response to Next-Line Therapy CML: The Australian RESIST study</w:t>
            </w:r>
          </w:p>
        </w:tc>
      </w:tr>
      <w:tr w:rsidR="002672C1" w:rsidRPr="002672C1" w:rsidTr="002672C1">
        <w:trPr>
          <w:trHeight w:hRule="exact" w:val="1067"/>
        </w:trPr>
        <w:tc>
          <w:tcPr>
            <w:tcW w:w="1328" w:type="dxa"/>
            <w:shd w:val="clear" w:color="auto" w:fill="auto"/>
          </w:tcPr>
          <w:p w:rsidR="002672C1" w:rsidRPr="002672C1" w:rsidRDefault="002672C1" w:rsidP="00EB7B26">
            <w:pPr>
              <w:pStyle w:val="TableParagraph"/>
              <w:spacing w:before="74" w:line="200" w:lineRule="exact"/>
              <w:ind w:left="74" w:right="196"/>
              <w:rPr>
                <w:rFonts w:ascii="Gill Sans MT" w:hAnsi="Gill Sans MT"/>
                <w:sz w:val="18"/>
                <w:szCs w:val="18"/>
              </w:rPr>
            </w:pPr>
            <w:r w:rsidRPr="002672C1">
              <w:rPr>
                <w:rFonts w:ascii="Gill Sans MT" w:hAnsi="Gill Sans MT"/>
                <w:sz w:val="18"/>
                <w:szCs w:val="18"/>
              </w:rPr>
              <w:t>Boden, I; Biggins-Tosch, B; Browning, L</w:t>
            </w:r>
          </w:p>
        </w:tc>
        <w:tc>
          <w:tcPr>
            <w:tcW w:w="911" w:type="dxa"/>
            <w:shd w:val="clear" w:color="auto" w:fill="auto"/>
          </w:tcPr>
          <w:p w:rsidR="002672C1" w:rsidRPr="002672C1" w:rsidRDefault="002672C1" w:rsidP="00EB7B26">
            <w:pPr>
              <w:pStyle w:val="TableParagraph"/>
              <w:spacing w:before="72" w:line="422" w:lineRule="auto"/>
              <w:ind w:left="74" w:right="247"/>
              <w:rPr>
                <w:rFonts w:ascii="Gill Sans MT" w:hAnsi="Gill Sans MT"/>
                <w:sz w:val="18"/>
                <w:szCs w:val="18"/>
              </w:rPr>
            </w:pPr>
            <w:r w:rsidRPr="002672C1">
              <w:rPr>
                <w:rFonts w:ascii="Gill Sans MT" w:hAnsi="Gill Sans MT"/>
                <w:sz w:val="18"/>
                <w:szCs w:val="18"/>
              </w:rPr>
              <w:t>LGH NWRH</w:t>
            </w:r>
          </w:p>
          <w:p w:rsidR="002672C1" w:rsidRPr="002672C1" w:rsidRDefault="002672C1" w:rsidP="00EB7B26">
            <w:pPr>
              <w:pStyle w:val="TableParagraph"/>
              <w:ind w:left="74"/>
              <w:rPr>
                <w:rFonts w:ascii="Gill Sans MT" w:hAnsi="Gill Sans MT"/>
                <w:sz w:val="18"/>
                <w:szCs w:val="18"/>
              </w:rPr>
            </w:pPr>
            <w:r w:rsidRPr="002672C1">
              <w:rPr>
                <w:rFonts w:ascii="Gill Sans MT" w:hAnsi="Gill Sans MT"/>
                <w:sz w:val="18"/>
                <w:szCs w:val="18"/>
              </w:rPr>
              <w:t>RHH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The effects of pre-operative physiotherapy on the incidence of post-operative pulmonary complications in high and low risk patients following major open upper abdominal surgery: A randomised controlled trial</w:t>
            </w:r>
          </w:p>
        </w:tc>
      </w:tr>
      <w:tr w:rsidR="002672C1" w:rsidRPr="002672C1" w:rsidTr="002672C1">
        <w:trPr>
          <w:trHeight w:hRule="exact" w:val="893"/>
        </w:trPr>
        <w:tc>
          <w:tcPr>
            <w:tcW w:w="1328" w:type="dxa"/>
            <w:shd w:val="clear" w:color="auto" w:fill="auto"/>
          </w:tcPr>
          <w:p w:rsidR="002672C1" w:rsidRPr="002672C1" w:rsidRDefault="002672C1" w:rsidP="00EB7B26">
            <w:pPr>
              <w:pStyle w:val="TableParagraph"/>
              <w:spacing w:before="45"/>
              <w:ind w:left="74"/>
              <w:rPr>
                <w:rFonts w:ascii="Gill Sans MT" w:hAnsi="Gill Sans MT"/>
                <w:sz w:val="18"/>
                <w:szCs w:val="18"/>
              </w:rPr>
            </w:pPr>
            <w:r w:rsidRPr="002672C1">
              <w:rPr>
                <w:rFonts w:ascii="Gill Sans MT" w:hAnsi="Gill Sans MT"/>
                <w:sz w:val="18"/>
                <w:szCs w:val="18"/>
              </w:rPr>
              <w:t>Singh, B</w:t>
            </w:r>
          </w:p>
        </w:tc>
        <w:tc>
          <w:tcPr>
            <w:tcW w:w="911" w:type="dxa"/>
            <w:shd w:val="clear" w:color="auto" w:fill="auto"/>
          </w:tcPr>
          <w:p w:rsidR="002672C1" w:rsidRPr="002672C1" w:rsidRDefault="002672C1" w:rsidP="00EB7B26">
            <w:pPr>
              <w:pStyle w:val="TableParagraph"/>
              <w:spacing w:before="45"/>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46" w:line="200" w:lineRule="exact"/>
              <w:ind w:left="73" w:right="254"/>
              <w:rPr>
                <w:rFonts w:ascii="Gill Sans MT" w:hAnsi="Gill Sans MT"/>
                <w:sz w:val="18"/>
                <w:szCs w:val="18"/>
              </w:rPr>
            </w:pPr>
            <w:r w:rsidRPr="002672C1">
              <w:rPr>
                <w:rFonts w:ascii="Gill Sans MT" w:hAnsi="Gill Sans MT"/>
                <w:sz w:val="18"/>
                <w:szCs w:val="18"/>
              </w:rPr>
              <w:t>A Multi Center, Prospective, Randomized, Double Blind, Placebo Controlled, Parallel Group Study to Evaluate the Effect of AMR101 on Cardiovascular Health and Mortality in</w:t>
            </w:r>
          </w:p>
          <w:p w:rsidR="002672C1" w:rsidRPr="002672C1" w:rsidRDefault="002672C1" w:rsidP="00EB7B26">
            <w:pPr>
              <w:pStyle w:val="TableParagraph"/>
              <w:spacing w:line="200" w:lineRule="exact"/>
              <w:ind w:left="73" w:right="254"/>
              <w:rPr>
                <w:rFonts w:ascii="Gill Sans MT" w:hAnsi="Gill Sans MT"/>
                <w:sz w:val="18"/>
                <w:szCs w:val="18"/>
              </w:rPr>
            </w:pPr>
            <w:r w:rsidRPr="002672C1">
              <w:rPr>
                <w:rFonts w:ascii="Gill Sans MT" w:hAnsi="Gill Sans MT"/>
                <w:sz w:val="18"/>
                <w:szCs w:val="18"/>
              </w:rPr>
              <w:t>Hypertriglyceridemic Patients with Cardiovascular Disease or at High Risk for Cardiovascular Disease: REDUCE IT (Reduction of Cardiovascular Events with EPA Intervention Trial)</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486"/>
              <w:jc w:val="both"/>
              <w:rPr>
                <w:rFonts w:ascii="Gill Sans MT" w:hAnsi="Gill Sans MT"/>
                <w:sz w:val="18"/>
                <w:szCs w:val="18"/>
              </w:rPr>
            </w:pPr>
            <w:r w:rsidRPr="002672C1">
              <w:rPr>
                <w:rFonts w:ascii="Gill Sans MT" w:hAnsi="Gill Sans MT"/>
                <w:sz w:val="18"/>
                <w:szCs w:val="18"/>
              </w:rPr>
              <w:t>Sharma, S; Pandey, R; Power, J</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WPH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ASCENT: An Australian translational study to evaluate the prognostic role of inflammatory markers in patients with metastatic colorectal cancer treated with bevacizumab (Avastin TM)</w:t>
            </w:r>
          </w:p>
        </w:tc>
      </w:tr>
      <w:tr w:rsidR="002672C1" w:rsidRPr="002672C1" w:rsidTr="002672C1">
        <w:trPr>
          <w:trHeight w:hRule="exact" w:val="720"/>
        </w:trPr>
        <w:tc>
          <w:tcPr>
            <w:tcW w:w="1328" w:type="dxa"/>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Cooper, D; Aitken, G; McAllister, R</w:t>
            </w:r>
          </w:p>
        </w:tc>
        <w:tc>
          <w:tcPr>
            <w:tcW w:w="911" w:type="dxa"/>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RHH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LGH</w:t>
            </w:r>
          </w:p>
        </w:tc>
        <w:tc>
          <w:tcPr>
            <w:tcW w:w="7047" w:type="dxa"/>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STandaRd Issue TrANsfusion versuS Fresher red blood cell Use in intenSive carE (TRANSFUSE) a randomised controlled trial</w:t>
            </w:r>
          </w:p>
        </w:tc>
      </w:tr>
    </w:tbl>
    <w:p w:rsidR="002672C1" w:rsidRDefault="002672C1" w:rsidP="002672C1"/>
    <w:p w:rsidR="002672C1" w:rsidRDefault="002672C1">
      <w:r>
        <w:br w:type="page"/>
      </w:r>
    </w:p>
    <w:tbl>
      <w:tblPr>
        <w:tblW w:w="0" w:type="auto"/>
        <w:tblInd w:w="692"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left w:w="0" w:type="dxa"/>
          <w:right w:w="0" w:type="dxa"/>
        </w:tblCellMar>
        <w:tblLook w:val="01E0" w:firstRow="1" w:lastRow="1" w:firstColumn="1" w:lastColumn="1" w:noHBand="0" w:noVBand="0"/>
      </w:tblPr>
      <w:tblGrid>
        <w:gridCol w:w="1328"/>
        <w:gridCol w:w="911"/>
        <w:gridCol w:w="7047"/>
      </w:tblGrid>
      <w:tr w:rsidR="002672C1" w:rsidRPr="002672C1" w:rsidTr="002672C1">
        <w:trPr>
          <w:trHeight w:hRule="exact" w:val="436"/>
        </w:trPr>
        <w:tc>
          <w:tcPr>
            <w:tcW w:w="1328"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58"/>
              <w:ind w:left="80"/>
              <w:rPr>
                <w:rFonts w:ascii="Gill Sans MT" w:hAnsi="Gill Sans MT"/>
                <w:b/>
                <w:sz w:val="18"/>
                <w:szCs w:val="18"/>
              </w:rPr>
            </w:pPr>
            <w:r w:rsidRPr="002672C1">
              <w:rPr>
                <w:rFonts w:ascii="Gill Sans MT" w:hAnsi="Gill Sans MT"/>
                <w:b/>
                <w:sz w:val="18"/>
                <w:szCs w:val="18"/>
              </w:rPr>
              <w:lastRenderedPageBreak/>
              <w:t>Researchers</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58"/>
              <w:ind w:left="74"/>
              <w:rPr>
                <w:rFonts w:ascii="Gill Sans MT" w:hAnsi="Gill Sans MT"/>
                <w:b/>
                <w:sz w:val="18"/>
                <w:szCs w:val="18"/>
              </w:rPr>
            </w:pPr>
            <w:r w:rsidRPr="002672C1">
              <w:rPr>
                <w:rFonts w:ascii="Gill Sans MT" w:hAnsi="Gill Sans MT"/>
                <w:b/>
                <w:sz w:val="18"/>
                <w:szCs w:val="18"/>
              </w:rPr>
              <w:t>Location</w:t>
            </w:r>
          </w:p>
        </w:tc>
        <w:tc>
          <w:tcPr>
            <w:tcW w:w="7047" w:type="dxa"/>
            <w:tcBorders>
              <w:top w:val="single" w:sz="4" w:space="0" w:color="auto"/>
              <w:left w:val="single" w:sz="4" w:space="0" w:color="auto"/>
              <w:bottom w:val="single" w:sz="4" w:space="0" w:color="auto"/>
              <w:right w:val="single" w:sz="4" w:space="0" w:color="auto"/>
            </w:tcBorders>
            <w:shd w:val="clear" w:color="auto" w:fill="auto"/>
          </w:tcPr>
          <w:p w:rsidR="002672C1" w:rsidRPr="002672C1" w:rsidRDefault="002672C1" w:rsidP="00EB7B26">
            <w:pPr>
              <w:pStyle w:val="TableParagraph"/>
              <w:spacing w:before="58"/>
              <w:ind w:left="73"/>
              <w:rPr>
                <w:rFonts w:ascii="Gill Sans MT" w:hAnsi="Gill Sans MT"/>
                <w:b/>
                <w:sz w:val="18"/>
                <w:szCs w:val="18"/>
              </w:rPr>
            </w:pPr>
            <w:r w:rsidRPr="002672C1">
              <w:rPr>
                <w:rFonts w:ascii="Gill Sans MT" w:hAnsi="Gill Sans MT"/>
                <w:b/>
                <w:sz w:val="18"/>
                <w:szCs w:val="18"/>
              </w:rPr>
              <w:t>Project</w:t>
            </w:r>
          </w:p>
        </w:tc>
      </w:tr>
      <w:tr w:rsidR="002672C1" w:rsidRPr="002672C1" w:rsidTr="002672C1">
        <w:trPr>
          <w:trHeight w:hRule="exact" w:val="520"/>
        </w:trPr>
        <w:tc>
          <w:tcPr>
            <w:tcW w:w="1328" w:type="dxa"/>
            <w:tcBorders>
              <w:top w:val="single" w:sz="4" w:space="0" w:color="auto"/>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80" w:line="200" w:lineRule="exact"/>
              <w:ind w:left="74" w:right="356"/>
              <w:rPr>
                <w:rFonts w:ascii="Gill Sans MT" w:hAnsi="Gill Sans MT"/>
                <w:sz w:val="18"/>
                <w:szCs w:val="18"/>
              </w:rPr>
            </w:pPr>
            <w:r w:rsidRPr="002672C1">
              <w:rPr>
                <w:rFonts w:ascii="Gill Sans MT" w:hAnsi="Gill Sans MT"/>
                <w:sz w:val="18"/>
                <w:szCs w:val="18"/>
              </w:rPr>
              <w:t>Nott, L; Boadle, DJ</w:t>
            </w:r>
          </w:p>
        </w:tc>
        <w:tc>
          <w:tcPr>
            <w:tcW w:w="911" w:type="dxa"/>
            <w:tcBorders>
              <w:top w:val="single" w:sz="4" w:space="0" w:color="auto"/>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8"/>
              <w:ind w:left="74"/>
              <w:rPr>
                <w:rFonts w:ascii="Gill Sans MT" w:hAnsi="Gill Sans MT"/>
                <w:sz w:val="18"/>
                <w:szCs w:val="18"/>
              </w:rPr>
            </w:pPr>
            <w:r w:rsidRPr="002672C1">
              <w:rPr>
                <w:rFonts w:ascii="Gill Sans MT" w:hAnsi="Gill Sans MT"/>
                <w:sz w:val="18"/>
                <w:szCs w:val="18"/>
              </w:rPr>
              <w:t>LGH</w:t>
            </w:r>
          </w:p>
        </w:tc>
        <w:tc>
          <w:tcPr>
            <w:tcW w:w="7047" w:type="dxa"/>
            <w:tcBorders>
              <w:top w:val="single" w:sz="4" w:space="0" w:color="auto"/>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80" w:line="200" w:lineRule="exact"/>
              <w:ind w:left="73" w:right="254"/>
              <w:rPr>
                <w:rFonts w:ascii="Gill Sans MT" w:hAnsi="Gill Sans MT"/>
                <w:sz w:val="18"/>
                <w:szCs w:val="18"/>
              </w:rPr>
            </w:pPr>
            <w:r w:rsidRPr="002672C1">
              <w:rPr>
                <w:rFonts w:ascii="Gill Sans MT" w:hAnsi="Gill Sans MT"/>
                <w:sz w:val="18"/>
                <w:szCs w:val="18"/>
              </w:rPr>
              <w:t>Randomised Phase II study of cetuximab alone or in combination with irinotecan in patients with metastatic CRC with either KRAS WT or G13D mutation.</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Power, J; Sharma, S; Bell, M</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WPH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11"/>
              <w:jc w:val="both"/>
              <w:rPr>
                <w:rFonts w:ascii="Gill Sans MT" w:hAnsi="Gill Sans MT"/>
                <w:sz w:val="18"/>
                <w:szCs w:val="18"/>
              </w:rPr>
            </w:pPr>
            <w:r w:rsidRPr="002672C1">
              <w:rPr>
                <w:rFonts w:ascii="Gill Sans MT" w:hAnsi="Gill Sans MT"/>
                <w:sz w:val="18"/>
                <w:szCs w:val="18"/>
              </w:rPr>
              <w:t>A Phase III, Double-Blind, Placebo Controlled Study of Vemurafenib versus Vemurafenib plus GDC-0973 in previously untreated BRAFV600 mutation positive patients with unresectable locally advanced or metastatic melanoma</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Beamish, M; Mohamed, M</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WPH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 randomised, open label, multi-centre, Phase III study to investigate the efficacy of bendamustine compared to treatment of physicians choice in the treatment of subjects with indolent Non-Hodgkin’s Lymphoma NHL refractory to rituximab</w:t>
            </w:r>
          </w:p>
        </w:tc>
      </w:tr>
      <w:tr w:rsidR="002672C1" w:rsidRPr="002672C1" w:rsidTr="002672C1">
        <w:trPr>
          <w:trHeight w:hRule="exact" w:val="5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Dennis, AE; Crowther, C</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MAGENTA: Magnesium Sulphate at 30 to 34 weeks’ Gestational age: Neuroprotection Trial (LTN)</w:t>
            </w:r>
          </w:p>
        </w:tc>
      </w:tr>
      <w:tr w:rsidR="002672C1" w:rsidRPr="002672C1" w:rsidTr="002672C1">
        <w:trPr>
          <w:trHeight w:hRule="exact" w:val="5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Corbould, A; Campbell, J</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Gestational Diabetes Mellitus (GDM) Wellness project: a pilot study</w:t>
            </w:r>
          </w:p>
        </w:tc>
      </w:tr>
      <w:tr w:rsidR="002672C1" w:rsidRPr="002672C1" w:rsidTr="002672C1">
        <w:trPr>
          <w:trHeight w:hRule="exact" w:val="11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Marwick, TH; Roberts- Thomson, P; MacIntyre, P; Herman, B</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line="422" w:lineRule="auto"/>
              <w:ind w:left="74" w:right="419"/>
              <w:jc w:val="both"/>
              <w:rPr>
                <w:rFonts w:ascii="Gill Sans MT" w:hAnsi="Gill Sans MT"/>
                <w:sz w:val="18"/>
                <w:szCs w:val="18"/>
              </w:rPr>
            </w:pPr>
            <w:r w:rsidRPr="002672C1">
              <w:rPr>
                <w:rFonts w:ascii="Gill Sans MT" w:hAnsi="Gill Sans MT"/>
                <w:sz w:val="18"/>
                <w:szCs w:val="18"/>
              </w:rPr>
              <w:t>RHH MRIT 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Renal Denervation in Patients with Chronic Heart Failure &amp; Renal Impairment (SYMPLICITY- HF)</w:t>
            </w:r>
          </w:p>
        </w:tc>
      </w:tr>
      <w:tr w:rsidR="002672C1" w:rsidRPr="002672C1" w:rsidTr="002672C1">
        <w:trPr>
          <w:trHeight w:hRule="exact" w:val="9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94"/>
              <w:rPr>
                <w:rFonts w:ascii="Gill Sans MT" w:hAnsi="Gill Sans MT"/>
                <w:sz w:val="18"/>
                <w:szCs w:val="18"/>
              </w:rPr>
            </w:pPr>
            <w:r w:rsidRPr="002672C1">
              <w:rPr>
                <w:rFonts w:ascii="Gill Sans MT" w:hAnsi="Gill Sans MT"/>
                <w:sz w:val="18"/>
                <w:szCs w:val="18"/>
              </w:rPr>
              <w:t>Cooke, D; Mathew, M; Raj, R</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04"/>
              <w:rPr>
                <w:rFonts w:ascii="Gill Sans MT" w:hAnsi="Gill Sans MT"/>
                <w:sz w:val="18"/>
                <w:szCs w:val="18"/>
              </w:rPr>
            </w:pPr>
            <w:r w:rsidRPr="002672C1">
              <w:rPr>
                <w:rFonts w:ascii="Gill Sans MT" w:hAnsi="Gill Sans MT"/>
                <w:sz w:val="18"/>
                <w:szCs w:val="18"/>
              </w:rPr>
              <w:t xml:space="preserve">Clinical Study Protocol </w:t>
            </w:r>
            <w:r w:rsidRPr="002672C1">
              <w:rPr>
                <w:rFonts w:ascii="Gill Sans MT" w:hAnsi="Gill Sans MT"/>
                <w:spacing w:val="-7"/>
                <w:sz w:val="18"/>
                <w:szCs w:val="18"/>
              </w:rPr>
              <w:t xml:space="preserve">M11-352 </w:t>
            </w:r>
            <w:r w:rsidRPr="002672C1">
              <w:rPr>
                <w:rFonts w:ascii="Gill Sans MT" w:hAnsi="Gill Sans MT"/>
                <w:sz w:val="18"/>
                <w:szCs w:val="18"/>
              </w:rPr>
              <w:t xml:space="preserve">A </w:t>
            </w:r>
            <w:r w:rsidRPr="002672C1">
              <w:rPr>
                <w:rFonts w:ascii="Gill Sans MT" w:hAnsi="Gill Sans MT"/>
                <w:spacing w:val="2"/>
                <w:sz w:val="18"/>
                <w:szCs w:val="18"/>
              </w:rPr>
              <w:t xml:space="preserve">Randomized, Multicountry, </w:t>
            </w:r>
            <w:r w:rsidRPr="002672C1">
              <w:rPr>
                <w:rFonts w:ascii="Gill Sans MT" w:hAnsi="Gill Sans MT"/>
                <w:sz w:val="18"/>
                <w:szCs w:val="18"/>
              </w:rPr>
              <w:t xml:space="preserve">Multicenter, </w:t>
            </w:r>
            <w:r w:rsidRPr="002672C1">
              <w:rPr>
                <w:rFonts w:ascii="Gill Sans MT" w:hAnsi="Gill Sans MT"/>
                <w:spacing w:val="2"/>
                <w:sz w:val="18"/>
                <w:szCs w:val="18"/>
              </w:rPr>
              <w:t xml:space="preserve">Double-Blind, Parallel, Placebo-Controlled </w:t>
            </w:r>
            <w:r w:rsidRPr="002672C1">
              <w:rPr>
                <w:rFonts w:ascii="Gill Sans MT" w:hAnsi="Gill Sans MT"/>
                <w:sz w:val="18"/>
                <w:szCs w:val="18"/>
              </w:rPr>
              <w:t xml:space="preserve">Study of the </w:t>
            </w:r>
            <w:r w:rsidRPr="002672C1">
              <w:rPr>
                <w:rFonts w:ascii="Gill Sans MT" w:hAnsi="Gill Sans MT"/>
                <w:spacing w:val="3"/>
                <w:sz w:val="18"/>
                <w:szCs w:val="18"/>
              </w:rPr>
              <w:t xml:space="preserve">Effects </w:t>
            </w:r>
            <w:r w:rsidRPr="002672C1">
              <w:rPr>
                <w:rFonts w:ascii="Gill Sans MT" w:hAnsi="Gill Sans MT"/>
                <w:sz w:val="18"/>
                <w:szCs w:val="18"/>
              </w:rPr>
              <w:t xml:space="preserve">of </w:t>
            </w:r>
            <w:r w:rsidRPr="002672C1">
              <w:rPr>
                <w:rFonts w:ascii="Gill Sans MT" w:hAnsi="Gill Sans MT"/>
                <w:spacing w:val="3"/>
                <w:sz w:val="18"/>
                <w:szCs w:val="18"/>
              </w:rPr>
              <w:t xml:space="preserve">Atrasentan </w:t>
            </w:r>
            <w:r w:rsidRPr="002672C1">
              <w:rPr>
                <w:rFonts w:ascii="Gill Sans MT" w:hAnsi="Gill Sans MT"/>
                <w:sz w:val="18"/>
                <w:szCs w:val="18"/>
              </w:rPr>
              <w:t xml:space="preserve">on Renal </w:t>
            </w:r>
            <w:r w:rsidRPr="002672C1">
              <w:rPr>
                <w:rFonts w:ascii="Gill Sans MT" w:hAnsi="Gill Sans MT"/>
                <w:spacing w:val="2"/>
                <w:sz w:val="18"/>
                <w:szCs w:val="18"/>
              </w:rPr>
              <w:t xml:space="preserve">Outcomes </w:t>
            </w:r>
            <w:r w:rsidRPr="002672C1">
              <w:rPr>
                <w:rFonts w:ascii="Gill Sans MT" w:hAnsi="Gill Sans MT"/>
                <w:sz w:val="18"/>
                <w:szCs w:val="18"/>
              </w:rPr>
              <w:t xml:space="preserve">in </w:t>
            </w:r>
            <w:r w:rsidRPr="002672C1">
              <w:rPr>
                <w:rFonts w:ascii="Gill Sans MT" w:hAnsi="Gill Sans MT"/>
                <w:spacing w:val="3"/>
                <w:sz w:val="18"/>
                <w:szCs w:val="18"/>
              </w:rPr>
              <w:t xml:space="preserve">Subjects </w:t>
            </w:r>
            <w:r w:rsidRPr="002672C1">
              <w:rPr>
                <w:rFonts w:ascii="Gill Sans MT" w:hAnsi="Gill Sans MT"/>
                <w:spacing w:val="2"/>
                <w:sz w:val="18"/>
                <w:szCs w:val="18"/>
              </w:rPr>
              <w:t xml:space="preserve">with </w:t>
            </w:r>
            <w:r w:rsidRPr="002672C1">
              <w:rPr>
                <w:rFonts w:ascii="Gill Sans MT" w:hAnsi="Gill Sans MT"/>
                <w:sz w:val="18"/>
                <w:szCs w:val="18"/>
              </w:rPr>
              <w:t xml:space="preserve">Type 2 </w:t>
            </w:r>
            <w:r w:rsidRPr="002672C1">
              <w:rPr>
                <w:rFonts w:ascii="Gill Sans MT" w:hAnsi="Gill Sans MT"/>
                <w:spacing w:val="2"/>
                <w:sz w:val="18"/>
                <w:szCs w:val="18"/>
              </w:rPr>
              <w:t xml:space="preserve">Diabetes </w:t>
            </w:r>
            <w:r w:rsidRPr="002672C1">
              <w:rPr>
                <w:rFonts w:ascii="Gill Sans MT" w:hAnsi="Gill Sans MT"/>
                <w:sz w:val="18"/>
                <w:szCs w:val="18"/>
              </w:rPr>
              <w:t xml:space="preserve">and </w:t>
            </w:r>
            <w:r w:rsidRPr="002672C1">
              <w:rPr>
                <w:rFonts w:ascii="Gill Sans MT" w:hAnsi="Gill Sans MT"/>
                <w:spacing w:val="2"/>
                <w:sz w:val="18"/>
                <w:szCs w:val="18"/>
              </w:rPr>
              <w:t xml:space="preserve">Nephropathy </w:t>
            </w:r>
            <w:r w:rsidRPr="002672C1">
              <w:rPr>
                <w:rFonts w:ascii="Gill Sans MT" w:hAnsi="Gill Sans MT"/>
                <w:spacing w:val="3"/>
                <w:sz w:val="18"/>
                <w:szCs w:val="18"/>
              </w:rPr>
              <w:t xml:space="preserve">SONAR: </w:t>
            </w:r>
            <w:r w:rsidRPr="002672C1">
              <w:rPr>
                <w:rFonts w:ascii="Gill Sans MT" w:hAnsi="Gill Sans MT"/>
                <w:sz w:val="18"/>
                <w:szCs w:val="18"/>
              </w:rPr>
              <w:t xml:space="preserve">Study Of </w:t>
            </w:r>
            <w:r w:rsidRPr="002672C1">
              <w:rPr>
                <w:rFonts w:ascii="Gill Sans MT" w:hAnsi="Gill Sans MT"/>
                <w:spacing w:val="2"/>
                <w:sz w:val="18"/>
                <w:szCs w:val="18"/>
              </w:rPr>
              <w:t xml:space="preserve">Diabetic Nephropathy with </w:t>
            </w:r>
            <w:r w:rsidRPr="002672C1">
              <w:rPr>
                <w:rFonts w:ascii="Gill Sans MT" w:hAnsi="Gill Sans MT"/>
                <w:spacing w:val="3"/>
                <w:sz w:val="18"/>
                <w:szCs w:val="18"/>
              </w:rPr>
              <w:t>Atrasentan</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Power, J; Sharma, S; Virik, K</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p w:rsidR="002672C1" w:rsidRPr="002672C1" w:rsidRDefault="002672C1" w:rsidP="00EB7B26">
            <w:pPr>
              <w:pStyle w:val="TableParagraph"/>
              <w:spacing w:before="155"/>
              <w:ind w:left="74"/>
              <w:rPr>
                <w:rFonts w:ascii="Gill Sans MT" w:hAnsi="Gill Sans MT"/>
                <w:sz w:val="18"/>
                <w:szCs w:val="18"/>
              </w:rPr>
            </w:pPr>
            <w:r w:rsidRPr="002672C1">
              <w:rPr>
                <w:rFonts w:ascii="Gill Sans MT" w:hAnsi="Gill Sans MT"/>
                <w:sz w:val="18"/>
                <w:szCs w:val="18"/>
              </w:rPr>
              <w:t>WPH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35"/>
              <w:jc w:val="both"/>
              <w:rPr>
                <w:rFonts w:ascii="Gill Sans MT" w:hAnsi="Gill Sans MT"/>
                <w:sz w:val="18"/>
                <w:szCs w:val="18"/>
              </w:rPr>
            </w:pPr>
            <w:r w:rsidRPr="002672C1">
              <w:rPr>
                <w:rFonts w:ascii="Gill Sans MT" w:hAnsi="Gill Sans MT"/>
                <w:sz w:val="18"/>
                <w:szCs w:val="18"/>
              </w:rPr>
              <w:t>An open-label, multicentre, phase IIIB study with intravenous administration of pertuzumab, subcutaneous trastuzumab, and a taxane in patients with 2-positive metastatic breast cancer (sapphire)</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94"/>
              <w:rPr>
                <w:rFonts w:ascii="Gill Sans MT" w:hAnsi="Gill Sans MT"/>
                <w:sz w:val="18"/>
                <w:szCs w:val="18"/>
              </w:rPr>
            </w:pPr>
            <w:r w:rsidRPr="002672C1">
              <w:rPr>
                <w:rFonts w:ascii="Gill Sans MT" w:hAnsi="Gill Sans MT"/>
                <w:sz w:val="18"/>
                <w:szCs w:val="18"/>
              </w:rPr>
              <w:t>Mathew, M; Cooke, D; Raj, R</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71"/>
              <w:rPr>
                <w:rFonts w:ascii="Gill Sans MT" w:hAnsi="Gill Sans MT"/>
                <w:sz w:val="18"/>
                <w:szCs w:val="18"/>
              </w:rPr>
            </w:pPr>
            <w:r w:rsidRPr="002672C1">
              <w:rPr>
                <w:rFonts w:ascii="Gill Sans MT" w:hAnsi="Gill Sans MT"/>
                <w:sz w:val="18"/>
                <w:szCs w:val="18"/>
              </w:rPr>
              <w:t>A Phase 3, Randomized, Double-Blind, Placebo Controlled Study of the Efficacy and Safety of FG-4592 for the Treatment of Anemia in Chronic Kidney Disease Patients not on Dialysis</w:t>
            </w:r>
          </w:p>
        </w:tc>
      </w:tr>
      <w:tr w:rsidR="002672C1" w:rsidRPr="002672C1" w:rsidTr="002672C1">
        <w:trPr>
          <w:trHeight w:hRule="exact" w:val="5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Byram, D; Blomfield, P</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PeNTAGOn: Peer &amp; Nurse Support Trial to Assist Women with Gynaecological Oncology (Phase III section only)</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624"/>
              <w:rPr>
                <w:rFonts w:ascii="Gill Sans MT" w:hAnsi="Gill Sans MT"/>
                <w:sz w:val="18"/>
                <w:szCs w:val="18"/>
              </w:rPr>
            </w:pPr>
            <w:r w:rsidRPr="002672C1">
              <w:rPr>
                <w:rFonts w:ascii="Gill Sans MT" w:hAnsi="Gill Sans MT"/>
                <w:sz w:val="18"/>
                <w:szCs w:val="18"/>
              </w:rPr>
              <w:t>Singh, B; David, T</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04"/>
              <w:rPr>
                <w:rFonts w:ascii="Gill Sans MT" w:hAnsi="Gill Sans MT"/>
                <w:sz w:val="18"/>
                <w:szCs w:val="18"/>
              </w:rPr>
            </w:pPr>
            <w:r w:rsidRPr="002672C1">
              <w:rPr>
                <w:rFonts w:ascii="Gill Sans MT" w:hAnsi="Gill Sans MT"/>
                <w:sz w:val="18"/>
                <w:szCs w:val="18"/>
              </w:rPr>
              <w:t>Phase 3 multi-center, double-blind, randomized, placebo-controlled, parallel group evaluation of the efficacy, safety, and tolerability of PF-04950615, in reducing the occurrence of major cardiovascular events in high risk subjects</w:t>
            </w:r>
          </w:p>
        </w:tc>
      </w:tr>
      <w:tr w:rsidR="002672C1" w:rsidRPr="002672C1" w:rsidTr="002672C1">
        <w:trPr>
          <w:trHeight w:hRule="exact" w:val="9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Boden, I; Sullivan, K; Keating, J; Lane, R</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ICEAGE - Incidence of Complications following Emergency Abdominal Surgery: Get Exercising</w:t>
            </w:r>
          </w:p>
        </w:tc>
      </w:tr>
      <w:tr w:rsidR="002672C1" w:rsidRPr="002672C1" w:rsidTr="002672C1">
        <w:trPr>
          <w:trHeight w:hRule="exact" w:val="9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196"/>
              <w:rPr>
                <w:rFonts w:ascii="Gill Sans MT" w:hAnsi="Gill Sans MT"/>
                <w:sz w:val="18"/>
                <w:szCs w:val="18"/>
              </w:rPr>
            </w:pPr>
            <w:r w:rsidRPr="002672C1">
              <w:rPr>
                <w:rFonts w:ascii="Gill Sans MT" w:hAnsi="Gill Sans MT"/>
                <w:sz w:val="18"/>
                <w:szCs w:val="18"/>
              </w:rPr>
              <w:t>Cooke, D; Mathew, M; Raj, R; Corbould, A</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CANVAS- R Trial: Phase 4 A Randomised, Multicentre, Double-Blind, Parallel, Placebo- Controlled Study of the Effects of Canagliflozin on Renal Endpoints in Adult Subjects With Type 2 Diabetes Mellitus</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Saykao, SN; Brough, S; Tan, P</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22"/>
              <w:rPr>
                <w:rFonts w:ascii="Gill Sans MT" w:hAnsi="Gill Sans MT"/>
                <w:sz w:val="18"/>
                <w:szCs w:val="18"/>
              </w:rPr>
            </w:pPr>
            <w:r w:rsidRPr="002672C1">
              <w:rPr>
                <w:rFonts w:ascii="Gill Sans MT" w:hAnsi="Gill Sans MT"/>
                <w:sz w:val="18"/>
                <w:szCs w:val="18"/>
              </w:rPr>
              <w:t>The effectiveness of Intraoperative Hyocine butylbromide in reducing postoperative catheter- related bladder discomfort in urological patients: a prospective, randomised, placebo- controlled, double-blinded study.</w:t>
            </w:r>
          </w:p>
        </w:tc>
      </w:tr>
      <w:tr w:rsidR="002672C1" w:rsidRPr="002672C1" w:rsidTr="002672C1">
        <w:trPr>
          <w:trHeight w:hRule="exact" w:val="9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Mitchell, BL</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Clinical Study No: GA28950, Phase 3, Double Blind, Placebo-Controlled, Multicentre Study of the Efficacy and Safety of Etrolizumab during Induction and Maintenance in Patients with Moderate to Severe Active Ulcerative Colitis who are Refractory to or Intolerant of TNF Inhibitors</w:t>
            </w:r>
          </w:p>
        </w:tc>
      </w:tr>
      <w:tr w:rsidR="002672C1" w:rsidRPr="002672C1" w:rsidTr="002672C1">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Mitchell, BL</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Clinical Study No: GA28951, an open-label extension and safety monitoring study of moderate to severe ulcerative colitis patients previously enrolled in etrolizumab phase III studies- Launceston Hospital</w:t>
            </w:r>
          </w:p>
        </w:tc>
      </w:tr>
    </w:tbl>
    <w:p w:rsidR="002672C1" w:rsidRDefault="002672C1" w:rsidP="002672C1"/>
    <w:p w:rsidR="002672C1" w:rsidRDefault="002672C1">
      <w:r>
        <w:br w:type="page"/>
      </w:r>
    </w:p>
    <w:tbl>
      <w:tblPr>
        <w:tblW w:w="0" w:type="auto"/>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left w:w="0" w:type="dxa"/>
          <w:right w:w="0" w:type="dxa"/>
        </w:tblCellMar>
        <w:tblLook w:val="01E0" w:firstRow="1" w:lastRow="1" w:firstColumn="1" w:lastColumn="1" w:noHBand="0" w:noVBand="0"/>
      </w:tblPr>
      <w:tblGrid>
        <w:gridCol w:w="1328"/>
        <w:gridCol w:w="911"/>
        <w:gridCol w:w="7047"/>
      </w:tblGrid>
      <w:tr w:rsidR="002672C1" w:rsidRPr="002672C1" w:rsidTr="002672C1">
        <w:trPr>
          <w:trHeight w:hRule="exact" w:val="308"/>
        </w:trPr>
        <w:tc>
          <w:tcPr>
            <w:tcW w:w="1328"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58"/>
              <w:ind w:left="79"/>
              <w:rPr>
                <w:rFonts w:ascii="Gill Sans MT" w:hAnsi="Gill Sans MT"/>
                <w:b/>
                <w:sz w:val="18"/>
                <w:szCs w:val="18"/>
              </w:rPr>
            </w:pPr>
            <w:r w:rsidRPr="002672C1">
              <w:rPr>
                <w:rFonts w:ascii="Gill Sans MT" w:hAnsi="Gill Sans MT"/>
                <w:b/>
                <w:sz w:val="18"/>
                <w:szCs w:val="18"/>
              </w:rPr>
              <w:lastRenderedPageBreak/>
              <w:t>Researchers</w:t>
            </w:r>
          </w:p>
        </w:tc>
        <w:tc>
          <w:tcPr>
            <w:tcW w:w="911"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58"/>
              <w:ind w:left="74"/>
              <w:rPr>
                <w:rFonts w:ascii="Gill Sans MT" w:hAnsi="Gill Sans MT"/>
                <w:b/>
                <w:sz w:val="18"/>
                <w:szCs w:val="18"/>
              </w:rPr>
            </w:pPr>
            <w:r w:rsidRPr="002672C1">
              <w:rPr>
                <w:rFonts w:ascii="Gill Sans MT" w:hAnsi="Gill Sans MT"/>
                <w:b/>
                <w:sz w:val="18"/>
                <w:szCs w:val="18"/>
              </w:rPr>
              <w:t>Location</w:t>
            </w:r>
          </w:p>
        </w:tc>
        <w:tc>
          <w:tcPr>
            <w:tcW w:w="7047"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58"/>
              <w:ind w:left="73"/>
              <w:rPr>
                <w:rFonts w:ascii="Gill Sans MT" w:hAnsi="Gill Sans MT"/>
                <w:b/>
                <w:sz w:val="18"/>
                <w:szCs w:val="18"/>
              </w:rPr>
            </w:pPr>
            <w:r w:rsidRPr="002672C1">
              <w:rPr>
                <w:rFonts w:ascii="Gill Sans MT" w:hAnsi="Gill Sans MT"/>
                <w:b/>
                <w:sz w:val="18"/>
                <w:szCs w:val="18"/>
              </w:rPr>
              <w:t>Project</w:t>
            </w:r>
          </w:p>
        </w:tc>
      </w:tr>
      <w:tr w:rsidR="002672C1" w:rsidRPr="002672C1" w:rsidTr="002672C1">
        <w:trPr>
          <w:trHeight w:hRule="exact" w:val="920"/>
        </w:trPr>
        <w:tc>
          <w:tcPr>
            <w:tcW w:w="1328"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8"/>
              <w:ind w:left="73"/>
              <w:rPr>
                <w:rFonts w:ascii="Gill Sans MT" w:hAnsi="Gill Sans MT"/>
                <w:sz w:val="18"/>
                <w:szCs w:val="18"/>
              </w:rPr>
            </w:pPr>
            <w:r w:rsidRPr="002672C1">
              <w:rPr>
                <w:rFonts w:ascii="Gill Sans MT" w:hAnsi="Gill Sans MT"/>
                <w:sz w:val="18"/>
                <w:szCs w:val="18"/>
              </w:rPr>
              <w:t>Mitchell, BL</w:t>
            </w:r>
          </w:p>
        </w:tc>
        <w:tc>
          <w:tcPr>
            <w:tcW w:w="911"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8"/>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80" w:line="200" w:lineRule="exact"/>
              <w:ind w:left="73" w:right="254"/>
              <w:rPr>
                <w:rFonts w:ascii="Gill Sans MT" w:hAnsi="Gill Sans MT"/>
                <w:sz w:val="18"/>
                <w:szCs w:val="18"/>
              </w:rPr>
            </w:pPr>
            <w:r w:rsidRPr="002672C1">
              <w:rPr>
                <w:rFonts w:ascii="Gill Sans MT" w:hAnsi="Gill Sans MT"/>
                <w:sz w:val="18"/>
                <w:szCs w:val="18"/>
              </w:rPr>
              <w:t>Clinical Study No: GA28948, Phase III, Randomized, Double-Blind, Double-Dummy, Placebo- Controlled, Multicenter Study to Evaluate the Efficacy (Induction of Remission) and Safety of Etrolizumab Compared With Adalimumab and Placebo in Patients with Moderate to Severe Ulcerative Colitis who are Naive to TNF Inhibitors</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Mulford, J</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SOFIE: Surgery for Olecranon Fractures In the Elderly: a randomised controlled trial of operative versus non-operative treatment.</w:t>
            </w:r>
          </w:p>
        </w:tc>
      </w:tr>
      <w:tr w:rsidR="002672C1" w:rsidRPr="002672C1" w:rsidTr="002672C1">
        <w:trPr>
          <w:trHeight w:hRule="exact" w:val="282"/>
        </w:trPr>
        <w:tc>
          <w:tcPr>
            <w:tcW w:w="1328"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Mathew,</w:t>
            </w:r>
          </w:p>
        </w:tc>
        <w:tc>
          <w:tcPr>
            <w:tcW w:w="911"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A Phase 3, Multicenter, Randomized, Open-Label, Active-Controlled Study of the Safety  and</w:t>
            </w:r>
          </w:p>
        </w:tc>
      </w:tr>
      <w:tr w:rsidR="002672C1" w:rsidRPr="002672C1" w:rsidTr="002672C1">
        <w:trPr>
          <w:trHeight w:hRule="exact" w:val="200"/>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M; Cooke,</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Efficacy of Roxadustat in the Treatment of Anemia in Dialysis Patients</w:t>
            </w:r>
          </w:p>
        </w:tc>
      </w:tr>
      <w:tr w:rsidR="002672C1" w:rsidRPr="002672C1" w:rsidTr="002672C1">
        <w:trPr>
          <w:trHeight w:hRule="exact" w:val="199"/>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Duncan; Rajesh,</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239"/>
        </w:trPr>
        <w:tc>
          <w:tcPr>
            <w:tcW w:w="1328"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line="202" w:lineRule="exact"/>
              <w:ind w:left="73"/>
              <w:rPr>
                <w:rFonts w:ascii="Gill Sans MT" w:hAnsi="Gill Sans MT"/>
                <w:sz w:val="18"/>
                <w:szCs w:val="18"/>
              </w:rPr>
            </w:pPr>
            <w:r w:rsidRPr="002672C1">
              <w:rPr>
                <w:rFonts w:ascii="Gill Sans MT" w:hAnsi="Gill Sans MT"/>
                <w:sz w:val="18"/>
                <w:szCs w:val="18"/>
              </w:rPr>
              <w:t>R</w:t>
            </w:r>
          </w:p>
        </w:tc>
        <w:tc>
          <w:tcPr>
            <w:tcW w:w="911"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7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56"/>
              <w:rPr>
                <w:rFonts w:ascii="Gill Sans MT" w:hAnsi="Gill Sans MT"/>
                <w:sz w:val="18"/>
                <w:szCs w:val="18"/>
              </w:rPr>
            </w:pPr>
            <w:r w:rsidRPr="002672C1">
              <w:rPr>
                <w:rFonts w:ascii="Gill Sans MT" w:hAnsi="Gill Sans MT"/>
                <w:sz w:val="18"/>
                <w:szCs w:val="18"/>
              </w:rPr>
              <w:t>Mulford, J; Ogden, K; Wiltshire, K</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Dexamethasone to reduce pain, nausea and vomiting, improve mobilisation and reduce hospital stay in hip and knee arthroplasty: a double blind controlled trial</w:t>
            </w:r>
          </w:p>
        </w:tc>
      </w:tr>
      <w:tr w:rsidR="002672C1" w:rsidRPr="002672C1" w:rsidTr="002672C1">
        <w:trPr>
          <w:trHeight w:hRule="exact" w:val="282"/>
        </w:trPr>
        <w:tc>
          <w:tcPr>
            <w:tcW w:w="1328"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Frandsen, M;</w:t>
            </w:r>
          </w:p>
        </w:tc>
        <w:tc>
          <w:tcPr>
            <w:tcW w:w="911"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Supporting Expectant Mothers to Quit</w:t>
            </w:r>
          </w:p>
        </w:tc>
      </w:tr>
      <w:tr w:rsidR="002672C1" w:rsidRPr="002672C1" w:rsidTr="002672C1">
        <w:trPr>
          <w:trHeight w:hRule="exact" w:val="399"/>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35" w:lineRule="auto"/>
              <w:ind w:left="73" w:right="70"/>
              <w:rPr>
                <w:rFonts w:ascii="Gill Sans MT" w:hAnsi="Gill Sans MT"/>
                <w:sz w:val="18"/>
                <w:szCs w:val="18"/>
              </w:rPr>
            </w:pPr>
            <w:r w:rsidRPr="002672C1">
              <w:rPr>
                <w:rFonts w:ascii="Gill Sans MT" w:hAnsi="Gill Sans MT"/>
                <w:sz w:val="18"/>
                <w:szCs w:val="18"/>
              </w:rPr>
              <w:t>Ferguson, SG; Walters, Julia;</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before="156"/>
              <w:ind w:left="74"/>
              <w:rPr>
                <w:rFonts w:ascii="Gill Sans MT" w:hAnsi="Gill Sans MT"/>
                <w:sz w:val="18"/>
                <w:szCs w:val="18"/>
              </w:rPr>
            </w:pPr>
            <w:r w:rsidRPr="002672C1">
              <w:rPr>
                <w:rFonts w:ascii="Gill Sans MT" w:hAnsi="Gill Sans MT"/>
                <w:sz w:val="18"/>
                <w:szCs w:val="18"/>
              </w:rPr>
              <w:t>UTAS</w:t>
            </w: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200"/>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2" w:lineRule="exact"/>
              <w:ind w:left="73"/>
              <w:rPr>
                <w:rFonts w:ascii="Gill Sans MT" w:hAnsi="Gill Sans MT"/>
                <w:sz w:val="18"/>
                <w:szCs w:val="18"/>
              </w:rPr>
            </w:pPr>
            <w:r w:rsidRPr="002672C1">
              <w:rPr>
                <w:rFonts w:ascii="Gill Sans MT" w:hAnsi="Gill Sans MT"/>
                <w:sz w:val="18"/>
                <w:szCs w:val="18"/>
              </w:rPr>
              <w:t>Schuez, N;</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239"/>
        </w:trPr>
        <w:tc>
          <w:tcPr>
            <w:tcW w:w="1328"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line="202" w:lineRule="exact"/>
              <w:ind w:left="73"/>
              <w:rPr>
                <w:rFonts w:ascii="Gill Sans MT" w:hAnsi="Gill Sans MT"/>
                <w:sz w:val="18"/>
                <w:szCs w:val="18"/>
              </w:rPr>
            </w:pPr>
            <w:r w:rsidRPr="002672C1">
              <w:rPr>
                <w:rFonts w:ascii="Gill Sans MT" w:hAnsi="Gill Sans MT"/>
                <w:sz w:val="18"/>
                <w:szCs w:val="18"/>
              </w:rPr>
              <w:t>Weber, HC</w:t>
            </w:r>
          </w:p>
        </w:tc>
        <w:tc>
          <w:tcPr>
            <w:tcW w:w="911"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70"/>
              <w:rPr>
                <w:rFonts w:ascii="Gill Sans MT" w:hAnsi="Gill Sans MT"/>
                <w:sz w:val="18"/>
                <w:szCs w:val="18"/>
              </w:rPr>
            </w:pPr>
            <w:r w:rsidRPr="002672C1">
              <w:rPr>
                <w:rFonts w:ascii="Gill Sans MT" w:hAnsi="Gill Sans MT"/>
                <w:sz w:val="18"/>
                <w:szCs w:val="18"/>
              </w:rPr>
              <w:t>Khalafallah, AA; Dennis, AE</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LEAP-1: Lactoferrin Evaluation in Anaemia in Pregnancy</w:t>
            </w:r>
          </w:p>
        </w:tc>
      </w:tr>
      <w:tr w:rsidR="002672C1" w:rsidRPr="002672C1" w:rsidTr="002672C1">
        <w:trPr>
          <w:trHeight w:hRule="exact" w:val="7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70"/>
              <w:rPr>
                <w:rFonts w:ascii="Gill Sans MT" w:hAnsi="Gill Sans MT"/>
                <w:sz w:val="18"/>
                <w:szCs w:val="18"/>
              </w:rPr>
            </w:pPr>
            <w:r w:rsidRPr="002672C1">
              <w:rPr>
                <w:rFonts w:ascii="Gill Sans MT" w:hAnsi="Gill Sans MT"/>
                <w:sz w:val="18"/>
                <w:szCs w:val="18"/>
              </w:rPr>
              <w:t>Khalafallah, AA; Mohammed, M</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Protocol: C-935788-047 A Phase 3, Multi-Center, Randomized, Double-Blind, Placebo- Controlled, Study of Fostamatinib Disodium in the Treatment of Persistent/Chronic Immune Thrombocytopenic Purpura</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70"/>
              <w:rPr>
                <w:rFonts w:ascii="Gill Sans MT" w:hAnsi="Gill Sans MT"/>
                <w:sz w:val="18"/>
                <w:szCs w:val="18"/>
              </w:rPr>
            </w:pPr>
            <w:r w:rsidRPr="002672C1">
              <w:rPr>
                <w:rFonts w:ascii="Gill Sans MT" w:hAnsi="Gill Sans MT"/>
                <w:sz w:val="18"/>
                <w:szCs w:val="18"/>
              </w:rPr>
              <w:t>Khalafallah, AA; Mohammed, M</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 Phase 3 Open Label Extension Study of Fostamatinib Disodium in the Treatment of Persistent/Chronic Immune Thrombocytopenic Purpura</w:t>
            </w: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56"/>
              <w:rPr>
                <w:rFonts w:ascii="Gill Sans MT" w:hAnsi="Gill Sans MT"/>
                <w:sz w:val="18"/>
                <w:szCs w:val="18"/>
              </w:rPr>
            </w:pPr>
            <w:r w:rsidRPr="002672C1">
              <w:rPr>
                <w:rFonts w:ascii="Gill Sans MT" w:hAnsi="Gill Sans MT"/>
                <w:sz w:val="18"/>
                <w:szCs w:val="18"/>
              </w:rPr>
              <w:t>Gauden, S; Power, J</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35"/>
              <w:rPr>
                <w:rFonts w:ascii="Gill Sans MT" w:hAnsi="Gill Sans MT"/>
                <w:sz w:val="18"/>
                <w:szCs w:val="18"/>
              </w:rPr>
            </w:pPr>
            <w:r w:rsidRPr="002672C1">
              <w:rPr>
                <w:rFonts w:ascii="Gill Sans MT" w:hAnsi="Gill Sans MT"/>
                <w:sz w:val="18"/>
                <w:szCs w:val="18"/>
              </w:rPr>
              <w:t>GO29436 A PHASE III, open-label, randomised study of MPDL3280A (Anti-PD-L1 Antibody) in combination with Carboplatin + Paclitaxel with or without Bevacizumab compared with Carboplatin + Faclitaxel + Bevacizumab in chemotherapy-naive patients with stage IV non- squamous non-small cell lung cancer.</w:t>
            </w:r>
          </w:p>
        </w:tc>
      </w:tr>
      <w:tr w:rsidR="002672C1" w:rsidRPr="002672C1" w:rsidTr="002672C1">
        <w:trPr>
          <w:trHeight w:hRule="exact" w:val="11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Gauden, S</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08"/>
              <w:rPr>
                <w:rFonts w:ascii="Gill Sans MT" w:hAnsi="Gill Sans MT"/>
                <w:sz w:val="18"/>
                <w:szCs w:val="18"/>
              </w:rPr>
            </w:pPr>
            <w:r w:rsidRPr="002672C1">
              <w:rPr>
                <w:rFonts w:ascii="Gill Sans MT" w:hAnsi="Gill Sans MT"/>
                <w:sz w:val="18"/>
                <w:szCs w:val="18"/>
              </w:rPr>
              <w:t>GO29437 A phase III, Open-Label, Multicenter, randomised study evaluating the efficacy and safety of MPDL3280A (ANTI-PD-L1 antibody) in combination with Carboplatin + Paclitaxel or MPDL3280A in combination with Carboplatin + NAB-Paclitaxel versus Carboplatin + NAB-Paclitaxel in chemotherapy-naive patients with stage IV squamous non-small cell lung cancer.</w:t>
            </w:r>
          </w:p>
        </w:tc>
      </w:tr>
      <w:tr w:rsidR="002672C1" w:rsidRPr="002672C1" w:rsidTr="002672C1">
        <w:trPr>
          <w:trHeight w:hRule="exact" w:val="282"/>
        </w:trPr>
        <w:tc>
          <w:tcPr>
            <w:tcW w:w="1328"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Khalafallah, AA;</w:t>
            </w:r>
          </w:p>
        </w:tc>
        <w:tc>
          <w:tcPr>
            <w:tcW w:w="911"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Medically Ill Patient Assessment of Rivaroxaban Versus Placebo in Reducing  Post-Discharge</w:t>
            </w:r>
          </w:p>
        </w:tc>
      </w:tr>
      <w:tr w:rsidR="002672C1" w:rsidRPr="002672C1" w:rsidTr="002672C1">
        <w:trPr>
          <w:trHeight w:hRule="exact" w:val="200"/>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Hannan, T;</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Venous Thrombo-Embolism Risk (MARINER)</w:t>
            </w:r>
          </w:p>
        </w:tc>
      </w:tr>
      <w:tr w:rsidR="002672C1" w:rsidRPr="002672C1" w:rsidTr="002672C1">
        <w:trPr>
          <w:trHeight w:hRule="exact" w:val="199"/>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Ling, SH;</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239"/>
        </w:trPr>
        <w:tc>
          <w:tcPr>
            <w:tcW w:w="1328"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line="202" w:lineRule="exact"/>
              <w:ind w:left="73"/>
              <w:rPr>
                <w:rFonts w:ascii="Gill Sans MT" w:hAnsi="Gill Sans MT"/>
                <w:sz w:val="18"/>
                <w:szCs w:val="18"/>
              </w:rPr>
            </w:pPr>
            <w:r w:rsidRPr="002672C1">
              <w:rPr>
                <w:rFonts w:ascii="Gill Sans MT" w:hAnsi="Gill Sans MT"/>
                <w:sz w:val="18"/>
                <w:szCs w:val="18"/>
              </w:rPr>
              <w:t>Tryambake, D</w:t>
            </w:r>
          </w:p>
        </w:tc>
        <w:tc>
          <w:tcPr>
            <w:tcW w:w="911"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7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56"/>
              <w:rPr>
                <w:rFonts w:ascii="Gill Sans MT" w:hAnsi="Gill Sans MT"/>
                <w:sz w:val="18"/>
                <w:szCs w:val="18"/>
              </w:rPr>
            </w:pPr>
            <w:r w:rsidRPr="002672C1">
              <w:rPr>
                <w:rFonts w:ascii="Gill Sans MT" w:hAnsi="Gill Sans MT"/>
                <w:sz w:val="18"/>
                <w:szCs w:val="18"/>
              </w:rPr>
              <w:t>Gauden, S; Sharma, S</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(PACIFIC) A Phase III, Randomised, Double blind, Placebo controlled, Multicentre, International Study of MEDI4736 as Sequential Therapy in Patients with Locally Advanced, Unresectable Non Small Cell Lung Cancer (Stage III)</w:t>
            </w: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56"/>
              <w:rPr>
                <w:rFonts w:ascii="Gill Sans MT" w:hAnsi="Gill Sans MT"/>
                <w:sz w:val="18"/>
                <w:szCs w:val="18"/>
              </w:rPr>
            </w:pPr>
            <w:r w:rsidRPr="002672C1">
              <w:rPr>
                <w:rFonts w:ascii="Gill Sans MT" w:hAnsi="Gill Sans MT"/>
                <w:sz w:val="18"/>
                <w:szCs w:val="18"/>
              </w:rPr>
              <w:t>Mathew, M; Cooke, D; Raj, R</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78"/>
              <w:rPr>
                <w:rFonts w:ascii="Gill Sans MT" w:hAnsi="Gill Sans MT"/>
                <w:sz w:val="18"/>
                <w:szCs w:val="18"/>
              </w:rPr>
            </w:pPr>
            <w:r w:rsidRPr="002672C1">
              <w:rPr>
                <w:rFonts w:ascii="Gill Sans MT" w:hAnsi="Gill Sans MT"/>
                <w:sz w:val="18"/>
                <w:szCs w:val="18"/>
              </w:rPr>
              <w:t>156-13-210, A Phase 3b, Multi-center, Randomized-withdrawal, Placebo-controlled, Double- blind, Parallel-group Trial to Compare the Efficacy and Safety of Tolvaptan (45 to 120 mg/day, Split-dose) in Subjects with Chronic Kidney Disease Between Late Stage 2 to Early Stage 4 to Autosomal Dominant Polycystic Kidney Disease</w:t>
            </w:r>
          </w:p>
        </w:tc>
      </w:tr>
      <w:tr w:rsidR="002672C1" w:rsidRPr="002672C1" w:rsidTr="002672C1">
        <w:trPr>
          <w:trHeight w:hRule="exact" w:val="720"/>
        </w:trPr>
        <w:tc>
          <w:tcPr>
            <w:tcW w:w="1328"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Mitchell, BL</w:t>
            </w:r>
          </w:p>
        </w:tc>
        <w:tc>
          <w:tcPr>
            <w:tcW w:w="911"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 Phase III, randomized, double-blind, placebo-controlled, multicenter study to evaluate the efficacy and safety of etrolizumab as an induction and maintenance treatment for patients with moderately to severely active crohn’s disease.</w:t>
            </w:r>
          </w:p>
        </w:tc>
      </w:tr>
    </w:tbl>
    <w:p w:rsidR="002672C1" w:rsidRDefault="002672C1" w:rsidP="002672C1"/>
    <w:p w:rsidR="002672C1" w:rsidRDefault="002672C1">
      <w:r>
        <w:br w:type="page"/>
      </w:r>
    </w:p>
    <w:tbl>
      <w:tblPr>
        <w:tblW w:w="0" w:type="auto"/>
        <w:tblInd w:w="692"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left w:w="0" w:type="dxa"/>
          <w:right w:w="0" w:type="dxa"/>
        </w:tblCellMar>
        <w:tblLook w:val="01E0" w:firstRow="1" w:lastRow="1" w:firstColumn="1" w:lastColumn="1" w:noHBand="0" w:noVBand="0"/>
      </w:tblPr>
      <w:tblGrid>
        <w:gridCol w:w="1328"/>
        <w:gridCol w:w="911"/>
        <w:gridCol w:w="7047"/>
      </w:tblGrid>
      <w:tr w:rsidR="002672C1" w:rsidRPr="002672C1" w:rsidTr="002672C1">
        <w:trPr>
          <w:trHeight w:hRule="exact" w:val="329"/>
        </w:trPr>
        <w:tc>
          <w:tcPr>
            <w:tcW w:w="1328"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79"/>
              <w:ind w:left="80"/>
              <w:rPr>
                <w:rFonts w:ascii="GillSans-SemiBold"/>
                <w:b/>
                <w:sz w:val="18"/>
              </w:rPr>
            </w:pPr>
            <w:r w:rsidRPr="002672C1">
              <w:rPr>
                <w:rFonts w:ascii="GillSans-SemiBold"/>
                <w:b/>
                <w:sz w:val="18"/>
              </w:rPr>
              <w:lastRenderedPageBreak/>
              <w:t>Researchers</w:t>
            </w:r>
          </w:p>
        </w:tc>
        <w:tc>
          <w:tcPr>
            <w:tcW w:w="911"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79"/>
              <w:ind w:left="74"/>
              <w:rPr>
                <w:rFonts w:ascii="GillSans-SemiBold"/>
                <w:b/>
                <w:sz w:val="18"/>
              </w:rPr>
            </w:pPr>
            <w:r w:rsidRPr="002672C1">
              <w:rPr>
                <w:rFonts w:ascii="GillSans-SemiBold"/>
                <w:b/>
                <w:sz w:val="18"/>
              </w:rPr>
              <w:t>Location</w:t>
            </w:r>
          </w:p>
        </w:tc>
        <w:tc>
          <w:tcPr>
            <w:tcW w:w="7047" w:type="dxa"/>
            <w:tcBorders>
              <w:top w:val="single" w:sz="6" w:space="0" w:color="auto"/>
              <w:left w:val="single" w:sz="6" w:space="0" w:color="auto"/>
              <w:bottom w:val="single" w:sz="6" w:space="0" w:color="auto"/>
              <w:right w:val="single" w:sz="6" w:space="0" w:color="auto"/>
            </w:tcBorders>
            <w:shd w:val="clear" w:color="auto" w:fill="auto"/>
          </w:tcPr>
          <w:p w:rsidR="002672C1" w:rsidRPr="002672C1" w:rsidRDefault="002672C1" w:rsidP="00EB7B26">
            <w:pPr>
              <w:pStyle w:val="TableParagraph"/>
              <w:spacing w:before="79"/>
              <w:ind w:left="73"/>
              <w:rPr>
                <w:rFonts w:ascii="GillSans-SemiBold"/>
                <w:b/>
                <w:sz w:val="18"/>
              </w:rPr>
            </w:pPr>
            <w:r w:rsidRPr="002672C1">
              <w:rPr>
                <w:rFonts w:ascii="GillSans-SemiBold"/>
                <w:b/>
                <w:sz w:val="18"/>
              </w:rPr>
              <w:t>Project</w:t>
            </w:r>
          </w:p>
        </w:tc>
      </w:tr>
      <w:tr w:rsidR="002672C1" w:rsidRPr="002672C1" w:rsidTr="002672C1">
        <w:trPr>
          <w:trHeight w:hRule="exact" w:val="720"/>
        </w:trPr>
        <w:tc>
          <w:tcPr>
            <w:tcW w:w="1328"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80" w:line="200" w:lineRule="exact"/>
              <w:ind w:left="74" w:right="624"/>
              <w:rPr>
                <w:rFonts w:ascii="Gill Sans MT" w:hAnsi="Gill Sans MT"/>
                <w:sz w:val="18"/>
                <w:szCs w:val="18"/>
              </w:rPr>
            </w:pPr>
            <w:r w:rsidRPr="002672C1">
              <w:rPr>
                <w:rFonts w:ascii="Gill Sans MT" w:hAnsi="Gill Sans MT"/>
                <w:sz w:val="18"/>
                <w:szCs w:val="18"/>
              </w:rPr>
              <w:t>Singh, B; David, T</w:t>
            </w:r>
          </w:p>
        </w:tc>
        <w:tc>
          <w:tcPr>
            <w:tcW w:w="911"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8"/>
              <w:ind w:left="74"/>
              <w:rPr>
                <w:rFonts w:ascii="Gill Sans MT" w:hAnsi="Gill Sans MT"/>
                <w:sz w:val="18"/>
                <w:szCs w:val="18"/>
              </w:rPr>
            </w:pPr>
            <w:r w:rsidRPr="002672C1">
              <w:rPr>
                <w:rFonts w:ascii="Gill Sans MT" w:hAnsi="Gill Sans MT"/>
                <w:sz w:val="18"/>
                <w:szCs w:val="18"/>
              </w:rPr>
              <w:t>LGH</w:t>
            </w:r>
          </w:p>
        </w:tc>
        <w:tc>
          <w:tcPr>
            <w:tcW w:w="7047" w:type="dxa"/>
            <w:tcBorders>
              <w:top w:val="single" w:sz="6" w:space="0" w:color="auto"/>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80" w:line="200" w:lineRule="exact"/>
              <w:ind w:left="73"/>
              <w:rPr>
                <w:rFonts w:ascii="Gill Sans MT" w:hAnsi="Gill Sans MT"/>
                <w:sz w:val="18"/>
                <w:szCs w:val="18"/>
              </w:rPr>
            </w:pPr>
            <w:r w:rsidRPr="002672C1">
              <w:rPr>
                <w:rFonts w:ascii="Gill Sans MT" w:hAnsi="Gill Sans MT"/>
                <w:sz w:val="18"/>
                <w:szCs w:val="18"/>
              </w:rPr>
              <w:t>A randomized controlled trial of rivaroxaban for the prevention of major cardiovascular events in patients with coronary or peripheral artery disease (COMPASS Cardiovascular OutcoMes for People using Anticoagulation StrategieS)</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Mitchell, BL; Veldhuis, M</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An open label extension and safety monitoring study of patients with moderately to severely active crohns disease previously enrolled in the etrolizumab Phase III protocol ga29144</w:t>
            </w:r>
          </w:p>
        </w:tc>
      </w:tr>
      <w:tr w:rsidR="002672C1" w:rsidRPr="002672C1" w:rsidTr="002672C1">
        <w:trPr>
          <w:trHeight w:hRule="exact" w:val="7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196"/>
              <w:rPr>
                <w:rFonts w:ascii="Gill Sans MT" w:hAnsi="Gill Sans MT"/>
                <w:sz w:val="18"/>
                <w:szCs w:val="18"/>
              </w:rPr>
            </w:pPr>
            <w:r w:rsidRPr="002672C1">
              <w:rPr>
                <w:rFonts w:ascii="Gill Sans MT" w:hAnsi="Gill Sans MT"/>
                <w:sz w:val="18"/>
                <w:szCs w:val="18"/>
              </w:rPr>
              <w:t>Thomson, M; Ogden, K; Parry, L</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47"/>
              <w:jc w:val="both"/>
              <w:rPr>
                <w:rFonts w:ascii="Gill Sans MT" w:hAnsi="Gill Sans MT"/>
                <w:sz w:val="18"/>
                <w:szCs w:val="18"/>
              </w:rPr>
            </w:pPr>
            <w:r w:rsidRPr="002672C1">
              <w:rPr>
                <w:rFonts w:ascii="Gill Sans MT" w:hAnsi="Gill Sans MT"/>
                <w:sz w:val="18"/>
                <w:szCs w:val="18"/>
              </w:rPr>
              <w:t>A prospective randomised pilot study comparing patient outcomes and cost-effectiveness of injectable collagenase fasciotomy with percutaneous needle fasciotomy for the treatment of Dupuytrens disease of the hand</w:t>
            </w: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624"/>
              <w:rPr>
                <w:rFonts w:ascii="Gill Sans MT" w:hAnsi="Gill Sans MT"/>
                <w:sz w:val="18"/>
                <w:szCs w:val="18"/>
              </w:rPr>
            </w:pPr>
            <w:r w:rsidRPr="002672C1">
              <w:rPr>
                <w:rFonts w:ascii="Gill Sans MT" w:hAnsi="Gill Sans MT"/>
                <w:sz w:val="18"/>
                <w:szCs w:val="18"/>
              </w:rPr>
              <w:t>Singh, B; David, T</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04"/>
              <w:rPr>
                <w:rFonts w:ascii="Gill Sans MT" w:hAnsi="Gill Sans MT"/>
                <w:sz w:val="18"/>
                <w:szCs w:val="18"/>
              </w:rPr>
            </w:pPr>
            <w:r w:rsidRPr="002672C1">
              <w:rPr>
                <w:rFonts w:ascii="Gill Sans MT" w:hAnsi="Gill Sans MT"/>
                <w:sz w:val="18"/>
                <w:szCs w:val="18"/>
              </w:rPr>
              <w:t>A randomised, double-blind, event driven, multicentre study comparing the efficacy and safety of Rivaroxaban with placebo for reducing the risk of Death, Myocardial Infarction or Stroke in subjects with Heart Failure and significant Coronary Artery Disease following an episode of decompensated Heart Failure ( COMMANDER HF)</w:t>
            </w: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624"/>
              <w:rPr>
                <w:rFonts w:ascii="Gill Sans MT" w:hAnsi="Gill Sans MT"/>
                <w:sz w:val="18"/>
                <w:szCs w:val="18"/>
              </w:rPr>
            </w:pPr>
            <w:r w:rsidRPr="002672C1">
              <w:rPr>
                <w:rFonts w:ascii="Gill Sans MT" w:hAnsi="Gill Sans MT"/>
                <w:sz w:val="18"/>
                <w:szCs w:val="18"/>
              </w:rPr>
              <w:t>Singh, B; David, T</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171"/>
              <w:rPr>
                <w:rFonts w:ascii="Gill Sans MT" w:hAnsi="Gill Sans MT"/>
                <w:sz w:val="18"/>
                <w:szCs w:val="18"/>
              </w:rPr>
            </w:pPr>
            <w:r w:rsidRPr="002672C1">
              <w:rPr>
                <w:rFonts w:ascii="Gill Sans MT" w:hAnsi="Gill Sans MT"/>
                <w:sz w:val="18"/>
                <w:szCs w:val="18"/>
              </w:rPr>
              <w:t>A Randomized, double-blind, Double-dummy, Active-controlled, Parallel-group, Multicenter Study to Compare the Safety of Rivaroxaban versus Acetylsalicylic Acid in Addition to Either Clopidogrel or Ticagrelor Therapy in Subjects with Acute Coronary Syndrome. GEMINI ACS 1</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Khalafallah, AA</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Assessment of a single intravenous iron carboxymaltose versus standard care in the management of post-natal anaemia</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line="202" w:lineRule="exact"/>
              <w:ind w:left="74"/>
              <w:rPr>
                <w:rFonts w:ascii="Gill Sans MT" w:hAnsi="Gill Sans MT"/>
                <w:sz w:val="18"/>
                <w:szCs w:val="18"/>
              </w:rPr>
            </w:pPr>
            <w:r w:rsidRPr="002672C1">
              <w:rPr>
                <w:rFonts w:ascii="Gill Sans MT" w:hAnsi="Gill Sans MT"/>
                <w:sz w:val="18"/>
                <w:szCs w:val="18"/>
              </w:rPr>
              <w:t>Ng, Chau Wang</w:t>
            </w:r>
          </w:p>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 Mathew, M</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 xml:space="preserve">Is the efficacy of nutritional vitamin D (cholecalciferol) comparable to active vitamin D (calcitriol) as maintenance therapy in dialysis dependent chronic kidney </w:t>
            </w:r>
            <w:proofErr w:type="gramStart"/>
            <w:r w:rsidRPr="002672C1">
              <w:rPr>
                <w:rFonts w:ascii="Gill Sans MT" w:hAnsi="Gill Sans MT"/>
                <w:sz w:val="18"/>
                <w:szCs w:val="18"/>
              </w:rPr>
              <w:t>disease  patients</w:t>
            </w:r>
            <w:proofErr w:type="gramEnd"/>
            <w:r w:rsidRPr="002672C1">
              <w:rPr>
                <w:rFonts w:ascii="Gill Sans MT" w:hAnsi="Gill Sans MT"/>
                <w:sz w:val="18"/>
                <w:szCs w:val="18"/>
              </w:rPr>
              <w:t>?</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Molnar, R</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The effect of immersive virtual reality in reducing preoperative anxiety in patients undergoing surgery</w:t>
            </w:r>
          </w:p>
        </w:tc>
      </w:tr>
      <w:tr w:rsidR="002672C1" w:rsidRPr="002672C1" w:rsidTr="002672C1">
        <w:trPr>
          <w:trHeight w:hRule="exact" w:val="282"/>
        </w:trPr>
        <w:tc>
          <w:tcPr>
            <w:tcW w:w="1328"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Cooper, D;</w:t>
            </w:r>
          </w:p>
        </w:tc>
        <w:tc>
          <w:tcPr>
            <w:tcW w:w="911"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RHH</w:t>
            </w:r>
          </w:p>
        </w:tc>
        <w:tc>
          <w:tcPr>
            <w:tcW w:w="7047"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The Augmented versus Routine approach to Giving Energy Trial A randomised controlled trial.</w:t>
            </w:r>
          </w:p>
        </w:tc>
      </w:tr>
      <w:tr w:rsidR="002672C1" w:rsidRPr="002672C1" w:rsidTr="002672C1">
        <w:trPr>
          <w:trHeight w:hRule="exact" w:val="399"/>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35" w:lineRule="auto"/>
              <w:ind w:left="74" w:right="70"/>
              <w:rPr>
                <w:rFonts w:ascii="Gill Sans MT" w:hAnsi="Gill Sans MT"/>
                <w:sz w:val="18"/>
                <w:szCs w:val="18"/>
              </w:rPr>
            </w:pPr>
            <w:r w:rsidRPr="002672C1">
              <w:rPr>
                <w:rFonts w:ascii="Gill Sans MT" w:hAnsi="Gill Sans MT"/>
                <w:sz w:val="18"/>
                <w:szCs w:val="18"/>
              </w:rPr>
              <w:t>McAllister, R; Costelloe, K;</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before="156"/>
              <w:ind w:left="74"/>
              <w:rPr>
                <w:rFonts w:ascii="Gill Sans MT" w:hAnsi="Gill Sans MT"/>
                <w:sz w:val="18"/>
                <w:szCs w:val="18"/>
              </w:rPr>
            </w:pPr>
            <w:r w:rsidRPr="002672C1">
              <w:rPr>
                <w:rFonts w:ascii="Gill Sans MT" w:hAnsi="Gill Sans MT"/>
                <w:sz w:val="18"/>
                <w:szCs w:val="18"/>
              </w:rPr>
              <w:t>LGH</w:t>
            </w: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The TARGET Nutrition Study</w:t>
            </w:r>
          </w:p>
        </w:tc>
      </w:tr>
      <w:tr w:rsidR="002672C1" w:rsidRPr="002672C1" w:rsidTr="002672C1">
        <w:trPr>
          <w:trHeight w:hRule="exact" w:val="200"/>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Brain, MJ;</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239"/>
        </w:trPr>
        <w:tc>
          <w:tcPr>
            <w:tcW w:w="1328"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Mineall, S</w:t>
            </w:r>
          </w:p>
        </w:tc>
        <w:tc>
          <w:tcPr>
            <w:tcW w:w="911"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Sharma, S; Padinharakam, S</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A Phase 3, Randomized, Controlled, Mulit-Center, Open-Label Study to Compare Tivozanib Hydrochloride to Sorafenib in Subjects With Refractory Advanced Renal Cell</w:t>
            </w: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Gauden, S; Bell, M</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254"/>
              <w:rPr>
                <w:rFonts w:ascii="Gill Sans MT" w:hAnsi="Gill Sans MT"/>
                <w:sz w:val="18"/>
                <w:szCs w:val="18"/>
              </w:rPr>
            </w:pPr>
            <w:r w:rsidRPr="002672C1">
              <w:rPr>
                <w:rFonts w:ascii="Gill Sans MT" w:hAnsi="Gill Sans MT"/>
                <w:sz w:val="18"/>
                <w:szCs w:val="18"/>
              </w:rPr>
              <w:t>VERTU: A Ranomised Phase II Study of Veliparib + Radiotherapy (RT) with adjuvant Temozolamide (TMZ) + Veliparib versus standard RT + TMZ followed by TMZ in patients with newly diagnosed glioblastoma (GBM) with unmethylated O (6)-methylguanine -DNA methyltransferase (MGMT)</w:t>
            </w:r>
          </w:p>
        </w:tc>
      </w:tr>
      <w:tr w:rsidR="002672C1" w:rsidRPr="002672C1" w:rsidTr="002672C1">
        <w:trPr>
          <w:trHeight w:hRule="exact" w:val="7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356"/>
              <w:rPr>
                <w:rFonts w:ascii="Gill Sans MT" w:hAnsi="Gill Sans MT"/>
                <w:sz w:val="18"/>
                <w:szCs w:val="18"/>
              </w:rPr>
            </w:pPr>
            <w:r w:rsidRPr="002672C1">
              <w:rPr>
                <w:rFonts w:ascii="Gill Sans MT" w:hAnsi="Gill Sans MT"/>
                <w:sz w:val="18"/>
                <w:szCs w:val="18"/>
              </w:rPr>
              <w:t>Barr, C; Rathjen, A; Cannell, J</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The utility of pedometers in improving mobility outcomes in inpatient rehabilitation - pilot RCT</w:t>
            </w:r>
          </w:p>
        </w:tc>
      </w:tr>
      <w:tr w:rsidR="002672C1" w:rsidRPr="002672C1" w:rsidTr="002672C1">
        <w:trPr>
          <w:trHeight w:hRule="exact" w:val="5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Edis, D; Shkolnikova, J</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Epidural steroid injections in prevention of lumbar spine surgery. Randomised controlled  trial</w:t>
            </w:r>
          </w:p>
        </w:tc>
      </w:tr>
      <w:tr w:rsidR="002672C1" w:rsidRPr="002672C1" w:rsidTr="002672C1">
        <w:trPr>
          <w:trHeight w:hRule="exact" w:val="282"/>
        </w:trPr>
        <w:tc>
          <w:tcPr>
            <w:tcW w:w="1328"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Cooper, D;</w:t>
            </w:r>
          </w:p>
        </w:tc>
        <w:tc>
          <w:tcPr>
            <w:tcW w:w="911"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RHH</w:t>
            </w:r>
          </w:p>
        </w:tc>
        <w:tc>
          <w:tcPr>
            <w:tcW w:w="7047" w:type="dxa"/>
            <w:tcBorders>
              <w:top w:val="single" w:sz="5" w:space="0" w:color="004D8F"/>
              <w:left w:val="single" w:sz="6" w:space="0" w:color="004D8F"/>
              <w:bottom w:val="nil"/>
              <w:right w:val="single" w:sz="6" w:space="0" w:color="004D8F"/>
            </w:tcBorders>
            <w:shd w:val="clear" w:color="auto" w:fill="auto"/>
          </w:tcPr>
          <w:p w:rsidR="002672C1" w:rsidRPr="002672C1" w:rsidRDefault="002672C1" w:rsidP="00EB7B26">
            <w:pPr>
              <w:pStyle w:val="TableParagraph"/>
              <w:spacing w:before="72"/>
              <w:ind w:left="73"/>
              <w:rPr>
                <w:rFonts w:ascii="Gill Sans MT" w:hAnsi="Gill Sans MT"/>
                <w:sz w:val="18"/>
                <w:szCs w:val="18"/>
              </w:rPr>
            </w:pPr>
            <w:r w:rsidRPr="002672C1">
              <w:rPr>
                <w:rFonts w:ascii="Gill Sans MT" w:hAnsi="Gill Sans MT"/>
                <w:sz w:val="18"/>
                <w:szCs w:val="18"/>
              </w:rPr>
              <w:t>Proton Pump Inhibitors vs. Histamine-2 Receptor Blockers for Ulcer Prophylaxis Therapy  in</w:t>
            </w:r>
          </w:p>
        </w:tc>
      </w:tr>
      <w:tr w:rsidR="002672C1" w:rsidRPr="002672C1" w:rsidTr="002672C1">
        <w:trPr>
          <w:trHeight w:hRule="exact" w:val="399"/>
        </w:trPr>
        <w:tc>
          <w:tcPr>
            <w:tcW w:w="1328"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35" w:lineRule="auto"/>
              <w:ind w:left="74" w:right="70"/>
              <w:rPr>
                <w:rFonts w:ascii="Gill Sans MT" w:hAnsi="Gill Sans MT"/>
                <w:sz w:val="18"/>
                <w:szCs w:val="18"/>
              </w:rPr>
            </w:pPr>
            <w:r w:rsidRPr="002672C1">
              <w:rPr>
                <w:rFonts w:ascii="Gill Sans MT" w:hAnsi="Gill Sans MT"/>
                <w:sz w:val="18"/>
                <w:szCs w:val="18"/>
              </w:rPr>
              <w:t>McAllister, R; Brain, MJ;</w:t>
            </w:r>
          </w:p>
        </w:tc>
        <w:tc>
          <w:tcPr>
            <w:tcW w:w="911"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before="156"/>
              <w:ind w:left="74"/>
              <w:rPr>
                <w:rFonts w:ascii="Gill Sans MT" w:hAnsi="Gill Sans MT"/>
                <w:sz w:val="18"/>
                <w:szCs w:val="18"/>
              </w:rPr>
            </w:pPr>
            <w:r w:rsidRPr="002672C1">
              <w:rPr>
                <w:rFonts w:ascii="Gill Sans MT" w:hAnsi="Gill Sans MT"/>
                <w:sz w:val="18"/>
                <w:szCs w:val="18"/>
              </w:rPr>
              <w:t>LGH</w:t>
            </w:r>
          </w:p>
        </w:tc>
        <w:tc>
          <w:tcPr>
            <w:tcW w:w="7047" w:type="dxa"/>
            <w:tcBorders>
              <w:top w:val="nil"/>
              <w:left w:val="single" w:sz="6" w:space="0" w:color="004D8F"/>
              <w:bottom w:val="nil"/>
              <w:right w:val="single" w:sz="6" w:space="0" w:color="004D8F"/>
            </w:tcBorders>
            <w:shd w:val="clear" w:color="auto" w:fill="auto"/>
          </w:tcPr>
          <w:p w:rsidR="002672C1" w:rsidRPr="002672C1" w:rsidRDefault="002672C1" w:rsidP="00EB7B26">
            <w:pPr>
              <w:pStyle w:val="TableParagraph"/>
              <w:spacing w:line="201" w:lineRule="exact"/>
              <w:ind w:left="73"/>
              <w:rPr>
                <w:rFonts w:ascii="Gill Sans MT" w:hAnsi="Gill Sans MT"/>
                <w:sz w:val="18"/>
                <w:szCs w:val="18"/>
              </w:rPr>
            </w:pPr>
            <w:r w:rsidRPr="002672C1">
              <w:rPr>
                <w:rFonts w:ascii="Gill Sans MT" w:hAnsi="Gill Sans MT"/>
                <w:sz w:val="18"/>
                <w:szCs w:val="18"/>
              </w:rPr>
              <w:t>the Intensive Care Unit (PEPTIC)</w:t>
            </w:r>
          </w:p>
        </w:tc>
      </w:tr>
      <w:tr w:rsidR="002672C1" w:rsidRPr="002672C1" w:rsidTr="002672C1">
        <w:trPr>
          <w:trHeight w:hRule="exact" w:val="239"/>
        </w:trPr>
        <w:tc>
          <w:tcPr>
            <w:tcW w:w="1328"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line="202" w:lineRule="exact"/>
              <w:ind w:left="74"/>
              <w:rPr>
                <w:rFonts w:ascii="Gill Sans MT" w:hAnsi="Gill Sans MT"/>
                <w:sz w:val="18"/>
                <w:szCs w:val="18"/>
              </w:rPr>
            </w:pPr>
            <w:r w:rsidRPr="002672C1">
              <w:rPr>
                <w:rFonts w:ascii="Gill Sans MT" w:hAnsi="Gill Sans MT"/>
                <w:sz w:val="18"/>
                <w:szCs w:val="18"/>
              </w:rPr>
              <w:t>Mineall, S</w:t>
            </w:r>
          </w:p>
        </w:tc>
        <w:tc>
          <w:tcPr>
            <w:tcW w:w="911"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c>
          <w:tcPr>
            <w:tcW w:w="7047" w:type="dxa"/>
            <w:tcBorders>
              <w:top w:val="nil"/>
              <w:left w:val="single" w:sz="6" w:space="0" w:color="004D8F"/>
              <w:bottom w:val="single" w:sz="5" w:space="0" w:color="004D8F"/>
              <w:right w:val="single" w:sz="6" w:space="0" w:color="004D8F"/>
            </w:tcBorders>
            <w:shd w:val="clear" w:color="auto" w:fill="auto"/>
          </w:tcPr>
          <w:p w:rsidR="002672C1" w:rsidRPr="002672C1" w:rsidRDefault="002672C1" w:rsidP="00EB7B26">
            <w:pPr>
              <w:rPr>
                <w:rFonts w:ascii="Gill Sans MT" w:hAnsi="Gill Sans MT"/>
                <w:sz w:val="18"/>
                <w:szCs w:val="18"/>
              </w:rPr>
            </w:pPr>
          </w:p>
        </w:tc>
      </w:tr>
      <w:tr w:rsidR="002672C1" w:rsidRPr="002672C1" w:rsidTr="002672C1">
        <w:trPr>
          <w:trHeight w:hRule="exact" w:val="920"/>
        </w:trPr>
        <w:tc>
          <w:tcPr>
            <w:tcW w:w="1328"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Tryambake, D; Singh, B</w:t>
            </w:r>
          </w:p>
        </w:tc>
        <w:tc>
          <w:tcPr>
            <w:tcW w:w="911"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5"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324"/>
              <w:rPr>
                <w:rFonts w:ascii="Gill Sans MT" w:hAnsi="Gill Sans MT"/>
                <w:sz w:val="18"/>
                <w:szCs w:val="18"/>
              </w:rPr>
            </w:pPr>
            <w:r w:rsidRPr="002672C1">
              <w:rPr>
                <w:rFonts w:ascii="Gill Sans MT" w:hAnsi="Gill Sans MT"/>
                <w:sz w:val="18"/>
                <w:szCs w:val="18"/>
              </w:rPr>
              <w:t>Multicenter, randomized, double-blind, double-dummy, active-comparator, event-driven, superiority phase III study of secondary prevention of stroke and prevention of systemic embolism in patients with a recent Embolic Stroke of Undetermined Source (ESUS), comparing rivaroxaban 15 mg once daily with aspirin 100 mg (NAVIGATE ESUS)</w:t>
            </w:r>
          </w:p>
        </w:tc>
      </w:tr>
      <w:tr w:rsidR="002672C1" w:rsidRPr="002672C1" w:rsidTr="002672C1">
        <w:trPr>
          <w:trHeight w:hRule="exact" w:val="720"/>
        </w:trPr>
        <w:tc>
          <w:tcPr>
            <w:tcW w:w="1328"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4" w:right="70"/>
              <w:rPr>
                <w:rFonts w:ascii="Gill Sans MT" w:hAnsi="Gill Sans MT"/>
                <w:sz w:val="18"/>
                <w:szCs w:val="18"/>
              </w:rPr>
            </w:pPr>
            <w:r w:rsidRPr="002672C1">
              <w:rPr>
                <w:rFonts w:ascii="Gill Sans MT" w:hAnsi="Gill Sans MT"/>
                <w:sz w:val="18"/>
                <w:szCs w:val="18"/>
              </w:rPr>
              <w:t>Lockstone, J; Boden, I</w:t>
            </w:r>
          </w:p>
        </w:tc>
        <w:tc>
          <w:tcPr>
            <w:tcW w:w="911"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2"/>
              <w:ind w:left="74"/>
              <w:rPr>
                <w:rFonts w:ascii="Gill Sans MT" w:hAnsi="Gill Sans MT"/>
                <w:sz w:val="18"/>
                <w:szCs w:val="18"/>
              </w:rPr>
            </w:pPr>
            <w:r w:rsidRPr="002672C1">
              <w:rPr>
                <w:rFonts w:ascii="Gill Sans MT" w:hAnsi="Gill Sans MT"/>
                <w:sz w:val="18"/>
                <w:szCs w:val="18"/>
              </w:rPr>
              <w:t>LGH</w:t>
            </w:r>
          </w:p>
        </w:tc>
        <w:tc>
          <w:tcPr>
            <w:tcW w:w="7047" w:type="dxa"/>
            <w:tcBorders>
              <w:top w:val="single" w:sz="5" w:space="0" w:color="004D8F"/>
              <w:left w:val="single" w:sz="6" w:space="0" w:color="004D8F"/>
              <w:bottom w:val="single" w:sz="6" w:space="0" w:color="004D8F"/>
              <w:right w:val="single" w:sz="6" w:space="0" w:color="004D8F"/>
            </w:tcBorders>
            <w:shd w:val="clear" w:color="auto" w:fill="auto"/>
          </w:tcPr>
          <w:p w:rsidR="002672C1" w:rsidRPr="002672C1" w:rsidRDefault="002672C1" w:rsidP="00EB7B26">
            <w:pPr>
              <w:pStyle w:val="TableParagraph"/>
              <w:spacing w:before="74" w:line="200" w:lineRule="exact"/>
              <w:ind w:left="73" w:right="504"/>
              <w:jc w:val="both"/>
              <w:rPr>
                <w:rFonts w:ascii="Gill Sans MT" w:hAnsi="Gill Sans MT"/>
                <w:sz w:val="18"/>
                <w:szCs w:val="18"/>
              </w:rPr>
            </w:pPr>
            <w:r w:rsidRPr="002672C1">
              <w:rPr>
                <w:rFonts w:ascii="Gill Sans MT" w:hAnsi="Gill Sans MT"/>
                <w:sz w:val="18"/>
                <w:szCs w:val="18"/>
              </w:rPr>
              <w:t>Has the implementation of non-invasive ventilation (NIV) therapy to prevent respiratory complications in high-risk patients had an impact on respiratory complication rates at the Launceston General Hospital?</w:t>
            </w:r>
          </w:p>
        </w:tc>
      </w:tr>
    </w:tbl>
    <w:p w:rsidR="00EB7B26" w:rsidRDefault="00EB7B26" w:rsidP="002672C1"/>
    <w:p w:rsidR="00EB7B26" w:rsidRDefault="00EB7B26">
      <w:r>
        <w:br w:type="page"/>
      </w:r>
    </w:p>
    <w:tbl>
      <w:tblPr>
        <w:tblW w:w="0" w:type="auto"/>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left w:w="0" w:type="dxa"/>
          <w:right w:w="0" w:type="dxa"/>
        </w:tblCellMar>
        <w:tblLook w:val="01E0" w:firstRow="1" w:lastRow="1" w:firstColumn="1" w:lastColumn="1" w:noHBand="0" w:noVBand="0"/>
      </w:tblPr>
      <w:tblGrid>
        <w:gridCol w:w="1328"/>
        <w:gridCol w:w="911"/>
        <w:gridCol w:w="7047"/>
      </w:tblGrid>
      <w:tr w:rsidR="00EB7B26" w:rsidRPr="00EB7B26" w:rsidTr="00EB7B26">
        <w:trPr>
          <w:trHeight w:hRule="exact" w:val="301"/>
        </w:trPr>
        <w:tc>
          <w:tcPr>
            <w:tcW w:w="1328"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51"/>
              <w:ind w:left="80"/>
              <w:rPr>
                <w:rFonts w:ascii="Gill Sans MT" w:hAnsi="Gill Sans MT"/>
                <w:b/>
                <w:sz w:val="18"/>
              </w:rPr>
            </w:pPr>
            <w:r w:rsidRPr="00EB7B26">
              <w:rPr>
                <w:rFonts w:ascii="Gill Sans MT" w:hAnsi="Gill Sans MT"/>
                <w:b/>
                <w:sz w:val="18"/>
              </w:rPr>
              <w:lastRenderedPageBreak/>
              <w:t>Researchers</w:t>
            </w:r>
          </w:p>
        </w:tc>
        <w:tc>
          <w:tcPr>
            <w:tcW w:w="911"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51"/>
              <w:ind w:left="74"/>
              <w:rPr>
                <w:rFonts w:ascii="Gill Sans MT" w:hAnsi="Gill Sans MT"/>
                <w:b/>
                <w:sz w:val="18"/>
              </w:rPr>
            </w:pPr>
            <w:r w:rsidRPr="00EB7B26">
              <w:rPr>
                <w:rFonts w:ascii="Gill Sans MT" w:hAnsi="Gill Sans MT"/>
                <w:b/>
                <w:sz w:val="18"/>
              </w:rPr>
              <w:t>Location</w:t>
            </w:r>
          </w:p>
        </w:tc>
        <w:tc>
          <w:tcPr>
            <w:tcW w:w="7047"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51"/>
              <w:ind w:left="73"/>
              <w:rPr>
                <w:rFonts w:ascii="Gill Sans MT" w:hAnsi="Gill Sans MT"/>
                <w:b/>
                <w:sz w:val="18"/>
              </w:rPr>
            </w:pPr>
            <w:r w:rsidRPr="00EB7B26">
              <w:rPr>
                <w:rFonts w:ascii="Gill Sans MT" w:hAnsi="Gill Sans MT"/>
                <w:b/>
                <w:sz w:val="18"/>
              </w:rPr>
              <w:t>Project</w:t>
            </w:r>
          </w:p>
        </w:tc>
      </w:tr>
      <w:tr w:rsidR="00EB7B26" w:rsidRPr="00EB7B26" w:rsidTr="00EB7B26">
        <w:trPr>
          <w:trHeight w:hRule="exact" w:val="720"/>
        </w:trPr>
        <w:tc>
          <w:tcPr>
            <w:tcW w:w="1328" w:type="dxa"/>
            <w:tcBorders>
              <w:top w:val="single" w:sz="6" w:space="0" w:color="auto"/>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80" w:line="200" w:lineRule="exact"/>
              <w:ind w:left="73" w:right="356"/>
              <w:rPr>
                <w:rFonts w:ascii="Gill Sans MT" w:hAnsi="Gill Sans MT"/>
                <w:sz w:val="18"/>
              </w:rPr>
            </w:pPr>
            <w:r w:rsidRPr="00EB7B26">
              <w:rPr>
                <w:rFonts w:ascii="Gill Sans MT" w:hAnsi="Gill Sans MT"/>
                <w:sz w:val="18"/>
              </w:rPr>
              <w:t>Mathew, M; Raj, R; Cooke, D</w:t>
            </w:r>
          </w:p>
        </w:tc>
        <w:tc>
          <w:tcPr>
            <w:tcW w:w="911" w:type="dxa"/>
            <w:tcBorders>
              <w:top w:val="single" w:sz="6" w:space="0" w:color="auto"/>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8"/>
              <w:ind w:left="74"/>
              <w:rPr>
                <w:rFonts w:ascii="Gill Sans MT" w:hAnsi="Gill Sans MT"/>
                <w:sz w:val="18"/>
              </w:rPr>
            </w:pPr>
            <w:r w:rsidRPr="00EB7B26">
              <w:rPr>
                <w:rFonts w:ascii="Gill Sans MT" w:hAnsi="Gill Sans MT"/>
                <w:sz w:val="18"/>
              </w:rPr>
              <w:t>LGH</w:t>
            </w:r>
          </w:p>
        </w:tc>
        <w:tc>
          <w:tcPr>
            <w:tcW w:w="7047" w:type="dxa"/>
            <w:tcBorders>
              <w:top w:val="single" w:sz="6" w:space="0" w:color="auto"/>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80" w:line="200" w:lineRule="exact"/>
              <w:ind w:left="73" w:right="251"/>
              <w:rPr>
                <w:rFonts w:ascii="Gill Sans MT" w:hAnsi="Gill Sans MT"/>
                <w:sz w:val="18"/>
              </w:rPr>
            </w:pPr>
            <w:r w:rsidRPr="00EB7B26">
              <w:rPr>
                <w:rFonts w:ascii="Gill Sans MT" w:hAnsi="Gill Sans MT"/>
                <w:sz w:val="18"/>
              </w:rPr>
              <w:t>156-13-211. A Phase 3b, Multi-centre, Open-label Trial to Evaluate the Long Term Safety of Immediate-release Tolvaptan (OPC 41061, 30 mg to 120 mg/day, Split dose) in Subjects with Autosomal Dominant Polycystic Kidney Disease</w:t>
            </w:r>
          </w:p>
        </w:tc>
      </w:tr>
      <w:tr w:rsidR="00EB7B26" w:rsidRPr="00EB7B26" w:rsidTr="00EB7B26">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2"/>
              <w:ind w:left="73"/>
              <w:rPr>
                <w:rFonts w:ascii="Gill Sans MT" w:hAnsi="Gill Sans MT"/>
                <w:sz w:val="18"/>
              </w:rPr>
            </w:pPr>
            <w:r w:rsidRPr="00EB7B26">
              <w:rPr>
                <w:rFonts w:ascii="Gill Sans MT" w:hAnsi="Gill Sans MT"/>
                <w:sz w:val="18"/>
              </w:rPr>
              <w:t>Gauden, S</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2"/>
              <w:ind w:left="74"/>
              <w:rPr>
                <w:rFonts w:ascii="Gill Sans MT" w:hAnsi="Gill Sans MT"/>
                <w:sz w:val="18"/>
              </w:rPr>
            </w:pPr>
            <w:r w:rsidRPr="00EB7B26">
              <w:rPr>
                <w:rFonts w:ascii="Gill Sans MT" w:hAnsi="Gill Sans MT"/>
                <w:sz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4" w:line="200" w:lineRule="exact"/>
              <w:ind w:left="73" w:right="254"/>
              <w:rPr>
                <w:rFonts w:ascii="Gill Sans MT" w:hAnsi="Gill Sans MT"/>
                <w:sz w:val="18"/>
              </w:rPr>
            </w:pPr>
            <w:r w:rsidRPr="00EB7B26">
              <w:rPr>
                <w:rFonts w:ascii="Gill Sans MT" w:hAnsi="Gill Sans MT"/>
                <w:sz w:val="18"/>
              </w:rPr>
              <w:t>A Ph1 Escalation and Ph2 Randomized, Placebo-Controlled Study of the Efficacy and Tolerability of Veliparib in Combination with Pac/Carboplatin-Based Chemoradiotherapy Followed by Veliparib and Pac/Carboplatin Consolidation in Subjects Stage III  NSCLC</w:t>
            </w:r>
          </w:p>
        </w:tc>
      </w:tr>
      <w:tr w:rsidR="00EB7B26" w:rsidRPr="00EB7B26" w:rsidTr="00EB7B26">
        <w:trPr>
          <w:trHeight w:hRule="exact" w:val="720"/>
        </w:trPr>
        <w:tc>
          <w:tcPr>
            <w:tcW w:w="1328"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4" w:line="200" w:lineRule="exact"/>
              <w:ind w:left="73" w:right="70"/>
              <w:rPr>
                <w:rFonts w:ascii="Gill Sans MT" w:hAnsi="Gill Sans MT"/>
                <w:sz w:val="18"/>
              </w:rPr>
            </w:pPr>
            <w:r w:rsidRPr="00EB7B26">
              <w:rPr>
                <w:rFonts w:ascii="Gill Sans MT" w:hAnsi="Gill Sans MT"/>
                <w:sz w:val="18"/>
              </w:rPr>
              <w:t>Mathew, M; Cooke, D; Ng, Chau Wang</w:t>
            </w:r>
          </w:p>
        </w:tc>
        <w:tc>
          <w:tcPr>
            <w:tcW w:w="911"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2"/>
              <w:ind w:left="74"/>
              <w:rPr>
                <w:rFonts w:ascii="Gill Sans MT" w:hAnsi="Gill Sans MT"/>
                <w:sz w:val="18"/>
              </w:rPr>
            </w:pPr>
            <w:r w:rsidRPr="00EB7B26">
              <w:rPr>
                <w:rFonts w:ascii="Gill Sans MT" w:hAnsi="Gill Sans MT"/>
                <w:sz w:val="18"/>
              </w:rPr>
              <w:t>LGH</w:t>
            </w:r>
          </w:p>
        </w:tc>
        <w:tc>
          <w:tcPr>
            <w:tcW w:w="7047" w:type="dxa"/>
            <w:tcBorders>
              <w:top w:val="single" w:sz="6" w:space="0" w:color="004D8F"/>
              <w:left w:val="single" w:sz="6" w:space="0" w:color="004D8F"/>
              <w:bottom w:val="single" w:sz="6" w:space="0" w:color="004D8F"/>
              <w:right w:val="single" w:sz="6" w:space="0" w:color="004D8F"/>
            </w:tcBorders>
            <w:shd w:val="clear" w:color="auto" w:fill="auto"/>
          </w:tcPr>
          <w:p w:rsidR="00EB7B26" w:rsidRPr="00EB7B26" w:rsidRDefault="00EB7B26" w:rsidP="00EB7B26">
            <w:pPr>
              <w:pStyle w:val="TableParagraph"/>
              <w:spacing w:before="74" w:line="200" w:lineRule="exact"/>
              <w:ind w:left="73" w:right="254"/>
              <w:rPr>
                <w:rFonts w:ascii="Gill Sans MT" w:hAnsi="Gill Sans MT"/>
                <w:sz w:val="18"/>
              </w:rPr>
            </w:pPr>
            <w:r w:rsidRPr="00EB7B26">
              <w:rPr>
                <w:rFonts w:ascii="Gill Sans MT" w:hAnsi="Gill Sans MT"/>
                <w:sz w:val="18"/>
              </w:rPr>
              <w:t>Treatment of Proteinuria Due to Treatment Resistant or Treatment Intolerant Idiopathic Focal Segmental Glomerulosclerosis: A 2-Part Prospective Study of H.P. Acthar Gel (PODOCYTE)</w:t>
            </w:r>
          </w:p>
        </w:tc>
      </w:tr>
    </w:tbl>
    <w:p w:rsidR="002672C1" w:rsidRDefault="002672C1" w:rsidP="002672C1"/>
    <w:p w:rsidR="00EB7B26" w:rsidRDefault="00EB7B26" w:rsidP="00EB7B26">
      <w:pPr>
        <w:pStyle w:val="Heading4"/>
      </w:pPr>
      <w:r>
        <w:t>Current Clinical Trials and Research South</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2749"/>
        <w:gridCol w:w="2117"/>
        <w:gridCol w:w="1612"/>
        <w:gridCol w:w="2850"/>
      </w:tblGrid>
      <w:tr w:rsidR="00EB7B26" w:rsidRPr="00EB7B26" w:rsidTr="00EB7B26">
        <w:trPr>
          <w:trHeight w:hRule="exact" w:val="329"/>
        </w:trPr>
        <w:tc>
          <w:tcPr>
            <w:tcW w:w="2749"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79"/>
              <w:ind w:left="80"/>
              <w:rPr>
                <w:rFonts w:ascii="Gill Sans MT" w:hAnsi="Gill Sans MT"/>
                <w:b/>
                <w:sz w:val="18"/>
                <w:szCs w:val="18"/>
              </w:rPr>
            </w:pPr>
            <w:r w:rsidRPr="00EB7B26">
              <w:rPr>
                <w:rFonts w:ascii="Gill Sans MT" w:hAnsi="Gill Sans MT"/>
                <w:b/>
                <w:sz w:val="18"/>
                <w:szCs w:val="18"/>
              </w:rPr>
              <w:t>Study name</w:t>
            </w:r>
          </w:p>
        </w:tc>
        <w:tc>
          <w:tcPr>
            <w:tcW w:w="2117"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79"/>
              <w:ind w:left="76"/>
              <w:rPr>
                <w:rFonts w:ascii="Gill Sans MT" w:hAnsi="Gill Sans MT"/>
                <w:b/>
                <w:sz w:val="18"/>
                <w:szCs w:val="18"/>
              </w:rPr>
            </w:pPr>
            <w:r w:rsidRPr="00EB7B26">
              <w:rPr>
                <w:rFonts w:ascii="Gill Sans MT" w:hAnsi="Gill Sans MT"/>
                <w:b/>
                <w:sz w:val="18"/>
                <w:szCs w:val="18"/>
              </w:rPr>
              <w:t>Sponsor</w:t>
            </w:r>
          </w:p>
        </w:tc>
        <w:tc>
          <w:tcPr>
            <w:tcW w:w="1612"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79"/>
              <w:ind w:left="76"/>
              <w:rPr>
                <w:rFonts w:ascii="Gill Sans MT" w:hAnsi="Gill Sans MT"/>
                <w:b/>
                <w:sz w:val="18"/>
                <w:szCs w:val="18"/>
              </w:rPr>
            </w:pPr>
            <w:r w:rsidRPr="00EB7B26">
              <w:rPr>
                <w:rFonts w:ascii="Gill Sans MT" w:hAnsi="Gill Sans MT"/>
                <w:b/>
                <w:sz w:val="18"/>
                <w:szCs w:val="18"/>
              </w:rPr>
              <w:t>Department</w:t>
            </w:r>
          </w:p>
        </w:tc>
        <w:tc>
          <w:tcPr>
            <w:tcW w:w="2850" w:type="dxa"/>
            <w:tcBorders>
              <w:top w:val="single" w:sz="6" w:space="0" w:color="auto"/>
              <w:left w:val="single" w:sz="6" w:space="0" w:color="auto"/>
              <w:bottom w:val="single" w:sz="6" w:space="0" w:color="auto"/>
              <w:right w:val="single" w:sz="6" w:space="0" w:color="auto"/>
            </w:tcBorders>
            <w:shd w:val="clear" w:color="auto" w:fill="auto"/>
          </w:tcPr>
          <w:p w:rsidR="00EB7B26" w:rsidRPr="00EB7B26" w:rsidRDefault="00EB7B26" w:rsidP="00EB7B26">
            <w:pPr>
              <w:pStyle w:val="TableParagraph"/>
              <w:spacing w:before="79"/>
              <w:ind w:left="76"/>
              <w:rPr>
                <w:rFonts w:ascii="Gill Sans MT" w:hAnsi="Gill Sans MT"/>
                <w:b/>
                <w:sz w:val="18"/>
                <w:szCs w:val="18"/>
              </w:rPr>
            </w:pPr>
            <w:r w:rsidRPr="00EB7B26">
              <w:rPr>
                <w:rFonts w:ascii="Gill Sans MT" w:hAnsi="Gill Sans MT"/>
                <w:b/>
                <w:sz w:val="18"/>
                <w:szCs w:val="18"/>
              </w:rPr>
              <w:t>Action required</w:t>
            </w:r>
          </w:p>
        </w:tc>
      </w:tr>
      <w:tr w:rsidR="00EB7B26" w:rsidRPr="00EB7B26" w:rsidTr="00EB7B26">
        <w:trPr>
          <w:trHeight w:hRule="exact" w:val="520"/>
        </w:trPr>
        <w:tc>
          <w:tcPr>
            <w:tcW w:w="2749" w:type="dxa"/>
            <w:tcBorders>
              <w:top w:val="single" w:sz="6"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80" w:line="200" w:lineRule="exact"/>
              <w:ind w:left="76" w:right="200"/>
              <w:rPr>
                <w:rFonts w:ascii="Gill Sans MT" w:hAnsi="Gill Sans MT"/>
                <w:sz w:val="18"/>
                <w:szCs w:val="18"/>
              </w:rPr>
            </w:pPr>
            <w:r w:rsidRPr="00EB7B26">
              <w:rPr>
                <w:rFonts w:ascii="Gill Sans MT" w:hAnsi="Gill Sans MT"/>
                <w:sz w:val="18"/>
                <w:szCs w:val="18"/>
              </w:rPr>
              <w:t>Dementia Care In Hospitals Program (DCHP)</w:t>
            </w:r>
          </w:p>
        </w:tc>
        <w:tc>
          <w:tcPr>
            <w:tcW w:w="2117" w:type="dxa"/>
            <w:tcBorders>
              <w:top w:val="single" w:sz="6"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80" w:line="200" w:lineRule="exact"/>
              <w:ind w:left="76"/>
              <w:rPr>
                <w:rFonts w:ascii="Gill Sans MT" w:hAnsi="Gill Sans MT"/>
                <w:sz w:val="18"/>
                <w:szCs w:val="18"/>
              </w:rPr>
            </w:pPr>
            <w:r w:rsidRPr="00EB7B26">
              <w:rPr>
                <w:rFonts w:ascii="Gill Sans MT" w:hAnsi="Gill Sans MT"/>
                <w:sz w:val="18"/>
                <w:szCs w:val="18"/>
              </w:rPr>
              <w:t>RHH &amp; Ballarat Health Services</w:t>
            </w:r>
          </w:p>
        </w:tc>
        <w:tc>
          <w:tcPr>
            <w:tcW w:w="1612" w:type="dxa"/>
            <w:tcBorders>
              <w:top w:val="single" w:sz="6"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80" w:line="200" w:lineRule="exact"/>
              <w:ind w:left="76" w:right="8"/>
              <w:rPr>
                <w:rFonts w:ascii="Gill Sans MT" w:hAnsi="Gill Sans MT"/>
                <w:sz w:val="18"/>
                <w:szCs w:val="18"/>
              </w:rPr>
            </w:pPr>
            <w:r w:rsidRPr="00EB7B26">
              <w:rPr>
                <w:rFonts w:ascii="Gill Sans MT" w:hAnsi="Gill Sans MT"/>
                <w:sz w:val="18"/>
                <w:szCs w:val="18"/>
              </w:rPr>
              <w:t>Aged Care &amp; Geriatric Medicine</w:t>
            </w:r>
          </w:p>
        </w:tc>
        <w:tc>
          <w:tcPr>
            <w:tcW w:w="2850" w:type="dxa"/>
            <w:tcBorders>
              <w:top w:val="single" w:sz="6"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8"/>
              <w:ind w:left="76"/>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ight="200"/>
              <w:rPr>
                <w:rFonts w:ascii="Gill Sans MT" w:hAnsi="Gill Sans MT"/>
                <w:sz w:val="18"/>
                <w:szCs w:val="18"/>
              </w:rPr>
            </w:pPr>
            <w:r w:rsidRPr="00EB7B26">
              <w:rPr>
                <w:rFonts w:ascii="Gill Sans MT" w:hAnsi="Gill Sans MT"/>
                <w:sz w:val="18"/>
                <w:szCs w:val="18"/>
              </w:rPr>
              <w:t>Evaluation of Intervention for Persistant Pain CNT 04861 -</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UTAS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Pr>
                <w:rFonts w:ascii="Gill Sans MT" w:hAnsi="Gill Sans MT"/>
                <w:sz w:val="18"/>
                <w:szCs w:val="18"/>
              </w:rPr>
            </w:pPr>
            <w:r w:rsidRPr="00EB7B26">
              <w:rPr>
                <w:rFonts w:ascii="Gill Sans MT" w:hAnsi="Gill Sans MT"/>
                <w:sz w:val="18"/>
                <w:szCs w:val="18"/>
              </w:rPr>
              <w:t>Allied Health - Psychology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Access Deed</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Laryegeal Mask Airway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Pr>
                <w:rFonts w:ascii="Gill Sans MT" w:hAnsi="Gill Sans MT"/>
                <w:sz w:val="18"/>
                <w:szCs w:val="18"/>
              </w:rPr>
            </w:pPr>
            <w:r w:rsidRPr="00EB7B26">
              <w:rPr>
                <w:rFonts w:ascii="Gill Sans MT" w:hAnsi="Gill Sans MT"/>
                <w:sz w:val="18"/>
                <w:szCs w:val="18"/>
              </w:rPr>
              <w:t>RHH Research Foundation funded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Anaesthesia</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Research Agreement</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ight="200"/>
              <w:rPr>
                <w:rFonts w:ascii="Gill Sans MT" w:hAnsi="Gill Sans MT"/>
                <w:sz w:val="18"/>
                <w:szCs w:val="18"/>
              </w:rPr>
            </w:pPr>
            <w:r w:rsidRPr="00EB7B26">
              <w:rPr>
                <w:rFonts w:ascii="Gill Sans MT" w:hAnsi="Gill Sans MT"/>
                <w:sz w:val="18"/>
                <w:szCs w:val="18"/>
              </w:rPr>
              <w:t>EXERTION the EXERcise stress Test collaboraTION Tasmanian Pilot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Cardiology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AHED</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Monash Health HREC</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ED</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ESSA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Emergency Dept</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PSP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NHMRC</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Emergency Dept</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00"/>
              <w:rPr>
                <w:rFonts w:ascii="Gill Sans MT" w:hAnsi="Gill Sans MT"/>
                <w:sz w:val="18"/>
                <w:szCs w:val="18"/>
              </w:rPr>
            </w:pPr>
            <w:r w:rsidRPr="00EB7B26">
              <w:rPr>
                <w:rFonts w:ascii="Gill Sans MT" w:hAnsi="Gill Sans MT"/>
                <w:sz w:val="18"/>
                <w:szCs w:val="18"/>
              </w:rPr>
              <w:t>Mixed Meal Challenge: A new diagnostic test for screening pre- diabetes</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Endocrinology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Australian Ovarian Cancer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Peter MacCallum Cancer Centre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Gynaecological 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Agreement</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00"/>
              <w:rPr>
                <w:rFonts w:ascii="Gill Sans MT" w:hAnsi="Gill Sans MT"/>
                <w:sz w:val="18"/>
                <w:szCs w:val="18"/>
              </w:rPr>
            </w:pPr>
            <w:r w:rsidRPr="00EB7B26">
              <w:rPr>
                <w:rFonts w:ascii="Gill Sans MT" w:hAnsi="Gill Sans MT"/>
                <w:sz w:val="18"/>
                <w:szCs w:val="18"/>
              </w:rPr>
              <w:t>TasGANS The Tasmanian Gynaecologial &amp; Anal Neoplasia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Gynaecological 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Merino II</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ID/Micro</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Agreement</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Merino II</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ID-Micro</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00"/>
              <w:rPr>
                <w:rFonts w:ascii="Gill Sans MT" w:hAnsi="Gill Sans MT"/>
                <w:sz w:val="18"/>
                <w:szCs w:val="18"/>
              </w:rPr>
            </w:pPr>
            <w:r w:rsidRPr="00EB7B26">
              <w:rPr>
                <w:rFonts w:ascii="Gill Sans MT" w:hAnsi="Gill Sans MT"/>
                <w:sz w:val="18"/>
                <w:szCs w:val="18"/>
              </w:rPr>
              <w:t>Performance of early school age children born pre-term</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RHH Research Foundation funded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Neonatal and Paed ICU</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Grant Agreement</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Genetic Basis of Epilepsy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Pr>
                <w:rFonts w:ascii="Gill Sans MT" w:hAnsi="Gill Sans MT"/>
                <w:sz w:val="18"/>
                <w:szCs w:val="18"/>
              </w:rPr>
            </w:pPr>
            <w:r w:rsidRPr="00EB7B26">
              <w:rPr>
                <w:rFonts w:ascii="Gill Sans MT" w:hAnsi="Gill Sans MT"/>
                <w:sz w:val="18"/>
                <w:szCs w:val="18"/>
              </w:rPr>
              <w:t>RHH Research Foundation funded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Neurology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Access Deed</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Prevalence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University of Sydney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Neurology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TABITHA</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BioGrid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Addendum</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Cancer Council Service Agreement</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Cancer Council</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Pr>
                <w:rFonts w:ascii="Gill Sans MT" w:hAnsi="Gill Sans MT"/>
                <w:sz w:val="18"/>
                <w:szCs w:val="18"/>
              </w:rPr>
            </w:pPr>
            <w:r w:rsidRPr="00EB7B26">
              <w:rPr>
                <w:rFonts w:ascii="Gill Sans MT" w:hAnsi="Gill Sans MT"/>
                <w:sz w:val="18"/>
                <w:szCs w:val="18"/>
              </w:rPr>
              <w:t>Revised Service Agreement as per Crown Law request</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ight="200"/>
              <w:rPr>
                <w:rFonts w:ascii="Gill Sans MT" w:hAnsi="Gill Sans MT"/>
                <w:sz w:val="18"/>
                <w:szCs w:val="18"/>
              </w:rPr>
            </w:pPr>
            <w:r w:rsidRPr="00EB7B26">
              <w:rPr>
                <w:rFonts w:ascii="Gill Sans MT" w:hAnsi="Gill Sans MT"/>
                <w:sz w:val="18"/>
                <w:szCs w:val="18"/>
              </w:rPr>
              <w:t>Australian Paediatric Cancer Registry (APCR)”</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Cancer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Registry Agreement</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Silver Diamine Flouride Pride</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8"/>
              <w:rPr>
                <w:rFonts w:ascii="Gill Sans MT" w:hAnsi="Gill Sans MT"/>
                <w:sz w:val="18"/>
                <w:szCs w:val="18"/>
              </w:rPr>
            </w:pPr>
            <w:r w:rsidRPr="00EB7B26">
              <w:rPr>
                <w:rFonts w:ascii="Gill Sans MT" w:hAnsi="Gill Sans MT"/>
                <w:sz w:val="18"/>
                <w:szCs w:val="18"/>
              </w:rPr>
              <w:t>UTAS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9"/>
              <w:rPr>
                <w:rFonts w:ascii="Gill Sans MT" w:hAnsi="Gill Sans MT"/>
                <w:sz w:val="18"/>
                <w:szCs w:val="18"/>
              </w:rPr>
            </w:pPr>
            <w:r w:rsidRPr="00EB7B26">
              <w:rPr>
                <w:rFonts w:ascii="Gill Sans MT" w:hAnsi="Gill Sans MT"/>
                <w:sz w:val="18"/>
                <w:szCs w:val="18"/>
              </w:rPr>
              <w:t>Oral Health</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5"/>
              <w:ind w:left="79"/>
              <w:rPr>
                <w:rFonts w:ascii="Gill Sans MT" w:hAnsi="Gill Sans MT"/>
                <w:sz w:val="18"/>
                <w:szCs w:val="18"/>
              </w:rPr>
            </w:pPr>
            <w:r w:rsidRPr="00EB7B26">
              <w:rPr>
                <w:rFonts w:ascii="Gill Sans MT" w:hAnsi="Gill Sans MT"/>
                <w:sz w:val="18"/>
                <w:szCs w:val="18"/>
              </w:rPr>
              <w:t>RGO Approval</w:t>
            </w:r>
          </w:p>
        </w:tc>
      </w:tr>
    </w:tbl>
    <w:p w:rsidR="00EB7B26" w:rsidRDefault="00EB7B26" w:rsidP="002672C1"/>
    <w:p w:rsidR="00EB7B26" w:rsidRDefault="00EB7B26">
      <w:r>
        <w:br w:type="page"/>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2749"/>
        <w:gridCol w:w="2117"/>
        <w:gridCol w:w="1612"/>
        <w:gridCol w:w="2850"/>
      </w:tblGrid>
      <w:tr w:rsidR="00EB7B26" w:rsidRPr="00EB7B26" w:rsidTr="00EB7B26">
        <w:trPr>
          <w:trHeight w:hRule="exact" w:val="327"/>
        </w:trPr>
        <w:tc>
          <w:tcPr>
            <w:tcW w:w="2749" w:type="dxa"/>
            <w:tcBorders>
              <w:top w:val="single" w:sz="4" w:space="0" w:color="auto"/>
              <w:left w:val="single" w:sz="4" w:space="0" w:color="auto"/>
              <w:bottom w:val="single" w:sz="4" w:space="0" w:color="auto"/>
              <w:right w:val="single" w:sz="4" w:space="0" w:color="auto"/>
            </w:tcBorders>
            <w:shd w:val="clear" w:color="auto" w:fill="auto"/>
          </w:tcPr>
          <w:p w:rsidR="00EB7B26" w:rsidRPr="00EB7B26" w:rsidRDefault="00EB7B26" w:rsidP="00EB7B26">
            <w:pPr>
              <w:pStyle w:val="TableParagraph"/>
              <w:spacing w:before="77"/>
              <w:ind w:left="80"/>
              <w:rPr>
                <w:rFonts w:ascii="Gill Sans MT" w:hAnsi="Gill Sans MT"/>
                <w:b/>
                <w:sz w:val="18"/>
                <w:szCs w:val="18"/>
              </w:rPr>
            </w:pPr>
            <w:r w:rsidRPr="00EB7B26">
              <w:rPr>
                <w:rFonts w:ascii="Gill Sans MT" w:hAnsi="Gill Sans MT"/>
                <w:b/>
                <w:sz w:val="18"/>
                <w:szCs w:val="18"/>
              </w:rPr>
              <w:lastRenderedPageBreak/>
              <w:t>Study name</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EB7B26" w:rsidRPr="00EB7B26" w:rsidRDefault="00EB7B26" w:rsidP="00EB7B26">
            <w:pPr>
              <w:pStyle w:val="TableParagraph"/>
              <w:spacing w:before="77"/>
              <w:ind w:left="76"/>
              <w:rPr>
                <w:rFonts w:ascii="Gill Sans MT" w:hAnsi="Gill Sans MT"/>
                <w:b/>
                <w:sz w:val="18"/>
                <w:szCs w:val="18"/>
              </w:rPr>
            </w:pPr>
            <w:r w:rsidRPr="00EB7B26">
              <w:rPr>
                <w:rFonts w:ascii="Gill Sans MT" w:hAnsi="Gill Sans MT"/>
                <w:b/>
                <w:sz w:val="18"/>
                <w:szCs w:val="18"/>
              </w:rPr>
              <w:t>Sponsor</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EB7B26" w:rsidRPr="00EB7B26" w:rsidRDefault="00EB7B26" w:rsidP="00EB7B26">
            <w:pPr>
              <w:pStyle w:val="TableParagraph"/>
              <w:spacing w:before="77"/>
              <w:ind w:left="76"/>
              <w:rPr>
                <w:rFonts w:ascii="Gill Sans MT" w:hAnsi="Gill Sans MT"/>
                <w:b/>
                <w:sz w:val="18"/>
                <w:szCs w:val="18"/>
              </w:rPr>
            </w:pPr>
            <w:r w:rsidRPr="00EB7B26">
              <w:rPr>
                <w:rFonts w:ascii="Gill Sans MT" w:hAnsi="Gill Sans MT"/>
                <w:b/>
                <w:sz w:val="18"/>
                <w:szCs w:val="18"/>
              </w:rPr>
              <w:t>Department</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EB7B26" w:rsidRPr="00EB7B26" w:rsidRDefault="00EB7B26" w:rsidP="00EB7B26">
            <w:pPr>
              <w:pStyle w:val="TableParagraph"/>
              <w:spacing w:before="77"/>
              <w:ind w:left="76"/>
              <w:rPr>
                <w:rFonts w:ascii="Gill Sans MT" w:hAnsi="Gill Sans MT"/>
                <w:b/>
                <w:sz w:val="18"/>
                <w:szCs w:val="18"/>
              </w:rPr>
            </w:pPr>
            <w:r w:rsidRPr="00EB7B26">
              <w:rPr>
                <w:rFonts w:ascii="Gill Sans MT" w:hAnsi="Gill Sans MT"/>
                <w:b/>
                <w:sz w:val="18"/>
                <w:szCs w:val="18"/>
              </w:rPr>
              <w:t>Action required</w:t>
            </w:r>
          </w:p>
        </w:tc>
      </w:tr>
      <w:tr w:rsidR="00EB7B26" w:rsidRPr="00EB7B26" w:rsidTr="00EB7B26">
        <w:trPr>
          <w:trHeight w:hRule="exact" w:val="320"/>
        </w:trPr>
        <w:tc>
          <w:tcPr>
            <w:tcW w:w="2749" w:type="dxa"/>
            <w:tcBorders>
              <w:top w:val="single" w:sz="4"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8"/>
              <w:ind w:left="76"/>
              <w:rPr>
                <w:rFonts w:ascii="Gill Sans MT" w:hAnsi="Gill Sans MT"/>
                <w:sz w:val="18"/>
                <w:szCs w:val="18"/>
              </w:rPr>
            </w:pPr>
            <w:r w:rsidRPr="00EB7B26">
              <w:rPr>
                <w:rFonts w:ascii="Gill Sans MT" w:hAnsi="Gill Sans MT"/>
                <w:sz w:val="18"/>
                <w:szCs w:val="18"/>
              </w:rPr>
              <w:t>SANTO - R1</w:t>
            </w:r>
          </w:p>
        </w:tc>
        <w:tc>
          <w:tcPr>
            <w:tcW w:w="2117" w:type="dxa"/>
            <w:tcBorders>
              <w:top w:val="single" w:sz="4"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8"/>
              <w:ind w:left="76"/>
              <w:rPr>
                <w:rFonts w:ascii="Gill Sans MT" w:hAnsi="Gill Sans MT"/>
                <w:sz w:val="18"/>
                <w:szCs w:val="18"/>
              </w:rPr>
            </w:pPr>
            <w:r w:rsidRPr="00EB7B26">
              <w:rPr>
                <w:rFonts w:ascii="Gill Sans MT" w:hAnsi="Gill Sans MT"/>
                <w:sz w:val="18"/>
                <w:szCs w:val="18"/>
              </w:rPr>
              <w:t>Fisher &amp; Paykel</w:t>
            </w:r>
          </w:p>
        </w:tc>
        <w:tc>
          <w:tcPr>
            <w:tcW w:w="1612" w:type="dxa"/>
            <w:tcBorders>
              <w:top w:val="single" w:sz="4"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8"/>
              <w:ind w:left="76"/>
              <w:rPr>
                <w:rFonts w:ascii="Gill Sans MT" w:hAnsi="Gill Sans MT"/>
                <w:sz w:val="18"/>
                <w:szCs w:val="18"/>
              </w:rPr>
            </w:pPr>
            <w:r w:rsidRPr="00EB7B26">
              <w:rPr>
                <w:rFonts w:ascii="Gill Sans MT" w:hAnsi="Gill Sans MT"/>
                <w:sz w:val="18"/>
                <w:szCs w:val="18"/>
              </w:rPr>
              <w:t>Paediatrics</w:t>
            </w:r>
          </w:p>
        </w:tc>
        <w:tc>
          <w:tcPr>
            <w:tcW w:w="2850" w:type="dxa"/>
            <w:tcBorders>
              <w:top w:val="single" w:sz="4" w:space="0" w:color="auto"/>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8"/>
              <w:ind w:left="76"/>
              <w:rPr>
                <w:rFonts w:ascii="Gill Sans MT" w:hAnsi="Gill Sans MT"/>
                <w:sz w:val="18"/>
                <w:szCs w:val="18"/>
              </w:rPr>
            </w:pPr>
            <w:r w:rsidRPr="00EB7B26">
              <w:rPr>
                <w:rFonts w:ascii="Gill Sans MT" w:hAnsi="Gill Sans MT"/>
                <w:sz w:val="18"/>
                <w:szCs w:val="18"/>
              </w:rPr>
              <w:t>Letter of Agreement</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SANTO-RI</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Paediatrics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SANTO-B</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Paediatrics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ight="200"/>
              <w:rPr>
                <w:rFonts w:ascii="Gill Sans MT" w:hAnsi="Gill Sans MT"/>
                <w:sz w:val="18"/>
                <w:szCs w:val="18"/>
              </w:rPr>
            </w:pPr>
            <w:r w:rsidRPr="00EB7B26">
              <w:rPr>
                <w:rFonts w:ascii="Gill Sans MT" w:hAnsi="Gill Sans MT"/>
                <w:sz w:val="18"/>
                <w:szCs w:val="18"/>
              </w:rPr>
              <w:t>An audit of emergency presentations of febrile children at RHH</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Paediatrics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6" w:right="144"/>
              <w:jc w:val="both"/>
              <w:rPr>
                <w:rFonts w:ascii="Gill Sans MT" w:hAnsi="Gill Sans MT"/>
                <w:sz w:val="18"/>
                <w:szCs w:val="18"/>
              </w:rPr>
            </w:pPr>
            <w:r w:rsidRPr="00EB7B26">
              <w:rPr>
                <w:rFonts w:ascii="Gill Sans MT" w:hAnsi="Gill Sans MT"/>
                <w:sz w:val="18"/>
                <w:szCs w:val="18"/>
              </w:rPr>
              <w:t>Dietitian Survey re current enteral feeding practices in Paed. Intensive Care Units</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6"/>
              <w:rPr>
                <w:rFonts w:ascii="Gill Sans MT" w:hAnsi="Gill Sans MT"/>
                <w:sz w:val="18"/>
                <w:szCs w:val="18"/>
              </w:rPr>
            </w:pPr>
            <w:r w:rsidRPr="00EB7B26">
              <w:rPr>
                <w:rFonts w:ascii="Gill Sans MT" w:hAnsi="Gill Sans MT"/>
                <w:sz w:val="18"/>
                <w:szCs w:val="18"/>
              </w:rPr>
              <w:t>Curtin University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Paediatrics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Governance Approval</w:t>
            </w:r>
          </w:p>
        </w:tc>
      </w:tr>
      <w:tr w:rsidR="00EB7B26" w:rsidRPr="00EB7B26" w:rsidTr="00EB7B26">
        <w:trPr>
          <w:trHeight w:hRule="exact" w:val="9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00"/>
              <w:rPr>
                <w:rFonts w:ascii="Gill Sans MT" w:hAnsi="Gill Sans MT"/>
                <w:sz w:val="18"/>
                <w:szCs w:val="18"/>
              </w:rPr>
            </w:pPr>
            <w:r w:rsidRPr="00EB7B26">
              <w:rPr>
                <w:rFonts w:ascii="Gill Sans MT" w:hAnsi="Gill Sans MT"/>
                <w:sz w:val="18"/>
                <w:szCs w:val="18"/>
              </w:rPr>
              <w:t>Investigating the physical &amp; chemical Y-site incompatibility antifungals &amp; parenteral nutrition solution</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Pharmacy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49"/>
              <w:rPr>
                <w:rFonts w:ascii="Gill Sans MT" w:hAnsi="Gill Sans MT"/>
                <w:sz w:val="18"/>
                <w:szCs w:val="18"/>
              </w:rPr>
            </w:pPr>
            <w:r w:rsidRPr="00EB7B26">
              <w:rPr>
                <w:rFonts w:ascii="Gill Sans MT" w:hAnsi="Gill Sans MT"/>
                <w:sz w:val="18"/>
                <w:szCs w:val="18"/>
              </w:rPr>
              <w:t xml:space="preserve">Funding submission received </w:t>
            </w:r>
            <w:r w:rsidRPr="00EB7B26">
              <w:rPr>
                <w:rFonts w:ascii="Gill Sans MT" w:hAnsi="Gill Sans MT"/>
                <w:spacing w:val="2"/>
                <w:sz w:val="18"/>
                <w:szCs w:val="18"/>
              </w:rPr>
              <w:t xml:space="preserve">from </w:t>
            </w:r>
            <w:r w:rsidRPr="00EB7B26">
              <w:rPr>
                <w:rFonts w:ascii="Gill Sans MT" w:hAnsi="Gill Sans MT"/>
                <w:sz w:val="18"/>
                <w:szCs w:val="18"/>
              </w:rPr>
              <w:t xml:space="preserve">Jo McEvoy (UTAS) </w:t>
            </w:r>
            <w:r w:rsidRPr="00EB7B26">
              <w:rPr>
                <w:rFonts w:ascii="Gill Sans MT" w:hAnsi="Gill Sans MT"/>
                <w:spacing w:val="2"/>
                <w:sz w:val="18"/>
                <w:szCs w:val="18"/>
              </w:rPr>
              <w:t xml:space="preserve">THIS </w:t>
            </w:r>
            <w:r w:rsidRPr="00EB7B26">
              <w:rPr>
                <w:rFonts w:ascii="Gill Sans MT" w:hAnsi="Gill Sans MT"/>
                <w:sz w:val="18"/>
                <w:szCs w:val="18"/>
              </w:rPr>
              <w:t xml:space="preserve">STUDY IS NOT  </w:t>
            </w:r>
            <w:r w:rsidRPr="00EB7B26">
              <w:rPr>
                <w:rFonts w:ascii="Gill Sans MT" w:hAnsi="Gill Sans MT"/>
                <w:spacing w:val="2"/>
                <w:sz w:val="18"/>
                <w:szCs w:val="18"/>
              </w:rPr>
              <w:t>BEING COMPLETED</w:t>
            </w:r>
            <w:r w:rsidRPr="00EB7B26">
              <w:rPr>
                <w:rFonts w:ascii="Gill Sans MT" w:hAnsi="Gill Sans MT"/>
                <w:spacing w:val="9"/>
                <w:sz w:val="18"/>
                <w:szCs w:val="18"/>
              </w:rPr>
              <w:t xml:space="preserve"> </w:t>
            </w:r>
            <w:r w:rsidRPr="00EB7B26">
              <w:rPr>
                <w:rFonts w:ascii="Gill Sans MT" w:hAnsi="Gill Sans MT"/>
                <w:spacing w:val="-6"/>
                <w:sz w:val="18"/>
                <w:szCs w:val="18"/>
              </w:rPr>
              <w:t>AT</w:t>
            </w:r>
          </w:p>
          <w:p w:rsidR="00EB7B26" w:rsidRPr="00EB7B26" w:rsidRDefault="00EB7B26" w:rsidP="00EB7B26">
            <w:pPr>
              <w:pStyle w:val="TableParagraph"/>
              <w:spacing w:line="203" w:lineRule="exact"/>
              <w:ind w:left="77"/>
              <w:rPr>
                <w:rFonts w:ascii="Gill Sans MT" w:hAnsi="Gill Sans MT"/>
                <w:sz w:val="18"/>
                <w:szCs w:val="18"/>
              </w:rPr>
            </w:pPr>
            <w:r w:rsidRPr="00EB7B26">
              <w:rPr>
                <w:rFonts w:ascii="Gill Sans MT" w:hAnsi="Gill Sans MT"/>
                <w:sz w:val="18"/>
                <w:szCs w:val="18"/>
              </w:rPr>
              <w:t>RHH - information only</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200"/>
              <w:rPr>
                <w:rFonts w:ascii="Gill Sans MT" w:hAnsi="Gill Sans MT"/>
                <w:sz w:val="18"/>
                <w:szCs w:val="18"/>
              </w:rPr>
            </w:pPr>
            <w:r w:rsidRPr="00EB7B26">
              <w:rPr>
                <w:rFonts w:ascii="Gill Sans MT" w:hAnsi="Gill Sans MT"/>
                <w:sz w:val="18"/>
                <w:szCs w:val="18"/>
              </w:rPr>
              <w:t>Auditory Misattribution on the Schizophrenia Spectrum</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Psychiatry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Agreement</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T1 Map - GE - RHH</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GE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Radiology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Evaluation Agreement</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New Australian Provisional Patent</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UTAS/RHH`</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WACS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Pr>
                <w:rFonts w:ascii="Gill Sans MT" w:hAnsi="Gill Sans MT"/>
                <w:sz w:val="18"/>
                <w:szCs w:val="18"/>
              </w:rPr>
            </w:pPr>
            <w:r w:rsidRPr="00EB7B26">
              <w:rPr>
                <w:rFonts w:ascii="Gill Sans MT" w:hAnsi="Gill Sans MT"/>
                <w:sz w:val="18"/>
                <w:szCs w:val="18"/>
              </w:rPr>
              <w:t>Royalty Sharing Deed &amp; Deed of Assignment</w:t>
            </w:r>
          </w:p>
        </w:tc>
      </w:tr>
      <w:tr w:rsidR="00EB7B26" w:rsidRPr="00EB7B26" w:rsidTr="00EB7B26">
        <w:trPr>
          <w:trHeight w:hRule="exact" w:val="7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7" w:right="14"/>
              <w:rPr>
                <w:rFonts w:ascii="Gill Sans MT" w:hAnsi="Gill Sans MT"/>
                <w:sz w:val="18"/>
                <w:szCs w:val="18"/>
              </w:rPr>
            </w:pPr>
            <w:r w:rsidRPr="00EB7B26">
              <w:rPr>
                <w:rFonts w:ascii="Gill Sans MT" w:hAnsi="Gill Sans MT"/>
                <w:sz w:val="18"/>
                <w:szCs w:val="18"/>
              </w:rPr>
              <w:t>Empowering parents of a child with an eating disorder through a small group intervention</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UTAS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Research Agreement</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7"/>
              <w:rPr>
                <w:rFonts w:ascii="Gill Sans MT" w:hAnsi="Gill Sans MT"/>
                <w:sz w:val="18"/>
                <w:szCs w:val="18"/>
              </w:rPr>
            </w:pPr>
            <w:r w:rsidRPr="00EB7B26">
              <w:rPr>
                <w:rFonts w:ascii="Gill Sans MT" w:hAnsi="Gill Sans MT"/>
                <w:sz w:val="18"/>
                <w:szCs w:val="18"/>
              </w:rPr>
              <w:t>Lung Cancer Service Delivery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Alison Black</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Deed of Variation</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Jack Jumper sting anaphylaxis</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Revoked</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Venom Immunotherapy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Revoked</w:t>
            </w:r>
          </w:p>
        </w:tc>
      </w:tr>
      <w:tr w:rsidR="00EB7B26" w:rsidRPr="00EB7B26" w:rsidTr="00EB7B26">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RHHF Grant Agreement</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RHH Research Foundation</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Minor Grant Agreement signature</w:t>
            </w:r>
          </w:p>
        </w:tc>
      </w:tr>
      <w:tr w:rsidR="00EB7B26" w:rsidRPr="00EB7B26" w:rsidTr="00EB7B26">
        <w:trPr>
          <w:trHeight w:hRule="exact" w:val="9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ight="200"/>
              <w:rPr>
                <w:rFonts w:ascii="Gill Sans MT" w:hAnsi="Gill Sans MT"/>
                <w:sz w:val="18"/>
                <w:szCs w:val="18"/>
              </w:rPr>
            </w:pPr>
            <w:r w:rsidRPr="00EB7B26">
              <w:rPr>
                <w:rFonts w:ascii="Gill Sans MT" w:hAnsi="Gill Sans MT"/>
                <w:sz w:val="18"/>
                <w:szCs w:val="18"/>
              </w:rPr>
              <w:t>Improved clinical Assessment of Blood pressure</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UTAS/RHHRF</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ight="248"/>
              <w:rPr>
                <w:rFonts w:ascii="Gill Sans MT" w:hAnsi="Gill Sans MT"/>
                <w:sz w:val="18"/>
                <w:szCs w:val="18"/>
              </w:rPr>
            </w:pPr>
            <w:r w:rsidRPr="00EB7B26">
              <w:rPr>
                <w:rFonts w:ascii="Gill Sans MT" w:hAnsi="Gill Sans MT"/>
                <w:sz w:val="18"/>
                <w:szCs w:val="18"/>
              </w:rPr>
              <w:t xml:space="preserve">Funding submission received </w:t>
            </w:r>
            <w:r w:rsidRPr="00EB7B26">
              <w:rPr>
                <w:rFonts w:ascii="Gill Sans MT" w:hAnsi="Gill Sans MT"/>
                <w:spacing w:val="2"/>
                <w:sz w:val="18"/>
                <w:szCs w:val="18"/>
              </w:rPr>
              <w:t xml:space="preserve">from </w:t>
            </w:r>
            <w:r w:rsidRPr="00EB7B26">
              <w:rPr>
                <w:rFonts w:ascii="Gill Sans MT" w:hAnsi="Gill Sans MT"/>
                <w:sz w:val="18"/>
                <w:szCs w:val="18"/>
              </w:rPr>
              <w:t xml:space="preserve">Jo McEvoy (UTAS) </w:t>
            </w:r>
            <w:r w:rsidRPr="00EB7B26">
              <w:rPr>
                <w:rFonts w:ascii="Gill Sans MT" w:hAnsi="Gill Sans MT"/>
                <w:spacing w:val="2"/>
                <w:sz w:val="18"/>
                <w:szCs w:val="18"/>
              </w:rPr>
              <w:t xml:space="preserve">THIS </w:t>
            </w:r>
            <w:r w:rsidRPr="00EB7B26">
              <w:rPr>
                <w:rFonts w:ascii="Gill Sans MT" w:hAnsi="Gill Sans MT"/>
                <w:sz w:val="18"/>
                <w:szCs w:val="18"/>
              </w:rPr>
              <w:t xml:space="preserve">STUDY IS NOT  </w:t>
            </w:r>
            <w:r w:rsidRPr="00EB7B26">
              <w:rPr>
                <w:rFonts w:ascii="Gill Sans MT" w:hAnsi="Gill Sans MT"/>
                <w:spacing w:val="2"/>
                <w:sz w:val="18"/>
                <w:szCs w:val="18"/>
              </w:rPr>
              <w:t>BEING COMPLETED</w:t>
            </w:r>
            <w:r w:rsidRPr="00EB7B26">
              <w:rPr>
                <w:rFonts w:ascii="Gill Sans MT" w:hAnsi="Gill Sans MT"/>
                <w:spacing w:val="9"/>
                <w:sz w:val="18"/>
                <w:szCs w:val="18"/>
              </w:rPr>
              <w:t xml:space="preserve"> </w:t>
            </w:r>
            <w:r w:rsidRPr="00EB7B26">
              <w:rPr>
                <w:rFonts w:ascii="Gill Sans MT" w:hAnsi="Gill Sans MT"/>
                <w:spacing w:val="-6"/>
                <w:sz w:val="18"/>
                <w:szCs w:val="18"/>
              </w:rPr>
              <w:t>AT</w:t>
            </w:r>
          </w:p>
          <w:p w:rsidR="00EB7B26" w:rsidRPr="00EB7B26" w:rsidRDefault="00EB7B26" w:rsidP="00EB7B26">
            <w:pPr>
              <w:pStyle w:val="TableParagraph"/>
              <w:spacing w:line="203" w:lineRule="exact"/>
              <w:ind w:left="78"/>
              <w:rPr>
                <w:rFonts w:ascii="Gill Sans MT" w:hAnsi="Gill Sans MT"/>
                <w:sz w:val="18"/>
                <w:szCs w:val="18"/>
              </w:rPr>
            </w:pPr>
            <w:r w:rsidRPr="00EB7B26">
              <w:rPr>
                <w:rFonts w:ascii="Gill Sans MT" w:hAnsi="Gill Sans MT"/>
                <w:sz w:val="18"/>
                <w:szCs w:val="18"/>
              </w:rPr>
              <w:t>RHH - information only</w:t>
            </w:r>
          </w:p>
        </w:tc>
      </w:tr>
      <w:tr w:rsidR="00EB7B26" w:rsidRPr="00EB7B26" w:rsidTr="00EB7B26">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6" w:line="200" w:lineRule="exact"/>
              <w:ind w:left="78" w:right="200"/>
              <w:rPr>
                <w:rFonts w:ascii="Gill Sans MT" w:hAnsi="Gill Sans MT"/>
                <w:sz w:val="18"/>
                <w:szCs w:val="18"/>
              </w:rPr>
            </w:pPr>
            <w:r w:rsidRPr="00EB7B26">
              <w:rPr>
                <w:rFonts w:ascii="Gill Sans MT" w:hAnsi="Gill Sans MT"/>
                <w:sz w:val="18"/>
                <w:szCs w:val="18"/>
              </w:rPr>
              <w:t>Ambulatory Insulin Stabilisation Project</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Monash University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rPr>
                <w:rFonts w:ascii="Gill Sans MT" w:hAnsi="Gill Sans MT"/>
                <w:sz w:val="18"/>
                <w:szCs w:val="18"/>
              </w:rPr>
            </w:pP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EB7B26" w:rsidRPr="00EB7B26" w:rsidRDefault="00EB7B26" w:rsidP="00EB7B26">
            <w:pPr>
              <w:pStyle w:val="TableParagraph"/>
              <w:spacing w:before="74"/>
              <w:ind w:left="78"/>
              <w:rPr>
                <w:rFonts w:ascii="Gill Sans MT" w:hAnsi="Gill Sans MT"/>
                <w:sz w:val="18"/>
                <w:szCs w:val="18"/>
              </w:rPr>
            </w:pPr>
            <w:r w:rsidRPr="00EB7B26">
              <w:rPr>
                <w:rFonts w:ascii="Gill Sans MT" w:hAnsi="Gill Sans MT"/>
                <w:sz w:val="18"/>
                <w:szCs w:val="18"/>
              </w:rPr>
              <w:t>Confidentiality deed</w:t>
            </w:r>
          </w:p>
        </w:tc>
      </w:tr>
    </w:tbl>
    <w:p w:rsidR="00EB7B26" w:rsidRDefault="00EB7B26" w:rsidP="002672C1"/>
    <w:p w:rsidR="00EB7B26" w:rsidRDefault="00EB7B26" w:rsidP="00EB7B26">
      <w:pPr>
        <w:pStyle w:val="Heading4"/>
      </w:pPr>
      <w:r>
        <w:t>Clinical trials</w:t>
      </w: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2749"/>
        <w:gridCol w:w="2117"/>
        <w:gridCol w:w="1612"/>
        <w:gridCol w:w="2850"/>
      </w:tblGrid>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5"/>
              <w:rPr>
                <w:rFonts w:ascii="Gill Sans MT" w:hAnsi="Gill Sans MT"/>
                <w:sz w:val="18"/>
              </w:rPr>
            </w:pPr>
            <w:r w:rsidRPr="00DA5ED5">
              <w:rPr>
                <w:rFonts w:ascii="Gill Sans MT" w:hAnsi="Gill Sans MT"/>
                <w:sz w:val="18"/>
              </w:rPr>
              <w:t>SPIRE 1</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Pfizer Australia PL</w:t>
            </w:r>
          </w:p>
        </w:tc>
        <w:tc>
          <w:tcPr>
            <w:tcW w:w="1612"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CTRA - Draft</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SPIRE 2</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Pfizer Australia PL</w:t>
            </w:r>
          </w:p>
        </w:tc>
        <w:tc>
          <w:tcPr>
            <w:tcW w:w="1612"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CTRA - Draft</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FOURIER</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Amgen</w:t>
            </w:r>
          </w:p>
        </w:tc>
        <w:tc>
          <w:tcPr>
            <w:tcW w:w="1612"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Addendum to CTRA</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GARFIELD</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Quinties</w:t>
            </w:r>
          </w:p>
        </w:tc>
        <w:tc>
          <w:tcPr>
            <w:tcW w:w="1612"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Addendum to CTRA</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ARENA</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JAAD Enterprises</w:t>
            </w:r>
          </w:p>
        </w:tc>
        <w:tc>
          <w:tcPr>
            <w:tcW w:w="1612"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CTRA - Draft</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Gemini</w:t>
            </w:r>
          </w:p>
        </w:tc>
        <w:tc>
          <w:tcPr>
            <w:tcW w:w="2117" w:type="dxa"/>
            <w:shd w:val="clear" w:color="auto" w:fill="auto"/>
          </w:tcPr>
          <w:p w:rsidR="00DA5ED5" w:rsidRPr="00DA5ED5" w:rsidRDefault="00DA5ED5" w:rsidP="001C6247">
            <w:pPr>
              <w:pStyle w:val="TableParagraph"/>
              <w:spacing w:before="74"/>
              <w:ind w:left="76"/>
              <w:rPr>
                <w:rFonts w:ascii="Gill Sans MT" w:hAnsi="Gill Sans MT"/>
                <w:sz w:val="18"/>
              </w:rPr>
            </w:pPr>
            <w:r w:rsidRPr="00DA5ED5">
              <w:rPr>
                <w:rFonts w:ascii="Gill Sans MT" w:hAnsi="Gill Sans MT"/>
                <w:sz w:val="18"/>
              </w:rPr>
              <w:t>Janssen</w:t>
            </w:r>
          </w:p>
        </w:tc>
        <w:tc>
          <w:tcPr>
            <w:tcW w:w="1612"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Addendum to CTRA &amp; Indemnity</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ARENA - Extension</w:t>
            </w:r>
          </w:p>
        </w:tc>
        <w:tc>
          <w:tcPr>
            <w:tcW w:w="2117"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JAAD Enterprises</w:t>
            </w:r>
          </w:p>
        </w:tc>
        <w:tc>
          <w:tcPr>
            <w:tcW w:w="1612"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Cardiology</w:t>
            </w:r>
          </w:p>
        </w:tc>
        <w:tc>
          <w:tcPr>
            <w:tcW w:w="2850"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CTRA - Draft</w:t>
            </w:r>
          </w:p>
        </w:tc>
      </w:tr>
      <w:tr w:rsidR="00DA5ED5" w:rsidRPr="00DA5ED5" w:rsidTr="008D7138">
        <w:trPr>
          <w:trHeight w:hRule="exact" w:val="520"/>
        </w:trPr>
        <w:tc>
          <w:tcPr>
            <w:tcW w:w="2749" w:type="dxa"/>
            <w:shd w:val="clear" w:color="auto" w:fill="auto"/>
          </w:tcPr>
          <w:p w:rsidR="00DA5ED5" w:rsidRPr="00DA5ED5" w:rsidRDefault="00DA5ED5" w:rsidP="001C6247">
            <w:pPr>
              <w:pStyle w:val="TableParagraph"/>
              <w:spacing w:before="76" w:line="200" w:lineRule="exact"/>
              <w:ind w:left="77" w:right="200"/>
              <w:rPr>
                <w:rFonts w:ascii="Gill Sans MT" w:hAnsi="Gill Sans MT"/>
                <w:sz w:val="18"/>
              </w:rPr>
            </w:pPr>
            <w:r w:rsidRPr="00DA5ED5">
              <w:rPr>
                <w:rFonts w:ascii="Gill Sans MT" w:hAnsi="Gill Sans MT"/>
                <w:sz w:val="18"/>
              </w:rPr>
              <w:t>Primary Progressive Multiple Sclerosis</w:t>
            </w:r>
          </w:p>
        </w:tc>
        <w:tc>
          <w:tcPr>
            <w:tcW w:w="2117"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Roche ProductPty Ltd</w:t>
            </w:r>
          </w:p>
        </w:tc>
        <w:tc>
          <w:tcPr>
            <w:tcW w:w="1612"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Neurology</w:t>
            </w:r>
          </w:p>
        </w:tc>
        <w:tc>
          <w:tcPr>
            <w:tcW w:w="2850"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Amendment to CTRA (Cancelled)</w:t>
            </w:r>
          </w:p>
        </w:tc>
      </w:tr>
      <w:tr w:rsidR="00DA5ED5" w:rsidRPr="00DA5ED5" w:rsidTr="008D7138">
        <w:trPr>
          <w:trHeight w:hRule="exact" w:val="520"/>
        </w:trPr>
        <w:tc>
          <w:tcPr>
            <w:tcW w:w="2749" w:type="dxa"/>
            <w:shd w:val="clear" w:color="auto" w:fill="auto"/>
          </w:tcPr>
          <w:p w:rsidR="00DA5ED5" w:rsidRPr="00DA5ED5" w:rsidRDefault="00DA5ED5" w:rsidP="001C6247">
            <w:pPr>
              <w:pStyle w:val="TableParagraph"/>
              <w:spacing w:before="76" w:line="200" w:lineRule="exact"/>
              <w:ind w:left="77" w:right="200"/>
              <w:rPr>
                <w:rFonts w:ascii="Gill Sans MT" w:hAnsi="Gill Sans MT"/>
                <w:sz w:val="18"/>
              </w:rPr>
            </w:pPr>
            <w:r w:rsidRPr="00DA5ED5">
              <w:rPr>
                <w:rFonts w:ascii="Gill Sans MT" w:hAnsi="Gill Sans MT"/>
                <w:sz w:val="18"/>
              </w:rPr>
              <w:t>Primary Progressive Multiple Sclerosis</w:t>
            </w:r>
          </w:p>
        </w:tc>
        <w:tc>
          <w:tcPr>
            <w:tcW w:w="2117"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Roche ProductPty Ltd</w:t>
            </w:r>
          </w:p>
        </w:tc>
        <w:tc>
          <w:tcPr>
            <w:tcW w:w="1612"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Neurology</w:t>
            </w:r>
          </w:p>
        </w:tc>
        <w:tc>
          <w:tcPr>
            <w:tcW w:w="2850"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Amendment to CTRA</w:t>
            </w:r>
          </w:p>
        </w:tc>
      </w:tr>
      <w:tr w:rsidR="00DA5ED5" w:rsidRPr="00DA5ED5" w:rsidTr="008D7138">
        <w:trPr>
          <w:trHeight w:hRule="exact" w:val="320"/>
        </w:trPr>
        <w:tc>
          <w:tcPr>
            <w:tcW w:w="2749"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Australian Breast Device Registry</w:t>
            </w:r>
          </w:p>
        </w:tc>
        <w:tc>
          <w:tcPr>
            <w:tcW w:w="2117"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Monash University</w:t>
            </w:r>
          </w:p>
        </w:tc>
        <w:tc>
          <w:tcPr>
            <w:tcW w:w="1612"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Oncology</w:t>
            </w:r>
          </w:p>
        </w:tc>
        <w:tc>
          <w:tcPr>
            <w:tcW w:w="2850" w:type="dxa"/>
            <w:shd w:val="clear" w:color="auto" w:fill="auto"/>
          </w:tcPr>
          <w:p w:rsidR="00DA5ED5" w:rsidRPr="00DA5ED5" w:rsidRDefault="00DA5ED5" w:rsidP="001C6247">
            <w:pPr>
              <w:pStyle w:val="TableParagraph"/>
              <w:spacing w:before="74"/>
              <w:ind w:left="77"/>
              <w:rPr>
                <w:rFonts w:ascii="Gill Sans MT" w:hAnsi="Gill Sans MT"/>
                <w:sz w:val="18"/>
              </w:rPr>
            </w:pPr>
            <w:r w:rsidRPr="00DA5ED5">
              <w:rPr>
                <w:rFonts w:ascii="Gill Sans MT" w:hAnsi="Gill Sans MT"/>
                <w:sz w:val="18"/>
              </w:rPr>
              <w:t>CTRA - Draft</w:t>
            </w:r>
          </w:p>
        </w:tc>
      </w:tr>
    </w:tbl>
    <w:p w:rsidR="00EB7B26" w:rsidRPr="00EB7B26" w:rsidRDefault="00EB7B26" w:rsidP="00EB7B26"/>
    <w:p w:rsidR="002672C1" w:rsidRPr="002672C1" w:rsidRDefault="002672C1" w:rsidP="002672C1"/>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2749"/>
        <w:gridCol w:w="2117"/>
        <w:gridCol w:w="1612"/>
        <w:gridCol w:w="2850"/>
      </w:tblGrid>
      <w:tr w:rsidR="008D7138" w:rsidRPr="008D7138" w:rsidTr="008D7138">
        <w:trPr>
          <w:trHeight w:hRule="exact" w:val="327"/>
        </w:trPr>
        <w:tc>
          <w:tcPr>
            <w:tcW w:w="2749" w:type="dxa"/>
            <w:tcBorders>
              <w:top w:val="single" w:sz="4" w:space="0" w:color="auto"/>
              <w:left w:val="single" w:sz="4" w:space="0" w:color="auto"/>
              <w:bottom w:val="single" w:sz="4" w:space="0" w:color="auto"/>
              <w:right w:val="single" w:sz="4" w:space="0" w:color="auto"/>
            </w:tcBorders>
            <w:shd w:val="clear" w:color="auto" w:fill="auto"/>
          </w:tcPr>
          <w:p w:rsidR="008D7138" w:rsidRPr="008D7138" w:rsidRDefault="008D7138" w:rsidP="001C6247">
            <w:pPr>
              <w:pStyle w:val="TableParagraph"/>
              <w:spacing w:before="77"/>
              <w:ind w:left="80"/>
              <w:rPr>
                <w:rFonts w:ascii="Gill Sans MT" w:hAnsi="Gill Sans MT"/>
                <w:b/>
                <w:sz w:val="18"/>
                <w:szCs w:val="18"/>
              </w:rPr>
            </w:pPr>
            <w:r w:rsidRPr="008D7138">
              <w:rPr>
                <w:rFonts w:ascii="Gill Sans MT" w:hAnsi="Gill Sans MT"/>
                <w:b/>
                <w:sz w:val="18"/>
                <w:szCs w:val="18"/>
              </w:rPr>
              <w:t>Study name</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8D7138" w:rsidRPr="008D7138" w:rsidRDefault="008D7138" w:rsidP="001C6247">
            <w:pPr>
              <w:pStyle w:val="TableParagraph"/>
              <w:spacing w:before="77"/>
              <w:ind w:left="76"/>
              <w:rPr>
                <w:rFonts w:ascii="Gill Sans MT" w:hAnsi="Gill Sans MT"/>
                <w:b/>
                <w:sz w:val="18"/>
                <w:szCs w:val="18"/>
              </w:rPr>
            </w:pPr>
            <w:r w:rsidRPr="008D7138">
              <w:rPr>
                <w:rFonts w:ascii="Gill Sans MT" w:hAnsi="Gill Sans MT"/>
                <w:b/>
                <w:sz w:val="18"/>
                <w:szCs w:val="18"/>
              </w:rPr>
              <w:t>Sponsor</w:t>
            </w:r>
          </w:p>
        </w:tc>
        <w:tc>
          <w:tcPr>
            <w:tcW w:w="1612" w:type="dxa"/>
            <w:tcBorders>
              <w:top w:val="single" w:sz="4" w:space="0" w:color="auto"/>
              <w:left w:val="single" w:sz="4" w:space="0" w:color="auto"/>
              <w:bottom w:val="single" w:sz="4" w:space="0" w:color="auto"/>
              <w:right w:val="single" w:sz="4" w:space="0" w:color="auto"/>
            </w:tcBorders>
            <w:shd w:val="clear" w:color="auto" w:fill="auto"/>
          </w:tcPr>
          <w:p w:rsidR="008D7138" w:rsidRPr="008D7138" w:rsidRDefault="008D7138" w:rsidP="001C6247">
            <w:pPr>
              <w:pStyle w:val="TableParagraph"/>
              <w:spacing w:before="77"/>
              <w:ind w:left="76"/>
              <w:rPr>
                <w:rFonts w:ascii="Gill Sans MT" w:hAnsi="Gill Sans MT"/>
                <w:b/>
                <w:sz w:val="18"/>
                <w:szCs w:val="18"/>
              </w:rPr>
            </w:pPr>
            <w:r w:rsidRPr="008D7138">
              <w:rPr>
                <w:rFonts w:ascii="Gill Sans MT" w:hAnsi="Gill Sans MT"/>
                <w:b/>
                <w:sz w:val="18"/>
                <w:szCs w:val="18"/>
              </w:rPr>
              <w:t>Department</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8D7138" w:rsidRPr="008D7138" w:rsidRDefault="008D7138" w:rsidP="001C6247">
            <w:pPr>
              <w:pStyle w:val="TableParagraph"/>
              <w:spacing w:before="77"/>
              <w:ind w:left="76"/>
              <w:rPr>
                <w:rFonts w:ascii="Gill Sans MT" w:hAnsi="Gill Sans MT"/>
                <w:b/>
                <w:sz w:val="18"/>
                <w:szCs w:val="18"/>
              </w:rPr>
            </w:pPr>
            <w:r w:rsidRPr="008D7138">
              <w:rPr>
                <w:rFonts w:ascii="Gill Sans MT" w:hAnsi="Gill Sans MT"/>
                <w:b/>
                <w:sz w:val="18"/>
                <w:szCs w:val="18"/>
              </w:rPr>
              <w:t>Action required</w:t>
            </w:r>
          </w:p>
        </w:tc>
      </w:tr>
      <w:tr w:rsidR="008D7138" w:rsidRPr="008D7138" w:rsidTr="008D7138">
        <w:trPr>
          <w:trHeight w:hRule="exact" w:val="320"/>
        </w:trPr>
        <w:tc>
          <w:tcPr>
            <w:tcW w:w="2749" w:type="dxa"/>
            <w:tcBorders>
              <w:top w:val="single" w:sz="4" w:space="0" w:color="auto"/>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8"/>
              <w:ind w:left="76"/>
              <w:rPr>
                <w:rFonts w:ascii="Gill Sans MT" w:hAnsi="Gill Sans MT"/>
                <w:sz w:val="18"/>
                <w:szCs w:val="18"/>
              </w:rPr>
            </w:pPr>
            <w:r w:rsidRPr="008D7138">
              <w:rPr>
                <w:rFonts w:ascii="Gill Sans MT" w:hAnsi="Gill Sans MT"/>
                <w:sz w:val="18"/>
                <w:szCs w:val="18"/>
              </w:rPr>
              <w:lastRenderedPageBreak/>
              <w:t>Eliminate</w:t>
            </w:r>
          </w:p>
        </w:tc>
        <w:tc>
          <w:tcPr>
            <w:tcW w:w="2117" w:type="dxa"/>
            <w:tcBorders>
              <w:top w:val="single" w:sz="4" w:space="0" w:color="auto"/>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8"/>
              <w:ind w:left="76"/>
              <w:rPr>
                <w:rFonts w:ascii="Gill Sans MT" w:hAnsi="Gill Sans MT"/>
                <w:sz w:val="18"/>
                <w:szCs w:val="18"/>
              </w:rPr>
            </w:pPr>
            <w:r w:rsidRPr="008D7138">
              <w:rPr>
                <w:rFonts w:ascii="Gill Sans MT" w:hAnsi="Gill Sans MT"/>
                <w:sz w:val="18"/>
                <w:szCs w:val="18"/>
              </w:rPr>
              <w:t>ANZBCTG</w:t>
            </w:r>
          </w:p>
        </w:tc>
        <w:tc>
          <w:tcPr>
            <w:tcW w:w="1612" w:type="dxa"/>
            <w:tcBorders>
              <w:top w:val="single" w:sz="4" w:space="0" w:color="auto"/>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8"/>
              <w:ind w:left="76"/>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auto"/>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8"/>
              <w:ind w:left="76"/>
              <w:rPr>
                <w:rFonts w:ascii="Gill Sans MT" w:hAnsi="Gill Sans MT"/>
                <w:sz w:val="18"/>
                <w:szCs w:val="18"/>
              </w:rPr>
            </w:pPr>
            <w:r w:rsidRPr="008D7138">
              <w:rPr>
                <w:rFonts w:ascii="Gill Sans MT" w:hAnsi="Gill Sans MT"/>
                <w:sz w:val="18"/>
                <w:szCs w:val="18"/>
              </w:rPr>
              <w:t>Amendment to CTRA &amp; Indemnity</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NHL 29</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ALLG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AML M20</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ALLG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INTERAACT</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AGTIG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6"/>
              <w:rPr>
                <w:rFonts w:ascii="Gill Sans MT" w:hAnsi="Gill Sans MT"/>
                <w:sz w:val="18"/>
                <w:szCs w:val="18"/>
              </w:rPr>
            </w:pPr>
            <w:r w:rsidRPr="008D7138">
              <w:rPr>
                <w:rFonts w:ascii="Gill Sans MT" w:hAnsi="Gill Sans MT"/>
                <w:sz w:val="18"/>
                <w:szCs w:val="18"/>
              </w:rPr>
              <w:t>CTRA - Draft / New Draft received 10/11/15</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DERMA</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6"/>
              <w:rPr>
                <w:rFonts w:ascii="Gill Sans MT" w:hAnsi="Gill Sans MT"/>
                <w:sz w:val="18"/>
                <w:szCs w:val="18"/>
              </w:rPr>
            </w:pPr>
            <w:r w:rsidRPr="008D7138">
              <w:rPr>
                <w:rFonts w:ascii="Gill Sans MT" w:hAnsi="Gill Sans MT"/>
                <w:sz w:val="18"/>
                <w:szCs w:val="18"/>
              </w:rPr>
              <w:t>GlaxoSmithKline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Amendment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GS-5745 Combined with Mfolfox6”</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Gilead Sciences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FUTURE Fertility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University NSW</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Mirati 265-109</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7"/>
              <w:rPr>
                <w:rFonts w:ascii="Gill Sans MT" w:hAnsi="Gill Sans MT"/>
                <w:sz w:val="18"/>
                <w:szCs w:val="18"/>
              </w:rPr>
            </w:pPr>
            <w:r w:rsidRPr="008D7138">
              <w:rPr>
                <w:rFonts w:ascii="Gill Sans MT" w:hAnsi="Gill Sans MT"/>
                <w:sz w:val="18"/>
                <w:szCs w:val="18"/>
              </w:rPr>
              <w:t>Pharmaceutical Research Associates Pty Ltd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22-Sep-15 - 16-Dec-15</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Javelin 300</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Quintiles</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7"/>
              <w:rPr>
                <w:rFonts w:ascii="Gill Sans MT" w:hAnsi="Gill Sans MT"/>
                <w:sz w:val="18"/>
                <w:szCs w:val="18"/>
              </w:rPr>
            </w:pPr>
            <w:r w:rsidRPr="008D7138">
              <w:rPr>
                <w:rFonts w:ascii="Gill Sans MT" w:hAnsi="Gill Sans MT"/>
                <w:sz w:val="18"/>
                <w:szCs w:val="18"/>
              </w:rPr>
              <w:t>CTRA - Draft / New Draft to be submitted by Sponsor 10/11/15</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CLL7</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ALLG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7"/>
              <w:rPr>
                <w:rFonts w:ascii="Gill Sans MT" w:hAnsi="Gill Sans MT"/>
                <w:sz w:val="18"/>
                <w:szCs w:val="18"/>
              </w:rPr>
            </w:pPr>
            <w:r w:rsidRPr="008D7138">
              <w:rPr>
                <w:rFonts w:ascii="Gill Sans MT" w:hAnsi="Gill Sans MT"/>
                <w:sz w:val="18"/>
                <w:szCs w:val="18"/>
              </w:rPr>
              <w:t>BMS Melanoma</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PPD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8" w:right="200"/>
              <w:rPr>
                <w:rFonts w:ascii="Gill Sans MT" w:hAnsi="Gill Sans MT"/>
                <w:sz w:val="18"/>
                <w:szCs w:val="18"/>
              </w:rPr>
            </w:pPr>
            <w:r w:rsidRPr="008D7138">
              <w:rPr>
                <w:rFonts w:ascii="Gill Sans MT" w:hAnsi="Gill Sans MT"/>
                <w:sz w:val="18"/>
                <w:szCs w:val="18"/>
              </w:rPr>
              <w:t>GO29689 - Genentech Breast Cancer</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PPD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4"/>
              <w:ind w:left="78"/>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M14-483 (INTELLANCE2)</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AbbVie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CTRA Amendment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HARMONY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Covance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XBI10523</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CliniPace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Advanced Urothelial Cancer</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8"/>
              <w:rPr>
                <w:rFonts w:ascii="Gill Sans MT" w:hAnsi="Gill Sans MT"/>
                <w:sz w:val="18"/>
                <w:szCs w:val="18"/>
              </w:rPr>
            </w:pPr>
            <w:r w:rsidRPr="008D7138">
              <w:rPr>
                <w:rFonts w:ascii="Gill Sans MT" w:hAnsi="Gill Sans MT"/>
                <w:sz w:val="18"/>
                <w:szCs w:val="18"/>
              </w:rPr>
              <w:t>The University of Sydney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CASTOR</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Janssen-Cilag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Amendment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DERMA</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GlaxoSmithKline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Oncology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Amendment</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Eortc Brain Tumor Group</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AbbVie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9"/>
              <w:rPr>
                <w:rFonts w:ascii="Gill Sans MT" w:hAnsi="Gill Sans MT"/>
                <w:sz w:val="18"/>
                <w:szCs w:val="18"/>
              </w:rPr>
            </w:pPr>
            <w:r w:rsidRPr="008D7138">
              <w:rPr>
                <w:rFonts w:ascii="Gill Sans MT" w:hAnsi="Gill Sans MT"/>
                <w:sz w:val="18"/>
                <w:szCs w:val="18"/>
              </w:rPr>
              <w:t>Oncology/ Haematology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Addendum to CTN</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Eortc Brain Tumor Group</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AbbVie</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6" w:line="200" w:lineRule="exact"/>
              <w:ind w:left="79"/>
              <w:rPr>
                <w:rFonts w:ascii="Gill Sans MT" w:hAnsi="Gill Sans MT"/>
                <w:sz w:val="18"/>
                <w:szCs w:val="18"/>
              </w:rPr>
            </w:pPr>
            <w:r w:rsidRPr="008D7138">
              <w:rPr>
                <w:rFonts w:ascii="Gill Sans MT" w:hAnsi="Gill Sans MT"/>
                <w:sz w:val="18"/>
                <w:szCs w:val="18"/>
              </w:rPr>
              <w:t>Oncology/ Haematology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Addendum to CTN</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TESTOV Pneumo</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University NSW</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Paediatrics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Addendum to CTRA</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79"/>
              <w:rPr>
                <w:rFonts w:ascii="Gill Sans MT" w:hAnsi="Gill Sans MT"/>
                <w:sz w:val="18"/>
                <w:szCs w:val="18"/>
              </w:rPr>
            </w:pPr>
            <w:r w:rsidRPr="008D7138">
              <w:rPr>
                <w:rFonts w:ascii="Gill Sans MT" w:hAnsi="Gill Sans MT"/>
                <w:sz w:val="18"/>
                <w:szCs w:val="18"/>
              </w:rPr>
              <w:t>CREDENCE</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JANSSEN CILAG</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Renal</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FibroGen</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Novotech (Australia)</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Renal</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Addendum to CTRA</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ASK Program</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The University of QLD</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Speech Pathology</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The Fox Study</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rPr>
                <w:rFonts w:ascii="Gill Sans MT" w:hAnsi="Gill Sans MT"/>
                <w:sz w:val="18"/>
                <w:szCs w:val="18"/>
              </w:rPr>
            </w:pP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WACS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HREC  Revoked</w:t>
            </w:r>
          </w:p>
        </w:tc>
      </w:tr>
      <w:tr w:rsidR="008D7138" w:rsidRPr="008D7138" w:rsidTr="008D7138">
        <w:trPr>
          <w:trHeight w:hRule="exact" w:val="5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TasGANS</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Menzies03/03/15</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WACS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7" w:line="200" w:lineRule="exact"/>
              <w:ind w:left="80" w:right="249"/>
              <w:rPr>
                <w:rFonts w:ascii="Gill Sans MT" w:hAnsi="Gill Sans MT"/>
                <w:sz w:val="18"/>
                <w:szCs w:val="18"/>
              </w:rPr>
            </w:pPr>
            <w:r w:rsidRPr="008D7138">
              <w:rPr>
                <w:rFonts w:ascii="Gill Sans MT" w:hAnsi="Gill Sans MT"/>
                <w:sz w:val="18"/>
                <w:szCs w:val="18"/>
              </w:rPr>
              <w:t>Breach of Confidentiality re pathology reports</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TESTOV Pneumo</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University of Sydney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WACS</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CTRA - Draft</w:t>
            </w:r>
          </w:p>
        </w:tc>
      </w:tr>
      <w:tr w:rsidR="008D7138" w:rsidRPr="008D7138" w:rsidTr="008D7138">
        <w:trPr>
          <w:trHeight w:hRule="exact" w:val="320"/>
        </w:trPr>
        <w:tc>
          <w:tcPr>
            <w:tcW w:w="2749"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ASPiVLU- (Wound Care)</w:t>
            </w:r>
          </w:p>
        </w:tc>
        <w:tc>
          <w:tcPr>
            <w:tcW w:w="2117"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Monash University</w:t>
            </w:r>
          </w:p>
        </w:tc>
        <w:tc>
          <w:tcPr>
            <w:tcW w:w="1612"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1"/>
              <w:rPr>
                <w:rFonts w:ascii="Gill Sans MT" w:hAnsi="Gill Sans MT"/>
                <w:sz w:val="18"/>
                <w:szCs w:val="18"/>
              </w:rPr>
            </w:pPr>
            <w:r w:rsidRPr="008D7138">
              <w:rPr>
                <w:rFonts w:ascii="Gill Sans MT" w:hAnsi="Gill Sans MT"/>
                <w:sz w:val="18"/>
                <w:szCs w:val="18"/>
              </w:rPr>
              <w:t>Wound Care</w:t>
            </w:r>
          </w:p>
        </w:tc>
        <w:tc>
          <w:tcPr>
            <w:tcW w:w="2850" w:type="dxa"/>
            <w:tcBorders>
              <w:top w:val="single" w:sz="4" w:space="0" w:color="004D8F"/>
              <w:left w:val="single" w:sz="4" w:space="0" w:color="004D8F"/>
              <w:bottom w:val="single" w:sz="4" w:space="0" w:color="004D8F"/>
              <w:right w:val="single" w:sz="4" w:space="0" w:color="004D8F"/>
            </w:tcBorders>
            <w:shd w:val="clear" w:color="auto" w:fill="auto"/>
          </w:tcPr>
          <w:p w:rsidR="008D7138" w:rsidRPr="008D7138" w:rsidRDefault="008D7138" w:rsidP="001C6247">
            <w:pPr>
              <w:pStyle w:val="TableParagraph"/>
              <w:spacing w:before="75"/>
              <w:ind w:left="80"/>
              <w:rPr>
                <w:rFonts w:ascii="Gill Sans MT" w:hAnsi="Gill Sans MT"/>
                <w:sz w:val="18"/>
                <w:szCs w:val="18"/>
              </w:rPr>
            </w:pPr>
            <w:r w:rsidRPr="008D7138">
              <w:rPr>
                <w:rFonts w:ascii="Gill Sans MT" w:hAnsi="Gill Sans MT"/>
                <w:sz w:val="18"/>
                <w:szCs w:val="18"/>
              </w:rPr>
              <w:t>Addendum to CTRA</w:t>
            </w:r>
          </w:p>
        </w:tc>
      </w:tr>
    </w:tbl>
    <w:p w:rsidR="00F60BD6" w:rsidRDefault="00F60BD6" w:rsidP="008B65D7">
      <w:pPr>
        <w:pStyle w:val="BodyText"/>
      </w:pPr>
    </w:p>
    <w:p w:rsidR="008D7138" w:rsidRDefault="008D7138">
      <w:pPr>
        <w:rPr>
          <w:rFonts w:ascii="Gill Sans MT" w:eastAsia="GillSans-Light" w:hAnsi="Gill Sans MT" w:cs="GillSans-Light"/>
          <w:lang w:val="en-US"/>
        </w:rPr>
      </w:pPr>
      <w:r>
        <w:br w:type="page"/>
      </w:r>
    </w:p>
    <w:p w:rsidR="008D7138" w:rsidRDefault="008D7138" w:rsidP="008D7138">
      <w:pPr>
        <w:pStyle w:val="Heading4"/>
      </w:pPr>
      <w:r>
        <w:rPr>
          <w:spacing w:val="-3"/>
        </w:rPr>
        <w:lastRenderedPageBreak/>
        <w:t xml:space="preserve">Current </w:t>
      </w:r>
      <w:r>
        <w:t xml:space="preserve">Clinical </w:t>
      </w:r>
      <w:r>
        <w:rPr>
          <w:spacing w:val="-6"/>
        </w:rPr>
        <w:t xml:space="preserve">Trials </w:t>
      </w:r>
      <w:r>
        <w:rPr>
          <w:spacing w:val="-3"/>
        </w:rPr>
        <w:t xml:space="preserve">and </w:t>
      </w:r>
      <w:r>
        <w:t>Research RHH</w:t>
      </w:r>
    </w:p>
    <w:p w:rsidR="008D7138" w:rsidRDefault="008D7138" w:rsidP="00AC0EBD">
      <w:pPr>
        <w:spacing w:before="100" w:line="364" w:lineRule="auto"/>
        <w:rPr>
          <w:rFonts w:ascii="GillSans-SemiBold"/>
          <w:b/>
        </w:rPr>
      </w:pPr>
      <w:r>
        <w:rPr>
          <w:rFonts w:ascii="GillSans-SemiBold"/>
          <w:b/>
          <w:color w:val="706F6F"/>
          <w:spacing w:val="-3"/>
        </w:rPr>
        <w:t xml:space="preserve">Department </w:t>
      </w:r>
      <w:r>
        <w:rPr>
          <w:rFonts w:ascii="GillSans-SemiBold"/>
          <w:b/>
          <w:color w:val="706F6F"/>
        </w:rPr>
        <w:t xml:space="preserve">of </w:t>
      </w:r>
      <w:r>
        <w:rPr>
          <w:rFonts w:ascii="GillSans-SemiBold"/>
          <w:b/>
          <w:color w:val="706F6F"/>
          <w:spacing w:val="-3"/>
        </w:rPr>
        <w:t>Cardiology</w:t>
      </w:r>
    </w:p>
    <w:p w:rsidR="008D7138" w:rsidRDefault="008D7138" w:rsidP="00AC0EBD">
      <w:pPr>
        <w:pStyle w:val="BodyText"/>
      </w:pPr>
      <w:r>
        <w:rPr>
          <w:rFonts w:ascii="GillSans-SemiBold"/>
          <w:b/>
          <w:spacing w:val="-3"/>
        </w:rPr>
        <w:t xml:space="preserve">TAUSSIGA </w:t>
      </w:r>
      <w:r>
        <w:rPr>
          <w:rFonts w:ascii="GillSans-SemiBold"/>
          <w:b/>
        </w:rPr>
        <w:t xml:space="preserve">Multicenter </w:t>
      </w:r>
      <w:r>
        <w:t>Open-label Study to Assess the Long-</w:t>
      </w:r>
    </w:p>
    <w:p w:rsidR="008D7138" w:rsidRDefault="008D7138" w:rsidP="00AC0EBD">
      <w:pPr>
        <w:pStyle w:val="BodyText"/>
      </w:pPr>
      <w:proofErr w:type="gramStart"/>
      <w:r>
        <w:t>term</w:t>
      </w:r>
      <w:proofErr w:type="gramEnd"/>
      <w:r>
        <w:t xml:space="preserve"> </w:t>
      </w:r>
      <w:r>
        <w:rPr>
          <w:spacing w:val="-3"/>
        </w:rPr>
        <w:t xml:space="preserve">Safety, Tolerability, </w:t>
      </w:r>
      <w:r>
        <w:t xml:space="preserve">and Efficacy of AMG </w:t>
      </w:r>
      <w:r>
        <w:rPr>
          <w:spacing w:val="-6"/>
        </w:rPr>
        <w:t xml:space="preserve">145 </w:t>
      </w:r>
      <w:r>
        <w:t xml:space="preserve">on </w:t>
      </w:r>
      <w:r>
        <w:rPr>
          <w:spacing w:val="-3"/>
        </w:rPr>
        <w:t xml:space="preserve">LDL-C </w:t>
      </w:r>
      <w:r>
        <w:t>in Subjects With Severe Familial Hypercholesterolemia.</w:t>
      </w:r>
    </w:p>
    <w:p w:rsidR="008D7138" w:rsidRDefault="008D7138" w:rsidP="00AC0EBD">
      <w:pPr>
        <w:pStyle w:val="BodyText"/>
      </w:pPr>
      <w:r>
        <w:rPr>
          <w:rFonts w:ascii="GillSans-SemiBold"/>
          <w:b/>
        </w:rPr>
        <w:t xml:space="preserve">FOURIER </w:t>
      </w:r>
      <w:r>
        <w:t>A Double-blind, Randomized, Placebo-controlled, Multicenter Study Assessing the Impact of Additional LDLCholesterol</w:t>
      </w:r>
      <w:r>
        <w:rPr>
          <w:spacing w:val="-22"/>
        </w:rPr>
        <w:t xml:space="preserve"> </w:t>
      </w:r>
      <w:r>
        <w:t>Reduction</w:t>
      </w:r>
      <w:r>
        <w:rPr>
          <w:spacing w:val="-22"/>
        </w:rPr>
        <w:t xml:space="preserve"> </w:t>
      </w:r>
      <w:r>
        <w:t>on</w:t>
      </w:r>
      <w:r>
        <w:rPr>
          <w:spacing w:val="-22"/>
        </w:rPr>
        <w:t xml:space="preserve"> </w:t>
      </w:r>
      <w:r>
        <w:t>Major</w:t>
      </w:r>
      <w:r>
        <w:rPr>
          <w:spacing w:val="-22"/>
        </w:rPr>
        <w:t xml:space="preserve"> </w:t>
      </w:r>
      <w:r>
        <w:t>Cardiovascular</w:t>
      </w:r>
      <w:r>
        <w:rPr>
          <w:spacing w:val="-22"/>
        </w:rPr>
        <w:t xml:space="preserve"> </w:t>
      </w:r>
      <w:r>
        <w:t>Events</w:t>
      </w:r>
      <w:r>
        <w:rPr>
          <w:spacing w:val="-22"/>
        </w:rPr>
        <w:t xml:space="preserve"> </w:t>
      </w:r>
      <w:r>
        <w:t>When AMG</w:t>
      </w:r>
      <w:r>
        <w:rPr>
          <w:spacing w:val="-15"/>
        </w:rPr>
        <w:t xml:space="preserve"> </w:t>
      </w:r>
      <w:r>
        <w:rPr>
          <w:spacing w:val="-6"/>
        </w:rPr>
        <w:t>145</w:t>
      </w:r>
      <w:r>
        <w:rPr>
          <w:spacing w:val="-15"/>
        </w:rPr>
        <w:t xml:space="preserve"> </w:t>
      </w:r>
      <w:r>
        <w:t>is</w:t>
      </w:r>
      <w:r>
        <w:rPr>
          <w:spacing w:val="-15"/>
        </w:rPr>
        <w:t xml:space="preserve"> </w:t>
      </w:r>
      <w:r>
        <w:t>Used</w:t>
      </w:r>
      <w:r>
        <w:rPr>
          <w:spacing w:val="-15"/>
        </w:rPr>
        <w:t xml:space="preserve"> </w:t>
      </w:r>
      <w:r>
        <w:t>in</w:t>
      </w:r>
      <w:r>
        <w:rPr>
          <w:spacing w:val="-15"/>
        </w:rPr>
        <w:t xml:space="preserve"> </w:t>
      </w:r>
      <w:r>
        <w:t>Combination</w:t>
      </w:r>
      <w:r>
        <w:rPr>
          <w:spacing w:val="-15"/>
        </w:rPr>
        <w:t xml:space="preserve"> </w:t>
      </w:r>
      <w:r>
        <w:t>With</w:t>
      </w:r>
      <w:r>
        <w:rPr>
          <w:spacing w:val="-15"/>
        </w:rPr>
        <w:t xml:space="preserve"> </w:t>
      </w:r>
      <w:r>
        <w:t>Statin</w:t>
      </w:r>
      <w:r>
        <w:rPr>
          <w:spacing w:val="-15"/>
        </w:rPr>
        <w:t xml:space="preserve"> </w:t>
      </w:r>
      <w:r>
        <w:t>Therapy</w:t>
      </w:r>
      <w:r>
        <w:rPr>
          <w:spacing w:val="-15"/>
        </w:rPr>
        <w:t xml:space="preserve"> </w:t>
      </w:r>
      <w:r>
        <w:t>in</w:t>
      </w:r>
      <w:r>
        <w:rPr>
          <w:spacing w:val="-15"/>
        </w:rPr>
        <w:t xml:space="preserve"> </w:t>
      </w:r>
      <w:r>
        <w:t>Patients with</w:t>
      </w:r>
      <w:r>
        <w:rPr>
          <w:spacing w:val="-26"/>
        </w:rPr>
        <w:t xml:space="preserve"> </w:t>
      </w:r>
      <w:r>
        <w:t>Clinically</w:t>
      </w:r>
      <w:r>
        <w:rPr>
          <w:spacing w:val="-26"/>
        </w:rPr>
        <w:t xml:space="preserve"> </w:t>
      </w:r>
      <w:r>
        <w:t>Evident</w:t>
      </w:r>
      <w:r>
        <w:rPr>
          <w:spacing w:val="-26"/>
        </w:rPr>
        <w:t xml:space="preserve"> </w:t>
      </w:r>
      <w:r>
        <w:t>Cardiovascular</w:t>
      </w:r>
      <w:r>
        <w:rPr>
          <w:spacing w:val="-26"/>
        </w:rPr>
        <w:t xml:space="preserve"> </w:t>
      </w:r>
      <w:r>
        <w:t>Disease.</w:t>
      </w:r>
    </w:p>
    <w:p w:rsidR="008D7138" w:rsidRDefault="008D7138" w:rsidP="00AC0EBD">
      <w:pPr>
        <w:pStyle w:val="BodyText"/>
      </w:pPr>
      <w:r>
        <w:rPr>
          <w:rFonts w:ascii="GillSans-SemiBold"/>
          <w:b/>
        </w:rPr>
        <w:t xml:space="preserve">CANTOS </w:t>
      </w:r>
      <w:r>
        <w:t>A randomized, double blind, placebo-controlled, event</w:t>
      </w:r>
      <w:r>
        <w:rPr>
          <w:spacing w:val="-15"/>
        </w:rPr>
        <w:t xml:space="preserve"> </w:t>
      </w:r>
      <w:r>
        <w:t>driven</w:t>
      </w:r>
      <w:r>
        <w:rPr>
          <w:spacing w:val="-15"/>
        </w:rPr>
        <w:t xml:space="preserve"> </w:t>
      </w:r>
      <w:r>
        <w:t>trial</w:t>
      </w:r>
      <w:r>
        <w:rPr>
          <w:spacing w:val="-15"/>
        </w:rPr>
        <w:t xml:space="preserve"> </w:t>
      </w:r>
      <w:r>
        <w:t>of</w:t>
      </w:r>
      <w:r>
        <w:rPr>
          <w:spacing w:val="-15"/>
        </w:rPr>
        <w:t xml:space="preserve"> </w:t>
      </w:r>
      <w:r>
        <w:t>quarterly</w:t>
      </w:r>
      <w:r>
        <w:rPr>
          <w:spacing w:val="-15"/>
        </w:rPr>
        <w:t xml:space="preserve"> </w:t>
      </w:r>
      <w:r>
        <w:t>subcutaneous</w:t>
      </w:r>
      <w:r>
        <w:rPr>
          <w:spacing w:val="-15"/>
        </w:rPr>
        <w:t xml:space="preserve"> </w:t>
      </w:r>
      <w:r>
        <w:t>Canakinumab</w:t>
      </w:r>
      <w:r>
        <w:rPr>
          <w:spacing w:val="-15"/>
        </w:rPr>
        <w:t xml:space="preserve"> </w:t>
      </w:r>
      <w:r>
        <w:t>in</w:t>
      </w:r>
      <w:r>
        <w:rPr>
          <w:spacing w:val="-15"/>
        </w:rPr>
        <w:t xml:space="preserve"> </w:t>
      </w:r>
      <w:r>
        <w:t>the prevention</w:t>
      </w:r>
      <w:r>
        <w:rPr>
          <w:spacing w:val="-20"/>
        </w:rPr>
        <w:t xml:space="preserve"> </w:t>
      </w:r>
      <w:r>
        <w:t>of</w:t>
      </w:r>
      <w:r>
        <w:rPr>
          <w:spacing w:val="-20"/>
        </w:rPr>
        <w:t xml:space="preserve"> </w:t>
      </w:r>
      <w:r>
        <w:t>recurrent</w:t>
      </w:r>
      <w:r>
        <w:rPr>
          <w:spacing w:val="-20"/>
        </w:rPr>
        <w:t xml:space="preserve"> </w:t>
      </w:r>
      <w:r>
        <w:t>cardiovascular</w:t>
      </w:r>
      <w:r>
        <w:rPr>
          <w:spacing w:val="-20"/>
        </w:rPr>
        <w:t xml:space="preserve"> </w:t>
      </w:r>
      <w:r>
        <w:t>events</w:t>
      </w:r>
      <w:r>
        <w:rPr>
          <w:spacing w:val="-20"/>
        </w:rPr>
        <w:t xml:space="preserve"> </w:t>
      </w:r>
      <w:r>
        <w:t>among</w:t>
      </w:r>
      <w:r>
        <w:rPr>
          <w:spacing w:val="-20"/>
        </w:rPr>
        <w:t xml:space="preserve"> </w:t>
      </w:r>
      <w:r>
        <w:t>stable</w:t>
      </w:r>
      <w:r>
        <w:rPr>
          <w:spacing w:val="-20"/>
        </w:rPr>
        <w:t xml:space="preserve"> </w:t>
      </w:r>
      <w:r>
        <w:t>post- myocardial</w:t>
      </w:r>
      <w:r>
        <w:rPr>
          <w:spacing w:val="-21"/>
        </w:rPr>
        <w:t xml:space="preserve"> </w:t>
      </w:r>
      <w:r>
        <w:t>infarction</w:t>
      </w:r>
      <w:r>
        <w:rPr>
          <w:spacing w:val="-21"/>
        </w:rPr>
        <w:t xml:space="preserve"> </w:t>
      </w:r>
      <w:r>
        <w:t>patients</w:t>
      </w:r>
      <w:r>
        <w:rPr>
          <w:spacing w:val="-21"/>
        </w:rPr>
        <w:t xml:space="preserve"> </w:t>
      </w:r>
      <w:r>
        <w:t>with</w:t>
      </w:r>
      <w:r>
        <w:rPr>
          <w:spacing w:val="-21"/>
        </w:rPr>
        <w:t xml:space="preserve"> </w:t>
      </w:r>
      <w:r>
        <w:t>elevated</w:t>
      </w:r>
      <w:r>
        <w:rPr>
          <w:spacing w:val="-21"/>
        </w:rPr>
        <w:t xml:space="preserve"> </w:t>
      </w:r>
      <w:r>
        <w:rPr>
          <w:spacing w:val="-4"/>
        </w:rPr>
        <w:t>hsCRP.</w:t>
      </w:r>
    </w:p>
    <w:p w:rsidR="008D7138" w:rsidRDefault="008D7138" w:rsidP="00AC0EBD">
      <w:pPr>
        <w:pStyle w:val="BodyText"/>
      </w:pPr>
      <w:r>
        <w:rPr>
          <w:rFonts w:ascii="GillSans-SemiBold"/>
          <w:b/>
        </w:rPr>
        <w:t>COMPASS</w:t>
      </w:r>
      <w:r>
        <w:rPr>
          <w:rFonts w:ascii="GillSans-SemiBold"/>
          <w:b/>
          <w:spacing w:val="-20"/>
        </w:rPr>
        <w:t xml:space="preserve"> </w:t>
      </w:r>
      <w:r>
        <w:t>A</w:t>
      </w:r>
      <w:r>
        <w:rPr>
          <w:spacing w:val="-20"/>
        </w:rPr>
        <w:t xml:space="preserve"> </w:t>
      </w:r>
      <w:r>
        <w:t>randomised</w:t>
      </w:r>
      <w:r>
        <w:rPr>
          <w:spacing w:val="-20"/>
        </w:rPr>
        <w:t xml:space="preserve"> </w:t>
      </w:r>
      <w:r>
        <w:t>controlled</w:t>
      </w:r>
      <w:r>
        <w:rPr>
          <w:spacing w:val="-20"/>
        </w:rPr>
        <w:t xml:space="preserve"> </w:t>
      </w:r>
      <w:r>
        <w:t>trial</w:t>
      </w:r>
      <w:r>
        <w:rPr>
          <w:spacing w:val="-20"/>
        </w:rPr>
        <w:t xml:space="preserve"> </w:t>
      </w:r>
      <w:r>
        <w:t>of</w:t>
      </w:r>
      <w:r>
        <w:rPr>
          <w:spacing w:val="-20"/>
        </w:rPr>
        <w:t xml:space="preserve"> </w:t>
      </w:r>
      <w:r>
        <w:t>Rivaroxaban</w:t>
      </w:r>
      <w:r>
        <w:rPr>
          <w:spacing w:val="-20"/>
        </w:rPr>
        <w:t xml:space="preserve"> </w:t>
      </w:r>
      <w:r>
        <w:t>for the</w:t>
      </w:r>
      <w:r>
        <w:rPr>
          <w:spacing w:val="-18"/>
        </w:rPr>
        <w:t xml:space="preserve"> </w:t>
      </w:r>
      <w:r>
        <w:t>prevention</w:t>
      </w:r>
      <w:r>
        <w:rPr>
          <w:spacing w:val="-18"/>
        </w:rPr>
        <w:t xml:space="preserve"> </w:t>
      </w:r>
      <w:r>
        <w:t>of</w:t>
      </w:r>
      <w:r>
        <w:rPr>
          <w:spacing w:val="-18"/>
        </w:rPr>
        <w:t xml:space="preserve"> </w:t>
      </w:r>
      <w:r>
        <w:t>major</w:t>
      </w:r>
      <w:r>
        <w:rPr>
          <w:spacing w:val="-18"/>
        </w:rPr>
        <w:t xml:space="preserve"> </w:t>
      </w:r>
      <w:r>
        <w:t>cardiovascular</w:t>
      </w:r>
      <w:r>
        <w:rPr>
          <w:spacing w:val="-18"/>
        </w:rPr>
        <w:t xml:space="preserve"> </w:t>
      </w:r>
      <w:r>
        <w:t>events</w:t>
      </w:r>
      <w:r>
        <w:rPr>
          <w:spacing w:val="-18"/>
        </w:rPr>
        <w:t xml:space="preserve"> </w:t>
      </w:r>
      <w:r>
        <w:t>in</w:t>
      </w:r>
      <w:r>
        <w:rPr>
          <w:spacing w:val="-18"/>
        </w:rPr>
        <w:t xml:space="preserve"> </w:t>
      </w:r>
      <w:r>
        <w:t>patients</w:t>
      </w:r>
      <w:r>
        <w:rPr>
          <w:spacing w:val="-18"/>
        </w:rPr>
        <w:t xml:space="preserve"> </w:t>
      </w:r>
      <w:r>
        <w:t>with coronary</w:t>
      </w:r>
      <w:r>
        <w:rPr>
          <w:spacing w:val="-16"/>
        </w:rPr>
        <w:t xml:space="preserve"> </w:t>
      </w:r>
      <w:r>
        <w:t>or</w:t>
      </w:r>
      <w:r>
        <w:rPr>
          <w:spacing w:val="-16"/>
        </w:rPr>
        <w:t xml:space="preserve"> </w:t>
      </w:r>
      <w:r>
        <w:t>peripheral</w:t>
      </w:r>
      <w:r>
        <w:rPr>
          <w:spacing w:val="-16"/>
        </w:rPr>
        <w:t xml:space="preserve"> </w:t>
      </w:r>
      <w:r>
        <w:rPr>
          <w:spacing w:val="2"/>
        </w:rPr>
        <w:t>artery</w:t>
      </w:r>
      <w:r>
        <w:rPr>
          <w:spacing w:val="-16"/>
        </w:rPr>
        <w:t xml:space="preserve"> </w:t>
      </w:r>
      <w:r>
        <w:t>disease.</w:t>
      </w:r>
    </w:p>
    <w:p w:rsidR="008D7138" w:rsidRDefault="008D7138" w:rsidP="00AC0EBD">
      <w:pPr>
        <w:pStyle w:val="BodyText"/>
      </w:pPr>
      <w:r>
        <w:rPr>
          <w:rFonts w:ascii="GillSans-SemiBold"/>
          <w:b/>
        </w:rPr>
        <w:t xml:space="preserve">GEMINI </w:t>
      </w:r>
      <w:proofErr w:type="gramStart"/>
      <w:r>
        <w:t>A</w:t>
      </w:r>
      <w:proofErr w:type="gramEnd"/>
      <w:r>
        <w:t xml:space="preserve"> Randomized, Double-blind, Double-dummy,</w:t>
      </w:r>
    </w:p>
    <w:p w:rsidR="008D7138" w:rsidRDefault="008D7138" w:rsidP="00AC0EBD">
      <w:pPr>
        <w:pStyle w:val="BodyText"/>
      </w:pPr>
      <w:r>
        <w:t>Active-controlled,</w:t>
      </w:r>
      <w:r>
        <w:rPr>
          <w:spacing w:val="-24"/>
        </w:rPr>
        <w:t xml:space="preserve"> </w:t>
      </w:r>
      <w:r>
        <w:t>Parallel-group,</w:t>
      </w:r>
      <w:r>
        <w:rPr>
          <w:spacing w:val="-24"/>
        </w:rPr>
        <w:t xml:space="preserve"> </w:t>
      </w:r>
      <w:r>
        <w:t>Multicentre</w:t>
      </w:r>
      <w:r>
        <w:rPr>
          <w:spacing w:val="-24"/>
        </w:rPr>
        <w:t xml:space="preserve"> </w:t>
      </w:r>
      <w:r>
        <w:t>Study</w:t>
      </w:r>
      <w:r>
        <w:rPr>
          <w:spacing w:val="-24"/>
        </w:rPr>
        <w:t xml:space="preserve"> </w:t>
      </w:r>
      <w:r>
        <w:t>to</w:t>
      </w:r>
      <w:r>
        <w:rPr>
          <w:spacing w:val="-24"/>
        </w:rPr>
        <w:t xml:space="preserve"> </w:t>
      </w:r>
      <w:r>
        <w:t>Compare the Safety of Rivaroxaban vs Acetylsalicylic Acid in Addition to Either</w:t>
      </w:r>
      <w:r>
        <w:rPr>
          <w:spacing w:val="-16"/>
        </w:rPr>
        <w:t xml:space="preserve"> </w:t>
      </w:r>
      <w:r>
        <w:t>Clopidogrel</w:t>
      </w:r>
      <w:r>
        <w:rPr>
          <w:spacing w:val="-16"/>
        </w:rPr>
        <w:t xml:space="preserve"> </w:t>
      </w:r>
      <w:r>
        <w:t>or</w:t>
      </w:r>
      <w:r>
        <w:rPr>
          <w:spacing w:val="-16"/>
        </w:rPr>
        <w:t xml:space="preserve"> </w:t>
      </w:r>
      <w:r>
        <w:t>Ticagrelor</w:t>
      </w:r>
      <w:r>
        <w:rPr>
          <w:spacing w:val="-16"/>
        </w:rPr>
        <w:t xml:space="preserve"> </w:t>
      </w:r>
      <w:r>
        <w:t>Therapy</w:t>
      </w:r>
      <w:r>
        <w:rPr>
          <w:spacing w:val="-16"/>
        </w:rPr>
        <w:t xml:space="preserve"> </w:t>
      </w:r>
      <w:r>
        <w:t>in</w:t>
      </w:r>
      <w:r>
        <w:rPr>
          <w:spacing w:val="-16"/>
        </w:rPr>
        <w:t xml:space="preserve"> </w:t>
      </w:r>
      <w:r>
        <w:t>Subjects</w:t>
      </w:r>
      <w:r>
        <w:rPr>
          <w:spacing w:val="-16"/>
        </w:rPr>
        <w:t xml:space="preserve"> </w:t>
      </w:r>
      <w:r>
        <w:t>with</w:t>
      </w:r>
      <w:r>
        <w:rPr>
          <w:spacing w:val="-16"/>
        </w:rPr>
        <w:t xml:space="preserve"> </w:t>
      </w:r>
      <w:r>
        <w:t>Acute Coronary</w:t>
      </w:r>
      <w:r>
        <w:rPr>
          <w:spacing w:val="-30"/>
        </w:rPr>
        <w:t xml:space="preserve"> </w:t>
      </w:r>
      <w:r>
        <w:t>Syndrome.</w:t>
      </w:r>
    </w:p>
    <w:p w:rsidR="008D7138" w:rsidRDefault="008D7138" w:rsidP="00AC0EBD">
      <w:pPr>
        <w:pStyle w:val="BodyText"/>
      </w:pPr>
      <w:r>
        <w:rPr>
          <w:rFonts w:ascii="GillSans-SemiBold"/>
          <w:b/>
        </w:rPr>
        <w:t>ODYSSEY</w:t>
      </w:r>
      <w:r>
        <w:rPr>
          <w:rFonts w:ascii="GillSans-SemiBold"/>
          <w:b/>
          <w:spacing w:val="-26"/>
        </w:rPr>
        <w:t xml:space="preserve"> </w:t>
      </w:r>
      <w:r>
        <w:t>A</w:t>
      </w:r>
      <w:r>
        <w:rPr>
          <w:spacing w:val="-26"/>
        </w:rPr>
        <w:t xml:space="preserve"> </w:t>
      </w:r>
      <w:r>
        <w:t>Randomized,</w:t>
      </w:r>
      <w:r>
        <w:rPr>
          <w:spacing w:val="-26"/>
        </w:rPr>
        <w:t xml:space="preserve"> </w:t>
      </w:r>
      <w:r>
        <w:t>Double-Blind,</w:t>
      </w:r>
      <w:r>
        <w:rPr>
          <w:spacing w:val="-26"/>
        </w:rPr>
        <w:t xml:space="preserve"> </w:t>
      </w:r>
      <w:r>
        <w:t>Placebo-Controlled, Parallel-Group Study to Evaluate the Effect of Alirocumab (SAR236553/REGN727)</w:t>
      </w:r>
      <w:r>
        <w:rPr>
          <w:spacing w:val="-24"/>
        </w:rPr>
        <w:t xml:space="preserve"> </w:t>
      </w:r>
      <w:r>
        <w:t>on</w:t>
      </w:r>
      <w:r>
        <w:rPr>
          <w:spacing w:val="-24"/>
        </w:rPr>
        <w:t xml:space="preserve"> </w:t>
      </w:r>
      <w:r>
        <w:t>the</w:t>
      </w:r>
      <w:r>
        <w:rPr>
          <w:spacing w:val="-24"/>
        </w:rPr>
        <w:t xml:space="preserve"> </w:t>
      </w:r>
      <w:r>
        <w:t>Occurrence</w:t>
      </w:r>
      <w:r>
        <w:rPr>
          <w:spacing w:val="-24"/>
        </w:rPr>
        <w:t xml:space="preserve"> </w:t>
      </w:r>
      <w:r>
        <w:t>of</w:t>
      </w:r>
      <w:r>
        <w:rPr>
          <w:spacing w:val="-24"/>
        </w:rPr>
        <w:t xml:space="preserve"> </w:t>
      </w:r>
      <w:r>
        <w:t xml:space="preserve">Cardiovascular Events in Patients who </w:t>
      </w:r>
      <w:r>
        <w:rPr>
          <w:spacing w:val="-3"/>
        </w:rPr>
        <w:t xml:space="preserve">have </w:t>
      </w:r>
      <w:r>
        <w:t>Recently Experienced an Acute Coronary</w:t>
      </w:r>
      <w:r>
        <w:rPr>
          <w:spacing w:val="-30"/>
        </w:rPr>
        <w:t xml:space="preserve"> </w:t>
      </w:r>
      <w:r>
        <w:t>Syndrome.</w:t>
      </w:r>
    </w:p>
    <w:p w:rsidR="008D7138" w:rsidRDefault="008D7138" w:rsidP="00AC0EBD">
      <w:pPr>
        <w:pStyle w:val="BodyText"/>
      </w:pPr>
      <w:r>
        <w:rPr>
          <w:rFonts w:ascii="GillSans-SemiBold"/>
          <w:b/>
        </w:rPr>
        <w:t xml:space="preserve">GARFIELD </w:t>
      </w:r>
      <w:r>
        <w:t xml:space="preserve">Prospective, multicentre, International, registry </w:t>
      </w:r>
      <w:r>
        <w:rPr>
          <w:spacing w:val="-4"/>
        </w:rPr>
        <w:t xml:space="preserve">of </w:t>
      </w:r>
      <w:r>
        <w:t>male</w:t>
      </w:r>
      <w:r>
        <w:rPr>
          <w:spacing w:val="-15"/>
        </w:rPr>
        <w:t xml:space="preserve"> </w:t>
      </w:r>
      <w:r>
        <w:t>and</w:t>
      </w:r>
      <w:r>
        <w:rPr>
          <w:spacing w:val="-15"/>
        </w:rPr>
        <w:t xml:space="preserve"> </w:t>
      </w:r>
      <w:r>
        <w:t>female</w:t>
      </w:r>
      <w:r>
        <w:rPr>
          <w:spacing w:val="-15"/>
        </w:rPr>
        <w:t xml:space="preserve"> </w:t>
      </w:r>
      <w:r>
        <w:t>patients</w:t>
      </w:r>
      <w:r>
        <w:rPr>
          <w:spacing w:val="-15"/>
        </w:rPr>
        <w:t xml:space="preserve"> </w:t>
      </w:r>
      <w:r>
        <w:t>newly</w:t>
      </w:r>
      <w:r>
        <w:rPr>
          <w:spacing w:val="-15"/>
        </w:rPr>
        <w:t xml:space="preserve"> </w:t>
      </w:r>
      <w:r>
        <w:t>diagnosed</w:t>
      </w:r>
      <w:r>
        <w:rPr>
          <w:spacing w:val="-15"/>
        </w:rPr>
        <w:t xml:space="preserve"> </w:t>
      </w:r>
      <w:r>
        <w:t>with</w:t>
      </w:r>
      <w:r>
        <w:rPr>
          <w:spacing w:val="-15"/>
        </w:rPr>
        <w:t xml:space="preserve"> </w:t>
      </w:r>
      <w:r>
        <w:t>atrial</w:t>
      </w:r>
      <w:r>
        <w:rPr>
          <w:spacing w:val="-15"/>
        </w:rPr>
        <w:t xml:space="preserve"> </w:t>
      </w:r>
      <w:r>
        <w:t>fibrillation. A</w:t>
      </w:r>
      <w:r>
        <w:rPr>
          <w:spacing w:val="-16"/>
        </w:rPr>
        <w:t xml:space="preserve"> </w:t>
      </w:r>
      <w:r>
        <w:t>Clinical</w:t>
      </w:r>
      <w:r>
        <w:rPr>
          <w:spacing w:val="-16"/>
        </w:rPr>
        <w:t xml:space="preserve"> </w:t>
      </w:r>
      <w:r>
        <w:t>Outcomes</w:t>
      </w:r>
      <w:r>
        <w:rPr>
          <w:spacing w:val="-16"/>
        </w:rPr>
        <w:t xml:space="preserve"> </w:t>
      </w:r>
      <w:r>
        <w:t>Study</w:t>
      </w:r>
      <w:r>
        <w:rPr>
          <w:spacing w:val="-16"/>
        </w:rPr>
        <w:t xml:space="preserve"> </w:t>
      </w:r>
      <w:r>
        <w:t>to</w:t>
      </w:r>
      <w:r>
        <w:rPr>
          <w:spacing w:val="-16"/>
        </w:rPr>
        <w:t xml:space="preserve"> </w:t>
      </w:r>
      <w:r>
        <w:t>Compare</w:t>
      </w:r>
      <w:r>
        <w:rPr>
          <w:spacing w:val="-16"/>
        </w:rPr>
        <w:t xml:space="preserve"> </w:t>
      </w:r>
      <w:r>
        <w:t>the</w:t>
      </w:r>
      <w:r>
        <w:rPr>
          <w:spacing w:val="-16"/>
        </w:rPr>
        <w:t xml:space="preserve"> </w:t>
      </w:r>
      <w:r>
        <w:t>Incidence</w:t>
      </w:r>
      <w:r>
        <w:rPr>
          <w:spacing w:val="-16"/>
        </w:rPr>
        <w:t xml:space="preserve"> </w:t>
      </w:r>
      <w:r>
        <w:t>of</w:t>
      </w:r>
      <w:r>
        <w:rPr>
          <w:spacing w:val="-16"/>
        </w:rPr>
        <w:t xml:space="preserve"> </w:t>
      </w:r>
      <w:r>
        <w:t>Major Adverse</w:t>
      </w:r>
      <w:r>
        <w:rPr>
          <w:spacing w:val="-19"/>
        </w:rPr>
        <w:t xml:space="preserve"> </w:t>
      </w:r>
      <w:r>
        <w:t>Cardiovascular</w:t>
      </w:r>
      <w:r>
        <w:rPr>
          <w:spacing w:val="-19"/>
        </w:rPr>
        <w:t xml:space="preserve"> </w:t>
      </w:r>
      <w:r>
        <w:t>Events</w:t>
      </w:r>
      <w:r>
        <w:rPr>
          <w:spacing w:val="-19"/>
        </w:rPr>
        <w:t xml:space="preserve"> </w:t>
      </w:r>
      <w:r>
        <w:t>in</w:t>
      </w:r>
      <w:r>
        <w:rPr>
          <w:spacing w:val="-19"/>
        </w:rPr>
        <w:t xml:space="preserve"> </w:t>
      </w:r>
      <w:r>
        <w:t>Subjects</w:t>
      </w:r>
      <w:r>
        <w:rPr>
          <w:spacing w:val="-19"/>
        </w:rPr>
        <w:t xml:space="preserve"> </w:t>
      </w:r>
      <w:r>
        <w:t>Presenting</w:t>
      </w:r>
      <w:r>
        <w:rPr>
          <w:spacing w:val="-19"/>
        </w:rPr>
        <w:t xml:space="preserve"> </w:t>
      </w:r>
      <w:r>
        <w:t>with</w:t>
      </w:r>
      <w:r>
        <w:rPr>
          <w:spacing w:val="-19"/>
        </w:rPr>
        <w:t xml:space="preserve"> </w:t>
      </w:r>
      <w:r>
        <w:t xml:space="preserve">Acute Coronary Syndrome </w:t>
      </w:r>
      <w:r>
        <w:rPr>
          <w:spacing w:val="-3"/>
        </w:rPr>
        <w:t xml:space="preserve">Treated </w:t>
      </w:r>
      <w:r>
        <w:t>with Losmapimod Compared to Placebo.</w:t>
      </w:r>
    </w:p>
    <w:p w:rsidR="008D7138" w:rsidRDefault="008D7138" w:rsidP="00AC0EBD">
      <w:pPr>
        <w:pStyle w:val="BodyText"/>
      </w:pPr>
      <w:r>
        <w:rPr>
          <w:rFonts w:ascii="GillSans-SemiBold"/>
          <w:b/>
        </w:rPr>
        <w:t xml:space="preserve">COMMANDER </w:t>
      </w:r>
      <w:r>
        <w:t xml:space="preserve">Randomized, Double-blind, Event-driven, Multicenter Study Comparing the Efficacy and Safety </w:t>
      </w:r>
      <w:r>
        <w:rPr>
          <w:spacing w:val="-4"/>
        </w:rPr>
        <w:t xml:space="preserve">of </w:t>
      </w:r>
      <w:r>
        <w:t>Rivaroxaban with Placebo for Reducing the Risk of Death, Myocardial Infarction or Stroke in Subjects with Heart Failure and</w:t>
      </w:r>
      <w:r>
        <w:rPr>
          <w:spacing w:val="-17"/>
        </w:rPr>
        <w:t xml:space="preserve"> </w:t>
      </w:r>
      <w:r>
        <w:t>Significant</w:t>
      </w:r>
      <w:r>
        <w:rPr>
          <w:spacing w:val="-17"/>
        </w:rPr>
        <w:t xml:space="preserve"> </w:t>
      </w:r>
      <w:r>
        <w:t>Coronary</w:t>
      </w:r>
      <w:r>
        <w:rPr>
          <w:spacing w:val="-17"/>
        </w:rPr>
        <w:t xml:space="preserve"> </w:t>
      </w:r>
      <w:r>
        <w:rPr>
          <w:spacing w:val="2"/>
        </w:rPr>
        <w:t>Artery</w:t>
      </w:r>
      <w:r>
        <w:rPr>
          <w:spacing w:val="-17"/>
        </w:rPr>
        <w:t xml:space="preserve"> </w:t>
      </w:r>
      <w:r>
        <w:t>Disease</w:t>
      </w:r>
      <w:r>
        <w:rPr>
          <w:spacing w:val="-17"/>
        </w:rPr>
        <w:t xml:space="preserve"> </w:t>
      </w:r>
      <w:r>
        <w:t>Following</w:t>
      </w:r>
      <w:r>
        <w:rPr>
          <w:spacing w:val="-17"/>
        </w:rPr>
        <w:t xml:space="preserve"> </w:t>
      </w:r>
      <w:r>
        <w:t>an</w:t>
      </w:r>
      <w:r>
        <w:rPr>
          <w:spacing w:val="-17"/>
        </w:rPr>
        <w:t xml:space="preserve"> </w:t>
      </w:r>
      <w:r>
        <w:t>Episode</w:t>
      </w:r>
      <w:r>
        <w:rPr>
          <w:spacing w:val="-17"/>
        </w:rPr>
        <w:t xml:space="preserve"> </w:t>
      </w:r>
      <w:r>
        <w:rPr>
          <w:spacing w:val="-4"/>
        </w:rPr>
        <w:t xml:space="preserve">of </w:t>
      </w:r>
      <w:r>
        <w:t>Decompensated</w:t>
      </w:r>
      <w:r>
        <w:rPr>
          <w:spacing w:val="-25"/>
        </w:rPr>
        <w:t xml:space="preserve"> </w:t>
      </w:r>
      <w:r>
        <w:t>Heart</w:t>
      </w:r>
      <w:r>
        <w:rPr>
          <w:spacing w:val="-25"/>
        </w:rPr>
        <w:t xml:space="preserve"> </w:t>
      </w:r>
      <w:r>
        <w:t>Failure.</w:t>
      </w:r>
    </w:p>
    <w:p w:rsidR="008D7138" w:rsidRDefault="008D7138" w:rsidP="00AC0EBD">
      <w:pPr>
        <w:pStyle w:val="BodyText"/>
      </w:pPr>
      <w:r>
        <w:rPr>
          <w:rFonts w:ascii="GillSans-SemiBold"/>
          <w:b/>
        </w:rPr>
        <w:t xml:space="preserve">COPS </w:t>
      </w:r>
      <w:r>
        <w:t>A multicentre, double blind, randomised, placebo controlled</w:t>
      </w:r>
      <w:r>
        <w:rPr>
          <w:spacing w:val="-17"/>
        </w:rPr>
        <w:t xml:space="preserve"> </w:t>
      </w:r>
      <w:r>
        <w:t>trial</w:t>
      </w:r>
      <w:r>
        <w:rPr>
          <w:spacing w:val="-17"/>
        </w:rPr>
        <w:t xml:space="preserve"> </w:t>
      </w:r>
      <w:r>
        <w:t>to</w:t>
      </w:r>
      <w:r>
        <w:rPr>
          <w:spacing w:val="-17"/>
        </w:rPr>
        <w:t xml:space="preserve"> </w:t>
      </w:r>
      <w:r>
        <w:t>assess</w:t>
      </w:r>
      <w:r>
        <w:rPr>
          <w:spacing w:val="-17"/>
        </w:rPr>
        <w:t xml:space="preserve"> </w:t>
      </w:r>
      <w:r>
        <w:t>the</w:t>
      </w:r>
      <w:r>
        <w:rPr>
          <w:spacing w:val="-17"/>
        </w:rPr>
        <w:t xml:space="preserve"> </w:t>
      </w:r>
      <w:r>
        <w:t>impact</w:t>
      </w:r>
      <w:r>
        <w:rPr>
          <w:spacing w:val="-17"/>
        </w:rPr>
        <w:t xml:space="preserve"> </w:t>
      </w:r>
      <w:r>
        <w:t>of</w:t>
      </w:r>
      <w:r>
        <w:rPr>
          <w:spacing w:val="-17"/>
        </w:rPr>
        <w:t xml:space="preserve"> </w:t>
      </w:r>
      <w:r>
        <w:rPr>
          <w:spacing w:val="-2"/>
        </w:rPr>
        <w:t>low</w:t>
      </w:r>
      <w:r>
        <w:rPr>
          <w:spacing w:val="-17"/>
        </w:rPr>
        <w:t xml:space="preserve"> </w:t>
      </w:r>
      <w:r>
        <w:t>dose</w:t>
      </w:r>
      <w:r>
        <w:rPr>
          <w:spacing w:val="-17"/>
        </w:rPr>
        <w:t xml:space="preserve"> </w:t>
      </w:r>
      <w:r>
        <w:t>colchicine</w:t>
      </w:r>
      <w:r>
        <w:rPr>
          <w:spacing w:val="-17"/>
        </w:rPr>
        <w:t xml:space="preserve"> </w:t>
      </w:r>
      <w:r>
        <w:t>on</w:t>
      </w:r>
      <w:r>
        <w:rPr>
          <w:spacing w:val="-17"/>
        </w:rPr>
        <w:t xml:space="preserve"> </w:t>
      </w:r>
      <w:r>
        <w:t>long term cardiovascular outcomes in patients presenting with acute coronary</w:t>
      </w:r>
      <w:r>
        <w:rPr>
          <w:spacing w:val="-27"/>
        </w:rPr>
        <w:t xml:space="preserve"> </w:t>
      </w:r>
      <w:r>
        <w:t>syndromes.</w:t>
      </w:r>
    </w:p>
    <w:p w:rsidR="008D7138" w:rsidRDefault="008D7138" w:rsidP="00AC0EBD">
      <w:pPr>
        <w:pStyle w:val="BodyText"/>
      </w:pPr>
      <w:r>
        <w:rPr>
          <w:rFonts w:ascii="GillSans-SemiBold"/>
          <w:b/>
        </w:rPr>
        <w:t>CAAN-AF</w:t>
      </w:r>
      <w:r>
        <w:rPr>
          <w:rFonts w:ascii="GillSans-SemiBold"/>
          <w:b/>
          <w:spacing w:val="-18"/>
        </w:rPr>
        <w:t xml:space="preserve"> </w:t>
      </w:r>
      <w:r>
        <w:t>Cardiac</w:t>
      </w:r>
      <w:r>
        <w:rPr>
          <w:spacing w:val="-18"/>
        </w:rPr>
        <w:t xml:space="preserve"> </w:t>
      </w:r>
      <w:r>
        <w:t>Resynchronisation</w:t>
      </w:r>
      <w:r>
        <w:rPr>
          <w:spacing w:val="-18"/>
        </w:rPr>
        <w:t xml:space="preserve"> </w:t>
      </w:r>
      <w:r>
        <w:t>Therapy</w:t>
      </w:r>
      <w:r>
        <w:rPr>
          <w:spacing w:val="-18"/>
        </w:rPr>
        <w:t xml:space="preserve"> </w:t>
      </w:r>
      <w:r>
        <w:t>(CRT)</w:t>
      </w:r>
      <w:r>
        <w:rPr>
          <w:spacing w:val="-18"/>
        </w:rPr>
        <w:t xml:space="preserve"> </w:t>
      </w:r>
      <w:r>
        <w:t>And</w:t>
      </w:r>
      <w:r>
        <w:rPr>
          <w:spacing w:val="-18"/>
        </w:rPr>
        <w:t xml:space="preserve"> </w:t>
      </w:r>
      <w:r>
        <w:rPr>
          <w:spacing w:val="-6"/>
        </w:rPr>
        <w:t xml:space="preserve">AV </w:t>
      </w:r>
      <w:proofErr w:type="gramStart"/>
      <w:r>
        <w:t>Node</w:t>
      </w:r>
      <w:proofErr w:type="gramEnd"/>
      <w:r>
        <w:rPr>
          <w:spacing w:val="-15"/>
        </w:rPr>
        <w:t xml:space="preserve"> </w:t>
      </w:r>
      <w:r>
        <w:t>ablation</w:t>
      </w:r>
      <w:r>
        <w:rPr>
          <w:spacing w:val="-15"/>
        </w:rPr>
        <w:t xml:space="preserve"> </w:t>
      </w:r>
      <w:r>
        <w:t>trial</w:t>
      </w:r>
      <w:r>
        <w:rPr>
          <w:spacing w:val="-15"/>
        </w:rPr>
        <w:t xml:space="preserve"> </w:t>
      </w:r>
      <w:r>
        <w:t>in</w:t>
      </w:r>
      <w:r>
        <w:rPr>
          <w:spacing w:val="-15"/>
        </w:rPr>
        <w:t xml:space="preserve"> </w:t>
      </w:r>
      <w:r>
        <w:rPr>
          <w:spacing w:val="-5"/>
        </w:rPr>
        <w:t>AF.</w:t>
      </w:r>
    </w:p>
    <w:p w:rsidR="008D7138" w:rsidRDefault="008D7138" w:rsidP="00AC0EBD">
      <w:pPr>
        <w:pStyle w:val="BodyText"/>
      </w:pPr>
      <w:r>
        <w:rPr>
          <w:rFonts w:ascii="GillSans-SemiBold"/>
          <w:b/>
        </w:rPr>
        <w:t>GEMINI</w:t>
      </w:r>
      <w:r>
        <w:rPr>
          <w:rFonts w:ascii="GillSans-SemiBold"/>
          <w:b/>
          <w:spacing w:val="-22"/>
        </w:rPr>
        <w:t xml:space="preserve"> </w:t>
      </w:r>
      <w:r>
        <w:t>A</w:t>
      </w:r>
      <w:r>
        <w:rPr>
          <w:spacing w:val="-22"/>
        </w:rPr>
        <w:t xml:space="preserve"> </w:t>
      </w:r>
      <w:r>
        <w:t>Randomized,</w:t>
      </w:r>
      <w:r>
        <w:rPr>
          <w:spacing w:val="-22"/>
        </w:rPr>
        <w:t xml:space="preserve"> </w:t>
      </w:r>
      <w:r>
        <w:t>Double-blind,</w:t>
      </w:r>
      <w:r>
        <w:rPr>
          <w:spacing w:val="-22"/>
        </w:rPr>
        <w:t xml:space="preserve"> </w:t>
      </w:r>
      <w:r>
        <w:t>Double-dummy,</w:t>
      </w:r>
      <w:r>
        <w:rPr>
          <w:spacing w:val="-22"/>
        </w:rPr>
        <w:t xml:space="preserve"> </w:t>
      </w:r>
      <w:r>
        <w:t>Active- controlled, Parallel-group, Multicenter Study to Compare the Safety of Rivaroxaban versus Acetylsalicylic Acid in Addition to Either</w:t>
      </w:r>
      <w:r>
        <w:rPr>
          <w:spacing w:val="-16"/>
        </w:rPr>
        <w:t xml:space="preserve"> </w:t>
      </w:r>
      <w:r>
        <w:t>Clopidogrel</w:t>
      </w:r>
      <w:r>
        <w:rPr>
          <w:spacing w:val="-16"/>
        </w:rPr>
        <w:t xml:space="preserve"> </w:t>
      </w:r>
      <w:r>
        <w:t>or</w:t>
      </w:r>
      <w:r>
        <w:rPr>
          <w:spacing w:val="-16"/>
        </w:rPr>
        <w:t xml:space="preserve"> </w:t>
      </w:r>
      <w:r>
        <w:t>Ticagrelor</w:t>
      </w:r>
      <w:r>
        <w:rPr>
          <w:spacing w:val="-16"/>
        </w:rPr>
        <w:t xml:space="preserve"> </w:t>
      </w:r>
      <w:r>
        <w:t>Therapy</w:t>
      </w:r>
      <w:r>
        <w:rPr>
          <w:spacing w:val="-16"/>
        </w:rPr>
        <w:t xml:space="preserve"> </w:t>
      </w:r>
      <w:r>
        <w:t>in</w:t>
      </w:r>
      <w:r>
        <w:rPr>
          <w:spacing w:val="-16"/>
        </w:rPr>
        <w:t xml:space="preserve"> </w:t>
      </w:r>
      <w:r>
        <w:t>Subjects</w:t>
      </w:r>
      <w:r>
        <w:rPr>
          <w:spacing w:val="-16"/>
        </w:rPr>
        <w:t xml:space="preserve"> </w:t>
      </w:r>
      <w:r>
        <w:t>with</w:t>
      </w:r>
      <w:r>
        <w:rPr>
          <w:spacing w:val="-16"/>
        </w:rPr>
        <w:t xml:space="preserve"> </w:t>
      </w:r>
      <w:r>
        <w:t>Acute Coronary</w:t>
      </w:r>
      <w:r>
        <w:rPr>
          <w:spacing w:val="-30"/>
        </w:rPr>
        <w:t xml:space="preserve"> </w:t>
      </w:r>
      <w:r>
        <w:t>Syndrome.</w:t>
      </w:r>
    </w:p>
    <w:p w:rsidR="008D7138" w:rsidRDefault="008D7138" w:rsidP="00AC0EBD">
      <w:pPr>
        <w:pStyle w:val="BodyText"/>
        <w:rPr>
          <w:rFonts w:ascii="GillSans-SemiBold"/>
          <w:b/>
        </w:rPr>
      </w:pPr>
      <w:r>
        <w:rPr>
          <w:rFonts w:ascii="GillSans-SemiBold"/>
          <w:b/>
          <w:color w:val="706F6F"/>
        </w:rPr>
        <w:t>Department of Critical Care</w:t>
      </w:r>
    </w:p>
    <w:p w:rsidR="008D7138" w:rsidRDefault="008D7138" w:rsidP="00AC0EBD">
      <w:pPr>
        <w:pStyle w:val="BodyText"/>
      </w:pPr>
      <w:r>
        <w:rPr>
          <w:rFonts w:ascii="GillSans-SemiBold"/>
          <w:b/>
        </w:rPr>
        <w:t>ADRENAL</w:t>
      </w:r>
      <w:r>
        <w:rPr>
          <w:rFonts w:ascii="GillSans-SemiBold"/>
          <w:b/>
          <w:spacing w:val="-16"/>
        </w:rPr>
        <w:t xml:space="preserve"> </w:t>
      </w:r>
      <w:r>
        <w:rPr>
          <w:rFonts w:ascii="GillSans-SemiBold"/>
          <w:b/>
        </w:rPr>
        <w:t>Study</w:t>
      </w:r>
      <w:r>
        <w:rPr>
          <w:rFonts w:ascii="GillSans-SemiBold"/>
          <w:b/>
          <w:spacing w:val="-16"/>
        </w:rPr>
        <w:t xml:space="preserve"> </w:t>
      </w:r>
      <w:proofErr w:type="gramStart"/>
      <w:r>
        <w:t>A</w:t>
      </w:r>
      <w:proofErr w:type="gramEnd"/>
      <w:r>
        <w:rPr>
          <w:spacing w:val="-16"/>
        </w:rPr>
        <w:t xml:space="preserve"> </w:t>
      </w:r>
      <w:r>
        <w:t>phase</w:t>
      </w:r>
      <w:r>
        <w:rPr>
          <w:spacing w:val="-16"/>
        </w:rPr>
        <w:t xml:space="preserve"> </w:t>
      </w:r>
      <w:r>
        <w:t>3,</w:t>
      </w:r>
      <w:r>
        <w:rPr>
          <w:spacing w:val="-16"/>
        </w:rPr>
        <w:t xml:space="preserve"> </w:t>
      </w:r>
      <w:r>
        <w:t>randomised,</w:t>
      </w:r>
      <w:r>
        <w:rPr>
          <w:spacing w:val="-16"/>
        </w:rPr>
        <w:t xml:space="preserve"> </w:t>
      </w:r>
      <w:r>
        <w:t>blind,</w:t>
      </w:r>
      <w:r>
        <w:rPr>
          <w:spacing w:val="-16"/>
        </w:rPr>
        <w:t xml:space="preserve"> </w:t>
      </w:r>
      <w:r>
        <w:t>placebo- controlled</w:t>
      </w:r>
      <w:r>
        <w:rPr>
          <w:spacing w:val="-17"/>
        </w:rPr>
        <w:t xml:space="preserve"> </w:t>
      </w:r>
      <w:r>
        <w:t>trial</w:t>
      </w:r>
      <w:r>
        <w:rPr>
          <w:spacing w:val="-17"/>
        </w:rPr>
        <w:t xml:space="preserve"> </w:t>
      </w:r>
      <w:r>
        <w:t>of</w:t>
      </w:r>
      <w:r>
        <w:rPr>
          <w:spacing w:val="-17"/>
        </w:rPr>
        <w:t xml:space="preserve"> </w:t>
      </w:r>
      <w:r>
        <w:t>the</w:t>
      </w:r>
      <w:r>
        <w:rPr>
          <w:spacing w:val="-17"/>
        </w:rPr>
        <w:t xml:space="preserve"> </w:t>
      </w:r>
      <w:r>
        <w:t>effect</w:t>
      </w:r>
      <w:r>
        <w:rPr>
          <w:spacing w:val="-17"/>
        </w:rPr>
        <w:t xml:space="preserve"> </w:t>
      </w:r>
      <w:r>
        <w:t>of</w:t>
      </w:r>
      <w:r>
        <w:rPr>
          <w:spacing w:val="-17"/>
        </w:rPr>
        <w:t xml:space="preserve"> </w:t>
      </w:r>
      <w:r>
        <w:t>Hydrocortisone</w:t>
      </w:r>
      <w:r>
        <w:rPr>
          <w:spacing w:val="-17"/>
        </w:rPr>
        <w:t xml:space="preserve"> </w:t>
      </w:r>
      <w:r>
        <w:t>in</w:t>
      </w:r>
      <w:r>
        <w:rPr>
          <w:spacing w:val="-17"/>
        </w:rPr>
        <w:t xml:space="preserve"> </w:t>
      </w:r>
      <w:r>
        <w:t>critically</w:t>
      </w:r>
      <w:r>
        <w:rPr>
          <w:spacing w:val="-17"/>
        </w:rPr>
        <w:t xml:space="preserve"> </w:t>
      </w:r>
      <w:r>
        <w:t>ill patients</w:t>
      </w:r>
      <w:r>
        <w:rPr>
          <w:spacing w:val="-19"/>
        </w:rPr>
        <w:t xml:space="preserve"> </w:t>
      </w:r>
      <w:r>
        <w:t>with</w:t>
      </w:r>
      <w:r>
        <w:rPr>
          <w:spacing w:val="-19"/>
        </w:rPr>
        <w:t xml:space="preserve"> </w:t>
      </w:r>
      <w:r>
        <w:t>septic</w:t>
      </w:r>
      <w:r>
        <w:rPr>
          <w:spacing w:val="-19"/>
        </w:rPr>
        <w:t xml:space="preserve"> </w:t>
      </w:r>
      <w:r>
        <w:t>shock.</w:t>
      </w:r>
    </w:p>
    <w:p w:rsidR="00FB5929" w:rsidRDefault="00FB5929" w:rsidP="00FB5929">
      <w:pPr>
        <w:pStyle w:val="BodyText"/>
      </w:pPr>
      <w:r>
        <w:rPr>
          <w:rFonts w:ascii="GillSans-SemiBold"/>
          <w:b/>
        </w:rPr>
        <w:t xml:space="preserve">ADRENAL Consent </w:t>
      </w:r>
      <w:proofErr w:type="gramStart"/>
      <w:r>
        <w:t>A</w:t>
      </w:r>
      <w:proofErr w:type="gramEnd"/>
      <w:r>
        <w:t xml:space="preserve"> multi-centre, prospective, observational study of the process of obtaining consent from potential participants or their substitute decision-makers in the Adjunctive Corticosteroid</w:t>
      </w:r>
      <w:r>
        <w:rPr>
          <w:spacing w:val="-16"/>
        </w:rPr>
        <w:t xml:space="preserve"> </w:t>
      </w:r>
      <w:r>
        <w:rPr>
          <w:spacing w:val="-3"/>
        </w:rPr>
        <w:t>Treatment</w:t>
      </w:r>
      <w:r>
        <w:rPr>
          <w:spacing w:val="-16"/>
        </w:rPr>
        <w:t xml:space="preserve"> </w:t>
      </w:r>
      <w:r>
        <w:t>in</w:t>
      </w:r>
      <w:r>
        <w:rPr>
          <w:spacing w:val="-16"/>
        </w:rPr>
        <w:t xml:space="preserve"> </w:t>
      </w:r>
      <w:r>
        <w:t>Critically</w:t>
      </w:r>
      <w:r>
        <w:rPr>
          <w:spacing w:val="-16"/>
        </w:rPr>
        <w:t xml:space="preserve"> </w:t>
      </w:r>
      <w:r>
        <w:t>ill</w:t>
      </w:r>
      <w:r>
        <w:rPr>
          <w:spacing w:val="-16"/>
        </w:rPr>
        <w:t xml:space="preserve"> </w:t>
      </w:r>
      <w:r>
        <w:t>patients</w:t>
      </w:r>
      <w:r>
        <w:rPr>
          <w:spacing w:val="-16"/>
        </w:rPr>
        <w:t xml:space="preserve"> </w:t>
      </w:r>
      <w:r>
        <w:t>with</w:t>
      </w:r>
      <w:r>
        <w:rPr>
          <w:spacing w:val="-16"/>
        </w:rPr>
        <w:t xml:space="preserve"> </w:t>
      </w:r>
      <w:r>
        <w:t>Septic</w:t>
      </w:r>
      <w:r>
        <w:rPr>
          <w:spacing w:val="-16"/>
        </w:rPr>
        <w:t xml:space="preserve"> </w:t>
      </w:r>
      <w:r>
        <w:t>Shock (ADRENAL)</w:t>
      </w:r>
      <w:r>
        <w:rPr>
          <w:spacing w:val="-30"/>
        </w:rPr>
        <w:t xml:space="preserve"> </w:t>
      </w:r>
      <w:r>
        <w:rPr>
          <w:spacing w:val="-3"/>
        </w:rPr>
        <w:t>Study.</w:t>
      </w:r>
    </w:p>
    <w:p w:rsidR="00FB5929" w:rsidRDefault="00FB5929" w:rsidP="00FB5929">
      <w:pPr>
        <w:pStyle w:val="BodyText"/>
      </w:pPr>
      <w:r>
        <w:rPr>
          <w:rFonts w:ascii="GillSans-SemiBold"/>
          <w:b/>
          <w:spacing w:val="-5"/>
        </w:rPr>
        <w:t>ATHOS</w:t>
      </w:r>
      <w:r>
        <w:rPr>
          <w:rFonts w:ascii="GillSans-SemiBold"/>
          <w:b/>
          <w:spacing w:val="-17"/>
        </w:rPr>
        <w:t xml:space="preserve"> </w:t>
      </w:r>
      <w:r>
        <w:rPr>
          <w:rFonts w:ascii="GillSans-SemiBold"/>
          <w:b/>
        </w:rPr>
        <w:t>3</w:t>
      </w:r>
      <w:r>
        <w:rPr>
          <w:rFonts w:ascii="GillSans-SemiBold"/>
          <w:b/>
          <w:spacing w:val="-17"/>
        </w:rPr>
        <w:t xml:space="preserve"> </w:t>
      </w:r>
      <w:r>
        <w:rPr>
          <w:rFonts w:ascii="GillSans-SemiBold"/>
          <w:b/>
        </w:rPr>
        <w:t>Study</w:t>
      </w:r>
      <w:r>
        <w:rPr>
          <w:rFonts w:ascii="GillSans-SemiBold"/>
          <w:b/>
          <w:spacing w:val="-17"/>
        </w:rPr>
        <w:t xml:space="preserve"> </w:t>
      </w:r>
      <w:proofErr w:type="gramStart"/>
      <w:r>
        <w:t>A</w:t>
      </w:r>
      <w:proofErr w:type="gramEnd"/>
      <w:r>
        <w:rPr>
          <w:spacing w:val="-17"/>
        </w:rPr>
        <w:t xml:space="preserve"> </w:t>
      </w:r>
      <w:r>
        <w:t>Phase</w:t>
      </w:r>
      <w:r>
        <w:rPr>
          <w:spacing w:val="-17"/>
        </w:rPr>
        <w:t xml:space="preserve"> </w:t>
      </w:r>
      <w:r>
        <w:t>3,</w:t>
      </w:r>
      <w:r>
        <w:rPr>
          <w:spacing w:val="-17"/>
        </w:rPr>
        <w:t xml:space="preserve"> </w:t>
      </w:r>
      <w:r>
        <w:t>Placebo</w:t>
      </w:r>
      <w:r>
        <w:rPr>
          <w:spacing w:val="-17"/>
        </w:rPr>
        <w:t xml:space="preserve"> </w:t>
      </w:r>
      <w:r>
        <w:t>Controlled,</w:t>
      </w:r>
      <w:r>
        <w:rPr>
          <w:spacing w:val="-17"/>
        </w:rPr>
        <w:t xml:space="preserve"> </w:t>
      </w:r>
      <w:r>
        <w:t xml:space="preserve">Randomized, Double-blind, Multicenter Study of LJPC501 in </w:t>
      </w:r>
      <w:r>
        <w:lastRenderedPageBreak/>
        <w:t>Patients with Catecholamine</w:t>
      </w:r>
      <w:r>
        <w:rPr>
          <w:spacing w:val="-27"/>
        </w:rPr>
        <w:t xml:space="preserve"> </w:t>
      </w:r>
      <w:r>
        <w:t>Resistant</w:t>
      </w:r>
      <w:r>
        <w:rPr>
          <w:spacing w:val="-27"/>
        </w:rPr>
        <w:t xml:space="preserve"> </w:t>
      </w:r>
      <w:r>
        <w:t>Hypotension</w:t>
      </w:r>
      <w:r>
        <w:rPr>
          <w:spacing w:val="-27"/>
        </w:rPr>
        <w:t xml:space="preserve"> </w:t>
      </w:r>
      <w:r>
        <w:t>(CRH)</w:t>
      </w:r>
      <w:r>
        <w:rPr>
          <w:spacing w:val="-27"/>
        </w:rPr>
        <w:t xml:space="preserve"> </w:t>
      </w:r>
      <w:r>
        <w:rPr>
          <w:spacing w:val="-4"/>
        </w:rPr>
        <w:t>(LJ501CRH01).</w:t>
      </w:r>
    </w:p>
    <w:p w:rsidR="00FB5929" w:rsidRDefault="00FB5929" w:rsidP="00FB5929">
      <w:pPr>
        <w:pStyle w:val="BodyText"/>
      </w:pPr>
      <w:r>
        <w:rPr>
          <w:rFonts w:ascii="GillSans-SemiBold"/>
          <w:b/>
        </w:rPr>
        <w:t xml:space="preserve">ICON Audit </w:t>
      </w:r>
      <w:r>
        <w:t xml:space="preserve">Intensive Care </w:t>
      </w:r>
      <w:proofErr w:type="gramStart"/>
      <w:r>
        <w:t>Over</w:t>
      </w:r>
      <w:proofErr w:type="gramEnd"/>
      <w:r>
        <w:t xml:space="preserve"> Nations (ICON) audit.</w:t>
      </w:r>
    </w:p>
    <w:p w:rsidR="00FB5929" w:rsidRDefault="00FB5929" w:rsidP="00FB5929">
      <w:pPr>
        <w:pStyle w:val="BodyText"/>
      </w:pPr>
      <w:proofErr w:type="gramStart"/>
      <w:r>
        <w:rPr>
          <w:rFonts w:ascii="GillSans-SemiBold"/>
          <w:b/>
        </w:rPr>
        <w:t>ICU</w:t>
      </w:r>
      <w:r>
        <w:rPr>
          <w:rFonts w:ascii="GillSans-SemiBold"/>
          <w:b/>
          <w:spacing w:val="-18"/>
        </w:rPr>
        <w:t xml:space="preserve"> </w:t>
      </w:r>
      <w:r>
        <w:rPr>
          <w:rFonts w:ascii="GillSans-SemiBold"/>
          <w:b/>
        </w:rPr>
        <w:t>Outcomes</w:t>
      </w:r>
      <w:r>
        <w:rPr>
          <w:rFonts w:ascii="GillSans-SemiBold"/>
          <w:b/>
          <w:spacing w:val="-18"/>
        </w:rPr>
        <w:t xml:space="preserve"> </w:t>
      </w:r>
      <w:r>
        <w:t>Long-term</w:t>
      </w:r>
      <w:r>
        <w:rPr>
          <w:spacing w:val="-18"/>
        </w:rPr>
        <w:t xml:space="preserve"> </w:t>
      </w:r>
      <w:r>
        <w:t>outcomes</w:t>
      </w:r>
      <w:r>
        <w:rPr>
          <w:spacing w:val="-18"/>
        </w:rPr>
        <w:t xml:space="preserve"> </w:t>
      </w:r>
      <w:r>
        <w:t>after</w:t>
      </w:r>
      <w:r>
        <w:rPr>
          <w:spacing w:val="-18"/>
        </w:rPr>
        <w:t xml:space="preserve"> </w:t>
      </w:r>
      <w:r>
        <w:t>intensive</w:t>
      </w:r>
      <w:r>
        <w:rPr>
          <w:spacing w:val="-18"/>
        </w:rPr>
        <w:t xml:space="preserve"> </w:t>
      </w:r>
      <w:r>
        <w:t>care</w:t>
      </w:r>
      <w:r>
        <w:rPr>
          <w:spacing w:val="-18"/>
        </w:rPr>
        <w:t xml:space="preserve"> </w:t>
      </w:r>
      <w:r>
        <w:t>-</w:t>
      </w:r>
      <w:r>
        <w:rPr>
          <w:spacing w:val="-18"/>
        </w:rPr>
        <w:t xml:space="preserve"> </w:t>
      </w:r>
      <w:r>
        <w:t>A prospective</w:t>
      </w:r>
      <w:r>
        <w:rPr>
          <w:spacing w:val="-30"/>
        </w:rPr>
        <w:t xml:space="preserve"> </w:t>
      </w:r>
      <w:r>
        <w:t>observational</w:t>
      </w:r>
      <w:r>
        <w:rPr>
          <w:spacing w:val="-30"/>
        </w:rPr>
        <w:t xml:space="preserve"> </w:t>
      </w:r>
      <w:r>
        <w:t>study.</w:t>
      </w:r>
      <w:proofErr w:type="gramEnd"/>
    </w:p>
    <w:p w:rsidR="00FB5929" w:rsidRDefault="00FB5929" w:rsidP="00FB5929">
      <w:pPr>
        <w:pStyle w:val="BodyText"/>
      </w:pPr>
      <w:r>
        <w:rPr>
          <w:rFonts w:ascii="GillSans-SemiBold"/>
          <w:b/>
        </w:rPr>
        <w:t>INTERNATIONAL</w:t>
      </w:r>
      <w:r>
        <w:rPr>
          <w:rFonts w:ascii="GillSans-SemiBold"/>
          <w:b/>
          <w:spacing w:val="-21"/>
        </w:rPr>
        <w:t xml:space="preserve"> </w:t>
      </w:r>
      <w:r>
        <w:rPr>
          <w:rFonts w:ascii="GillSans-SemiBold"/>
          <w:b/>
        </w:rPr>
        <w:t>Nutrition</w:t>
      </w:r>
      <w:r>
        <w:rPr>
          <w:rFonts w:ascii="GillSans-SemiBold"/>
          <w:b/>
          <w:spacing w:val="-21"/>
        </w:rPr>
        <w:t xml:space="preserve"> </w:t>
      </w:r>
      <w:r>
        <w:rPr>
          <w:rFonts w:ascii="GillSans-SemiBold"/>
          <w:b/>
        </w:rPr>
        <w:t>Study</w:t>
      </w:r>
      <w:r>
        <w:rPr>
          <w:rFonts w:ascii="GillSans-SemiBold"/>
          <w:b/>
          <w:spacing w:val="-21"/>
        </w:rPr>
        <w:t xml:space="preserve"> </w:t>
      </w:r>
      <w:r>
        <w:t>Improving</w:t>
      </w:r>
      <w:r>
        <w:rPr>
          <w:spacing w:val="-21"/>
        </w:rPr>
        <w:t xml:space="preserve"> </w:t>
      </w:r>
      <w:r>
        <w:t>the</w:t>
      </w:r>
      <w:r>
        <w:rPr>
          <w:spacing w:val="-21"/>
        </w:rPr>
        <w:t xml:space="preserve"> </w:t>
      </w:r>
      <w:r>
        <w:t>Practice of</w:t>
      </w:r>
      <w:r>
        <w:rPr>
          <w:spacing w:val="-15"/>
        </w:rPr>
        <w:t xml:space="preserve"> </w:t>
      </w:r>
      <w:r>
        <w:t>Nutrition</w:t>
      </w:r>
      <w:r>
        <w:rPr>
          <w:spacing w:val="-15"/>
        </w:rPr>
        <w:t xml:space="preserve"> </w:t>
      </w:r>
      <w:r>
        <w:t>Therapy</w:t>
      </w:r>
      <w:r>
        <w:rPr>
          <w:spacing w:val="-15"/>
        </w:rPr>
        <w:t xml:space="preserve"> </w:t>
      </w:r>
      <w:r>
        <w:t>in</w:t>
      </w:r>
      <w:r>
        <w:rPr>
          <w:spacing w:val="-15"/>
        </w:rPr>
        <w:t xml:space="preserve"> </w:t>
      </w:r>
      <w:r>
        <w:t>the</w:t>
      </w:r>
      <w:r>
        <w:rPr>
          <w:spacing w:val="-15"/>
        </w:rPr>
        <w:t xml:space="preserve"> </w:t>
      </w:r>
      <w:r>
        <w:t>Critically</w:t>
      </w:r>
      <w:r>
        <w:rPr>
          <w:spacing w:val="-15"/>
        </w:rPr>
        <w:t xml:space="preserve"> </w:t>
      </w:r>
      <w:r>
        <w:t>Ill:</w:t>
      </w:r>
      <w:r>
        <w:rPr>
          <w:spacing w:val="-15"/>
        </w:rPr>
        <w:t xml:space="preserve"> </w:t>
      </w:r>
      <w:r>
        <w:t>An</w:t>
      </w:r>
      <w:r>
        <w:rPr>
          <w:spacing w:val="-15"/>
        </w:rPr>
        <w:t xml:space="preserve"> </w:t>
      </w:r>
      <w:r>
        <w:t>International</w:t>
      </w:r>
      <w:r>
        <w:rPr>
          <w:spacing w:val="-15"/>
        </w:rPr>
        <w:t xml:space="preserve"> </w:t>
      </w:r>
      <w:r>
        <w:t>Quality Improvement</w:t>
      </w:r>
      <w:r>
        <w:rPr>
          <w:spacing w:val="-34"/>
        </w:rPr>
        <w:t xml:space="preserve"> </w:t>
      </w:r>
      <w:r>
        <w:t>Project.</w:t>
      </w:r>
    </w:p>
    <w:p w:rsidR="00FB5929" w:rsidRDefault="00FB5929" w:rsidP="00FB5929">
      <w:pPr>
        <w:pStyle w:val="BodyText"/>
      </w:pPr>
      <w:r>
        <w:rPr>
          <w:rFonts w:ascii="GillSans-SemiBold"/>
          <w:b/>
        </w:rPr>
        <w:t>IOSWEAN</w:t>
      </w:r>
      <w:r>
        <w:rPr>
          <w:rFonts w:ascii="GillSans-SemiBold"/>
          <w:b/>
          <w:spacing w:val="-21"/>
        </w:rPr>
        <w:t xml:space="preserve"> </w:t>
      </w:r>
      <w:r>
        <w:rPr>
          <w:rFonts w:ascii="GillSans-SemiBold"/>
          <w:b/>
        </w:rPr>
        <w:t>Study</w:t>
      </w:r>
      <w:r>
        <w:rPr>
          <w:rFonts w:ascii="GillSans-SemiBold"/>
          <w:b/>
          <w:spacing w:val="-21"/>
        </w:rPr>
        <w:t xml:space="preserve"> </w:t>
      </w:r>
      <w:r>
        <w:t>An</w:t>
      </w:r>
      <w:r>
        <w:rPr>
          <w:spacing w:val="-21"/>
        </w:rPr>
        <w:t xml:space="preserve"> </w:t>
      </w:r>
      <w:r>
        <w:t>international</w:t>
      </w:r>
      <w:r>
        <w:rPr>
          <w:spacing w:val="-21"/>
        </w:rPr>
        <w:t xml:space="preserve"> </w:t>
      </w:r>
      <w:r>
        <w:t>prospective</w:t>
      </w:r>
      <w:r>
        <w:rPr>
          <w:spacing w:val="-21"/>
        </w:rPr>
        <w:t xml:space="preserve"> </w:t>
      </w:r>
      <w:r>
        <w:t>observational study</w:t>
      </w:r>
      <w:r>
        <w:rPr>
          <w:spacing w:val="-17"/>
        </w:rPr>
        <w:t xml:space="preserve"> </w:t>
      </w:r>
      <w:r>
        <w:t>of</w:t>
      </w:r>
      <w:r>
        <w:rPr>
          <w:spacing w:val="-17"/>
        </w:rPr>
        <w:t xml:space="preserve"> </w:t>
      </w:r>
      <w:r>
        <w:t>practice</w:t>
      </w:r>
      <w:r>
        <w:rPr>
          <w:spacing w:val="-17"/>
        </w:rPr>
        <w:t xml:space="preserve"> </w:t>
      </w:r>
      <w:r>
        <w:t>pattern</w:t>
      </w:r>
      <w:r>
        <w:rPr>
          <w:spacing w:val="-17"/>
        </w:rPr>
        <w:t xml:space="preserve"> </w:t>
      </w:r>
      <w:r>
        <w:t>variation</w:t>
      </w:r>
      <w:r>
        <w:rPr>
          <w:spacing w:val="-17"/>
        </w:rPr>
        <w:t xml:space="preserve"> </w:t>
      </w:r>
      <w:r>
        <w:t>in</w:t>
      </w:r>
      <w:r>
        <w:rPr>
          <w:spacing w:val="-17"/>
        </w:rPr>
        <w:t xml:space="preserve"> </w:t>
      </w:r>
      <w:r>
        <w:t>discontinuing</w:t>
      </w:r>
      <w:r>
        <w:rPr>
          <w:spacing w:val="-17"/>
        </w:rPr>
        <w:t xml:space="preserve"> </w:t>
      </w:r>
      <w:r>
        <w:t>mechanical ventilation</w:t>
      </w:r>
      <w:r>
        <w:rPr>
          <w:spacing w:val="-19"/>
        </w:rPr>
        <w:t xml:space="preserve"> </w:t>
      </w:r>
      <w:r>
        <w:t>in</w:t>
      </w:r>
      <w:r>
        <w:rPr>
          <w:spacing w:val="-19"/>
        </w:rPr>
        <w:t xml:space="preserve"> </w:t>
      </w:r>
      <w:r>
        <w:t>critically</w:t>
      </w:r>
      <w:r>
        <w:rPr>
          <w:spacing w:val="-19"/>
        </w:rPr>
        <w:t xml:space="preserve"> </w:t>
      </w:r>
      <w:r>
        <w:t>ill</w:t>
      </w:r>
      <w:r>
        <w:rPr>
          <w:spacing w:val="-19"/>
        </w:rPr>
        <w:t xml:space="preserve"> </w:t>
      </w:r>
      <w:r>
        <w:t>adults.</w:t>
      </w:r>
    </w:p>
    <w:p w:rsidR="00FB5929" w:rsidRDefault="00FB5929" w:rsidP="00FB5929">
      <w:pPr>
        <w:pStyle w:val="BodyText"/>
      </w:pPr>
      <w:proofErr w:type="gramStart"/>
      <w:r>
        <w:rPr>
          <w:rFonts w:ascii="GillSans-SemiBold"/>
          <w:b/>
        </w:rPr>
        <w:t xml:space="preserve">Out of Hospital Cardiac Arrest Study </w:t>
      </w:r>
      <w:r>
        <w:t>Use of m-ASPECT Score</w:t>
      </w:r>
      <w:r>
        <w:rPr>
          <w:spacing w:val="-16"/>
        </w:rPr>
        <w:t xml:space="preserve"> </w:t>
      </w:r>
      <w:r>
        <w:t>in</w:t>
      </w:r>
      <w:r>
        <w:rPr>
          <w:spacing w:val="-16"/>
        </w:rPr>
        <w:t xml:space="preserve"> </w:t>
      </w:r>
      <w:r>
        <w:t>OHCA</w:t>
      </w:r>
      <w:r>
        <w:rPr>
          <w:spacing w:val="-16"/>
        </w:rPr>
        <w:t xml:space="preserve"> </w:t>
      </w:r>
      <w:r>
        <w:t>Study:</w:t>
      </w:r>
      <w:r>
        <w:rPr>
          <w:spacing w:val="-16"/>
        </w:rPr>
        <w:t xml:space="preserve"> </w:t>
      </w:r>
      <w:r>
        <w:t>Use</w:t>
      </w:r>
      <w:r>
        <w:rPr>
          <w:spacing w:val="-16"/>
        </w:rPr>
        <w:t xml:space="preserve"> </w:t>
      </w:r>
      <w:r>
        <w:t>of</w:t>
      </w:r>
      <w:r>
        <w:rPr>
          <w:spacing w:val="-16"/>
        </w:rPr>
        <w:t xml:space="preserve"> </w:t>
      </w:r>
      <w:r>
        <w:t>mASPECT</w:t>
      </w:r>
      <w:r>
        <w:rPr>
          <w:spacing w:val="-16"/>
        </w:rPr>
        <w:t xml:space="preserve"> </w:t>
      </w:r>
      <w:r>
        <w:t>score</w:t>
      </w:r>
      <w:r>
        <w:rPr>
          <w:spacing w:val="-16"/>
        </w:rPr>
        <w:t xml:space="preserve"> </w:t>
      </w:r>
      <w:r>
        <w:t>in</w:t>
      </w:r>
      <w:r>
        <w:rPr>
          <w:spacing w:val="-16"/>
        </w:rPr>
        <w:t xml:space="preserve"> </w:t>
      </w:r>
      <w:r>
        <w:t>prognostication of</w:t>
      </w:r>
      <w:r>
        <w:rPr>
          <w:spacing w:val="-15"/>
        </w:rPr>
        <w:t xml:space="preserve"> </w:t>
      </w:r>
      <w:r>
        <w:t>outcome</w:t>
      </w:r>
      <w:r>
        <w:rPr>
          <w:spacing w:val="-15"/>
        </w:rPr>
        <w:t xml:space="preserve"> </w:t>
      </w:r>
      <w:r>
        <w:t>in</w:t>
      </w:r>
      <w:r>
        <w:rPr>
          <w:spacing w:val="-15"/>
        </w:rPr>
        <w:t xml:space="preserve"> </w:t>
      </w:r>
      <w:r>
        <w:t>out</w:t>
      </w:r>
      <w:r>
        <w:rPr>
          <w:spacing w:val="-15"/>
        </w:rPr>
        <w:t xml:space="preserve"> </w:t>
      </w:r>
      <w:r>
        <w:t>of</w:t>
      </w:r>
      <w:r>
        <w:rPr>
          <w:spacing w:val="-15"/>
        </w:rPr>
        <w:t xml:space="preserve"> </w:t>
      </w:r>
      <w:r>
        <w:t>hospital</w:t>
      </w:r>
      <w:r>
        <w:rPr>
          <w:spacing w:val="-15"/>
        </w:rPr>
        <w:t xml:space="preserve"> </w:t>
      </w:r>
      <w:r>
        <w:t>cardiac</w:t>
      </w:r>
      <w:r>
        <w:rPr>
          <w:spacing w:val="-15"/>
        </w:rPr>
        <w:t xml:space="preserve"> </w:t>
      </w:r>
      <w:r>
        <w:t>arrest</w:t>
      </w:r>
      <w:r>
        <w:rPr>
          <w:spacing w:val="-15"/>
        </w:rPr>
        <w:t xml:space="preserve"> </w:t>
      </w:r>
      <w:r>
        <w:rPr>
          <w:spacing w:val="-3"/>
        </w:rPr>
        <w:t>(OHCA).</w:t>
      </w:r>
      <w:proofErr w:type="gramEnd"/>
    </w:p>
    <w:p w:rsidR="00FB5929" w:rsidRDefault="00FB5929" w:rsidP="00FB5929">
      <w:pPr>
        <w:pStyle w:val="BodyText"/>
      </w:pPr>
      <w:r>
        <w:rPr>
          <w:rFonts w:ascii="GillSans-SemiBold"/>
          <w:b/>
        </w:rPr>
        <w:t xml:space="preserve">PEPTIC Study </w:t>
      </w:r>
      <w:proofErr w:type="gramStart"/>
      <w:r>
        <w:t>A</w:t>
      </w:r>
      <w:proofErr w:type="gramEnd"/>
      <w:r>
        <w:t xml:space="preserve"> multi-centre, cluster randomised, </w:t>
      </w:r>
      <w:r>
        <w:rPr>
          <w:spacing w:val="-3"/>
        </w:rPr>
        <w:t xml:space="preserve">crossover, </w:t>
      </w:r>
      <w:r>
        <w:t>registry trial comparing the safety and efficacy of proton pump inhibitors</w:t>
      </w:r>
      <w:r>
        <w:rPr>
          <w:spacing w:val="-18"/>
        </w:rPr>
        <w:t xml:space="preserve"> </w:t>
      </w:r>
      <w:r>
        <w:t>with</w:t>
      </w:r>
      <w:r>
        <w:rPr>
          <w:spacing w:val="-18"/>
        </w:rPr>
        <w:t xml:space="preserve"> </w:t>
      </w:r>
      <w:r>
        <w:t>histamine-2</w:t>
      </w:r>
      <w:r>
        <w:rPr>
          <w:spacing w:val="-18"/>
        </w:rPr>
        <w:t xml:space="preserve"> </w:t>
      </w:r>
      <w:r>
        <w:t>receptor</w:t>
      </w:r>
      <w:r>
        <w:rPr>
          <w:spacing w:val="-18"/>
        </w:rPr>
        <w:t xml:space="preserve"> </w:t>
      </w:r>
      <w:r>
        <w:t>blockers</w:t>
      </w:r>
      <w:r>
        <w:rPr>
          <w:spacing w:val="-18"/>
        </w:rPr>
        <w:t xml:space="preserve"> </w:t>
      </w:r>
      <w:r>
        <w:t>for</w:t>
      </w:r>
      <w:r>
        <w:rPr>
          <w:spacing w:val="-18"/>
        </w:rPr>
        <w:t xml:space="preserve"> </w:t>
      </w:r>
      <w:r>
        <w:t>ulcer</w:t>
      </w:r>
      <w:r>
        <w:rPr>
          <w:spacing w:val="-18"/>
        </w:rPr>
        <w:t xml:space="preserve"> </w:t>
      </w:r>
      <w:r>
        <w:t>prophylaxis in</w:t>
      </w:r>
      <w:r>
        <w:rPr>
          <w:spacing w:val="-22"/>
        </w:rPr>
        <w:t xml:space="preserve"> </w:t>
      </w:r>
      <w:r>
        <w:t>intensive</w:t>
      </w:r>
      <w:r>
        <w:rPr>
          <w:spacing w:val="-22"/>
        </w:rPr>
        <w:t xml:space="preserve"> </w:t>
      </w:r>
      <w:r>
        <w:t>care</w:t>
      </w:r>
      <w:r>
        <w:rPr>
          <w:spacing w:val="-22"/>
        </w:rPr>
        <w:t xml:space="preserve"> </w:t>
      </w:r>
      <w:r>
        <w:t>patients</w:t>
      </w:r>
      <w:r>
        <w:rPr>
          <w:spacing w:val="-22"/>
        </w:rPr>
        <w:t xml:space="preserve"> </w:t>
      </w:r>
      <w:r>
        <w:t>requiring</w:t>
      </w:r>
      <w:r>
        <w:rPr>
          <w:spacing w:val="-22"/>
        </w:rPr>
        <w:t xml:space="preserve"> </w:t>
      </w:r>
      <w:r>
        <w:t>invasive</w:t>
      </w:r>
      <w:r>
        <w:rPr>
          <w:spacing w:val="-22"/>
        </w:rPr>
        <w:t xml:space="preserve"> </w:t>
      </w:r>
      <w:r>
        <w:t>mechanical</w:t>
      </w:r>
      <w:r>
        <w:rPr>
          <w:spacing w:val="-22"/>
        </w:rPr>
        <w:t xml:space="preserve"> </w:t>
      </w:r>
      <w:r>
        <w:t>intervention.</w:t>
      </w:r>
    </w:p>
    <w:p w:rsidR="00FB5929" w:rsidRDefault="00FB5929" w:rsidP="00FB5929">
      <w:pPr>
        <w:pStyle w:val="BodyText"/>
      </w:pPr>
      <w:r>
        <w:rPr>
          <w:rFonts w:ascii="GillSans-SemiBold"/>
          <w:b/>
        </w:rPr>
        <w:t>SPICE</w:t>
      </w:r>
      <w:r>
        <w:rPr>
          <w:rFonts w:ascii="GillSans-SemiBold"/>
          <w:b/>
          <w:spacing w:val="-17"/>
        </w:rPr>
        <w:t xml:space="preserve"> </w:t>
      </w:r>
      <w:r>
        <w:rPr>
          <w:rFonts w:ascii="GillSans-SemiBold"/>
          <w:b/>
        </w:rPr>
        <w:t>III</w:t>
      </w:r>
      <w:r>
        <w:rPr>
          <w:rFonts w:ascii="GillSans-SemiBold"/>
          <w:b/>
          <w:spacing w:val="-17"/>
        </w:rPr>
        <w:t xml:space="preserve"> </w:t>
      </w:r>
      <w:r>
        <w:rPr>
          <w:rFonts w:ascii="GillSans-SemiBold"/>
          <w:b/>
        </w:rPr>
        <w:t>Study</w:t>
      </w:r>
      <w:r>
        <w:rPr>
          <w:rFonts w:ascii="GillSans-SemiBold"/>
          <w:b/>
          <w:spacing w:val="-17"/>
        </w:rPr>
        <w:t xml:space="preserve"> </w:t>
      </w:r>
      <w:r>
        <w:rPr>
          <w:spacing w:val="-4"/>
        </w:rPr>
        <w:t>RCT:</w:t>
      </w:r>
      <w:r>
        <w:rPr>
          <w:spacing w:val="-17"/>
        </w:rPr>
        <w:t xml:space="preserve"> </w:t>
      </w:r>
      <w:r>
        <w:t>A</w:t>
      </w:r>
      <w:r>
        <w:rPr>
          <w:spacing w:val="-17"/>
        </w:rPr>
        <w:t xml:space="preserve"> </w:t>
      </w:r>
      <w:r>
        <w:t>prospective,</w:t>
      </w:r>
      <w:r>
        <w:rPr>
          <w:spacing w:val="-17"/>
        </w:rPr>
        <w:t xml:space="preserve"> </w:t>
      </w:r>
      <w:r>
        <w:t>multi-centre,</w:t>
      </w:r>
      <w:r>
        <w:rPr>
          <w:spacing w:val="-17"/>
        </w:rPr>
        <w:t xml:space="preserve"> </w:t>
      </w:r>
      <w:r>
        <w:t>randomised, controlled trial of early goal-directed sedation compared with standard</w:t>
      </w:r>
      <w:r>
        <w:rPr>
          <w:spacing w:val="-19"/>
        </w:rPr>
        <w:t xml:space="preserve"> </w:t>
      </w:r>
      <w:r>
        <w:t>care</w:t>
      </w:r>
      <w:r>
        <w:rPr>
          <w:spacing w:val="-19"/>
        </w:rPr>
        <w:t xml:space="preserve"> </w:t>
      </w:r>
      <w:r>
        <w:t>in</w:t>
      </w:r>
      <w:r>
        <w:rPr>
          <w:spacing w:val="-19"/>
        </w:rPr>
        <w:t xml:space="preserve"> </w:t>
      </w:r>
      <w:r>
        <w:t>mechanically</w:t>
      </w:r>
      <w:r>
        <w:rPr>
          <w:spacing w:val="-19"/>
        </w:rPr>
        <w:t xml:space="preserve"> </w:t>
      </w:r>
      <w:r>
        <w:t>ventilated</w:t>
      </w:r>
      <w:r>
        <w:rPr>
          <w:spacing w:val="-19"/>
        </w:rPr>
        <w:t xml:space="preserve"> </w:t>
      </w:r>
      <w:r>
        <w:t>critically</w:t>
      </w:r>
      <w:r>
        <w:rPr>
          <w:spacing w:val="-19"/>
        </w:rPr>
        <w:t xml:space="preserve"> </w:t>
      </w:r>
      <w:r>
        <w:t>ill</w:t>
      </w:r>
      <w:r>
        <w:rPr>
          <w:spacing w:val="-19"/>
        </w:rPr>
        <w:t xml:space="preserve"> </w:t>
      </w:r>
      <w:r>
        <w:t>patients.</w:t>
      </w:r>
    </w:p>
    <w:p w:rsidR="00FB5929" w:rsidRDefault="00FB5929" w:rsidP="00FB5929">
      <w:pPr>
        <w:pStyle w:val="BodyText"/>
      </w:pPr>
      <w:r>
        <w:rPr>
          <w:rFonts w:ascii="GillSans-SemiBold" w:hAnsi="GillSans-SemiBold"/>
          <w:b/>
          <w:spacing w:val="-4"/>
        </w:rPr>
        <w:t xml:space="preserve">TARGET </w:t>
      </w:r>
      <w:r>
        <w:rPr>
          <w:rFonts w:ascii="GillSans-SemiBold" w:hAnsi="GillSans-SemiBold"/>
          <w:b/>
        </w:rPr>
        <w:t xml:space="preserve">Study </w:t>
      </w:r>
      <w:r>
        <w:t>“The Augmented versus Routine approach to Giving</w:t>
      </w:r>
      <w:r>
        <w:rPr>
          <w:spacing w:val="-18"/>
        </w:rPr>
        <w:t xml:space="preserve"> </w:t>
      </w:r>
      <w:r>
        <w:t>Energy</w:t>
      </w:r>
      <w:r>
        <w:rPr>
          <w:spacing w:val="-18"/>
        </w:rPr>
        <w:t xml:space="preserve"> </w:t>
      </w:r>
      <w:r>
        <w:rPr>
          <w:spacing w:val="-3"/>
        </w:rPr>
        <w:t>Trial:</w:t>
      </w:r>
      <w:r>
        <w:rPr>
          <w:spacing w:val="-18"/>
        </w:rPr>
        <w:t xml:space="preserve"> </w:t>
      </w:r>
      <w:r>
        <w:t>A</w:t>
      </w:r>
      <w:r>
        <w:rPr>
          <w:spacing w:val="-18"/>
        </w:rPr>
        <w:t xml:space="preserve"> </w:t>
      </w:r>
      <w:r>
        <w:t>randomised</w:t>
      </w:r>
      <w:r>
        <w:rPr>
          <w:spacing w:val="-18"/>
        </w:rPr>
        <w:t xml:space="preserve"> </w:t>
      </w:r>
      <w:r>
        <w:t>controlled</w:t>
      </w:r>
      <w:r>
        <w:rPr>
          <w:spacing w:val="-18"/>
        </w:rPr>
        <w:t xml:space="preserve"> </w:t>
      </w:r>
      <w:r>
        <w:t>trial.”</w:t>
      </w:r>
      <w:r>
        <w:rPr>
          <w:spacing w:val="-18"/>
        </w:rPr>
        <w:t xml:space="preserve"> </w:t>
      </w:r>
      <w:proofErr w:type="gramStart"/>
      <w:r>
        <w:t>The</w:t>
      </w:r>
      <w:r>
        <w:rPr>
          <w:spacing w:val="-18"/>
        </w:rPr>
        <w:t xml:space="preserve"> </w:t>
      </w:r>
      <w:r>
        <w:t>“TARGET” Nutrition</w:t>
      </w:r>
      <w:r>
        <w:rPr>
          <w:spacing w:val="-14"/>
        </w:rPr>
        <w:t xml:space="preserve"> </w:t>
      </w:r>
      <w:r>
        <w:rPr>
          <w:spacing w:val="-3"/>
        </w:rPr>
        <w:t>Study.</w:t>
      </w:r>
      <w:proofErr w:type="gramEnd"/>
    </w:p>
    <w:p w:rsidR="00FB5929" w:rsidRDefault="00FB5929" w:rsidP="00FB5929">
      <w:pPr>
        <w:pStyle w:val="BodyText"/>
      </w:pPr>
      <w:r>
        <w:rPr>
          <w:rFonts w:ascii="GillSans-SemiBold"/>
          <w:b/>
        </w:rPr>
        <w:t xml:space="preserve">TRANSFUSE Study </w:t>
      </w:r>
      <w:r>
        <w:t>A multi-centre, randomised, double-blind, phase 3 trial of the effect of standard issue red blood cell blood units on mortality compared to freshest available red blood cell units.</w:t>
      </w:r>
    </w:p>
    <w:p w:rsidR="00FB5929" w:rsidRDefault="00FB5929" w:rsidP="00FB5929">
      <w:pPr>
        <w:pStyle w:val="BodyText"/>
        <w:rPr>
          <w:rFonts w:ascii="GillSans-SemiBold"/>
          <w:b/>
        </w:rPr>
      </w:pPr>
      <w:r>
        <w:rPr>
          <w:rFonts w:ascii="GillSans-SemiBold"/>
          <w:b/>
          <w:color w:val="706F6F"/>
        </w:rPr>
        <w:t>Department of Neurology</w:t>
      </w:r>
    </w:p>
    <w:p w:rsidR="00FB5929" w:rsidRDefault="00FB5929" w:rsidP="00FB5929">
      <w:pPr>
        <w:pStyle w:val="BodyText"/>
      </w:pPr>
      <w:r>
        <w:rPr>
          <w:rFonts w:ascii="GillSans-SemiBold"/>
          <w:b/>
        </w:rPr>
        <w:t xml:space="preserve">CAMMS03409 </w:t>
      </w:r>
      <w:proofErr w:type="gramStart"/>
      <w:r>
        <w:t>An</w:t>
      </w:r>
      <w:proofErr w:type="gramEnd"/>
      <w:r>
        <w:t xml:space="preserve"> Extension Protocol for Multiple Sclerosis Patients</w:t>
      </w:r>
      <w:r>
        <w:rPr>
          <w:spacing w:val="-16"/>
        </w:rPr>
        <w:t xml:space="preserve"> </w:t>
      </w:r>
      <w:r>
        <w:t>who</w:t>
      </w:r>
      <w:r>
        <w:rPr>
          <w:spacing w:val="-16"/>
        </w:rPr>
        <w:t xml:space="preserve"> </w:t>
      </w:r>
      <w:r>
        <w:rPr>
          <w:spacing w:val="-3"/>
        </w:rPr>
        <w:t>have</w:t>
      </w:r>
      <w:r>
        <w:rPr>
          <w:spacing w:val="-16"/>
        </w:rPr>
        <w:t xml:space="preserve"> </w:t>
      </w:r>
      <w:r>
        <w:t>participated</w:t>
      </w:r>
      <w:r>
        <w:rPr>
          <w:spacing w:val="-16"/>
        </w:rPr>
        <w:t xml:space="preserve"> </w:t>
      </w:r>
      <w:r>
        <w:t>in</w:t>
      </w:r>
      <w:r>
        <w:rPr>
          <w:spacing w:val="-16"/>
        </w:rPr>
        <w:t xml:space="preserve"> </w:t>
      </w:r>
      <w:r>
        <w:t>Genzyme</w:t>
      </w:r>
      <w:r>
        <w:rPr>
          <w:spacing w:val="-16"/>
        </w:rPr>
        <w:t xml:space="preserve"> </w:t>
      </w:r>
      <w:r>
        <w:t>-Sponsored</w:t>
      </w:r>
      <w:r>
        <w:rPr>
          <w:spacing w:val="-16"/>
        </w:rPr>
        <w:t xml:space="preserve"> </w:t>
      </w:r>
      <w:r>
        <w:t>Studies</w:t>
      </w:r>
      <w:r>
        <w:rPr>
          <w:spacing w:val="-16"/>
        </w:rPr>
        <w:t xml:space="preserve"> </w:t>
      </w:r>
      <w:r>
        <w:rPr>
          <w:spacing w:val="-4"/>
        </w:rPr>
        <w:t xml:space="preserve">of </w:t>
      </w:r>
      <w:r>
        <w:t>Alemtuzumab.</w:t>
      </w:r>
    </w:p>
    <w:p w:rsidR="00FB5929" w:rsidRDefault="00FB5929" w:rsidP="00FB5929">
      <w:pPr>
        <w:pStyle w:val="BodyText"/>
      </w:pPr>
      <w:r>
        <w:rPr>
          <w:rFonts w:ascii="GillSans-SemiBold"/>
          <w:b/>
          <w:spacing w:val="-3"/>
        </w:rPr>
        <w:t xml:space="preserve">TOPAZ </w:t>
      </w:r>
      <w:proofErr w:type="gramStart"/>
      <w:r>
        <w:t xml:space="preserve">A long term </w:t>
      </w:r>
      <w:r>
        <w:rPr>
          <w:spacing w:val="-3"/>
        </w:rPr>
        <w:t>follow</w:t>
      </w:r>
      <w:proofErr w:type="gramEnd"/>
      <w:r>
        <w:rPr>
          <w:spacing w:val="-3"/>
        </w:rPr>
        <w:t xml:space="preserve"> </w:t>
      </w:r>
      <w:r>
        <w:t>up study for Multiple Sclerosis patients</w:t>
      </w:r>
      <w:r>
        <w:rPr>
          <w:spacing w:val="-18"/>
        </w:rPr>
        <w:t xml:space="preserve"> </w:t>
      </w:r>
      <w:r>
        <w:t>who</w:t>
      </w:r>
      <w:r>
        <w:rPr>
          <w:spacing w:val="-18"/>
        </w:rPr>
        <w:t xml:space="preserve"> </w:t>
      </w:r>
      <w:r>
        <w:rPr>
          <w:spacing w:val="-3"/>
        </w:rPr>
        <w:t>have</w:t>
      </w:r>
      <w:r>
        <w:rPr>
          <w:spacing w:val="-18"/>
        </w:rPr>
        <w:t xml:space="preserve"> </w:t>
      </w:r>
      <w:r>
        <w:t>completed</w:t>
      </w:r>
      <w:r>
        <w:rPr>
          <w:spacing w:val="-18"/>
        </w:rPr>
        <w:t xml:space="preserve"> </w:t>
      </w:r>
      <w:r>
        <w:t>the</w:t>
      </w:r>
      <w:r>
        <w:rPr>
          <w:spacing w:val="-18"/>
        </w:rPr>
        <w:t xml:space="preserve"> </w:t>
      </w:r>
      <w:r>
        <w:t>alemtuzumab</w:t>
      </w:r>
      <w:r>
        <w:rPr>
          <w:spacing w:val="-18"/>
        </w:rPr>
        <w:t xml:space="preserve"> </w:t>
      </w:r>
      <w:r>
        <w:t>Extension</w:t>
      </w:r>
      <w:r>
        <w:rPr>
          <w:spacing w:val="-18"/>
        </w:rPr>
        <w:t xml:space="preserve"> </w:t>
      </w:r>
      <w:r>
        <w:t>Study (CAMMS03409).</w:t>
      </w:r>
    </w:p>
    <w:p w:rsidR="00FB5929" w:rsidRDefault="00FB5929" w:rsidP="00FB5929">
      <w:pPr>
        <w:pStyle w:val="BodyText"/>
      </w:pPr>
      <w:r>
        <w:rPr>
          <w:rFonts w:ascii="GillSans-SemiBold"/>
          <w:b/>
          <w:spacing w:val="-3"/>
        </w:rPr>
        <w:t>ORATORIO</w:t>
      </w:r>
      <w:r>
        <w:rPr>
          <w:rFonts w:ascii="GillSans-SemiBold"/>
          <w:b/>
          <w:spacing w:val="-19"/>
        </w:rPr>
        <w:t xml:space="preserve"> </w:t>
      </w:r>
      <w:proofErr w:type="gramStart"/>
      <w:r>
        <w:rPr>
          <w:rFonts w:ascii="GillSans-SemiBold"/>
          <w:b/>
        </w:rPr>
        <w:t>A</w:t>
      </w:r>
      <w:proofErr w:type="gramEnd"/>
      <w:r>
        <w:rPr>
          <w:rFonts w:ascii="GillSans-SemiBold"/>
          <w:b/>
          <w:spacing w:val="-19"/>
        </w:rPr>
        <w:t xml:space="preserve"> </w:t>
      </w:r>
      <w:r>
        <w:rPr>
          <w:rFonts w:ascii="GillSans-SemiBold"/>
          <w:b/>
        </w:rPr>
        <w:t>Phase</w:t>
      </w:r>
      <w:r>
        <w:rPr>
          <w:rFonts w:ascii="GillSans-SemiBold"/>
          <w:b/>
          <w:spacing w:val="-19"/>
        </w:rPr>
        <w:t xml:space="preserve"> </w:t>
      </w:r>
      <w:r>
        <w:rPr>
          <w:rFonts w:ascii="GillSans-SemiBold"/>
          <w:b/>
        </w:rPr>
        <w:t>III</w:t>
      </w:r>
      <w:r>
        <w:rPr>
          <w:rFonts w:ascii="GillSans-SemiBold"/>
          <w:b/>
          <w:spacing w:val="-19"/>
        </w:rPr>
        <w:t xml:space="preserve"> </w:t>
      </w:r>
      <w:r>
        <w:t>multicentre,</w:t>
      </w:r>
      <w:r>
        <w:rPr>
          <w:spacing w:val="-19"/>
        </w:rPr>
        <w:t xml:space="preserve"> </w:t>
      </w:r>
      <w:r>
        <w:t>randomised,</w:t>
      </w:r>
      <w:r>
        <w:rPr>
          <w:spacing w:val="-19"/>
        </w:rPr>
        <w:t xml:space="preserve"> </w:t>
      </w:r>
      <w:r>
        <w:t>parallel-group, double blinded placebo controlled study to evaluate the efficacy and safety of Ocrelizumab in Adults with Primary progressive Multiple</w:t>
      </w:r>
      <w:r>
        <w:rPr>
          <w:spacing w:val="-35"/>
        </w:rPr>
        <w:t xml:space="preserve"> </w:t>
      </w:r>
      <w:r>
        <w:t>Sclerosis</w:t>
      </w:r>
    </w:p>
    <w:p w:rsidR="00FB5929" w:rsidRDefault="00FB5929" w:rsidP="00FB5929">
      <w:pPr>
        <w:pStyle w:val="BodyText"/>
      </w:pPr>
      <w:r>
        <w:rPr>
          <w:rFonts w:ascii="GillSans-SemiBold"/>
          <w:b/>
        </w:rPr>
        <w:t xml:space="preserve">LEMTRADA </w:t>
      </w:r>
      <w:r>
        <w:rPr>
          <w:rFonts w:ascii="GillSans-SemiBold"/>
          <w:b/>
          <w:spacing w:val="-3"/>
        </w:rPr>
        <w:t xml:space="preserve">PASS </w:t>
      </w:r>
      <w:r>
        <w:t>A prospective, multicentre, observational, post</w:t>
      </w:r>
      <w:r>
        <w:rPr>
          <w:spacing w:val="-17"/>
        </w:rPr>
        <w:t xml:space="preserve"> </w:t>
      </w:r>
      <w:r>
        <w:t>-</w:t>
      </w:r>
      <w:r>
        <w:rPr>
          <w:spacing w:val="-17"/>
        </w:rPr>
        <w:t xml:space="preserve"> </w:t>
      </w:r>
      <w:r>
        <w:t>authorization</w:t>
      </w:r>
      <w:r>
        <w:rPr>
          <w:spacing w:val="-17"/>
        </w:rPr>
        <w:t xml:space="preserve"> </w:t>
      </w:r>
      <w:r>
        <w:t>safety</w:t>
      </w:r>
      <w:r>
        <w:rPr>
          <w:spacing w:val="-17"/>
        </w:rPr>
        <w:t xml:space="preserve"> </w:t>
      </w:r>
      <w:proofErr w:type="gramStart"/>
      <w:r>
        <w:t>study(</w:t>
      </w:r>
      <w:proofErr w:type="gramEnd"/>
      <w:r>
        <w:t>PASS)</w:t>
      </w:r>
      <w:r>
        <w:rPr>
          <w:spacing w:val="-17"/>
        </w:rPr>
        <w:t xml:space="preserve"> </w:t>
      </w:r>
      <w:r>
        <w:t>to</w:t>
      </w:r>
      <w:r>
        <w:rPr>
          <w:spacing w:val="-17"/>
        </w:rPr>
        <w:t xml:space="preserve"> </w:t>
      </w:r>
      <w:r>
        <w:t>evaluate</w:t>
      </w:r>
      <w:r>
        <w:rPr>
          <w:spacing w:val="-17"/>
        </w:rPr>
        <w:t xml:space="preserve"> </w:t>
      </w:r>
      <w:r>
        <w:t>the</w:t>
      </w:r>
      <w:r>
        <w:rPr>
          <w:spacing w:val="-17"/>
        </w:rPr>
        <w:t xml:space="preserve"> </w:t>
      </w:r>
      <w:r>
        <w:t>long</w:t>
      </w:r>
      <w:r>
        <w:rPr>
          <w:spacing w:val="-17"/>
        </w:rPr>
        <w:t xml:space="preserve"> </w:t>
      </w:r>
      <w:r>
        <w:t xml:space="preserve">term safety profile of Lemtrada </w:t>
      </w:r>
      <w:r>
        <w:rPr>
          <w:spacing w:val="-3"/>
        </w:rPr>
        <w:t xml:space="preserve">(alemtuzumab) </w:t>
      </w:r>
      <w:r>
        <w:t>treatment in patients with</w:t>
      </w:r>
      <w:r>
        <w:rPr>
          <w:spacing w:val="-20"/>
        </w:rPr>
        <w:t xml:space="preserve"> </w:t>
      </w:r>
      <w:r>
        <w:t>relapsing</w:t>
      </w:r>
      <w:r>
        <w:rPr>
          <w:spacing w:val="-20"/>
        </w:rPr>
        <w:t xml:space="preserve"> </w:t>
      </w:r>
      <w:r>
        <w:t>remitting</w:t>
      </w:r>
      <w:r>
        <w:rPr>
          <w:spacing w:val="-20"/>
        </w:rPr>
        <w:t xml:space="preserve"> </w:t>
      </w:r>
      <w:r>
        <w:t>Multiple</w:t>
      </w:r>
      <w:r>
        <w:rPr>
          <w:spacing w:val="-20"/>
        </w:rPr>
        <w:t xml:space="preserve"> </w:t>
      </w:r>
      <w:r>
        <w:t>Sclerosis.</w:t>
      </w:r>
    </w:p>
    <w:p w:rsidR="00FB5929" w:rsidRDefault="00FB5929" w:rsidP="00FB5929">
      <w:pPr>
        <w:pStyle w:val="BodyText"/>
        <w:rPr>
          <w:w w:val="95"/>
        </w:rPr>
      </w:pPr>
      <w:r>
        <w:rPr>
          <w:rFonts w:ascii="GillSans-SemiBold"/>
          <w:b/>
        </w:rPr>
        <w:t xml:space="preserve">PrevANZ </w:t>
      </w:r>
      <w:r>
        <w:t>Phase IIb, randomised, double blind-placebo - controlled,</w:t>
      </w:r>
      <w:r>
        <w:rPr>
          <w:spacing w:val="-14"/>
        </w:rPr>
        <w:t xml:space="preserve"> </w:t>
      </w:r>
      <w:r>
        <w:t>dose</w:t>
      </w:r>
      <w:r>
        <w:rPr>
          <w:spacing w:val="-14"/>
        </w:rPr>
        <w:t xml:space="preserve"> </w:t>
      </w:r>
      <w:r>
        <w:t>ranging</w:t>
      </w:r>
      <w:r>
        <w:rPr>
          <w:spacing w:val="-14"/>
        </w:rPr>
        <w:t xml:space="preserve"> </w:t>
      </w:r>
      <w:r>
        <w:t>trial</w:t>
      </w:r>
      <w:r>
        <w:rPr>
          <w:spacing w:val="-14"/>
        </w:rPr>
        <w:t xml:space="preserve"> </w:t>
      </w:r>
      <w:r>
        <w:t>of</w:t>
      </w:r>
      <w:r>
        <w:rPr>
          <w:spacing w:val="-14"/>
        </w:rPr>
        <w:t xml:space="preserve"> </w:t>
      </w:r>
      <w:r>
        <w:t>Vitamin</w:t>
      </w:r>
      <w:r>
        <w:rPr>
          <w:spacing w:val="-14"/>
        </w:rPr>
        <w:t xml:space="preserve"> </w:t>
      </w:r>
      <w:r>
        <w:t>D</w:t>
      </w:r>
      <w:r>
        <w:rPr>
          <w:spacing w:val="-14"/>
        </w:rPr>
        <w:t xml:space="preserve"> </w:t>
      </w:r>
      <w:r>
        <w:t>in</w:t>
      </w:r>
      <w:r>
        <w:rPr>
          <w:spacing w:val="-14"/>
        </w:rPr>
        <w:t xml:space="preserve"> </w:t>
      </w:r>
      <w:r>
        <w:t>patients</w:t>
      </w:r>
      <w:r>
        <w:rPr>
          <w:spacing w:val="-14"/>
        </w:rPr>
        <w:t xml:space="preserve"> </w:t>
      </w:r>
      <w:r>
        <w:t>with</w:t>
      </w:r>
      <w:r>
        <w:rPr>
          <w:spacing w:val="-14"/>
        </w:rPr>
        <w:t xml:space="preserve"> </w:t>
      </w:r>
      <w:r>
        <w:t>a</w:t>
      </w:r>
      <w:r>
        <w:rPr>
          <w:spacing w:val="-14"/>
        </w:rPr>
        <w:t xml:space="preserve"> </w:t>
      </w:r>
      <w:r>
        <w:rPr>
          <w:spacing w:val="2"/>
        </w:rPr>
        <w:t xml:space="preserve">first </w:t>
      </w:r>
      <w:r>
        <w:rPr>
          <w:w w:val="95"/>
        </w:rPr>
        <w:t>demyelinating</w:t>
      </w:r>
      <w:r>
        <w:rPr>
          <w:spacing w:val="27"/>
          <w:w w:val="95"/>
        </w:rPr>
        <w:t xml:space="preserve"> </w:t>
      </w:r>
      <w:r>
        <w:rPr>
          <w:w w:val="95"/>
        </w:rPr>
        <w:t>event.</w:t>
      </w:r>
    </w:p>
    <w:p w:rsidR="00FB5929" w:rsidRDefault="00FB5929" w:rsidP="00FB5929">
      <w:pPr>
        <w:pStyle w:val="BodyText"/>
        <w:rPr>
          <w:w w:val="95"/>
        </w:rPr>
      </w:pPr>
      <w:r>
        <w:rPr>
          <w:w w:val="95"/>
        </w:rPr>
        <w:t>Department of Oncology</w:t>
      </w:r>
    </w:p>
    <w:p w:rsidR="00FB5929" w:rsidRDefault="00FB5929" w:rsidP="00FB5929">
      <w:pPr>
        <w:pStyle w:val="BodyText"/>
      </w:pPr>
      <w:r>
        <w:t>Brain</w:t>
      </w:r>
    </w:p>
    <w:p w:rsidR="00FB5929" w:rsidRDefault="00FB5929" w:rsidP="00FB5929">
      <w:pPr>
        <w:pStyle w:val="BodyText"/>
      </w:pPr>
      <w:r>
        <w:rPr>
          <w:rFonts w:ascii="GillSans-SemiBold" w:hAnsi="GillSans-SemiBold" w:cs="GillSans-SemiBold"/>
          <w:b/>
          <w:bCs/>
        </w:rPr>
        <w:t xml:space="preserve">VERTU </w:t>
      </w:r>
      <w:r>
        <w:t>VEliparib, Radiotherapy and Temozolomide trial in Unmethylated MGMT Glioblastoma. A Randomised Phase II study of veliparib + radiotherapy (RT) with adjuvant temozolomide (TMZ) + veliparib versus standard RT + TMZ followed by TMZ in patients with newly diagnosed glioblastoma (GBM) with unmethylated O (6)-methylguanine-DNA methyltransferase (MGMT).</w:t>
      </w:r>
    </w:p>
    <w:p w:rsidR="00FB5929" w:rsidRDefault="00FB5929" w:rsidP="00FB5929">
      <w:pPr>
        <w:pStyle w:val="BodyText"/>
      </w:pPr>
      <w:proofErr w:type="gramStart"/>
      <w:r>
        <w:rPr>
          <w:rFonts w:ascii="GillSans-SemiBold" w:hAnsi="GillSans-SemiBold" w:cs="GillSans-SemiBold"/>
          <w:b/>
          <w:bCs/>
        </w:rPr>
        <w:t>AGOG</w:t>
      </w:r>
      <w:proofErr w:type="gramEnd"/>
      <w:r>
        <w:rPr>
          <w:rFonts w:ascii="GillSans-SemiBold" w:hAnsi="GillSans-SemiBold" w:cs="GillSans-SemiBold"/>
          <w:b/>
          <w:bCs/>
        </w:rPr>
        <w:t xml:space="preserve"> Epidemiology Study </w:t>
      </w:r>
      <w:r>
        <w:t xml:space="preserve">AGOG is an established research resource with specific focus on clinical care patterns, functional genomics and epidemiology of glioma, the most common form of primary brain tumour in </w:t>
      </w:r>
      <w:r>
        <w:lastRenderedPageBreak/>
        <w:t>adults.</w:t>
      </w:r>
    </w:p>
    <w:p w:rsidR="00FB5929" w:rsidRDefault="00FB5929" w:rsidP="00FB5929">
      <w:pPr>
        <w:pStyle w:val="BodyText"/>
        <w:rPr>
          <w:rFonts w:ascii="GillSans-SemiBold" w:hAnsi="GillSans-SemiBold" w:cs="GillSans-SemiBold"/>
          <w:b/>
          <w:bCs/>
        </w:rPr>
      </w:pPr>
      <w:r>
        <w:rPr>
          <w:rFonts w:ascii="GillSans-SemiBold" w:hAnsi="GillSans-SemiBold" w:cs="GillSans-SemiBold"/>
          <w:b/>
          <w:bCs/>
        </w:rPr>
        <w:t>BREAST</w:t>
      </w:r>
    </w:p>
    <w:p w:rsidR="00FB5929" w:rsidRDefault="00FB5929" w:rsidP="00FB5929">
      <w:pPr>
        <w:pStyle w:val="BodyText"/>
      </w:pPr>
      <w:proofErr w:type="gramStart"/>
      <w:r>
        <w:rPr>
          <w:rFonts w:ascii="GillSans-SemiBold" w:hAnsi="GillSans-SemiBold" w:cs="GillSans-SemiBold"/>
          <w:b/>
          <w:bCs/>
        </w:rPr>
        <w:t>HydranGea.</w:t>
      </w:r>
      <w:proofErr w:type="gramEnd"/>
      <w:r>
        <w:rPr>
          <w:rFonts w:ascii="GillSans-SemiBold" w:hAnsi="GillSans-SemiBold" w:cs="GillSans-SemiBold"/>
          <w:b/>
          <w:bCs/>
        </w:rPr>
        <w:t xml:space="preserve"> (Genentech Breast GO29689) </w:t>
      </w:r>
      <w:r>
        <w:t>A phase ii, open-label, randomized study of gdc-0810 versus fulvestrant in postmenopausal women with advanced or metastatic er+/her2</w:t>
      </w:r>
      <w:r>
        <w:rPr>
          <w:rFonts w:ascii="Arial" w:hAnsi="Arial" w:cs="Arial"/>
        </w:rPr>
        <w:t xml:space="preserve">− </w:t>
      </w:r>
      <w:r>
        <w:t>breast cancer resistant to aromatase.</w:t>
      </w:r>
    </w:p>
    <w:p w:rsidR="00FB5929" w:rsidRDefault="00FB5929" w:rsidP="00FB5929">
      <w:pPr>
        <w:pStyle w:val="BodyText"/>
      </w:pPr>
      <w:r>
        <w:rPr>
          <w:rFonts w:ascii="GillSans-SemiBold" w:hAnsi="GillSans-SemiBold" w:cs="GillSans-SemiBold"/>
          <w:b/>
          <w:bCs/>
        </w:rPr>
        <w:t xml:space="preserve">ELIMINATE. ANZ 1401: ELIMINATE </w:t>
      </w:r>
      <w:r>
        <w:t>Randomised phase II trial of neoadjuvant chemotherapy +/- concurrent aromatase inhibitor endocrine therapy to down-stage large oestrogen receptor positive breast cancer.</w:t>
      </w:r>
    </w:p>
    <w:p w:rsidR="00FB5929" w:rsidRDefault="00FB5929" w:rsidP="00FB5929">
      <w:pPr>
        <w:pStyle w:val="BodyText"/>
      </w:pPr>
      <w:r>
        <w:rPr>
          <w:rFonts w:ascii="GillSans-SemiBold" w:hAnsi="GillSans-SemiBold" w:cs="GillSans-SemiBold"/>
          <w:b/>
          <w:bCs/>
        </w:rPr>
        <w:t xml:space="preserve">OLYMPIA </w:t>
      </w:r>
      <w:r>
        <w:t>A randomized, double blind, parallel group, placebo controlled multicenter phase III study to assess the efficacy and safety of olaparib versus placebo as adjuvant treatment in patients with high risk germline BRCA mutated HER2-negative breast cancer who have data completed definitive local and systemic neoadjuvant/adjuvant treatment.</w:t>
      </w:r>
    </w:p>
    <w:p w:rsidR="00FB5929" w:rsidRDefault="00FB5929" w:rsidP="00FB5929">
      <w:pPr>
        <w:pStyle w:val="BodyText"/>
      </w:pPr>
      <w:r>
        <w:rPr>
          <w:rFonts w:ascii="GillSans-SemiBold" w:hAnsi="GillSans-SemiBold" w:cs="GillSans-SemiBold"/>
          <w:b/>
          <w:bCs/>
        </w:rPr>
        <w:t xml:space="preserve">Abbvie M12-914 </w:t>
      </w:r>
      <w:r>
        <w:t>A Phase 3 study, M12-914, in BRCA mutation carriers with metastatic or locally advanced, unresectable breast cancer.</w:t>
      </w:r>
    </w:p>
    <w:p w:rsidR="00FB5929" w:rsidRDefault="00FB5929" w:rsidP="00FB5929">
      <w:pPr>
        <w:pStyle w:val="BodyText"/>
      </w:pPr>
      <w:r>
        <w:rPr>
          <w:rFonts w:ascii="GillSans-SemiBold" w:hAnsi="GillSans-SemiBold" w:cs="GillSans-SemiBold"/>
          <w:b/>
          <w:bCs/>
        </w:rPr>
        <w:t xml:space="preserve">METRIC </w:t>
      </w:r>
      <w:r>
        <w:t>A randomised multicenter pivotal study of CDX-011 in patients with metastatic, GPNMB over-expressing, triple-negative breast cancer.</w:t>
      </w:r>
    </w:p>
    <w:p w:rsidR="00FB5929" w:rsidRDefault="00FB5929" w:rsidP="00FB5929">
      <w:pPr>
        <w:pStyle w:val="BodyText"/>
      </w:pPr>
      <w:r>
        <w:rPr>
          <w:rFonts w:ascii="GillSans-SemiBold" w:hAnsi="GillSans-SemiBold" w:cs="GillSans-SemiBold"/>
          <w:b/>
          <w:bCs/>
        </w:rPr>
        <w:t xml:space="preserve">STARS </w:t>
      </w:r>
      <w:r>
        <w:t>Study of Anastrozole and Radiotherapy Sequencing for post-menopausal women.</w:t>
      </w:r>
    </w:p>
    <w:p w:rsidR="00FB5929" w:rsidRDefault="00FB5929" w:rsidP="00FB5929">
      <w:pPr>
        <w:pStyle w:val="BodyText"/>
      </w:pPr>
      <w:r>
        <w:rPr>
          <w:rFonts w:ascii="GillSans-SemiBold" w:hAnsi="GillSans-SemiBold" w:cs="GillSans-SemiBold"/>
          <w:b/>
          <w:bCs/>
        </w:rPr>
        <w:t xml:space="preserve">The Tabitha study – registry </w:t>
      </w:r>
      <w:proofErr w:type="gramStart"/>
      <w:r>
        <w:t>A</w:t>
      </w:r>
      <w:proofErr w:type="gramEnd"/>
      <w:r>
        <w:t xml:space="preserve"> prospective Multi-Site Database of HER2 positive metastatic breast cancer patients.</w:t>
      </w:r>
    </w:p>
    <w:p w:rsidR="00FB5929" w:rsidRPr="00FB5929" w:rsidRDefault="00FB5929" w:rsidP="00FB5929">
      <w:pPr>
        <w:pStyle w:val="BodyText"/>
      </w:pPr>
      <w:r w:rsidRPr="00FB5929">
        <w:t>Gastro-Intestinal/Colorectal</w:t>
      </w:r>
    </w:p>
    <w:p w:rsidR="00FB5929" w:rsidRPr="00FB5929" w:rsidRDefault="00FB5929" w:rsidP="00FB5929">
      <w:pPr>
        <w:pStyle w:val="BodyText"/>
      </w:pPr>
      <w:proofErr w:type="gramStart"/>
      <w:r w:rsidRPr="00FB5929">
        <w:rPr>
          <w:b/>
        </w:rPr>
        <w:t>XBiotech CRC</w:t>
      </w:r>
      <w:r w:rsidRPr="00FB5929">
        <w:t xml:space="preserve"> A Phase III Double-blinded, Placebo Controlled</w:t>
      </w:r>
      <w:r>
        <w:t xml:space="preserve"> </w:t>
      </w:r>
      <w:r w:rsidRPr="00FB5929">
        <w:t>Study of Xilonix™ for Improving Survival in Metastatic Colorectal</w:t>
      </w:r>
      <w:r>
        <w:t xml:space="preserve"> </w:t>
      </w:r>
      <w:r w:rsidRPr="00FB5929">
        <w:t>Cancer.</w:t>
      </w:r>
      <w:proofErr w:type="gramEnd"/>
    </w:p>
    <w:p w:rsidR="00FB5929" w:rsidRPr="00FB5929" w:rsidRDefault="00FB5929" w:rsidP="00FB5929">
      <w:pPr>
        <w:pStyle w:val="BodyText"/>
      </w:pPr>
      <w:proofErr w:type="gramStart"/>
      <w:r w:rsidRPr="00FB5929">
        <w:rPr>
          <w:b/>
        </w:rPr>
        <w:t xml:space="preserve">DYNAMIC </w:t>
      </w:r>
      <w:r w:rsidRPr="00FB5929">
        <w:t>Circulating Tumour DNA Analysis Informing Adjuvant</w:t>
      </w:r>
      <w:r>
        <w:t xml:space="preserve"> </w:t>
      </w:r>
      <w:r w:rsidRPr="00FB5929">
        <w:t>Chemotherapy in Stage II Colon Cancer.</w:t>
      </w:r>
      <w:proofErr w:type="gramEnd"/>
    </w:p>
    <w:p w:rsidR="00FB5929" w:rsidRPr="00FB5929" w:rsidRDefault="00FB5929" w:rsidP="00FB5929">
      <w:pPr>
        <w:pStyle w:val="BodyText"/>
      </w:pPr>
      <w:r w:rsidRPr="00FB5929">
        <w:rPr>
          <w:b/>
        </w:rPr>
        <w:t>Javelin 300</w:t>
      </w:r>
      <w:r w:rsidRPr="00FB5929">
        <w:t xml:space="preserve"> A Phase III </w:t>
      </w:r>
      <w:proofErr w:type="gramStart"/>
      <w:r w:rsidRPr="00FB5929">
        <w:t>open-label</w:t>
      </w:r>
      <w:proofErr w:type="gramEnd"/>
      <w:r w:rsidRPr="00FB5929">
        <w:t>, multicenter trial of avelumab</w:t>
      </w:r>
      <w:r>
        <w:t xml:space="preserve"> </w:t>
      </w:r>
      <w:r w:rsidRPr="00FB5929">
        <w:t>(MSB0010718C) as a third-line treatment of unresectable,</w:t>
      </w:r>
      <w:r>
        <w:t xml:space="preserve"> </w:t>
      </w:r>
      <w:r w:rsidRPr="00FB5929">
        <w:t>recurrent, or metastatic gastric or gastroesophageal junction</w:t>
      </w:r>
      <w:r>
        <w:t xml:space="preserve"> </w:t>
      </w:r>
      <w:r w:rsidRPr="00FB5929">
        <w:t>adenocarcinoma.</w:t>
      </w:r>
    </w:p>
    <w:p w:rsidR="00FB5929" w:rsidRPr="00FB5929" w:rsidRDefault="00FB5929" w:rsidP="00FB5929">
      <w:pPr>
        <w:pStyle w:val="BodyText"/>
      </w:pPr>
      <w:proofErr w:type="gramStart"/>
      <w:r w:rsidRPr="00FB5929">
        <w:rPr>
          <w:b/>
        </w:rPr>
        <w:t>Gilead Gastric.</w:t>
      </w:r>
      <w:proofErr w:type="gramEnd"/>
      <w:r w:rsidRPr="00FB5929">
        <w:rPr>
          <w:b/>
        </w:rPr>
        <w:t xml:space="preserve"> GS-US-296-1080</w:t>
      </w:r>
      <w:r w:rsidRPr="00FB5929">
        <w:t xml:space="preserve"> A Phase 3 Randomized,</w:t>
      </w:r>
      <w:r>
        <w:t xml:space="preserve"> </w:t>
      </w:r>
      <w:r w:rsidRPr="00FB5929">
        <w:t>Double-Blind, Placebo-Controlled Study to Evaluate the Efficacy</w:t>
      </w:r>
      <w:r>
        <w:t xml:space="preserve"> </w:t>
      </w:r>
      <w:r w:rsidRPr="00FB5929">
        <w:t>and Safety of GS-5745 Combined with mFOLFOX6 as First Line</w:t>
      </w:r>
      <w:r>
        <w:t xml:space="preserve"> </w:t>
      </w:r>
      <w:r w:rsidRPr="00FB5929">
        <w:t>Treatment in Patients with Advanced Gastric or Gastroesophageal</w:t>
      </w:r>
      <w:r>
        <w:t xml:space="preserve"> </w:t>
      </w:r>
      <w:r w:rsidRPr="00FB5929">
        <w:t>Junction Adenocarcinoma.</w:t>
      </w:r>
    </w:p>
    <w:p w:rsidR="00FB5929" w:rsidRDefault="00FB5929" w:rsidP="00FB5929">
      <w:pPr>
        <w:pStyle w:val="BodyText"/>
      </w:pPr>
      <w:proofErr w:type="gramStart"/>
      <w:r>
        <w:rPr>
          <w:rFonts w:ascii="GillSans-SemiBold" w:hAnsi="GillSans-SemiBold" w:cs="GillSans-SemiBold"/>
          <w:b/>
          <w:bCs/>
        </w:rPr>
        <w:t>AGITG.</w:t>
      </w:r>
      <w:proofErr w:type="gramEnd"/>
      <w:r>
        <w:rPr>
          <w:rFonts w:ascii="GillSans-SemiBold" w:hAnsi="GillSans-SemiBold" w:cs="GillSans-SemiBold"/>
          <w:b/>
          <w:bCs/>
        </w:rPr>
        <w:t xml:space="preserve"> InterAACT </w:t>
      </w:r>
      <w:r>
        <w:t>An International Multicentre Open Label Randomised Phase II Advanced Anal Cancer Trial Comparing Cisplatin plus 5-fluorouracil versus Carboplatin plus Weekly Paclitaxel in Patients with Inoperable Locally Recurrent or Metastatic Disease.</w:t>
      </w:r>
    </w:p>
    <w:p w:rsidR="00FB5929" w:rsidRDefault="00FB5929" w:rsidP="00FB5929">
      <w:pPr>
        <w:pStyle w:val="BodyText"/>
      </w:pPr>
      <w:r>
        <w:rPr>
          <w:rFonts w:ascii="GillSans-SemiBold" w:hAnsi="GillSans-SemiBold" w:cs="GillSans-SemiBold"/>
          <w:b/>
          <w:bCs/>
        </w:rPr>
        <w:t xml:space="preserve">NABNEC I </w:t>
      </w:r>
      <w:r>
        <w:t xml:space="preserve">A Phase II Study Of NAB-Paclitaxel </w:t>
      </w:r>
      <w:proofErr w:type="gramStart"/>
      <w:r>
        <w:t>In</w:t>
      </w:r>
      <w:proofErr w:type="gramEnd"/>
      <w:r>
        <w:t xml:space="preserve"> Combination With Carboplatin As First Line Treatment Of Gastrointestinal Neuroendocrine Carcinomas NABNEC </w:t>
      </w:r>
    </w:p>
    <w:p w:rsidR="00FB5929" w:rsidRDefault="00FB5929" w:rsidP="00FB5929">
      <w:pPr>
        <w:pStyle w:val="BodyText"/>
      </w:pPr>
      <w:r>
        <w:rPr>
          <w:rFonts w:ascii="GillSans-SemiBold" w:hAnsi="GillSans-SemiBold" w:cs="GillSans-SemiBold"/>
          <w:b/>
          <w:bCs/>
        </w:rPr>
        <w:t xml:space="preserve">ALT – GIST </w:t>
      </w:r>
      <w:proofErr w:type="gramStart"/>
      <w:r>
        <w:t>A</w:t>
      </w:r>
      <w:proofErr w:type="gramEnd"/>
      <w:r>
        <w:t xml:space="preserve"> randomised phase 11 trial of Imatinib alternating with Regorafenib compared to Imatinib alone for the first line treatment of advanced gastrointestinal stromal tumour (GIST).</w:t>
      </w:r>
    </w:p>
    <w:p w:rsidR="00FB5929" w:rsidRDefault="00FB5929" w:rsidP="00FB5929">
      <w:pPr>
        <w:pStyle w:val="BodyText"/>
      </w:pPr>
      <w:proofErr w:type="gramStart"/>
      <w:r>
        <w:rPr>
          <w:rFonts w:ascii="GillSans-SemiBold" w:hAnsi="GillSans-SemiBold" w:cs="GillSans-SemiBold"/>
          <w:b/>
          <w:bCs/>
        </w:rPr>
        <w:t xml:space="preserve">Colorectal Transporter Study </w:t>
      </w:r>
      <w:r>
        <w:t>Profiling and Functional Studies of Drug Transporters in Colorectal Cancer: A Pilot Study in Tasmania.</w:t>
      </w:r>
      <w:proofErr w:type="gramEnd"/>
    </w:p>
    <w:p w:rsidR="00FB5929" w:rsidRDefault="00FB5929" w:rsidP="00FB5929">
      <w:pPr>
        <w:pStyle w:val="BodyText"/>
      </w:pPr>
      <w:proofErr w:type="gramStart"/>
      <w:r>
        <w:rPr>
          <w:rFonts w:ascii="GillSans-SemiBold" w:hAnsi="GillSans-SemiBold" w:cs="GillSans-SemiBold"/>
          <w:b/>
          <w:bCs/>
        </w:rPr>
        <w:t>AGITG.</w:t>
      </w:r>
      <w:proofErr w:type="gramEnd"/>
      <w:r>
        <w:rPr>
          <w:rFonts w:ascii="GillSans-SemiBold" w:hAnsi="GillSans-SemiBold" w:cs="GillSans-SemiBold"/>
          <w:b/>
          <w:bCs/>
        </w:rPr>
        <w:t xml:space="preserve"> ASCOLT </w:t>
      </w:r>
      <w:proofErr w:type="gramStart"/>
      <w:r>
        <w:t>An</w:t>
      </w:r>
      <w:proofErr w:type="gramEnd"/>
      <w:r>
        <w:t xml:space="preserve"> International, Multi-centre, Double-blind, Randomised Placebo Controlled Phase III Trial of aspirin for dukes c and high risk dukes b colorectal cancers.</w:t>
      </w:r>
    </w:p>
    <w:p w:rsidR="00FB5929" w:rsidRDefault="00FB5929" w:rsidP="00FB5929">
      <w:pPr>
        <w:pStyle w:val="BodyText"/>
      </w:pPr>
      <w:r>
        <w:rPr>
          <w:rFonts w:ascii="GillSans-SemiBold" w:hAnsi="GillSans-SemiBold" w:cs="GillSans-SemiBold"/>
          <w:b/>
          <w:bCs/>
        </w:rPr>
        <w:lastRenderedPageBreak/>
        <w:t xml:space="preserve">TOP GEAR </w:t>
      </w:r>
      <w:r>
        <w:t>A randomised phase II/III trial of preoperative chemoradiotherapy versus preoperative chemotherapy for resectable gastric cancer.</w:t>
      </w:r>
    </w:p>
    <w:p w:rsidR="00FB5929" w:rsidRDefault="00FB5929" w:rsidP="00FB5929">
      <w:pPr>
        <w:pStyle w:val="BodyText"/>
      </w:pPr>
      <w:r>
        <w:rPr>
          <w:rFonts w:ascii="GillSans-SemiBold" w:hAnsi="GillSans-SemiBold" w:cs="GillSans-SemiBold"/>
          <w:b/>
          <w:bCs/>
        </w:rPr>
        <w:t xml:space="preserve">TRACC Registry </w:t>
      </w:r>
      <w:r>
        <w:t>Prospective Study of Clinical Outcomes and Analysis of Bevacizumab use in Metastatic Colorectal Cancer.</w:t>
      </w:r>
    </w:p>
    <w:p w:rsidR="00FB5929" w:rsidRDefault="00FB5929" w:rsidP="00FB5929">
      <w:pPr>
        <w:pStyle w:val="BodyText"/>
        <w:rPr>
          <w:rFonts w:ascii="GillSans-SemiBold" w:hAnsi="GillSans-SemiBold" w:cs="GillSans-SemiBold"/>
          <w:b/>
          <w:bCs/>
        </w:rPr>
      </w:pPr>
      <w:r>
        <w:rPr>
          <w:rFonts w:ascii="GillSans-SemiBold" w:hAnsi="GillSans-SemiBold" w:cs="GillSans-SemiBold"/>
          <w:b/>
          <w:bCs/>
        </w:rPr>
        <w:t>GYNAE</w:t>
      </w:r>
    </w:p>
    <w:p w:rsidR="00FB5929" w:rsidRPr="00FB5929" w:rsidRDefault="00FB5929" w:rsidP="00FB5929">
      <w:pPr>
        <w:pStyle w:val="BodyText"/>
      </w:pPr>
      <w:proofErr w:type="gramStart"/>
      <w:r w:rsidRPr="00FB5929">
        <w:rPr>
          <w:rFonts w:cs="GillSans-SemiBold"/>
          <w:b/>
          <w:bCs/>
        </w:rPr>
        <w:t xml:space="preserve">Australasian Oncofertility Registry </w:t>
      </w:r>
      <w:r w:rsidRPr="00FB5929">
        <w:t>Fertility outcomes for patients under 45 who seek fertility preservation.</w:t>
      </w:r>
      <w:proofErr w:type="gramEnd"/>
    </w:p>
    <w:p w:rsidR="00FB5929" w:rsidRPr="00FB5929" w:rsidRDefault="00FB5929" w:rsidP="00FB5929">
      <w:pPr>
        <w:pStyle w:val="BodyText"/>
      </w:pPr>
      <w:r w:rsidRPr="00FB5929">
        <w:rPr>
          <w:rFonts w:cs="GillSans-SemiBold"/>
          <w:b/>
          <w:bCs/>
        </w:rPr>
        <w:t xml:space="preserve">SENTINAL NODE Study (Vulval) </w:t>
      </w:r>
      <w:r w:rsidRPr="00FB5929">
        <w:t>A prospective audit of sentinel node biopsy of vulval carcinoma in Australia and New Zealand.</w:t>
      </w:r>
    </w:p>
    <w:p w:rsidR="008D7138" w:rsidRPr="00FB5929" w:rsidRDefault="00FB5929" w:rsidP="00FB5929">
      <w:pPr>
        <w:pStyle w:val="BodyText"/>
      </w:pPr>
      <w:r w:rsidRPr="00FB5929">
        <w:rPr>
          <w:rFonts w:cs="GillSans-SemiBold"/>
          <w:b/>
          <w:bCs/>
        </w:rPr>
        <w:t xml:space="preserve">SENTINAL NODE Study (Endometrial) </w:t>
      </w:r>
      <w:r w:rsidRPr="00FB5929">
        <w:t>Role of Sentinel Lymph Node Detection in Patients with Early Stage Endometrial Cancer.</w:t>
      </w:r>
    </w:p>
    <w:p w:rsidR="00FB5929" w:rsidRPr="00FB5929" w:rsidRDefault="00FB5929" w:rsidP="00FB5929">
      <w:pPr>
        <w:pStyle w:val="BodyText"/>
        <w:rPr>
          <w:b/>
        </w:rPr>
      </w:pPr>
      <w:r w:rsidRPr="00FB5929">
        <w:rPr>
          <w:b/>
        </w:rPr>
        <w:t>LUNG</w:t>
      </w:r>
    </w:p>
    <w:p w:rsidR="00FB5929" w:rsidRPr="00FB5929" w:rsidRDefault="00FB5929" w:rsidP="00FB5929">
      <w:pPr>
        <w:pStyle w:val="BodyText"/>
      </w:pPr>
      <w:r w:rsidRPr="00FB5929">
        <w:rPr>
          <w:b/>
        </w:rPr>
        <w:t>Safron II</w:t>
      </w:r>
      <w:r w:rsidRPr="00FB5929">
        <w:t xml:space="preserve"> Stereotactic ablative fractionated radiotherapy versus radiosurgery for Oligometastatic Neoplasia to the lung: A randomised phase II trial.</w:t>
      </w:r>
    </w:p>
    <w:p w:rsidR="00FB5929" w:rsidRPr="00FB5929" w:rsidRDefault="00FB5929" w:rsidP="00FB5929">
      <w:pPr>
        <w:pStyle w:val="BodyText"/>
      </w:pPr>
      <w:proofErr w:type="gramStart"/>
      <w:r w:rsidRPr="00FB5929">
        <w:rPr>
          <w:b/>
        </w:rPr>
        <w:t>Amethyst</w:t>
      </w:r>
      <w:r w:rsidRPr="00FB5929">
        <w:t xml:space="preserve"> Phase 2, Parallel-Arm Study of MGCD265 in Patients with Locally Advanced or Metastatic Non-Small Cell Lung Cancer with Activating Genetic Alterations in Mesenchymal-Epithelial Transition Factor.</w:t>
      </w:r>
      <w:proofErr w:type="gramEnd"/>
    </w:p>
    <w:p w:rsidR="00FB5929" w:rsidRPr="00FB5929" w:rsidRDefault="00FB5929" w:rsidP="00FB5929">
      <w:pPr>
        <w:pStyle w:val="BodyText"/>
      </w:pPr>
      <w:r w:rsidRPr="00FB5929">
        <w:rPr>
          <w:b/>
        </w:rPr>
        <w:t>BR.31</w:t>
      </w:r>
      <w:r w:rsidRPr="00FB5929">
        <w:t xml:space="preserve"> A phase III double-blind placebo-controlled randomized study of adjuvant MED14736 in completely resected NSCLC.</w:t>
      </w:r>
    </w:p>
    <w:p w:rsidR="00FB5929" w:rsidRPr="00FB5929" w:rsidRDefault="00FB5929" w:rsidP="00FB5929">
      <w:pPr>
        <w:pStyle w:val="BodyText"/>
      </w:pPr>
      <w:r w:rsidRPr="00FB5929">
        <w:rPr>
          <w:b/>
        </w:rPr>
        <w:t>IMpower</w:t>
      </w:r>
      <w:r w:rsidRPr="00FB5929">
        <w:t xml:space="preserve"> Protocol title: A Phase III, Open-Label, Randomized Study of MPDL3280A (anti-PD-L1 Antibody) in Combination with Carboplatin + Paclitaxel with or without Bevacizumab Compared to Carboplatin + Paclitaxel + Bevacizumab in Chemotherapy- Naïve Patients with Stage IV Non-Squamous Non-Small Cell Lung Cancer.</w:t>
      </w:r>
    </w:p>
    <w:p w:rsidR="00FB5929" w:rsidRDefault="00FB5929" w:rsidP="00FB5929">
      <w:pPr>
        <w:pStyle w:val="BodyText"/>
      </w:pPr>
      <w:proofErr w:type="gramStart"/>
      <w:r w:rsidRPr="00FB5929">
        <w:rPr>
          <w:b/>
        </w:rPr>
        <w:t>ENSPIRIT</w:t>
      </w:r>
      <w:r w:rsidRPr="00FB5929">
        <w:t xml:space="preserve"> A Multinational, Randomized, Open-Label Phase III Study of Custirsen (TV-1011/OGX-011) In Combination With Docetaxel Versus Docetaxel As A Second-Line Treatment In Patients With Advanced or Metastatic (Stage IV) Non-Small Cell Lung Cancer.</w:t>
      </w:r>
      <w:proofErr w:type="gramEnd"/>
    </w:p>
    <w:p w:rsidR="00894517" w:rsidRDefault="00894517" w:rsidP="00894517">
      <w:pPr>
        <w:pStyle w:val="BodyText"/>
      </w:pPr>
      <w:r>
        <w:rPr>
          <w:rFonts w:ascii="GillSans-SemiBold" w:hAnsi="GillSans-SemiBold" w:cs="GillSans-SemiBold"/>
          <w:b/>
          <w:bCs/>
        </w:rPr>
        <w:t xml:space="preserve">The OPAL Study </w:t>
      </w:r>
      <w:r>
        <w:t>A national, patient-randomised controlled trial which will compare the relative effectiveness of: i) Best standard care (a printed ‘Understanding Lung Cancer’ information booklet); ii) Proactive Telephone-Delivered Support and Information from a trained oncology nurse consultant; and iii) Proactive Online Delivered (email and live chat) Support and Information from a trained oncology nurse consultant as support for patients recently diagnosed with lung cancer.</w:t>
      </w:r>
    </w:p>
    <w:p w:rsidR="00894517" w:rsidRDefault="00894517" w:rsidP="00894517">
      <w:pPr>
        <w:pStyle w:val="BodyText"/>
        <w:rPr>
          <w:rFonts w:ascii="GillSans-SemiBold" w:hAnsi="GillSans-SemiBold" w:cs="GillSans-SemiBold"/>
          <w:b/>
          <w:bCs/>
        </w:rPr>
      </w:pPr>
      <w:r>
        <w:rPr>
          <w:rFonts w:ascii="GillSans-SemiBold" w:hAnsi="GillSans-SemiBold" w:cs="GillSans-SemiBold"/>
          <w:b/>
          <w:bCs/>
        </w:rPr>
        <w:t>MISCELLANEOUS</w:t>
      </w:r>
    </w:p>
    <w:p w:rsidR="00894517" w:rsidRDefault="00894517" w:rsidP="00894517">
      <w:pPr>
        <w:pStyle w:val="BodyText"/>
      </w:pPr>
      <w:r>
        <w:rPr>
          <w:rFonts w:ascii="GillSans-SemiBold" w:hAnsi="GillSans-SemiBold" w:cs="GillSans-SemiBold"/>
          <w:b/>
          <w:bCs/>
        </w:rPr>
        <w:t xml:space="preserve">REKINDLE </w:t>
      </w:r>
      <w:r>
        <w:t>Testing an online resource to promote sexual wellbeing for both patients and their partners.</w:t>
      </w:r>
    </w:p>
    <w:p w:rsidR="00894517" w:rsidRDefault="00894517" w:rsidP="00894517">
      <w:pPr>
        <w:pStyle w:val="BodyText"/>
      </w:pPr>
      <w:proofErr w:type="gramStart"/>
      <w:r>
        <w:rPr>
          <w:rFonts w:ascii="GillSans-SemiBold" w:hAnsi="GillSans-SemiBold" w:cs="GillSans-SemiBold"/>
          <w:b/>
          <w:bCs/>
        </w:rPr>
        <w:t>ANZUP.</w:t>
      </w:r>
      <w:proofErr w:type="gramEnd"/>
      <w:r>
        <w:rPr>
          <w:rFonts w:ascii="GillSans-SemiBold" w:hAnsi="GillSans-SemiBold" w:cs="GillSans-SemiBold"/>
          <w:b/>
          <w:bCs/>
        </w:rPr>
        <w:t xml:space="preserve"> BEP study </w:t>
      </w:r>
      <w:r>
        <w:t>Randomised trial of accelerated versus standard initial BEP chemotherapy for intermediate and poor-risk advanced germ cell tumours.</w:t>
      </w:r>
    </w:p>
    <w:p w:rsidR="00894517" w:rsidRDefault="00894517" w:rsidP="00894517">
      <w:pPr>
        <w:pStyle w:val="BodyText"/>
      </w:pPr>
      <w:proofErr w:type="gramStart"/>
      <w:r>
        <w:rPr>
          <w:rFonts w:ascii="GillSans-SemiBold" w:hAnsi="GillSans-SemiBold" w:cs="GillSans-SemiBold"/>
          <w:b/>
          <w:bCs/>
        </w:rPr>
        <w:t>BL.12 Trial.</w:t>
      </w:r>
      <w:proofErr w:type="gramEnd"/>
      <w:r>
        <w:rPr>
          <w:rFonts w:ascii="GillSans-SemiBold" w:hAnsi="GillSans-SemiBold" w:cs="GillSans-SemiBold"/>
          <w:b/>
          <w:bCs/>
        </w:rPr>
        <w:t xml:space="preserve"> ANZUP </w:t>
      </w:r>
      <w:r>
        <w:t>A randomised phase 2 trial of nabpactlitaxel versus standard paclitaxel for patients with advanced urothelial cancer progressing within 12 months of chemotherapy with a platinum-based regimen.</w:t>
      </w:r>
    </w:p>
    <w:p w:rsidR="00894517" w:rsidRDefault="00894517" w:rsidP="00894517">
      <w:pPr>
        <w:pStyle w:val="BodyText"/>
      </w:pPr>
    </w:p>
    <w:p w:rsidR="00894517" w:rsidRDefault="00894517" w:rsidP="00894517">
      <w:pPr>
        <w:pStyle w:val="BodyText"/>
        <w:rPr>
          <w:rFonts w:ascii="GillSans-SemiBold" w:hAnsi="GillSans-SemiBold" w:cs="GillSans-SemiBold"/>
          <w:b/>
          <w:bCs/>
        </w:rPr>
      </w:pPr>
      <w:r>
        <w:rPr>
          <w:rFonts w:ascii="GillSans-SemiBold" w:hAnsi="GillSans-SemiBold" w:cs="GillSans-SemiBold"/>
          <w:b/>
          <w:bCs/>
        </w:rPr>
        <w:t>PROSTATE</w:t>
      </w:r>
    </w:p>
    <w:p w:rsidR="00894517" w:rsidRDefault="00894517" w:rsidP="00894517">
      <w:pPr>
        <w:pStyle w:val="BodyText"/>
      </w:pPr>
      <w:proofErr w:type="gramStart"/>
      <w:r>
        <w:rPr>
          <w:rFonts w:ascii="GillSans-SemiBold" w:hAnsi="GillSans-SemiBold" w:cs="GillSans-SemiBold"/>
          <w:b/>
          <w:bCs/>
        </w:rPr>
        <w:t>Key Note 199.</w:t>
      </w:r>
      <w:proofErr w:type="gramEnd"/>
      <w:r>
        <w:rPr>
          <w:rFonts w:ascii="GillSans-SemiBold" w:hAnsi="GillSans-SemiBold" w:cs="GillSans-SemiBold"/>
          <w:b/>
          <w:bCs/>
        </w:rPr>
        <w:t xml:space="preserve"> MK3475-199 </w:t>
      </w:r>
      <w:r>
        <w:t xml:space="preserve">Phase II Trial of Pembrolizumab (MK-3475) in Subjects with Metastatic Castration-Resistant Prostate Cancer (mCRPC) </w:t>
      </w:r>
      <w:proofErr w:type="gramStart"/>
      <w:r>
        <w:t>Previously</w:t>
      </w:r>
      <w:proofErr w:type="gramEnd"/>
      <w:r>
        <w:t xml:space="preserve"> Treated with Chemotherapy.</w:t>
      </w:r>
    </w:p>
    <w:p w:rsidR="00894517" w:rsidRDefault="00894517" w:rsidP="00894517">
      <w:pPr>
        <w:pStyle w:val="BodyText"/>
      </w:pPr>
      <w:r>
        <w:rPr>
          <w:rFonts w:ascii="GillSans-SemiBold" w:hAnsi="GillSans-SemiBold" w:cs="GillSans-SemiBold"/>
          <w:b/>
          <w:bCs/>
        </w:rPr>
        <w:lastRenderedPageBreak/>
        <w:t xml:space="preserve">ENZAMET Trial </w:t>
      </w:r>
      <w:r>
        <w:t>ANZUP in collaboration with the NHMRC Clinical Trials Centre is planning to conduct a trial to determine the effectiveness of adding enzalutamide to an LHRHA as part of first line androgen deprivation therapy for metastatic prostate cancer.</w:t>
      </w:r>
    </w:p>
    <w:p w:rsidR="00894517" w:rsidRDefault="00894517" w:rsidP="00894517">
      <w:pPr>
        <w:pStyle w:val="BodyText"/>
      </w:pPr>
      <w:r>
        <w:rPr>
          <w:rFonts w:ascii="GillSans-SemiBold" w:hAnsi="GillSans-SemiBold" w:cs="GillSans-SemiBold"/>
          <w:b/>
          <w:bCs/>
        </w:rPr>
        <w:t xml:space="preserve">ENZARAD </w:t>
      </w:r>
      <w:r>
        <w:t xml:space="preserve">Randomized </w:t>
      </w:r>
      <w:proofErr w:type="gramStart"/>
      <w:r>
        <w:t>phase</w:t>
      </w:r>
      <w:proofErr w:type="gramEnd"/>
      <w:r>
        <w:t xml:space="preserve"> 3 trial of radiation plus androgen deprivation therapy with or without enzalutamide for high risk, clinically localized, prostate cancer.</w:t>
      </w:r>
    </w:p>
    <w:p w:rsidR="00894517" w:rsidRDefault="00894517" w:rsidP="00894517">
      <w:pPr>
        <w:pStyle w:val="BodyText"/>
        <w:rPr>
          <w:rFonts w:ascii="GillSans-SemiBold" w:hAnsi="GillSans-SemiBold" w:cs="GillSans-SemiBold"/>
          <w:b/>
          <w:bCs/>
        </w:rPr>
      </w:pPr>
      <w:r>
        <w:rPr>
          <w:rFonts w:ascii="GillSans-SemiBold" w:hAnsi="GillSans-SemiBold" w:cs="GillSans-SemiBold"/>
          <w:b/>
          <w:bCs/>
        </w:rPr>
        <w:t>MELANOMA</w:t>
      </w:r>
    </w:p>
    <w:p w:rsidR="00894517" w:rsidRDefault="00894517" w:rsidP="00894517">
      <w:pPr>
        <w:pStyle w:val="BodyText"/>
      </w:pPr>
      <w:r>
        <w:rPr>
          <w:rFonts w:ascii="GillSans-SemiBold" w:hAnsi="GillSans-SemiBold" w:cs="GillSans-SemiBold"/>
          <w:b/>
          <w:bCs/>
        </w:rPr>
        <w:t xml:space="preserve">CHECKMATE 401 </w:t>
      </w:r>
      <w:r>
        <w:t>Clinical Trial of Nivolumab (BMS-936558) Combined with Ipilimumab Followed by Nivolumab Monotherapy as First-Line Therapy of Subjects with Histologically Confirmed Stage III (Unresectable) or Stage IV Melanoma.</w:t>
      </w:r>
    </w:p>
    <w:p w:rsidR="00894517" w:rsidRDefault="00894517" w:rsidP="00894517">
      <w:pPr>
        <w:pStyle w:val="BodyText"/>
      </w:pPr>
      <w:proofErr w:type="gramStart"/>
      <w:r>
        <w:rPr>
          <w:rFonts w:ascii="GillSans-SemiBold" w:hAnsi="GillSans-SemiBold" w:cs="GillSans-SemiBold"/>
          <w:b/>
          <w:bCs/>
        </w:rPr>
        <w:t>WBRTMel 01.07.</w:t>
      </w:r>
      <w:proofErr w:type="gramEnd"/>
      <w:r>
        <w:rPr>
          <w:rFonts w:ascii="GillSans-SemiBold" w:hAnsi="GillSans-SemiBold" w:cs="GillSans-SemiBold"/>
          <w:b/>
          <w:bCs/>
        </w:rPr>
        <w:t xml:space="preserve"> </w:t>
      </w:r>
      <w:r>
        <w:t>Whole Brain Radiotherapy following local treatment of intracranial metastases of melanoma–a randomized phase III trial.</w:t>
      </w:r>
    </w:p>
    <w:p w:rsidR="00894517" w:rsidRPr="00894517" w:rsidRDefault="00894517" w:rsidP="00894517">
      <w:pPr>
        <w:pStyle w:val="BodyText"/>
        <w:rPr>
          <w:b/>
        </w:rPr>
      </w:pPr>
      <w:r w:rsidRPr="00894517">
        <w:rPr>
          <w:b/>
        </w:rPr>
        <w:t>Haematological Studies</w:t>
      </w:r>
    </w:p>
    <w:p w:rsidR="00894517" w:rsidRPr="00894517" w:rsidRDefault="00894517" w:rsidP="00894517">
      <w:pPr>
        <w:pStyle w:val="BodyText"/>
        <w:rPr>
          <w:b/>
        </w:rPr>
      </w:pPr>
      <w:r w:rsidRPr="00894517">
        <w:rPr>
          <w:b/>
        </w:rPr>
        <w:t>LEUKAEMIA</w:t>
      </w:r>
    </w:p>
    <w:p w:rsidR="00894517" w:rsidRPr="00894517" w:rsidRDefault="00894517" w:rsidP="00894517">
      <w:pPr>
        <w:pStyle w:val="BodyText"/>
      </w:pPr>
      <w:r w:rsidRPr="00894517">
        <w:rPr>
          <w:b/>
        </w:rPr>
        <w:t>ONCONOVA</w:t>
      </w:r>
      <w:r w:rsidRPr="00894517">
        <w:t xml:space="preserve"> A Phase III, International, Randomized, Controlled</w:t>
      </w:r>
      <w:r>
        <w:t xml:space="preserve"> </w:t>
      </w:r>
      <w:r w:rsidRPr="00894517">
        <w:t>Study of Rigosertib versus Physician’s Choice of Treatment</w:t>
      </w:r>
      <w:r>
        <w:t xml:space="preserve"> </w:t>
      </w:r>
      <w:r w:rsidRPr="00894517">
        <w:t>in Patients with Myelodysplastic Syndrome after Failure of a</w:t>
      </w:r>
      <w:r>
        <w:t xml:space="preserve"> </w:t>
      </w:r>
      <w:r w:rsidRPr="00894517">
        <w:t>Hypomethylating Agent.</w:t>
      </w:r>
    </w:p>
    <w:p w:rsidR="00894517" w:rsidRPr="00894517" w:rsidRDefault="00894517" w:rsidP="00894517">
      <w:pPr>
        <w:pStyle w:val="BodyText"/>
      </w:pPr>
      <w:r w:rsidRPr="00894517">
        <w:rPr>
          <w:b/>
        </w:rPr>
        <w:t>CAMMERAY CLL7</w:t>
      </w:r>
      <w:r w:rsidRPr="00894517">
        <w:t xml:space="preserve"> An Australasian, phase II, multicentre,</w:t>
      </w:r>
      <w:r>
        <w:t xml:space="preserve"> </w:t>
      </w:r>
      <w:r w:rsidRPr="00894517">
        <w:t>randomised, study investigating safety and efficacy for dose</w:t>
      </w:r>
      <w:r>
        <w:t xml:space="preserve"> </w:t>
      </w:r>
      <w:r w:rsidRPr="00894517">
        <w:t>reduced fludarabine, cyclophosphamide and i.v. obinutuzumab</w:t>
      </w:r>
      <w:r>
        <w:t xml:space="preserve"> </w:t>
      </w:r>
      <w:r w:rsidRPr="00894517">
        <w:t>(G-FC3) versus oral chlorambucil and i.v. obinutuzumab (G-Clb) in</w:t>
      </w:r>
      <w:r>
        <w:t xml:space="preserve"> </w:t>
      </w:r>
      <w:r w:rsidRPr="00894517">
        <w:t>previously untreated, comorbid (CIRS score ≥6), elderly (≥65 years</w:t>
      </w:r>
      <w:r>
        <w:t xml:space="preserve"> </w:t>
      </w:r>
      <w:r w:rsidRPr="00894517">
        <w:t>old) patients with chronic lymphocytic leukaemia (CLL).</w:t>
      </w:r>
    </w:p>
    <w:p w:rsidR="00894517" w:rsidRDefault="00894517" w:rsidP="00894517">
      <w:pPr>
        <w:pStyle w:val="BodyText"/>
      </w:pPr>
      <w:r w:rsidRPr="00894517">
        <w:rPr>
          <w:b/>
        </w:rPr>
        <w:t>AML M20</w:t>
      </w:r>
      <w:r w:rsidRPr="00894517">
        <w:t xml:space="preserve"> A programme of development for older patients with</w:t>
      </w:r>
      <w:r>
        <w:t xml:space="preserve"> </w:t>
      </w:r>
      <w:r w:rsidRPr="00894517">
        <w:t>acute myeloid leukaemia and high risk myelodysplastic syndrome.</w:t>
      </w:r>
      <w:r>
        <w:t xml:space="preserve"> </w:t>
      </w:r>
    </w:p>
    <w:p w:rsidR="00894517" w:rsidRDefault="00894517" w:rsidP="00894517">
      <w:pPr>
        <w:pStyle w:val="BodyText"/>
      </w:pPr>
      <w:r w:rsidRPr="00894517">
        <w:rPr>
          <w:b/>
        </w:rPr>
        <w:t>PINNACLE CML11</w:t>
      </w:r>
      <w:r w:rsidRPr="00894517">
        <w:t xml:space="preserve"> Phase II study of nilotinib plus pegylated</w:t>
      </w:r>
      <w:r>
        <w:t xml:space="preserve"> </w:t>
      </w:r>
      <w:r w:rsidRPr="00894517">
        <w:t>interferon alfa-2b as first-line therapy in chronic phase CML aiming</w:t>
      </w:r>
      <w:r>
        <w:t xml:space="preserve"> </w:t>
      </w:r>
      <w:r w:rsidRPr="00894517">
        <w:t>to maximize CMR and MMR (the ALLG CML11/Pinnacle Study).</w:t>
      </w:r>
    </w:p>
    <w:p w:rsidR="00894517" w:rsidRDefault="00894517" w:rsidP="00894517">
      <w:pPr>
        <w:pStyle w:val="BodyText"/>
      </w:pPr>
      <w:r>
        <w:rPr>
          <w:rFonts w:ascii="GillSans-SemiBold" w:hAnsi="GillSans-SemiBold" w:cs="GillSans-SemiBold"/>
          <w:b/>
          <w:bCs/>
        </w:rPr>
        <w:t xml:space="preserve">CLL6 RESIDUUM </w:t>
      </w:r>
      <w:r>
        <w:t>A Phase III, Multicentre, Randomised Trial Comparing Lenalidomide Consolidation Vs No Consolidation in Patients with Chronic Lymphocytic Leukaemia and Residual Disease Following Induction Chemotherapy.</w:t>
      </w:r>
    </w:p>
    <w:p w:rsidR="00894517" w:rsidRDefault="00894517" w:rsidP="00894517">
      <w:pPr>
        <w:pStyle w:val="BodyText"/>
      </w:pPr>
      <w:r>
        <w:rPr>
          <w:rFonts w:ascii="GillSans-SemiBold" w:hAnsi="GillSans-SemiBold" w:cs="GillSans-SemiBold"/>
          <w:b/>
          <w:bCs/>
        </w:rPr>
        <w:t xml:space="preserve">AML M16 </w:t>
      </w:r>
      <w:r>
        <w:t>Sorafenib in combination with intensive chemotherapy for previously untreated adult FLT3-ITD Positive AML: A Phase 2 randomised double-blind placebo controlled multi-centre study (ALLG AML M16).</w:t>
      </w:r>
    </w:p>
    <w:p w:rsidR="00894517" w:rsidRDefault="00894517" w:rsidP="00894517">
      <w:pPr>
        <w:pStyle w:val="BodyText"/>
        <w:rPr>
          <w:rFonts w:ascii="GillSans-SemiBold" w:hAnsi="GillSans-SemiBold" w:cs="GillSans-SemiBold"/>
          <w:b/>
          <w:bCs/>
        </w:rPr>
      </w:pPr>
      <w:r>
        <w:rPr>
          <w:rFonts w:ascii="GillSans-SemiBold" w:hAnsi="GillSans-SemiBold" w:cs="GillSans-SemiBold"/>
          <w:b/>
          <w:bCs/>
        </w:rPr>
        <w:t>LYMPHOMA</w:t>
      </w:r>
    </w:p>
    <w:p w:rsidR="00894517" w:rsidRDefault="00894517" w:rsidP="00894517">
      <w:pPr>
        <w:pStyle w:val="BodyText"/>
      </w:pPr>
      <w:r>
        <w:rPr>
          <w:rFonts w:ascii="GillSans-SemiBold" w:hAnsi="GillSans-SemiBold" w:cs="GillSans-SemiBold"/>
          <w:b/>
          <w:bCs/>
        </w:rPr>
        <w:t xml:space="preserve">HARMONY (GO29833) </w:t>
      </w:r>
      <w:r>
        <w:t>A phase ib/ii study evaluating the safety and efficacy of obinutuzumab in combination with polatuzumab vedotin and venetoclax in participants with relapsed or refractory follicular or diffuse large b-cell lymphoma (HARMONY).</w:t>
      </w:r>
    </w:p>
    <w:p w:rsidR="00894517" w:rsidRDefault="00894517" w:rsidP="00894517">
      <w:pPr>
        <w:pStyle w:val="BodyText"/>
      </w:pPr>
      <w:r>
        <w:rPr>
          <w:rFonts w:ascii="GillSans-SemiBold" w:hAnsi="GillSans-SemiBold" w:cs="GillSans-SemiBold"/>
          <w:b/>
          <w:bCs/>
        </w:rPr>
        <w:t xml:space="preserve">NHL29 - IRiC </w:t>
      </w:r>
      <w:r>
        <w:t xml:space="preserve">Trial is a Phase II study in </w:t>
      </w:r>
      <w:proofErr w:type="gramStart"/>
      <w:r>
        <w:t>patients</w:t>
      </w:r>
      <w:proofErr w:type="gramEnd"/>
      <w:r>
        <w:t xml:space="preserve"> </w:t>
      </w:r>
      <w:r>
        <w:rPr>
          <w:rFonts w:ascii="Symbol" w:hAnsi="Symbol" w:cs="Symbol"/>
        </w:rPr>
        <w:t>≥</w:t>
      </w:r>
      <w:r>
        <w:t>75 years with newly diagnosed Diffuse Large B Cell Lymphoma. Ibrutinib has demonstrated efficacy in inhibiting the B-cell-receptor pathways characterising the poor prognosis ABC subtype which is highly prevalent in the very elderly.</w:t>
      </w:r>
    </w:p>
    <w:p w:rsidR="00894517" w:rsidRPr="00894517" w:rsidRDefault="00894517" w:rsidP="00894517">
      <w:pPr>
        <w:pStyle w:val="BodyText"/>
      </w:pPr>
      <w:r w:rsidRPr="00894517">
        <w:rPr>
          <w:rFonts w:cs="GillSans-SemiBold"/>
          <w:b/>
          <w:bCs/>
        </w:rPr>
        <w:t xml:space="preserve">REPLY NHL 26 </w:t>
      </w:r>
      <w:r w:rsidRPr="00894517">
        <w:t>A Phase 2 Study of patients treated for relapsed Follicular Lymphoma: with Revlimid</w:t>
      </w:r>
      <w:proofErr w:type="gramStart"/>
      <w:r w:rsidRPr="00894517">
        <w:t>®  consolidation</w:t>
      </w:r>
      <w:proofErr w:type="gramEnd"/>
      <w:r w:rsidRPr="00894517">
        <w:t xml:space="preserve"> added to Rituximab maintenance therapy in those remaining PET positive (RePLY).</w:t>
      </w:r>
    </w:p>
    <w:p w:rsidR="00894517" w:rsidRPr="00894517" w:rsidRDefault="00894517" w:rsidP="00894517">
      <w:pPr>
        <w:pStyle w:val="BodyText"/>
      </w:pPr>
      <w:r w:rsidRPr="00894517">
        <w:rPr>
          <w:rFonts w:cs="GillSans-SemiBold"/>
          <w:b/>
          <w:bCs/>
        </w:rPr>
        <w:t xml:space="preserve">ROBIN - BDM3502 Non-Hodgkin’s Lymphoma </w:t>
      </w:r>
      <w:r w:rsidRPr="00894517">
        <w:t xml:space="preserve">A randomised, open label, multi-centre, phase III study to investigate the efficacy of Bendamustine compared to treatment of physician’s choice in the treatment of </w:t>
      </w:r>
      <w:r w:rsidRPr="00894517">
        <w:lastRenderedPageBreak/>
        <w:t>subjects with indolent Non-Hodgkin’s Lymphoma (NHL) refractory to Rituximab.</w:t>
      </w:r>
    </w:p>
    <w:p w:rsidR="00894517" w:rsidRPr="00894517" w:rsidRDefault="00894517" w:rsidP="00894517">
      <w:pPr>
        <w:pStyle w:val="BodyText"/>
      </w:pPr>
      <w:r w:rsidRPr="00894517">
        <w:rPr>
          <w:rFonts w:cs="GillSans-SemiBold"/>
          <w:b/>
          <w:bCs/>
        </w:rPr>
        <w:t xml:space="preserve">PFIZER MCL (B1771007) </w:t>
      </w:r>
      <w:r w:rsidRPr="00894517">
        <w:t>Temsirolimus Protocol 3066K1-4438- WW. A randomized phase 4 study comparing 2 intravenous Temsirolimus (TEMSR) regimens in subjects with relapsed, refractory mantle cell lymphoma.</w:t>
      </w:r>
    </w:p>
    <w:p w:rsidR="00894517" w:rsidRPr="00894517" w:rsidRDefault="00894517" w:rsidP="00894517">
      <w:pPr>
        <w:pStyle w:val="BodyText"/>
        <w:rPr>
          <w:b/>
        </w:rPr>
      </w:pPr>
      <w:r w:rsidRPr="00894517">
        <w:rPr>
          <w:b/>
        </w:rPr>
        <w:t>MISCELLANEOUS</w:t>
      </w:r>
    </w:p>
    <w:p w:rsidR="00894517" w:rsidRPr="00894517" w:rsidRDefault="00894517" w:rsidP="00894517">
      <w:pPr>
        <w:pStyle w:val="BodyText"/>
      </w:pPr>
      <w:r w:rsidRPr="00894517">
        <w:rPr>
          <w:b/>
        </w:rPr>
        <w:t>Gauchers Registry</w:t>
      </w:r>
      <w:r w:rsidRPr="00894517">
        <w:t xml:space="preserve"> </w:t>
      </w:r>
      <w:proofErr w:type="gramStart"/>
      <w:r w:rsidRPr="00894517">
        <w:t>A</w:t>
      </w:r>
      <w:proofErr w:type="gramEnd"/>
      <w:r w:rsidRPr="00894517">
        <w:t xml:space="preserve"> Registry that collects medical information on people with certain rare diseases (such as Gaucher, Fabry, MPS, and Pompe) around the world.</w:t>
      </w:r>
    </w:p>
    <w:p w:rsidR="00894517" w:rsidRPr="00894517" w:rsidRDefault="00894517" w:rsidP="00894517">
      <w:pPr>
        <w:pStyle w:val="BodyText"/>
      </w:pPr>
      <w:r w:rsidRPr="00894517">
        <w:rPr>
          <w:b/>
        </w:rPr>
        <w:t>MPN01</w:t>
      </w:r>
      <w:r w:rsidRPr="00894517">
        <w:t xml:space="preserve"> Myeloproliferative Neoplasms/Related Bone Marrow Disorders (Polycythaemia Vera, Essential Thrombocythaemia</w:t>
      </w:r>
      <w:proofErr w:type="gramStart"/>
      <w:r w:rsidRPr="00894517">
        <w:t>,  Myelofibrosis</w:t>
      </w:r>
      <w:proofErr w:type="gramEnd"/>
      <w:r w:rsidRPr="00894517">
        <w:t>, Chronic Eosinophilic Leukaemia, Hypereosinophilic Syndrome; Refractory Anaemia w. ring sideroblasts) associated with marked thrombocytosis.</w:t>
      </w:r>
    </w:p>
    <w:p w:rsidR="00894517" w:rsidRPr="00894517" w:rsidRDefault="00894517" w:rsidP="00894517">
      <w:pPr>
        <w:pStyle w:val="BodyText"/>
      </w:pPr>
      <w:proofErr w:type="gramStart"/>
      <w:r w:rsidRPr="00894517">
        <w:rPr>
          <w:b/>
        </w:rPr>
        <w:t>ALLG - NBCR</w:t>
      </w:r>
      <w:r w:rsidRPr="00894517">
        <w:t xml:space="preserve"> Australasian Leukaemia and Lymphoma Group National Blood Cancer Registry.</w:t>
      </w:r>
      <w:proofErr w:type="gramEnd"/>
    </w:p>
    <w:p w:rsidR="00894517" w:rsidRPr="00894517" w:rsidRDefault="00894517" w:rsidP="00894517">
      <w:pPr>
        <w:pStyle w:val="BodyText"/>
        <w:rPr>
          <w:b/>
        </w:rPr>
      </w:pPr>
      <w:r w:rsidRPr="00894517">
        <w:rPr>
          <w:b/>
        </w:rPr>
        <w:t>MULTIPLE MYELOMA</w:t>
      </w:r>
    </w:p>
    <w:p w:rsidR="00894517" w:rsidRPr="00894517" w:rsidRDefault="00894517" w:rsidP="00894517">
      <w:pPr>
        <w:pStyle w:val="BodyText"/>
      </w:pPr>
      <w:r w:rsidRPr="00894517">
        <w:rPr>
          <w:b/>
        </w:rPr>
        <w:t>Abbvie M14-031</w:t>
      </w:r>
      <w:r w:rsidRPr="00894517">
        <w:t xml:space="preserve"> </w:t>
      </w:r>
      <w:proofErr w:type="gramStart"/>
      <w:r w:rsidRPr="00894517">
        <w:t>A</w:t>
      </w:r>
      <w:proofErr w:type="gramEnd"/>
      <w:r w:rsidRPr="00894517">
        <w:t xml:space="preserve"> Phase 3, Multicenter, Randomized, Double Blind Study of Bortezomib and Dexamethasone in combination with either Venetoclax or Placebo in Subjects with Relapsed or Refractory Multiple Myeloma Who are Sensitive or Naïve to Proteasome Inhibitors.</w:t>
      </w:r>
    </w:p>
    <w:p w:rsidR="0059123A" w:rsidRDefault="00894517" w:rsidP="00894517">
      <w:pPr>
        <w:pStyle w:val="BodyText"/>
      </w:pPr>
      <w:r w:rsidRPr="00894517">
        <w:rPr>
          <w:b/>
        </w:rPr>
        <w:t>Myeloma and related diseases registry project outline</w:t>
      </w:r>
      <w:r w:rsidRPr="00894517">
        <w:t xml:space="preserve"> The Myeloma &amp; Related Diseases Registry (MRDR) is a registry of patients diagnosed with myeloma or related diseases.</w:t>
      </w:r>
    </w:p>
    <w:p w:rsidR="0059123A" w:rsidRDefault="0059123A">
      <w:pPr>
        <w:rPr>
          <w:rFonts w:ascii="Gill Sans MT" w:eastAsia="GillSans-Light" w:hAnsi="Gill Sans MT" w:cs="GillSans-Light"/>
          <w:lang w:val="en-US"/>
        </w:rPr>
      </w:pPr>
      <w:r>
        <w:br w:type="page"/>
      </w:r>
    </w:p>
    <w:p w:rsidR="00894517" w:rsidRDefault="0059123A" w:rsidP="00FE3ECD">
      <w:pPr>
        <w:pStyle w:val="Heading3"/>
      </w:pPr>
      <w:bookmarkStart w:id="31" w:name="_Toc472581971"/>
      <w:r>
        <w:lastRenderedPageBreak/>
        <w:t>Clinical Advisory Groups</w:t>
      </w:r>
      <w:bookmarkEnd w:id="31"/>
    </w:p>
    <w:p w:rsidR="0059123A" w:rsidRDefault="0059123A" w:rsidP="0059123A">
      <w:pPr>
        <w:pStyle w:val="BodyText"/>
      </w:pPr>
      <w:r>
        <w:t>The White Paper reinforced the importance of a continued formal mechanism through which clinicians can provide advice on service improvements from a whole of state perspective. A total of 17 CAGs have been operational during 2015-16, providing this state-wide focus across the Tasmanian health care system to inform healthcare provision and lead improvement in service delivery. The CAGs have been meeting quarterly with support provided previously by the Department of Health and Human Services and from April 2016 by the Tasmanian Health Service.</w:t>
      </w:r>
    </w:p>
    <w:p w:rsidR="0059123A" w:rsidRDefault="0059123A" w:rsidP="0059123A">
      <w:pPr>
        <w:pStyle w:val="BodyText"/>
      </w:pPr>
      <w:r>
        <w:t>The role and functions of the CAGs has been to:</w:t>
      </w:r>
    </w:p>
    <w:p w:rsidR="0059123A" w:rsidRDefault="0059123A" w:rsidP="00103528">
      <w:pPr>
        <w:pStyle w:val="BodyText"/>
        <w:numPr>
          <w:ilvl w:val="0"/>
          <w:numId w:val="17"/>
        </w:numPr>
        <w:ind w:left="567" w:hanging="567"/>
      </w:pPr>
      <w:r>
        <w:t>provide the expertise and experience for the development of evidence-based clinical advice on discipline  specific and cross discipline statewide issues as part of the planning and implementation of service reform and development,</w:t>
      </w:r>
    </w:p>
    <w:p w:rsidR="0059123A" w:rsidRDefault="0059123A" w:rsidP="00103528">
      <w:pPr>
        <w:pStyle w:val="BodyText"/>
        <w:numPr>
          <w:ilvl w:val="0"/>
          <w:numId w:val="17"/>
        </w:numPr>
        <w:ind w:left="567" w:hanging="567"/>
      </w:pPr>
      <w:r>
        <w:t xml:space="preserve">undertake and facilitate effective clinical engagement within and across disciplines, </w:t>
      </w:r>
    </w:p>
    <w:p w:rsidR="0059123A" w:rsidRDefault="0059123A" w:rsidP="00103528">
      <w:pPr>
        <w:pStyle w:val="BodyText"/>
        <w:numPr>
          <w:ilvl w:val="0"/>
          <w:numId w:val="17"/>
        </w:numPr>
        <w:ind w:left="567" w:hanging="567"/>
      </w:pPr>
      <w:r>
        <w:t>provide reports on specific issues as requested, and</w:t>
      </w:r>
    </w:p>
    <w:p w:rsidR="0059123A" w:rsidRDefault="0059123A" w:rsidP="00103528">
      <w:pPr>
        <w:pStyle w:val="BodyText"/>
        <w:numPr>
          <w:ilvl w:val="0"/>
          <w:numId w:val="17"/>
        </w:numPr>
        <w:ind w:left="567" w:hanging="567"/>
      </w:pPr>
      <w:proofErr w:type="gramStart"/>
      <w:r>
        <w:t>undertake</w:t>
      </w:r>
      <w:proofErr w:type="gramEnd"/>
      <w:r>
        <w:t xml:space="preserve"> programs of work identified by the Minister, the Governing Council and the Executive of the Tasmanian Health Service; the Secretary, Department of Health and Human Services; the Health Council of Tasmania.</w:t>
      </w:r>
    </w:p>
    <w:p w:rsidR="00617926" w:rsidRDefault="00617926" w:rsidP="00617926">
      <w:pPr>
        <w:pStyle w:val="BodyText"/>
      </w:pPr>
      <w:r w:rsidRPr="00617926">
        <w:t>Membership of the Tasmanian CAGs is broad</w:t>
      </w:r>
      <w:r>
        <w:t xml:space="preserve"> </w:t>
      </w:r>
      <w:r w:rsidRPr="00617926">
        <w:t>and reflective of the differences between</w:t>
      </w:r>
      <w:r>
        <w:t xml:space="preserve"> </w:t>
      </w:r>
      <w:r w:rsidRPr="00617926">
        <w:t>specialties. For example, the Allergy and</w:t>
      </w:r>
      <w:r>
        <w:t xml:space="preserve"> </w:t>
      </w:r>
      <w:r w:rsidRPr="00617926">
        <w:t>Immunology CAG has a diverse membership,</w:t>
      </w:r>
      <w:r>
        <w:t xml:space="preserve"> </w:t>
      </w:r>
      <w:r w:rsidRPr="00617926">
        <w:t>including staff specialists across disciplines,</w:t>
      </w:r>
      <w:r>
        <w:t xml:space="preserve"> </w:t>
      </w:r>
      <w:r w:rsidRPr="00617926">
        <w:t>primary health and nursing representation. By</w:t>
      </w:r>
      <w:r>
        <w:t xml:space="preserve"> </w:t>
      </w:r>
      <w:r w:rsidRPr="00617926">
        <w:t>contrast, the Musculoskeletal CAG also has a</w:t>
      </w:r>
      <w:r>
        <w:t xml:space="preserve"> </w:t>
      </w:r>
      <w:r w:rsidRPr="00617926">
        <w:t>diverse membership, but with a high allied health</w:t>
      </w:r>
      <w:r>
        <w:t xml:space="preserve"> </w:t>
      </w:r>
      <w:r w:rsidRPr="00617926">
        <w:t>contingent. A number of Primary Health Tasmania</w:t>
      </w:r>
      <w:r>
        <w:t xml:space="preserve"> </w:t>
      </w:r>
      <w:r w:rsidRPr="00617926">
        <w:t>representatives are members across different</w:t>
      </w:r>
      <w:r>
        <w:t xml:space="preserve"> </w:t>
      </w:r>
      <w:r w:rsidRPr="00617926">
        <w:t>CAGs, as well as private general practitioners.</w:t>
      </w:r>
      <w:r>
        <w:t xml:space="preserve"> </w:t>
      </w:r>
      <w:r w:rsidRPr="00617926">
        <w:t>The membership of the CAGs is provided in</w:t>
      </w:r>
      <w:r>
        <w:t xml:space="preserve"> more detail below.</w:t>
      </w:r>
    </w:p>
    <w:p w:rsidR="00617926" w:rsidRDefault="00617926" w:rsidP="00617926">
      <w:pPr>
        <w:pStyle w:val="BodyText"/>
      </w:pPr>
      <w:r>
        <w:t>A separate group has been meeting periodically comprising the CAG Convenors. The CAG Convenors Conference, chaired by Dr John Burgess, is a forum for engagement with the THS CEO Dr David Alcorn, to discuss the reform process and messages for dissemination through the CAGs and the staffing community beyond. This has been a useful forum for direct clinician engagement with the THS Executive and CEO that has encouraged frank dialogue.</w:t>
      </w:r>
    </w:p>
    <w:p w:rsidR="00617926" w:rsidRDefault="00617926" w:rsidP="00617926">
      <w:pPr>
        <w:pStyle w:val="BodyText"/>
      </w:pPr>
      <w:r>
        <w:t>The work program for CAGs has been significant. Beyond providing input into development of the Tasmanian Role Delineation Framework (TRDF) and Tasmanian Clinical Services Plan (TCSP), the CAGs have undertaken assessments of services to identify gaps and opportunities to improve patient outcomes within a state-wide service delivery model. Specifically, this has included an assessment against the TRDF and TCSP, and drafting of business cases to support realignment requirements.</w:t>
      </w:r>
    </w:p>
    <w:p w:rsidR="00617926" w:rsidRDefault="00617926" w:rsidP="00617926">
      <w:pPr>
        <w:pStyle w:val="BodyText"/>
      </w:pPr>
      <w:r>
        <w:t>All business cases are to be completed within the second quarter of 2016/17, at which time the CAGs will be disbanded. This is consistent with the end of the advisory phase of the reform process and commencement of implementation phases. Key Leaders Groups will be established comprising representatives from medicine, nursing and midwifery, allied health and consumer/patient support groups. Key Leaders Groups will play a key role in the implementation of White Paper reforms.</w:t>
      </w:r>
    </w:p>
    <w:p w:rsidR="00617926" w:rsidRDefault="00617926" w:rsidP="00617926">
      <w:pPr>
        <w:pStyle w:val="BodyText"/>
      </w:pPr>
      <w:r>
        <w:t>The leadership demonstrated by the CAG Convenors and membership has been critical to drive the reform process thus far. Engagement has been voluntary and many hours have been dedicated for the sole purpose of ensuring that the THS delivers the best patient outcomes possible. All members are thanked for their dedication and leadership, and encouraged to continue to participate in forums across the THS where clinical engagement is sought and needed.</w:t>
      </w:r>
    </w:p>
    <w:p w:rsidR="001C6247" w:rsidRPr="006C4962" w:rsidRDefault="001C6247" w:rsidP="006C4962">
      <w:pPr>
        <w:pStyle w:val="Heading4"/>
      </w:pPr>
      <w:r w:rsidRPr="006C4962">
        <w:lastRenderedPageBreak/>
        <w:t>Clinical Advisory Group Convenor Chair’s Report</w:t>
      </w:r>
    </w:p>
    <w:p w:rsidR="001C6247" w:rsidRPr="006C4962" w:rsidRDefault="001C6247" w:rsidP="006C4962">
      <w:pPr>
        <w:pStyle w:val="BodyText"/>
      </w:pPr>
      <w:r w:rsidRPr="006C4962">
        <w:t>As chair of the CAG Convenors Conference, I have had the privilege of working cooperatively with my colleagues across the State to consider how we will deliver improved patient outcomes through implementation of a truly state-wide Tasmanian Health Service.</w:t>
      </w:r>
    </w:p>
    <w:p w:rsidR="001C6247" w:rsidRPr="006C4962" w:rsidRDefault="001C6247" w:rsidP="006C4962">
      <w:pPr>
        <w:pStyle w:val="BodyText"/>
      </w:pPr>
      <w:r w:rsidRPr="006C4962">
        <w:t>There has been a high level of engagement from within the clinical community that has contributed to meaningful, and at times vigorous, discussions about options to best improve patient experience and outcomes.</w:t>
      </w:r>
    </w:p>
    <w:p w:rsidR="001C6247" w:rsidRPr="006C4962" w:rsidRDefault="001C6247" w:rsidP="006C4962">
      <w:pPr>
        <w:pStyle w:val="BodyText"/>
      </w:pPr>
      <w:r w:rsidRPr="006C4962">
        <w:t>The release of the White Paper in June 2015 set the strategic agenda for the CAGs during 2015-16. We are currently in the midst of completing business cases that identify service and workforce gaps that may otherwise moderate the successful transition to state-wide service delivery. This work is due for</w:t>
      </w:r>
      <w:r w:rsidR="006C4962" w:rsidRPr="006C4962">
        <w:t xml:space="preserve"> </w:t>
      </w:r>
      <w:r w:rsidRPr="006C4962">
        <w:t>completion on or before 1 September, and will</w:t>
      </w:r>
      <w:r w:rsidR="006C4962" w:rsidRPr="006C4962">
        <w:t xml:space="preserve"> </w:t>
      </w:r>
      <w:r w:rsidRPr="006C4962">
        <w:t>inform the reform program into the latter half of</w:t>
      </w:r>
      <w:r w:rsidR="006C4962" w:rsidRPr="006C4962">
        <w:t xml:space="preserve"> </w:t>
      </w:r>
      <w:r w:rsidRPr="006C4962">
        <w:t>2016.</w:t>
      </w:r>
    </w:p>
    <w:p w:rsidR="001C6247" w:rsidRPr="006C4962" w:rsidRDefault="001C6247" w:rsidP="006C4962">
      <w:pPr>
        <w:pStyle w:val="BodyText"/>
      </w:pPr>
      <w:r w:rsidRPr="006C4962">
        <w:t>Completion of the business cases also signals the</w:t>
      </w:r>
      <w:r w:rsidR="006C4962" w:rsidRPr="006C4962">
        <w:t xml:space="preserve"> </w:t>
      </w:r>
      <w:r w:rsidRPr="006C4962">
        <w:t>end of the formal advisory role of the CAGs. This</w:t>
      </w:r>
      <w:r w:rsidR="006C4962" w:rsidRPr="006C4962">
        <w:t xml:space="preserve"> </w:t>
      </w:r>
      <w:r w:rsidRPr="006C4962">
        <w:t>is consistent with moving into an implementation</w:t>
      </w:r>
      <w:r w:rsidR="006C4962" w:rsidRPr="006C4962">
        <w:t xml:space="preserve"> </w:t>
      </w:r>
      <w:r w:rsidRPr="006C4962">
        <w:t>phase with a management structure across the</w:t>
      </w:r>
      <w:r w:rsidR="006C4962" w:rsidRPr="006C4962">
        <w:t xml:space="preserve"> </w:t>
      </w:r>
      <w:r w:rsidRPr="006C4962">
        <w:t>THS that will provide clear lines of accountability</w:t>
      </w:r>
      <w:r w:rsidR="006C4962" w:rsidRPr="006C4962">
        <w:t xml:space="preserve"> </w:t>
      </w:r>
      <w:r w:rsidRPr="006C4962">
        <w:t>and engagement across and between specialties</w:t>
      </w:r>
      <w:r w:rsidR="006C4962" w:rsidRPr="006C4962">
        <w:t xml:space="preserve"> </w:t>
      </w:r>
      <w:r w:rsidRPr="006C4962">
        <w:t>and professions. However, I am aware that the</w:t>
      </w:r>
      <w:r w:rsidR="006C4962" w:rsidRPr="006C4962">
        <w:t xml:space="preserve"> </w:t>
      </w:r>
      <w:r w:rsidRPr="006C4962">
        <w:t>memberships of some CAGs will continue to meet</w:t>
      </w:r>
      <w:r w:rsidR="006C4962" w:rsidRPr="006C4962">
        <w:t xml:space="preserve"> </w:t>
      </w:r>
      <w:r w:rsidRPr="006C4962">
        <w:t>to progress important work outside the scope of</w:t>
      </w:r>
      <w:r w:rsidR="006C4962" w:rsidRPr="006C4962">
        <w:t xml:space="preserve"> </w:t>
      </w:r>
      <w:r w:rsidRPr="006C4962">
        <w:t>the current reform agenda. While these groups may</w:t>
      </w:r>
      <w:r w:rsidR="006C4962" w:rsidRPr="006C4962">
        <w:t xml:space="preserve"> </w:t>
      </w:r>
      <w:r w:rsidRPr="006C4962">
        <w:t>no longer have a CAG title, I am confident that their</w:t>
      </w:r>
      <w:r w:rsidR="006C4962" w:rsidRPr="006C4962">
        <w:t xml:space="preserve"> </w:t>
      </w:r>
      <w:r w:rsidRPr="006C4962">
        <w:t>work will continue to inform robust multidisciplinary</w:t>
      </w:r>
      <w:r w:rsidR="006C4962" w:rsidRPr="006C4962">
        <w:t xml:space="preserve"> </w:t>
      </w:r>
      <w:r w:rsidRPr="006C4962">
        <w:t>discussions that are critical to the ongoing vitality of</w:t>
      </w:r>
      <w:r w:rsidR="006C4962" w:rsidRPr="006C4962">
        <w:t xml:space="preserve"> </w:t>
      </w:r>
      <w:r w:rsidRPr="006C4962">
        <w:t xml:space="preserve">a healthy clinical </w:t>
      </w:r>
      <w:r w:rsidR="006C4962" w:rsidRPr="006C4962">
        <w:t>c</w:t>
      </w:r>
      <w:r w:rsidRPr="006C4962">
        <w:t>ommunity across the THS.</w:t>
      </w:r>
    </w:p>
    <w:p w:rsidR="001C6247" w:rsidRPr="006C4962" w:rsidRDefault="001C6247" w:rsidP="006C4962">
      <w:pPr>
        <w:pStyle w:val="BodyText"/>
      </w:pPr>
      <w:r w:rsidRPr="006C4962">
        <w:t>I commend the commitment of those clinicians</w:t>
      </w:r>
      <w:r w:rsidR="006C4962" w:rsidRPr="006C4962">
        <w:t xml:space="preserve"> </w:t>
      </w:r>
      <w:r w:rsidRPr="006C4962">
        <w:t>who have taken a leadership role through their</w:t>
      </w:r>
      <w:r w:rsidR="006C4962" w:rsidRPr="006C4962">
        <w:t xml:space="preserve"> </w:t>
      </w:r>
      <w:r w:rsidRPr="006C4962">
        <w:t>membership on the various CAGs, and look</w:t>
      </w:r>
      <w:r w:rsidR="006C4962" w:rsidRPr="006C4962">
        <w:t xml:space="preserve"> </w:t>
      </w:r>
      <w:r w:rsidRPr="006C4962">
        <w:t>forward to continuing to work collegially into 2016-</w:t>
      </w:r>
      <w:r w:rsidR="006C4962" w:rsidRPr="006C4962">
        <w:t xml:space="preserve"> </w:t>
      </w:r>
      <w:r w:rsidRPr="006C4962">
        <w:t>17 and beyond.</w:t>
      </w:r>
    </w:p>
    <w:p w:rsidR="001C6247" w:rsidRPr="006C4962" w:rsidRDefault="001C6247" w:rsidP="006C4962">
      <w:pPr>
        <w:pStyle w:val="BodyText"/>
      </w:pPr>
      <w:r w:rsidRPr="006C4962">
        <w:t>Dr John Burgess</w:t>
      </w:r>
      <w:r w:rsidR="006C4962" w:rsidRPr="006C4962">
        <w:br/>
      </w:r>
      <w:r w:rsidRPr="006C4962">
        <w:t>Chair</w:t>
      </w:r>
      <w:r w:rsidR="006C4962" w:rsidRPr="006C4962">
        <w:br/>
      </w:r>
      <w:r w:rsidRPr="006C4962">
        <w:t>Clinical Advisory Groups</w:t>
      </w:r>
    </w:p>
    <w:p w:rsidR="006C4962" w:rsidRPr="006C4962" w:rsidRDefault="006C4962" w:rsidP="006C4962">
      <w:pPr>
        <w:pStyle w:val="BodyText"/>
      </w:pPr>
    </w:p>
    <w:p w:rsidR="001C6247" w:rsidRPr="006C4962" w:rsidRDefault="001C6247" w:rsidP="006C4962">
      <w:pPr>
        <w:pStyle w:val="Heading4"/>
      </w:pPr>
      <w:r w:rsidRPr="006C4962">
        <w:t>Allergy and Immunology</w:t>
      </w:r>
    </w:p>
    <w:p w:rsidR="001C6247" w:rsidRPr="006C4962" w:rsidRDefault="001C6247" w:rsidP="006C4962">
      <w:pPr>
        <w:pStyle w:val="BodyText"/>
      </w:pPr>
      <w:r w:rsidRPr="006C4962">
        <w:t>Convenor: Dr Malcolm Turner</w:t>
      </w:r>
    </w:p>
    <w:p w:rsidR="001C6247" w:rsidRPr="006C4962" w:rsidRDefault="001C6247" w:rsidP="006C4962">
      <w:pPr>
        <w:pStyle w:val="BodyText"/>
      </w:pPr>
      <w:r w:rsidRPr="006C4962">
        <w:t>Dr Malcolm Turner is a Rheumatologist who</w:t>
      </w:r>
      <w:r w:rsidR="006C4962" w:rsidRPr="006C4962">
        <w:t xml:space="preserve"> </w:t>
      </w:r>
      <w:r w:rsidRPr="006C4962">
        <w:t>also runs the Jack Jumper Allergy Program (JJAP)</w:t>
      </w:r>
      <w:r w:rsidR="006C4962" w:rsidRPr="006C4962">
        <w:t xml:space="preserve"> </w:t>
      </w:r>
      <w:r w:rsidRPr="006C4962">
        <w:t>in Tasmania. Through the JJAP he has seen the</w:t>
      </w:r>
      <w:r w:rsidR="006C4962" w:rsidRPr="006C4962">
        <w:t xml:space="preserve"> </w:t>
      </w:r>
      <w:r w:rsidRPr="006C4962">
        <w:t>benefits of a coordinated approach to insect</w:t>
      </w:r>
      <w:r w:rsidR="006C4962" w:rsidRPr="006C4962">
        <w:t xml:space="preserve"> </w:t>
      </w:r>
      <w:r w:rsidRPr="006C4962">
        <w:t>venom anaphylaxis. Tasmania is the only state or</w:t>
      </w:r>
      <w:r w:rsidR="006C4962" w:rsidRPr="006C4962">
        <w:t xml:space="preserve"> </w:t>
      </w:r>
      <w:r w:rsidRPr="006C4962">
        <w:t>territory in Australia without a coordinated public</w:t>
      </w:r>
      <w:r w:rsidR="006C4962" w:rsidRPr="006C4962">
        <w:t xml:space="preserve"> </w:t>
      </w:r>
      <w:r w:rsidRPr="006C4962">
        <w:t>Allergy and Immunology Service and Dr Turner</w:t>
      </w:r>
      <w:r w:rsidR="006C4962" w:rsidRPr="006C4962">
        <w:t xml:space="preserve"> </w:t>
      </w:r>
      <w:r w:rsidRPr="006C4962">
        <w:t>would like to improve the care for Tasmanians</w:t>
      </w:r>
      <w:r w:rsidR="006C4962" w:rsidRPr="006C4962">
        <w:t xml:space="preserve"> </w:t>
      </w:r>
      <w:r w:rsidRPr="006C4962">
        <w:t>with a home grown service. This would lead to</w:t>
      </w:r>
      <w:r w:rsidR="006C4962" w:rsidRPr="006C4962">
        <w:t xml:space="preserve"> </w:t>
      </w:r>
      <w:r w:rsidRPr="006C4962">
        <w:t>better patient outcomes at a more efficient cost</w:t>
      </w:r>
      <w:r w:rsidR="006C4962" w:rsidRPr="006C4962">
        <w:t xml:space="preserve"> </w:t>
      </w:r>
      <w:r w:rsidRPr="006C4962">
        <w:t>to the Tasmanian budget with more effective</w:t>
      </w:r>
      <w:r w:rsidR="006C4962" w:rsidRPr="006C4962">
        <w:t xml:space="preserve"> </w:t>
      </w:r>
      <w:r w:rsidRPr="006C4962">
        <w:t>care delivered locally. Australia leads the world</w:t>
      </w:r>
      <w:r w:rsidR="006C4962" w:rsidRPr="006C4962">
        <w:t xml:space="preserve"> </w:t>
      </w:r>
      <w:r w:rsidRPr="006C4962">
        <w:t>in prevalence of allergic disorders and care is</w:t>
      </w:r>
      <w:r w:rsidR="006C4962" w:rsidRPr="006C4962">
        <w:t xml:space="preserve"> </w:t>
      </w:r>
      <w:r w:rsidRPr="006C4962">
        <w:t>evolving to match the increased burden of disease</w:t>
      </w:r>
      <w:r w:rsidR="006C4962" w:rsidRPr="006C4962">
        <w:t xml:space="preserve"> </w:t>
      </w:r>
      <w:r w:rsidRPr="006C4962">
        <w:t>brought about by our western lifestyle.</w:t>
      </w:r>
    </w:p>
    <w:p w:rsidR="001C6247" w:rsidRPr="006C4962" w:rsidRDefault="001C6247" w:rsidP="006C4962">
      <w:pPr>
        <w:pStyle w:val="BodyText"/>
      </w:pPr>
      <w:r w:rsidRPr="006C4962">
        <w:t>Membership:</w:t>
      </w:r>
    </w:p>
    <w:p w:rsidR="001C6247" w:rsidRPr="006C4962" w:rsidRDefault="001C6247" w:rsidP="00103528">
      <w:pPr>
        <w:pStyle w:val="BodyText"/>
        <w:numPr>
          <w:ilvl w:val="0"/>
          <w:numId w:val="17"/>
        </w:numPr>
        <w:ind w:left="567" w:hanging="567"/>
      </w:pPr>
      <w:r w:rsidRPr="006C4962">
        <w:t>Jenny Gudden, Program Manager Jack Jumper</w:t>
      </w:r>
      <w:r w:rsidR="006C4962" w:rsidRPr="006C4962">
        <w:t xml:space="preserve"> </w:t>
      </w:r>
      <w:r w:rsidRPr="006C4962">
        <w:t>Allergy Program, RHH</w:t>
      </w:r>
    </w:p>
    <w:p w:rsidR="001C6247" w:rsidRPr="006C4962" w:rsidRDefault="001C6247" w:rsidP="00103528">
      <w:pPr>
        <w:pStyle w:val="BodyText"/>
        <w:numPr>
          <w:ilvl w:val="0"/>
          <w:numId w:val="17"/>
        </w:numPr>
        <w:ind w:left="567" w:hanging="567"/>
      </w:pPr>
      <w:r w:rsidRPr="006C4962">
        <w:t>Dr Alasdair MacDonald, Director Department</w:t>
      </w:r>
      <w:r w:rsidR="006C4962" w:rsidRPr="006C4962">
        <w:t xml:space="preserve"> </w:t>
      </w:r>
      <w:r w:rsidRPr="006C4962">
        <w:t>of Medicine, LGH</w:t>
      </w:r>
    </w:p>
    <w:p w:rsidR="001C6247" w:rsidRPr="006C4962" w:rsidRDefault="001C6247" w:rsidP="00103528">
      <w:pPr>
        <w:pStyle w:val="BodyText"/>
        <w:numPr>
          <w:ilvl w:val="0"/>
          <w:numId w:val="17"/>
        </w:numPr>
        <w:ind w:left="567" w:hanging="567"/>
      </w:pPr>
      <w:r w:rsidRPr="006C4962">
        <w:t>Dr Josie Larby, Respiratory Physician, LGH</w:t>
      </w:r>
    </w:p>
    <w:p w:rsidR="001C6247" w:rsidRPr="006C4962" w:rsidRDefault="001C6247" w:rsidP="00103528">
      <w:pPr>
        <w:pStyle w:val="BodyText"/>
        <w:numPr>
          <w:ilvl w:val="0"/>
          <w:numId w:val="17"/>
        </w:numPr>
        <w:ind w:left="567" w:hanging="567"/>
      </w:pPr>
      <w:r w:rsidRPr="006C4962">
        <w:t>Dr Nick Cooling, GP</w:t>
      </w:r>
    </w:p>
    <w:p w:rsidR="001C6247" w:rsidRPr="006C4962" w:rsidRDefault="001C6247" w:rsidP="00103528">
      <w:pPr>
        <w:pStyle w:val="BodyText"/>
        <w:numPr>
          <w:ilvl w:val="0"/>
          <w:numId w:val="17"/>
        </w:numPr>
        <w:ind w:left="567" w:hanging="567"/>
      </w:pPr>
      <w:r w:rsidRPr="006C4962">
        <w:t>Dr Mat Yarrow, Staff Specialist Anaesthetist,</w:t>
      </w:r>
      <w:r w:rsidR="006C4962" w:rsidRPr="006C4962">
        <w:t xml:space="preserve"> </w:t>
      </w:r>
      <w:r w:rsidRPr="006C4962">
        <w:t>RHH</w:t>
      </w:r>
    </w:p>
    <w:p w:rsidR="001C6247" w:rsidRPr="006C4962" w:rsidRDefault="001C6247" w:rsidP="00103528">
      <w:pPr>
        <w:pStyle w:val="BodyText"/>
        <w:numPr>
          <w:ilvl w:val="0"/>
          <w:numId w:val="17"/>
        </w:numPr>
        <w:ind w:left="567" w:hanging="567"/>
      </w:pPr>
      <w:r w:rsidRPr="006C4962">
        <w:t>Anna Stubbs, Registered Nurse, Jack Jumper</w:t>
      </w:r>
    </w:p>
    <w:p w:rsidR="001C6247" w:rsidRPr="006C4962" w:rsidRDefault="001C6247" w:rsidP="00103528">
      <w:pPr>
        <w:pStyle w:val="BodyText"/>
        <w:numPr>
          <w:ilvl w:val="0"/>
          <w:numId w:val="18"/>
        </w:numPr>
        <w:ind w:left="567" w:hanging="567"/>
      </w:pPr>
      <w:r w:rsidRPr="006C4962">
        <w:lastRenderedPageBreak/>
        <w:t>Allergy Program, RHH</w:t>
      </w:r>
    </w:p>
    <w:p w:rsidR="001C6247" w:rsidRPr="006C4962" w:rsidRDefault="001C6247" w:rsidP="00103528">
      <w:pPr>
        <w:pStyle w:val="BodyText"/>
        <w:numPr>
          <w:ilvl w:val="0"/>
          <w:numId w:val="18"/>
        </w:numPr>
        <w:ind w:left="567" w:hanging="567"/>
      </w:pPr>
      <w:r w:rsidRPr="006C4962">
        <w:t>Troy Wanandy, Professional Specialist</w:t>
      </w:r>
      <w:r w:rsidR="006C4962" w:rsidRPr="006C4962">
        <w:t xml:space="preserve"> </w:t>
      </w:r>
      <w:r w:rsidRPr="006C4962">
        <w:t>Pharmacist / Quality Manager, Jack Jumper</w:t>
      </w:r>
      <w:r w:rsidR="006C4962" w:rsidRPr="006C4962">
        <w:t xml:space="preserve"> </w:t>
      </w:r>
      <w:r w:rsidRPr="006C4962">
        <w:t>Allergy Program, RHH</w:t>
      </w:r>
    </w:p>
    <w:p w:rsidR="006C4962" w:rsidRPr="006C4962" w:rsidRDefault="001C6247" w:rsidP="00103528">
      <w:pPr>
        <w:pStyle w:val="BodyText"/>
        <w:numPr>
          <w:ilvl w:val="0"/>
          <w:numId w:val="18"/>
        </w:numPr>
        <w:ind w:left="567" w:hanging="567"/>
      </w:pPr>
      <w:r w:rsidRPr="006C4962">
        <w:t>Dr Heinrich Weber, Staff Specialist, Paediatrics,</w:t>
      </w:r>
      <w:r w:rsidR="006C4962" w:rsidRPr="006C4962">
        <w:t xml:space="preserve"> </w:t>
      </w:r>
      <w:r w:rsidRPr="006C4962">
        <w:t>NWRH</w:t>
      </w:r>
      <w:r w:rsidR="006C4962" w:rsidRPr="006C4962">
        <w:t xml:space="preserve"> </w:t>
      </w:r>
    </w:p>
    <w:p w:rsidR="001C6247" w:rsidRPr="006C4962" w:rsidRDefault="001C6247" w:rsidP="00103528">
      <w:pPr>
        <w:pStyle w:val="BodyText"/>
        <w:numPr>
          <w:ilvl w:val="0"/>
          <w:numId w:val="18"/>
        </w:numPr>
        <w:ind w:left="567" w:hanging="567"/>
      </w:pPr>
      <w:r w:rsidRPr="006C4962">
        <w:t>Jean Symes, Manager, Nutrition and Dietetics,</w:t>
      </w:r>
      <w:r w:rsidR="006C4962" w:rsidRPr="006C4962">
        <w:t xml:space="preserve"> </w:t>
      </w:r>
      <w:r w:rsidRPr="006C4962">
        <w:t>RHH</w:t>
      </w:r>
    </w:p>
    <w:p w:rsidR="001C6247" w:rsidRPr="006C4962" w:rsidRDefault="001C6247" w:rsidP="00103528">
      <w:pPr>
        <w:pStyle w:val="BodyText"/>
        <w:numPr>
          <w:ilvl w:val="0"/>
          <w:numId w:val="18"/>
        </w:numPr>
        <w:ind w:left="567" w:hanging="567"/>
      </w:pPr>
      <w:r w:rsidRPr="006C4962">
        <w:t>Anthony Milward, Director of Nursing, School</w:t>
      </w:r>
      <w:r w:rsidR="006C4962" w:rsidRPr="006C4962">
        <w:t xml:space="preserve"> </w:t>
      </w:r>
      <w:r w:rsidRPr="006C4962">
        <w:t>Health Nurse Program</w:t>
      </w:r>
    </w:p>
    <w:p w:rsidR="006C4962" w:rsidRDefault="001C6247" w:rsidP="00103528">
      <w:pPr>
        <w:pStyle w:val="BodyText"/>
        <w:numPr>
          <w:ilvl w:val="0"/>
          <w:numId w:val="18"/>
        </w:numPr>
        <w:ind w:left="567" w:hanging="567"/>
      </w:pPr>
      <w:r w:rsidRPr="006C4962">
        <w:t>Catherine Spiller, Project Leader, Primary</w:t>
      </w:r>
      <w:r w:rsidR="006C4962" w:rsidRPr="006C4962">
        <w:t xml:space="preserve"> </w:t>
      </w:r>
      <w:r w:rsidRPr="006C4962">
        <w:t>Health Tasmania</w:t>
      </w:r>
    </w:p>
    <w:p w:rsidR="006C4962" w:rsidRDefault="006C4962" w:rsidP="00103528">
      <w:pPr>
        <w:pStyle w:val="BodyText"/>
        <w:numPr>
          <w:ilvl w:val="0"/>
          <w:numId w:val="18"/>
        </w:numPr>
        <w:ind w:left="567" w:hanging="567"/>
      </w:pPr>
      <w:r>
        <w:t>Dr Karl Bleasel, Clinical Immunologist, Private Sector</w:t>
      </w:r>
    </w:p>
    <w:p w:rsidR="006C4962" w:rsidRDefault="006C4962" w:rsidP="006C4962">
      <w:pPr>
        <w:pStyle w:val="BodyText"/>
      </w:pPr>
      <w:r>
        <w:t>Co-opted member as required:</w:t>
      </w:r>
    </w:p>
    <w:p w:rsidR="006C4962" w:rsidRDefault="006C4962" w:rsidP="00103528">
      <w:pPr>
        <w:pStyle w:val="BodyText"/>
        <w:numPr>
          <w:ilvl w:val="0"/>
          <w:numId w:val="19"/>
        </w:numPr>
        <w:ind w:left="567" w:hanging="567"/>
      </w:pPr>
      <w:r>
        <w:t>Dr Bob Heddle, Head of Clinical Immunology Unit, Royal Adelaide Hospital</w:t>
      </w:r>
    </w:p>
    <w:p w:rsidR="006C4962" w:rsidRDefault="006C4962" w:rsidP="00103528">
      <w:pPr>
        <w:pStyle w:val="BodyText"/>
        <w:numPr>
          <w:ilvl w:val="0"/>
          <w:numId w:val="19"/>
        </w:numPr>
        <w:ind w:left="567" w:hanging="567"/>
      </w:pPr>
      <w:r>
        <w:t>Dr Wun Yee Lau, Allergist Immunologist, Private Sector</w:t>
      </w:r>
    </w:p>
    <w:p w:rsidR="006C4962" w:rsidRDefault="006C4962" w:rsidP="00103528">
      <w:pPr>
        <w:pStyle w:val="BodyText"/>
        <w:numPr>
          <w:ilvl w:val="0"/>
          <w:numId w:val="19"/>
        </w:numPr>
        <w:ind w:left="567" w:hanging="567"/>
      </w:pPr>
      <w:r>
        <w:t>Dr Jenny Skeat, GP</w:t>
      </w:r>
    </w:p>
    <w:p w:rsidR="006C4962" w:rsidRDefault="006C4962" w:rsidP="00103528">
      <w:pPr>
        <w:pStyle w:val="BodyText"/>
        <w:numPr>
          <w:ilvl w:val="0"/>
          <w:numId w:val="19"/>
        </w:numPr>
        <w:ind w:left="567" w:hanging="567"/>
      </w:pPr>
      <w:r>
        <w:t>Maria Said, President, Anaphylaxis Australia</w:t>
      </w:r>
    </w:p>
    <w:p w:rsidR="006C4962" w:rsidRDefault="006C4962" w:rsidP="00103528">
      <w:pPr>
        <w:pStyle w:val="BodyText"/>
        <w:numPr>
          <w:ilvl w:val="0"/>
          <w:numId w:val="19"/>
        </w:numPr>
        <w:ind w:left="567" w:hanging="567"/>
      </w:pPr>
      <w:r>
        <w:t>Cassandra Tichanow, CNC Paediatrics, RHH</w:t>
      </w:r>
    </w:p>
    <w:p w:rsidR="006C4962" w:rsidRPr="006C4962" w:rsidRDefault="006C4962" w:rsidP="00103528">
      <w:pPr>
        <w:pStyle w:val="BodyText"/>
        <w:numPr>
          <w:ilvl w:val="0"/>
          <w:numId w:val="19"/>
        </w:numPr>
        <w:ind w:left="567" w:hanging="567"/>
      </w:pPr>
      <w:r>
        <w:t>Gaylene Bassett, Clinical Nurse Specialist, Paediatric Chronic Allergies Disorders, NWRH</w:t>
      </w:r>
    </w:p>
    <w:p w:rsidR="006C4962" w:rsidRPr="006C4962" w:rsidRDefault="006C4962" w:rsidP="006C4962">
      <w:pPr>
        <w:pStyle w:val="BodyText"/>
      </w:pPr>
      <w:r w:rsidRPr="006C4962">
        <w:rPr>
          <w:rStyle w:val="Heading4Char"/>
        </w:rPr>
        <w:t xml:space="preserve">Child and Adolescent Mental Health Services </w:t>
      </w:r>
      <w:r w:rsidRPr="006C4962">
        <w:rPr>
          <w:rStyle w:val="Heading4Char"/>
        </w:rPr>
        <w:br/>
      </w:r>
      <w:r w:rsidRPr="006C4962">
        <w:t>Convenor: Dr Fiona Wagg</w:t>
      </w:r>
    </w:p>
    <w:p w:rsidR="006C4962" w:rsidRDefault="006C4962" w:rsidP="006C4962">
      <w:pPr>
        <w:pStyle w:val="BodyText"/>
      </w:pPr>
      <w:r>
        <w:t>Dr Fiona Wagg is a Child and Adolescent Psychiatrist of twenty years’ experience who worked in Sydney, Australia and Newcastle-upon- Tyne, UK prior to taking up her role in Child and Adolescent Mental Health Services (CAMHS) – South in 2002. Dr Wagg has clinical special interests in infant mental health, eating disorders, inpatient CAMHS and CAMHS service system innovation.</w:t>
      </w:r>
    </w:p>
    <w:p w:rsidR="006C4962" w:rsidRDefault="006C4962" w:rsidP="006C4962">
      <w:pPr>
        <w:pStyle w:val="BodyText"/>
      </w:pPr>
      <w:r>
        <w:t>She undertook a Fellowship in Neurodevelopmental Psychiatry and is currently undertaking studies in Health Service Innovation and Post Graduate research enrolled at the University of Tasmania (UTas). She has previously undertaken training in Health Leadership. Dr Wagg is a Senior Lecturer at UTas and lectures in the UTas Perinatal and Infant Mental Health Course. Dr Wagg is Head of Department CAMHS – South. Dr Wagg is the Tasmanian representative on the Faculty of Child and Adolescent Psychiatry and is convening the FCAP binational conference in Hobart this year.</w:t>
      </w:r>
    </w:p>
    <w:p w:rsidR="006C4962" w:rsidRPr="006C4962" w:rsidRDefault="006C4962" w:rsidP="006C4962">
      <w:pPr>
        <w:pStyle w:val="BodyText"/>
      </w:pPr>
      <w:r>
        <w:t>Dr Wagg is a Fellow of the Royal Australian and New Zealand College of Psychiatrists; the RANZCP Faculty of Child and Adolescent Psychiatry; and a Member of the Royal College of Psychiatrist UK.</w:t>
      </w:r>
    </w:p>
    <w:p w:rsidR="006C4962" w:rsidRDefault="006C4962" w:rsidP="006C4962">
      <w:pPr>
        <w:pStyle w:val="BodyText"/>
      </w:pPr>
      <w:r>
        <w:t>Membership:</w:t>
      </w:r>
    </w:p>
    <w:p w:rsidR="006C4962" w:rsidRDefault="006C4962" w:rsidP="00103528">
      <w:pPr>
        <w:pStyle w:val="BodyText"/>
        <w:numPr>
          <w:ilvl w:val="0"/>
          <w:numId w:val="19"/>
        </w:numPr>
        <w:ind w:left="567" w:hanging="567"/>
      </w:pPr>
      <w:r>
        <w:t>Dr Fiona Judd, Perinatal Psychiatrist, CAMHSSouth</w:t>
      </w:r>
    </w:p>
    <w:p w:rsidR="006C4962" w:rsidRDefault="006C4962" w:rsidP="00103528">
      <w:pPr>
        <w:pStyle w:val="BodyText"/>
        <w:numPr>
          <w:ilvl w:val="0"/>
          <w:numId w:val="19"/>
        </w:numPr>
        <w:ind w:left="567" w:hanging="567"/>
      </w:pPr>
      <w:r>
        <w:t>Dr Tony De Paoli, Staff Specialist – Neonatology, RHH</w:t>
      </w:r>
    </w:p>
    <w:p w:rsidR="006C4962" w:rsidRDefault="006C4962" w:rsidP="00103528">
      <w:pPr>
        <w:pStyle w:val="BodyText"/>
        <w:numPr>
          <w:ilvl w:val="0"/>
          <w:numId w:val="19"/>
        </w:numPr>
        <w:ind w:left="567" w:hanging="567"/>
      </w:pPr>
      <w:r>
        <w:t>Dr Michelle Williams, Staff Specialist – Paediatrician, RHH</w:t>
      </w:r>
    </w:p>
    <w:p w:rsidR="006C4962" w:rsidRDefault="006C4962" w:rsidP="00103528">
      <w:pPr>
        <w:pStyle w:val="BodyText"/>
        <w:numPr>
          <w:ilvl w:val="0"/>
          <w:numId w:val="19"/>
        </w:numPr>
        <w:ind w:left="567" w:hanging="567"/>
      </w:pPr>
      <w:r>
        <w:t>Dr Liz Webber, GP Liaison Officer, Complex, Chronic and Community Services – South</w:t>
      </w:r>
    </w:p>
    <w:p w:rsidR="006C4962" w:rsidRDefault="006C4962" w:rsidP="00103528">
      <w:pPr>
        <w:pStyle w:val="BodyText"/>
        <w:numPr>
          <w:ilvl w:val="0"/>
          <w:numId w:val="19"/>
        </w:numPr>
        <w:ind w:left="567" w:hanging="567"/>
      </w:pPr>
      <w:r>
        <w:t>Jane Austin, Senior Policy Consultant, Mental Health, Alcohol and Drug Directorate (DHHS)</w:t>
      </w:r>
    </w:p>
    <w:p w:rsidR="006C4962" w:rsidRDefault="006C4962" w:rsidP="00103528">
      <w:pPr>
        <w:pStyle w:val="BodyText"/>
        <w:numPr>
          <w:ilvl w:val="0"/>
          <w:numId w:val="19"/>
        </w:numPr>
        <w:ind w:left="567" w:hanging="567"/>
      </w:pPr>
      <w:r>
        <w:t>Chris Handley, ADON, Mental Health South</w:t>
      </w:r>
    </w:p>
    <w:p w:rsidR="006C4962" w:rsidRDefault="006C4962" w:rsidP="00103528">
      <w:pPr>
        <w:pStyle w:val="BodyText"/>
        <w:numPr>
          <w:ilvl w:val="0"/>
          <w:numId w:val="19"/>
        </w:numPr>
        <w:ind w:left="567" w:hanging="567"/>
      </w:pPr>
      <w:r>
        <w:lastRenderedPageBreak/>
        <w:t>Dominca Kelly, Director of Nursing – ChaPs, Child and Youth Services</w:t>
      </w:r>
    </w:p>
    <w:p w:rsidR="006C4962" w:rsidRDefault="006C4962" w:rsidP="00103528">
      <w:pPr>
        <w:pStyle w:val="BodyText"/>
        <w:numPr>
          <w:ilvl w:val="0"/>
          <w:numId w:val="19"/>
        </w:numPr>
        <w:ind w:left="567" w:hanging="567"/>
      </w:pPr>
      <w:r>
        <w:t>Sharni Tattam, Nurse Unit Manager – Team Leader, CAMHS – North</w:t>
      </w:r>
    </w:p>
    <w:p w:rsidR="006C4962" w:rsidRDefault="006C4962" w:rsidP="00103528">
      <w:pPr>
        <w:pStyle w:val="BodyText"/>
        <w:numPr>
          <w:ilvl w:val="0"/>
          <w:numId w:val="19"/>
        </w:numPr>
        <w:ind w:left="567" w:hanging="567"/>
      </w:pPr>
      <w:r>
        <w:t xml:space="preserve">Anne Easther, Team Leader, CAMHS – South </w:t>
      </w:r>
    </w:p>
    <w:p w:rsidR="006C4962" w:rsidRDefault="006C4962" w:rsidP="00103528">
      <w:pPr>
        <w:pStyle w:val="BodyText"/>
        <w:numPr>
          <w:ilvl w:val="0"/>
          <w:numId w:val="19"/>
        </w:numPr>
        <w:ind w:left="567" w:hanging="567"/>
      </w:pPr>
      <w:r>
        <w:t>Dr Ulla Johnson, Child and Adolescent Psychiatrist, Mental Health Services – North</w:t>
      </w:r>
    </w:p>
    <w:p w:rsidR="006C4962" w:rsidRDefault="006C4962" w:rsidP="00103528">
      <w:pPr>
        <w:pStyle w:val="BodyText"/>
        <w:numPr>
          <w:ilvl w:val="0"/>
          <w:numId w:val="19"/>
        </w:numPr>
        <w:ind w:left="567" w:hanging="567"/>
      </w:pPr>
      <w:r>
        <w:t>Cheryl Smith, Assistant Director of Nursing / Manager – Child Health and Parenting Services, Child and Youth Services – North West</w:t>
      </w:r>
    </w:p>
    <w:p w:rsidR="006C4962" w:rsidRDefault="006C4962" w:rsidP="00103528">
      <w:pPr>
        <w:pStyle w:val="BodyText"/>
        <w:numPr>
          <w:ilvl w:val="0"/>
          <w:numId w:val="19"/>
        </w:numPr>
        <w:ind w:left="567" w:hanging="567"/>
      </w:pPr>
      <w:r>
        <w:t>Sue Nesham, Team Leader, CAMHS – North West</w:t>
      </w:r>
    </w:p>
    <w:p w:rsidR="006C4962" w:rsidRPr="006C4962" w:rsidRDefault="006C4962" w:rsidP="00103528">
      <w:pPr>
        <w:pStyle w:val="BodyText"/>
        <w:numPr>
          <w:ilvl w:val="0"/>
          <w:numId w:val="19"/>
        </w:numPr>
        <w:ind w:left="567" w:hanging="567"/>
      </w:pPr>
      <w:r>
        <w:t>Kiona Fitzpatrick, Clinical Nurse Specialist – Youth Health Service, Primary Health Service – North West</w:t>
      </w:r>
    </w:p>
    <w:p w:rsidR="006C4962" w:rsidRDefault="006C4962" w:rsidP="00103528">
      <w:pPr>
        <w:pStyle w:val="BodyText"/>
        <w:numPr>
          <w:ilvl w:val="0"/>
          <w:numId w:val="20"/>
        </w:numPr>
        <w:ind w:left="567" w:hanging="567"/>
      </w:pPr>
      <w:r>
        <w:t>Katja Ubenauf, Child and Adolescent Psychiatrist, CAMHS – North West</w:t>
      </w:r>
    </w:p>
    <w:p w:rsidR="006C4962" w:rsidRDefault="006C4962" w:rsidP="00103528">
      <w:pPr>
        <w:pStyle w:val="BodyText"/>
        <w:numPr>
          <w:ilvl w:val="0"/>
          <w:numId w:val="20"/>
        </w:numPr>
        <w:ind w:left="567" w:hanging="567"/>
      </w:pPr>
      <w:r>
        <w:t>Dr Amanda Neil, Senior Research Fellow – Health Economist, Menzies Research Institute Tasmania</w:t>
      </w:r>
    </w:p>
    <w:p w:rsidR="006C4962" w:rsidRDefault="006C4962" w:rsidP="00103528">
      <w:pPr>
        <w:pStyle w:val="BodyText"/>
        <w:numPr>
          <w:ilvl w:val="0"/>
          <w:numId w:val="20"/>
        </w:numPr>
        <w:ind w:left="567" w:hanging="567"/>
      </w:pPr>
      <w:r>
        <w:t>Kristy Bartlett-Clark, Manager Southern Therapy Services, St Giles</w:t>
      </w:r>
    </w:p>
    <w:p w:rsidR="006C4962" w:rsidRDefault="006C4962" w:rsidP="00103528">
      <w:pPr>
        <w:pStyle w:val="BodyText"/>
        <w:numPr>
          <w:ilvl w:val="0"/>
          <w:numId w:val="20"/>
        </w:numPr>
        <w:ind w:left="567" w:hanging="567"/>
      </w:pPr>
      <w:r>
        <w:t>Ali Morse, College Clinical Psychologist for Children and Youth, St Virgil’s College</w:t>
      </w:r>
    </w:p>
    <w:p w:rsidR="006C4962" w:rsidRDefault="006C4962" w:rsidP="00103528">
      <w:pPr>
        <w:pStyle w:val="BodyText"/>
        <w:numPr>
          <w:ilvl w:val="0"/>
          <w:numId w:val="20"/>
        </w:numPr>
        <w:ind w:left="567" w:hanging="567"/>
      </w:pPr>
      <w:r>
        <w:t>Denise Brazendale, Regional Leader, Mission Australia</w:t>
      </w:r>
    </w:p>
    <w:p w:rsidR="006C4962" w:rsidRDefault="006C4962" w:rsidP="00103528">
      <w:pPr>
        <w:pStyle w:val="BodyText"/>
        <w:numPr>
          <w:ilvl w:val="0"/>
          <w:numId w:val="20"/>
        </w:numPr>
        <w:ind w:left="567" w:hanging="567"/>
      </w:pPr>
      <w:r>
        <w:t>Dr Neil Atherton, Staff Specialist – Paediatrician, LGH</w:t>
      </w:r>
    </w:p>
    <w:p w:rsidR="006C4962" w:rsidRDefault="006C4962" w:rsidP="00103528">
      <w:pPr>
        <w:pStyle w:val="BodyText"/>
        <w:numPr>
          <w:ilvl w:val="0"/>
          <w:numId w:val="20"/>
        </w:numPr>
        <w:ind w:left="567" w:hanging="567"/>
      </w:pPr>
      <w:r>
        <w:t>Sheree Vertigan, National Board member – Headspace</w:t>
      </w:r>
    </w:p>
    <w:p w:rsidR="006C4962" w:rsidRDefault="006C4962" w:rsidP="00103528">
      <w:pPr>
        <w:pStyle w:val="BodyText"/>
        <w:numPr>
          <w:ilvl w:val="0"/>
          <w:numId w:val="20"/>
        </w:numPr>
        <w:ind w:left="567" w:hanging="567"/>
      </w:pPr>
      <w:r>
        <w:t>Mark Morrissey, Children’s Commissioner</w:t>
      </w:r>
    </w:p>
    <w:p w:rsidR="006C4962" w:rsidRPr="006C4962" w:rsidRDefault="006C4962" w:rsidP="006C4962">
      <w:pPr>
        <w:pStyle w:val="Heading4"/>
      </w:pPr>
      <w:r w:rsidRPr="006C4962">
        <w:t>Cancer</w:t>
      </w:r>
    </w:p>
    <w:p w:rsidR="006C4962" w:rsidRPr="006C4962" w:rsidRDefault="006C4962" w:rsidP="006C4962">
      <w:pPr>
        <w:pStyle w:val="BodyText"/>
      </w:pPr>
      <w:r w:rsidRPr="006C4962">
        <w:t>Convenor: Clinical Associate Professor</w:t>
      </w:r>
    </w:p>
    <w:p w:rsidR="006C4962" w:rsidRPr="0014512D" w:rsidRDefault="006C4962" w:rsidP="006C4962">
      <w:pPr>
        <w:pStyle w:val="BodyText"/>
      </w:pPr>
      <w:r w:rsidRPr="0014512D">
        <w:t>Rosemary Harrup Clinical Associate Professor Rosemary Harrup FRACP FRCPA trained in Medical Oncology and Clinical Haematology, completing a dual</w:t>
      </w:r>
      <w:r w:rsidR="00E154A0" w:rsidRPr="0014512D">
        <w:t xml:space="preserve"> </w:t>
      </w:r>
      <w:r w:rsidRPr="0014512D">
        <w:t>Fellowship in 2001. She is Head of Department</w:t>
      </w:r>
      <w:r w:rsidR="00E154A0" w:rsidRPr="0014512D">
        <w:t xml:space="preserve"> </w:t>
      </w:r>
      <w:r w:rsidRPr="0014512D">
        <w:t>Medical Oncology and Haematology at the RHH</w:t>
      </w:r>
      <w:r w:rsidR="00E154A0" w:rsidRPr="0014512D">
        <w:t xml:space="preserve"> </w:t>
      </w:r>
      <w:r w:rsidRPr="0014512D">
        <w:t>and a member of the THS-South Executive, the</w:t>
      </w:r>
      <w:r w:rsidR="00E154A0" w:rsidRPr="0014512D">
        <w:t xml:space="preserve"> </w:t>
      </w:r>
      <w:r w:rsidRPr="0014512D">
        <w:t>board of the Cancer Council of Tasmania, the</w:t>
      </w:r>
      <w:r w:rsidR="00E154A0" w:rsidRPr="0014512D">
        <w:t xml:space="preserve"> </w:t>
      </w:r>
      <w:r w:rsidRPr="0014512D">
        <w:t>Tasmanian Cancer Registry Advisory Group and</w:t>
      </w:r>
      <w:r w:rsidR="00E154A0" w:rsidRPr="0014512D">
        <w:t xml:space="preserve"> </w:t>
      </w:r>
      <w:r w:rsidRPr="0014512D">
        <w:t>the RHH Research Foundation Scientific and</w:t>
      </w:r>
      <w:r w:rsidR="00E154A0" w:rsidRPr="0014512D">
        <w:t xml:space="preserve"> </w:t>
      </w:r>
      <w:r w:rsidRPr="0014512D">
        <w:t>Advisory Committee. She has a strong interest</w:t>
      </w:r>
      <w:r w:rsidR="00E154A0" w:rsidRPr="0014512D">
        <w:t xml:space="preserve"> </w:t>
      </w:r>
      <w:r w:rsidRPr="0014512D">
        <w:t>in clinical research particularly in the areas of</w:t>
      </w:r>
      <w:r w:rsidR="00E154A0" w:rsidRPr="0014512D">
        <w:t xml:space="preserve"> </w:t>
      </w:r>
      <w:r w:rsidRPr="0014512D">
        <w:t xml:space="preserve">Cancer </w:t>
      </w:r>
      <w:proofErr w:type="gramStart"/>
      <w:r w:rsidRPr="0014512D">
        <w:t xml:space="preserve">Clinical </w:t>
      </w:r>
      <w:r w:rsidR="00E154A0" w:rsidRPr="0014512D">
        <w:t xml:space="preserve"> T</w:t>
      </w:r>
      <w:r w:rsidRPr="0014512D">
        <w:t>rials</w:t>
      </w:r>
      <w:proofErr w:type="gramEnd"/>
      <w:r w:rsidRPr="0014512D">
        <w:t>, Neuro-Oncology, Malignant</w:t>
      </w:r>
      <w:r w:rsidR="00E154A0" w:rsidRPr="0014512D">
        <w:t xml:space="preserve"> </w:t>
      </w:r>
      <w:r w:rsidRPr="0014512D">
        <w:t>Haematology and Late Effects. She is the current</w:t>
      </w:r>
      <w:r w:rsidR="00E154A0" w:rsidRPr="0014512D">
        <w:t xml:space="preserve"> </w:t>
      </w:r>
      <w:r w:rsidRPr="0014512D">
        <w:t>Chair of the Medical Oncology Group of Australia</w:t>
      </w:r>
      <w:r w:rsidR="00E154A0" w:rsidRPr="0014512D">
        <w:t xml:space="preserve"> </w:t>
      </w:r>
      <w:r w:rsidRPr="0014512D">
        <w:t>Incorporated (MOGA), the peak national body</w:t>
      </w:r>
      <w:r w:rsidR="00E154A0" w:rsidRPr="0014512D">
        <w:t xml:space="preserve"> </w:t>
      </w:r>
      <w:r w:rsidRPr="0014512D">
        <w:t>for the Australian Medical Oncology profession.</w:t>
      </w:r>
    </w:p>
    <w:p w:rsidR="00E154A0" w:rsidRPr="0014512D" w:rsidRDefault="006C4962" w:rsidP="006C4962">
      <w:pPr>
        <w:pStyle w:val="BodyText"/>
      </w:pPr>
      <w:r w:rsidRPr="0014512D">
        <w:t>She has been a member of the RACP National</w:t>
      </w:r>
      <w:r w:rsidR="00E154A0" w:rsidRPr="0014512D">
        <w:t xml:space="preserve"> </w:t>
      </w:r>
      <w:r w:rsidRPr="0014512D">
        <w:t>Examining Panel since 2004.</w:t>
      </w:r>
      <w:r w:rsidR="00E154A0" w:rsidRPr="0014512D">
        <w:t xml:space="preserve"> </w:t>
      </w:r>
    </w:p>
    <w:p w:rsidR="006C4962" w:rsidRPr="0014512D" w:rsidRDefault="006C4962" w:rsidP="006C4962">
      <w:pPr>
        <w:pStyle w:val="BodyText"/>
      </w:pPr>
      <w:r w:rsidRPr="0014512D">
        <w:t>Membership:</w:t>
      </w:r>
    </w:p>
    <w:p w:rsidR="006C4962" w:rsidRPr="0014512D" w:rsidRDefault="006C4962" w:rsidP="00103528">
      <w:pPr>
        <w:pStyle w:val="BodyText"/>
        <w:numPr>
          <w:ilvl w:val="0"/>
          <w:numId w:val="20"/>
        </w:numPr>
        <w:ind w:left="567" w:hanging="567"/>
      </w:pPr>
      <w:r w:rsidRPr="0014512D">
        <w:t>Dr Stan Gauden, Director Holman Clinic, LGH</w:t>
      </w:r>
    </w:p>
    <w:p w:rsidR="006C4962" w:rsidRPr="0014512D" w:rsidRDefault="006C4962" w:rsidP="00103528">
      <w:pPr>
        <w:pStyle w:val="BodyText"/>
        <w:numPr>
          <w:ilvl w:val="0"/>
          <w:numId w:val="20"/>
        </w:numPr>
        <w:ind w:left="567" w:hanging="567"/>
      </w:pPr>
      <w:r w:rsidRPr="0014512D">
        <w:t>Dr Judith Watson, General Practitioner,</w:t>
      </w:r>
      <w:r w:rsidR="00E154A0" w:rsidRPr="0014512D">
        <w:t xml:space="preserve"> </w:t>
      </w:r>
      <w:r w:rsidRPr="0014512D">
        <w:t>Governing Council member</w:t>
      </w:r>
    </w:p>
    <w:p w:rsidR="006C4962" w:rsidRPr="0014512D" w:rsidRDefault="006C4962" w:rsidP="00103528">
      <w:pPr>
        <w:pStyle w:val="BodyText"/>
        <w:numPr>
          <w:ilvl w:val="0"/>
          <w:numId w:val="20"/>
        </w:numPr>
        <w:ind w:left="567" w:hanging="567"/>
      </w:pPr>
      <w:r w:rsidRPr="0014512D">
        <w:t>Gillian Sheldon-Collins, Registered Nurse –</w:t>
      </w:r>
      <w:r w:rsidR="00E154A0" w:rsidRPr="0014512D">
        <w:t xml:space="preserve"> </w:t>
      </w:r>
      <w:r w:rsidRPr="0014512D">
        <w:t>Oncology Outpatients, RHH</w:t>
      </w:r>
    </w:p>
    <w:p w:rsidR="006C4962" w:rsidRPr="0014512D" w:rsidRDefault="006C4962" w:rsidP="00103528">
      <w:pPr>
        <w:pStyle w:val="BodyText"/>
        <w:numPr>
          <w:ilvl w:val="0"/>
          <w:numId w:val="20"/>
        </w:numPr>
        <w:ind w:left="567" w:hanging="567"/>
      </w:pPr>
      <w:r w:rsidRPr="0014512D">
        <w:t>Grant Smith, Chief Radiation Therapist, WP</w:t>
      </w:r>
      <w:r w:rsidR="00E154A0" w:rsidRPr="0014512D">
        <w:t xml:space="preserve"> </w:t>
      </w:r>
      <w:r w:rsidRPr="0014512D">
        <w:t>Holman Clinic, LGH</w:t>
      </w:r>
    </w:p>
    <w:p w:rsidR="006C4962" w:rsidRPr="0014512D" w:rsidRDefault="006C4962" w:rsidP="00103528">
      <w:pPr>
        <w:pStyle w:val="BodyText"/>
        <w:numPr>
          <w:ilvl w:val="0"/>
          <w:numId w:val="20"/>
        </w:numPr>
        <w:ind w:left="567" w:hanging="567"/>
      </w:pPr>
      <w:r w:rsidRPr="0014512D">
        <w:t>Janine Griffin, NUM Cancer Services, NWRH</w:t>
      </w:r>
    </w:p>
    <w:p w:rsidR="006C4962" w:rsidRPr="0014512D" w:rsidRDefault="006C4962" w:rsidP="00103528">
      <w:pPr>
        <w:pStyle w:val="BodyText"/>
        <w:numPr>
          <w:ilvl w:val="0"/>
          <w:numId w:val="20"/>
        </w:numPr>
        <w:ind w:left="567" w:hanging="567"/>
      </w:pPr>
      <w:r w:rsidRPr="0014512D">
        <w:t>Peggy Egan, CEO Cancer Council Tasmania</w:t>
      </w:r>
    </w:p>
    <w:p w:rsidR="006C4962" w:rsidRPr="0014512D" w:rsidRDefault="006C4962" w:rsidP="00103528">
      <w:pPr>
        <w:pStyle w:val="BodyText"/>
        <w:numPr>
          <w:ilvl w:val="0"/>
          <w:numId w:val="20"/>
        </w:numPr>
        <w:ind w:left="567" w:hanging="567"/>
      </w:pPr>
      <w:r w:rsidRPr="0014512D">
        <w:t>Gail Ward, State Manager Cancer Screening</w:t>
      </w:r>
    </w:p>
    <w:p w:rsidR="006C4962" w:rsidRPr="0014512D" w:rsidRDefault="006C4962" w:rsidP="00103528">
      <w:pPr>
        <w:pStyle w:val="BodyText"/>
        <w:numPr>
          <w:ilvl w:val="0"/>
          <w:numId w:val="20"/>
        </w:numPr>
        <w:ind w:left="567" w:hanging="567"/>
      </w:pPr>
      <w:r w:rsidRPr="0014512D">
        <w:lastRenderedPageBreak/>
        <w:t>Julie Tate, Operations Manager Medical Imaging,</w:t>
      </w:r>
      <w:r w:rsidR="00E154A0" w:rsidRPr="0014512D">
        <w:t xml:space="preserve"> </w:t>
      </w:r>
      <w:r w:rsidRPr="0014512D">
        <w:t>RHH</w:t>
      </w:r>
    </w:p>
    <w:p w:rsidR="006C4962" w:rsidRPr="0014512D" w:rsidRDefault="006C4962" w:rsidP="00E154A0">
      <w:pPr>
        <w:pStyle w:val="Heading4"/>
        <w:rPr>
          <w:sz w:val="22"/>
        </w:rPr>
      </w:pPr>
      <w:r w:rsidRPr="0014512D">
        <w:rPr>
          <w:sz w:val="22"/>
        </w:rPr>
        <w:t>Cardiac</w:t>
      </w:r>
    </w:p>
    <w:p w:rsidR="006C4962" w:rsidRPr="0014512D" w:rsidRDefault="006C4962" w:rsidP="006C4962">
      <w:pPr>
        <w:pStyle w:val="BodyText"/>
      </w:pPr>
      <w:r w:rsidRPr="0014512D">
        <w:t>Convenor: Dr Paul MacIntyre</w:t>
      </w:r>
    </w:p>
    <w:p w:rsidR="006C4962" w:rsidRPr="0014512D" w:rsidRDefault="006C4962" w:rsidP="006C4962">
      <w:pPr>
        <w:pStyle w:val="BodyText"/>
      </w:pPr>
      <w:r w:rsidRPr="0014512D">
        <w:t>Dr Paul MacIntyre moved from Scotland in 2011</w:t>
      </w:r>
      <w:r w:rsidR="00E154A0" w:rsidRPr="0014512D">
        <w:t xml:space="preserve"> </w:t>
      </w:r>
      <w:r w:rsidRPr="0014512D">
        <w:t>to take up a post as Staff Specialist – Cardiology</w:t>
      </w:r>
      <w:r w:rsidR="00E154A0" w:rsidRPr="0014512D">
        <w:t xml:space="preserve"> </w:t>
      </w:r>
      <w:r w:rsidRPr="0014512D">
        <w:t>at the RHH. Dr MacIntyre trained and first</w:t>
      </w:r>
      <w:r w:rsidR="00E154A0" w:rsidRPr="0014512D">
        <w:t xml:space="preserve"> </w:t>
      </w:r>
      <w:r w:rsidRPr="0014512D">
        <w:t>worked in Scotland, and was appointed as</w:t>
      </w:r>
      <w:r w:rsidR="00E154A0" w:rsidRPr="0014512D">
        <w:t xml:space="preserve"> </w:t>
      </w:r>
      <w:r w:rsidRPr="0014512D">
        <w:t>Consultant Cardiologist to the Royal Alexandra</w:t>
      </w:r>
      <w:r w:rsidR="00E154A0" w:rsidRPr="0014512D">
        <w:t xml:space="preserve"> </w:t>
      </w:r>
      <w:r w:rsidRPr="0014512D">
        <w:t>Hospital in Paisley, Glasgow in 1996. In 2005,</w:t>
      </w:r>
      <w:r w:rsidR="00E154A0" w:rsidRPr="0014512D">
        <w:t xml:space="preserve"> </w:t>
      </w:r>
      <w:r w:rsidRPr="0014512D">
        <w:t>he was appointed Lead Clinician for Coronary</w:t>
      </w:r>
      <w:r w:rsidR="00E154A0" w:rsidRPr="0014512D">
        <w:t xml:space="preserve"> </w:t>
      </w:r>
      <w:r w:rsidRPr="0014512D">
        <w:t>Heart Disease in Scotland, and Chair of the</w:t>
      </w:r>
      <w:r w:rsidR="00E154A0" w:rsidRPr="0014512D">
        <w:t xml:space="preserve"> </w:t>
      </w:r>
      <w:r w:rsidRPr="0014512D">
        <w:t>National Advisory Committee to the Scottish</w:t>
      </w:r>
      <w:r w:rsidR="00E154A0" w:rsidRPr="0014512D">
        <w:t xml:space="preserve"> </w:t>
      </w:r>
      <w:r w:rsidRPr="0014512D">
        <w:t>Government. In 2007, Dr MacIntyre received a</w:t>
      </w:r>
      <w:r w:rsidR="00E154A0" w:rsidRPr="0014512D">
        <w:t xml:space="preserve"> </w:t>
      </w:r>
      <w:r w:rsidRPr="0014512D">
        <w:t>merit award for his achievements in Cardiology</w:t>
      </w:r>
      <w:r w:rsidR="00E154A0" w:rsidRPr="0014512D">
        <w:t xml:space="preserve"> </w:t>
      </w:r>
      <w:r w:rsidRPr="0014512D">
        <w:t>in Scotland and his contribution to the wider</w:t>
      </w:r>
      <w:r w:rsidR="00E154A0" w:rsidRPr="0014512D">
        <w:t xml:space="preserve"> </w:t>
      </w:r>
      <w:r w:rsidRPr="0014512D">
        <w:t>National Health Service. Dr MacIntyre is Director</w:t>
      </w:r>
      <w:r w:rsidR="00E154A0" w:rsidRPr="0014512D">
        <w:t xml:space="preserve"> </w:t>
      </w:r>
      <w:r w:rsidRPr="0014512D">
        <w:t>of Cardiology at the RHH, and Convenor of</w:t>
      </w:r>
      <w:r w:rsidR="00E154A0" w:rsidRPr="0014512D">
        <w:t xml:space="preserve"> </w:t>
      </w:r>
      <w:r w:rsidRPr="0014512D">
        <w:t>the Cardiac CAG. He has a strong interest in</w:t>
      </w:r>
      <w:r w:rsidR="00E154A0" w:rsidRPr="0014512D">
        <w:t xml:space="preserve"> </w:t>
      </w:r>
      <w:r w:rsidRPr="0014512D">
        <w:t>governance, service development and re-design,</w:t>
      </w:r>
      <w:r w:rsidR="00E154A0" w:rsidRPr="0014512D">
        <w:t xml:space="preserve"> </w:t>
      </w:r>
      <w:r w:rsidRPr="0014512D">
        <w:t>and is currently a Director of the Tasmanian</w:t>
      </w:r>
      <w:r w:rsidR="00E154A0" w:rsidRPr="0014512D">
        <w:t xml:space="preserve"> </w:t>
      </w:r>
      <w:r w:rsidRPr="0014512D">
        <w:t>Division of the National Heart Foundation.</w:t>
      </w:r>
    </w:p>
    <w:p w:rsidR="006C4962" w:rsidRPr="0014512D" w:rsidRDefault="006C4962" w:rsidP="006C4962">
      <w:pPr>
        <w:pStyle w:val="BodyText"/>
      </w:pPr>
      <w:r w:rsidRPr="0014512D">
        <w:t>Members:</w:t>
      </w:r>
    </w:p>
    <w:p w:rsidR="006C4962" w:rsidRPr="0014512D" w:rsidRDefault="006C4962" w:rsidP="00103528">
      <w:pPr>
        <w:pStyle w:val="BodyText"/>
        <w:numPr>
          <w:ilvl w:val="0"/>
          <w:numId w:val="21"/>
        </w:numPr>
        <w:ind w:left="567" w:hanging="567"/>
      </w:pPr>
      <w:r w:rsidRPr="0014512D">
        <w:t>Shelley Foale, Nurse Unit Manager – Cardiology</w:t>
      </w:r>
      <w:r w:rsidR="00E154A0" w:rsidRPr="0014512D">
        <w:t xml:space="preserve"> </w:t>
      </w:r>
      <w:r w:rsidRPr="0014512D">
        <w:t>and Neurology, LGH</w:t>
      </w:r>
    </w:p>
    <w:p w:rsidR="006C4962" w:rsidRPr="0014512D" w:rsidRDefault="006C4962" w:rsidP="00103528">
      <w:pPr>
        <w:pStyle w:val="BodyText"/>
        <w:numPr>
          <w:ilvl w:val="0"/>
          <w:numId w:val="21"/>
        </w:numPr>
        <w:ind w:left="567" w:hanging="567"/>
      </w:pPr>
      <w:r w:rsidRPr="0014512D">
        <w:t>Dr Con Georgakas, Director – Clinical Services,</w:t>
      </w:r>
      <w:r w:rsidR="00E154A0" w:rsidRPr="0014512D">
        <w:t xml:space="preserve"> </w:t>
      </w:r>
      <w:r w:rsidRPr="0014512D">
        <w:t>Ambulance Tasmania</w:t>
      </w:r>
    </w:p>
    <w:p w:rsidR="006C4962" w:rsidRPr="0014512D" w:rsidRDefault="006C4962" w:rsidP="00103528">
      <w:pPr>
        <w:pStyle w:val="BodyText"/>
        <w:numPr>
          <w:ilvl w:val="0"/>
          <w:numId w:val="21"/>
        </w:numPr>
        <w:ind w:left="567" w:hanging="567"/>
      </w:pPr>
      <w:r w:rsidRPr="0014512D">
        <w:t>Gillian Mangan, Cardiovascular Health Director,</w:t>
      </w:r>
      <w:r w:rsidR="00E154A0" w:rsidRPr="0014512D">
        <w:t xml:space="preserve"> </w:t>
      </w:r>
      <w:r w:rsidRPr="0014512D">
        <w:t>Heart Foundation</w:t>
      </w:r>
    </w:p>
    <w:p w:rsidR="006C4962" w:rsidRPr="0014512D" w:rsidRDefault="006C4962" w:rsidP="00103528">
      <w:pPr>
        <w:pStyle w:val="BodyText"/>
        <w:numPr>
          <w:ilvl w:val="0"/>
          <w:numId w:val="21"/>
        </w:numPr>
        <w:ind w:left="567" w:hanging="567"/>
      </w:pPr>
      <w:r w:rsidRPr="0014512D">
        <w:t>Dr Graeme Bleach, General Practitioner,</w:t>
      </w:r>
      <w:r w:rsidR="00E154A0" w:rsidRPr="0014512D">
        <w:t xml:space="preserve"> </w:t>
      </w:r>
      <w:r w:rsidRPr="0014512D">
        <w:t>Primary Health Tasmania</w:t>
      </w:r>
    </w:p>
    <w:p w:rsidR="006C4962" w:rsidRPr="0014512D" w:rsidRDefault="006C4962" w:rsidP="00103528">
      <w:pPr>
        <w:pStyle w:val="BodyText"/>
        <w:numPr>
          <w:ilvl w:val="0"/>
          <w:numId w:val="21"/>
        </w:numPr>
        <w:ind w:left="567" w:hanging="567"/>
      </w:pPr>
      <w:r w:rsidRPr="0014512D">
        <w:t>Dr Ash Hardikar, Director – Cardiothoracic</w:t>
      </w:r>
      <w:r w:rsidR="00E154A0" w:rsidRPr="0014512D">
        <w:t xml:space="preserve"> </w:t>
      </w:r>
      <w:r w:rsidRPr="0014512D">
        <w:t>Surgery, RHH</w:t>
      </w:r>
    </w:p>
    <w:p w:rsidR="006C4962" w:rsidRPr="0014512D" w:rsidRDefault="006C4962" w:rsidP="00103528">
      <w:pPr>
        <w:pStyle w:val="BodyText"/>
        <w:numPr>
          <w:ilvl w:val="0"/>
          <w:numId w:val="21"/>
        </w:numPr>
        <w:ind w:left="567" w:hanging="567"/>
      </w:pPr>
      <w:r w:rsidRPr="0014512D">
        <w:t>Dr Brian Herman, Staff Specialist –</w:t>
      </w:r>
      <w:r w:rsidR="00E154A0" w:rsidRPr="0014512D">
        <w:t xml:space="preserve"> </w:t>
      </w:r>
      <w:r w:rsidRPr="0014512D">
        <w:t>Interventional Cardiologist, LGH</w:t>
      </w:r>
    </w:p>
    <w:p w:rsidR="006C4962" w:rsidRPr="0014512D" w:rsidRDefault="006C4962" w:rsidP="00103528">
      <w:pPr>
        <w:pStyle w:val="BodyText"/>
        <w:numPr>
          <w:ilvl w:val="0"/>
          <w:numId w:val="21"/>
        </w:numPr>
        <w:ind w:left="567" w:hanging="567"/>
      </w:pPr>
      <w:r w:rsidRPr="0014512D">
        <w:t>Dr Nathan Dwyer, Staff Specialist – Cardiology,</w:t>
      </w:r>
      <w:r w:rsidR="00E154A0" w:rsidRPr="0014512D">
        <w:t xml:space="preserve"> </w:t>
      </w:r>
      <w:r w:rsidRPr="0014512D">
        <w:t>RHH</w:t>
      </w:r>
    </w:p>
    <w:p w:rsidR="006C4962" w:rsidRPr="0014512D" w:rsidRDefault="006C4962" w:rsidP="00103528">
      <w:pPr>
        <w:pStyle w:val="BodyText"/>
        <w:numPr>
          <w:ilvl w:val="0"/>
          <w:numId w:val="21"/>
        </w:numPr>
        <w:ind w:left="567" w:hanging="567"/>
      </w:pPr>
      <w:r w:rsidRPr="0014512D">
        <w:t>Therese Hudson, Nurse Unit Manager –</w:t>
      </w:r>
      <w:r w:rsidR="00346D79" w:rsidRPr="0014512D">
        <w:t xml:space="preserve"> </w:t>
      </w:r>
      <w:r w:rsidRPr="0014512D">
        <w:t>Cardiac Catheterisation Laboratory, RHH</w:t>
      </w:r>
    </w:p>
    <w:p w:rsidR="00346D79" w:rsidRPr="0014512D" w:rsidRDefault="006C4962" w:rsidP="00103528">
      <w:pPr>
        <w:pStyle w:val="BodyText"/>
        <w:numPr>
          <w:ilvl w:val="1"/>
          <w:numId w:val="22"/>
        </w:numPr>
        <w:ind w:left="567" w:hanging="567"/>
      </w:pPr>
      <w:r w:rsidRPr="0014512D">
        <w:t>Jacqueline Roberts-Thomson, Nurse Unit</w:t>
      </w:r>
      <w:r w:rsidR="00346D79" w:rsidRPr="0014512D">
        <w:t xml:space="preserve"> </w:t>
      </w:r>
      <w:r w:rsidRPr="0014512D">
        <w:t>Manager – Close Observation Unit, MCH</w:t>
      </w:r>
    </w:p>
    <w:p w:rsidR="00346D79" w:rsidRPr="0014512D" w:rsidRDefault="006C4962" w:rsidP="00103528">
      <w:pPr>
        <w:pStyle w:val="BodyText"/>
        <w:numPr>
          <w:ilvl w:val="1"/>
          <w:numId w:val="22"/>
        </w:numPr>
        <w:ind w:left="567" w:hanging="567"/>
      </w:pPr>
      <w:r w:rsidRPr="0014512D">
        <w:t>Sue Sanderson, Nurse Practitioner – Chronic</w:t>
      </w:r>
      <w:r w:rsidR="00346D79" w:rsidRPr="0014512D">
        <w:t xml:space="preserve"> </w:t>
      </w:r>
      <w:r w:rsidRPr="0014512D">
        <w:t>Cardiac Care, RHH</w:t>
      </w:r>
    </w:p>
    <w:p w:rsidR="006C4962" w:rsidRDefault="006C4962" w:rsidP="00103528">
      <w:pPr>
        <w:pStyle w:val="BodyText"/>
        <w:numPr>
          <w:ilvl w:val="1"/>
          <w:numId w:val="22"/>
        </w:numPr>
        <w:ind w:left="567" w:hanging="567"/>
      </w:pPr>
      <w:r w:rsidRPr="0014512D">
        <w:t>Anna Storen, Clinical Nurse Consultant (Acting)</w:t>
      </w:r>
      <w:r w:rsidR="00346D79" w:rsidRPr="0014512D">
        <w:t xml:space="preserve"> </w:t>
      </w:r>
      <w:r w:rsidRPr="0014512D">
        <w:t>Cardiac Rehabilitation, NWRH</w:t>
      </w:r>
    </w:p>
    <w:p w:rsidR="00557F5B" w:rsidRDefault="00557F5B" w:rsidP="00557F5B">
      <w:pPr>
        <w:pStyle w:val="BodyText"/>
      </w:pPr>
    </w:p>
    <w:p w:rsidR="00557F5B" w:rsidRDefault="00557F5B" w:rsidP="00557F5B">
      <w:pPr>
        <w:pStyle w:val="Heading4"/>
      </w:pPr>
      <w:r>
        <w:t>Emergency Department</w:t>
      </w:r>
    </w:p>
    <w:p w:rsidR="00557F5B" w:rsidRDefault="00557F5B" w:rsidP="00557F5B">
      <w:pPr>
        <w:pStyle w:val="BodyText"/>
      </w:pPr>
      <w:r>
        <w:t>Convenor: Dr Marielle Ruigrok</w:t>
      </w:r>
    </w:p>
    <w:p w:rsidR="00557F5B" w:rsidRDefault="00557F5B" w:rsidP="00557F5B">
      <w:pPr>
        <w:pStyle w:val="BodyText"/>
        <w:rPr>
          <w:rFonts w:ascii="GillSans-Light" w:hAnsi="GillSans-Light"/>
        </w:rPr>
      </w:pPr>
      <w:r>
        <w:rPr>
          <w:rFonts w:ascii="GillSans-Light" w:hAnsi="GillSans-Light"/>
        </w:rPr>
        <w:t>Dr Marielle Ruigrok moved to North West Tasmania seven years ago, and spends her time between the emergency departments at the NWRH and MCH. Dr Ruigrok has been a FACEM since 2000, and worked initially at The Canberra Hospital for six months and then as Director of Emergency at Calvary Health Care ACT for the subsequent eight years. Her work interests are to get a smoother running of the ED with improved patient flow, as well as system level change. At home Dr Ruigrok has a farm that takes up the rest of her time.</w:t>
      </w:r>
    </w:p>
    <w:p w:rsidR="00557F5B" w:rsidRDefault="00557F5B" w:rsidP="00557F5B">
      <w:pPr>
        <w:pStyle w:val="BodyText"/>
        <w:rPr>
          <w:rFonts w:ascii="GillSans-Light" w:hAnsi="GillSans-Light"/>
        </w:rPr>
      </w:pPr>
      <w:r>
        <w:rPr>
          <w:rFonts w:ascii="GillSans-Light" w:hAnsi="GillSans-Light"/>
        </w:rPr>
        <w:t>Membership:</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Maxine Wooler, Nurse Unit Manager, NWRH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Sarina Jessup, MCH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Lynn Sims, Nurse Unit Manager, MCH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Melinda Rose, RHH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lastRenderedPageBreak/>
        <w:t>Scott Rigby, Nurse Unit Manager, LGH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Shaun Probert, LGH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Paul Pielage, Director – ED, LGH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John Regan, Consumer representative</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Emma Huckerby, Director – ED, RHH</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Louise Grant, GP representative</w:t>
      </w:r>
    </w:p>
    <w:p w:rsidR="00557F5B" w:rsidRDefault="00557F5B" w:rsidP="00103528">
      <w:pPr>
        <w:pStyle w:val="BodyText"/>
        <w:numPr>
          <w:ilvl w:val="0"/>
          <w:numId w:val="22"/>
        </w:numPr>
        <w:ind w:left="567" w:hanging="567"/>
        <w:rPr>
          <w:rFonts w:ascii="GillSans-Light" w:hAnsi="GillSans-Light"/>
        </w:rPr>
      </w:pPr>
      <w:r>
        <w:rPr>
          <w:rFonts w:ascii="GillSans-Light" w:hAnsi="GillSans-Light"/>
        </w:rPr>
        <w:t>Con Georgakas, Ambulances / Retrieval Representative</w:t>
      </w:r>
    </w:p>
    <w:p w:rsidR="00557F5B" w:rsidRDefault="00557F5B" w:rsidP="00103528">
      <w:pPr>
        <w:pStyle w:val="BodyText"/>
        <w:numPr>
          <w:ilvl w:val="0"/>
          <w:numId w:val="23"/>
        </w:numPr>
        <w:ind w:left="567" w:hanging="567"/>
        <w:rPr>
          <w:rFonts w:ascii="GillSans-Light" w:hAnsi="GillSans-Light"/>
        </w:rPr>
      </w:pPr>
      <w:r>
        <w:rPr>
          <w:rFonts w:ascii="GillSans-Light" w:hAnsi="GillSans-Light"/>
        </w:rPr>
        <w:t>Bev Cannon FACEM, ED, LGH</w:t>
      </w:r>
    </w:p>
    <w:p w:rsidR="00557F5B" w:rsidRPr="00557F5B" w:rsidRDefault="00557F5B" w:rsidP="00103528">
      <w:pPr>
        <w:pStyle w:val="BodyText"/>
        <w:numPr>
          <w:ilvl w:val="0"/>
          <w:numId w:val="23"/>
        </w:numPr>
        <w:ind w:left="567" w:hanging="567"/>
      </w:pPr>
      <w:r>
        <w:rPr>
          <w:rFonts w:ascii="GillSans-Light" w:hAnsi="GillSans-Light"/>
        </w:rPr>
        <w:t>Tony Bradley, Nurse Unit Manager, RHH</w:t>
      </w:r>
    </w:p>
    <w:p w:rsidR="00557F5B" w:rsidRDefault="00557F5B" w:rsidP="00557F5B">
      <w:pPr>
        <w:pStyle w:val="BodyText"/>
      </w:pPr>
      <w:r w:rsidRPr="006B4379">
        <w:rPr>
          <w:rStyle w:val="Heading4Char"/>
        </w:rPr>
        <w:t>Endocrinology</w:t>
      </w:r>
      <w:r w:rsidR="006B4379" w:rsidRPr="006B4379">
        <w:rPr>
          <w:rStyle w:val="Heading4Char"/>
        </w:rPr>
        <w:br/>
      </w:r>
      <w:r>
        <w:t>Convenor: Professor John Burgess</w:t>
      </w:r>
    </w:p>
    <w:p w:rsidR="006B4379" w:rsidRPr="006B4379" w:rsidRDefault="00557F5B" w:rsidP="006B4379">
      <w:pPr>
        <w:pStyle w:val="BodyText"/>
      </w:pPr>
      <w:r w:rsidRPr="006B4379">
        <w:t>Professor Burgess graduated with an MBBS</w:t>
      </w:r>
      <w:r w:rsidR="006B4379" w:rsidRPr="006B4379">
        <w:t xml:space="preserve"> </w:t>
      </w:r>
      <w:r w:rsidRPr="006B4379">
        <w:t>from the University of Tasmania and underwent</w:t>
      </w:r>
      <w:r w:rsidR="006B4379" w:rsidRPr="006B4379">
        <w:t xml:space="preserve"> </w:t>
      </w:r>
      <w:r w:rsidRPr="006B4379">
        <w:t>Advanced Physician Training at the Royal</w:t>
      </w:r>
      <w:r w:rsidR="006B4379" w:rsidRPr="006B4379">
        <w:t xml:space="preserve"> </w:t>
      </w:r>
      <w:r w:rsidRPr="006B4379">
        <w:t>Hobart Hospital and St Vincent’s Hospital</w:t>
      </w:r>
      <w:r w:rsidR="006B4379" w:rsidRPr="006B4379">
        <w:t xml:space="preserve"> </w:t>
      </w:r>
      <w:r w:rsidRPr="006B4379">
        <w:t>Melbourne. Subsequent to gaining his</w:t>
      </w:r>
      <w:r w:rsidR="006B4379" w:rsidRPr="006B4379">
        <w:t xml:space="preserve"> </w:t>
      </w:r>
      <w:r w:rsidRPr="006B4379">
        <w:t>Fellowship, Professor Burgess has undertaken</w:t>
      </w:r>
      <w:r w:rsidR="006B4379" w:rsidRPr="006B4379">
        <w:t xml:space="preserve"> </w:t>
      </w:r>
      <w:r w:rsidRPr="006B4379">
        <w:t>ongoing clinical and basic research for which a</w:t>
      </w:r>
      <w:r w:rsidR="006B4379" w:rsidRPr="006B4379">
        <w:t xml:space="preserve"> </w:t>
      </w:r>
      <w:r w:rsidRPr="006B4379">
        <w:t>Doctorate in Medicine was conferred in 1998,</w:t>
      </w:r>
      <w:r w:rsidR="006B4379" w:rsidRPr="006B4379">
        <w:t xml:space="preserve"> </w:t>
      </w:r>
      <w:r w:rsidRPr="006B4379">
        <w:t>a Doctor of Philosophy in 2007, and Associate</w:t>
      </w:r>
      <w:r w:rsidR="006B4379" w:rsidRPr="006B4379">
        <w:t xml:space="preserve"> </w:t>
      </w:r>
      <w:r w:rsidRPr="006B4379">
        <w:t>Membership of the Royal College of Pathologists</w:t>
      </w:r>
      <w:r w:rsidR="006B4379" w:rsidRPr="006B4379">
        <w:t xml:space="preserve"> </w:t>
      </w:r>
      <w:r w:rsidRPr="006B4379">
        <w:t>of Australasia was conferred in 2015. He</w:t>
      </w:r>
      <w:r w:rsidR="006B4379" w:rsidRPr="006B4379">
        <w:t xml:space="preserve"> </w:t>
      </w:r>
      <w:r w:rsidRPr="006B4379">
        <w:t>maintains an active research profile in the fields</w:t>
      </w:r>
      <w:r w:rsidR="006B4379" w:rsidRPr="006B4379">
        <w:t xml:space="preserve"> </w:t>
      </w:r>
      <w:r w:rsidRPr="006B4379">
        <w:t>of thyroid disease, iodine deficiency disorders</w:t>
      </w:r>
      <w:r w:rsidR="006B4379" w:rsidRPr="006B4379">
        <w:t xml:space="preserve"> </w:t>
      </w:r>
      <w:r w:rsidRPr="006B4379">
        <w:t>and inherited endocrine tumour syndromes.</w:t>
      </w:r>
    </w:p>
    <w:p w:rsidR="00557F5B" w:rsidRPr="006B4379" w:rsidRDefault="00557F5B" w:rsidP="006B4379">
      <w:pPr>
        <w:pStyle w:val="BodyText"/>
      </w:pPr>
      <w:r w:rsidRPr="006B4379">
        <w:t>In conjunction with clinical practice in diabetes</w:t>
      </w:r>
      <w:r w:rsidR="006B4379" w:rsidRPr="006B4379">
        <w:t xml:space="preserve"> </w:t>
      </w:r>
      <w:r w:rsidRPr="006B4379">
        <w:t>and endocrinology, his current professional roles</w:t>
      </w:r>
      <w:r w:rsidR="006B4379" w:rsidRPr="006B4379">
        <w:t xml:space="preserve"> </w:t>
      </w:r>
      <w:r w:rsidRPr="006B4379">
        <w:t>include Director of Endocrinology Laboratory</w:t>
      </w:r>
      <w:r w:rsidR="006B4379" w:rsidRPr="006B4379">
        <w:t xml:space="preserve"> </w:t>
      </w:r>
      <w:r w:rsidRPr="006B4379">
        <w:t>(RHH), Director of Medical Subspecialties</w:t>
      </w:r>
      <w:r w:rsidR="006B4379" w:rsidRPr="006B4379">
        <w:t xml:space="preserve"> </w:t>
      </w:r>
      <w:r w:rsidRPr="006B4379">
        <w:t>(RHH), Clinical Director Medicine Services</w:t>
      </w:r>
      <w:r w:rsidR="006B4379" w:rsidRPr="006B4379">
        <w:t xml:space="preserve"> </w:t>
      </w:r>
      <w:r w:rsidRPr="006B4379">
        <w:t>(RHH) and Professor of Endocrinology at the</w:t>
      </w:r>
      <w:r w:rsidR="006B4379" w:rsidRPr="006B4379">
        <w:t xml:space="preserve"> </w:t>
      </w:r>
      <w:r w:rsidRPr="006B4379">
        <w:t>University of Tasmania.</w:t>
      </w:r>
    </w:p>
    <w:p w:rsidR="00557F5B" w:rsidRPr="006B4379" w:rsidRDefault="00557F5B" w:rsidP="006B4379">
      <w:pPr>
        <w:pStyle w:val="BodyText"/>
      </w:pPr>
      <w:r w:rsidRPr="006B4379">
        <w:t>Membership:</w:t>
      </w:r>
    </w:p>
    <w:p w:rsidR="00557F5B" w:rsidRPr="006B4379" w:rsidRDefault="00557F5B" w:rsidP="00103528">
      <w:pPr>
        <w:pStyle w:val="BodyText"/>
        <w:numPr>
          <w:ilvl w:val="0"/>
          <w:numId w:val="23"/>
        </w:numPr>
        <w:ind w:left="567" w:hanging="567"/>
      </w:pPr>
      <w:r w:rsidRPr="006B4379">
        <w:t>Elisa Williams, Primary Health Tasmania</w:t>
      </w:r>
    </w:p>
    <w:p w:rsidR="00557F5B" w:rsidRPr="006B4379" w:rsidRDefault="00557F5B" w:rsidP="00103528">
      <w:pPr>
        <w:pStyle w:val="BodyText"/>
        <w:numPr>
          <w:ilvl w:val="0"/>
          <w:numId w:val="23"/>
        </w:numPr>
        <w:ind w:left="567" w:hanging="567"/>
      </w:pPr>
      <w:r w:rsidRPr="006B4379">
        <w:t>Carol Philips, Primary Health Tasmania</w:t>
      </w:r>
    </w:p>
    <w:p w:rsidR="00557F5B" w:rsidRPr="006B4379" w:rsidRDefault="00557F5B" w:rsidP="00103528">
      <w:pPr>
        <w:pStyle w:val="BodyText"/>
        <w:numPr>
          <w:ilvl w:val="0"/>
          <w:numId w:val="23"/>
        </w:numPr>
        <w:ind w:left="567" w:hanging="567"/>
      </w:pPr>
      <w:r w:rsidRPr="006B4379">
        <w:t>Dr Anne Corbould, Visiting Medical</w:t>
      </w:r>
      <w:r w:rsidR="006B4379" w:rsidRPr="006B4379">
        <w:t xml:space="preserve"> </w:t>
      </w:r>
      <w:r w:rsidRPr="006B4379">
        <w:t>Practitioner, LGH</w:t>
      </w:r>
    </w:p>
    <w:p w:rsidR="00557F5B" w:rsidRPr="006B4379" w:rsidRDefault="00557F5B" w:rsidP="00103528">
      <w:pPr>
        <w:pStyle w:val="BodyText"/>
        <w:numPr>
          <w:ilvl w:val="0"/>
          <w:numId w:val="23"/>
        </w:numPr>
        <w:ind w:left="567" w:hanging="567"/>
      </w:pPr>
      <w:r w:rsidRPr="006B4379">
        <w:t>Dr Jo Campbell, Director Physician Training,</w:t>
      </w:r>
      <w:r w:rsidR="006B4379" w:rsidRPr="006B4379">
        <w:t xml:space="preserve"> </w:t>
      </w:r>
      <w:r w:rsidRPr="006B4379">
        <w:t>LGH</w:t>
      </w:r>
    </w:p>
    <w:p w:rsidR="00557F5B" w:rsidRPr="006B4379" w:rsidRDefault="00557F5B" w:rsidP="00103528">
      <w:pPr>
        <w:pStyle w:val="BodyText"/>
        <w:numPr>
          <w:ilvl w:val="0"/>
          <w:numId w:val="23"/>
        </w:numPr>
        <w:ind w:left="567" w:hanging="567"/>
      </w:pPr>
      <w:r w:rsidRPr="006B4379">
        <w:t>Dr Anne Duffield, Staff Specialist</w:t>
      </w:r>
      <w:r w:rsidR="006B4379" w:rsidRPr="006B4379">
        <w:t xml:space="preserve"> </w:t>
      </w:r>
      <w:r w:rsidRPr="006B4379">
        <w:t>(Endocrinologist), RHH</w:t>
      </w:r>
    </w:p>
    <w:p w:rsidR="00557F5B" w:rsidRPr="006B4379" w:rsidRDefault="00557F5B" w:rsidP="00103528">
      <w:pPr>
        <w:pStyle w:val="BodyText"/>
        <w:numPr>
          <w:ilvl w:val="0"/>
          <w:numId w:val="23"/>
        </w:numPr>
        <w:ind w:left="567" w:hanging="567"/>
      </w:pPr>
      <w:r w:rsidRPr="006B4379">
        <w:t>Dr Roland McCallum, Staff Specialist</w:t>
      </w:r>
      <w:r w:rsidR="006B4379" w:rsidRPr="006B4379">
        <w:t xml:space="preserve"> </w:t>
      </w:r>
      <w:r w:rsidRPr="006B4379">
        <w:t>(Endocrinologist), RHH</w:t>
      </w:r>
    </w:p>
    <w:p w:rsidR="00557F5B" w:rsidRPr="006B4379" w:rsidRDefault="00557F5B" w:rsidP="00103528">
      <w:pPr>
        <w:pStyle w:val="BodyText"/>
        <w:numPr>
          <w:ilvl w:val="0"/>
          <w:numId w:val="23"/>
        </w:numPr>
        <w:ind w:left="567" w:hanging="567"/>
      </w:pPr>
      <w:r w:rsidRPr="006B4379">
        <w:t>Dr Georgie Stillwell, Visiting Medical Specialist</w:t>
      </w:r>
      <w:r w:rsidR="006B4379" w:rsidRPr="006B4379">
        <w:t xml:space="preserve"> </w:t>
      </w:r>
      <w:r w:rsidRPr="006B4379">
        <w:t>(Endocrinologist), Hobart</w:t>
      </w:r>
    </w:p>
    <w:p w:rsidR="00557F5B" w:rsidRPr="006B4379" w:rsidRDefault="00557F5B" w:rsidP="00103528">
      <w:pPr>
        <w:pStyle w:val="BodyText"/>
        <w:numPr>
          <w:ilvl w:val="0"/>
          <w:numId w:val="23"/>
        </w:numPr>
        <w:ind w:left="567" w:hanging="567"/>
      </w:pPr>
      <w:r w:rsidRPr="006B4379">
        <w:t>Caroline Wells, CEO, Diabetes Tasmania</w:t>
      </w:r>
    </w:p>
    <w:p w:rsidR="006B4379" w:rsidRDefault="00557F5B" w:rsidP="00103528">
      <w:pPr>
        <w:pStyle w:val="BodyText"/>
        <w:numPr>
          <w:ilvl w:val="0"/>
          <w:numId w:val="23"/>
        </w:numPr>
        <w:ind w:left="567" w:hanging="567"/>
      </w:pPr>
      <w:r w:rsidRPr="006B4379">
        <w:t>Anne Muskett, NUM, Diabetes Nurse</w:t>
      </w:r>
      <w:r w:rsidR="006B4379" w:rsidRPr="006B4379">
        <w:t xml:space="preserve"> </w:t>
      </w:r>
      <w:r w:rsidRPr="006B4379">
        <w:t>Education, RHH</w:t>
      </w:r>
    </w:p>
    <w:p w:rsidR="00557F5B" w:rsidRPr="006B4379" w:rsidRDefault="00557F5B" w:rsidP="00103528">
      <w:pPr>
        <w:pStyle w:val="BodyText"/>
        <w:numPr>
          <w:ilvl w:val="0"/>
          <w:numId w:val="24"/>
        </w:numPr>
        <w:ind w:left="567" w:hanging="567"/>
      </w:pPr>
      <w:r w:rsidRPr="006B4379">
        <w:t>Michelle Woods, Nurse Practitioner Diabetes,</w:t>
      </w:r>
      <w:r w:rsidR="006B4379" w:rsidRPr="006B4379">
        <w:t xml:space="preserve"> </w:t>
      </w:r>
      <w:r w:rsidRPr="006B4379">
        <w:t>RHH</w:t>
      </w:r>
    </w:p>
    <w:p w:rsidR="00557F5B" w:rsidRPr="006B4379" w:rsidRDefault="00557F5B" w:rsidP="00103528">
      <w:pPr>
        <w:pStyle w:val="BodyText"/>
        <w:numPr>
          <w:ilvl w:val="0"/>
          <w:numId w:val="24"/>
        </w:numPr>
        <w:ind w:left="567" w:hanging="567"/>
      </w:pPr>
      <w:r w:rsidRPr="006B4379">
        <w:t>Catherine Spiller, Manager, Tasmanian Health</w:t>
      </w:r>
      <w:r w:rsidR="006B4379" w:rsidRPr="006B4379">
        <w:t xml:space="preserve"> </w:t>
      </w:r>
      <w:r w:rsidRPr="006B4379">
        <w:t>Pathways, Primary Health Tasmania</w:t>
      </w:r>
    </w:p>
    <w:p w:rsidR="00557F5B" w:rsidRPr="006B4379" w:rsidRDefault="00557F5B" w:rsidP="00103528">
      <w:pPr>
        <w:pStyle w:val="BodyText"/>
        <w:numPr>
          <w:ilvl w:val="0"/>
          <w:numId w:val="24"/>
        </w:numPr>
        <w:ind w:left="567" w:hanging="567"/>
      </w:pPr>
      <w:r w:rsidRPr="006B4379">
        <w:t>Susie Lennox, Diabetes Specialist (Podiatrist),</w:t>
      </w:r>
      <w:r w:rsidR="006B4379" w:rsidRPr="006B4379">
        <w:t xml:space="preserve"> </w:t>
      </w:r>
      <w:r w:rsidRPr="006B4379">
        <w:t>NWRH</w:t>
      </w:r>
    </w:p>
    <w:p w:rsidR="00557F5B" w:rsidRPr="006B4379" w:rsidRDefault="00557F5B" w:rsidP="00103528">
      <w:pPr>
        <w:pStyle w:val="BodyText"/>
        <w:numPr>
          <w:ilvl w:val="0"/>
          <w:numId w:val="24"/>
        </w:numPr>
        <w:ind w:left="567" w:hanging="567"/>
      </w:pPr>
      <w:r w:rsidRPr="006B4379">
        <w:t>Kathryn Thomas, NUM, Diabetes Centre,</w:t>
      </w:r>
      <w:r w:rsidR="006B4379" w:rsidRPr="006B4379">
        <w:t xml:space="preserve"> </w:t>
      </w:r>
      <w:r w:rsidRPr="006B4379">
        <w:t>NWRH</w:t>
      </w:r>
    </w:p>
    <w:p w:rsidR="00557F5B" w:rsidRDefault="00557F5B" w:rsidP="00103528">
      <w:pPr>
        <w:pStyle w:val="BodyText"/>
        <w:numPr>
          <w:ilvl w:val="0"/>
          <w:numId w:val="24"/>
        </w:numPr>
        <w:ind w:left="567" w:hanging="567"/>
      </w:pPr>
      <w:r w:rsidRPr="006B4379">
        <w:t>Maria Smith, CNS Diabetes, NWRH</w:t>
      </w:r>
    </w:p>
    <w:p w:rsidR="006B4379" w:rsidRPr="003C537D" w:rsidRDefault="006B4379" w:rsidP="003C537D">
      <w:pPr>
        <w:autoSpaceDE w:val="0"/>
        <w:autoSpaceDN w:val="0"/>
        <w:adjustRightInd w:val="0"/>
        <w:spacing w:after="0" w:line="240" w:lineRule="auto"/>
        <w:rPr>
          <w:rFonts w:ascii="GillSans-SemiBold" w:hAnsi="GillSans-SemiBold" w:cs="GillSans-SemiBold"/>
          <w:b/>
          <w:bCs/>
        </w:rPr>
      </w:pPr>
      <w:r w:rsidRPr="003C537D">
        <w:rPr>
          <w:rFonts w:ascii="GillSans-SemiBold" w:hAnsi="GillSans-SemiBold" w:cs="GillSans-SemiBold"/>
          <w:b/>
          <w:bCs/>
        </w:rPr>
        <w:lastRenderedPageBreak/>
        <w:t>Intensive Care</w:t>
      </w:r>
    </w:p>
    <w:p w:rsidR="006B4379" w:rsidRPr="001A529F" w:rsidRDefault="006B4379" w:rsidP="001A529F">
      <w:pPr>
        <w:pStyle w:val="BodyText"/>
      </w:pPr>
      <w:r w:rsidRPr="001A529F">
        <w:t>Convenor: Clinical Associate Professor</w:t>
      </w:r>
      <w:r w:rsidR="001A529F" w:rsidRPr="001A529F">
        <w:t xml:space="preserve"> </w:t>
      </w:r>
      <w:r w:rsidRPr="001A529F">
        <w:t>Andrew Turner</w:t>
      </w:r>
    </w:p>
    <w:p w:rsidR="006B4379" w:rsidRPr="001A529F" w:rsidRDefault="006B4379" w:rsidP="001A529F">
      <w:pPr>
        <w:pStyle w:val="BodyText"/>
      </w:pPr>
      <w:r w:rsidRPr="001A529F">
        <w:t>Clinical Associate Professor Andrew Turner</w:t>
      </w:r>
      <w:r w:rsidR="001A529F" w:rsidRPr="001A529F">
        <w:t xml:space="preserve"> </w:t>
      </w:r>
      <w:r w:rsidRPr="001A529F">
        <w:t>was a graduate of UTAS in 1988. He obtained</w:t>
      </w:r>
      <w:r w:rsidR="001A529F" w:rsidRPr="001A529F">
        <w:t xml:space="preserve"> </w:t>
      </w:r>
      <w:r w:rsidRPr="001A529F">
        <w:t>Fellowship of the Royal Australasian College of</w:t>
      </w:r>
      <w:r w:rsidR="001A529F" w:rsidRPr="001A529F">
        <w:t xml:space="preserve"> </w:t>
      </w:r>
      <w:r w:rsidRPr="001A529F">
        <w:t>Physicians in 1997, and College of Intensive Care</w:t>
      </w:r>
      <w:r w:rsidR="001A529F" w:rsidRPr="001A529F">
        <w:t xml:space="preserve"> </w:t>
      </w:r>
      <w:r w:rsidRPr="001A529F">
        <w:t>Medicine in 2010. His previous roles within the</w:t>
      </w:r>
      <w:r w:rsidR="001A529F" w:rsidRPr="001A529F">
        <w:t xml:space="preserve"> R</w:t>
      </w:r>
      <w:r w:rsidRPr="001A529F">
        <w:t>HH have included Director of Intern Training</w:t>
      </w:r>
      <w:r w:rsidR="001A529F" w:rsidRPr="001A529F">
        <w:t xml:space="preserve"> </w:t>
      </w:r>
      <w:r w:rsidRPr="001A529F">
        <w:t>and Medical Co-Director Clinical Services</w:t>
      </w:r>
      <w:r w:rsidR="001A529F" w:rsidRPr="001A529F">
        <w:t xml:space="preserve"> </w:t>
      </w:r>
      <w:r w:rsidRPr="001A529F">
        <w:t>Medicine. He is currently employed as Director</w:t>
      </w:r>
      <w:r w:rsidR="001A529F" w:rsidRPr="001A529F">
        <w:t xml:space="preserve"> </w:t>
      </w:r>
      <w:r w:rsidRPr="001A529F">
        <w:t>of Department of Critical Care Medicine and</w:t>
      </w:r>
      <w:r w:rsidR="001A529F" w:rsidRPr="001A529F">
        <w:t xml:space="preserve"> </w:t>
      </w:r>
      <w:r w:rsidRPr="001A529F">
        <w:t>State Medical Director for DonateLife Tasmania.</w:t>
      </w:r>
      <w:r w:rsidR="001A529F" w:rsidRPr="001A529F">
        <w:t xml:space="preserve"> </w:t>
      </w:r>
      <w:r w:rsidRPr="001A529F">
        <w:t>He has been President of the Australia and</w:t>
      </w:r>
      <w:r w:rsidR="001A529F" w:rsidRPr="001A529F">
        <w:t xml:space="preserve"> </w:t>
      </w:r>
      <w:r w:rsidRPr="001A529F">
        <w:t>New Zealand Intensive Care Society, Treasurer</w:t>
      </w:r>
      <w:r w:rsidR="001A529F" w:rsidRPr="001A529F">
        <w:t xml:space="preserve"> </w:t>
      </w:r>
      <w:r w:rsidRPr="001A529F">
        <w:t>of the ANZICS Clinical Trials Group, and has</w:t>
      </w:r>
      <w:r w:rsidR="001A529F" w:rsidRPr="001A529F">
        <w:t xml:space="preserve"> </w:t>
      </w:r>
      <w:r w:rsidRPr="001A529F">
        <w:t>been a Director of the Australian and New</w:t>
      </w:r>
      <w:r w:rsidR="001A529F" w:rsidRPr="001A529F">
        <w:t xml:space="preserve"> </w:t>
      </w:r>
      <w:r w:rsidRPr="001A529F">
        <w:t>Zealand Research Centre, and the Intensive</w:t>
      </w:r>
      <w:r w:rsidR="001A529F" w:rsidRPr="001A529F">
        <w:t xml:space="preserve"> </w:t>
      </w:r>
      <w:r w:rsidRPr="001A529F">
        <w:t>Care Foundation. He was also a member of the</w:t>
      </w:r>
      <w:r w:rsidR="001A529F" w:rsidRPr="001A529F">
        <w:t xml:space="preserve"> </w:t>
      </w:r>
      <w:r w:rsidRPr="001A529F">
        <w:t>Expert Reference Group for the Development</w:t>
      </w:r>
      <w:r w:rsidR="001A529F" w:rsidRPr="001A529F">
        <w:t xml:space="preserve"> </w:t>
      </w:r>
      <w:r w:rsidRPr="001A529F">
        <w:t>of a National Set of High Priority Hospital</w:t>
      </w:r>
      <w:r w:rsidR="001A529F" w:rsidRPr="001A529F">
        <w:t xml:space="preserve"> </w:t>
      </w:r>
      <w:r w:rsidRPr="001A529F">
        <w:t>Complications, Australian Commission on Safety</w:t>
      </w:r>
      <w:r w:rsidR="001A529F" w:rsidRPr="001A529F">
        <w:t xml:space="preserve"> </w:t>
      </w:r>
      <w:r w:rsidRPr="001A529F">
        <w:t>and Quality in Healthcare.</w:t>
      </w:r>
    </w:p>
    <w:p w:rsidR="006B4379" w:rsidRPr="001A529F" w:rsidRDefault="006B4379" w:rsidP="001A529F">
      <w:pPr>
        <w:pStyle w:val="BodyText"/>
      </w:pPr>
      <w:r w:rsidRPr="001A529F">
        <w:t>Membership:</w:t>
      </w:r>
    </w:p>
    <w:p w:rsidR="006B4379" w:rsidRPr="001A529F" w:rsidRDefault="006B4379" w:rsidP="00103528">
      <w:pPr>
        <w:pStyle w:val="BodyText"/>
        <w:numPr>
          <w:ilvl w:val="0"/>
          <w:numId w:val="25"/>
        </w:numPr>
        <w:ind w:left="567" w:hanging="567"/>
      </w:pPr>
      <w:r w:rsidRPr="001A529F">
        <w:t>Cindy Weatherburn, Clinical Nurse Specialist –</w:t>
      </w:r>
      <w:r w:rsidR="001A529F" w:rsidRPr="001A529F">
        <w:t xml:space="preserve"> </w:t>
      </w:r>
      <w:r w:rsidRPr="001A529F">
        <w:t>DCCM, RHH</w:t>
      </w:r>
    </w:p>
    <w:p w:rsidR="006B4379" w:rsidRPr="001A529F" w:rsidRDefault="006B4379" w:rsidP="00103528">
      <w:pPr>
        <w:pStyle w:val="BodyText"/>
        <w:numPr>
          <w:ilvl w:val="0"/>
          <w:numId w:val="25"/>
        </w:numPr>
        <w:ind w:left="567" w:hanging="567"/>
      </w:pPr>
      <w:r w:rsidRPr="001A529F">
        <w:t>Belinda McCann, Clinical Nurse Consultant –</w:t>
      </w:r>
      <w:r w:rsidR="001A529F" w:rsidRPr="001A529F">
        <w:t xml:space="preserve"> </w:t>
      </w:r>
      <w:r w:rsidRPr="001A529F">
        <w:t>DCCM, RHH</w:t>
      </w:r>
    </w:p>
    <w:p w:rsidR="001A529F" w:rsidRPr="001A529F" w:rsidRDefault="006B4379" w:rsidP="00103528">
      <w:pPr>
        <w:pStyle w:val="BodyText"/>
        <w:numPr>
          <w:ilvl w:val="0"/>
          <w:numId w:val="25"/>
        </w:numPr>
        <w:ind w:left="567" w:hanging="567"/>
      </w:pPr>
      <w:r w:rsidRPr="001A529F">
        <w:t>Felicity Geeves, Nurse Unit Manager – Intensive</w:t>
      </w:r>
      <w:r w:rsidR="001A529F" w:rsidRPr="001A529F">
        <w:t xml:space="preserve"> </w:t>
      </w:r>
      <w:r w:rsidRPr="001A529F">
        <w:t>Care, RHH</w:t>
      </w:r>
      <w:r w:rsidR="001A529F" w:rsidRPr="001A529F">
        <w:t xml:space="preserve"> </w:t>
      </w:r>
    </w:p>
    <w:p w:rsidR="001A529F" w:rsidRPr="001A529F" w:rsidRDefault="006B4379" w:rsidP="00103528">
      <w:pPr>
        <w:pStyle w:val="BodyText"/>
        <w:numPr>
          <w:ilvl w:val="0"/>
          <w:numId w:val="25"/>
        </w:numPr>
        <w:ind w:left="567" w:hanging="567"/>
      </w:pPr>
      <w:r w:rsidRPr="001A529F">
        <w:t>Maria Downey, Specialist Pharmacist – Critical</w:t>
      </w:r>
      <w:r w:rsidR="001A529F" w:rsidRPr="001A529F">
        <w:t xml:space="preserve"> </w:t>
      </w:r>
      <w:r w:rsidRPr="001A529F">
        <w:t>Care, RHH</w:t>
      </w:r>
    </w:p>
    <w:p w:rsidR="001A529F" w:rsidRPr="001A529F" w:rsidRDefault="006B4379" w:rsidP="00103528">
      <w:pPr>
        <w:pStyle w:val="BodyText"/>
        <w:numPr>
          <w:ilvl w:val="0"/>
          <w:numId w:val="25"/>
        </w:numPr>
        <w:ind w:left="567" w:hanging="567"/>
      </w:pPr>
      <w:r w:rsidRPr="001A529F">
        <w:t>Dr Brady Tassicker, Staff Specialist – Emergency</w:t>
      </w:r>
      <w:r w:rsidR="001A529F" w:rsidRPr="001A529F">
        <w:t xml:space="preserve"> </w:t>
      </w:r>
      <w:r w:rsidRPr="001A529F">
        <w:t>Medicine, NWRH</w:t>
      </w:r>
    </w:p>
    <w:p w:rsidR="001A529F" w:rsidRPr="001A529F" w:rsidRDefault="006B4379" w:rsidP="00103528">
      <w:pPr>
        <w:pStyle w:val="BodyText"/>
        <w:numPr>
          <w:ilvl w:val="0"/>
          <w:numId w:val="25"/>
        </w:numPr>
        <w:ind w:left="567" w:hanging="567"/>
      </w:pPr>
      <w:r w:rsidRPr="001A529F">
        <w:t>Dr David Rigg, Staff Specialist – Critical Care</w:t>
      </w:r>
      <w:r w:rsidR="001A529F" w:rsidRPr="001A529F">
        <w:t xml:space="preserve"> </w:t>
      </w:r>
      <w:r w:rsidRPr="001A529F">
        <w:t>Medicine, RHH</w:t>
      </w:r>
    </w:p>
    <w:p w:rsidR="001A529F" w:rsidRPr="001A529F" w:rsidRDefault="006B4379" w:rsidP="00103528">
      <w:pPr>
        <w:pStyle w:val="BodyText"/>
        <w:numPr>
          <w:ilvl w:val="0"/>
          <w:numId w:val="25"/>
        </w:numPr>
        <w:ind w:left="567" w:hanging="567"/>
      </w:pPr>
      <w:r w:rsidRPr="001A529F">
        <w:t>Dr Matt Brain, Staff Specialist – Intensivist, LGH</w:t>
      </w:r>
    </w:p>
    <w:p w:rsidR="001A529F" w:rsidRPr="001A529F" w:rsidRDefault="006B4379" w:rsidP="00103528">
      <w:pPr>
        <w:pStyle w:val="BodyText"/>
        <w:numPr>
          <w:ilvl w:val="0"/>
          <w:numId w:val="25"/>
        </w:numPr>
        <w:ind w:left="567" w:hanging="567"/>
      </w:pPr>
      <w:r w:rsidRPr="001A529F">
        <w:t>Dr Scott Parkes, Staff Specialist – Intensivist,</w:t>
      </w:r>
      <w:r w:rsidR="001A529F" w:rsidRPr="001A529F">
        <w:t xml:space="preserve"> </w:t>
      </w:r>
      <w:r w:rsidRPr="001A529F">
        <w:t>LGH</w:t>
      </w:r>
    </w:p>
    <w:p w:rsidR="001A529F" w:rsidRPr="001A529F" w:rsidRDefault="006B4379" w:rsidP="00103528">
      <w:pPr>
        <w:pStyle w:val="BodyText"/>
        <w:numPr>
          <w:ilvl w:val="0"/>
          <w:numId w:val="25"/>
        </w:numPr>
        <w:ind w:left="567" w:hanging="567"/>
      </w:pPr>
      <w:r w:rsidRPr="001A529F">
        <w:t>Jenny Parker, Nurse Unit Manager – Intensive</w:t>
      </w:r>
      <w:r w:rsidR="001A529F" w:rsidRPr="001A529F">
        <w:t xml:space="preserve"> </w:t>
      </w:r>
      <w:r w:rsidRPr="001A529F">
        <w:t>Care, LGH</w:t>
      </w:r>
    </w:p>
    <w:p w:rsidR="001A529F" w:rsidRPr="001A529F" w:rsidRDefault="006B4379" w:rsidP="00103528">
      <w:pPr>
        <w:pStyle w:val="BodyText"/>
        <w:numPr>
          <w:ilvl w:val="0"/>
          <w:numId w:val="25"/>
        </w:numPr>
        <w:ind w:left="567" w:hanging="567"/>
      </w:pPr>
      <w:r w:rsidRPr="001A529F">
        <w:t>Dr Michael Buist, Staff Specialist – General</w:t>
      </w:r>
      <w:r w:rsidR="001A529F" w:rsidRPr="001A529F">
        <w:t xml:space="preserve"> </w:t>
      </w:r>
      <w:r w:rsidRPr="001A529F">
        <w:t>Medicine, NWRH</w:t>
      </w:r>
    </w:p>
    <w:p w:rsidR="001A529F" w:rsidRPr="001A529F" w:rsidRDefault="006B4379" w:rsidP="00103528">
      <w:pPr>
        <w:pStyle w:val="BodyText"/>
        <w:numPr>
          <w:ilvl w:val="0"/>
          <w:numId w:val="25"/>
        </w:numPr>
        <w:ind w:left="567" w:hanging="567"/>
      </w:pPr>
      <w:r w:rsidRPr="001A529F">
        <w:t>Trudy Segger, Nurse Unit Manager – Intensive</w:t>
      </w:r>
      <w:r w:rsidR="001A529F" w:rsidRPr="001A529F">
        <w:t xml:space="preserve"> </w:t>
      </w:r>
      <w:r w:rsidRPr="001A529F">
        <w:t>Care, NWRH</w:t>
      </w:r>
    </w:p>
    <w:p w:rsidR="001A529F" w:rsidRPr="001A529F" w:rsidRDefault="006B4379" w:rsidP="00103528">
      <w:pPr>
        <w:pStyle w:val="BodyText"/>
        <w:numPr>
          <w:ilvl w:val="0"/>
          <w:numId w:val="25"/>
        </w:numPr>
        <w:ind w:left="567" w:hanging="567"/>
      </w:pPr>
      <w:r w:rsidRPr="001A529F">
        <w:t>Dr Con Georgakas, Director Clinical Services,</w:t>
      </w:r>
      <w:r w:rsidR="001A529F" w:rsidRPr="001A529F">
        <w:t xml:space="preserve"> </w:t>
      </w:r>
      <w:r w:rsidRPr="001A529F">
        <w:t>Ambulance Tasmania</w:t>
      </w:r>
    </w:p>
    <w:p w:rsidR="001A529F" w:rsidRDefault="006B4379" w:rsidP="00103528">
      <w:pPr>
        <w:pStyle w:val="BodyText"/>
        <w:numPr>
          <w:ilvl w:val="0"/>
          <w:numId w:val="25"/>
        </w:numPr>
        <w:ind w:left="567" w:hanging="567"/>
      </w:pPr>
      <w:r w:rsidRPr="001A529F">
        <w:t>Dr Nishanthi Gurusinghe, Visiting Medical</w:t>
      </w:r>
      <w:r w:rsidR="001A529F">
        <w:t xml:space="preserve"> </w:t>
      </w:r>
      <w:r w:rsidRPr="001A529F">
        <w:t>Specialist – Surgery, LGH</w:t>
      </w:r>
    </w:p>
    <w:p w:rsidR="001A529F" w:rsidRDefault="006B4379" w:rsidP="00103528">
      <w:pPr>
        <w:pStyle w:val="BodyText"/>
        <w:numPr>
          <w:ilvl w:val="0"/>
          <w:numId w:val="25"/>
        </w:numPr>
        <w:ind w:left="567" w:hanging="567"/>
      </w:pPr>
      <w:r w:rsidRPr="001A529F">
        <w:t>Jacqueline Roberts-Thomson, Nurse Unit</w:t>
      </w:r>
      <w:r w:rsidR="001A529F">
        <w:t xml:space="preserve"> </w:t>
      </w:r>
      <w:r w:rsidRPr="001A529F">
        <w:t>Manager – High Dependency Unit, MCH</w:t>
      </w:r>
    </w:p>
    <w:p w:rsidR="006B4379" w:rsidRPr="001A529F" w:rsidRDefault="006B4379" w:rsidP="00103528">
      <w:pPr>
        <w:pStyle w:val="BodyText"/>
        <w:numPr>
          <w:ilvl w:val="0"/>
          <w:numId w:val="25"/>
        </w:numPr>
        <w:ind w:left="567" w:hanging="567"/>
      </w:pPr>
      <w:r w:rsidRPr="001A529F">
        <w:t>Ianthe Boden, Clinical Lead Physiotherapist,</w:t>
      </w:r>
      <w:r w:rsidR="001A529F">
        <w:t xml:space="preserve"> </w:t>
      </w:r>
      <w:r w:rsidRPr="001A529F">
        <w:t>LGH</w:t>
      </w:r>
    </w:p>
    <w:p w:rsidR="006B4379" w:rsidRPr="001A529F" w:rsidRDefault="006B4379" w:rsidP="001A529F">
      <w:pPr>
        <w:pStyle w:val="BodyText"/>
      </w:pPr>
      <w:r w:rsidRPr="001A529F">
        <w:t>Co-opted member as required:</w:t>
      </w:r>
    </w:p>
    <w:p w:rsidR="006B4379" w:rsidRPr="001A529F" w:rsidRDefault="006B4379" w:rsidP="00103528">
      <w:pPr>
        <w:pStyle w:val="BodyText"/>
        <w:numPr>
          <w:ilvl w:val="0"/>
          <w:numId w:val="26"/>
        </w:numPr>
        <w:ind w:hanging="567"/>
      </w:pPr>
      <w:r w:rsidRPr="001A529F">
        <w:t>Mr Ash Hardikar, Director – Cardiothoracic</w:t>
      </w:r>
      <w:r w:rsidR="001A529F">
        <w:t xml:space="preserve"> </w:t>
      </w:r>
      <w:r w:rsidRPr="001A529F">
        <w:t>Surgery, RHH</w:t>
      </w:r>
    </w:p>
    <w:p w:rsidR="001A529F" w:rsidRDefault="006B4379" w:rsidP="00103528">
      <w:pPr>
        <w:pStyle w:val="BodyText"/>
        <w:numPr>
          <w:ilvl w:val="0"/>
          <w:numId w:val="26"/>
        </w:numPr>
        <w:ind w:hanging="567"/>
      </w:pPr>
      <w:r w:rsidRPr="001A529F">
        <w:t>Professor Peter Dargaville, Staff Specialist –</w:t>
      </w:r>
      <w:r w:rsidR="001A529F">
        <w:t xml:space="preserve"> </w:t>
      </w:r>
      <w:r w:rsidRPr="001A529F">
        <w:t>Neonatologist, RHH</w:t>
      </w:r>
    </w:p>
    <w:p w:rsidR="001A529F" w:rsidRDefault="001A529F">
      <w:pPr>
        <w:rPr>
          <w:rFonts w:ascii="Gill Sans MT" w:eastAsia="GillSans-Light" w:hAnsi="Gill Sans MT" w:cs="GillSans-Light"/>
          <w:lang w:val="en-US"/>
        </w:rPr>
      </w:pPr>
      <w:r>
        <w:br w:type="page"/>
      </w:r>
    </w:p>
    <w:p w:rsidR="001A529F" w:rsidRDefault="001A529F" w:rsidP="001A529F">
      <w:pPr>
        <w:pStyle w:val="Heading4"/>
      </w:pPr>
      <w:r>
        <w:lastRenderedPageBreak/>
        <w:t>Medical Imaging</w:t>
      </w:r>
    </w:p>
    <w:p w:rsidR="001A529F" w:rsidRDefault="001A529F" w:rsidP="001A529F">
      <w:pPr>
        <w:pStyle w:val="BodyText"/>
      </w:pPr>
      <w:r>
        <w:t>Convenor: Dr Robert Howie</w:t>
      </w:r>
    </w:p>
    <w:p w:rsidR="001A529F" w:rsidRDefault="001A529F" w:rsidP="001A529F">
      <w:pPr>
        <w:pStyle w:val="BodyText"/>
      </w:pPr>
      <w:r>
        <w:t>Dr Robert Howie obtained a degree in Economics and a Diploma of Education prior to undertaking a Medical Degree. He has post graduate qualifications in Obstetrics and has obtained Fellowship of the Royal Australian and New Zealand College of Radiologists. Dr Howie trained in Radiology in Adelaide before working as a Radiologist at the RHH. He then spent some 17 years working in private practice in Hobart, including some time as managing partner. He has now returned to the RHH, and is currently Director of Medical Imaging.</w:t>
      </w:r>
    </w:p>
    <w:p w:rsidR="001A529F" w:rsidRDefault="001A529F" w:rsidP="001A529F">
      <w:pPr>
        <w:pStyle w:val="BodyText"/>
      </w:pPr>
      <w:r>
        <w:t>Dr Howie was involved in establishing BreastScreen Tasmania, and is still involved in the service. His interests include Orthopaedic Imaging, Neuroradiology, Cardiac Imaging including Cardiac CT and particularly Cardiac Magnetic Resonance Imaging.</w:t>
      </w:r>
    </w:p>
    <w:p w:rsidR="001A529F" w:rsidRDefault="001A529F" w:rsidP="001A529F">
      <w:pPr>
        <w:pStyle w:val="BodyText"/>
      </w:pPr>
      <w:r>
        <w:t>Membership:</w:t>
      </w:r>
    </w:p>
    <w:p w:rsidR="001A529F" w:rsidRDefault="001A529F" w:rsidP="00103528">
      <w:pPr>
        <w:pStyle w:val="BodyText"/>
        <w:numPr>
          <w:ilvl w:val="0"/>
          <w:numId w:val="27"/>
        </w:numPr>
        <w:ind w:left="567" w:hanging="567"/>
      </w:pPr>
      <w:r>
        <w:t>Dr Garth Faulkner, Operational Manager –</w:t>
      </w:r>
      <w:r w:rsidR="00D276F7">
        <w:t xml:space="preserve"> </w:t>
      </w:r>
      <w:r>
        <w:t>Medical Imaging Services, Chief Radiographer,</w:t>
      </w:r>
      <w:r w:rsidR="00D276F7">
        <w:t xml:space="preserve"> </w:t>
      </w:r>
      <w:r>
        <w:t>LGH</w:t>
      </w:r>
    </w:p>
    <w:p w:rsidR="001A529F" w:rsidRDefault="001A529F" w:rsidP="00103528">
      <w:pPr>
        <w:pStyle w:val="BodyText"/>
        <w:numPr>
          <w:ilvl w:val="0"/>
          <w:numId w:val="27"/>
        </w:numPr>
        <w:ind w:left="567" w:hanging="567"/>
      </w:pPr>
      <w:r>
        <w:t>Julie Tate, Operations Manager – Medical</w:t>
      </w:r>
      <w:r w:rsidR="00D276F7">
        <w:t xml:space="preserve"> </w:t>
      </w:r>
      <w:r>
        <w:t>Imaging Services, RHH</w:t>
      </w:r>
    </w:p>
    <w:p w:rsidR="001A529F" w:rsidRDefault="001A529F" w:rsidP="00103528">
      <w:pPr>
        <w:pStyle w:val="BodyText"/>
        <w:numPr>
          <w:ilvl w:val="0"/>
          <w:numId w:val="27"/>
        </w:numPr>
        <w:ind w:left="567" w:hanging="567"/>
      </w:pPr>
      <w:r>
        <w:t>Mel Chitty, Deputy Chief Radiographer, LGH</w:t>
      </w:r>
    </w:p>
    <w:p w:rsidR="001A529F" w:rsidRDefault="001A529F" w:rsidP="00103528">
      <w:pPr>
        <w:pStyle w:val="BodyText"/>
        <w:numPr>
          <w:ilvl w:val="0"/>
          <w:numId w:val="27"/>
        </w:numPr>
        <w:ind w:left="567" w:hanging="567"/>
      </w:pPr>
      <w:r>
        <w:t>Dr Owen Pointon, Staff Specialist, Nuclear</w:t>
      </w:r>
      <w:r w:rsidR="00D276F7">
        <w:t xml:space="preserve"> </w:t>
      </w:r>
      <w:r>
        <w:t>Medicine, RHH</w:t>
      </w:r>
    </w:p>
    <w:p w:rsidR="00D276F7" w:rsidRPr="00D276F7" w:rsidRDefault="00D276F7" w:rsidP="00D276F7">
      <w:pPr>
        <w:autoSpaceDE w:val="0"/>
        <w:autoSpaceDN w:val="0"/>
        <w:adjustRightInd w:val="0"/>
        <w:spacing w:after="0" w:line="240" w:lineRule="auto"/>
        <w:rPr>
          <w:rFonts w:ascii="GillSans-SemiBold" w:hAnsi="GillSans-SemiBold" w:cs="GillSans-SemiBold"/>
          <w:b/>
          <w:bCs/>
        </w:rPr>
      </w:pPr>
      <w:r w:rsidRPr="00D276F7">
        <w:rPr>
          <w:rFonts w:ascii="GillSans-SemiBold" w:hAnsi="GillSans-SemiBold" w:cs="GillSans-SemiBold"/>
          <w:b/>
          <w:bCs/>
        </w:rPr>
        <w:t>Musculoskeletal</w:t>
      </w:r>
    </w:p>
    <w:p w:rsidR="00D276F7" w:rsidRPr="00D276F7" w:rsidRDefault="00D276F7" w:rsidP="00D276F7">
      <w:pPr>
        <w:pStyle w:val="BodyText"/>
      </w:pPr>
      <w:r w:rsidRPr="00D276F7">
        <w:t>Co-convenors: Dr Deborah Speden and Dr Hilton Francis</w:t>
      </w:r>
    </w:p>
    <w:p w:rsidR="00D276F7" w:rsidRPr="00D276F7" w:rsidRDefault="00D276F7" w:rsidP="00D276F7">
      <w:pPr>
        <w:pStyle w:val="BodyText"/>
      </w:pPr>
      <w:r w:rsidRPr="00D276F7">
        <w:t xml:space="preserve">Deborah Speden studied medicine at the University of Tasmania, prior to undertaking training in rheumatology at the prestigious Royal National Hospital for Rheumatic Diseases in Bath, UK. After completing doctoral research and clinical trials in biologic therapies, she worked as a clinical rheumatologist in greater Manchester, and won an award for clinical service innovation. </w:t>
      </w:r>
      <w:proofErr w:type="gramStart"/>
      <w:r w:rsidRPr="00D276F7">
        <w:t>hen</w:t>
      </w:r>
      <w:proofErr w:type="gramEnd"/>
      <w:r w:rsidRPr="00D276F7">
        <w:t xml:space="preserve"> the weather finally got the better of her, she returned to Hobart with her family in 2009, and works in both public and private practice. As Head of the Rheumatology Department at the Royal Hobart Hospital since 2010, Deb has championed the multi-disciplinary team model of care for chronic musculoskeletal conditions, implementing a rheumatology specialist nurse coordinator for complex inflammatory joint diseases and a Spinal Assessment Clinic with extended scope allied health professionals. Progressing</w:t>
      </w:r>
    </w:p>
    <w:p w:rsidR="00D276F7" w:rsidRPr="00D276F7" w:rsidRDefault="00D276F7" w:rsidP="00D276F7">
      <w:pPr>
        <w:pStyle w:val="BodyText"/>
      </w:pPr>
      <w:proofErr w:type="gramStart"/>
      <w:r w:rsidRPr="00D276F7">
        <w:t>statewide</w:t>
      </w:r>
      <w:proofErr w:type="gramEnd"/>
      <w:r w:rsidRPr="00D276F7">
        <w:t xml:space="preserve"> musculoskeletal services as Coconvenor of the Musculoskeletal Clinical Advisory Group is an ongoing collaborative project. Deb has maintained her interest in clinical trials as co-investigator at Southern Clinical Research, and collaborated in investigator-initiated research in back pain with the Menzies Research Institute.</w:t>
      </w:r>
    </w:p>
    <w:p w:rsidR="00D276F7" w:rsidRPr="00D276F7" w:rsidRDefault="00D276F7" w:rsidP="00D276F7">
      <w:pPr>
        <w:pStyle w:val="BodyText"/>
      </w:pPr>
      <w:r w:rsidRPr="00D276F7">
        <w:t>Membership:</w:t>
      </w:r>
    </w:p>
    <w:p w:rsidR="00D276F7" w:rsidRPr="00D276F7" w:rsidRDefault="00D276F7" w:rsidP="00103528">
      <w:pPr>
        <w:pStyle w:val="BodyText"/>
        <w:numPr>
          <w:ilvl w:val="0"/>
          <w:numId w:val="28"/>
        </w:numPr>
        <w:ind w:left="567" w:hanging="567"/>
      </w:pPr>
      <w:r w:rsidRPr="00D276F7">
        <w:t>Dr Alasdair MacDonald, Director of Medicine,</w:t>
      </w:r>
      <w:r>
        <w:t xml:space="preserve"> </w:t>
      </w:r>
      <w:r w:rsidRPr="00D276F7">
        <w:t>LGH</w:t>
      </w:r>
    </w:p>
    <w:p w:rsidR="00D276F7" w:rsidRPr="00D276F7" w:rsidRDefault="00D276F7" w:rsidP="00103528">
      <w:pPr>
        <w:pStyle w:val="BodyText"/>
        <w:numPr>
          <w:ilvl w:val="0"/>
          <w:numId w:val="28"/>
        </w:numPr>
        <w:ind w:left="567" w:hanging="567"/>
      </w:pPr>
      <w:r w:rsidRPr="00D276F7">
        <w:t>Dr Don Rose, General Practitioner</w:t>
      </w:r>
    </w:p>
    <w:p w:rsidR="00D276F7" w:rsidRPr="00D276F7" w:rsidRDefault="00D276F7" w:rsidP="00103528">
      <w:pPr>
        <w:pStyle w:val="BodyText"/>
        <w:numPr>
          <w:ilvl w:val="0"/>
          <w:numId w:val="28"/>
        </w:numPr>
        <w:ind w:left="567" w:hanging="567"/>
      </w:pPr>
      <w:r w:rsidRPr="00D276F7">
        <w:t>Simon Watt, Clinical Specialist Physiotherapy,</w:t>
      </w:r>
      <w:r>
        <w:t xml:space="preserve"> </w:t>
      </w:r>
      <w:r w:rsidRPr="00D276F7">
        <w:t>Musculoskeletal Deputy Manager, NWRH</w:t>
      </w:r>
    </w:p>
    <w:p w:rsidR="00D276F7" w:rsidRPr="00D276F7" w:rsidRDefault="00D276F7" w:rsidP="00103528">
      <w:pPr>
        <w:pStyle w:val="BodyText"/>
        <w:numPr>
          <w:ilvl w:val="0"/>
          <w:numId w:val="28"/>
        </w:numPr>
        <w:ind w:left="567" w:hanging="567"/>
      </w:pPr>
      <w:r w:rsidRPr="00D276F7">
        <w:t>Dr Keith McArthur, GP Liaison Officer, North</w:t>
      </w:r>
      <w:r>
        <w:t xml:space="preserve"> </w:t>
      </w:r>
      <w:r w:rsidRPr="00D276F7">
        <w:t>West region</w:t>
      </w:r>
    </w:p>
    <w:p w:rsidR="00D276F7" w:rsidRPr="00D276F7" w:rsidRDefault="00D276F7" w:rsidP="00103528">
      <w:pPr>
        <w:pStyle w:val="BodyText"/>
        <w:numPr>
          <w:ilvl w:val="0"/>
          <w:numId w:val="28"/>
        </w:numPr>
        <w:ind w:left="567" w:hanging="567"/>
      </w:pPr>
      <w:r w:rsidRPr="00D276F7">
        <w:t>Dr Liz Webber, GP Liaison Officer, Southern</w:t>
      </w:r>
      <w:r>
        <w:t xml:space="preserve"> </w:t>
      </w:r>
      <w:r w:rsidRPr="00D276F7">
        <w:t>region</w:t>
      </w:r>
    </w:p>
    <w:p w:rsidR="00D276F7" w:rsidRPr="00D276F7" w:rsidRDefault="00D276F7" w:rsidP="00103528">
      <w:pPr>
        <w:pStyle w:val="BodyText"/>
        <w:numPr>
          <w:ilvl w:val="0"/>
          <w:numId w:val="28"/>
        </w:numPr>
        <w:ind w:left="567" w:hanging="567"/>
      </w:pPr>
      <w:r w:rsidRPr="00D276F7">
        <w:t>Hamish Newsham-West, Clinical Lead</w:t>
      </w:r>
      <w:r>
        <w:t xml:space="preserve"> </w:t>
      </w:r>
      <w:r w:rsidRPr="00D276F7">
        <w:t>Physiotherapist – Musculoskeletal, Southern</w:t>
      </w:r>
      <w:r>
        <w:t xml:space="preserve"> </w:t>
      </w:r>
      <w:r w:rsidRPr="00D276F7">
        <w:t>Region</w:t>
      </w:r>
    </w:p>
    <w:p w:rsidR="00D276F7" w:rsidRPr="00D276F7" w:rsidRDefault="00D276F7" w:rsidP="00103528">
      <w:pPr>
        <w:pStyle w:val="BodyText"/>
        <w:numPr>
          <w:ilvl w:val="0"/>
          <w:numId w:val="28"/>
        </w:numPr>
        <w:ind w:left="567" w:hanging="567"/>
      </w:pPr>
      <w:r w:rsidRPr="00D276F7">
        <w:t>Catherine Spiller, Project Leader – Tasmanian</w:t>
      </w:r>
      <w:r>
        <w:t xml:space="preserve"> </w:t>
      </w:r>
      <w:r w:rsidRPr="00D276F7">
        <w:t>Health Pathways, Primary Health Tasmania</w:t>
      </w:r>
    </w:p>
    <w:p w:rsidR="00D276F7" w:rsidRPr="00D276F7" w:rsidRDefault="00D276F7" w:rsidP="00103528">
      <w:pPr>
        <w:pStyle w:val="BodyText"/>
        <w:numPr>
          <w:ilvl w:val="0"/>
          <w:numId w:val="28"/>
        </w:numPr>
        <w:ind w:left="567" w:hanging="567"/>
      </w:pPr>
      <w:r w:rsidRPr="00D276F7">
        <w:t>Jane Hope, Arthritis Tasmania</w:t>
      </w:r>
    </w:p>
    <w:p w:rsidR="00D276F7" w:rsidRPr="00D276F7" w:rsidRDefault="00D276F7" w:rsidP="00103528">
      <w:pPr>
        <w:pStyle w:val="BodyText"/>
        <w:numPr>
          <w:ilvl w:val="0"/>
          <w:numId w:val="28"/>
        </w:numPr>
        <w:ind w:left="567" w:hanging="567"/>
      </w:pPr>
      <w:r w:rsidRPr="00D276F7">
        <w:lastRenderedPageBreak/>
        <w:t>Nadia Zalucki, Clinical Lead Physiotherapist –</w:t>
      </w:r>
      <w:r>
        <w:t xml:space="preserve"> </w:t>
      </w:r>
      <w:r w:rsidRPr="00D276F7">
        <w:t>Musculoskeletal</w:t>
      </w:r>
    </w:p>
    <w:p w:rsidR="00D276F7" w:rsidRPr="00D276F7" w:rsidRDefault="00D276F7" w:rsidP="00D276F7">
      <w:pPr>
        <w:pStyle w:val="BodyText"/>
      </w:pPr>
      <w:r w:rsidRPr="00D276F7">
        <w:t>Co-opted member as required:</w:t>
      </w:r>
    </w:p>
    <w:p w:rsidR="00D276F7" w:rsidRPr="00D276F7" w:rsidRDefault="00D276F7" w:rsidP="00103528">
      <w:pPr>
        <w:pStyle w:val="BodyText"/>
        <w:numPr>
          <w:ilvl w:val="0"/>
          <w:numId w:val="28"/>
        </w:numPr>
        <w:ind w:left="567" w:hanging="567"/>
      </w:pPr>
      <w:r w:rsidRPr="00D276F7">
        <w:t>Mr Scott Fletcher, Director of Surgical Services,</w:t>
      </w:r>
      <w:r>
        <w:t xml:space="preserve"> </w:t>
      </w:r>
      <w:r w:rsidRPr="00D276F7">
        <w:t>NWRH</w:t>
      </w:r>
    </w:p>
    <w:p w:rsidR="00D276F7" w:rsidRPr="00D276F7" w:rsidRDefault="00D276F7" w:rsidP="00103528">
      <w:pPr>
        <w:pStyle w:val="BodyText"/>
        <w:numPr>
          <w:ilvl w:val="0"/>
          <w:numId w:val="28"/>
        </w:numPr>
        <w:ind w:left="567" w:hanging="567"/>
      </w:pPr>
      <w:r w:rsidRPr="00D276F7">
        <w:t>Mr Scott Mackie, Visiting Medical Officer –</w:t>
      </w:r>
      <w:r>
        <w:t xml:space="preserve"> </w:t>
      </w:r>
      <w:r w:rsidRPr="00D276F7">
        <w:t>Orthopaedics, RHH</w:t>
      </w:r>
    </w:p>
    <w:p w:rsidR="00D276F7" w:rsidRPr="00D276F7" w:rsidRDefault="00D276F7" w:rsidP="00103528">
      <w:pPr>
        <w:pStyle w:val="BodyText"/>
        <w:numPr>
          <w:ilvl w:val="0"/>
          <w:numId w:val="28"/>
        </w:numPr>
        <w:ind w:left="567" w:hanging="567"/>
      </w:pPr>
      <w:r w:rsidRPr="00D276F7">
        <w:t>Mr Paul Harvie, Staff Specialist – Surgeon, RHH</w:t>
      </w:r>
    </w:p>
    <w:p w:rsidR="00D276F7" w:rsidRPr="00D276F7" w:rsidRDefault="00D276F7" w:rsidP="00103528">
      <w:pPr>
        <w:pStyle w:val="BodyText"/>
        <w:numPr>
          <w:ilvl w:val="0"/>
          <w:numId w:val="28"/>
        </w:numPr>
        <w:ind w:left="567" w:hanging="567"/>
      </w:pPr>
      <w:r w:rsidRPr="00D276F7">
        <w:t>Dr Andrew Hunn</w:t>
      </w:r>
    </w:p>
    <w:p w:rsidR="00D276F7" w:rsidRDefault="00D276F7" w:rsidP="00103528">
      <w:pPr>
        <w:pStyle w:val="BodyText"/>
        <w:numPr>
          <w:ilvl w:val="0"/>
          <w:numId w:val="28"/>
        </w:numPr>
        <w:ind w:left="567" w:hanging="567"/>
      </w:pPr>
      <w:r w:rsidRPr="00D276F7">
        <w:t>Dr Arvind Dubey, Staff Specialist –</w:t>
      </w:r>
      <w:r>
        <w:t xml:space="preserve"> </w:t>
      </w:r>
      <w:r w:rsidRPr="00D276F7">
        <w:t>Neurosurgery, RHH</w:t>
      </w:r>
    </w:p>
    <w:p w:rsidR="00D276F7" w:rsidRPr="00D276F7" w:rsidRDefault="00D276F7" w:rsidP="00D276F7">
      <w:pPr>
        <w:pStyle w:val="Heading4"/>
      </w:pPr>
      <w:r w:rsidRPr="00D276F7">
        <w:t>Neurology</w:t>
      </w:r>
    </w:p>
    <w:p w:rsidR="00D276F7" w:rsidRPr="00D276F7" w:rsidRDefault="00D276F7" w:rsidP="00D276F7">
      <w:pPr>
        <w:pStyle w:val="BodyText"/>
      </w:pPr>
      <w:r w:rsidRPr="00D276F7">
        <w:t>Co-Convenors: Dr Dean Jones and</w:t>
      </w:r>
      <w:r>
        <w:t xml:space="preserve"> </w:t>
      </w:r>
      <w:r w:rsidRPr="00D276F7">
        <w:t>Dr Helen Castley</w:t>
      </w:r>
    </w:p>
    <w:p w:rsidR="00D276F7" w:rsidRPr="00D276F7" w:rsidRDefault="00D276F7" w:rsidP="00D276F7">
      <w:pPr>
        <w:pStyle w:val="BodyText"/>
      </w:pPr>
      <w:r w:rsidRPr="00D276F7">
        <w:t>Dr Dean Jones is a staff specialist and current</w:t>
      </w:r>
      <w:r>
        <w:t xml:space="preserve"> </w:t>
      </w:r>
      <w:r w:rsidRPr="00D276F7">
        <w:t>Head of Department of Neurology at RHH. He</w:t>
      </w:r>
      <w:r>
        <w:t xml:space="preserve"> </w:t>
      </w:r>
      <w:r w:rsidRPr="00D276F7">
        <w:t>is from Launceston originally, and completed</w:t>
      </w:r>
      <w:r>
        <w:t xml:space="preserve"> </w:t>
      </w:r>
      <w:r w:rsidRPr="00D276F7">
        <w:t>science and medical degrees at the University</w:t>
      </w:r>
      <w:r>
        <w:t xml:space="preserve"> </w:t>
      </w:r>
      <w:r w:rsidRPr="00D276F7">
        <w:t>of Tasmania. He has clinical experience and</w:t>
      </w:r>
      <w:r>
        <w:t xml:space="preserve"> </w:t>
      </w:r>
      <w:r w:rsidRPr="00D276F7">
        <w:t>training from RHH, Austin Hospital and Radcliffe</w:t>
      </w:r>
      <w:r>
        <w:t xml:space="preserve"> </w:t>
      </w:r>
      <w:r w:rsidRPr="00D276F7">
        <w:t>Infirmary, Oxford UK, along with research</w:t>
      </w:r>
      <w:r>
        <w:t xml:space="preserve"> </w:t>
      </w:r>
      <w:r w:rsidRPr="00D276F7">
        <w:t>experience at Monash, Flinders and Queensland</w:t>
      </w:r>
      <w:r>
        <w:t xml:space="preserve"> </w:t>
      </w:r>
      <w:r w:rsidRPr="00D276F7">
        <w:t>Universities. Dr Jones is also a chief investigator</w:t>
      </w:r>
      <w:r>
        <w:t xml:space="preserve"> </w:t>
      </w:r>
      <w:r w:rsidRPr="00D276F7">
        <w:t>in joint Tasmania/Victoria research on the</w:t>
      </w:r>
      <w:r>
        <w:t xml:space="preserve"> </w:t>
      </w:r>
      <w:r w:rsidRPr="00D276F7">
        <w:t>genetics of epileptic encephalopathies. Further,</w:t>
      </w:r>
      <w:r>
        <w:t xml:space="preserve"> </w:t>
      </w:r>
      <w:r w:rsidRPr="00D276F7">
        <w:t>he is senior lecturer in neurology at UTAS,</w:t>
      </w:r>
      <w:r>
        <w:t xml:space="preserve"> </w:t>
      </w:r>
      <w:r w:rsidRPr="00D276F7">
        <w:t>including video teaching to Launceston and North</w:t>
      </w:r>
      <w:r>
        <w:t xml:space="preserve"> </w:t>
      </w:r>
      <w:r w:rsidRPr="00D276F7">
        <w:t>West clinical schools.</w:t>
      </w:r>
    </w:p>
    <w:p w:rsidR="00D276F7" w:rsidRDefault="00D276F7" w:rsidP="00D276F7">
      <w:pPr>
        <w:pStyle w:val="BodyText"/>
        <w:rPr>
          <w:rFonts w:ascii="GillSans-Light" w:hAnsi="GillSans-Light"/>
        </w:rPr>
      </w:pPr>
      <w:r w:rsidRPr="00D276F7">
        <w:t>Dr Helen Castley is a staff specialist in neurology</w:t>
      </w:r>
      <w:r>
        <w:t xml:space="preserve"> </w:t>
      </w:r>
      <w:r w:rsidRPr="00D276F7">
        <w:t>at the Royal Hobart Hospital and current Head</w:t>
      </w:r>
      <w:r>
        <w:t xml:space="preserve"> </w:t>
      </w:r>
      <w:r w:rsidRPr="00D276F7">
        <w:t>of the Acute Stroke Unit. She completed her</w:t>
      </w:r>
      <w:r>
        <w:t xml:space="preserve"> </w:t>
      </w:r>
      <w:r w:rsidRPr="00D276F7">
        <w:t>medical degrees at the University of Tasmania</w:t>
      </w:r>
      <w:r>
        <w:t xml:space="preserve"> </w:t>
      </w:r>
      <w:r w:rsidRPr="00D276F7">
        <w:t>before completing her medical training at the</w:t>
      </w:r>
      <w:r>
        <w:t xml:space="preserve"> </w:t>
      </w:r>
      <w:r w:rsidRPr="00D276F7">
        <w:t>RHH, Box Hill Hospital and Monash Medical</w:t>
      </w:r>
      <w:r>
        <w:t xml:space="preserve"> </w:t>
      </w:r>
      <w:r w:rsidRPr="00D276F7">
        <w:t>Centre. Dr Castley has a special interest in Stroke</w:t>
      </w:r>
      <w:r>
        <w:t xml:space="preserve"> </w:t>
      </w:r>
      <w:r w:rsidRPr="00D276F7">
        <w:t>and represents Tasmania on the Australian Stroke</w:t>
      </w:r>
      <w:r>
        <w:t xml:space="preserve"> </w:t>
      </w:r>
      <w:r w:rsidRPr="00D276F7">
        <w:t>Coalition. She is also on the Australian Stroke</w:t>
      </w:r>
      <w:r>
        <w:t xml:space="preserve"> </w:t>
      </w:r>
      <w:r w:rsidRPr="00D276F7">
        <w:t>Clinical Registry steering committee and was a</w:t>
      </w:r>
      <w:r>
        <w:t xml:space="preserve"> </w:t>
      </w:r>
      <w:r w:rsidRPr="00D276F7">
        <w:t>member of the Stroke Clinical Care Standards</w:t>
      </w:r>
      <w:r>
        <w:t xml:space="preserve"> </w:t>
      </w:r>
      <w:r w:rsidRPr="00D276F7">
        <w:t>Topic Working Group. She is actively involved in</w:t>
      </w:r>
      <w:r>
        <w:t xml:space="preserve"> </w:t>
      </w:r>
      <w:r w:rsidRPr="00D276F7">
        <w:t>teaching of both medical students and physicians</w:t>
      </w:r>
      <w:r>
        <w:rPr>
          <w:rFonts w:ascii="GillSans-Light" w:hAnsi="GillSans-Light"/>
        </w:rPr>
        <w:t>.</w:t>
      </w:r>
    </w:p>
    <w:p w:rsidR="007E5ED6" w:rsidRDefault="007E5ED6" w:rsidP="007E5ED6">
      <w:pPr>
        <w:pStyle w:val="BodyText"/>
      </w:pPr>
      <w:r>
        <w:t>Membership:</w:t>
      </w:r>
    </w:p>
    <w:p w:rsidR="007E5ED6" w:rsidRDefault="007E5ED6" w:rsidP="00103528">
      <w:pPr>
        <w:pStyle w:val="BodyText"/>
        <w:numPr>
          <w:ilvl w:val="0"/>
          <w:numId w:val="28"/>
        </w:numPr>
        <w:ind w:left="567" w:hanging="567"/>
      </w:pPr>
      <w:r>
        <w:t>Alexis Bull, Clinical Nurse Coordinator – Rehabilitation Unit, Aged and Rehabilitation Services</w:t>
      </w:r>
    </w:p>
    <w:p w:rsidR="007E5ED6" w:rsidRDefault="007E5ED6" w:rsidP="00103528">
      <w:pPr>
        <w:pStyle w:val="BodyText"/>
        <w:numPr>
          <w:ilvl w:val="0"/>
          <w:numId w:val="28"/>
        </w:numPr>
        <w:ind w:left="567" w:hanging="567"/>
      </w:pPr>
      <w:r>
        <w:t>Ben Phegan, Clinical Nurse Educator, Medical Ward Education, MCH</w:t>
      </w:r>
    </w:p>
    <w:p w:rsidR="007E5ED6" w:rsidRDefault="007E5ED6" w:rsidP="00103528">
      <w:pPr>
        <w:pStyle w:val="BodyText"/>
        <w:numPr>
          <w:ilvl w:val="0"/>
          <w:numId w:val="28"/>
        </w:numPr>
        <w:ind w:left="567" w:hanging="567"/>
      </w:pPr>
      <w:r>
        <w:t>Cath Craw, Acting EO Tasmania, National Stroke Foundation</w:t>
      </w:r>
    </w:p>
    <w:p w:rsidR="007E5ED6" w:rsidRDefault="007E5ED6" w:rsidP="00103528">
      <w:pPr>
        <w:pStyle w:val="BodyText"/>
        <w:numPr>
          <w:ilvl w:val="0"/>
          <w:numId w:val="28"/>
        </w:numPr>
        <w:ind w:left="567" w:hanging="567"/>
      </w:pPr>
      <w:r>
        <w:t>Deidre Broadby, Stroke Nurse / Clinical Nurse Consultant – Stroke Unit, RHH</w:t>
      </w:r>
    </w:p>
    <w:p w:rsidR="007E5ED6" w:rsidRDefault="007E5ED6" w:rsidP="00103528">
      <w:pPr>
        <w:pStyle w:val="BodyText"/>
        <w:numPr>
          <w:ilvl w:val="0"/>
          <w:numId w:val="28"/>
        </w:numPr>
        <w:ind w:left="567" w:hanging="567"/>
      </w:pPr>
      <w:r>
        <w:t xml:space="preserve">Dr Alasdair MacDonald, Director of Medicine, LGH </w:t>
      </w:r>
    </w:p>
    <w:p w:rsidR="007E5ED6" w:rsidRDefault="007E5ED6" w:rsidP="00103528">
      <w:pPr>
        <w:pStyle w:val="BodyText"/>
        <w:numPr>
          <w:ilvl w:val="0"/>
          <w:numId w:val="5"/>
        </w:numPr>
        <w:ind w:left="567" w:hanging="567"/>
      </w:pPr>
      <w:r>
        <w:t>Dr Con Georgakas, Medical Director, Clinical Services Division, AT</w:t>
      </w:r>
    </w:p>
    <w:p w:rsidR="007E5ED6" w:rsidRDefault="007E5ED6" w:rsidP="00103528">
      <w:pPr>
        <w:pStyle w:val="BodyText"/>
        <w:numPr>
          <w:ilvl w:val="0"/>
          <w:numId w:val="28"/>
        </w:numPr>
        <w:ind w:left="567" w:hanging="567"/>
      </w:pPr>
      <w:r>
        <w:t>Dr Kurien Koshy, Staff Specialist, Neurology, LGH</w:t>
      </w:r>
    </w:p>
    <w:p w:rsidR="007E5ED6" w:rsidRDefault="007E5ED6" w:rsidP="00103528">
      <w:pPr>
        <w:pStyle w:val="BodyText"/>
        <w:numPr>
          <w:ilvl w:val="0"/>
          <w:numId w:val="28"/>
        </w:numPr>
        <w:ind w:left="567" w:hanging="567"/>
      </w:pPr>
      <w:r>
        <w:t>Dr Michael Dreyer, Staff Specialist, Neurology, RHH</w:t>
      </w:r>
    </w:p>
    <w:p w:rsidR="007E5ED6" w:rsidRDefault="007E5ED6" w:rsidP="00103528">
      <w:pPr>
        <w:pStyle w:val="BodyText"/>
        <w:numPr>
          <w:ilvl w:val="0"/>
          <w:numId w:val="28"/>
        </w:numPr>
        <w:ind w:left="567" w:hanging="567"/>
      </w:pPr>
      <w:r>
        <w:t>Dr Michael Rose, Staff Specialist, Emergency Department, RHH</w:t>
      </w:r>
    </w:p>
    <w:p w:rsidR="007E5ED6" w:rsidRDefault="007E5ED6" w:rsidP="00103528">
      <w:pPr>
        <w:pStyle w:val="BodyText"/>
        <w:numPr>
          <w:ilvl w:val="0"/>
          <w:numId w:val="28"/>
        </w:numPr>
        <w:ind w:left="567" w:hanging="567"/>
      </w:pPr>
      <w:r>
        <w:t>Dr Nicole Hancock, Staff Specialist General Medicine, RHH</w:t>
      </w:r>
    </w:p>
    <w:p w:rsidR="007E5ED6" w:rsidRDefault="007E5ED6" w:rsidP="00103528">
      <w:pPr>
        <w:pStyle w:val="BodyText"/>
        <w:numPr>
          <w:ilvl w:val="0"/>
          <w:numId w:val="28"/>
        </w:numPr>
        <w:ind w:left="567" w:hanging="567"/>
      </w:pPr>
      <w:r>
        <w:t>Emma Jane McCrum, Senior Psychologist / Neuropsychologist, LGH</w:t>
      </w:r>
    </w:p>
    <w:p w:rsidR="007E5ED6" w:rsidRDefault="007E5ED6" w:rsidP="00103528">
      <w:pPr>
        <w:pStyle w:val="BodyText"/>
        <w:numPr>
          <w:ilvl w:val="0"/>
          <w:numId w:val="28"/>
        </w:numPr>
        <w:ind w:left="567" w:hanging="567"/>
      </w:pPr>
      <w:r>
        <w:t>John Cannell, Clinical Lead Physiotherapist – Rehabilitation, LGH</w:t>
      </w:r>
    </w:p>
    <w:p w:rsidR="007E5ED6" w:rsidRDefault="007E5ED6" w:rsidP="00103528">
      <w:pPr>
        <w:pStyle w:val="BodyText"/>
        <w:numPr>
          <w:ilvl w:val="0"/>
          <w:numId w:val="28"/>
        </w:numPr>
        <w:ind w:left="567" w:hanging="567"/>
      </w:pPr>
      <w:r>
        <w:t>Lee Wallace, Nursing Director – Rehabilitation / Sub Acute Care Services, LGH</w:t>
      </w:r>
    </w:p>
    <w:p w:rsidR="007E5ED6" w:rsidRDefault="007E5ED6" w:rsidP="00103528">
      <w:pPr>
        <w:pStyle w:val="BodyText"/>
        <w:numPr>
          <w:ilvl w:val="0"/>
          <w:numId w:val="28"/>
        </w:numPr>
        <w:ind w:left="567" w:hanging="567"/>
      </w:pPr>
      <w:r>
        <w:t>Paula Hyland, Director Allied Health Services, North West Region</w:t>
      </w:r>
    </w:p>
    <w:p w:rsidR="007E5ED6" w:rsidRDefault="007E5ED6" w:rsidP="00103528">
      <w:pPr>
        <w:pStyle w:val="BodyText"/>
        <w:numPr>
          <w:ilvl w:val="0"/>
          <w:numId w:val="28"/>
        </w:numPr>
        <w:ind w:left="567" w:hanging="567"/>
      </w:pPr>
      <w:r>
        <w:lastRenderedPageBreak/>
        <w:t>Sharon Wendon, Clinical Nurse Consultant – Neuromuscular Degenerative Disease, LGH</w:t>
      </w:r>
    </w:p>
    <w:p w:rsidR="007E5ED6" w:rsidRDefault="007E5ED6" w:rsidP="00103528">
      <w:pPr>
        <w:pStyle w:val="BodyText"/>
        <w:numPr>
          <w:ilvl w:val="0"/>
          <w:numId w:val="28"/>
        </w:numPr>
        <w:ind w:left="567" w:hanging="567"/>
      </w:pPr>
      <w:r>
        <w:t>Toni Aslett, Director, Programs, National Stroke Foundation</w:t>
      </w:r>
    </w:p>
    <w:p w:rsidR="007E5ED6" w:rsidRPr="007E5ED6" w:rsidRDefault="007E5ED6" w:rsidP="007E5ED6">
      <w:pPr>
        <w:pStyle w:val="Heading4"/>
      </w:pPr>
      <w:r w:rsidRPr="007E5ED6">
        <w:t>Pathology</w:t>
      </w:r>
    </w:p>
    <w:p w:rsidR="007E5ED6" w:rsidRPr="007E5ED6" w:rsidRDefault="007E5ED6" w:rsidP="007E5ED6">
      <w:pPr>
        <w:pStyle w:val="BodyText"/>
      </w:pPr>
      <w:r w:rsidRPr="007E5ED6">
        <w:t>Convenor: Dr Vince Murdolo Dr Vince Murdolo has worked extensively in pathology services across rural and metropolitan Australia, before taking on a number of roles at the RHH. These roles have included Anatomical Pathologist, Director of Anatomical Pathology and now Director, Pathology Services. Dr Murdolo graduated from Monash University in 1986, received Membership of the Australian Association of Clinical Biochemists in 1994 and subsequently Fellowship of the Royal Australasian College of Physicians in 1998. He has an ongoing interest in education, and currently has a position as Lecturer in Pathology at the University of Tasmania, while also studying a Bachelor of Health at the University of Tasmania.</w:t>
      </w:r>
    </w:p>
    <w:p w:rsidR="007E5ED6" w:rsidRDefault="007E5ED6" w:rsidP="007E5ED6">
      <w:pPr>
        <w:pStyle w:val="BodyText"/>
      </w:pPr>
      <w:r>
        <w:t>Membership:</w:t>
      </w:r>
    </w:p>
    <w:p w:rsidR="007E5ED6" w:rsidRDefault="007E5ED6" w:rsidP="007E5ED6">
      <w:pPr>
        <w:pStyle w:val="BodyText"/>
      </w:pPr>
      <w:r>
        <w:t>• Dr Tony Xabergras, Executive Director, Medical Services, RHH</w:t>
      </w:r>
    </w:p>
    <w:p w:rsidR="007E5ED6" w:rsidRDefault="007E5ED6" w:rsidP="007E5ED6">
      <w:pPr>
        <w:pStyle w:val="BodyText"/>
      </w:pPr>
      <w:r>
        <w:t>• Dr Peter Renshaw, Director of Clinical Services, LGH</w:t>
      </w:r>
    </w:p>
    <w:p w:rsidR="007E5ED6" w:rsidRDefault="007E5ED6" w:rsidP="007E5ED6">
      <w:pPr>
        <w:pStyle w:val="BodyText"/>
      </w:pPr>
      <w:r>
        <w:t>• Dr Terry Brain, Staff Specialist, LGH</w:t>
      </w:r>
    </w:p>
    <w:p w:rsidR="007E5ED6" w:rsidRDefault="007E5ED6" w:rsidP="007E5ED6">
      <w:pPr>
        <w:pStyle w:val="BodyText"/>
      </w:pPr>
      <w:r>
        <w:t>• Dr Louise Cooley, Staff Specialist Microbiology, LGH</w:t>
      </w:r>
    </w:p>
    <w:p w:rsidR="007E5ED6" w:rsidRDefault="007E5ED6" w:rsidP="007E5ED6">
      <w:pPr>
        <w:pStyle w:val="BodyText"/>
      </w:pPr>
      <w:r>
        <w:t>• Gerald Bates, Laboratory Manager, LGH</w:t>
      </w:r>
    </w:p>
    <w:p w:rsidR="007E5ED6" w:rsidRDefault="007E5ED6" w:rsidP="007E5ED6">
      <w:pPr>
        <w:pStyle w:val="BodyText"/>
      </w:pPr>
      <w:r>
        <w:t>• Denise Parry, General Manager of former THO-NW</w:t>
      </w:r>
    </w:p>
    <w:p w:rsidR="007E5ED6" w:rsidRPr="007E5ED6" w:rsidRDefault="007E5ED6" w:rsidP="007E5ED6">
      <w:pPr>
        <w:pStyle w:val="BodyText"/>
      </w:pPr>
      <w:r>
        <w:t xml:space="preserve">• Rob </w:t>
      </w:r>
      <w:proofErr w:type="gramStart"/>
      <w:r>
        <w:t>White ,</w:t>
      </w:r>
      <w:proofErr w:type="gramEnd"/>
      <w:r>
        <w:t xml:space="preserve"> Medical Scientist in Charge, Core Laboratory, RHH</w:t>
      </w:r>
    </w:p>
    <w:p w:rsidR="007E5ED6" w:rsidRDefault="007E5ED6" w:rsidP="007E5ED6">
      <w:pPr>
        <w:pStyle w:val="Heading4"/>
      </w:pPr>
      <w:r>
        <w:t>Renal</w:t>
      </w:r>
    </w:p>
    <w:p w:rsidR="007E5ED6" w:rsidRPr="007E5ED6" w:rsidRDefault="007E5ED6" w:rsidP="007E5ED6">
      <w:pPr>
        <w:pStyle w:val="BodyText"/>
      </w:pPr>
      <w:r w:rsidRPr="007E5ED6">
        <w:t>Convenor: Dr Geoffrey Kirkland</w:t>
      </w:r>
    </w:p>
    <w:p w:rsidR="007E5ED6" w:rsidRPr="007E5ED6" w:rsidRDefault="007E5ED6" w:rsidP="007E5ED6">
      <w:pPr>
        <w:pStyle w:val="BodyText"/>
      </w:pPr>
      <w:r w:rsidRPr="007E5ED6">
        <w:t>Dr Geoffrey Kirkland is Director of Nephrology at the RHH. Dr Kirkland is a medical graduate from the University of Tasmania, with basic physician training undertaken at the RHH. He subsequently undertook nephrology training at the Austin and St Vincent’s hospitals in Melbourne, followed by two years of laboratory National Health and Medical Research Council funded research into glomerulonephritis. Dr Kirkland later returned to the RHH as Deputy Director of the Division of Medicine and consultant Nephrologist. He has been involved in a number of clinical research studies in Tasmania including looking at the distribution of Chronic Kidney Disease in Tasmania and has set up the Tasmanian Vasculitis Group to improve the interdiscipline management of vasculitis in the state.</w:t>
      </w:r>
    </w:p>
    <w:p w:rsidR="007E5ED6" w:rsidRPr="007E5ED6" w:rsidRDefault="007E5ED6" w:rsidP="007E5ED6">
      <w:pPr>
        <w:pStyle w:val="BodyText"/>
      </w:pPr>
      <w:r w:rsidRPr="007E5ED6">
        <w:t>Membership:</w:t>
      </w:r>
    </w:p>
    <w:p w:rsidR="007E5ED6" w:rsidRPr="007E5ED6" w:rsidRDefault="007E5ED6" w:rsidP="00103528">
      <w:pPr>
        <w:pStyle w:val="BodyText"/>
        <w:numPr>
          <w:ilvl w:val="0"/>
          <w:numId w:val="5"/>
        </w:numPr>
        <w:ind w:left="567" w:hanging="567"/>
      </w:pPr>
      <w:r w:rsidRPr="007E5ED6">
        <w:t>Dr Mathew Mathew, Staff Specialist – Nephrology, LGH</w:t>
      </w:r>
    </w:p>
    <w:p w:rsidR="007E5ED6" w:rsidRPr="007E5ED6" w:rsidRDefault="007E5ED6" w:rsidP="00103528">
      <w:pPr>
        <w:pStyle w:val="BodyText"/>
        <w:numPr>
          <w:ilvl w:val="0"/>
          <w:numId w:val="5"/>
        </w:numPr>
        <w:ind w:left="567" w:hanging="567"/>
      </w:pPr>
      <w:r w:rsidRPr="007E5ED6">
        <w:t>Dr Rajesh Raj, Staff Specialist, LGH</w:t>
      </w:r>
    </w:p>
    <w:p w:rsidR="007E5ED6" w:rsidRPr="007E5ED6" w:rsidRDefault="007E5ED6" w:rsidP="00103528">
      <w:pPr>
        <w:pStyle w:val="BodyText"/>
        <w:numPr>
          <w:ilvl w:val="0"/>
          <w:numId w:val="5"/>
        </w:numPr>
        <w:ind w:left="567" w:hanging="567"/>
      </w:pPr>
      <w:r w:rsidRPr="007E5ED6">
        <w:t>Dr Duncan Cooke, Staff Specialist, LGH</w:t>
      </w:r>
    </w:p>
    <w:p w:rsidR="007E5ED6" w:rsidRPr="007E5ED6" w:rsidRDefault="007E5ED6" w:rsidP="00103528">
      <w:pPr>
        <w:pStyle w:val="BodyText"/>
        <w:numPr>
          <w:ilvl w:val="0"/>
          <w:numId w:val="5"/>
        </w:numPr>
        <w:ind w:left="567" w:hanging="567"/>
      </w:pPr>
      <w:r w:rsidRPr="007E5ED6">
        <w:t>Rose Mace, Nurse Unit Manager – Renal Unit, LGH</w:t>
      </w:r>
    </w:p>
    <w:p w:rsidR="007E5ED6" w:rsidRPr="007E5ED6" w:rsidRDefault="007E5ED6" w:rsidP="00103528">
      <w:pPr>
        <w:pStyle w:val="BodyText"/>
        <w:numPr>
          <w:ilvl w:val="0"/>
          <w:numId w:val="5"/>
        </w:numPr>
        <w:ind w:left="567" w:hanging="567"/>
      </w:pPr>
      <w:r w:rsidRPr="007E5ED6">
        <w:t>Jen Reynolds, Nurse Unit Manager – North West Renal Satellite Unit</w:t>
      </w:r>
    </w:p>
    <w:p w:rsidR="007E5ED6" w:rsidRPr="007E5ED6" w:rsidRDefault="007E5ED6" w:rsidP="00103528">
      <w:pPr>
        <w:pStyle w:val="BodyText"/>
        <w:numPr>
          <w:ilvl w:val="0"/>
          <w:numId w:val="5"/>
        </w:numPr>
        <w:ind w:left="567" w:hanging="567"/>
      </w:pPr>
      <w:r w:rsidRPr="007E5ED6">
        <w:t>Dr Keith McArthur, GP Liaison Officer, NWRH</w:t>
      </w:r>
    </w:p>
    <w:p w:rsidR="007E5ED6" w:rsidRPr="007E5ED6" w:rsidRDefault="007E5ED6" w:rsidP="00103528">
      <w:pPr>
        <w:pStyle w:val="BodyText"/>
        <w:numPr>
          <w:ilvl w:val="0"/>
          <w:numId w:val="5"/>
        </w:numPr>
        <w:ind w:left="567" w:hanging="567"/>
      </w:pPr>
      <w:r w:rsidRPr="007E5ED6">
        <w:t>Professor Matthew Jose, Staff Specialist – Renal Medicine, RHH</w:t>
      </w:r>
    </w:p>
    <w:p w:rsidR="007E5ED6" w:rsidRPr="007E5ED6" w:rsidRDefault="007E5ED6" w:rsidP="00103528">
      <w:pPr>
        <w:pStyle w:val="BodyText"/>
        <w:numPr>
          <w:ilvl w:val="0"/>
          <w:numId w:val="5"/>
        </w:numPr>
        <w:ind w:left="567" w:hanging="567"/>
      </w:pPr>
      <w:r w:rsidRPr="007E5ED6">
        <w:t>Dr Steven Yew, Staff Specialist – Renal Medicine, RHH</w:t>
      </w:r>
    </w:p>
    <w:p w:rsidR="007E5ED6" w:rsidRPr="007E5ED6" w:rsidRDefault="007E5ED6" w:rsidP="00103528">
      <w:pPr>
        <w:pStyle w:val="BodyText"/>
        <w:numPr>
          <w:ilvl w:val="0"/>
          <w:numId w:val="5"/>
        </w:numPr>
        <w:ind w:left="567" w:hanging="567"/>
      </w:pPr>
      <w:r w:rsidRPr="007E5ED6">
        <w:lastRenderedPageBreak/>
        <w:t>Dr Lisa Jeffs, Staff Specialist – Renal Medicine, RHH</w:t>
      </w:r>
    </w:p>
    <w:p w:rsidR="007E5ED6" w:rsidRPr="007E5ED6" w:rsidRDefault="007E5ED6" w:rsidP="00103528">
      <w:pPr>
        <w:pStyle w:val="BodyText"/>
        <w:numPr>
          <w:ilvl w:val="0"/>
          <w:numId w:val="5"/>
        </w:numPr>
        <w:ind w:left="567" w:hanging="567"/>
      </w:pPr>
      <w:r w:rsidRPr="007E5ED6">
        <w:t>Dr Richard Yu, Staff Specialist – Renal Medicine, RHH</w:t>
      </w:r>
    </w:p>
    <w:p w:rsidR="007E5ED6" w:rsidRPr="007E5ED6" w:rsidRDefault="007E5ED6" w:rsidP="00103528">
      <w:pPr>
        <w:pStyle w:val="BodyText"/>
        <w:numPr>
          <w:ilvl w:val="0"/>
          <w:numId w:val="5"/>
        </w:numPr>
        <w:ind w:left="567" w:hanging="567"/>
      </w:pPr>
      <w:r w:rsidRPr="007E5ED6">
        <w:t>Colin Banks, Nurse Unit Manager – Renal Unit, RHH</w:t>
      </w:r>
    </w:p>
    <w:p w:rsidR="007E5ED6" w:rsidRPr="007E5ED6" w:rsidRDefault="007E5ED6" w:rsidP="00103528">
      <w:pPr>
        <w:pStyle w:val="BodyText"/>
        <w:numPr>
          <w:ilvl w:val="0"/>
          <w:numId w:val="5"/>
        </w:numPr>
        <w:ind w:left="567" w:hanging="567"/>
      </w:pPr>
      <w:r w:rsidRPr="007E5ED6">
        <w:t>Sheila Campbell, CNC – Palliative Care, Southern Region</w:t>
      </w:r>
    </w:p>
    <w:p w:rsidR="007E5ED6" w:rsidRPr="007E5ED6" w:rsidRDefault="007E5ED6" w:rsidP="00103528">
      <w:pPr>
        <w:pStyle w:val="BodyText"/>
        <w:numPr>
          <w:ilvl w:val="0"/>
          <w:numId w:val="5"/>
        </w:numPr>
        <w:ind w:left="567" w:hanging="567"/>
      </w:pPr>
      <w:r w:rsidRPr="007E5ED6">
        <w:t>Des Moore, Business Manager – Finance, RHH</w:t>
      </w:r>
    </w:p>
    <w:p w:rsidR="007E5ED6" w:rsidRPr="007E5ED6" w:rsidRDefault="007E5ED6" w:rsidP="00103528">
      <w:pPr>
        <w:pStyle w:val="BodyText"/>
        <w:numPr>
          <w:ilvl w:val="0"/>
          <w:numId w:val="5"/>
        </w:numPr>
        <w:ind w:left="567" w:hanging="567"/>
      </w:pPr>
      <w:r w:rsidRPr="007E5ED6">
        <w:t>Robyn Montgomery, Senior Dietician, RHH</w:t>
      </w:r>
    </w:p>
    <w:p w:rsidR="007E5ED6" w:rsidRDefault="007E5ED6" w:rsidP="00103528">
      <w:pPr>
        <w:pStyle w:val="BodyText"/>
        <w:numPr>
          <w:ilvl w:val="0"/>
          <w:numId w:val="5"/>
        </w:numPr>
        <w:ind w:left="567" w:hanging="567"/>
      </w:pPr>
      <w:r w:rsidRPr="007E5ED6">
        <w:t>Dr Rob Pegram, Director of Medical Services, North West</w:t>
      </w:r>
    </w:p>
    <w:p w:rsidR="007E5ED6" w:rsidRPr="007E5ED6" w:rsidRDefault="007E5ED6" w:rsidP="007E5ED6">
      <w:pPr>
        <w:pStyle w:val="Heading4"/>
      </w:pPr>
      <w:r w:rsidRPr="007E5ED6">
        <w:t>Respiratory and Sleep Medicine</w:t>
      </w:r>
    </w:p>
    <w:p w:rsidR="007E5ED6" w:rsidRDefault="007E5ED6" w:rsidP="007E5ED6">
      <w:pPr>
        <w:pStyle w:val="BodyText"/>
      </w:pPr>
      <w:r w:rsidRPr="007E5ED6">
        <w:t>Convenor: Dr Nicholas Harkness</w:t>
      </w:r>
      <w:r>
        <w:t xml:space="preserve"> </w:t>
      </w:r>
    </w:p>
    <w:p w:rsidR="007E5ED6" w:rsidRPr="007E5ED6" w:rsidRDefault="007E5ED6" w:rsidP="007E5ED6">
      <w:pPr>
        <w:pStyle w:val="BodyText"/>
      </w:pPr>
      <w:r w:rsidRPr="007E5ED6">
        <w:t>Dr Nick Harkness is a medical graduate of the</w:t>
      </w:r>
      <w:r>
        <w:t xml:space="preserve"> </w:t>
      </w:r>
      <w:r w:rsidRPr="007E5ED6">
        <w:t>University of Tasmania (1997), and attained</w:t>
      </w:r>
      <w:r>
        <w:t xml:space="preserve"> </w:t>
      </w:r>
      <w:r w:rsidRPr="007E5ED6">
        <w:t>Fellowship of the Royal Australasian College of</w:t>
      </w:r>
      <w:r>
        <w:t xml:space="preserve"> </w:t>
      </w:r>
      <w:r w:rsidRPr="007E5ED6">
        <w:t>Physicians (FRACP) in 2002. Dr Harkness has</w:t>
      </w:r>
      <w:r>
        <w:t xml:space="preserve"> </w:t>
      </w:r>
      <w:r w:rsidRPr="007E5ED6">
        <w:t>been engaged at the RHH as Staff Specialist</w:t>
      </w:r>
      <w:r>
        <w:t xml:space="preserve"> </w:t>
      </w:r>
      <w:r w:rsidRPr="007E5ED6">
        <w:t>in Respiratory Medicine since 2006, and</w:t>
      </w:r>
      <w:r>
        <w:t xml:space="preserve"> </w:t>
      </w:r>
      <w:r w:rsidRPr="007E5ED6">
        <w:t>commenced as Head of Department in 2014.</w:t>
      </w:r>
    </w:p>
    <w:p w:rsidR="007E5ED6" w:rsidRDefault="007E5ED6" w:rsidP="007E5ED6">
      <w:pPr>
        <w:pStyle w:val="BodyText"/>
      </w:pPr>
      <w:r w:rsidRPr="007E5ED6">
        <w:t>He is also the Medical Director for the RHH</w:t>
      </w:r>
      <w:r>
        <w:t xml:space="preserve"> </w:t>
      </w:r>
      <w:r w:rsidRPr="007E5ED6">
        <w:t>Respiratory Function Unit. Dr Harkness has</w:t>
      </w:r>
      <w:r>
        <w:t xml:space="preserve"> </w:t>
      </w:r>
      <w:r w:rsidRPr="007E5ED6">
        <w:t>maintained an active interest in research/clinical</w:t>
      </w:r>
      <w:r>
        <w:t xml:space="preserve"> </w:t>
      </w:r>
      <w:r w:rsidRPr="007E5ED6">
        <w:t>audit, following an exemplary academic record</w:t>
      </w:r>
      <w:r>
        <w:t xml:space="preserve"> </w:t>
      </w:r>
      <w:r w:rsidRPr="007E5ED6">
        <w:t>during his training. Dr Harkness has a number</w:t>
      </w:r>
      <w:r>
        <w:t xml:space="preserve"> </w:t>
      </w:r>
      <w:r w:rsidRPr="007E5ED6">
        <w:t>of teaching roles, including at the University of</w:t>
      </w:r>
      <w:r>
        <w:t xml:space="preserve"> </w:t>
      </w:r>
      <w:r w:rsidRPr="007E5ED6">
        <w:t>Tasmania as well as through the RACP.</w:t>
      </w:r>
    </w:p>
    <w:p w:rsidR="007E5ED6" w:rsidRDefault="007E5ED6" w:rsidP="00103528">
      <w:pPr>
        <w:pStyle w:val="BodyText"/>
        <w:numPr>
          <w:ilvl w:val="0"/>
          <w:numId w:val="29"/>
        </w:numPr>
        <w:ind w:left="567" w:hanging="567"/>
      </w:pPr>
      <w:r>
        <w:t>Membership:</w:t>
      </w:r>
    </w:p>
    <w:p w:rsidR="007E5ED6" w:rsidRDefault="007E5ED6" w:rsidP="00103528">
      <w:pPr>
        <w:pStyle w:val="BodyText"/>
        <w:numPr>
          <w:ilvl w:val="0"/>
          <w:numId w:val="29"/>
        </w:numPr>
        <w:ind w:left="567" w:hanging="567"/>
      </w:pPr>
      <w:r>
        <w:t>Wendy Chatwin, Clinical Nurse Consultant – Respiratory Unit, LGH</w:t>
      </w:r>
    </w:p>
    <w:p w:rsidR="007E5ED6" w:rsidRDefault="007E5ED6" w:rsidP="00103528">
      <w:pPr>
        <w:pStyle w:val="BodyText"/>
        <w:numPr>
          <w:ilvl w:val="0"/>
          <w:numId w:val="29"/>
        </w:numPr>
        <w:ind w:left="567" w:hanging="567"/>
      </w:pPr>
      <w:r>
        <w:t>Dr Collin Chia, Staff Specialist – Respiratory, LGH</w:t>
      </w:r>
    </w:p>
    <w:p w:rsidR="007E5ED6" w:rsidRDefault="007E5ED6" w:rsidP="00103528">
      <w:pPr>
        <w:pStyle w:val="BodyText"/>
        <w:numPr>
          <w:ilvl w:val="0"/>
          <w:numId w:val="29"/>
        </w:numPr>
        <w:ind w:left="567" w:hanging="567"/>
      </w:pPr>
      <w:r>
        <w:t>Dr Greg Haug, Staff Specialist – Medicine, LGH</w:t>
      </w:r>
    </w:p>
    <w:p w:rsidR="007E5ED6" w:rsidRDefault="007E5ED6" w:rsidP="00103528">
      <w:pPr>
        <w:pStyle w:val="BodyText"/>
        <w:numPr>
          <w:ilvl w:val="0"/>
          <w:numId w:val="29"/>
        </w:numPr>
        <w:ind w:left="567" w:hanging="567"/>
      </w:pPr>
      <w:r>
        <w:t>Dr Jim Markos, Visiting Medical Practitioner, LGH</w:t>
      </w:r>
    </w:p>
    <w:p w:rsidR="007E5ED6" w:rsidRDefault="007E5ED6" w:rsidP="00103528">
      <w:pPr>
        <w:pStyle w:val="BodyText"/>
        <w:numPr>
          <w:ilvl w:val="0"/>
          <w:numId w:val="29"/>
        </w:numPr>
        <w:ind w:left="567" w:hanging="567"/>
      </w:pPr>
      <w:r>
        <w:t>Dr Josie Larby, Staff Specialist – Respiratory, LGH</w:t>
      </w:r>
    </w:p>
    <w:p w:rsidR="007E5ED6" w:rsidRDefault="007E5ED6" w:rsidP="00103528">
      <w:pPr>
        <w:pStyle w:val="BodyText"/>
        <w:numPr>
          <w:ilvl w:val="0"/>
          <w:numId w:val="29"/>
        </w:numPr>
        <w:ind w:left="567" w:hanging="567"/>
      </w:pPr>
      <w:r>
        <w:t>Melissa Grey, Clinical Nurse Consultant – Respiratory Unit, LGH</w:t>
      </w:r>
    </w:p>
    <w:p w:rsidR="007E5ED6" w:rsidRDefault="007E5ED6" w:rsidP="00103528">
      <w:pPr>
        <w:pStyle w:val="BodyText"/>
        <w:numPr>
          <w:ilvl w:val="0"/>
          <w:numId w:val="29"/>
        </w:numPr>
        <w:ind w:left="567" w:hanging="567"/>
      </w:pPr>
      <w:r>
        <w:t>Dr Robert Hewer, Staff Specialist – Respiratory, RHH</w:t>
      </w:r>
    </w:p>
    <w:p w:rsidR="007E5ED6" w:rsidRDefault="007E5ED6" w:rsidP="00103528">
      <w:pPr>
        <w:pStyle w:val="BodyText"/>
        <w:numPr>
          <w:ilvl w:val="0"/>
          <w:numId w:val="29"/>
        </w:numPr>
        <w:ind w:left="567" w:hanging="567"/>
      </w:pPr>
      <w:r>
        <w:t>James MacLachlan, Coordinator – Tasmanian Adult Cystic Fibrosis Unit, RHH</w:t>
      </w:r>
    </w:p>
    <w:p w:rsidR="007E5ED6" w:rsidRDefault="007E5ED6" w:rsidP="00103528">
      <w:pPr>
        <w:pStyle w:val="BodyText"/>
        <w:numPr>
          <w:ilvl w:val="1"/>
          <w:numId w:val="29"/>
        </w:numPr>
        <w:ind w:left="567" w:hanging="567"/>
      </w:pPr>
      <w:r>
        <w:t>Helen Cameron-Tucker, Senior Physiotherapist Cardiorespiratory Rehabilitation, RHH</w:t>
      </w:r>
    </w:p>
    <w:p w:rsidR="007E5ED6" w:rsidRDefault="007E5ED6" w:rsidP="00103528">
      <w:pPr>
        <w:pStyle w:val="BodyText"/>
        <w:numPr>
          <w:ilvl w:val="0"/>
          <w:numId w:val="29"/>
        </w:numPr>
        <w:ind w:left="567" w:hanging="567"/>
      </w:pPr>
      <w:r>
        <w:t>Dr David Stock, Staff Specialist – Respiratory, RHH</w:t>
      </w:r>
    </w:p>
    <w:p w:rsidR="007E5ED6" w:rsidRDefault="007E5ED6" w:rsidP="00103528">
      <w:pPr>
        <w:pStyle w:val="BodyText"/>
        <w:numPr>
          <w:ilvl w:val="0"/>
          <w:numId w:val="29"/>
        </w:numPr>
        <w:ind w:left="567" w:hanging="567"/>
      </w:pPr>
      <w:r>
        <w:t>Margot Thompson, Clinical Nurse Specialist – Tuberculosis, RHH</w:t>
      </w:r>
    </w:p>
    <w:p w:rsidR="007E5ED6" w:rsidRDefault="007E5ED6" w:rsidP="00103528">
      <w:pPr>
        <w:pStyle w:val="BodyText"/>
        <w:numPr>
          <w:ilvl w:val="0"/>
          <w:numId w:val="29"/>
        </w:numPr>
        <w:ind w:left="567" w:hanging="567"/>
      </w:pPr>
      <w:r>
        <w:t>Catherine Spiller, Manager, Tasmanian Health Pathways, Primary</w:t>
      </w:r>
    </w:p>
    <w:p w:rsidR="007E5ED6" w:rsidRDefault="007E5ED6" w:rsidP="007E5ED6">
      <w:pPr>
        <w:pStyle w:val="BodyText"/>
      </w:pPr>
      <w:r>
        <w:t>Co-opted member as required:</w:t>
      </w:r>
    </w:p>
    <w:p w:rsidR="007E5ED6" w:rsidRDefault="007E5ED6" w:rsidP="00103528">
      <w:pPr>
        <w:pStyle w:val="BodyText"/>
        <w:numPr>
          <w:ilvl w:val="0"/>
          <w:numId w:val="29"/>
        </w:numPr>
        <w:ind w:left="567" w:hanging="567"/>
      </w:pPr>
      <w:r>
        <w:t>Dr Ash Hardikar, Director – Cardiothoracic Surgery</w:t>
      </w:r>
    </w:p>
    <w:p w:rsidR="007E5ED6" w:rsidRDefault="007E5ED6" w:rsidP="00103528">
      <w:pPr>
        <w:pStyle w:val="BodyText"/>
        <w:numPr>
          <w:ilvl w:val="0"/>
          <w:numId w:val="29"/>
        </w:numPr>
        <w:ind w:left="567" w:hanging="567"/>
      </w:pPr>
      <w:r>
        <w:t>Professor Haydn Walters, Breathe Well Centre for Research Excellence, School of Medicine, University of Tasmania</w:t>
      </w:r>
    </w:p>
    <w:p w:rsidR="007E5ED6" w:rsidRDefault="007E5ED6" w:rsidP="00103528">
      <w:pPr>
        <w:pStyle w:val="BodyText"/>
        <w:numPr>
          <w:ilvl w:val="0"/>
          <w:numId w:val="29"/>
        </w:numPr>
        <w:ind w:left="567" w:hanging="567"/>
      </w:pPr>
      <w:r>
        <w:t>Renee Grundy, Clinical Nurse Consultant – Lung and Colon Cancer Care, RHH</w:t>
      </w:r>
    </w:p>
    <w:p w:rsidR="007E5ED6" w:rsidRDefault="007E5ED6">
      <w:pPr>
        <w:rPr>
          <w:rFonts w:ascii="Gill Sans MT" w:eastAsia="GillSans-Light" w:hAnsi="Gill Sans MT" w:cs="GillSans-Light"/>
          <w:lang w:val="en-US"/>
        </w:rPr>
      </w:pPr>
      <w:r>
        <w:br w:type="page"/>
      </w:r>
    </w:p>
    <w:p w:rsidR="007E5ED6" w:rsidRDefault="007E5ED6" w:rsidP="00642AAB">
      <w:pPr>
        <w:pStyle w:val="Heading4"/>
      </w:pPr>
      <w:r>
        <w:lastRenderedPageBreak/>
        <w:t>Sub-Acute Care</w:t>
      </w:r>
    </w:p>
    <w:p w:rsidR="007E5ED6" w:rsidRPr="00163C12" w:rsidRDefault="007E5ED6" w:rsidP="00642AAB">
      <w:pPr>
        <w:pStyle w:val="BodyText"/>
      </w:pPr>
      <w:r w:rsidRPr="00163C12">
        <w:t>Convenor: Professor Michael Ashby</w:t>
      </w:r>
    </w:p>
    <w:p w:rsidR="007E5ED6" w:rsidRPr="00163C12" w:rsidRDefault="007E5ED6" w:rsidP="00642AAB">
      <w:pPr>
        <w:pStyle w:val="BodyText"/>
      </w:pPr>
      <w:r w:rsidRPr="00163C12">
        <w:t>Michael Ashby is Professor and Director of</w:t>
      </w:r>
      <w:r w:rsidR="00642AAB" w:rsidRPr="00163C12">
        <w:t xml:space="preserve"> </w:t>
      </w:r>
      <w:r w:rsidRPr="00163C12">
        <w:t>Palliative Care, and Clinical Director, Complex,</w:t>
      </w:r>
      <w:r w:rsidR="00642AAB" w:rsidRPr="00163C12">
        <w:t xml:space="preserve"> </w:t>
      </w:r>
      <w:r w:rsidRPr="00163C12">
        <w:t>Chronic and Community Group, in the Tasmania</w:t>
      </w:r>
      <w:r w:rsidR="00642AAB" w:rsidRPr="00163C12">
        <w:t xml:space="preserve"> </w:t>
      </w:r>
      <w:r w:rsidRPr="00163C12">
        <w:t>Health Service based at the Royal Hobart</w:t>
      </w:r>
      <w:r w:rsidR="00642AAB" w:rsidRPr="00163C12">
        <w:t xml:space="preserve"> </w:t>
      </w:r>
      <w:r w:rsidRPr="00163C12">
        <w:t>Hospital. After graduation in London, and training</w:t>
      </w:r>
      <w:r w:rsidR="00642AAB" w:rsidRPr="00163C12">
        <w:t xml:space="preserve"> </w:t>
      </w:r>
      <w:r w:rsidRPr="00163C12">
        <w:t>in clinical oncology in the UK and France, he held</w:t>
      </w:r>
      <w:r w:rsidR="00642AAB" w:rsidRPr="00163C12">
        <w:t xml:space="preserve"> </w:t>
      </w:r>
      <w:r w:rsidRPr="00163C12">
        <w:t>clinical, academic, management and leadership</w:t>
      </w:r>
      <w:r w:rsidR="00642AAB" w:rsidRPr="00163C12">
        <w:t xml:space="preserve"> </w:t>
      </w:r>
      <w:r w:rsidRPr="00163C12">
        <w:t>positions in Adelaide and Melbourne prior to</w:t>
      </w:r>
      <w:r w:rsidR="00642AAB" w:rsidRPr="00163C12">
        <w:t xml:space="preserve"> </w:t>
      </w:r>
      <w:r w:rsidRPr="00163C12">
        <w:t>moving to Hobart in 2007.</w:t>
      </w:r>
    </w:p>
    <w:p w:rsidR="007E5ED6" w:rsidRPr="00163C12" w:rsidRDefault="007E5ED6" w:rsidP="00642AAB">
      <w:pPr>
        <w:pStyle w:val="BodyText"/>
      </w:pPr>
      <w:r w:rsidRPr="00163C12">
        <w:t>He is a member of the International Working</w:t>
      </w:r>
      <w:r w:rsidR="00642AAB" w:rsidRPr="00163C12">
        <w:t xml:space="preserve"> </w:t>
      </w:r>
      <w:r w:rsidRPr="00163C12">
        <w:t>Group on Death Dying and Bereavement, and</w:t>
      </w:r>
      <w:r w:rsidR="00642AAB" w:rsidRPr="00163C12">
        <w:t xml:space="preserve"> </w:t>
      </w:r>
      <w:r w:rsidRPr="00163C12">
        <w:t>former Vice-President and currently a director</w:t>
      </w:r>
      <w:r w:rsidR="00642AAB" w:rsidRPr="00163C12">
        <w:t xml:space="preserve"> </w:t>
      </w:r>
      <w:r w:rsidRPr="00163C12">
        <w:t>and board member of the Australian Centre for</w:t>
      </w:r>
      <w:r w:rsidR="00642AAB" w:rsidRPr="00163C12">
        <w:t xml:space="preserve"> </w:t>
      </w:r>
      <w:r w:rsidRPr="00163C12">
        <w:t>Grief and Bereavement. He sat on the Governing</w:t>
      </w:r>
      <w:r w:rsidR="00642AAB" w:rsidRPr="00163C12">
        <w:t xml:space="preserve"> </w:t>
      </w:r>
      <w:r w:rsidRPr="00163C12">
        <w:t>Council of THO South in 2014-5, and is an</w:t>
      </w:r>
      <w:r w:rsidR="00642AAB" w:rsidRPr="00163C12">
        <w:t xml:space="preserve"> </w:t>
      </w:r>
      <w:r w:rsidRPr="00163C12">
        <w:t>associate member of Group Relations Australia.</w:t>
      </w:r>
      <w:r w:rsidR="00642AAB" w:rsidRPr="00163C12">
        <w:t xml:space="preserve"> </w:t>
      </w:r>
      <w:r w:rsidRPr="00163C12">
        <w:t>He has research interests in law, ethics and</w:t>
      </w:r>
      <w:r w:rsidR="00163C12" w:rsidRPr="00163C12">
        <w:t xml:space="preserve"> </w:t>
      </w:r>
      <w:r w:rsidRPr="00163C12">
        <w:t>the humanities as they apply to palliative care</w:t>
      </w:r>
      <w:r w:rsidR="00163C12" w:rsidRPr="00163C12">
        <w:t xml:space="preserve"> </w:t>
      </w:r>
      <w:r w:rsidRPr="00163C12">
        <w:t>and decision-making at the end of life, and is</w:t>
      </w:r>
      <w:r w:rsidR="00163C12" w:rsidRPr="00163C12">
        <w:t xml:space="preserve"> </w:t>
      </w:r>
      <w:r w:rsidRPr="00163C12">
        <w:t>currently working on the interface between</w:t>
      </w:r>
      <w:r w:rsidR="00163C12" w:rsidRPr="00163C12">
        <w:t xml:space="preserve"> </w:t>
      </w:r>
      <w:r w:rsidRPr="00163C12">
        <w:t>psychodynamics and death and dying, grief and</w:t>
      </w:r>
      <w:r w:rsidR="00163C12" w:rsidRPr="00163C12">
        <w:t xml:space="preserve"> </w:t>
      </w:r>
      <w:r w:rsidRPr="00163C12">
        <w:t>loss.</w:t>
      </w:r>
    </w:p>
    <w:p w:rsidR="007E5ED6" w:rsidRDefault="007E5ED6" w:rsidP="00642AAB">
      <w:pPr>
        <w:pStyle w:val="BodyText"/>
      </w:pPr>
      <w:r w:rsidRPr="00163C12">
        <w:t>He is Consultant Editor to the Journal of</w:t>
      </w:r>
      <w:r w:rsidR="00163C12" w:rsidRPr="00163C12">
        <w:t xml:space="preserve"> </w:t>
      </w:r>
      <w:r w:rsidRPr="00163C12">
        <w:t>Bioethical Enquiry, an editor of the Journal of</w:t>
      </w:r>
      <w:r w:rsidR="00163C12" w:rsidRPr="00163C12">
        <w:t xml:space="preserve"> </w:t>
      </w:r>
      <w:r w:rsidRPr="00163C12">
        <w:t>Palliative Care, and Mortality, and a reviewer for a</w:t>
      </w:r>
      <w:r w:rsidR="00163C12" w:rsidRPr="00163C12">
        <w:t xml:space="preserve"> </w:t>
      </w:r>
      <w:r w:rsidRPr="00163C12">
        <w:t>number of international journals.</w:t>
      </w:r>
    </w:p>
    <w:p w:rsidR="00163C12" w:rsidRPr="00163C12" w:rsidRDefault="00163C12" w:rsidP="00163C12">
      <w:pPr>
        <w:autoSpaceDE w:val="0"/>
        <w:autoSpaceDN w:val="0"/>
        <w:adjustRightInd w:val="0"/>
        <w:spacing w:after="0" w:line="240" w:lineRule="auto"/>
        <w:rPr>
          <w:rFonts w:ascii="Gill Sans MT" w:hAnsi="Gill Sans MT" w:cs="GillSans-Light"/>
        </w:rPr>
      </w:pPr>
      <w:r w:rsidRPr="00163C12">
        <w:rPr>
          <w:rFonts w:ascii="Gill Sans MT" w:hAnsi="Gill Sans MT" w:cs="GillSans-Light"/>
        </w:rPr>
        <w:t>Membership:</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Professor Michael Ashby, Director of Palliative</w:t>
      </w:r>
      <w:r>
        <w:rPr>
          <w:rFonts w:ascii="Gill Sans MT" w:hAnsi="Gill Sans MT" w:cs="GillSans-Light"/>
        </w:rPr>
        <w:t xml:space="preserve"> </w:t>
      </w:r>
      <w:r w:rsidRPr="00163C12">
        <w:rPr>
          <w:rFonts w:ascii="Gill Sans MT" w:hAnsi="Gill Sans MT" w:cs="GillSans-Light"/>
        </w:rPr>
        <w:t>Care, RHH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Bruce Edwards, Group Manager – Complex,</w:t>
      </w:r>
      <w:r>
        <w:rPr>
          <w:rFonts w:ascii="Gill Sans MT" w:hAnsi="Gill Sans MT" w:cs="GillSans-Light"/>
        </w:rPr>
        <w:t xml:space="preserve"> </w:t>
      </w:r>
      <w:r w:rsidRPr="00163C12">
        <w:rPr>
          <w:rFonts w:ascii="Gill Sans MT" w:hAnsi="Gill Sans MT" w:cs="GillSans-Light"/>
        </w:rPr>
        <w:t>Chronic and Community Services, South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Dr Alasdair MacDonald, Director of Medicine,</w:t>
      </w:r>
      <w:r>
        <w:rPr>
          <w:rFonts w:ascii="Gill Sans MT" w:hAnsi="Gill Sans MT" w:cs="GillSans-Light"/>
        </w:rPr>
        <w:t xml:space="preserve"> </w:t>
      </w:r>
      <w:r w:rsidRPr="00163C12">
        <w:rPr>
          <w:rFonts w:ascii="Gill Sans MT" w:hAnsi="Gill Sans MT" w:cs="GillSans-Light"/>
        </w:rPr>
        <w:t>LGH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rPr>
      </w:pPr>
      <w:r w:rsidRPr="00163C12">
        <w:rPr>
          <w:rFonts w:ascii="Gill Sans MT" w:hAnsi="Gill Sans MT" w:cs="GillSans-Light"/>
        </w:rPr>
        <w:t>Lee Wallace, Nursing Director – Rehabilitation /</w:t>
      </w:r>
      <w:r>
        <w:rPr>
          <w:rFonts w:ascii="Gill Sans MT" w:hAnsi="Gill Sans MT" w:cs="GillSans-Light"/>
        </w:rPr>
        <w:t xml:space="preserve"> </w:t>
      </w:r>
      <w:r w:rsidRPr="00163C12">
        <w:rPr>
          <w:rFonts w:ascii="Gill Sans MT" w:hAnsi="Gill Sans MT" w:cs="GillSans-Light"/>
        </w:rPr>
        <w:t>Sub Acute Care Services, LGH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Susan Crave, Northern Area Manager – Mental</w:t>
      </w:r>
      <w:r>
        <w:rPr>
          <w:rFonts w:ascii="Gill Sans MT" w:hAnsi="Gill Sans MT" w:cs="GillSans-Light"/>
        </w:rPr>
        <w:t xml:space="preserve"> </w:t>
      </w:r>
      <w:r w:rsidRPr="00163C12">
        <w:rPr>
          <w:rFonts w:ascii="Gill Sans MT" w:hAnsi="Gill Sans MT" w:cs="GillSans-Light"/>
        </w:rPr>
        <w:t>Health Services, North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Keith McArthur, GP Liaison Officer, North</w:t>
      </w:r>
      <w:r>
        <w:rPr>
          <w:rFonts w:ascii="Gill Sans MT" w:hAnsi="Gill Sans MT" w:cs="GillSans-Light"/>
        </w:rPr>
        <w:t xml:space="preserve"> </w:t>
      </w:r>
      <w:r w:rsidRPr="00163C12">
        <w:rPr>
          <w:rFonts w:ascii="Gill Sans MT" w:hAnsi="Gill Sans MT" w:cs="GillSans-Light"/>
        </w:rPr>
        <w:t>West</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Angella Downie, Group Manager / Director of Nursing Complex, Chronic and Community</w:t>
      </w:r>
      <w:r>
        <w:rPr>
          <w:rFonts w:ascii="Gill Sans MT" w:hAnsi="Gill Sans MT" w:cs="GillSans-Light"/>
        </w:rPr>
        <w:t xml:space="preserve"> </w:t>
      </w:r>
      <w:r w:rsidRPr="00163C12">
        <w:rPr>
          <w:rFonts w:ascii="Gill Sans MT" w:hAnsi="Gill Sans MT" w:cs="GillSans-Light"/>
        </w:rPr>
        <w:t>Services, North West</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Paula Hyland, Director Allied Health Services,</w:t>
      </w:r>
      <w:r>
        <w:rPr>
          <w:rFonts w:ascii="Gill Sans MT" w:hAnsi="Gill Sans MT" w:cs="GillSans-Light"/>
        </w:rPr>
        <w:t xml:space="preserve"> </w:t>
      </w:r>
      <w:r w:rsidRPr="00163C12">
        <w:rPr>
          <w:rFonts w:ascii="Gill Sans MT" w:hAnsi="Gill Sans MT" w:cs="GillSans-Light"/>
        </w:rPr>
        <w:t>North West</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Dr Mark Slayter, Staff Specialist – Aged and</w:t>
      </w:r>
      <w:r>
        <w:rPr>
          <w:rFonts w:ascii="Gill Sans MT" w:hAnsi="Gill Sans MT" w:cs="GillSans-Light"/>
        </w:rPr>
        <w:t xml:space="preserve"> </w:t>
      </w:r>
      <w:r w:rsidRPr="00163C12">
        <w:rPr>
          <w:rFonts w:ascii="Gill Sans MT" w:hAnsi="Gill Sans MT" w:cs="GillSans-Light"/>
        </w:rPr>
        <w:t>Rehabilitation Services, RHH</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Dr Frank Niklason, Staff Specialist – Geriatric</w:t>
      </w:r>
      <w:r>
        <w:rPr>
          <w:rFonts w:ascii="Gill Sans MT" w:hAnsi="Gill Sans MT" w:cs="GillSans-Light"/>
        </w:rPr>
        <w:t xml:space="preserve"> </w:t>
      </w:r>
      <w:r w:rsidRPr="00163C12">
        <w:rPr>
          <w:rFonts w:ascii="Gill Sans MT" w:hAnsi="Gill Sans MT" w:cs="GillSans-Light"/>
        </w:rPr>
        <w:t>Medicine</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Angela Kosmeyer, Group Manager – J.W</w:t>
      </w:r>
      <w:r>
        <w:rPr>
          <w:rFonts w:ascii="Gill Sans MT" w:hAnsi="Gill Sans MT" w:cs="GillSans-Light"/>
        </w:rPr>
        <w:t xml:space="preserve"> </w:t>
      </w:r>
      <w:r w:rsidRPr="00163C12">
        <w:rPr>
          <w:rFonts w:ascii="Gill Sans MT" w:hAnsi="Gill Sans MT" w:cs="GillSans-Light"/>
        </w:rPr>
        <w:t>Whittle PCU Cancer Services</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Ann Allanby, Assistant Director of Nursing Cancer Services, J.W Whittle PCU Cancer</w:t>
      </w:r>
      <w:r>
        <w:rPr>
          <w:rFonts w:ascii="Gill Sans MT" w:hAnsi="Gill Sans MT" w:cs="GillSans-Light"/>
        </w:rPr>
        <w:t xml:space="preserve"> </w:t>
      </w:r>
      <w:r w:rsidRPr="00163C12">
        <w:rPr>
          <w:rFonts w:ascii="Gill Sans MT" w:hAnsi="Gill Sans MT" w:cs="GillSans-Light"/>
        </w:rPr>
        <w:t>Services</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Sharlene Meldrum, Manager – Social Work, Social Work Services North West, Primary</w:t>
      </w:r>
      <w:r>
        <w:rPr>
          <w:rFonts w:ascii="Gill Sans MT" w:hAnsi="Gill Sans MT" w:cs="GillSans-Light"/>
        </w:rPr>
        <w:t xml:space="preserve"> </w:t>
      </w:r>
      <w:r w:rsidRPr="00163C12">
        <w:rPr>
          <w:rFonts w:ascii="Gill Sans MT" w:hAnsi="Gill Sans MT" w:cs="GillSans-Light"/>
        </w:rPr>
        <w:t>Health North West</w:t>
      </w:r>
    </w:p>
    <w:p w:rsidR="00163C12" w:rsidRPr="00163C12" w:rsidRDefault="00163C12" w:rsidP="00103528">
      <w:pPr>
        <w:pStyle w:val="ListParagraph"/>
        <w:numPr>
          <w:ilvl w:val="0"/>
          <w:numId w:val="30"/>
        </w:numPr>
        <w:autoSpaceDE w:val="0"/>
        <w:autoSpaceDN w:val="0"/>
        <w:adjustRightInd w:val="0"/>
        <w:spacing w:after="0" w:line="240" w:lineRule="auto"/>
        <w:ind w:left="567" w:hanging="567"/>
        <w:rPr>
          <w:rFonts w:ascii="Gill Sans MT" w:hAnsi="Gill Sans MT" w:cs="GillSans-Light"/>
        </w:rPr>
      </w:pPr>
      <w:r w:rsidRPr="00163C12">
        <w:rPr>
          <w:rFonts w:ascii="Gill Sans MT" w:hAnsi="Gill Sans MT" w:cs="GillSans-Light"/>
        </w:rPr>
        <w:t>Catherin Spiller, Project Leader – Tasmanian</w:t>
      </w:r>
      <w:r>
        <w:rPr>
          <w:rFonts w:ascii="Gill Sans MT" w:hAnsi="Gill Sans MT" w:cs="GillSans-Light"/>
        </w:rPr>
        <w:t xml:space="preserve"> </w:t>
      </w:r>
      <w:r w:rsidRPr="00163C12">
        <w:rPr>
          <w:rFonts w:ascii="Gill Sans MT" w:hAnsi="Gill Sans MT" w:cs="GillSans-Light"/>
        </w:rPr>
        <w:t>Health Pathways, Primary Health Tasmania</w:t>
      </w:r>
    </w:p>
    <w:p w:rsidR="00163C12" w:rsidRDefault="00163C12" w:rsidP="00103528">
      <w:pPr>
        <w:pStyle w:val="BodyText"/>
        <w:numPr>
          <w:ilvl w:val="0"/>
          <w:numId w:val="30"/>
        </w:numPr>
        <w:ind w:left="567" w:hanging="567"/>
      </w:pPr>
      <w:r w:rsidRPr="00163C12">
        <w:t>Shawn Lee, Manager NICS, LGH</w:t>
      </w:r>
    </w:p>
    <w:p w:rsidR="00255E30" w:rsidRPr="00FC61E2" w:rsidRDefault="00255E30" w:rsidP="00FC61E2">
      <w:pPr>
        <w:pStyle w:val="Heading4"/>
      </w:pPr>
      <w:r w:rsidRPr="00FC61E2">
        <w:t>Surgical and Perioperative Services</w:t>
      </w:r>
    </w:p>
    <w:p w:rsidR="00255E30" w:rsidRPr="00FC61E2" w:rsidRDefault="00255E30" w:rsidP="00FC61E2">
      <w:pPr>
        <w:pStyle w:val="BodyText"/>
      </w:pPr>
      <w:r w:rsidRPr="00FC61E2">
        <w:t>Convenor: Clinical Associate Professor</w:t>
      </w:r>
    </w:p>
    <w:p w:rsidR="00255E30" w:rsidRPr="00FC61E2" w:rsidRDefault="00255E30" w:rsidP="00FC61E2">
      <w:pPr>
        <w:pStyle w:val="BodyText"/>
      </w:pPr>
      <w:r w:rsidRPr="00FC61E2">
        <w:t>Marcus Skinner was the Inaugural Convenor</w:t>
      </w:r>
      <w:r w:rsidR="00FC61E2" w:rsidRPr="00FC61E2">
        <w:t xml:space="preserve"> </w:t>
      </w:r>
      <w:r w:rsidRPr="00FC61E2">
        <w:t>of the Surgical and Perioperative Services</w:t>
      </w:r>
      <w:r w:rsidR="00FC61E2" w:rsidRPr="00FC61E2">
        <w:t xml:space="preserve"> </w:t>
      </w:r>
      <w:r w:rsidRPr="00FC61E2">
        <w:t>Clinical Advisory Group</w:t>
      </w:r>
      <w:r w:rsidR="00FC61E2" w:rsidRPr="00FC61E2">
        <w:t xml:space="preserve"> </w:t>
      </w:r>
      <w:r w:rsidRPr="00FC61E2">
        <w:t>Clinical Associate Professor Marcus Skinner, Staff</w:t>
      </w:r>
      <w:r w:rsidR="00FC61E2" w:rsidRPr="00FC61E2">
        <w:t xml:space="preserve"> </w:t>
      </w:r>
      <w:r w:rsidRPr="00FC61E2">
        <w:t>Specialist Anaesthetist, has been the Clinical</w:t>
      </w:r>
      <w:r w:rsidR="00FC61E2" w:rsidRPr="00FC61E2">
        <w:t xml:space="preserve"> </w:t>
      </w:r>
      <w:r w:rsidRPr="00FC61E2">
        <w:t xml:space="preserve">Director </w:t>
      </w:r>
      <w:proofErr w:type="gramStart"/>
      <w:r w:rsidRPr="00FC61E2">
        <w:t xml:space="preserve">of </w:t>
      </w:r>
      <w:r w:rsidR="00FC61E2" w:rsidRPr="00FC61E2">
        <w:t xml:space="preserve"> </w:t>
      </w:r>
      <w:r w:rsidRPr="00FC61E2">
        <w:t>Anaesthesia</w:t>
      </w:r>
      <w:proofErr w:type="gramEnd"/>
      <w:r w:rsidRPr="00FC61E2">
        <w:t xml:space="preserve"> and Perioperative</w:t>
      </w:r>
      <w:r w:rsidR="00FC61E2" w:rsidRPr="00FC61E2">
        <w:t xml:space="preserve"> </w:t>
      </w:r>
      <w:r w:rsidRPr="00FC61E2">
        <w:t>Medicine, RHH, since 2010. His extensive</w:t>
      </w:r>
      <w:r w:rsidR="00FC61E2" w:rsidRPr="00FC61E2">
        <w:t xml:space="preserve"> </w:t>
      </w:r>
      <w:r w:rsidRPr="00FC61E2">
        <w:t xml:space="preserve">committee and professional </w:t>
      </w:r>
      <w:proofErr w:type="gramStart"/>
      <w:r w:rsidRPr="00FC61E2">
        <w:t xml:space="preserve">body </w:t>
      </w:r>
      <w:r w:rsidR="00FC61E2" w:rsidRPr="00FC61E2">
        <w:t xml:space="preserve"> m</w:t>
      </w:r>
      <w:r w:rsidRPr="00FC61E2">
        <w:t>embership</w:t>
      </w:r>
      <w:proofErr w:type="gramEnd"/>
      <w:r w:rsidR="00FC61E2" w:rsidRPr="00FC61E2">
        <w:t xml:space="preserve"> </w:t>
      </w:r>
      <w:r w:rsidRPr="00FC61E2">
        <w:t>reflects an enduring commitment to excellence in</w:t>
      </w:r>
      <w:r w:rsidR="00FC61E2" w:rsidRPr="00FC61E2">
        <w:t xml:space="preserve"> </w:t>
      </w:r>
      <w:r w:rsidRPr="00FC61E2">
        <w:t>clinical service provision, research and education.</w:t>
      </w:r>
    </w:p>
    <w:p w:rsidR="00FC61E2" w:rsidRPr="00FC61E2" w:rsidRDefault="00FC61E2" w:rsidP="00FC61E2">
      <w:pPr>
        <w:pStyle w:val="BodyText"/>
      </w:pPr>
      <w:r w:rsidRPr="00FC61E2">
        <w:t xml:space="preserve">He maintains a number of teaching roles, locally and internationally, and is passionate about the development of the state trauma and aeromedical system and development of the improvement in patient retrieval capability with a long term desire to have an operational tertiary hospital helipad. He is a member of the Professional </w:t>
      </w:r>
      <w:proofErr w:type="gramStart"/>
      <w:r w:rsidRPr="00FC61E2">
        <w:t>Affairs  Executive</w:t>
      </w:r>
      <w:proofErr w:type="gramEnd"/>
      <w:r w:rsidRPr="00FC61E2">
        <w:t xml:space="preserve"> of ANZCA and is Chairman of the Tasmanian Anaesthesia Training Program Committee. Clinical Associate Professor Skinner has an active departmental research program with involvement in a number of local research initiatives and in international multicentre trials.</w:t>
      </w:r>
    </w:p>
    <w:p w:rsidR="00FC61E2" w:rsidRPr="00FC61E2" w:rsidRDefault="00FC61E2" w:rsidP="00FC61E2">
      <w:pPr>
        <w:pStyle w:val="BodyText"/>
      </w:pPr>
      <w:r w:rsidRPr="00FC61E2">
        <w:t>Membership:</w:t>
      </w:r>
    </w:p>
    <w:p w:rsidR="00FC61E2" w:rsidRPr="00FC61E2" w:rsidRDefault="00FC61E2" w:rsidP="0080261B">
      <w:pPr>
        <w:pStyle w:val="BodyText"/>
        <w:ind w:left="567" w:hanging="567"/>
      </w:pPr>
      <w:r w:rsidRPr="00FC61E2">
        <w:lastRenderedPageBreak/>
        <w:t xml:space="preserve">• </w:t>
      </w:r>
      <w:r w:rsidR="0080261B">
        <w:tab/>
      </w:r>
      <w:r w:rsidRPr="00FC61E2">
        <w:t>Mr Ash Hardikar, Director – Cardiothoracic Surgery, RHH</w:t>
      </w:r>
    </w:p>
    <w:p w:rsidR="00FC61E2" w:rsidRPr="00FC61E2" w:rsidRDefault="00FC61E2" w:rsidP="0080261B">
      <w:pPr>
        <w:pStyle w:val="BodyText"/>
        <w:ind w:left="567" w:hanging="567"/>
      </w:pPr>
      <w:r w:rsidRPr="00FC61E2">
        <w:t xml:space="preserve">• </w:t>
      </w:r>
      <w:r w:rsidR="0080261B">
        <w:tab/>
      </w:r>
      <w:r w:rsidRPr="00FC61E2">
        <w:t>Dr Chris Middleton, Director – Gastroenterology Department and Endoscopy Unit, RHH</w:t>
      </w:r>
    </w:p>
    <w:p w:rsidR="00FC61E2" w:rsidRPr="00FC61E2" w:rsidRDefault="00FC61E2" w:rsidP="0080261B">
      <w:pPr>
        <w:pStyle w:val="BodyText"/>
        <w:ind w:left="567" w:hanging="567"/>
      </w:pPr>
      <w:r w:rsidRPr="00FC61E2">
        <w:t xml:space="preserve">• </w:t>
      </w:r>
      <w:r w:rsidR="0080261B">
        <w:tab/>
      </w:r>
      <w:r w:rsidRPr="00FC61E2">
        <w:t>Mr Brian Kirkby, Director of Surgery, LGH</w:t>
      </w:r>
    </w:p>
    <w:p w:rsidR="00FC61E2" w:rsidRPr="00FC61E2" w:rsidRDefault="00FC61E2" w:rsidP="0080261B">
      <w:pPr>
        <w:pStyle w:val="BodyText"/>
        <w:ind w:left="567" w:hanging="567"/>
      </w:pPr>
      <w:r w:rsidRPr="00FC61E2">
        <w:t xml:space="preserve">• </w:t>
      </w:r>
      <w:r w:rsidR="0080261B">
        <w:tab/>
      </w:r>
      <w:r w:rsidRPr="00FC61E2">
        <w:t>Dr David Smart, VMO – Hyperbaric Medicine</w:t>
      </w:r>
    </w:p>
    <w:p w:rsidR="00FC61E2" w:rsidRPr="00FC61E2" w:rsidRDefault="00FC61E2" w:rsidP="0080261B">
      <w:pPr>
        <w:pStyle w:val="BodyText"/>
        <w:ind w:left="567" w:hanging="567"/>
      </w:pPr>
      <w:r w:rsidRPr="00FC61E2">
        <w:t xml:space="preserve">• </w:t>
      </w:r>
      <w:r w:rsidR="0080261B">
        <w:tab/>
      </w:r>
      <w:r w:rsidRPr="00FC61E2">
        <w:t>Mr Albert Erasmus, Head of Department – Neurosurgery, RHH</w:t>
      </w:r>
    </w:p>
    <w:p w:rsidR="00FC61E2" w:rsidRPr="00FC61E2" w:rsidRDefault="00FC61E2" w:rsidP="0080261B">
      <w:pPr>
        <w:pStyle w:val="BodyText"/>
        <w:ind w:left="567" w:hanging="567"/>
      </w:pPr>
      <w:r w:rsidRPr="00FC61E2">
        <w:t xml:space="preserve">• </w:t>
      </w:r>
      <w:r w:rsidR="0080261B">
        <w:tab/>
      </w:r>
      <w:r w:rsidRPr="00FC61E2">
        <w:t>Mr Ankit Garg, VMO – Oral and Maxillofacial Surgery, RHH</w:t>
      </w:r>
    </w:p>
    <w:p w:rsidR="00FC61E2" w:rsidRPr="00FC61E2" w:rsidRDefault="00FC61E2" w:rsidP="0080261B">
      <w:pPr>
        <w:pStyle w:val="BodyText"/>
        <w:ind w:left="567" w:hanging="567"/>
      </w:pPr>
      <w:r w:rsidRPr="00FC61E2">
        <w:t xml:space="preserve">• </w:t>
      </w:r>
      <w:r w:rsidR="0080261B">
        <w:tab/>
      </w:r>
      <w:r w:rsidRPr="00FC61E2">
        <w:t>Mr David Edis, VMO – Orthopaedic Surgeon, LGH</w:t>
      </w:r>
    </w:p>
    <w:p w:rsidR="00FC61E2" w:rsidRPr="00FC61E2" w:rsidRDefault="00FC61E2" w:rsidP="0080261B">
      <w:pPr>
        <w:pStyle w:val="BodyText"/>
        <w:ind w:left="567" w:hanging="567"/>
      </w:pPr>
      <w:r w:rsidRPr="00FC61E2">
        <w:t xml:space="preserve">• </w:t>
      </w:r>
      <w:r w:rsidR="0080261B">
        <w:tab/>
      </w:r>
      <w:r w:rsidRPr="00FC61E2">
        <w:t>Mr Nitin Sharma, Staff Specialist – Hand, Wrist and Plastic Surgeon, RHH</w:t>
      </w:r>
    </w:p>
    <w:p w:rsidR="00FC61E2" w:rsidRPr="00FC61E2" w:rsidRDefault="00FC61E2" w:rsidP="0080261B">
      <w:pPr>
        <w:pStyle w:val="BodyText"/>
        <w:ind w:left="567" w:hanging="567"/>
      </w:pPr>
      <w:r w:rsidRPr="00FC61E2">
        <w:t xml:space="preserve">• </w:t>
      </w:r>
      <w:r w:rsidR="0080261B">
        <w:tab/>
      </w:r>
      <w:r w:rsidRPr="00FC61E2">
        <w:t>Dr Sandy Zalstein, Interim State Trauma Director, RHH</w:t>
      </w:r>
    </w:p>
    <w:p w:rsidR="00FC61E2" w:rsidRPr="00FC61E2" w:rsidRDefault="00FC61E2" w:rsidP="0080261B">
      <w:pPr>
        <w:pStyle w:val="BodyText"/>
        <w:ind w:left="567" w:hanging="567"/>
      </w:pPr>
      <w:r w:rsidRPr="00FC61E2">
        <w:t xml:space="preserve">• </w:t>
      </w:r>
      <w:r w:rsidR="0080261B">
        <w:tab/>
      </w:r>
      <w:r w:rsidRPr="00FC61E2">
        <w:t>Mr David Cottier, Head – State-wide Vascular Surgery Unit, RHH</w:t>
      </w:r>
    </w:p>
    <w:p w:rsidR="00FC61E2" w:rsidRPr="00FC61E2" w:rsidRDefault="00FC61E2" w:rsidP="0080261B">
      <w:pPr>
        <w:pStyle w:val="BodyText"/>
        <w:ind w:left="567" w:hanging="567"/>
      </w:pPr>
      <w:r w:rsidRPr="00FC61E2">
        <w:t xml:space="preserve">• </w:t>
      </w:r>
      <w:r w:rsidR="0080261B">
        <w:tab/>
      </w:r>
      <w:r w:rsidRPr="00FC61E2">
        <w:t>Mr Ed Fenton, Head – Paediatric Surgery, RHH</w:t>
      </w:r>
    </w:p>
    <w:p w:rsidR="0080261B" w:rsidRDefault="00FC61E2" w:rsidP="0080261B">
      <w:pPr>
        <w:pStyle w:val="BodyText"/>
        <w:ind w:left="567" w:hanging="567"/>
      </w:pPr>
      <w:r w:rsidRPr="00FC61E2">
        <w:t xml:space="preserve">• </w:t>
      </w:r>
      <w:r w:rsidR="0080261B">
        <w:tab/>
      </w:r>
      <w:r w:rsidRPr="00FC61E2">
        <w:t>Mr Scott Fletcher, Director of Surgery, NWRH</w:t>
      </w:r>
    </w:p>
    <w:p w:rsidR="0080261B" w:rsidRDefault="0080261B" w:rsidP="00103528">
      <w:pPr>
        <w:pStyle w:val="BodyText"/>
        <w:numPr>
          <w:ilvl w:val="0"/>
          <w:numId w:val="31"/>
        </w:numPr>
        <w:ind w:left="567" w:hanging="567"/>
      </w:pPr>
      <w:r>
        <w:t>Mary Condon-Williams, Nurse Unit Manager – Surgical Access, RHH</w:t>
      </w:r>
    </w:p>
    <w:p w:rsidR="0080261B" w:rsidRDefault="0080261B" w:rsidP="00103528">
      <w:pPr>
        <w:pStyle w:val="BodyText"/>
        <w:numPr>
          <w:ilvl w:val="0"/>
          <w:numId w:val="31"/>
        </w:numPr>
        <w:ind w:left="567" w:hanging="567"/>
      </w:pPr>
      <w:r>
        <w:t>Katrina Willis, Co-Director, Perioperative and Surgical Clinical Redesign, North West</w:t>
      </w:r>
    </w:p>
    <w:p w:rsidR="0080261B" w:rsidRDefault="0080261B" w:rsidP="00103528">
      <w:pPr>
        <w:pStyle w:val="BodyText"/>
        <w:numPr>
          <w:ilvl w:val="0"/>
          <w:numId w:val="31"/>
        </w:numPr>
        <w:ind w:left="567" w:hanging="567"/>
      </w:pPr>
      <w:r>
        <w:t>Cassandra Sampson, Nursing Director, Surgery, LGH</w:t>
      </w:r>
    </w:p>
    <w:p w:rsidR="0080261B" w:rsidRDefault="0080261B" w:rsidP="00103528">
      <w:pPr>
        <w:pStyle w:val="BodyText"/>
        <w:numPr>
          <w:ilvl w:val="0"/>
          <w:numId w:val="30"/>
        </w:numPr>
        <w:ind w:left="567" w:hanging="567"/>
      </w:pPr>
      <w:r>
        <w:t xml:space="preserve">Cindy Hollings, Discipline Lead, Occupational Therapy </w:t>
      </w:r>
    </w:p>
    <w:p w:rsidR="0080261B" w:rsidRDefault="0080261B" w:rsidP="00103528">
      <w:pPr>
        <w:pStyle w:val="BodyText"/>
        <w:numPr>
          <w:ilvl w:val="0"/>
          <w:numId w:val="30"/>
        </w:numPr>
        <w:ind w:left="567" w:hanging="567"/>
      </w:pPr>
      <w:r>
        <w:t xml:space="preserve">ENT representative </w:t>
      </w:r>
    </w:p>
    <w:p w:rsidR="0080261B" w:rsidRDefault="0080261B" w:rsidP="00103528">
      <w:pPr>
        <w:pStyle w:val="BodyText"/>
        <w:numPr>
          <w:ilvl w:val="0"/>
          <w:numId w:val="30"/>
        </w:numPr>
        <w:ind w:left="567" w:hanging="567"/>
      </w:pPr>
      <w:r>
        <w:t>Urology representative</w:t>
      </w:r>
    </w:p>
    <w:p w:rsidR="0080261B" w:rsidRPr="0080261B" w:rsidRDefault="0080261B" w:rsidP="0080261B">
      <w:pPr>
        <w:pStyle w:val="Heading4"/>
      </w:pPr>
      <w:r w:rsidRPr="0080261B">
        <w:t>Trauma</w:t>
      </w:r>
    </w:p>
    <w:p w:rsidR="0080261B" w:rsidRPr="0080261B" w:rsidRDefault="0080261B" w:rsidP="0080261B">
      <w:pPr>
        <w:pStyle w:val="BodyText"/>
      </w:pPr>
      <w:r w:rsidRPr="0080261B">
        <w:t>Convenor: Dr Sandy Zalstein</w:t>
      </w:r>
    </w:p>
    <w:p w:rsidR="0080261B" w:rsidRPr="0080261B" w:rsidRDefault="0080261B" w:rsidP="0080261B">
      <w:pPr>
        <w:pStyle w:val="BodyText"/>
      </w:pPr>
      <w:r w:rsidRPr="0080261B">
        <w:t xml:space="preserve">Dr Sandy Zalstein is a dual qualified specialist anaesthetist, who moved to Tasmania after working as a specialist intensivist and retrievalist in metropolitan and regional Victoria. Dr Zalstein has had a diverse career </w:t>
      </w:r>
      <w:proofErr w:type="gramStart"/>
      <w:r w:rsidRPr="0080261B">
        <w:t>with  experience</w:t>
      </w:r>
      <w:proofErr w:type="gramEnd"/>
      <w:r w:rsidRPr="0080261B">
        <w:t xml:space="preserve"> in civilian and military trauma, including major trauma centres and operational deployments to East Timor and Afghanistan. Now based at the RHH, Dr Zalstein’s interests are in simulation, training and debriefing in resuscitation and non-technical skills, as well as in emergency management. In addition, he has just completed his Associate Fellowship of the Royal Australian College of Medical Administrators. Dr Zalstein has been the Trauma CAG Convenor since the group’s inception, has a role as the CAG Convenor’s Conference Deputy Chair, and is also a member of the Surgical and Perioperative Services CAG.</w:t>
      </w:r>
    </w:p>
    <w:p w:rsidR="0080261B" w:rsidRPr="0080261B" w:rsidRDefault="0080261B" w:rsidP="0080261B">
      <w:pPr>
        <w:pStyle w:val="BodyText"/>
      </w:pPr>
      <w:r w:rsidRPr="0080261B">
        <w:t>Membership:</w:t>
      </w:r>
    </w:p>
    <w:p w:rsidR="0080261B" w:rsidRPr="0080261B" w:rsidRDefault="0080261B" w:rsidP="00103528">
      <w:pPr>
        <w:pStyle w:val="BodyText"/>
        <w:numPr>
          <w:ilvl w:val="0"/>
          <w:numId w:val="30"/>
        </w:numPr>
        <w:ind w:left="567" w:hanging="567"/>
      </w:pPr>
      <w:r w:rsidRPr="0080261B">
        <w:t>Dr Andrew Castley, Visiting Medical Specialist, Plastic Surgery, Head of State Burns Service, RHH</w:t>
      </w:r>
    </w:p>
    <w:p w:rsidR="0080261B" w:rsidRPr="0080261B" w:rsidRDefault="0080261B" w:rsidP="00103528">
      <w:pPr>
        <w:pStyle w:val="BodyText"/>
        <w:numPr>
          <w:ilvl w:val="0"/>
          <w:numId w:val="30"/>
        </w:numPr>
        <w:ind w:left="567" w:hanging="567"/>
      </w:pPr>
      <w:r w:rsidRPr="0080261B">
        <w:t>Mr Brian Kirkby, Director of Surgery, LGH</w:t>
      </w:r>
    </w:p>
    <w:p w:rsidR="0080261B" w:rsidRDefault="0080261B" w:rsidP="00103528">
      <w:pPr>
        <w:pStyle w:val="BodyText"/>
        <w:numPr>
          <w:ilvl w:val="0"/>
          <w:numId w:val="32"/>
        </w:numPr>
        <w:ind w:left="567" w:hanging="567"/>
      </w:pPr>
      <w:r w:rsidRPr="0080261B">
        <w:t>Mr Paul Harvie, Staff Specialist, Orthopaedic Surgeon</w:t>
      </w:r>
    </w:p>
    <w:p w:rsidR="0080261B" w:rsidRDefault="0080261B" w:rsidP="00103528">
      <w:pPr>
        <w:pStyle w:val="BodyText"/>
        <w:numPr>
          <w:ilvl w:val="0"/>
          <w:numId w:val="33"/>
        </w:numPr>
        <w:ind w:left="567" w:hanging="567"/>
      </w:pPr>
      <w:r>
        <w:t>Dr Hamish Jackson, Staff Specialist, Paediatric</w:t>
      </w:r>
      <w:r w:rsidR="002A6DD3">
        <w:t xml:space="preserve"> </w:t>
      </w:r>
      <w:r>
        <w:t>Intensivist and Neonatologist</w:t>
      </w:r>
    </w:p>
    <w:p w:rsidR="0080261B" w:rsidRDefault="0080261B" w:rsidP="00103528">
      <w:pPr>
        <w:pStyle w:val="BodyText"/>
        <w:numPr>
          <w:ilvl w:val="0"/>
          <w:numId w:val="33"/>
        </w:numPr>
        <w:ind w:left="567" w:hanging="567"/>
      </w:pPr>
      <w:r>
        <w:t>Dr Brian Doyle, Staff Specialist, Emergency</w:t>
      </w:r>
      <w:r w:rsidR="002A6DD3">
        <w:t xml:space="preserve"> </w:t>
      </w:r>
      <w:r>
        <w:t>Medicine Physician</w:t>
      </w:r>
    </w:p>
    <w:p w:rsidR="0080261B" w:rsidRDefault="0080261B" w:rsidP="00103528">
      <w:pPr>
        <w:pStyle w:val="BodyText"/>
        <w:numPr>
          <w:ilvl w:val="0"/>
          <w:numId w:val="33"/>
        </w:numPr>
        <w:ind w:left="567" w:hanging="567"/>
      </w:pPr>
      <w:r>
        <w:t>Clinical Associate Professor Marcus Skinner,</w:t>
      </w:r>
      <w:r w:rsidR="002A6DD3">
        <w:t xml:space="preserve"> </w:t>
      </w:r>
      <w:r>
        <w:t>Staff Specialist, Anaesthetist</w:t>
      </w:r>
    </w:p>
    <w:p w:rsidR="0080261B" w:rsidRDefault="0080261B" w:rsidP="00103528">
      <w:pPr>
        <w:pStyle w:val="BodyText"/>
        <w:numPr>
          <w:ilvl w:val="0"/>
          <w:numId w:val="33"/>
        </w:numPr>
        <w:ind w:left="567" w:hanging="567"/>
      </w:pPr>
      <w:r>
        <w:lastRenderedPageBreak/>
        <w:t>Dr Emma Huckerby, Staff Specialist, Emergency</w:t>
      </w:r>
      <w:r w:rsidR="002A6DD3">
        <w:t xml:space="preserve"> </w:t>
      </w:r>
      <w:r>
        <w:t>Medicine Physician</w:t>
      </w:r>
    </w:p>
    <w:p w:rsidR="0080261B" w:rsidRDefault="0080261B" w:rsidP="00103528">
      <w:pPr>
        <w:pStyle w:val="BodyText"/>
        <w:numPr>
          <w:ilvl w:val="0"/>
          <w:numId w:val="33"/>
        </w:numPr>
        <w:ind w:left="567" w:hanging="567"/>
      </w:pPr>
      <w:r>
        <w:t>Dr Ruth Holmes, Staff Specialist, Emergency</w:t>
      </w:r>
      <w:r w:rsidR="002A6DD3">
        <w:t xml:space="preserve"> </w:t>
      </w:r>
      <w:r>
        <w:t>Medicine Physician</w:t>
      </w:r>
    </w:p>
    <w:p w:rsidR="0080261B" w:rsidRDefault="0080261B" w:rsidP="00103528">
      <w:pPr>
        <w:pStyle w:val="BodyText"/>
        <w:numPr>
          <w:ilvl w:val="0"/>
          <w:numId w:val="33"/>
        </w:numPr>
        <w:ind w:left="567" w:hanging="567"/>
      </w:pPr>
      <w:r>
        <w:t>Shaun White, Manager Aero-medical and</w:t>
      </w:r>
      <w:r w:rsidR="002A6DD3">
        <w:t xml:space="preserve"> </w:t>
      </w:r>
      <w:r>
        <w:t>Medical Retrieval Operations</w:t>
      </w:r>
    </w:p>
    <w:p w:rsidR="0080261B" w:rsidRDefault="0080261B" w:rsidP="00103528">
      <w:pPr>
        <w:pStyle w:val="BodyText"/>
        <w:numPr>
          <w:ilvl w:val="0"/>
          <w:numId w:val="33"/>
        </w:numPr>
        <w:ind w:left="567" w:hanging="567"/>
      </w:pPr>
      <w:r>
        <w:t>Felicity Geeves, Nurse Unit Manager, Inte</w:t>
      </w:r>
      <w:r w:rsidR="002A6DD3">
        <w:t>n</w:t>
      </w:r>
      <w:r>
        <w:t>sive</w:t>
      </w:r>
      <w:r w:rsidR="002A6DD3">
        <w:t xml:space="preserve"> </w:t>
      </w:r>
      <w:r>
        <w:t>Care</w:t>
      </w:r>
    </w:p>
    <w:p w:rsidR="0080261B" w:rsidRDefault="0080261B" w:rsidP="00103528">
      <w:pPr>
        <w:pStyle w:val="BodyText"/>
        <w:numPr>
          <w:ilvl w:val="0"/>
          <w:numId w:val="33"/>
        </w:numPr>
        <w:ind w:left="567" w:hanging="567"/>
      </w:pPr>
      <w:r>
        <w:t>Shaun Probert, Clinical Nurse Consultant,</w:t>
      </w:r>
      <w:r w:rsidR="002A6DD3">
        <w:t xml:space="preserve"> </w:t>
      </w:r>
      <w:r>
        <w:t>Emergency Medicine</w:t>
      </w:r>
    </w:p>
    <w:p w:rsidR="0080261B" w:rsidRDefault="0080261B" w:rsidP="00103528">
      <w:pPr>
        <w:pStyle w:val="BodyText"/>
        <w:numPr>
          <w:ilvl w:val="0"/>
          <w:numId w:val="33"/>
        </w:numPr>
        <w:ind w:left="567" w:hanging="567"/>
      </w:pPr>
      <w:r>
        <w:t>Andrew Keygan, Clinical Nurse Educator,</w:t>
      </w:r>
      <w:r w:rsidR="002A6DD3">
        <w:t xml:space="preserve"> </w:t>
      </w:r>
      <w:r>
        <w:t>Emergency Department</w:t>
      </w:r>
    </w:p>
    <w:p w:rsidR="0080261B" w:rsidRDefault="0080261B" w:rsidP="002A6DD3">
      <w:pPr>
        <w:pStyle w:val="BodyText"/>
      </w:pPr>
      <w:r>
        <w:t>Co-opted member as required:</w:t>
      </w:r>
    </w:p>
    <w:p w:rsidR="0080261B" w:rsidRDefault="0080261B" w:rsidP="00103528">
      <w:pPr>
        <w:pStyle w:val="BodyText"/>
        <w:numPr>
          <w:ilvl w:val="0"/>
          <w:numId w:val="33"/>
        </w:numPr>
        <w:ind w:left="567" w:hanging="567"/>
      </w:pPr>
      <w:r>
        <w:t>Dr Matt Brain, Staff Specialist – Intensivist, LGH</w:t>
      </w:r>
    </w:p>
    <w:p w:rsidR="0080261B" w:rsidRDefault="0080261B" w:rsidP="00103528">
      <w:pPr>
        <w:pStyle w:val="BodyText"/>
        <w:numPr>
          <w:ilvl w:val="0"/>
          <w:numId w:val="33"/>
        </w:numPr>
        <w:ind w:left="567" w:hanging="567"/>
      </w:pPr>
      <w:r>
        <w:t>Dr Scott Parkes, Staff Specialist – Intensivist,</w:t>
      </w:r>
      <w:r w:rsidR="002A6DD3">
        <w:t xml:space="preserve"> </w:t>
      </w:r>
      <w:r>
        <w:t>LGH</w:t>
      </w:r>
    </w:p>
    <w:p w:rsidR="002A6DD3" w:rsidRDefault="002A6DD3" w:rsidP="002A6DD3">
      <w:pPr>
        <w:pStyle w:val="BodyText"/>
      </w:pPr>
    </w:p>
    <w:p w:rsidR="002A6DD3" w:rsidRDefault="002A6DD3" w:rsidP="002A6DD3">
      <w:pPr>
        <w:pStyle w:val="Heading4"/>
      </w:pPr>
      <w:r>
        <w:t>Women and Children Clinical Services</w:t>
      </w:r>
    </w:p>
    <w:p w:rsidR="002A6DD3" w:rsidRDefault="002A6DD3" w:rsidP="002A6DD3">
      <w:pPr>
        <w:pStyle w:val="BodyText"/>
      </w:pPr>
      <w:r>
        <w:t>Convenor: Dr Tony De Paoli</w:t>
      </w:r>
    </w:p>
    <w:p w:rsidR="002A6DD3" w:rsidRDefault="002A6DD3" w:rsidP="004251A6">
      <w:pPr>
        <w:pStyle w:val="BodyText"/>
      </w:pPr>
      <w:r w:rsidRPr="004251A6">
        <w:t>Dr Tony De Paoli is a Staff Specialist Neonatologist working in the Tasmanian Neonatal Paediatric Intensive Care Unit (NPICU) at the RHH since 2005; Dr De Paoli commenced as the NPICU Director in 2015. In his role, Dr De Paoli provides clinical services to the Neonatal Follow-up Clinic, the High Risk Antenatal Clinic, and the Newborn Emergency Transport Service based at the RHH. He continues to have a strong interest in clinical research, and is an Honorary</w:t>
      </w:r>
      <w:r w:rsidR="004251A6" w:rsidRPr="004251A6">
        <w:t xml:space="preserve"> </w:t>
      </w:r>
      <w:r w:rsidRPr="004251A6">
        <w:t>Senior Clinical Lecturer at the University of</w:t>
      </w:r>
      <w:r w:rsidR="004251A6" w:rsidRPr="004251A6">
        <w:t xml:space="preserve"> </w:t>
      </w:r>
      <w:r w:rsidRPr="004251A6">
        <w:t>Tasmania. Dr De Paoli represents the NPICU</w:t>
      </w:r>
      <w:r w:rsidR="004251A6" w:rsidRPr="004251A6">
        <w:t xml:space="preserve"> </w:t>
      </w:r>
      <w:r w:rsidRPr="004251A6">
        <w:t>at the Australian and New Zealand Neonatal</w:t>
      </w:r>
      <w:r w:rsidR="004251A6" w:rsidRPr="004251A6">
        <w:t xml:space="preserve"> </w:t>
      </w:r>
      <w:r w:rsidRPr="004251A6">
        <w:t>Network, is a WACS representative on the</w:t>
      </w:r>
      <w:r w:rsidR="004251A6" w:rsidRPr="004251A6">
        <w:t xml:space="preserve"> </w:t>
      </w:r>
      <w:r w:rsidRPr="004251A6">
        <w:t>Genetic Services CAG, and has been the WACS</w:t>
      </w:r>
      <w:r w:rsidR="004251A6" w:rsidRPr="004251A6">
        <w:t xml:space="preserve"> </w:t>
      </w:r>
      <w:r w:rsidRPr="004251A6">
        <w:t>CAG Convenor since 2014.</w:t>
      </w:r>
    </w:p>
    <w:p w:rsidR="00B75D09" w:rsidRDefault="00B75D09" w:rsidP="00B75D09">
      <w:pPr>
        <w:pStyle w:val="BodyText"/>
      </w:pPr>
      <w:r>
        <w:t>Membership:</w:t>
      </w:r>
    </w:p>
    <w:p w:rsidR="00B75D09" w:rsidRDefault="00B75D09" w:rsidP="00103528">
      <w:pPr>
        <w:pStyle w:val="BodyText"/>
        <w:numPr>
          <w:ilvl w:val="0"/>
          <w:numId w:val="34"/>
        </w:numPr>
        <w:ind w:left="567" w:hanging="567"/>
      </w:pPr>
      <w:r>
        <w:t>Dr Sajid Patel, Head of Department – Obstetrics and Gynaecology, RHH</w:t>
      </w:r>
    </w:p>
    <w:p w:rsidR="00B75D09" w:rsidRDefault="00B75D09" w:rsidP="00103528">
      <w:pPr>
        <w:pStyle w:val="BodyText"/>
        <w:numPr>
          <w:ilvl w:val="0"/>
          <w:numId w:val="34"/>
        </w:numPr>
        <w:ind w:left="567" w:hanging="567"/>
      </w:pPr>
      <w:r>
        <w:t>Dr Neil Atherton, Staff Specialist – Paediatrician, LGH</w:t>
      </w:r>
    </w:p>
    <w:p w:rsidR="00B75D09" w:rsidRDefault="00B75D09" w:rsidP="00103528">
      <w:pPr>
        <w:pStyle w:val="BodyText"/>
        <w:numPr>
          <w:ilvl w:val="0"/>
          <w:numId w:val="34"/>
        </w:numPr>
        <w:ind w:left="567" w:hanging="567"/>
      </w:pPr>
      <w:r>
        <w:t>Mandy Compton, Nurse Unit Manager – Women’s Health Services, MCH</w:t>
      </w:r>
    </w:p>
    <w:p w:rsidR="00B75D09" w:rsidRDefault="00B75D09" w:rsidP="00103528">
      <w:pPr>
        <w:pStyle w:val="BodyText"/>
        <w:numPr>
          <w:ilvl w:val="0"/>
          <w:numId w:val="34"/>
        </w:numPr>
        <w:ind w:left="567" w:hanging="567"/>
      </w:pPr>
      <w:r>
        <w:t>Francine Douce, Director of Nursing and Midwifery, DHHS</w:t>
      </w:r>
    </w:p>
    <w:p w:rsidR="00B75D09" w:rsidRDefault="00B75D09" w:rsidP="00103528">
      <w:pPr>
        <w:pStyle w:val="BodyText"/>
        <w:numPr>
          <w:ilvl w:val="0"/>
          <w:numId w:val="34"/>
        </w:numPr>
        <w:ind w:left="567" w:hanging="567"/>
      </w:pPr>
      <w:r>
        <w:t>Dr Deborah Hickling, Staff Specialist – Obstetrics and Gynaecology, NWRH</w:t>
      </w:r>
    </w:p>
    <w:p w:rsidR="00B75D09" w:rsidRDefault="00B75D09" w:rsidP="00103528">
      <w:pPr>
        <w:pStyle w:val="BodyText"/>
        <w:numPr>
          <w:ilvl w:val="0"/>
          <w:numId w:val="34"/>
        </w:numPr>
        <w:ind w:left="567" w:hanging="567"/>
      </w:pPr>
      <w:r>
        <w:t>Sue McBeath, Executive Director of Nursing, Southern Region</w:t>
      </w:r>
    </w:p>
    <w:p w:rsidR="00B75D09" w:rsidRDefault="00B75D09" w:rsidP="00103528">
      <w:pPr>
        <w:pStyle w:val="BodyText"/>
        <w:numPr>
          <w:ilvl w:val="0"/>
          <w:numId w:val="34"/>
        </w:numPr>
        <w:ind w:left="567" w:hanging="567"/>
      </w:pPr>
      <w:r>
        <w:t>Dr Emily Hooper, Staff Specialist – Obstetrics and Gynaecology, LGH</w:t>
      </w:r>
    </w:p>
    <w:p w:rsidR="00B75D09" w:rsidRDefault="00B75D09" w:rsidP="00103528">
      <w:pPr>
        <w:pStyle w:val="BodyText"/>
        <w:numPr>
          <w:ilvl w:val="0"/>
          <w:numId w:val="34"/>
        </w:numPr>
        <w:ind w:left="567" w:hanging="567"/>
      </w:pPr>
      <w:r>
        <w:t>Michelle Paine, Specialist Pharmacist – Women’s and Children’s Services, Southern Region</w:t>
      </w:r>
    </w:p>
    <w:p w:rsidR="00B75D09" w:rsidRDefault="00B75D09" w:rsidP="00103528">
      <w:pPr>
        <w:pStyle w:val="BodyText"/>
        <w:numPr>
          <w:ilvl w:val="0"/>
          <w:numId w:val="34"/>
        </w:numPr>
        <w:ind w:left="567" w:hanging="567"/>
      </w:pPr>
      <w:r>
        <w:t>Janette Tonks, Nursing Director – Women’s and Children’s Services, LGH</w:t>
      </w:r>
    </w:p>
    <w:p w:rsidR="00B75D09" w:rsidRDefault="00B75D09" w:rsidP="00103528">
      <w:pPr>
        <w:pStyle w:val="BodyText"/>
        <w:numPr>
          <w:ilvl w:val="0"/>
          <w:numId w:val="34"/>
        </w:numPr>
        <w:ind w:left="567" w:hanging="567"/>
      </w:pPr>
      <w:r>
        <w:t>Dr Fiona Wagg, Child and Adolescent Psychiatrist – Mental Health Services South</w:t>
      </w:r>
    </w:p>
    <w:p w:rsidR="00B75D09" w:rsidRDefault="00B75D09" w:rsidP="00103528">
      <w:pPr>
        <w:pStyle w:val="BodyText"/>
        <w:numPr>
          <w:ilvl w:val="0"/>
          <w:numId w:val="34"/>
        </w:numPr>
        <w:ind w:left="567" w:hanging="567"/>
      </w:pPr>
      <w:r>
        <w:t>Dr Michelle Williams, Staff Specialist Paediatrician, RHH</w:t>
      </w:r>
    </w:p>
    <w:p w:rsidR="00B75D09" w:rsidRDefault="00B75D09" w:rsidP="00103528">
      <w:pPr>
        <w:pStyle w:val="BodyText"/>
        <w:numPr>
          <w:ilvl w:val="0"/>
          <w:numId w:val="34"/>
        </w:numPr>
        <w:ind w:left="567" w:hanging="567"/>
      </w:pPr>
      <w:r>
        <w:t>Gaylene Bassett, Clinical Nurse Educator / Clinical Midwifery Educator, NWRH</w:t>
      </w:r>
    </w:p>
    <w:p w:rsidR="00B75D09" w:rsidRDefault="00B75D09" w:rsidP="00103528">
      <w:pPr>
        <w:pStyle w:val="BodyText"/>
        <w:numPr>
          <w:ilvl w:val="0"/>
          <w:numId w:val="34"/>
        </w:numPr>
        <w:ind w:left="567" w:hanging="567"/>
      </w:pPr>
      <w:r>
        <w:t>Dr Kristine Barnden, Staff Specialist – Obstetrics and Gynaecology, RHH</w:t>
      </w:r>
    </w:p>
    <w:p w:rsidR="00B75D09" w:rsidRDefault="00B75D09" w:rsidP="00103528">
      <w:pPr>
        <w:pStyle w:val="BodyText"/>
        <w:numPr>
          <w:ilvl w:val="0"/>
          <w:numId w:val="34"/>
        </w:numPr>
        <w:ind w:left="567" w:hanging="567"/>
      </w:pPr>
      <w:r>
        <w:t>Mr Ed Fenton, Director of Paediatric Surgery, RHH</w:t>
      </w:r>
    </w:p>
    <w:p w:rsidR="00B75D09" w:rsidRDefault="00B75D09" w:rsidP="00103528">
      <w:pPr>
        <w:pStyle w:val="BodyText"/>
        <w:numPr>
          <w:ilvl w:val="0"/>
          <w:numId w:val="34"/>
        </w:numPr>
        <w:ind w:left="567" w:hanging="567"/>
      </w:pPr>
      <w:r>
        <w:lastRenderedPageBreak/>
        <w:t>Associate Professor Penny Blomfield, Director of Gynaecologic Oncology, RHH</w:t>
      </w:r>
    </w:p>
    <w:p w:rsidR="00B75D09" w:rsidRPr="00B75D09" w:rsidRDefault="00B75D09" w:rsidP="00103528">
      <w:pPr>
        <w:pStyle w:val="BodyText"/>
        <w:numPr>
          <w:ilvl w:val="0"/>
          <w:numId w:val="34"/>
        </w:numPr>
        <w:ind w:left="567" w:hanging="567"/>
        <w:rPr>
          <w:b/>
        </w:rPr>
      </w:pPr>
      <w:r>
        <w:t>Dominica Kelly, Director – Early Years Child Health and Parenting Service</w:t>
      </w:r>
    </w:p>
    <w:p w:rsidR="00B75D09" w:rsidRDefault="00B75D09" w:rsidP="00B75D09">
      <w:pPr>
        <w:pStyle w:val="Heading2"/>
      </w:pPr>
    </w:p>
    <w:p w:rsidR="00B75D09" w:rsidRDefault="00B75D09" w:rsidP="00B75D09">
      <w:pPr>
        <w:pStyle w:val="Heading3"/>
      </w:pPr>
      <w:bookmarkStart w:id="32" w:name="_Toc472581972"/>
      <w:r>
        <w:t>Accreditation</w:t>
      </w:r>
      <w:bookmarkEnd w:id="32"/>
    </w:p>
    <w:p w:rsidR="00B75D09" w:rsidRPr="00B75D09" w:rsidRDefault="00B75D09" w:rsidP="00B75D09"/>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719"/>
        <w:gridCol w:w="2237"/>
        <w:gridCol w:w="2880"/>
        <w:gridCol w:w="2803"/>
      </w:tblGrid>
      <w:tr w:rsidR="00B75D09" w:rsidRPr="00B75D09" w:rsidTr="00B75D09">
        <w:trPr>
          <w:trHeight w:hRule="exact" w:val="316"/>
        </w:trPr>
        <w:tc>
          <w:tcPr>
            <w:tcW w:w="1719" w:type="dxa"/>
            <w:tcBorders>
              <w:top w:val="single" w:sz="4" w:space="0" w:color="004D8F"/>
              <w:left w:val="single" w:sz="4" w:space="0" w:color="004D8F"/>
              <w:bottom w:val="single" w:sz="4" w:space="0" w:color="004D8F"/>
              <w:right w:val="single" w:sz="4" w:space="0" w:color="004D8F"/>
            </w:tcBorders>
            <w:shd w:val="clear" w:color="auto" w:fill="auto"/>
            <w:vAlign w:val="center"/>
          </w:tcPr>
          <w:p w:rsidR="00B75D09" w:rsidRPr="00B75D09" w:rsidRDefault="00B75D09" w:rsidP="00B75D09">
            <w:pPr>
              <w:rPr>
                <w:rFonts w:ascii="Gill Sans MT" w:hAnsi="Gill Sans MT"/>
                <w:b/>
                <w:sz w:val="20"/>
                <w:szCs w:val="20"/>
              </w:rPr>
            </w:pPr>
            <w:r w:rsidRPr="00B75D09">
              <w:rPr>
                <w:rFonts w:ascii="Gill Sans MT" w:hAnsi="Gill Sans MT"/>
                <w:b/>
                <w:sz w:val="20"/>
                <w:szCs w:val="20"/>
              </w:rPr>
              <w:t>Region</w:t>
            </w:r>
          </w:p>
        </w:tc>
        <w:tc>
          <w:tcPr>
            <w:tcW w:w="2237" w:type="dxa"/>
            <w:tcBorders>
              <w:top w:val="single" w:sz="4" w:space="0" w:color="004D8F"/>
              <w:left w:val="single" w:sz="4" w:space="0" w:color="004D8F"/>
              <w:bottom w:val="single" w:sz="4" w:space="0" w:color="004D8F"/>
              <w:right w:val="single" w:sz="4" w:space="0" w:color="004D8F"/>
            </w:tcBorders>
            <w:shd w:val="clear" w:color="auto" w:fill="auto"/>
            <w:vAlign w:val="center"/>
          </w:tcPr>
          <w:p w:rsidR="00B75D09" w:rsidRPr="00B75D09" w:rsidRDefault="00B75D09" w:rsidP="00B75D09">
            <w:pPr>
              <w:pStyle w:val="TableParagraph"/>
              <w:spacing w:before="47"/>
              <w:ind w:left="76"/>
              <w:rPr>
                <w:rFonts w:ascii="Gill Sans MT" w:hAnsi="Gill Sans MT"/>
                <w:b/>
                <w:sz w:val="20"/>
                <w:szCs w:val="20"/>
              </w:rPr>
            </w:pPr>
            <w:r w:rsidRPr="00B75D09">
              <w:rPr>
                <w:rFonts w:ascii="Gill Sans MT" w:hAnsi="Gill Sans MT"/>
                <w:b/>
                <w:sz w:val="20"/>
                <w:szCs w:val="20"/>
              </w:rPr>
              <w:t>Service</w:t>
            </w:r>
          </w:p>
        </w:tc>
        <w:tc>
          <w:tcPr>
            <w:tcW w:w="2880" w:type="dxa"/>
            <w:tcBorders>
              <w:top w:val="single" w:sz="4" w:space="0" w:color="004D8F"/>
              <w:left w:val="single" w:sz="4" w:space="0" w:color="004D8F"/>
              <w:bottom w:val="single" w:sz="4" w:space="0" w:color="004D8F"/>
              <w:right w:val="single" w:sz="4" w:space="0" w:color="004D8F"/>
            </w:tcBorders>
            <w:shd w:val="clear" w:color="auto" w:fill="auto"/>
            <w:vAlign w:val="center"/>
          </w:tcPr>
          <w:p w:rsidR="00B75D09" w:rsidRPr="00B75D09" w:rsidRDefault="00B75D09" w:rsidP="00B75D09">
            <w:pPr>
              <w:pStyle w:val="TableParagraph"/>
              <w:spacing w:before="47"/>
              <w:ind w:left="75"/>
              <w:rPr>
                <w:rFonts w:ascii="Gill Sans MT" w:hAnsi="Gill Sans MT"/>
                <w:b/>
                <w:sz w:val="20"/>
                <w:szCs w:val="20"/>
              </w:rPr>
            </w:pPr>
            <w:r w:rsidRPr="00B75D09">
              <w:rPr>
                <w:rFonts w:ascii="Gill Sans MT" w:hAnsi="Gill Sans MT"/>
                <w:b/>
                <w:sz w:val="20"/>
                <w:szCs w:val="20"/>
              </w:rPr>
              <w:t>Accreditation cycle</w:t>
            </w:r>
          </w:p>
        </w:tc>
        <w:tc>
          <w:tcPr>
            <w:tcW w:w="2803" w:type="dxa"/>
            <w:tcBorders>
              <w:top w:val="single" w:sz="4" w:space="0" w:color="004D8F"/>
              <w:left w:val="single" w:sz="4" w:space="0" w:color="004D8F"/>
              <w:bottom w:val="single" w:sz="4" w:space="0" w:color="004D8F"/>
              <w:right w:val="single" w:sz="4" w:space="0" w:color="004D8F"/>
            </w:tcBorders>
            <w:shd w:val="clear" w:color="auto" w:fill="auto"/>
            <w:vAlign w:val="center"/>
          </w:tcPr>
          <w:p w:rsidR="00B75D09" w:rsidRPr="00B75D09" w:rsidRDefault="00B75D09" w:rsidP="00B75D09">
            <w:pPr>
              <w:pStyle w:val="TableParagraph"/>
              <w:spacing w:before="47"/>
              <w:ind w:left="75"/>
              <w:rPr>
                <w:rFonts w:ascii="Gill Sans MT" w:hAnsi="Gill Sans MT"/>
                <w:b/>
                <w:sz w:val="20"/>
                <w:szCs w:val="20"/>
              </w:rPr>
            </w:pPr>
            <w:r w:rsidRPr="00B75D09">
              <w:rPr>
                <w:rFonts w:ascii="Gill Sans MT" w:hAnsi="Gill Sans MT"/>
                <w:b/>
                <w:sz w:val="20"/>
                <w:szCs w:val="20"/>
              </w:rPr>
              <w:t>Comments</w:t>
            </w:r>
          </w:p>
        </w:tc>
      </w:tr>
      <w:tr w:rsidR="00B75D09" w:rsidRPr="00B75D09" w:rsidTr="00B75D09">
        <w:trPr>
          <w:trHeight w:hRule="exact" w:val="80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60"/>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60" w:line="254" w:lineRule="auto"/>
              <w:ind w:left="75"/>
              <w:rPr>
                <w:rFonts w:ascii="Gill Sans MT" w:hAnsi="Gill Sans MT"/>
                <w:sz w:val="20"/>
                <w:szCs w:val="20"/>
              </w:rPr>
            </w:pPr>
            <w:r w:rsidRPr="00B75D09">
              <w:rPr>
                <w:rFonts w:ascii="Gill Sans MT" w:hAnsi="Gill Sans MT"/>
                <w:sz w:val="20"/>
                <w:szCs w:val="20"/>
              </w:rPr>
              <w:t>Netherby Home - King Island Community Health Centre</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60"/>
              <w:ind w:left="75"/>
              <w:rPr>
                <w:rFonts w:ascii="Gill Sans MT" w:hAnsi="Gill Sans MT"/>
                <w:sz w:val="20"/>
                <w:szCs w:val="20"/>
              </w:rPr>
            </w:pPr>
            <w:r w:rsidRPr="00B75D09">
              <w:rPr>
                <w:rFonts w:ascii="Gill Sans MT" w:hAnsi="Gill Sans MT"/>
                <w:sz w:val="20"/>
                <w:szCs w:val="20"/>
              </w:rPr>
              <w:t>Aged Care Accreditation</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60" w:line="254" w:lineRule="auto"/>
              <w:ind w:left="75" w:right="103"/>
              <w:rPr>
                <w:rFonts w:ascii="Gill Sans MT" w:hAnsi="Gill Sans MT"/>
                <w:sz w:val="20"/>
                <w:szCs w:val="20"/>
              </w:rPr>
            </w:pPr>
            <w:r w:rsidRPr="00B75D09">
              <w:rPr>
                <w:rFonts w:ascii="Gill Sans MT" w:hAnsi="Gill Sans MT"/>
                <w:sz w:val="20"/>
                <w:szCs w:val="20"/>
              </w:rPr>
              <w:t>Full accreditation for 3 years awarded in 2014</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LGH &amp; Mental Health North</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National Safety &amp; Quality Health Service Standards -  NS 1-10</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103"/>
              <w:rPr>
                <w:rFonts w:ascii="Gill Sans MT" w:hAnsi="Gill Sans MT"/>
                <w:sz w:val="20"/>
                <w:szCs w:val="20"/>
              </w:rPr>
            </w:pPr>
            <w:r w:rsidRPr="00B75D09">
              <w:rPr>
                <w:rFonts w:ascii="Gill Sans MT" w:hAnsi="Gill Sans MT"/>
                <w:sz w:val="20"/>
                <w:szCs w:val="20"/>
              </w:rPr>
              <w:t>Accredited, 3 years awarded in March 2015</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97"/>
              <w:rPr>
                <w:rFonts w:ascii="Gill Sans MT" w:hAnsi="Gill Sans MT"/>
                <w:sz w:val="20"/>
                <w:szCs w:val="20"/>
              </w:rPr>
            </w:pPr>
            <w:r w:rsidRPr="00B75D09">
              <w:rPr>
                <w:rFonts w:ascii="Gill Sans MT" w:hAnsi="Gill Sans MT"/>
                <w:sz w:val="20"/>
                <w:szCs w:val="20"/>
              </w:rPr>
              <w:t>Lyell House – Health West District Hospital</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Aged Care Accreditation</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709"/>
              <w:rPr>
                <w:rFonts w:ascii="Gill Sans MT" w:hAnsi="Gill Sans MT"/>
                <w:sz w:val="20"/>
                <w:szCs w:val="20"/>
              </w:rPr>
            </w:pPr>
            <w:r w:rsidRPr="00B75D09">
              <w:rPr>
                <w:rFonts w:ascii="Gill Sans MT" w:hAnsi="Gill Sans MT"/>
                <w:sz w:val="20"/>
                <w:szCs w:val="20"/>
              </w:rPr>
              <w:t>Accreditation 3 years awarded in Aug 2015</w:t>
            </w:r>
          </w:p>
        </w:tc>
      </w:tr>
      <w:tr w:rsidR="00B75D09" w:rsidRPr="00B75D09" w:rsidTr="00B75D09">
        <w:trPr>
          <w:trHeight w:hRule="exact" w:val="80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97"/>
              <w:rPr>
                <w:rFonts w:ascii="Gill Sans MT" w:hAnsi="Gill Sans MT"/>
                <w:sz w:val="20"/>
                <w:szCs w:val="20"/>
              </w:rPr>
            </w:pPr>
            <w:r w:rsidRPr="00B75D09">
              <w:rPr>
                <w:rFonts w:ascii="Gill Sans MT" w:hAnsi="Gill Sans MT"/>
                <w:sz w:val="20"/>
                <w:szCs w:val="20"/>
              </w:rPr>
              <w:t>Acute – NWRH and MCH &amp; Spencer Clinic</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254"/>
              <w:rPr>
                <w:rFonts w:ascii="Gill Sans MT" w:hAnsi="Gill Sans MT"/>
                <w:sz w:val="20"/>
                <w:szCs w:val="20"/>
              </w:rPr>
            </w:pPr>
            <w:r w:rsidRPr="00B75D09">
              <w:rPr>
                <w:rFonts w:ascii="Gill Sans MT" w:hAnsi="Gill Sans MT"/>
                <w:sz w:val="20"/>
                <w:szCs w:val="20"/>
              </w:rPr>
              <w:t>Mental Health National Standards &amp; National Standards Organisation Wide</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Table top review NS 1 - 10</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South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Acute and Community</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74"/>
              <w:rPr>
                <w:rFonts w:ascii="Gill Sans MT" w:hAnsi="Gill Sans MT"/>
                <w:sz w:val="20"/>
                <w:szCs w:val="20"/>
              </w:rPr>
            </w:pPr>
            <w:r w:rsidRPr="00B75D09">
              <w:rPr>
                <w:rFonts w:ascii="Gill Sans MT" w:hAnsi="Gill Sans MT"/>
                <w:sz w:val="20"/>
                <w:szCs w:val="20"/>
              </w:rPr>
              <w:t>Organisational Wide Survey – NS 1-10</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103"/>
              <w:rPr>
                <w:rFonts w:ascii="Gill Sans MT" w:hAnsi="Gill Sans MT"/>
                <w:sz w:val="20"/>
                <w:szCs w:val="20"/>
              </w:rPr>
            </w:pPr>
            <w:r w:rsidRPr="00B75D09">
              <w:rPr>
                <w:rFonts w:ascii="Gill Sans MT" w:hAnsi="Gill Sans MT"/>
                <w:sz w:val="20"/>
                <w:szCs w:val="20"/>
              </w:rPr>
              <w:t>Accredited 4 years awarded in Feb 2016</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South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Oral Health</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254"/>
              <w:rPr>
                <w:rFonts w:ascii="Gill Sans MT" w:hAnsi="Gill Sans MT"/>
                <w:sz w:val="20"/>
                <w:szCs w:val="20"/>
              </w:rPr>
            </w:pPr>
            <w:r w:rsidRPr="00B75D09">
              <w:rPr>
                <w:rFonts w:ascii="Gill Sans MT" w:hAnsi="Gill Sans MT"/>
                <w:sz w:val="20"/>
                <w:szCs w:val="20"/>
              </w:rPr>
              <w:t>Organisational Wide Survey – NS 1-6</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536"/>
              <w:rPr>
                <w:rFonts w:ascii="Gill Sans MT" w:hAnsi="Gill Sans MT"/>
                <w:sz w:val="20"/>
                <w:szCs w:val="20"/>
              </w:rPr>
            </w:pPr>
            <w:r w:rsidRPr="00B75D09">
              <w:rPr>
                <w:rFonts w:ascii="Gill Sans MT" w:hAnsi="Gill Sans MT"/>
                <w:sz w:val="20"/>
                <w:szCs w:val="20"/>
              </w:rPr>
              <w:t>Accredited for 4 years awarded in March 2016</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97"/>
              <w:rPr>
                <w:rFonts w:ascii="Gill Sans MT" w:hAnsi="Gill Sans MT"/>
                <w:sz w:val="20"/>
                <w:szCs w:val="20"/>
              </w:rPr>
            </w:pPr>
            <w:r w:rsidRPr="00B75D09">
              <w:rPr>
                <w:rFonts w:ascii="Gill Sans MT" w:hAnsi="Gill Sans MT"/>
                <w:sz w:val="20"/>
                <w:szCs w:val="20"/>
              </w:rPr>
              <w:t>Acute – NWRH and MCH &amp; Spencer Clinic</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National Standards Organisation Wide Survey NS 1 – 10</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103"/>
              <w:rPr>
                <w:rFonts w:ascii="Gill Sans MT" w:hAnsi="Gill Sans MT"/>
                <w:sz w:val="20"/>
                <w:szCs w:val="20"/>
              </w:rPr>
            </w:pPr>
            <w:r w:rsidRPr="00B75D09">
              <w:rPr>
                <w:rFonts w:ascii="Gill Sans MT" w:hAnsi="Gill Sans MT"/>
                <w:sz w:val="20"/>
                <w:szCs w:val="20"/>
              </w:rPr>
              <w:t>Accredited for 4 years awarded</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Primary Health North</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Periodic Review - on site EQUIPNational core standards</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103"/>
              <w:rPr>
                <w:rFonts w:ascii="Gill Sans MT" w:hAnsi="Gill Sans MT"/>
                <w:sz w:val="20"/>
                <w:szCs w:val="20"/>
              </w:rPr>
            </w:pPr>
            <w:r w:rsidRPr="00B75D09">
              <w:rPr>
                <w:rFonts w:ascii="Gill Sans MT" w:hAnsi="Gill Sans MT"/>
                <w:sz w:val="20"/>
                <w:szCs w:val="20"/>
              </w:rPr>
              <w:t>Maintain Accreditation until April 2018</w:t>
            </w:r>
          </w:p>
        </w:tc>
      </w:tr>
      <w:tr w:rsidR="00B75D09" w:rsidRPr="00B75D09" w:rsidTr="00B75D09">
        <w:trPr>
          <w:trHeight w:hRule="exact" w:val="56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South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Mental Health and Statewide services</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254"/>
              <w:rPr>
                <w:rFonts w:ascii="Gill Sans MT" w:hAnsi="Gill Sans MT"/>
                <w:sz w:val="20"/>
                <w:szCs w:val="20"/>
              </w:rPr>
            </w:pPr>
            <w:r w:rsidRPr="00B75D09">
              <w:rPr>
                <w:rFonts w:ascii="Gill Sans MT" w:hAnsi="Gill Sans MT"/>
                <w:sz w:val="20"/>
                <w:szCs w:val="20"/>
              </w:rPr>
              <w:t>Organisational Wide Survey - NS</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due 2017</w:t>
            </w:r>
          </w:p>
        </w:tc>
      </w:tr>
      <w:tr w:rsidR="00B75D09" w:rsidRPr="00B75D09" w:rsidTr="00B75D09">
        <w:trPr>
          <w:trHeight w:hRule="exact" w:val="104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Rural Inpatient Facilities NW</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National Standards Organisation Wide Survey NS 1 - 10</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237"/>
              <w:rPr>
                <w:rFonts w:ascii="Gill Sans MT" w:hAnsi="Gill Sans MT"/>
                <w:sz w:val="20"/>
                <w:szCs w:val="20"/>
              </w:rPr>
            </w:pPr>
            <w:r w:rsidRPr="00B75D09">
              <w:rPr>
                <w:rFonts w:ascii="Gill Sans MT" w:hAnsi="Gill Sans MT"/>
                <w:sz w:val="20"/>
                <w:szCs w:val="20"/>
              </w:rPr>
              <w:t>Waiting on official notification of Full accreditation for 4 years awarded July 2016.</w:t>
            </w:r>
          </w:p>
        </w:tc>
      </w:tr>
      <w:tr w:rsidR="00B75D09" w:rsidRPr="00B75D09" w:rsidTr="00B75D09">
        <w:trPr>
          <w:trHeight w:hRule="exact" w:val="80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North West</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97"/>
              <w:rPr>
                <w:rFonts w:ascii="Gill Sans MT" w:hAnsi="Gill Sans MT"/>
                <w:sz w:val="20"/>
                <w:szCs w:val="20"/>
              </w:rPr>
            </w:pPr>
            <w:r w:rsidRPr="00B75D09">
              <w:rPr>
                <w:rFonts w:ascii="Gill Sans MT" w:hAnsi="Gill Sans MT"/>
                <w:sz w:val="20"/>
                <w:szCs w:val="20"/>
              </w:rPr>
              <w:t>Primary Care Services NW</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Pr>
                <w:rFonts w:ascii="Gill Sans MT" w:hAnsi="Gill Sans MT"/>
                <w:sz w:val="20"/>
                <w:szCs w:val="20"/>
              </w:rPr>
            </w:pPr>
            <w:r w:rsidRPr="00B75D09">
              <w:rPr>
                <w:rFonts w:ascii="Gill Sans MT" w:hAnsi="Gill Sans MT"/>
                <w:sz w:val="20"/>
                <w:szCs w:val="20"/>
              </w:rPr>
              <w:t>National Standards Organisation Wide Survey</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54" w:lineRule="auto"/>
              <w:ind w:left="75" w:right="103"/>
              <w:rPr>
                <w:rFonts w:ascii="Gill Sans MT" w:hAnsi="Gill Sans MT"/>
                <w:sz w:val="20"/>
                <w:szCs w:val="20"/>
              </w:rPr>
            </w:pPr>
            <w:r w:rsidRPr="00B75D09">
              <w:rPr>
                <w:rFonts w:ascii="Gill Sans MT" w:hAnsi="Gill Sans MT"/>
                <w:sz w:val="20"/>
                <w:szCs w:val="20"/>
              </w:rPr>
              <w:t>Working on self-assessment due for submission late August 2016.</w:t>
            </w:r>
          </w:p>
        </w:tc>
      </w:tr>
      <w:tr w:rsidR="00B75D09" w:rsidRPr="00B75D09" w:rsidTr="00B75D09">
        <w:trPr>
          <w:trHeight w:hRule="exact" w:val="600"/>
        </w:trPr>
        <w:tc>
          <w:tcPr>
            <w:tcW w:w="1719"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THS South</w:t>
            </w:r>
          </w:p>
        </w:tc>
        <w:tc>
          <w:tcPr>
            <w:tcW w:w="2237"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ind w:left="75"/>
              <w:rPr>
                <w:rFonts w:ascii="Gill Sans MT" w:hAnsi="Gill Sans MT"/>
                <w:sz w:val="20"/>
                <w:szCs w:val="20"/>
              </w:rPr>
            </w:pPr>
            <w:r w:rsidRPr="00B75D09">
              <w:rPr>
                <w:rFonts w:ascii="Gill Sans MT" w:hAnsi="Gill Sans MT"/>
                <w:sz w:val="20"/>
                <w:szCs w:val="20"/>
              </w:rPr>
              <w:t>Mental Health (South)</w:t>
            </w:r>
          </w:p>
        </w:tc>
        <w:tc>
          <w:tcPr>
            <w:tcW w:w="2880"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95" w:lineRule="auto"/>
              <w:ind w:left="75" w:right="609"/>
              <w:rPr>
                <w:rFonts w:ascii="Gill Sans MT" w:hAnsi="Gill Sans MT"/>
                <w:sz w:val="20"/>
                <w:szCs w:val="20"/>
              </w:rPr>
            </w:pPr>
            <w:r w:rsidRPr="00B75D09">
              <w:rPr>
                <w:rFonts w:ascii="Gill Sans MT" w:hAnsi="Gill Sans MT"/>
                <w:sz w:val="20"/>
                <w:szCs w:val="20"/>
              </w:rPr>
              <w:t>Accreditation deferred until review completed</w:t>
            </w:r>
          </w:p>
        </w:tc>
        <w:tc>
          <w:tcPr>
            <w:tcW w:w="2803" w:type="dxa"/>
            <w:tcBorders>
              <w:top w:val="single" w:sz="4" w:space="0" w:color="004D8F"/>
              <w:left w:val="single" w:sz="4" w:space="0" w:color="004D8F"/>
              <w:bottom w:val="single" w:sz="4" w:space="0" w:color="004D8F"/>
              <w:right w:val="single" w:sz="4" w:space="0" w:color="004D8F"/>
            </w:tcBorders>
            <w:shd w:val="clear" w:color="auto" w:fill="auto"/>
          </w:tcPr>
          <w:p w:rsidR="00B75D09" w:rsidRPr="00B75D09" w:rsidRDefault="00B75D09" w:rsidP="00092A97">
            <w:pPr>
              <w:pStyle w:val="TableParagraph"/>
              <w:spacing w:before="56" w:line="295" w:lineRule="auto"/>
              <w:ind w:left="75" w:right="237"/>
              <w:rPr>
                <w:rFonts w:ascii="Gill Sans MT" w:hAnsi="Gill Sans MT"/>
                <w:sz w:val="20"/>
                <w:szCs w:val="20"/>
              </w:rPr>
            </w:pPr>
            <w:r w:rsidRPr="00B75D09">
              <w:rPr>
                <w:rFonts w:ascii="Gill Sans MT" w:hAnsi="Gill Sans MT"/>
                <w:sz w:val="20"/>
                <w:szCs w:val="20"/>
              </w:rPr>
              <w:t>Accreditation scheduled for March 2017</w:t>
            </w:r>
          </w:p>
        </w:tc>
      </w:tr>
    </w:tbl>
    <w:p w:rsidR="00B75D09" w:rsidRDefault="00B75D09" w:rsidP="00B75D09"/>
    <w:p w:rsidR="00B75D09" w:rsidRDefault="00B75D09">
      <w:r>
        <w:br w:type="page"/>
      </w:r>
    </w:p>
    <w:p w:rsidR="00B75D09" w:rsidRDefault="00B75D09" w:rsidP="00B75D09">
      <w:pPr>
        <w:pStyle w:val="Heading3"/>
      </w:pPr>
      <w:bookmarkStart w:id="33" w:name="_Toc472581973"/>
      <w:r>
        <w:lastRenderedPageBreak/>
        <w:t>Quality and Safety</w:t>
      </w:r>
      <w:bookmarkEnd w:id="33"/>
    </w:p>
    <w:p w:rsidR="00B75D09" w:rsidRPr="00B75D09" w:rsidRDefault="00B75D09" w:rsidP="00B75D09">
      <w:pPr>
        <w:pStyle w:val="BodyText"/>
      </w:pPr>
      <w:r w:rsidRPr="00B75D09">
        <w:t>The last 12 months have seen significant</w:t>
      </w:r>
      <w:r>
        <w:t xml:space="preserve"> </w:t>
      </w:r>
      <w:r w:rsidRPr="00B75D09">
        <w:t>emphasis in the Quality &amp; Safety area. Following</w:t>
      </w:r>
      <w:r>
        <w:t xml:space="preserve"> </w:t>
      </w:r>
      <w:r w:rsidRPr="00B75D09">
        <w:t xml:space="preserve">the establishment of the THS, the </w:t>
      </w:r>
      <w:proofErr w:type="gramStart"/>
      <w:r w:rsidRPr="00B75D09">
        <w:t>Statewide</w:t>
      </w:r>
      <w:proofErr w:type="gramEnd"/>
      <w:r>
        <w:t xml:space="preserve"> </w:t>
      </w:r>
      <w:r w:rsidRPr="00B75D09">
        <w:t>quality and safety agenda was confirmed by the</w:t>
      </w:r>
      <w:r>
        <w:t xml:space="preserve"> </w:t>
      </w:r>
      <w:r w:rsidRPr="00B75D09">
        <w:t>Governing Council and the Quality &amp; Safety</w:t>
      </w:r>
      <w:r>
        <w:t xml:space="preserve"> </w:t>
      </w:r>
      <w:r w:rsidRPr="00B75D09">
        <w:t>Subcommittee as being of high priority.</w:t>
      </w:r>
    </w:p>
    <w:p w:rsidR="00B75D09" w:rsidRDefault="00B75D09" w:rsidP="00B75D09">
      <w:pPr>
        <w:pStyle w:val="BodyText"/>
      </w:pPr>
      <w:r w:rsidRPr="00B75D09">
        <w:t>The Tasmanian Health Service (THS) Integration</w:t>
      </w:r>
      <w:r>
        <w:t xml:space="preserve"> </w:t>
      </w:r>
      <w:r w:rsidRPr="00B75D09">
        <w:t>Safety and Quality Committee (IS&amp;QC) was</w:t>
      </w:r>
      <w:r>
        <w:t xml:space="preserve"> </w:t>
      </w:r>
      <w:r w:rsidRPr="00B75D09">
        <w:t>convened in September 2015, under the chair of</w:t>
      </w:r>
      <w:r>
        <w:t xml:space="preserve"> </w:t>
      </w:r>
      <w:r w:rsidRPr="00B75D09">
        <w:t>the Interim CEO Dr Anne Brand. This committee’s</w:t>
      </w:r>
      <w:r>
        <w:t xml:space="preserve"> </w:t>
      </w:r>
      <w:r w:rsidRPr="00B75D09">
        <w:t>brief was to bring together key safety and quality</w:t>
      </w:r>
      <w:r>
        <w:t xml:space="preserve"> </w:t>
      </w:r>
      <w:r w:rsidRPr="00B75D09">
        <w:t>practitioners from the various THS campuses to</w:t>
      </w:r>
      <w:r>
        <w:t xml:space="preserve"> </w:t>
      </w:r>
      <w:r w:rsidRPr="00B75D09">
        <w:t>provide direction on safety and quality issues that</w:t>
      </w:r>
      <w:r>
        <w:t xml:space="preserve"> </w:t>
      </w:r>
      <w:r w:rsidRPr="00B75D09">
        <w:t xml:space="preserve">affect patient care at the whole of </w:t>
      </w:r>
      <w:r>
        <w:t xml:space="preserve">organization </w:t>
      </w:r>
      <w:r w:rsidRPr="00B75D09">
        <w:t>level; work on the standardisation of key policies</w:t>
      </w:r>
      <w:r>
        <w:t xml:space="preserve"> </w:t>
      </w:r>
      <w:r w:rsidRPr="00B75D09">
        <w:t>and processes; support and promote THS</w:t>
      </w:r>
      <w:r>
        <w:t xml:space="preserve"> </w:t>
      </w:r>
      <w:r w:rsidRPr="00B75D09">
        <w:t>improvement in clinical practice and clinical</w:t>
      </w:r>
      <w:r>
        <w:t xml:space="preserve"> </w:t>
      </w:r>
      <w:r w:rsidRPr="00B75D09">
        <w:t>performance and develop effective internal and</w:t>
      </w:r>
      <w:r>
        <w:t xml:space="preserve"> </w:t>
      </w:r>
      <w:r w:rsidRPr="00B75D09">
        <w:t>external relationships across the THS.</w:t>
      </w:r>
    </w:p>
    <w:p w:rsidR="00B75D09" w:rsidRPr="00B75D09" w:rsidRDefault="00B75D09" w:rsidP="00B75D09">
      <w:pPr>
        <w:pStyle w:val="BodyText"/>
      </w:pPr>
      <w:r w:rsidRPr="00B75D09">
        <w:t>Following the appointment of the CEO, David</w:t>
      </w:r>
      <w:r>
        <w:t xml:space="preserve"> </w:t>
      </w:r>
      <w:r w:rsidRPr="00B75D09">
        <w:t>Alcorn in February, the commitment to Quality</w:t>
      </w:r>
      <w:r>
        <w:t xml:space="preserve"> </w:t>
      </w:r>
      <w:r w:rsidRPr="00B75D09">
        <w:t>and Safety was heightened and in May 2016, Dr</w:t>
      </w:r>
      <w:r>
        <w:t xml:space="preserve"> </w:t>
      </w:r>
      <w:r w:rsidRPr="00B75D09">
        <w:t>Annette Pantle, was the inaugural appointment in</w:t>
      </w:r>
      <w:r>
        <w:t xml:space="preserve"> </w:t>
      </w:r>
      <w:r w:rsidRPr="00B75D09">
        <w:t>the Executive Director of Patient Safety THS role.</w:t>
      </w:r>
      <w:r>
        <w:t xml:space="preserve"> </w:t>
      </w:r>
      <w:r w:rsidRPr="00B75D09">
        <w:t>Dr Pantle’s wealth of experience in the quality</w:t>
      </w:r>
      <w:r>
        <w:t xml:space="preserve"> </w:t>
      </w:r>
      <w:r w:rsidRPr="00B75D09">
        <w:t>and safety field nationally, is welcomed to THS</w:t>
      </w:r>
      <w:r>
        <w:t xml:space="preserve"> </w:t>
      </w:r>
      <w:r w:rsidRPr="00B75D09">
        <w:t>and the IS&amp;QC members have been working</w:t>
      </w:r>
      <w:r>
        <w:t xml:space="preserve"> </w:t>
      </w:r>
      <w:r w:rsidRPr="00B75D09">
        <w:t>with Dr Pantle to enhance and develop the</w:t>
      </w:r>
      <w:r>
        <w:t xml:space="preserve"> </w:t>
      </w:r>
      <w:r w:rsidRPr="00B75D09">
        <w:t>THS quality, safety and clinical risk systems; and</w:t>
      </w:r>
      <w:r>
        <w:t xml:space="preserve"> </w:t>
      </w:r>
      <w:r w:rsidRPr="00B75D09">
        <w:t>address significant quality and safety issues facing</w:t>
      </w:r>
      <w:r>
        <w:t xml:space="preserve"> </w:t>
      </w:r>
      <w:r w:rsidRPr="00B75D09">
        <w:t>the organisation.</w:t>
      </w:r>
    </w:p>
    <w:p w:rsidR="00B75D09" w:rsidRDefault="00B75D09" w:rsidP="00B75D09">
      <w:pPr>
        <w:pStyle w:val="BodyText"/>
      </w:pPr>
      <w:r w:rsidRPr="00B75D09">
        <w:t>New initiatives include: securing Health Round</w:t>
      </w:r>
      <w:r>
        <w:t xml:space="preserve"> </w:t>
      </w:r>
      <w:r w:rsidRPr="00B75D09">
        <w:t>Table membership across the THS hospital</w:t>
      </w:r>
      <w:r>
        <w:t xml:space="preserve"> </w:t>
      </w:r>
      <w:r w:rsidRPr="00B75D09">
        <w:t>services, progression of the clinical risk system,</w:t>
      </w:r>
      <w:r>
        <w:t xml:space="preserve"> </w:t>
      </w:r>
      <w:r w:rsidRPr="00B75D09">
        <w:t>review of THS quality and safety data collection</w:t>
      </w:r>
      <w:r>
        <w:t xml:space="preserve"> </w:t>
      </w:r>
      <w:r w:rsidRPr="00B75D09">
        <w:t>and trends and continued work in learning from</w:t>
      </w:r>
      <w:r>
        <w:t xml:space="preserve"> </w:t>
      </w:r>
      <w:r w:rsidRPr="00B75D09">
        <w:t>serious clinical safety events, high level complaints,</w:t>
      </w:r>
      <w:r>
        <w:t xml:space="preserve"> </w:t>
      </w:r>
      <w:r w:rsidRPr="00B75D09">
        <w:t>medico-legal cases and Coronial and Ministerial</w:t>
      </w:r>
      <w:r>
        <w:t xml:space="preserve"> </w:t>
      </w:r>
      <w:r w:rsidRPr="00B75D09">
        <w:t>feedback</w:t>
      </w:r>
      <w:r w:rsidR="007021D3">
        <w:t>.</w:t>
      </w:r>
    </w:p>
    <w:p w:rsidR="007021D3" w:rsidRDefault="007021D3" w:rsidP="00121DB6">
      <w:pPr>
        <w:pStyle w:val="Heading2"/>
      </w:pPr>
      <w:bookmarkStart w:id="34" w:name="_Toc472581974"/>
      <w:r>
        <w:t>Our Performance</w:t>
      </w:r>
      <w:bookmarkEnd w:id="34"/>
    </w:p>
    <w:p w:rsidR="001A7F32" w:rsidRDefault="00121DB6" w:rsidP="00121DB6">
      <w:pPr>
        <w:pStyle w:val="Heading3"/>
      </w:pPr>
      <w:bookmarkStart w:id="35" w:name="_Toc472581975"/>
      <w:r>
        <w:t>Performance against service agreement</w:t>
      </w:r>
      <w:bookmarkEnd w:id="35"/>
    </w:p>
    <w:p w:rsidR="00121DB6" w:rsidRDefault="00121DB6" w:rsidP="00121DB6">
      <w:pPr>
        <w:pStyle w:val="BodyText"/>
      </w:pPr>
      <w:r>
        <w:t xml:space="preserve">In accordance with Section 44 of the </w:t>
      </w:r>
      <w:r>
        <w:rPr>
          <w:rFonts w:ascii="GillSans-LightItalic" w:hAnsi="GillSans-LightItalic" w:cs="GillSans-LightItalic"/>
          <w:i/>
          <w:iCs/>
        </w:rPr>
        <w:t xml:space="preserve">Tasmanian Health Organisations Act 2011 </w:t>
      </w:r>
      <w:r>
        <w:t>the Service Agreement between the Minister for Health and the THS Governing Council clearly sets out the service delivery and performance expectations for the funding provided to THS for the 2015-2016 financial year. As such, the Service Agreement is the key accountability agreement between the Minister for Health and the THS.</w:t>
      </w:r>
    </w:p>
    <w:p w:rsidR="00121DB6" w:rsidRDefault="00121DB6" w:rsidP="00121DB6">
      <w:pPr>
        <w:pStyle w:val="BodyText"/>
      </w:pPr>
      <w:r>
        <w:t>The 2015-2016 Service Agreement for the THS consisted of six (6) parts:</w:t>
      </w:r>
    </w:p>
    <w:p w:rsidR="00121DB6" w:rsidRDefault="00121DB6" w:rsidP="00103528">
      <w:pPr>
        <w:pStyle w:val="BodyText"/>
        <w:numPr>
          <w:ilvl w:val="0"/>
          <w:numId w:val="35"/>
        </w:numPr>
        <w:ind w:left="567" w:hanging="567"/>
      </w:pPr>
      <w:r>
        <w:t>The accountabilities of the Tasmanian Public Sector Health System.</w:t>
      </w:r>
    </w:p>
    <w:p w:rsidR="00121DB6" w:rsidRDefault="00121DB6" w:rsidP="00103528">
      <w:pPr>
        <w:pStyle w:val="BodyText"/>
        <w:numPr>
          <w:ilvl w:val="0"/>
          <w:numId w:val="35"/>
        </w:numPr>
        <w:ind w:left="567" w:hanging="567"/>
      </w:pPr>
      <w:r>
        <w:t>An overview of the service profile of the THS.</w:t>
      </w:r>
    </w:p>
    <w:p w:rsidR="00121DB6" w:rsidRDefault="00121DB6" w:rsidP="00103528">
      <w:pPr>
        <w:pStyle w:val="BodyText"/>
        <w:numPr>
          <w:ilvl w:val="0"/>
          <w:numId w:val="35"/>
        </w:numPr>
        <w:ind w:left="567" w:hanging="567"/>
      </w:pPr>
      <w:r>
        <w:t>An outline of the key performance indicator schedule against which THS performance would be</w:t>
      </w:r>
      <w:r w:rsidR="003A17CE">
        <w:t xml:space="preserve"> </w:t>
      </w:r>
      <w:r>
        <w:t>monitored and assessed.</w:t>
      </w:r>
    </w:p>
    <w:p w:rsidR="00121DB6" w:rsidRDefault="00121DB6" w:rsidP="00103528">
      <w:pPr>
        <w:pStyle w:val="BodyText"/>
        <w:numPr>
          <w:ilvl w:val="0"/>
          <w:numId w:val="35"/>
        </w:numPr>
        <w:ind w:left="567" w:hanging="567"/>
      </w:pPr>
      <w:r>
        <w:t>THS funding allocation.</w:t>
      </w:r>
    </w:p>
    <w:p w:rsidR="00121DB6" w:rsidRDefault="00121DB6" w:rsidP="00103528">
      <w:pPr>
        <w:pStyle w:val="BodyText"/>
        <w:numPr>
          <w:ilvl w:val="0"/>
          <w:numId w:val="35"/>
        </w:numPr>
        <w:ind w:left="567" w:hanging="567"/>
      </w:pPr>
      <w:r>
        <w:t>THS funding schedule summary.</w:t>
      </w:r>
    </w:p>
    <w:p w:rsidR="00253C9F" w:rsidRDefault="00121DB6" w:rsidP="00103528">
      <w:pPr>
        <w:pStyle w:val="BodyText"/>
        <w:numPr>
          <w:ilvl w:val="0"/>
          <w:numId w:val="35"/>
        </w:numPr>
        <w:ind w:left="567" w:hanging="567"/>
      </w:pPr>
      <w:r>
        <w:t>National Weighted Activity Unit (NWAU) estimates as per the State’s obligations under the National</w:t>
      </w:r>
      <w:r w:rsidR="003A17CE">
        <w:t xml:space="preserve"> </w:t>
      </w:r>
      <w:r>
        <w:t>Health Reform Agreement.</w:t>
      </w:r>
    </w:p>
    <w:p w:rsidR="00253C9F" w:rsidRDefault="00253C9F">
      <w:pPr>
        <w:rPr>
          <w:rFonts w:ascii="Gill Sans MT" w:eastAsia="GillSans-Light" w:hAnsi="Gill Sans MT" w:cs="GillSans-Light"/>
          <w:lang w:val="en-US"/>
        </w:rPr>
      </w:pPr>
      <w:r>
        <w:br w:type="page"/>
      </w:r>
    </w:p>
    <w:p w:rsidR="00121DB6" w:rsidRDefault="00253C9F" w:rsidP="00253C9F">
      <w:pPr>
        <w:pStyle w:val="Heading4"/>
        <w:rPr>
          <w:i/>
        </w:rPr>
      </w:pPr>
      <w:r>
        <w:lastRenderedPageBreak/>
        <w:t>THS Service Agreement 2015-2016 performance</w:t>
      </w:r>
      <w:r>
        <w:tab/>
      </w:r>
      <w:r w:rsidRPr="00253C9F">
        <w:rPr>
          <w:i/>
        </w:rPr>
        <w:t>Data extracted from FYI 28 July 2016</w:t>
      </w:r>
    </w:p>
    <w:p w:rsidR="00253C9F" w:rsidRPr="00253C9F" w:rsidRDefault="00253C9F" w:rsidP="00AC4324">
      <w:pPr>
        <w:spacing w:after="120"/>
        <w:rPr>
          <w:b/>
        </w:rPr>
      </w:pPr>
      <w:proofErr w:type="gramStart"/>
      <w:r w:rsidRPr="00253C9F">
        <w:rPr>
          <w:b/>
        </w:rPr>
        <w:t>KPI FA1.</w:t>
      </w:r>
      <w:proofErr w:type="gramEnd"/>
      <w:r w:rsidRPr="00253C9F">
        <w:rPr>
          <w:b/>
        </w:rPr>
        <w:t xml:space="preserve"> Variation from budget – Full year projected</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3"/>
        <w:gridCol w:w="1086"/>
        <w:gridCol w:w="1080"/>
        <w:gridCol w:w="1080"/>
        <w:gridCol w:w="1007"/>
        <w:gridCol w:w="2931"/>
      </w:tblGrid>
      <w:tr w:rsidR="00253C9F" w:rsidRPr="00253C9F" w:rsidTr="00253C9F">
        <w:trPr>
          <w:trHeight w:hRule="exact" w:val="777"/>
        </w:trPr>
        <w:tc>
          <w:tcPr>
            <w:tcW w:w="2173" w:type="dxa"/>
            <w:shd w:val="clear" w:color="auto" w:fill="auto"/>
          </w:tcPr>
          <w:p w:rsidR="00253C9F" w:rsidRPr="00253C9F" w:rsidRDefault="00253C9F" w:rsidP="00253C9F">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253C9F" w:rsidRPr="00253C9F" w:rsidRDefault="00253C9F" w:rsidP="00253C9F">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253C9F" w:rsidRPr="00253C9F" w:rsidRDefault="00253C9F" w:rsidP="00253C9F">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253C9F" w:rsidRPr="00253C9F" w:rsidRDefault="00253C9F" w:rsidP="00253C9F">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253C9F" w:rsidRPr="00253C9F" w:rsidRDefault="00253C9F" w:rsidP="00253C9F">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253C9F" w:rsidRPr="00253C9F" w:rsidRDefault="00253C9F" w:rsidP="00253C9F">
            <w:pPr>
              <w:pStyle w:val="TableParagraph"/>
              <w:spacing w:before="51"/>
              <w:ind w:left="970"/>
              <w:rPr>
                <w:rFonts w:ascii="GillSans-SemiBold"/>
                <w:b/>
                <w:sz w:val="20"/>
              </w:rPr>
            </w:pPr>
            <w:r w:rsidRPr="00253C9F">
              <w:rPr>
                <w:rFonts w:ascii="GillSans-SemiBold"/>
                <w:b/>
                <w:sz w:val="20"/>
              </w:rPr>
              <w:t>Comments</w:t>
            </w:r>
          </w:p>
        </w:tc>
      </w:tr>
    </w:tbl>
    <w:p w:rsidR="00253C9F" w:rsidRPr="00253C9F" w:rsidRDefault="00253C9F" w:rsidP="00253C9F"/>
    <w:p w:rsidR="007021D3" w:rsidRDefault="007021D3" w:rsidP="00B75D09">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1. Variation from budget – Full year projected"/>
      </w:tblPr>
      <w:tblGrid>
        <w:gridCol w:w="2169"/>
        <w:gridCol w:w="4253"/>
        <w:gridCol w:w="2927"/>
      </w:tblGrid>
      <w:tr w:rsidR="00253C9F" w:rsidTr="00253C9F">
        <w:trPr>
          <w:trHeight w:hRule="exact" w:val="280"/>
        </w:trPr>
        <w:tc>
          <w:tcPr>
            <w:tcW w:w="2169" w:type="dxa"/>
            <w:shd w:val="clear" w:color="auto" w:fill="auto"/>
          </w:tcPr>
          <w:p w:rsidR="00253C9F" w:rsidRPr="00253C9F" w:rsidRDefault="00253C9F" w:rsidP="00092A97">
            <w:pPr>
              <w:pStyle w:val="TableParagraph"/>
              <w:spacing w:before="39"/>
              <w:ind w:left="76"/>
              <w:rPr>
                <w:rFonts w:ascii="Gill Sans MT" w:hAnsi="Gill Sans MT"/>
                <w:sz w:val="20"/>
              </w:rPr>
            </w:pPr>
            <w:r w:rsidRPr="00253C9F">
              <w:rPr>
                <w:rFonts w:ascii="Gill Sans MT" w:hAnsi="Gill Sans MT"/>
                <w:sz w:val="20"/>
              </w:rPr>
              <w:t>Target</w:t>
            </w:r>
          </w:p>
        </w:tc>
        <w:tc>
          <w:tcPr>
            <w:tcW w:w="4253" w:type="dxa"/>
            <w:shd w:val="clear" w:color="auto" w:fill="auto"/>
          </w:tcPr>
          <w:p w:rsidR="00253C9F" w:rsidRPr="00253C9F" w:rsidRDefault="00253C9F" w:rsidP="00092A97">
            <w:pPr>
              <w:pStyle w:val="TableParagraph"/>
              <w:spacing w:before="39"/>
              <w:ind w:left="76"/>
              <w:rPr>
                <w:rFonts w:ascii="Gill Sans MT" w:hAnsi="Gill Sans MT"/>
                <w:sz w:val="20"/>
              </w:rPr>
            </w:pPr>
            <w:r w:rsidRPr="00253C9F">
              <w:rPr>
                <w:rFonts w:ascii="Gill Sans MT" w:hAnsi="Gill Sans MT"/>
                <w:sz w:val="20"/>
              </w:rPr>
              <w:t>Balanced budget</w:t>
            </w:r>
          </w:p>
        </w:tc>
        <w:tc>
          <w:tcPr>
            <w:tcW w:w="2927" w:type="dxa"/>
            <w:shd w:val="clear" w:color="auto" w:fill="auto"/>
          </w:tcPr>
          <w:p w:rsidR="00253C9F" w:rsidRPr="00253C9F" w:rsidRDefault="00253C9F" w:rsidP="00092A97">
            <w:pPr>
              <w:rPr>
                <w:rFonts w:ascii="Gill Sans MT" w:hAnsi="Gill Sans MT"/>
              </w:rPr>
            </w:pPr>
            <w:r>
              <w:rPr>
                <w:rFonts w:ascii="Gill Sans MT" w:hAnsi="Gill Sans MT"/>
              </w:rPr>
              <w:t>-</w:t>
            </w:r>
          </w:p>
        </w:tc>
      </w:tr>
      <w:tr w:rsidR="00253C9F" w:rsidTr="00253C9F">
        <w:trPr>
          <w:trHeight w:hRule="exact" w:val="5261"/>
        </w:trPr>
        <w:tc>
          <w:tcPr>
            <w:tcW w:w="2169" w:type="dxa"/>
            <w:shd w:val="clear" w:color="auto" w:fill="auto"/>
          </w:tcPr>
          <w:p w:rsidR="00253C9F" w:rsidRPr="00253C9F" w:rsidRDefault="00253C9F" w:rsidP="00092A97">
            <w:pPr>
              <w:pStyle w:val="TableParagraph"/>
              <w:ind w:left="76"/>
              <w:rPr>
                <w:rFonts w:ascii="Gill Sans MT" w:hAnsi="Gill Sans MT"/>
                <w:sz w:val="20"/>
              </w:rPr>
            </w:pPr>
            <w:r w:rsidRPr="00253C9F">
              <w:rPr>
                <w:rFonts w:ascii="Gill Sans MT" w:hAnsi="Gill Sans MT"/>
                <w:sz w:val="20"/>
              </w:rPr>
              <w:t>Result</w:t>
            </w:r>
          </w:p>
        </w:tc>
        <w:tc>
          <w:tcPr>
            <w:tcW w:w="4253" w:type="dxa"/>
            <w:shd w:val="clear" w:color="auto" w:fill="auto"/>
          </w:tcPr>
          <w:p w:rsidR="00253C9F" w:rsidRPr="00253C9F" w:rsidRDefault="00253C9F" w:rsidP="00222594">
            <w:pPr>
              <w:pStyle w:val="TableParagraph"/>
              <w:ind w:right="92"/>
              <w:rPr>
                <w:rFonts w:ascii="Gill Sans MT" w:hAnsi="Gill Sans MT"/>
                <w:sz w:val="20"/>
              </w:rPr>
            </w:pPr>
            <w:r w:rsidRPr="00253C9F">
              <w:rPr>
                <w:rFonts w:ascii="Gill Sans MT" w:hAnsi="Gill Sans MT"/>
                <w:sz w:val="20"/>
              </w:rPr>
              <w:t>$335 000 surplus</w:t>
            </w:r>
          </w:p>
        </w:tc>
        <w:tc>
          <w:tcPr>
            <w:tcW w:w="2927" w:type="dxa"/>
            <w:shd w:val="clear" w:color="auto" w:fill="auto"/>
          </w:tcPr>
          <w:p w:rsidR="00253C9F" w:rsidRPr="00253C9F" w:rsidRDefault="00253C9F" w:rsidP="00092A97">
            <w:pPr>
              <w:pStyle w:val="TableParagraph"/>
              <w:spacing w:before="39" w:line="254" w:lineRule="auto"/>
              <w:ind w:left="76" w:right="214"/>
              <w:rPr>
                <w:rFonts w:ascii="Gill Sans MT" w:hAnsi="Gill Sans MT"/>
                <w:sz w:val="20"/>
              </w:rPr>
            </w:pPr>
            <w:r w:rsidRPr="00253C9F">
              <w:rPr>
                <w:rFonts w:ascii="Gill Sans MT" w:hAnsi="Gill Sans MT"/>
                <w:spacing w:val="-8"/>
                <w:sz w:val="20"/>
              </w:rPr>
              <w:t xml:space="preserve">To </w:t>
            </w:r>
            <w:r w:rsidRPr="00253C9F">
              <w:rPr>
                <w:rFonts w:ascii="Gill Sans MT" w:hAnsi="Gill Sans MT"/>
                <w:sz w:val="20"/>
              </w:rPr>
              <w:t xml:space="preserve">ensure that </w:t>
            </w:r>
            <w:r w:rsidRPr="00253C9F">
              <w:rPr>
                <w:rFonts w:ascii="Gill Sans MT" w:hAnsi="Gill Sans MT"/>
                <w:spacing w:val="2"/>
                <w:sz w:val="20"/>
              </w:rPr>
              <w:t xml:space="preserve">there was </w:t>
            </w:r>
            <w:r w:rsidRPr="00253C9F">
              <w:rPr>
                <w:rFonts w:ascii="Gill Sans MT" w:hAnsi="Gill Sans MT"/>
                <w:sz w:val="20"/>
              </w:rPr>
              <w:t xml:space="preserve">adequate funding available to the </w:t>
            </w:r>
            <w:r w:rsidRPr="00253C9F">
              <w:rPr>
                <w:rFonts w:ascii="Gill Sans MT" w:hAnsi="Gill Sans MT"/>
                <w:spacing w:val="2"/>
                <w:sz w:val="20"/>
              </w:rPr>
              <w:t xml:space="preserve">THS </w:t>
            </w:r>
            <w:r w:rsidRPr="00253C9F">
              <w:rPr>
                <w:rFonts w:ascii="Gill Sans MT" w:hAnsi="Gill Sans MT"/>
                <w:sz w:val="20"/>
              </w:rPr>
              <w:t xml:space="preserve">during the </w:t>
            </w:r>
            <w:r w:rsidRPr="00253C9F">
              <w:rPr>
                <w:rFonts w:ascii="Gill Sans MT" w:hAnsi="Gill Sans MT"/>
                <w:spacing w:val="2"/>
                <w:sz w:val="20"/>
              </w:rPr>
              <w:t xml:space="preserve">transition phase, </w:t>
            </w:r>
            <w:r w:rsidRPr="00253C9F">
              <w:rPr>
                <w:rFonts w:ascii="Gill Sans MT" w:hAnsi="Gill Sans MT"/>
                <w:sz w:val="20"/>
              </w:rPr>
              <w:t xml:space="preserve">a </w:t>
            </w:r>
            <w:r w:rsidRPr="00253C9F">
              <w:rPr>
                <w:rFonts w:ascii="Gill Sans MT" w:hAnsi="Gill Sans MT"/>
                <w:spacing w:val="2"/>
                <w:sz w:val="20"/>
              </w:rPr>
              <w:t xml:space="preserve">supplementary appropriation </w:t>
            </w:r>
            <w:r w:rsidRPr="00253C9F">
              <w:rPr>
                <w:rFonts w:ascii="Gill Sans MT" w:hAnsi="Gill Sans MT"/>
                <w:sz w:val="20"/>
              </w:rPr>
              <w:t xml:space="preserve">of </w:t>
            </w:r>
            <w:r w:rsidRPr="00253C9F">
              <w:rPr>
                <w:rFonts w:ascii="Gill Sans MT" w:hAnsi="Gill Sans MT"/>
                <w:spacing w:val="-6"/>
                <w:sz w:val="20"/>
              </w:rPr>
              <w:t xml:space="preserve">$10 </w:t>
            </w:r>
            <w:r w:rsidRPr="00253C9F">
              <w:rPr>
                <w:rFonts w:ascii="Gill Sans MT" w:hAnsi="Gill Sans MT"/>
                <w:sz w:val="20"/>
              </w:rPr>
              <w:t xml:space="preserve">million </w:t>
            </w:r>
            <w:r w:rsidRPr="00253C9F">
              <w:rPr>
                <w:rFonts w:ascii="Gill Sans MT" w:hAnsi="Gill Sans MT"/>
                <w:spacing w:val="2"/>
                <w:sz w:val="20"/>
              </w:rPr>
              <w:t xml:space="preserve">was </w:t>
            </w:r>
            <w:r w:rsidRPr="00253C9F">
              <w:rPr>
                <w:rFonts w:ascii="Gill Sans MT" w:hAnsi="Gill Sans MT"/>
                <w:sz w:val="20"/>
              </w:rPr>
              <w:t xml:space="preserve">provided to the </w:t>
            </w:r>
            <w:r w:rsidRPr="00253C9F">
              <w:rPr>
                <w:rFonts w:ascii="Gill Sans MT" w:hAnsi="Gill Sans MT"/>
                <w:spacing w:val="2"/>
                <w:sz w:val="20"/>
              </w:rPr>
              <w:t xml:space="preserve">THS </w:t>
            </w:r>
            <w:r w:rsidRPr="00253C9F">
              <w:rPr>
                <w:rFonts w:ascii="Gill Sans MT" w:hAnsi="Gill Sans MT"/>
                <w:sz w:val="20"/>
              </w:rPr>
              <w:t xml:space="preserve">in the </w:t>
            </w:r>
            <w:r w:rsidRPr="00253C9F">
              <w:rPr>
                <w:rFonts w:ascii="Gill Sans MT" w:hAnsi="Gill Sans MT"/>
                <w:spacing w:val="-5"/>
                <w:sz w:val="20"/>
              </w:rPr>
              <w:t xml:space="preserve">2015-16 </w:t>
            </w:r>
            <w:r w:rsidRPr="00253C9F">
              <w:rPr>
                <w:rFonts w:ascii="Gill Sans MT" w:hAnsi="Gill Sans MT"/>
                <w:sz w:val="20"/>
              </w:rPr>
              <w:t xml:space="preserve">Revised </w:t>
            </w:r>
            <w:r w:rsidRPr="00253C9F">
              <w:rPr>
                <w:rFonts w:ascii="Gill Sans MT" w:hAnsi="Gill Sans MT"/>
                <w:spacing w:val="2"/>
                <w:sz w:val="20"/>
              </w:rPr>
              <w:t xml:space="preserve">Estimates </w:t>
            </w:r>
            <w:r w:rsidRPr="00253C9F">
              <w:rPr>
                <w:rFonts w:ascii="Gill Sans MT" w:hAnsi="Gill Sans MT"/>
                <w:spacing w:val="4"/>
                <w:sz w:val="20"/>
              </w:rPr>
              <w:t xml:space="preserve">Report. </w:t>
            </w:r>
            <w:r w:rsidRPr="00253C9F">
              <w:rPr>
                <w:rFonts w:ascii="Gill Sans MT" w:hAnsi="Gill Sans MT"/>
                <w:sz w:val="20"/>
              </w:rPr>
              <w:t xml:space="preserve">Additional </w:t>
            </w:r>
            <w:r w:rsidRPr="00253C9F">
              <w:rPr>
                <w:rFonts w:ascii="Gill Sans MT" w:hAnsi="Gill Sans MT"/>
                <w:spacing w:val="2"/>
                <w:sz w:val="20"/>
              </w:rPr>
              <w:t xml:space="preserve">supplementation was </w:t>
            </w:r>
            <w:r w:rsidRPr="00253C9F">
              <w:rPr>
                <w:rFonts w:ascii="Gill Sans MT" w:hAnsi="Gill Sans MT"/>
                <w:sz w:val="20"/>
              </w:rPr>
              <w:t>also provided by the</w:t>
            </w:r>
            <w:r w:rsidRPr="00253C9F">
              <w:rPr>
                <w:rFonts w:ascii="Gill Sans MT" w:hAnsi="Gill Sans MT"/>
                <w:spacing w:val="19"/>
                <w:sz w:val="20"/>
              </w:rPr>
              <w:t xml:space="preserve"> </w:t>
            </w:r>
            <w:r w:rsidRPr="00253C9F">
              <w:rPr>
                <w:rFonts w:ascii="Gill Sans MT" w:hAnsi="Gill Sans MT"/>
                <w:spacing w:val="3"/>
                <w:sz w:val="20"/>
              </w:rPr>
              <w:t>Department</w:t>
            </w:r>
          </w:p>
          <w:p w:rsidR="00253C9F" w:rsidRPr="00253C9F" w:rsidRDefault="00253C9F" w:rsidP="00092A97">
            <w:pPr>
              <w:pStyle w:val="TableParagraph"/>
              <w:spacing w:line="254" w:lineRule="auto"/>
              <w:ind w:left="76" w:right="5"/>
              <w:rPr>
                <w:rFonts w:ascii="Gill Sans MT" w:hAnsi="Gill Sans MT"/>
                <w:sz w:val="20"/>
              </w:rPr>
            </w:pPr>
            <w:r w:rsidRPr="00253C9F">
              <w:rPr>
                <w:rFonts w:ascii="Gill Sans MT" w:hAnsi="Gill Sans MT"/>
                <w:sz w:val="20"/>
              </w:rPr>
              <w:t>of Health and Human Services (DHHS) in the form of $5 million for the Workforce Renewal Incentive Program (WRIP)</w:t>
            </w:r>
          </w:p>
          <w:p w:rsidR="00253C9F" w:rsidRPr="00253C9F" w:rsidRDefault="00253C9F" w:rsidP="00092A97">
            <w:pPr>
              <w:pStyle w:val="TableParagraph"/>
              <w:spacing w:line="254" w:lineRule="auto"/>
              <w:ind w:left="76" w:right="112"/>
              <w:rPr>
                <w:rFonts w:ascii="Gill Sans MT" w:hAnsi="Gill Sans MT"/>
                <w:sz w:val="20"/>
              </w:rPr>
            </w:pPr>
            <w:proofErr w:type="gramStart"/>
            <w:r w:rsidRPr="00253C9F">
              <w:rPr>
                <w:rFonts w:ascii="Gill Sans MT" w:hAnsi="Gill Sans MT"/>
                <w:sz w:val="20"/>
              </w:rPr>
              <w:t>and</w:t>
            </w:r>
            <w:proofErr w:type="gramEnd"/>
            <w:r w:rsidRPr="00253C9F">
              <w:rPr>
                <w:rFonts w:ascii="Gill Sans MT" w:hAnsi="Gill Sans MT"/>
                <w:sz w:val="20"/>
              </w:rPr>
              <w:t xml:space="preserve"> Targeted and Negotiated Voluntary Redundancies (TNVRs). </w:t>
            </w:r>
            <w:r w:rsidRPr="00253C9F">
              <w:rPr>
                <w:rFonts w:ascii="Gill Sans MT" w:hAnsi="Gill Sans MT"/>
                <w:spacing w:val="2"/>
                <w:sz w:val="20"/>
              </w:rPr>
              <w:t xml:space="preserve">The </w:t>
            </w:r>
            <w:r w:rsidRPr="00253C9F">
              <w:rPr>
                <w:rFonts w:ascii="Gill Sans MT" w:hAnsi="Gill Sans MT"/>
                <w:spacing w:val="3"/>
                <w:sz w:val="20"/>
              </w:rPr>
              <w:t xml:space="preserve">Department </w:t>
            </w:r>
            <w:proofErr w:type="gramStart"/>
            <w:r w:rsidRPr="00253C9F">
              <w:rPr>
                <w:rFonts w:ascii="Gill Sans MT" w:hAnsi="Gill Sans MT"/>
                <w:sz w:val="20"/>
              </w:rPr>
              <w:t>also  purchased</w:t>
            </w:r>
            <w:proofErr w:type="gramEnd"/>
            <w:r w:rsidRPr="00253C9F">
              <w:rPr>
                <w:rFonts w:ascii="Gill Sans MT" w:hAnsi="Gill Sans MT"/>
                <w:sz w:val="20"/>
              </w:rPr>
              <w:t xml:space="preserve"> a number of </w:t>
            </w:r>
            <w:r w:rsidRPr="00253C9F">
              <w:rPr>
                <w:rFonts w:ascii="Gill Sans MT" w:hAnsi="Gill Sans MT"/>
                <w:spacing w:val="2"/>
                <w:sz w:val="20"/>
              </w:rPr>
              <w:t xml:space="preserve">Mental Health </w:t>
            </w:r>
            <w:r w:rsidRPr="00253C9F">
              <w:rPr>
                <w:rFonts w:ascii="Gill Sans MT" w:hAnsi="Gill Sans MT"/>
                <w:spacing w:val="3"/>
                <w:sz w:val="20"/>
              </w:rPr>
              <w:t xml:space="preserve">properties </w:t>
            </w:r>
            <w:r w:rsidRPr="00253C9F">
              <w:rPr>
                <w:rFonts w:ascii="Gill Sans MT" w:hAnsi="Gill Sans MT"/>
                <w:sz w:val="20"/>
              </w:rPr>
              <w:t xml:space="preserve">used by the </w:t>
            </w:r>
            <w:r w:rsidRPr="00253C9F">
              <w:rPr>
                <w:rFonts w:ascii="Gill Sans MT" w:hAnsi="Gill Sans MT"/>
                <w:spacing w:val="3"/>
                <w:sz w:val="20"/>
              </w:rPr>
              <w:t xml:space="preserve">THS, </w:t>
            </w:r>
            <w:r w:rsidRPr="00253C9F">
              <w:rPr>
                <w:rFonts w:ascii="Gill Sans MT" w:hAnsi="Gill Sans MT"/>
                <w:sz w:val="20"/>
              </w:rPr>
              <w:t xml:space="preserve">which will </w:t>
            </w:r>
            <w:r w:rsidRPr="00253C9F">
              <w:rPr>
                <w:rFonts w:ascii="Gill Sans MT" w:hAnsi="Gill Sans MT"/>
                <w:spacing w:val="3"/>
                <w:sz w:val="20"/>
              </w:rPr>
              <w:t xml:space="preserve">benefit </w:t>
            </w:r>
            <w:r w:rsidRPr="00253C9F">
              <w:rPr>
                <w:rFonts w:ascii="Gill Sans MT" w:hAnsi="Gill Sans MT"/>
                <w:sz w:val="20"/>
              </w:rPr>
              <w:t xml:space="preserve">the </w:t>
            </w:r>
            <w:r w:rsidRPr="00253C9F">
              <w:rPr>
                <w:rFonts w:ascii="Gill Sans MT" w:hAnsi="Gill Sans MT"/>
                <w:spacing w:val="2"/>
                <w:sz w:val="20"/>
              </w:rPr>
              <w:t xml:space="preserve">service </w:t>
            </w:r>
            <w:r w:rsidRPr="00253C9F">
              <w:rPr>
                <w:rFonts w:ascii="Gill Sans MT" w:hAnsi="Gill Sans MT"/>
                <w:sz w:val="20"/>
              </w:rPr>
              <w:t>going</w:t>
            </w:r>
            <w:r w:rsidRPr="00253C9F">
              <w:rPr>
                <w:rFonts w:ascii="Gill Sans MT" w:hAnsi="Gill Sans MT"/>
                <w:spacing w:val="5"/>
                <w:sz w:val="20"/>
              </w:rPr>
              <w:t xml:space="preserve"> </w:t>
            </w:r>
            <w:r w:rsidRPr="00253C9F">
              <w:rPr>
                <w:rFonts w:ascii="Gill Sans MT" w:hAnsi="Gill Sans MT"/>
                <w:spacing w:val="3"/>
                <w:sz w:val="20"/>
              </w:rPr>
              <w:t>forward.</w:t>
            </w:r>
          </w:p>
        </w:tc>
      </w:tr>
    </w:tbl>
    <w:p w:rsidR="00AC4324" w:rsidRDefault="00AC4324" w:rsidP="00AC4324">
      <w:pPr>
        <w:spacing w:after="120"/>
        <w:rPr>
          <w:b/>
        </w:rPr>
      </w:pPr>
    </w:p>
    <w:p w:rsidR="00AC4324" w:rsidRPr="00253C9F" w:rsidRDefault="00AC4324" w:rsidP="00AC4324">
      <w:pPr>
        <w:spacing w:after="120"/>
        <w:rPr>
          <w:b/>
        </w:rPr>
      </w:pPr>
      <w:proofErr w:type="gramStart"/>
      <w:r>
        <w:rPr>
          <w:b/>
        </w:rPr>
        <w:t>KPI FA2</w:t>
      </w:r>
      <w:r w:rsidRPr="00253C9F">
        <w:rPr>
          <w:b/>
        </w:rPr>
        <w:t>.</w:t>
      </w:r>
      <w:proofErr w:type="gramEnd"/>
      <w:r w:rsidRPr="00253C9F">
        <w:rPr>
          <w:b/>
        </w:rPr>
        <w:t xml:space="preserve"> </w:t>
      </w:r>
      <w:r>
        <w:rPr>
          <w:b/>
        </w:rPr>
        <w:t>Cash Liquidity</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3"/>
        <w:gridCol w:w="1086"/>
        <w:gridCol w:w="1080"/>
        <w:gridCol w:w="1080"/>
        <w:gridCol w:w="1007"/>
        <w:gridCol w:w="2931"/>
      </w:tblGrid>
      <w:tr w:rsidR="00AC4324" w:rsidRPr="00253C9F" w:rsidTr="00092A97">
        <w:trPr>
          <w:trHeight w:hRule="exact" w:val="777"/>
        </w:trPr>
        <w:tc>
          <w:tcPr>
            <w:tcW w:w="2173" w:type="dxa"/>
            <w:shd w:val="clear" w:color="auto" w:fill="auto"/>
          </w:tcPr>
          <w:p w:rsidR="00AC4324" w:rsidRPr="00253C9F" w:rsidRDefault="00AC4324" w:rsidP="00092A97">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AC4324" w:rsidRPr="00253C9F" w:rsidRDefault="00AC4324" w:rsidP="00092A97">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AC4324" w:rsidRPr="00253C9F" w:rsidRDefault="00AC4324" w:rsidP="00092A97">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AC4324" w:rsidRPr="00253C9F" w:rsidRDefault="00AC4324" w:rsidP="00092A97">
            <w:pPr>
              <w:pStyle w:val="TableParagraph"/>
              <w:spacing w:before="51"/>
              <w:ind w:left="970"/>
              <w:rPr>
                <w:rFonts w:ascii="GillSans-SemiBold"/>
                <w:b/>
                <w:sz w:val="20"/>
              </w:rPr>
            </w:pPr>
            <w:r w:rsidRPr="00253C9F">
              <w:rPr>
                <w:rFonts w:ascii="GillSans-SemiBold"/>
                <w:b/>
                <w:sz w:val="20"/>
              </w:rPr>
              <w:t>Comments</w:t>
            </w:r>
          </w:p>
        </w:tc>
      </w:tr>
    </w:tbl>
    <w:p w:rsidR="00AC4324" w:rsidRPr="00253C9F" w:rsidRDefault="00AC4324" w:rsidP="00AC4324"/>
    <w:p w:rsidR="00AC4324" w:rsidRDefault="00AC4324" w:rsidP="00AC4324">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2. Cash Liquidity"/>
      </w:tblPr>
      <w:tblGrid>
        <w:gridCol w:w="2169"/>
        <w:gridCol w:w="4253"/>
        <w:gridCol w:w="2927"/>
      </w:tblGrid>
      <w:tr w:rsidR="00AC4324" w:rsidTr="00092A97">
        <w:trPr>
          <w:trHeight w:hRule="exact" w:val="280"/>
        </w:trPr>
        <w:tc>
          <w:tcPr>
            <w:tcW w:w="2169"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Target</w:t>
            </w:r>
          </w:p>
        </w:tc>
        <w:tc>
          <w:tcPr>
            <w:tcW w:w="4253"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THO Operating account has a favourable balance</w:t>
            </w:r>
          </w:p>
        </w:tc>
        <w:tc>
          <w:tcPr>
            <w:tcW w:w="2927" w:type="dxa"/>
            <w:shd w:val="clear" w:color="auto" w:fill="auto"/>
          </w:tcPr>
          <w:p w:rsidR="00AC4324" w:rsidRPr="00AC4324" w:rsidRDefault="00AC4324" w:rsidP="00092A97">
            <w:pPr>
              <w:rPr>
                <w:rFonts w:ascii="Gill Sans MT" w:hAnsi="Gill Sans MT"/>
              </w:rPr>
            </w:pPr>
            <w:r w:rsidRPr="00AC4324">
              <w:rPr>
                <w:rFonts w:ascii="Gill Sans MT" w:hAnsi="Gill Sans MT"/>
              </w:rPr>
              <w:t>-</w:t>
            </w:r>
          </w:p>
        </w:tc>
      </w:tr>
      <w:tr w:rsidR="00AC4324" w:rsidTr="00AC4324">
        <w:trPr>
          <w:trHeight w:hRule="exact" w:val="3984"/>
        </w:trPr>
        <w:tc>
          <w:tcPr>
            <w:tcW w:w="2169" w:type="dxa"/>
            <w:shd w:val="clear" w:color="auto" w:fill="auto"/>
            <w:vAlign w:val="center"/>
          </w:tcPr>
          <w:p w:rsidR="00AC4324" w:rsidRPr="00AC4324" w:rsidRDefault="00AC4324" w:rsidP="00AC4324">
            <w:pPr>
              <w:pStyle w:val="TableParagraph"/>
              <w:spacing w:before="39"/>
              <w:ind w:left="76"/>
              <w:rPr>
                <w:rFonts w:ascii="Gill Sans MT" w:hAnsi="Gill Sans MT"/>
                <w:sz w:val="20"/>
              </w:rPr>
            </w:pPr>
            <w:r w:rsidRPr="00AC4324">
              <w:rPr>
                <w:rFonts w:ascii="Gill Sans MT" w:hAnsi="Gill Sans MT"/>
                <w:sz w:val="20"/>
              </w:rPr>
              <w:t>Result</w:t>
            </w:r>
          </w:p>
        </w:tc>
        <w:tc>
          <w:tcPr>
            <w:tcW w:w="4253" w:type="dxa"/>
            <w:shd w:val="clear" w:color="auto" w:fill="auto"/>
            <w:vAlign w:val="center"/>
          </w:tcPr>
          <w:p w:rsidR="00AC4324" w:rsidRPr="00AC4324" w:rsidRDefault="00AC4324" w:rsidP="00AC4324">
            <w:pPr>
              <w:pStyle w:val="TableParagraph"/>
              <w:spacing w:before="39"/>
              <w:ind w:left="76"/>
              <w:rPr>
                <w:rFonts w:ascii="Gill Sans MT" w:hAnsi="Gill Sans MT"/>
                <w:sz w:val="20"/>
              </w:rPr>
            </w:pPr>
            <w:r w:rsidRPr="00AC4324">
              <w:rPr>
                <w:rFonts w:ascii="Gill Sans MT" w:hAnsi="Gill Sans MT"/>
                <w:sz w:val="20"/>
              </w:rPr>
              <w:t>$71.3 million</w:t>
            </w:r>
          </w:p>
        </w:tc>
        <w:tc>
          <w:tcPr>
            <w:tcW w:w="2927" w:type="dxa"/>
            <w:shd w:val="clear" w:color="auto" w:fill="auto"/>
          </w:tcPr>
          <w:p w:rsidR="00AC4324" w:rsidRPr="00AC4324" w:rsidRDefault="00AC4324" w:rsidP="00AC4324">
            <w:pPr>
              <w:pStyle w:val="TableParagraph"/>
              <w:spacing w:before="39"/>
              <w:rPr>
                <w:rFonts w:ascii="Gill Sans MT" w:hAnsi="Gill Sans MT"/>
                <w:sz w:val="20"/>
              </w:rPr>
            </w:pPr>
            <w:r w:rsidRPr="00AC4324">
              <w:rPr>
                <w:rFonts w:ascii="Gill Sans MT" w:hAnsi="Gill Sans MT"/>
                <w:sz w:val="20"/>
              </w:rPr>
              <w:t>At 30 June 2016 the THS had</w:t>
            </w:r>
          </w:p>
          <w:p w:rsidR="00AC4324" w:rsidRPr="00AC4324" w:rsidRDefault="00AC4324" w:rsidP="00AC4324">
            <w:pPr>
              <w:rPr>
                <w:rFonts w:ascii="Gill Sans MT" w:hAnsi="Gill Sans MT"/>
              </w:rPr>
            </w:pPr>
            <w:r w:rsidRPr="00AC4324">
              <w:rPr>
                <w:rFonts w:ascii="Gill Sans MT" w:hAnsi="Gill Sans MT"/>
                <w:spacing w:val="-4"/>
                <w:sz w:val="20"/>
              </w:rPr>
              <w:t xml:space="preserve">$71.3 </w:t>
            </w:r>
            <w:r w:rsidRPr="00AC4324">
              <w:rPr>
                <w:rFonts w:ascii="Gill Sans MT" w:hAnsi="Gill Sans MT"/>
                <w:sz w:val="20"/>
              </w:rPr>
              <w:t xml:space="preserve">million against </w:t>
            </w:r>
            <w:r w:rsidRPr="00AC4324">
              <w:rPr>
                <w:rFonts w:ascii="Gill Sans MT" w:hAnsi="Gill Sans MT"/>
                <w:spacing w:val="3"/>
                <w:sz w:val="20"/>
              </w:rPr>
              <w:t xml:space="preserve">its </w:t>
            </w:r>
            <w:r w:rsidRPr="00AC4324">
              <w:rPr>
                <w:rFonts w:ascii="Gill Sans MT" w:hAnsi="Gill Sans MT"/>
                <w:spacing w:val="2"/>
                <w:sz w:val="20"/>
              </w:rPr>
              <w:t xml:space="preserve">Operating </w:t>
            </w:r>
            <w:r w:rsidRPr="00AC4324">
              <w:rPr>
                <w:rFonts w:ascii="Gill Sans MT" w:hAnsi="Gill Sans MT"/>
                <w:sz w:val="20"/>
              </w:rPr>
              <w:t xml:space="preserve">Account, of which </w:t>
            </w:r>
            <w:r w:rsidRPr="00AC4324">
              <w:rPr>
                <w:rFonts w:ascii="Gill Sans MT" w:hAnsi="Gill Sans MT"/>
                <w:spacing w:val="2"/>
                <w:sz w:val="20"/>
              </w:rPr>
              <w:t xml:space="preserve">$30.2 </w:t>
            </w:r>
            <w:r w:rsidRPr="00AC4324">
              <w:rPr>
                <w:rFonts w:ascii="Gill Sans MT" w:hAnsi="Gill Sans MT"/>
                <w:sz w:val="20"/>
              </w:rPr>
              <w:t xml:space="preserve">million related to </w:t>
            </w:r>
            <w:r w:rsidRPr="00AC4324">
              <w:rPr>
                <w:rFonts w:ascii="Gill Sans MT" w:hAnsi="Gill Sans MT"/>
                <w:spacing w:val="2"/>
                <w:sz w:val="20"/>
              </w:rPr>
              <w:t xml:space="preserve">discretionary </w:t>
            </w:r>
            <w:r w:rsidRPr="00AC4324">
              <w:rPr>
                <w:rFonts w:ascii="Gill Sans MT" w:hAnsi="Gill Sans MT"/>
                <w:sz w:val="20"/>
              </w:rPr>
              <w:t xml:space="preserve">(untied) funding. Of the </w:t>
            </w:r>
            <w:r w:rsidRPr="00AC4324">
              <w:rPr>
                <w:rFonts w:ascii="Gill Sans MT" w:hAnsi="Gill Sans MT"/>
                <w:spacing w:val="2"/>
                <w:sz w:val="20"/>
              </w:rPr>
              <w:t xml:space="preserve">discretionary </w:t>
            </w:r>
            <w:r w:rsidRPr="00AC4324">
              <w:rPr>
                <w:rFonts w:ascii="Gill Sans MT" w:hAnsi="Gill Sans MT"/>
                <w:sz w:val="20"/>
              </w:rPr>
              <w:t xml:space="preserve">balance approximately $23 million relates to </w:t>
            </w:r>
            <w:r w:rsidRPr="00AC4324">
              <w:rPr>
                <w:rFonts w:ascii="Gill Sans MT" w:hAnsi="Gill Sans MT"/>
                <w:spacing w:val="-5"/>
                <w:sz w:val="20"/>
              </w:rPr>
              <w:t xml:space="preserve">2014-15 </w:t>
            </w:r>
            <w:r w:rsidRPr="00AC4324">
              <w:rPr>
                <w:rFonts w:ascii="Gill Sans MT" w:hAnsi="Gill Sans MT"/>
                <w:sz w:val="20"/>
              </w:rPr>
              <w:t xml:space="preserve">and </w:t>
            </w:r>
            <w:r w:rsidRPr="00AC4324">
              <w:rPr>
                <w:rFonts w:ascii="Gill Sans MT" w:hAnsi="Gill Sans MT"/>
                <w:spacing w:val="-5"/>
                <w:sz w:val="20"/>
              </w:rPr>
              <w:t xml:space="preserve">2015-16 </w:t>
            </w:r>
            <w:r w:rsidRPr="00AC4324">
              <w:rPr>
                <w:rFonts w:ascii="Gill Sans MT" w:hAnsi="Gill Sans MT"/>
                <w:sz w:val="20"/>
              </w:rPr>
              <w:t xml:space="preserve">cross </w:t>
            </w:r>
            <w:r w:rsidRPr="00AC4324">
              <w:rPr>
                <w:rFonts w:ascii="Gill Sans MT" w:hAnsi="Gill Sans MT"/>
                <w:spacing w:val="2"/>
                <w:sz w:val="20"/>
              </w:rPr>
              <w:t xml:space="preserve">border </w:t>
            </w:r>
            <w:r w:rsidRPr="00AC4324">
              <w:rPr>
                <w:rFonts w:ascii="Gill Sans MT" w:hAnsi="Gill Sans MT"/>
                <w:sz w:val="20"/>
              </w:rPr>
              <w:t xml:space="preserve">commitments which will be </w:t>
            </w:r>
            <w:r w:rsidRPr="00AC4324">
              <w:rPr>
                <w:rFonts w:ascii="Gill Sans MT" w:hAnsi="Gill Sans MT"/>
                <w:spacing w:val="3"/>
                <w:sz w:val="20"/>
              </w:rPr>
              <w:t xml:space="preserve">carried forward </w:t>
            </w:r>
            <w:r w:rsidRPr="00AC4324">
              <w:rPr>
                <w:rFonts w:ascii="Gill Sans MT" w:hAnsi="Gill Sans MT"/>
                <w:sz w:val="20"/>
              </w:rPr>
              <w:t xml:space="preserve">into </w:t>
            </w:r>
            <w:r w:rsidRPr="00AC4324">
              <w:rPr>
                <w:rFonts w:ascii="Gill Sans MT" w:hAnsi="Gill Sans MT"/>
                <w:spacing w:val="-3"/>
                <w:sz w:val="20"/>
              </w:rPr>
              <w:t xml:space="preserve">2016- </w:t>
            </w:r>
            <w:r w:rsidRPr="00AC4324">
              <w:rPr>
                <w:rFonts w:ascii="Gill Sans MT" w:hAnsi="Gill Sans MT"/>
                <w:spacing w:val="-7"/>
                <w:sz w:val="20"/>
              </w:rPr>
              <w:t xml:space="preserve">17 </w:t>
            </w:r>
            <w:r w:rsidRPr="00AC4324">
              <w:rPr>
                <w:rFonts w:ascii="Gill Sans MT" w:hAnsi="Gill Sans MT"/>
                <w:sz w:val="20"/>
              </w:rPr>
              <w:t xml:space="preserve">in anticipation of </w:t>
            </w:r>
            <w:r w:rsidRPr="00AC4324">
              <w:rPr>
                <w:rFonts w:ascii="Gill Sans MT" w:hAnsi="Gill Sans MT"/>
                <w:spacing w:val="2"/>
                <w:sz w:val="20"/>
              </w:rPr>
              <w:t xml:space="preserve">settling </w:t>
            </w:r>
            <w:r w:rsidRPr="00AC4324">
              <w:rPr>
                <w:rFonts w:ascii="Gill Sans MT" w:hAnsi="Gill Sans MT"/>
                <w:sz w:val="20"/>
              </w:rPr>
              <w:t xml:space="preserve">these accounts, </w:t>
            </w:r>
            <w:r w:rsidRPr="00AC4324">
              <w:rPr>
                <w:rFonts w:ascii="Gill Sans MT" w:hAnsi="Gill Sans MT"/>
                <w:spacing w:val="2"/>
                <w:sz w:val="20"/>
              </w:rPr>
              <w:t xml:space="preserve">with </w:t>
            </w:r>
            <w:r w:rsidRPr="00AC4324">
              <w:rPr>
                <w:rFonts w:ascii="Gill Sans MT" w:hAnsi="Gill Sans MT"/>
                <w:sz w:val="20"/>
              </w:rPr>
              <w:t xml:space="preserve">the remainder relating to funding for one off </w:t>
            </w:r>
            <w:r w:rsidRPr="00AC4324">
              <w:rPr>
                <w:rFonts w:ascii="Gill Sans MT" w:hAnsi="Gill Sans MT"/>
                <w:spacing w:val="2"/>
                <w:sz w:val="20"/>
              </w:rPr>
              <w:t xml:space="preserve">large expenditures </w:t>
            </w:r>
            <w:r w:rsidRPr="00AC4324">
              <w:rPr>
                <w:rFonts w:ascii="Gill Sans MT" w:hAnsi="Gill Sans MT"/>
                <w:sz w:val="20"/>
              </w:rPr>
              <w:t xml:space="preserve">anticipated to be paid in </w:t>
            </w:r>
            <w:r w:rsidRPr="00AC4324">
              <w:rPr>
                <w:rFonts w:ascii="Gill Sans MT" w:hAnsi="Gill Sans MT"/>
                <w:spacing w:val="-5"/>
                <w:sz w:val="20"/>
              </w:rPr>
              <w:t xml:space="preserve">2015-16 </w:t>
            </w:r>
            <w:r w:rsidRPr="00AC4324">
              <w:rPr>
                <w:rFonts w:ascii="Gill Sans MT" w:hAnsi="Gill Sans MT"/>
                <w:spacing w:val="2"/>
                <w:sz w:val="20"/>
              </w:rPr>
              <w:t xml:space="preserve">but </w:t>
            </w:r>
            <w:r w:rsidRPr="00AC4324">
              <w:rPr>
                <w:rFonts w:ascii="Gill Sans MT" w:hAnsi="Gill Sans MT"/>
                <w:sz w:val="20"/>
              </w:rPr>
              <w:t xml:space="preserve">not yet </w:t>
            </w:r>
            <w:r w:rsidRPr="00AC4324">
              <w:rPr>
                <w:rFonts w:ascii="Gill Sans MT" w:hAnsi="Gill Sans MT"/>
                <w:spacing w:val="2"/>
                <w:sz w:val="20"/>
              </w:rPr>
              <w:t>incurred.</w:t>
            </w:r>
          </w:p>
        </w:tc>
      </w:tr>
    </w:tbl>
    <w:p w:rsidR="00AC4324" w:rsidRDefault="00AC4324" w:rsidP="00B75D09">
      <w:pPr>
        <w:pStyle w:val="BodyText"/>
      </w:pPr>
    </w:p>
    <w:p w:rsidR="00AC4324" w:rsidRPr="000D153B" w:rsidRDefault="00AC4324" w:rsidP="00AC4324">
      <w:pPr>
        <w:rPr>
          <w:rFonts w:ascii="Gill Sans MT" w:hAnsi="Gill Sans MT"/>
          <w:b/>
        </w:rPr>
      </w:pPr>
      <w:r>
        <w:br w:type="page"/>
      </w:r>
      <w:proofErr w:type="gramStart"/>
      <w:r w:rsidRPr="000D153B">
        <w:rPr>
          <w:rFonts w:ascii="Gill Sans MT" w:hAnsi="Gill Sans MT"/>
          <w:b/>
        </w:rPr>
        <w:lastRenderedPageBreak/>
        <w:t>KPI FA3.</w:t>
      </w:r>
      <w:proofErr w:type="gramEnd"/>
      <w:r w:rsidRPr="000D153B">
        <w:rPr>
          <w:rFonts w:ascii="Gill Sans MT" w:hAnsi="Gill Sans MT"/>
          <w:b/>
        </w:rPr>
        <w:t xml:space="preserve"> </w:t>
      </w:r>
      <w:r w:rsidR="00A500B0" w:rsidRPr="000D153B">
        <w:rPr>
          <w:rFonts w:ascii="Gill Sans MT" w:hAnsi="Gill Sans MT"/>
          <w:b/>
        </w:rPr>
        <w:t>Acute admitted raw sepa</w:t>
      </w:r>
      <w:r w:rsidRPr="000D153B">
        <w:rPr>
          <w:rFonts w:ascii="Gill Sans MT" w:hAnsi="Gill Sans MT"/>
          <w:b/>
        </w:rPr>
        <w:t>rations</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KPI FA3. Acute admitted raw separations"/>
      </w:tblPr>
      <w:tblGrid>
        <w:gridCol w:w="2173"/>
        <w:gridCol w:w="1086"/>
        <w:gridCol w:w="1080"/>
        <w:gridCol w:w="1080"/>
        <w:gridCol w:w="1007"/>
        <w:gridCol w:w="2931"/>
      </w:tblGrid>
      <w:tr w:rsidR="00AC4324" w:rsidRPr="00253C9F" w:rsidTr="00092A97">
        <w:trPr>
          <w:trHeight w:hRule="exact" w:val="777"/>
        </w:trPr>
        <w:tc>
          <w:tcPr>
            <w:tcW w:w="2173" w:type="dxa"/>
            <w:shd w:val="clear" w:color="auto" w:fill="auto"/>
          </w:tcPr>
          <w:p w:rsidR="00AC4324" w:rsidRPr="00253C9F" w:rsidRDefault="00AC4324" w:rsidP="00092A97">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AC4324" w:rsidRPr="00253C9F" w:rsidRDefault="00AC4324" w:rsidP="00092A97">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AC4324" w:rsidRPr="00253C9F" w:rsidRDefault="00AC4324" w:rsidP="00092A97">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AC4324" w:rsidRPr="00253C9F" w:rsidRDefault="00AC4324" w:rsidP="00092A97">
            <w:pPr>
              <w:pStyle w:val="TableParagraph"/>
              <w:spacing w:before="51"/>
              <w:ind w:left="970"/>
              <w:rPr>
                <w:rFonts w:ascii="GillSans-SemiBold"/>
                <w:b/>
                <w:sz w:val="20"/>
              </w:rPr>
            </w:pPr>
            <w:r w:rsidRPr="00253C9F">
              <w:rPr>
                <w:rFonts w:ascii="GillSans-SemiBold"/>
                <w:b/>
                <w:sz w:val="20"/>
              </w:rPr>
              <w:t>Comments</w:t>
            </w:r>
          </w:p>
        </w:tc>
      </w:tr>
    </w:tbl>
    <w:p w:rsidR="00AC4324" w:rsidRPr="00253C9F" w:rsidRDefault="00AC4324" w:rsidP="00AC4324"/>
    <w:p w:rsidR="00AC4324" w:rsidRDefault="00AC4324" w:rsidP="00AC4324">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1. Variation from budget – Full year projected"/>
      </w:tblPr>
      <w:tblGrid>
        <w:gridCol w:w="2169"/>
        <w:gridCol w:w="1063"/>
        <w:gridCol w:w="1063"/>
        <w:gridCol w:w="1063"/>
        <w:gridCol w:w="1064"/>
        <w:gridCol w:w="2927"/>
      </w:tblGrid>
      <w:tr w:rsidR="00AC4324" w:rsidTr="00092A97">
        <w:trPr>
          <w:trHeight w:hRule="exact" w:val="280"/>
        </w:trPr>
        <w:tc>
          <w:tcPr>
            <w:tcW w:w="2169"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Target</w:t>
            </w:r>
            <w:r>
              <w:rPr>
                <w:rFonts w:ascii="Gill Sans MT" w:hAnsi="Gill Sans MT"/>
                <w:sz w:val="20"/>
              </w:rPr>
              <w:t xml:space="preserve"> (cumulative)</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23 504</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 xml:space="preserve">46 794 </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69 586</w:t>
            </w:r>
          </w:p>
        </w:tc>
        <w:tc>
          <w:tcPr>
            <w:tcW w:w="1064"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93 542</w:t>
            </w:r>
          </w:p>
        </w:tc>
        <w:tc>
          <w:tcPr>
            <w:tcW w:w="2927" w:type="dxa"/>
            <w:shd w:val="clear" w:color="auto" w:fill="auto"/>
          </w:tcPr>
          <w:p w:rsidR="00AC4324" w:rsidRPr="00AC4324" w:rsidRDefault="00AC4324" w:rsidP="00092A97">
            <w:pPr>
              <w:rPr>
                <w:rFonts w:ascii="Gill Sans MT" w:hAnsi="Gill Sans MT"/>
              </w:rPr>
            </w:pPr>
            <w:r>
              <w:rPr>
                <w:rFonts w:ascii="Gill Sans MT" w:hAnsi="Gill Sans MT"/>
              </w:rPr>
              <w:t>-</w:t>
            </w:r>
          </w:p>
        </w:tc>
      </w:tr>
      <w:tr w:rsidR="00AC4324" w:rsidTr="00AC4324">
        <w:trPr>
          <w:trHeight w:hRule="exact" w:val="688"/>
        </w:trPr>
        <w:tc>
          <w:tcPr>
            <w:tcW w:w="2169" w:type="dxa"/>
            <w:shd w:val="clear" w:color="auto" w:fill="auto"/>
          </w:tcPr>
          <w:p w:rsidR="00AC4324" w:rsidRPr="00AC4324" w:rsidRDefault="00AC4324" w:rsidP="00AC4324">
            <w:pPr>
              <w:pStyle w:val="TableParagraph"/>
              <w:spacing w:before="39"/>
              <w:ind w:left="76"/>
              <w:rPr>
                <w:rFonts w:ascii="Gill Sans MT" w:hAnsi="Gill Sans MT"/>
                <w:sz w:val="20"/>
              </w:rPr>
            </w:pPr>
            <w:r w:rsidRPr="00AC4324">
              <w:rPr>
                <w:rFonts w:ascii="Gill Sans MT" w:hAnsi="Gill Sans MT"/>
                <w:sz w:val="20"/>
              </w:rPr>
              <w:t>Result</w:t>
            </w:r>
            <w:r>
              <w:rPr>
                <w:rFonts w:ascii="Gill Sans MT" w:hAnsi="Gill Sans MT"/>
                <w:sz w:val="20"/>
              </w:rPr>
              <w:t xml:space="preserve"> (LIVE)</w:t>
            </w:r>
          </w:p>
        </w:tc>
        <w:tc>
          <w:tcPr>
            <w:tcW w:w="1063" w:type="dxa"/>
            <w:shd w:val="clear" w:color="auto" w:fill="auto"/>
          </w:tcPr>
          <w:p w:rsidR="00AC4324" w:rsidRPr="00AC4324" w:rsidRDefault="00AC4324" w:rsidP="00AC4324">
            <w:pPr>
              <w:pStyle w:val="TableParagraph"/>
              <w:spacing w:before="39"/>
              <w:ind w:left="76"/>
              <w:rPr>
                <w:rFonts w:ascii="Gill Sans MT" w:hAnsi="Gill Sans MT"/>
                <w:sz w:val="20"/>
              </w:rPr>
            </w:pPr>
            <w:r>
              <w:rPr>
                <w:rFonts w:ascii="Gill Sans MT" w:hAnsi="Gill Sans MT"/>
                <w:sz w:val="20"/>
              </w:rPr>
              <w:t>23 764</w:t>
            </w:r>
          </w:p>
        </w:tc>
        <w:tc>
          <w:tcPr>
            <w:tcW w:w="1063" w:type="dxa"/>
            <w:shd w:val="clear" w:color="auto" w:fill="auto"/>
          </w:tcPr>
          <w:p w:rsidR="00AC4324" w:rsidRPr="00AC4324" w:rsidRDefault="00AC4324" w:rsidP="00AC4324">
            <w:pPr>
              <w:pStyle w:val="TableParagraph"/>
              <w:spacing w:before="39"/>
              <w:ind w:left="76"/>
              <w:rPr>
                <w:rFonts w:ascii="Gill Sans MT" w:hAnsi="Gill Sans MT"/>
                <w:sz w:val="20"/>
              </w:rPr>
            </w:pPr>
            <w:r>
              <w:rPr>
                <w:rFonts w:ascii="Gill Sans MT" w:hAnsi="Gill Sans MT"/>
                <w:sz w:val="20"/>
              </w:rPr>
              <w:t>47 315</w:t>
            </w:r>
          </w:p>
        </w:tc>
        <w:tc>
          <w:tcPr>
            <w:tcW w:w="1063" w:type="dxa"/>
            <w:shd w:val="clear" w:color="auto" w:fill="auto"/>
          </w:tcPr>
          <w:p w:rsidR="00AC4324" w:rsidRPr="00AC4324" w:rsidRDefault="00AC4324" w:rsidP="00AC4324">
            <w:pPr>
              <w:pStyle w:val="TableParagraph"/>
              <w:spacing w:before="39"/>
              <w:ind w:left="76"/>
              <w:rPr>
                <w:rFonts w:ascii="Gill Sans MT" w:hAnsi="Gill Sans MT"/>
                <w:sz w:val="20"/>
              </w:rPr>
            </w:pPr>
            <w:r>
              <w:rPr>
                <w:rFonts w:ascii="Gill Sans MT" w:hAnsi="Gill Sans MT"/>
                <w:sz w:val="20"/>
              </w:rPr>
              <w:t>70 468</w:t>
            </w:r>
          </w:p>
        </w:tc>
        <w:tc>
          <w:tcPr>
            <w:tcW w:w="1064" w:type="dxa"/>
            <w:shd w:val="clear" w:color="auto" w:fill="auto"/>
          </w:tcPr>
          <w:p w:rsidR="00AC4324" w:rsidRPr="00AC4324" w:rsidRDefault="00AC4324" w:rsidP="00AC4324">
            <w:pPr>
              <w:pStyle w:val="TableParagraph"/>
              <w:spacing w:before="39"/>
              <w:ind w:left="76"/>
              <w:rPr>
                <w:rFonts w:ascii="Gill Sans MT" w:hAnsi="Gill Sans MT"/>
                <w:sz w:val="20"/>
              </w:rPr>
            </w:pPr>
            <w:r>
              <w:rPr>
                <w:rFonts w:ascii="Gill Sans MT" w:hAnsi="Gill Sans MT"/>
                <w:sz w:val="20"/>
              </w:rPr>
              <w:t>96 114</w:t>
            </w:r>
          </w:p>
        </w:tc>
        <w:tc>
          <w:tcPr>
            <w:tcW w:w="2927" w:type="dxa"/>
            <w:shd w:val="clear" w:color="auto" w:fill="auto"/>
          </w:tcPr>
          <w:p w:rsidR="00AC4324" w:rsidRPr="00AC4324" w:rsidRDefault="00AC4324" w:rsidP="00092A97">
            <w:pPr>
              <w:rPr>
                <w:rFonts w:ascii="Gill Sans MT" w:hAnsi="Gill Sans MT"/>
              </w:rPr>
            </w:pPr>
            <w:r>
              <w:rPr>
                <w:rFonts w:ascii="Gill Sans MT" w:hAnsi="Gill Sans MT"/>
              </w:rPr>
              <w:t>Performance 2.7 per cent above target</w:t>
            </w:r>
          </w:p>
        </w:tc>
      </w:tr>
    </w:tbl>
    <w:p w:rsidR="007021D3" w:rsidRDefault="007021D3" w:rsidP="00B75D09">
      <w:pPr>
        <w:pStyle w:val="BodyText"/>
      </w:pPr>
    </w:p>
    <w:p w:rsidR="00AC4324" w:rsidRPr="000D153B" w:rsidRDefault="00AC4324" w:rsidP="00AC4324">
      <w:pPr>
        <w:rPr>
          <w:rFonts w:ascii="Gill Sans MT" w:hAnsi="Gill Sans MT"/>
          <w:b/>
        </w:rPr>
      </w:pPr>
      <w:proofErr w:type="gramStart"/>
      <w:r w:rsidRPr="000D153B">
        <w:rPr>
          <w:rFonts w:ascii="Gill Sans MT" w:hAnsi="Gill Sans MT"/>
          <w:b/>
        </w:rPr>
        <w:t>KPI FA4.</w:t>
      </w:r>
      <w:proofErr w:type="gramEnd"/>
      <w:r w:rsidRPr="000D153B">
        <w:rPr>
          <w:rFonts w:ascii="Gill Sans MT" w:hAnsi="Gill Sans MT"/>
          <w:b/>
        </w:rPr>
        <w:t xml:space="preserve"> Acute admitted inlier weighted units</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KPI FA4. Acute admitted  inlier weighted units"/>
      </w:tblPr>
      <w:tblGrid>
        <w:gridCol w:w="2173"/>
        <w:gridCol w:w="1086"/>
        <w:gridCol w:w="1080"/>
        <w:gridCol w:w="1080"/>
        <w:gridCol w:w="1007"/>
        <w:gridCol w:w="2931"/>
      </w:tblGrid>
      <w:tr w:rsidR="00AC4324" w:rsidRPr="00253C9F" w:rsidTr="00092A97">
        <w:trPr>
          <w:trHeight w:hRule="exact" w:val="777"/>
        </w:trPr>
        <w:tc>
          <w:tcPr>
            <w:tcW w:w="2173" w:type="dxa"/>
            <w:shd w:val="clear" w:color="auto" w:fill="auto"/>
          </w:tcPr>
          <w:p w:rsidR="00AC4324" w:rsidRPr="00253C9F" w:rsidRDefault="00AC4324" w:rsidP="00092A97">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AC4324" w:rsidRPr="00253C9F" w:rsidRDefault="00AC4324" w:rsidP="00092A97">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AC4324" w:rsidRPr="00253C9F" w:rsidRDefault="00AC4324" w:rsidP="00092A97">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AC4324" w:rsidRPr="00253C9F" w:rsidRDefault="00AC4324" w:rsidP="00092A97">
            <w:pPr>
              <w:pStyle w:val="TableParagraph"/>
              <w:spacing w:before="51"/>
              <w:ind w:left="970"/>
              <w:rPr>
                <w:rFonts w:ascii="GillSans-SemiBold"/>
                <w:b/>
                <w:sz w:val="20"/>
              </w:rPr>
            </w:pPr>
            <w:r w:rsidRPr="00253C9F">
              <w:rPr>
                <w:rFonts w:ascii="GillSans-SemiBold"/>
                <w:b/>
                <w:sz w:val="20"/>
              </w:rPr>
              <w:t>Comments</w:t>
            </w:r>
          </w:p>
        </w:tc>
      </w:tr>
    </w:tbl>
    <w:p w:rsidR="00AC4324" w:rsidRPr="00253C9F" w:rsidRDefault="00AC4324" w:rsidP="00AC4324"/>
    <w:p w:rsidR="00AC4324" w:rsidRDefault="00AC4324" w:rsidP="00AC4324">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1. Variation from budget – Full year projected"/>
      </w:tblPr>
      <w:tblGrid>
        <w:gridCol w:w="2169"/>
        <w:gridCol w:w="1063"/>
        <w:gridCol w:w="1063"/>
        <w:gridCol w:w="1063"/>
        <w:gridCol w:w="1064"/>
        <w:gridCol w:w="2927"/>
      </w:tblGrid>
      <w:tr w:rsidR="00AC4324" w:rsidTr="00092A97">
        <w:trPr>
          <w:trHeight w:hRule="exact" w:val="280"/>
        </w:trPr>
        <w:tc>
          <w:tcPr>
            <w:tcW w:w="2169"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Target</w:t>
            </w:r>
            <w:r>
              <w:rPr>
                <w:rFonts w:ascii="Gill Sans MT" w:hAnsi="Gill Sans MT"/>
                <w:sz w:val="20"/>
              </w:rPr>
              <w:t xml:space="preserve"> (cumulative)</w:t>
            </w:r>
          </w:p>
        </w:tc>
        <w:tc>
          <w:tcPr>
            <w:tcW w:w="1063" w:type="dxa"/>
            <w:shd w:val="clear" w:color="auto" w:fill="auto"/>
          </w:tcPr>
          <w:p w:rsidR="00AC4324" w:rsidRPr="00AC4324" w:rsidRDefault="00AC4324" w:rsidP="00AC4324">
            <w:pPr>
              <w:pStyle w:val="TableParagraph"/>
              <w:spacing w:before="39"/>
              <w:ind w:left="76"/>
              <w:rPr>
                <w:rFonts w:ascii="Gill Sans MT" w:hAnsi="Gill Sans MT"/>
                <w:sz w:val="20"/>
              </w:rPr>
            </w:pPr>
            <w:r>
              <w:rPr>
                <w:rFonts w:ascii="Gill Sans MT" w:hAnsi="Gill Sans MT"/>
                <w:sz w:val="20"/>
              </w:rPr>
              <w:t>23 699</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47 481</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69 187</w:t>
            </w:r>
          </w:p>
        </w:tc>
        <w:tc>
          <w:tcPr>
            <w:tcW w:w="1064"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92 636</w:t>
            </w:r>
          </w:p>
        </w:tc>
        <w:tc>
          <w:tcPr>
            <w:tcW w:w="2927" w:type="dxa"/>
            <w:shd w:val="clear" w:color="auto" w:fill="auto"/>
          </w:tcPr>
          <w:p w:rsidR="00AC4324" w:rsidRPr="00AC4324" w:rsidRDefault="00AC4324" w:rsidP="00092A97">
            <w:pPr>
              <w:rPr>
                <w:rFonts w:ascii="Gill Sans MT" w:hAnsi="Gill Sans MT"/>
              </w:rPr>
            </w:pPr>
            <w:r>
              <w:rPr>
                <w:rFonts w:ascii="Gill Sans MT" w:hAnsi="Gill Sans MT"/>
              </w:rPr>
              <w:t>-</w:t>
            </w:r>
          </w:p>
        </w:tc>
      </w:tr>
      <w:tr w:rsidR="00AC4324" w:rsidTr="00AC4324">
        <w:trPr>
          <w:trHeight w:hRule="exact" w:val="1497"/>
        </w:trPr>
        <w:tc>
          <w:tcPr>
            <w:tcW w:w="2169"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Result</w:t>
            </w:r>
            <w:r>
              <w:rPr>
                <w:rFonts w:ascii="Gill Sans MT" w:hAnsi="Gill Sans MT"/>
                <w:sz w:val="20"/>
              </w:rPr>
              <w:t xml:space="preserve"> (LIVE)</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23 800</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47 130</w:t>
            </w:r>
          </w:p>
        </w:tc>
        <w:tc>
          <w:tcPr>
            <w:tcW w:w="1063"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69 871</w:t>
            </w:r>
          </w:p>
        </w:tc>
        <w:tc>
          <w:tcPr>
            <w:tcW w:w="1064" w:type="dxa"/>
            <w:shd w:val="clear" w:color="auto" w:fill="auto"/>
          </w:tcPr>
          <w:p w:rsidR="00AC4324" w:rsidRPr="00AC4324" w:rsidRDefault="00AC4324" w:rsidP="00092A97">
            <w:pPr>
              <w:pStyle w:val="TableParagraph"/>
              <w:spacing w:before="39"/>
              <w:ind w:left="76"/>
              <w:rPr>
                <w:rFonts w:ascii="Gill Sans MT" w:hAnsi="Gill Sans MT"/>
                <w:sz w:val="20"/>
              </w:rPr>
            </w:pPr>
            <w:r>
              <w:rPr>
                <w:rFonts w:ascii="Gill Sans MT" w:hAnsi="Gill Sans MT"/>
                <w:sz w:val="20"/>
              </w:rPr>
              <w:t>95 553*</w:t>
            </w:r>
          </w:p>
        </w:tc>
        <w:tc>
          <w:tcPr>
            <w:tcW w:w="2927" w:type="dxa"/>
            <w:shd w:val="clear" w:color="auto" w:fill="auto"/>
          </w:tcPr>
          <w:p w:rsidR="00AC4324" w:rsidRDefault="00AC4324" w:rsidP="00092A97">
            <w:pPr>
              <w:rPr>
                <w:rFonts w:ascii="Gill Sans MT" w:hAnsi="Gill Sans MT"/>
              </w:rPr>
            </w:pPr>
            <w:r>
              <w:rPr>
                <w:rFonts w:ascii="Gill Sans MT" w:hAnsi="Gill Sans MT"/>
              </w:rPr>
              <w:t>Performance 3 per cent above target.</w:t>
            </w:r>
          </w:p>
          <w:p w:rsidR="00AC4324" w:rsidRPr="00AC4324" w:rsidRDefault="00AC4324" w:rsidP="00AC4324">
            <w:pPr>
              <w:rPr>
                <w:rFonts w:ascii="Gill Sans MT" w:hAnsi="Gill Sans MT"/>
                <w:i/>
                <w:sz w:val="18"/>
                <w:szCs w:val="18"/>
              </w:rPr>
            </w:pPr>
            <w:r w:rsidRPr="00AC4324">
              <w:rPr>
                <w:rFonts w:ascii="Gill Sans MT" w:hAnsi="Gill Sans MT"/>
                <w:i/>
                <w:sz w:val="18"/>
                <w:szCs w:val="18"/>
              </w:rPr>
              <w:t xml:space="preserve">* 1 350 </w:t>
            </w:r>
            <w:r>
              <w:rPr>
                <w:rFonts w:ascii="Gill Sans MT" w:hAnsi="Gill Sans MT"/>
                <w:i/>
                <w:sz w:val="18"/>
                <w:szCs w:val="18"/>
              </w:rPr>
              <w:t>un-coded records included in re</w:t>
            </w:r>
            <w:r w:rsidRPr="00AC4324">
              <w:rPr>
                <w:rFonts w:ascii="Gill Sans MT" w:hAnsi="Gill Sans MT"/>
                <w:i/>
                <w:sz w:val="18"/>
                <w:szCs w:val="18"/>
              </w:rPr>
              <w:t>sult at an assigned value of 1.0</w:t>
            </w:r>
          </w:p>
        </w:tc>
      </w:tr>
    </w:tbl>
    <w:p w:rsidR="00AC4324" w:rsidRDefault="00AC4324" w:rsidP="00B75D09">
      <w:pPr>
        <w:pStyle w:val="BodyText"/>
      </w:pPr>
    </w:p>
    <w:p w:rsidR="00AC4324" w:rsidRPr="000D153B" w:rsidRDefault="00AC4324" w:rsidP="00AC4324">
      <w:pPr>
        <w:rPr>
          <w:rFonts w:ascii="Gill Sans MT" w:hAnsi="Gill Sans MT"/>
          <w:b/>
        </w:rPr>
      </w:pPr>
      <w:proofErr w:type="gramStart"/>
      <w:r w:rsidRPr="000D153B">
        <w:rPr>
          <w:rFonts w:ascii="Gill Sans MT" w:hAnsi="Gill Sans MT"/>
          <w:b/>
        </w:rPr>
        <w:t>KPI FA5.</w:t>
      </w:r>
      <w:proofErr w:type="gramEnd"/>
      <w:r w:rsidRPr="000D153B">
        <w:rPr>
          <w:rFonts w:ascii="Gill Sans MT" w:hAnsi="Gill Sans MT"/>
          <w:b/>
        </w:rPr>
        <w:t xml:space="preserve"> Admitted patient episode coding (clinical coding) including contracted care - timeliness</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KPI FA5. Admitted patient episode coding (clinical coding) including contracted care - timeliness"/>
      </w:tblPr>
      <w:tblGrid>
        <w:gridCol w:w="2173"/>
        <w:gridCol w:w="1086"/>
        <w:gridCol w:w="1080"/>
        <w:gridCol w:w="1080"/>
        <w:gridCol w:w="1007"/>
        <w:gridCol w:w="2931"/>
      </w:tblGrid>
      <w:tr w:rsidR="00AC4324" w:rsidRPr="00253C9F" w:rsidTr="00092A97">
        <w:trPr>
          <w:trHeight w:hRule="exact" w:val="777"/>
        </w:trPr>
        <w:tc>
          <w:tcPr>
            <w:tcW w:w="2173" w:type="dxa"/>
            <w:shd w:val="clear" w:color="auto" w:fill="auto"/>
          </w:tcPr>
          <w:p w:rsidR="00AC4324" w:rsidRPr="00253C9F" w:rsidRDefault="00AC4324" w:rsidP="00092A97">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AC4324" w:rsidRPr="00253C9F" w:rsidRDefault="00AC4324" w:rsidP="00092A97">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AC4324" w:rsidRPr="00253C9F" w:rsidRDefault="00AC4324" w:rsidP="00092A97">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AC4324" w:rsidRPr="00253C9F" w:rsidRDefault="00AC4324" w:rsidP="00092A97">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AC4324" w:rsidRPr="00253C9F" w:rsidRDefault="00AC4324" w:rsidP="00092A97">
            <w:pPr>
              <w:pStyle w:val="TableParagraph"/>
              <w:spacing w:before="51"/>
              <w:ind w:left="970"/>
              <w:rPr>
                <w:rFonts w:ascii="GillSans-SemiBold"/>
                <w:b/>
                <w:sz w:val="20"/>
              </w:rPr>
            </w:pPr>
            <w:r w:rsidRPr="00253C9F">
              <w:rPr>
                <w:rFonts w:ascii="GillSans-SemiBold"/>
                <w:b/>
                <w:sz w:val="20"/>
              </w:rPr>
              <w:t>Comments</w:t>
            </w:r>
          </w:p>
        </w:tc>
      </w:tr>
    </w:tbl>
    <w:p w:rsidR="00AC4324" w:rsidRPr="00253C9F" w:rsidRDefault="00AC4324" w:rsidP="00AC4324"/>
    <w:p w:rsidR="00AC4324" w:rsidRDefault="00AC4324" w:rsidP="00AC4324">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1. Variation from budget – Full year projected"/>
      </w:tblPr>
      <w:tblGrid>
        <w:gridCol w:w="2169"/>
        <w:gridCol w:w="1063"/>
        <w:gridCol w:w="1063"/>
        <w:gridCol w:w="1063"/>
        <w:gridCol w:w="1064"/>
        <w:gridCol w:w="2927"/>
      </w:tblGrid>
      <w:tr w:rsidR="00A500B0" w:rsidTr="00A500B0">
        <w:trPr>
          <w:trHeight w:hRule="exact" w:val="527"/>
        </w:trPr>
        <w:tc>
          <w:tcPr>
            <w:tcW w:w="2169" w:type="dxa"/>
            <w:shd w:val="clear" w:color="auto" w:fill="auto"/>
          </w:tcPr>
          <w:p w:rsidR="00A500B0" w:rsidRPr="00AC4324" w:rsidRDefault="00A500B0" w:rsidP="00092A97">
            <w:pPr>
              <w:pStyle w:val="TableParagraph"/>
              <w:spacing w:before="39"/>
              <w:ind w:left="76"/>
              <w:rPr>
                <w:rFonts w:ascii="Gill Sans MT" w:hAnsi="Gill Sans MT"/>
                <w:sz w:val="20"/>
              </w:rPr>
            </w:pPr>
            <w:r w:rsidRPr="00AC4324">
              <w:rPr>
                <w:rFonts w:ascii="Gill Sans MT" w:hAnsi="Gill Sans MT"/>
                <w:sz w:val="20"/>
              </w:rPr>
              <w:t>Target</w:t>
            </w:r>
            <w:r>
              <w:rPr>
                <w:rFonts w:ascii="Gill Sans MT" w:hAnsi="Gill Sans MT"/>
                <w:sz w:val="20"/>
              </w:rPr>
              <w:t xml:space="preserve"> (cumulative)</w:t>
            </w:r>
          </w:p>
        </w:tc>
        <w:tc>
          <w:tcPr>
            <w:tcW w:w="4253" w:type="dxa"/>
            <w:gridSpan w:val="4"/>
            <w:shd w:val="clear" w:color="auto" w:fill="auto"/>
          </w:tcPr>
          <w:p w:rsidR="00A500B0" w:rsidRPr="00AC4324" w:rsidRDefault="00A500B0" w:rsidP="00092A97">
            <w:pPr>
              <w:pStyle w:val="TableParagraph"/>
              <w:spacing w:before="39"/>
              <w:ind w:left="76"/>
              <w:rPr>
                <w:rFonts w:ascii="Gill Sans MT" w:hAnsi="Gill Sans MT"/>
                <w:sz w:val="20"/>
              </w:rPr>
            </w:pPr>
            <w:r>
              <w:rPr>
                <w:rFonts w:ascii="Gill Sans MT" w:hAnsi="Gill Sans MT"/>
                <w:sz w:val="20"/>
              </w:rPr>
              <w:t>100% coded within 42 days of separation each quarter</w:t>
            </w:r>
          </w:p>
        </w:tc>
        <w:tc>
          <w:tcPr>
            <w:tcW w:w="2927" w:type="dxa"/>
            <w:shd w:val="clear" w:color="auto" w:fill="auto"/>
          </w:tcPr>
          <w:p w:rsidR="00A500B0" w:rsidRPr="00AC4324" w:rsidRDefault="00A500B0" w:rsidP="00092A97">
            <w:pPr>
              <w:rPr>
                <w:rFonts w:ascii="Gill Sans MT" w:hAnsi="Gill Sans MT"/>
              </w:rPr>
            </w:pPr>
            <w:r>
              <w:rPr>
                <w:rFonts w:ascii="Gill Sans MT" w:hAnsi="Gill Sans MT"/>
              </w:rPr>
              <w:t>-</w:t>
            </w:r>
          </w:p>
        </w:tc>
      </w:tr>
      <w:tr w:rsidR="00AC4324" w:rsidTr="00A500B0">
        <w:trPr>
          <w:trHeight w:hRule="exact" w:val="814"/>
        </w:trPr>
        <w:tc>
          <w:tcPr>
            <w:tcW w:w="2169" w:type="dxa"/>
            <w:shd w:val="clear" w:color="auto" w:fill="auto"/>
          </w:tcPr>
          <w:p w:rsidR="00AC4324" w:rsidRPr="00AC4324" w:rsidRDefault="00AC4324" w:rsidP="00092A97">
            <w:pPr>
              <w:pStyle w:val="TableParagraph"/>
              <w:spacing w:before="39"/>
              <w:ind w:left="76"/>
              <w:rPr>
                <w:rFonts w:ascii="Gill Sans MT" w:hAnsi="Gill Sans MT"/>
                <w:sz w:val="20"/>
              </w:rPr>
            </w:pPr>
            <w:r w:rsidRPr="00AC4324">
              <w:rPr>
                <w:rFonts w:ascii="Gill Sans MT" w:hAnsi="Gill Sans MT"/>
                <w:sz w:val="20"/>
              </w:rPr>
              <w:t>Result</w:t>
            </w:r>
            <w:r>
              <w:rPr>
                <w:rFonts w:ascii="Gill Sans MT" w:hAnsi="Gill Sans MT"/>
                <w:sz w:val="20"/>
              </w:rPr>
              <w:t xml:space="preserve"> (LIVE)</w:t>
            </w:r>
          </w:p>
        </w:tc>
        <w:tc>
          <w:tcPr>
            <w:tcW w:w="1063" w:type="dxa"/>
            <w:shd w:val="clear" w:color="auto" w:fill="auto"/>
          </w:tcPr>
          <w:p w:rsidR="00AC4324" w:rsidRPr="00AC4324" w:rsidRDefault="00A500B0" w:rsidP="00092A97">
            <w:pPr>
              <w:pStyle w:val="TableParagraph"/>
              <w:spacing w:before="39"/>
              <w:ind w:left="76"/>
              <w:rPr>
                <w:rFonts w:ascii="Gill Sans MT" w:hAnsi="Gill Sans MT"/>
                <w:sz w:val="20"/>
              </w:rPr>
            </w:pPr>
            <w:r>
              <w:rPr>
                <w:rFonts w:ascii="Gill Sans MT" w:hAnsi="Gill Sans MT"/>
                <w:sz w:val="20"/>
              </w:rPr>
              <w:t>86%</w:t>
            </w:r>
          </w:p>
        </w:tc>
        <w:tc>
          <w:tcPr>
            <w:tcW w:w="1063" w:type="dxa"/>
            <w:shd w:val="clear" w:color="auto" w:fill="auto"/>
          </w:tcPr>
          <w:p w:rsidR="00AC4324" w:rsidRPr="00AC4324" w:rsidRDefault="00A500B0" w:rsidP="00092A97">
            <w:pPr>
              <w:pStyle w:val="TableParagraph"/>
              <w:spacing w:before="39"/>
              <w:ind w:left="76"/>
              <w:rPr>
                <w:rFonts w:ascii="Gill Sans MT" w:hAnsi="Gill Sans MT"/>
                <w:sz w:val="20"/>
              </w:rPr>
            </w:pPr>
            <w:r>
              <w:rPr>
                <w:rFonts w:ascii="Gill Sans MT" w:hAnsi="Gill Sans MT"/>
                <w:sz w:val="20"/>
              </w:rPr>
              <w:t>98%</w:t>
            </w:r>
          </w:p>
        </w:tc>
        <w:tc>
          <w:tcPr>
            <w:tcW w:w="1063" w:type="dxa"/>
            <w:shd w:val="clear" w:color="auto" w:fill="auto"/>
          </w:tcPr>
          <w:p w:rsidR="00AC4324" w:rsidRPr="00AC4324" w:rsidRDefault="00A500B0" w:rsidP="00092A97">
            <w:pPr>
              <w:pStyle w:val="TableParagraph"/>
              <w:spacing w:before="39"/>
              <w:ind w:left="76"/>
              <w:rPr>
                <w:rFonts w:ascii="Gill Sans MT" w:hAnsi="Gill Sans MT"/>
                <w:sz w:val="20"/>
              </w:rPr>
            </w:pPr>
            <w:r>
              <w:rPr>
                <w:rFonts w:ascii="Gill Sans MT" w:hAnsi="Gill Sans MT"/>
                <w:sz w:val="20"/>
              </w:rPr>
              <w:t>95%</w:t>
            </w:r>
          </w:p>
        </w:tc>
        <w:tc>
          <w:tcPr>
            <w:tcW w:w="1064" w:type="dxa"/>
            <w:shd w:val="clear" w:color="auto" w:fill="auto"/>
          </w:tcPr>
          <w:p w:rsidR="00AC4324" w:rsidRPr="00AC4324" w:rsidRDefault="00A500B0" w:rsidP="00092A97">
            <w:pPr>
              <w:pStyle w:val="TableParagraph"/>
              <w:spacing w:before="39"/>
              <w:ind w:left="76"/>
              <w:rPr>
                <w:rFonts w:ascii="Gill Sans MT" w:hAnsi="Gill Sans MT"/>
                <w:sz w:val="20"/>
              </w:rPr>
            </w:pPr>
            <w:r>
              <w:rPr>
                <w:rFonts w:ascii="Gill Sans MT" w:hAnsi="Gill Sans MT"/>
                <w:sz w:val="20"/>
              </w:rPr>
              <w:t xml:space="preserve">Result not yet </w:t>
            </w:r>
            <w:r>
              <w:rPr>
                <w:rFonts w:ascii="Gill Sans MT" w:hAnsi="Gill Sans MT"/>
                <w:sz w:val="20"/>
              </w:rPr>
              <w:br/>
              <w:t>available</w:t>
            </w:r>
          </w:p>
        </w:tc>
        <w:tc>
          <w:tcPr>
            <w:tcW w:w="2927" w:type="dxa"/>
            <w:shd w:val="clear" w:color="auto" w:fill="auto"/>
          </w:tcPr>
          <w:p w:rsidR="00AC4324" w:rsidRPr="00AC4324" w:rsidRDefault="00A500B0" w:rsidP="00092A97">
            <w:pPr>
              <w:rPr>
                <w:rFonts w:ascii="Gill Sans MT" w:hAnsi="Gill Sans MT"/>
                <w:i/>
                <w:sz w:val="18"/>
                <w:szCs w:val="18"/>
              </w:rPr>
            </w:pPr>
            <w:r>
              <w:rPr>
                <w:rFonts w:ascii="Gill Sans MT" w:hAnsi="Gill Sans MT"/>
                <w:i/>
                <w:sz w:val="18"/>
                <w:szCs w:val="18"/>
              </w:rPr>
              <w:t>-</w:t>
            </w:r>
          </w:p>
        </w:tc>
      </w:tr>
    </w:tbl>
    <w:p w:rsidR="00AC4324" w:rsidRDefault="00AC4324" w:rsidP="00B75D09">
      <w:pPr>
        <w:pStyle w:val="BodyText"/>
      </w:pPr>
    </w:p>
    <w:p w:rsidR="00A500B0" w:rsidRPr="000D153B" w:rsidRDefault="00A500B0" w:rsidP="00A500B0">
      <w:pPr>
        <w:rPr>
          <w:rFonts w:ascii="Gill Sans MT" w:hAnsi="Gill Sans MT"/>
          <w:b/>
        </w:rPr>
      </w:pPr>
      <w:proofErr w:type="gramStart"/>
      <w:r w:rsidRPr="000D153B">
        <w:rPr>
          <w:rFonts w:ascii="Gill Sans MT" w:hAnsi="Gill Sans MT"/>
          <w:b/>
        </w:rPr>
        <w:t>KPI FA6.</w:t>
      </w:r>
      <w:proofErr w:type="gramEnd"/>
      <w:r w:rsidRPr="000D153B">
        <w:rPr>
          <w:rFonts w:ascii="Gill Sans MT" w:hAnsi="Gill Sans MT"/>
          <w:b/>
        </w:rPr>
        <w:t xml:space="preserve"> Admitted patient episode coding (clinical coding) including contracted care - accuracy</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KPI FA6. Admitted patient episode coding (clinical coding) including contracted care - accuracy"/>
      </w:tblPr>
      <w:tblGrid>
        <w:gridCol w:w="2173"/>
        <w:gridCol w:w="1086"/>
        <w:gridCol w:w="1080"/>
        <w:gridCol w:w="1080"/>
        <w:gridCol w:w="1007"/>
        <w:gridCol w:w="2931"/>
      </w:tblGrid>
      <w:tr w:rsidR="00A500B0" w:rsidRPr="00253C9F" w:rsidTr="00092A97">
        <w:trPr>
          <w:trHeight w:hRule="exact" w:val="777"/>
        </w:trPr>
        <w:tc>
          <w:tcPr>
            <w:tcW w:w="2173" w:type="dxa"/>
            <w:shd w:val="clear" w:color="auto" w:fill="auto"/>
          </w:tcPr>
          <w:p w:rsidR="00A500B0" w:rsidRPr="00253C9F" w:rsidRDefault="00A500B0" w:rsidP="00092A97">
            <w:pPr>
              <w:pStyle w:val="TableParagraph"/>
              <w:spacing w:before="51"/>
              <w:rPr>
                <w:rFonts w:ascii="GillSans-SemiBold"/>
                <w:b/>
                <w:sz w:val="20"/>
              </w:rPr>
            </w:pPr>
            <w:r w:rsidRPr="00253C9F">
              <w:rPr>
                <w:rFonts w:ascii="GillSans-SemiBold"/>
                <w:b/>
                <w:sz w:val="20"/>
              </w:rPr>
              <w:t>Finance and Activity</w:t>
            </w:r>
          </w:p>
        </w:tc>
        <w:tc>
          <w:tcPr>
            <w:tcW w:w="1086" w:type="dxa"/>
            <w:shd w:val="clear" w:color="auto" w:fill="auto"/>
          </w:tcPr>
          <w:p w:rsidR="00A500B0" w:rsidRPr="00253C9F" w:rsidRDefault="00A500B0" w:rsidP="00092A97">
            <w:pPr>
              <w:pStyle w:val="TableParagraph"/>
              <w:spacing w:before="51"/>
              <w:ind w:left="169" w:right="164" w:hanging="3"/>
              <w:jc w:val="center"/>
              <w:rPr>
                <w:rFonts w:ascii="GillSans-SemiBold"/>
                <w:b/>
                <w:sz w:val="20"/>
              </w:rPr>
            </w:pPr>
            <w:r w:rsidRPr="00253C9F">
              <w:rPr>
                <w:rFonts w:ascii="GillSans-SemiBold"/>
                <w:b/>
                <w:sz w:val="20"/>
              </w:rPr>
              <w:t>1st Quarter Result</w:t>
            </w:r>
          </w:p>
        </w:tc>
        <w:tc>
          <w:tcPr>
            <w:tcW w:w="1080" w:type="dxa"/>
            <w:shd w:val="clear" w:color="auto" w:fill="auto"/>
          </w:tcPr>
          <w:p w:rsidR="00A500B0" w:rsidRPr="00253C9F" w:rsidRDefault="00A500B0" w:rsidP="00092A97">
            <w:pPr>
              <w:pStyle w:val="TableParagraph"/>
              <w:spacing w:before="51"/>
              <w:ind w:left="166" w:right="161" w:hanging="3"/>
              <w:jc w:val="center"/>
              <w:rPr>
                <w:rFonts w:ascii="GillSans-SemiBold"/>
                <w:b/>
                <w:sz w:val="20"/>
              </w:rPr>
            </w:pPr>
            <w:r w:rsidRPr="00253C9F">
              <w:rPr>
                <w:rFonts w:ascii="GillSans-SemiBold"/>
                <w:b/>
                <w:sz w:val="20"/>
              </w:rPr>
              <w:t>2nd Quarter Result</w:t>
            </w:r>
          </w:p>
        </w:tc>
        <w:tc>
          <w:tcPr>
            <w:tcW w:w="1080" w:type="dxa"/>
            <w:shd w:val="clear" w:color="auto" w:fill="auto"/>
          </w:tcPr>
          <w:p w:rsidR="00A500B0" w:rsidRPr="00253C9F" w:rsidRDefault="00A500B0" w:rsidP="00092A97">
            <w:pPr>
              <w:pStyle w:val="TableParagraph"/>
              <w:spacing w:before="51"/>
              <w:ind w:left="166" w:right="161" w:hanging="3"/>
              <w:jc w:val="center"/>
              <w:rPr>
                <w:rFonts w:ascii="GillSans-SemiBold"/>
                <w:b/>
                <w:sz w:val="20"/>
              </w:rPr>
            </w:pPr>
            <w:r w:rsidRPr="00253C9F">
              <w:rPr>
                <w:rFonts w:ascii="GillSans-SemiBold"/>
                <w:b/>
                <w:sz w:val="20"/>
              </w:rPr>
              <w:t>3rd Quarter Result</w:t>
            </w:r>
          </w:p>
        </w:tc>
        <w:tc>
          <w:tcPr>
            <w:tcW w:w="1007" w:type="dxa"/>
            <w:shd w:val="clear" w:color="auto" w:fill="auto"/>
          </w:tcPr>
          <w:p w:rsidR="00A500B0" w:rsidRPr="00253C9F" w:rsidRDefault="00A500B0" w:rsidP="00092A97">
            <w:pPr>
              <w:pStyle w:val="TableParagraph"/>
              <w:spacing w:before="51"/>
              <w:ind w:left="129" w:right="124" w:hanging="3"/>
              <w:jc w:val="center"/>
              <w:rPr>
                <w:rFonts w:ascii="GillSans-SemiBold"/>
                <w:b/>
                <w:sz w:val="20"/>
              </w:rPr>
            </w:pPr>
            <w:r w:rsidRPr="00253C9F">
              <w:rPr>
                <w:rFonts w:ascii="GillSans-SemiBold"/>
                <w:b/>
                <w:sz w:val="20"/>
              </w:rPr>
              <w:t>4th Quarter Result</w:t>
            </w:r>
          </w:p>
        </w:tc>
        <w:tc>
          <w:tcPr>
            <w:tcW w:w="2931" w:type="dxa"/>
            <w:shd w:val="clear" w:color="auto" w:fill="auto"/>
          </w:tcPr>
          <w:p w:rsidR="00A500B0" w:rsidRPr="00253C9F" w:rsidRDefault="00A500B0" w:rsidP="00092A97">
            <w:pPr>
              <w:pStyle w:val="TableParagraph"/>
              <w:spacing w:before="51"/>
              <w:ind w:left="970"/>
              <w:rPr>
                <w:rFonts w:ascii="GillSans-SemiBold"/>
                <w:b/>
                <w:sz w:val="20"/>
              </w:rPr>
            </w:pPr>
            <w:r w:rsidRPr="00253C9F">
              <w:rPr>
                <w:rFonts w:ascii="GillSans-SemiBold"/>
                <w:b/>
                <w:sz w:val="20"/>
              </w:rPr>
              <w:t>Comments</w:t>
            </w:r>
          </w:p>
        </w:tc>
      </w:tr>
    </w:tbl>
    <w:p w:rsidR="00A500B0" w:rsidRPr="00253C9F" w:rsidRDefault="00A500B0" w:rsidP="00A500B0"/>
    <w:p w:rsidR="00A500B0" w:rsidRDefault="00A500B0" w:rsidP="00A500B0">
      <w:pPr>
        <w:pStyle w:val="BodyText"/>
      </w:pPr>
    </w:p>
    <w:tbl>
      <w:tblPr>
        <w:tblW w:w="0" w:type="auto"/>
        <w:tblInd w:w="4"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KPI FA1. Variation from budget – Full year projected"/>
      </w:tblPr>
      <w:tblGrid>
        <w:gridCol w:w="2169"/>
        <w:gridCol w:w="1063"/>
        <w:gridCol w:w="1063"/>
        <w:gridCol w:w="1063"/>
        <w:gridCol w:w="1064"/>
        <w:gridCol w:w="2927"/>
      </w:tblGrid>
      <w:tr w:rsidR="00A500B0" w:rsidTr="00A500B0">
        <w:trPr>
          <w:trHeight w:hRule="exact" w:val="514"/>
        </w:trPr>
        <w:tc>
          <w:tcPr>
            <w:tcW w:w="2169" w:type="dxa"/>
            <w:shd w:val="clear" w:color="auto" w:fill="auto"/>
          </w:tcPr>
          <w:p w:rsidR="00A500B0" w:rsidRPr="00AC4324" w:rsidRDefault="00A500B0" w:rsidP="00092A97">
            <w:pPr>
              <w:pStyle w:val="TableParagraph"/>
              <w:spacing w:before="39"/>
              <w:ind w:left="76"/>
              <w:rPr>
                <w:rFonts w:ascii="Gill Sans MT" w:hAnsi="Gill Sans MT"/>
                <w:sz w:val="20"/>
              </w:rPr>
            </w:pPr>
            <w:r w:rsidRPr="00AC4324">
              <w:rPr>
                <w:rFonts w:ascii="Gill Sans MT" w:hAnsi="Gill Sans MT"/>
                <w:sz w:val="20"/>
              </w:rPr>
              <w:t>Target</w:t>
            </w:r>
            <w:r>
              <w:rPr>
                <w:rFonts w:ascii="Gill Sans MT" w:hAnsi="Gill Sans MT"/>
                <w:sz w:val="20"/>
              </w:rPr>
              <w:t xml:space="preserve"> (cumulative)</w:t>
            </w:r>
          </w:p>
        </w:tc>
        <w:tc>
          <w:tcPr>
            <w:tcW w:w="4253" w:type="dxa"/>
            <w:gridSpan w:val="4"/>
            <w:shd w:val="clear" w:color="auto" w:fill="auto"/>
          </w:tcPr>
          <w:p w:rsidR="00A500B0" w:rsidRPr="00AC4324" w:rsidRDefault="00A500B0" w:rsidP="00A500B0">
            <w:pPr>
              <w:pStyle w:val="TableParagraph"/>
              <w:spacing w:before="39"/>
              <w:ind w:left="76"/>
              <w:rPr>
                <w:rFonts w:ascii="Gill Sans MT" w:hAnsi="Gill Sans MT"/>
                <w:sz w:val="20"/>
              </w:rPr>
            </w:pPr>
            <w:r>
              <w:rPr>
                <w:rFonts w:ascii="Gill Sans MT" w:hAnsi="Gill Sans MT"/>
                <w:sz w:val="20"/>
              </w:rPr>
              <w:t>100% coded within 30 days of advice from SPP each quarter</w:t>
            </w:r>
          </w:p>
        </w:tc>
        <w:tc>
          <w:tcPr>
            <w:tcW w:w="2927" w:type="dxa"/>
            <w:shd w:val="clear" w:color="auto" w:fill="auto"/>
          </w:tcPr>
          <w:p w:rsidR="00A500B0" w:rsidRPr="00AC4324" w:rsidRDefault="00A500B0" w:rsidP="00092A97">
            <w:pPr>
              <w:rPr>
                <w:rFonts w:ascii="Gill Sans MT" w:hAnsi="Gill Sans MT"/>
              </w:rPr>
            </w:pPr>
            <w:r>
              <w:rPr>
                <w:rFonts w:ascii="Gill Sans MT" w:hAnsi="Gill Sans MT"/>
              </w:rPr>
              <w:t>-</w:t>
            </w:r>
          </w:p>
        </w:tc>
      </w:tr>
      <w:tr w:rsidR="00A500B0" w:rsidTr="00092A97">
        <w:trPr>
          <w:trHeight w:hRule="exact" w:val="814"/>
        </w:trPr>
        <w:tc>
          <w:tcPr>
            <w:tcW w:w="2169" w:type="dxa"/>
            <w:shd w:val="clear" w:color="auto" w:fill="auto"/>
          </w:tcPr>
          <w:p w:rsidR="00A500B0" w:rsidRPr="00AC4324" w:rsidRDefault="00A500B0" w:rsidP="00092A97">
            <w:pPr>
              <w:pStyle w:val="TableParagraph"/>
              <w:spacing w:before="39"/>
              <w:ind w:left="76"/>
              <w:rPr>
                <w:rFonts w:ascii="Gill Sans MT" w:hAnsi="Gill Sans MT"/>
                <w:sz w:val="20"/>
              </w:rPr>
            </w:pPr>
            <w:r w:rsidRPr="00AC4324">
              <w:rPr>
                <w:rFonts w:ascii="Gill Sans MT" w:hAnsi="Gill Sans MT"/>
                <w:sz w:val="20"/>
              </w:rPr>
              <w:t>Result</w:t>
            </w:r>
            <w:r>
              <w:rPr>
                <w:rFonts w:ascii="Gill Sans MT" w:hAnsi="Gill Sans MT"/>
                <w:sz w:val="20"/>
              </w:rPr>
              <w:t xml:space="preserve"> (LIVE)</w:t>
            </w:r>
          </w:p>
        </w:tc>
        <w:tc>
          <w:tcPr>
            <w:tcW w:w="1063" w:type="dxa"/>
            <w:shd w:val="clear" w:color="auto" w:fill="auto"/>
          </w:tcPr>
          <w:p w:rsidR="00A500B0" w:rsidRPr="00AC4324" w:rsidRDefault="00A500B0" w:rsidP="00A500B0">
            <w:pPr>
              <w:pStyle w:val="TableParagraph"/>
              <w:spacing w:before="39"/>
              <w:ind w:left="76"/>
              <w:rPr>
                <w:rFonts w:ascii="Gill Sans MT" w:hAnsi="Gill Sans MT"/>
                <w:sz w:val="20"/>
              </w:rPr>
            </w:pPr>
            <w:r>
              <w:rPr>
                <w:rFonts w:ascii="Gill Sans MT" w:hAnsi="Gill Sans MT"/>
                <w:sz w:val="20"/>
              </w:rPr>
              <w:t>100%</w:t>
            </w:r>
          </w:p>
        </w:tc>
        <w:tc>
          <w:tcPr>
            <w:tcW w:w="1063" w:type="dxa"/>
            <w:shd w:val="clear" w:color="auto" w:fill="auto"/>
          </w:tcPr>
          <w:p w:rsidR="00A500B0" w:rsidRPr="00AC4324" w:rsidRDefault="00A500B0" w:rsidP="00092A97">
            <w:pPr>
              <w:pStyle w:val="TableParagraph"/>
              <w:spacing w:before="39"/>
              <w:ind w:left="76"/>
              <w:rPr>
                <w:rFonts w:ascii="Gill Sans MT" w:hAnsi="Gill Sans MT"/>
                <w:sz w:val="20"/>
              </w:rPr>
            </w:pPr>
            <w:r>
              <w:rPr>
                <w:rFonts w:ascii="Gill Sans MT" w:hAnsi="Gill Sans MT"/>
                <w:sz w:val="20"/>
              </w:rPr>
              <w:t>100%</w:t>
            </w:r>
          </w:p>
        </w:tc>
        <w:tc>
          <w:tcPr>
            <w:tcW w:w="1063" w:type="dxa"/>
            <w:shd w:val="clear" w:color="auto" w:fill="auto"/>
          </w:tcPr>
          <w:p w:rsidR="00A500B0" w:rsidRPr="00AC4324" w:rsidRDefault="00A500B0" w:rsidP="00092A97">
            <w:pPr>
              <w:pStyle w:val="TableParagraph"/>
              <w:spacing w:before="39"/>
              <w:ind w:left="76"/>
              <w:rPr>
                <w:rFonts w:ascii="Gill Sans MT" w:hAnsi="Gill Sans MT"/>
                <w:sz w:val="20"/>
              </w:rPr>
            </w:pPr>
            <w:r>
              <w:rPr>
                <w:rFonts w:ascii="Gill Sans MT" w:hAnsi="Gill Sans MT"/>
                <w:sz w:val="20"/>
              </w:rPr>
              <w:t>100%</w:t>
            </w:r>
          </w:p>
        </w:tc>
        <w:tc>
          <w:tcPr>
            <w:tcW w:w="1064" w:type="dxa"/>
            <w:shd w:val="clear" w:color="auto" w:fill="auto"/>
          </w:tcPr>
          <w:p w:rsidR="00A500B0" w:rsidRPr="00AC4324" w:rsidRDefault="00A500B0" w:rsidP="00092A97">
            <w:pPr>
              <w:pStyle w:val="TableParagraph"/>
              <w:spacing w:before="39"/>
              <w:ind w:left="76"/>
              <w:rPr>
                <w:rFonts w:ascii="Gill Sans MT" w:hAnsi="Gill Sans MT"/>
                <w:sz w:val="20"/>
              </w:rPr>
            </w:pPr>
            <w:r>
              <w:rPr>
                <w:rFonts w:ascii="Gill Sans MT" w:hAnsi="Gill Sans MT"/>
                <w:sz w:val="20"/>
              </w:rPr>
              <w:t xml:space="preserve">Result not yet </w:t>
            </w:r>
            <w:r>
              <w:rPr>
                <w:rFonts w:ascii="Gill Sans MT" w:hAnsi="Gill Sans MT"/>
                <w:sz w:val="20"/>
              </w:rPr>
              <w:br/>
              <w:t>available</w:t>
            </w:r>
          </w:p>
        </w:tc>
        <w:tc>
          <w:tcPr>
            <w:tcW w:w="2927" w:type="dxa"/>
            <w:shd w:val="clear" w:color="auto" w:fill="auto"/>
          </w:tcPr>
          <w:p w:rsidR="00A500B0" w:rsidRPr="00AC4324" w:rsidRDefault="00A500B0" w:rsidP="00092A97">
            <w:pPr>
              <w:rPr>
                <w:rFonts w:ascii="Gill Sans MT" w:hAnsi="Gill Sans MT"/>
                <w:i/>
                <w:sz w:val="18"/>
                <w:szCs w:val="18"/>
              </w:rPr>
            </w:pPr>
            <w:r>
              <w:rPr>
                <w:rFonts w:ascii="Gill Sans MT" w:hAnsi="Gill Sans MT"/>
                <w:i/>
                <w:sz w:val="18"/>
                <w:szCs w:val="18"/>
              </w:rPr>
              <w:t>-</w:t>
            </w:r>
          </w:p>
        </w:tc>
      </w:tr>
    </w:tbl>
    <w:p w:rsidR="00092A97" w:rsidRDefault="00092A97" w:rsidP="00B75D09">
      <w:pPr>
        <w:pStyle w:val="BodyText"/>
      </w:pPr>
    </w:p>
    <w:p w:rsidR="00092A97" w:rsidRDefault="00092A97">
      <w:pPr>
        <w:rPr>
          <w:rFonts w:ascii="Gill Sans MT" w:eastAsia="GillSans-Light" w:hAnsi="Gill Sans MT" w:cs="GillSans-Light"/>
          <w:lang w:val="en-US"/>
        </w:rPr>
      </w:pPr>
      <w:r>
        <w:br w:type="page"/>
      </w:r>
    </w:p>
    <w:p w:rsidR="00A500B0" w:rsidRPr="000D153B" w:rsidRDefault="00092A97" w:rsidP="00092A97">
      <w:pPr>
        <w:rPr>
          <w:rFonts w:ascii="Gill Sans MT" w:hAnsi="Gill Sans MT"/>
          <w:b/>
        </w:rPr>
      </w:pPr>
      <w:r w:rsidRPr="000D153B">
        <w:rPr>
          <w:rFonts w:ascii="Gill Sans MT" w:hAnsi="Gill Sans MT"/>
          <w:b/>
        </w:rPr>
        <w:lastRenderedPageBreak/>
        <w:t>Latest published TIPCU</w:t>
      </w:r>
    </w:p>
    <w:p w:rsidR="000D153B" w:rsidRPr="000D153B" w:rsidRDefault="000D153B" w:rsidP="00B75D09">
      <w:pPr>
        <w:pStyle w:val="BodyText"/>
        <w:rPr>
          <w:b/>
        </w:rPr>
      </w:pPr>
      <w:r w:rsidRPr="000D153B">
        <w:rPr>
          <w:b/>
        </w:rPr>
        <w:t>KPI SQI. Hand hygiene compliance</w:t>
      </w:r>
    </w:p>
    <w:p w:rsidR="00092A97" w:rsidRDefault="00092A97" w:rsidP="00B75D09">
      <w:pPr>
        <w:pStyle w:val="BodyText"/>
      </w:pPr>
      <w:r>
        <w:t>Target (tri-annually) 70%</w:t>
      </w: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SQI. Hand hygiene compliance"/>
        <w:tblDescription w:val="Target (tri-annually) 70%"/>
      </w:tblPr>
      <w:tblGrid>
        <w:gridCol w:w="2147"/>
        <w:gridCol w:w="1265"/>
        <w:gridCol w:w="1271"/>
        <w:gridCol w:w="1134"/>
        <w:gridCol w:w="1276"/>
        <w:gridCol w:w="2126"/>
      </w:tblGrid>
      <w:tr w:rsidR="00092A97" w:rsidRPr="00092A97" w:rsidTr="000D153B">
        <w:trPr>
          <w:trHeight w:hRule="exact" w:val="548"/>
        </w:trPr>
        <w:tc>
          <w:tcPr>
            <w:tcW w:w="2147" w:type="dxa"/>
            <w:shd w:val="clear" w:color="auto" w:fill="auto"/>
          </w:tcPr>
          <w:p w:rsidR="00092A97" w:rsidRPr="000D153B" w:rsidRDefault="00092A97" w:rsidP="000D153B">
            <w:pPr>
              <w:pStyle w:val="BodyText"/>
            </w:pPr>
            <w:r w:rsidRPr="000D153B">
              <w:t>Safety and Quality</w:t>
            </w:r>
          </w:p>
        </w:tc>
        <w:tc>
          <w:tcPr>
            <w:tcW w:w="1265" w:type="dxa"/>
            <w:shd w:val="clear" w:color="auto" w:fill="auto"/>
          </w:tcPr>
          <w:p w:rsidR="00092A97" w:rsidRPr="000D153B" w:rsidRDefault="00092A97" w:rsidP="000D153B">
            <w:pPr>
              <w:pStyle w:val="BodyText"/>
            </w:pPr>
            <w:r w:rsidRPr="000D153B">
              <w:t>1</w:t>
            </w:r>
            <w:r w:rsidRPr="000D153B">
              <w:rPr>
                <w:vertAlign w:val="superscript"/>
              </w:rPr>
              <w:t>st</w:t>
            </w:r>
            <w:r w:rsidR="000D153B" w:rsidRPr="000D153B">
              <w:rPr>
                <w:vertAlign w:val="superscript"/>
              </w:rPr>
              <w:t xml:space="preserve"> </w:t>
            </w:r>
            <w:r w:rsidRPr="000D153B">
              <w:t>Quarter</w:t>
            </w:r>
          </w:p>
        </w:tc>
        <w:tc>
          <w:tcPr>
            <w:tcW w:w="1271" w:type="dxa"/>
            <w:shd w:val="clear" w:color="auto" w:fill="auto"/>
          </w:tcPr>
          <w:p w:rsidR="00092A97" w:rsidRPr="000D153B" w:rsidRDefault="00092A97" w:rsidP="000D153B">
            <w:pPr>
              <w:pStyle w:val="BodyText"/>
            </w:pPr>
            <w:r w:rsidRPr="000D153B">
              <w:t>2</w:t>
            </w:r>
            <w:r w:rsidRPr="000D153B">
              <w:rPr>
                <w:vertAlign w:val="superscript"/>
              </w:rPr>
              <w:t>nd</w:t>
            </w:r>
            <w:r w:rsidRPr="000D153B">
              <w:t xml:space="preserve"> </w:t>
            </w:r>
            <w:r w:rsidR="000D153B" w:rsidRPr="000D153B">
              <w:t xml:space="preserve"> </w:t>
            </w:r>
            <w:r w:rsidRPr="000D153B">
              <w:t>Quarter</w:t>
            </w:r>
          </w:p>
        </w:tc>
        <w:tc>
          <w:tcPr>
            <w:tcW w:w="1134" w:type="dxa"/>
            <w:shd w:val="clear" w:color="auto" w:fill="auto"/>
          </w:tcPr>
          <w:p w:rsidR="00092A97" w:rsidRPr="000D153B" w:rsidRDefault="00092A97" w:rsidP="000D153B">
            <w:pPr>
              <w:pStyle w:val="BodyText"/>
            </w:pPr>
            <w:r w:rsidRPr="000D153B">
              <w:t>3</w:t>
            </w:r>
            <w:r w:rsidRPr="000D153B">
              <w:rPr>
                <w:vertAlign w:val="superscript"/>
              </w:rPr>
              <w:t>rd</w:t>
            </w:r>
            <w:r w:rsidR="000D153B" w:rsidRPr="000D153B">
              <w:rPr>
                <w:vertAlign w:val="superscript"/>
              </w:rPr>
              <w:t xml:space="preserve"> </w:t>
            </w:r>
            <w:r w:rsidRPr="000D153B">
              <w:t>Quarter</w:t>
            </w:r>
          </w:p>
        </w:tc>
        <w:tc>
          <w:tcPr>
            <w:tcW w:w="1276" w:type="dxa"/>
          </w:tcPr>
          <w:p w:rsidR="00092A97" w:rsidRPr="000D153B" w:rsidRDefault="00092A97" w:rsidP="000D153B">
            <w:pPr>
              <w:pStyle w:val="BodyText"/>
            </w:pPr>
            <w:r w:rsidRPr="000D153B">
              <w:t>4</w:t>
            </w:r>
            <w:r w:rsidRPr="000D153B">
              <w:rPr>
                <w:vertAlign w:val="superscript"/>
              </w:rPr>
              <w:t>th</w:t>
            </w:r>
            <w:r w:rsidR="000D153B" w:rsidRPr="000D153B">
              <w:rPr>
                <w:vertAlign w:val="superscript"/>
              </w:rPr>
              <w:t xml:space="preserve"> </w:t>
            </w:r>
            <w:r w:rsidRPr="000D153B">
              <w:t>Quarter</w:t>
            </w:r>
          </w:p>
        </w:tc>
        <w:tc>
          <w:tcPr>
            <w:tcW w:w="2126" w:type="dxa"/>
            <w:shd w:val="clear" w:color="auto" w:fill="auto"/>
          </w:tcPr>
          <w:p w:rsidR="00092A97" w:rsidRPr="000D153B" w:rsidRDefault="00092A97" w:rsidP="000D153B">
            <w:pPr>
              <w:pStyle w:val="BodyText"/>
            </w:pPr>
            <w:r w:rsidRPr="000D153B">
              <w:t>Comments</w:t>
            </w:r>
          </w:p>
        </w:tc>
      </w:tr>
      <w:tr w:rsidR="00092A97" w:rsidRPr="00092A97" w:rsidTr="000D153B">
        <w:trPr>
          <w:trHeight w:hRule="exact" w:val="924"/>
        </w:trPr>
        <w:tc>
          <w:tcPr>
            <w:tcW w:w="2147" w:type="dxa"/>
            <w:shd w:val="clear" w:color="auto" w:fill="auto"/>
          </w:tcPr>
          <w:p w:rsidR="00092A97" w:rsidRPr="000D153B" w:rsidRDefault="00092A97" w:rsidP="000D153B">
            <w:pPr>
              <w:pStyle w:val="BodyText"/>
            </w:pPr>
            <w:r w:rsidRPr="000D153B">
              <w:t>Result - RHH</w:t>
            </w:r>
          </w:p>
        </w:tc>
        <w:tc>
          <w:tcPr>
            <w:tcW w:w="1265" w:type="dxa"/>
            <w:shd w:val="clear" w:color="auto" w:fill="auto"/>
          </w:tcPr>
          <w:p w:rsidR="00092A97" w:rsidRPr="000D153B" w:rsidRDefault="00092A97" w:rsidP="000D153B">
            <w:pPr>
              <w:pStyle w:val="BodyText"/>
            </w:pPr>
            <w:r w:rsidRPr="000D153B">
              <w:t>79%</w:t>
            </w:r>
          </w:p>
        </w:tc>
        <w:tc>
          <w:tcPr>
            <w:tcW w:w="1271" w:type="dxa"/>
            <w:shd w:val="clear" w:color="auto" w:fill="auto"/>
          </w:tcPr>
          <w:p w:rsidR="00092A97" w:rsidRPr="000D153B" w:rsidRDefault="00092A97" w:rsidP="000D153B">
            <w:pPr>
              <w:pStyle w:val="BodyText"/>
            </w:pPr>
            <w:r w:rsidRPr="000D153B">
              <w:t>80%</w:t>
            </w:r>
          </w:p>
        </w:tc>
        <w:tc>
          <w:tcPr>
            <w:tcW w:w="1134" w:type="dxa"/>
            <w:shd w:val="clear" w:color="auto" w:fill="auto"/>
          </w:tcPr>
          <w:p w:rsidR="00092A97" w:rsidRPr="000D153B" w:rsidRDefault="000D153B" w:rsidP="000D153B">
            <w:pPr>
              <w:pStyle w:val="BodyText"/>
            </w:pPr>
            <w:r>
              <w:t>Results not yet available</w:t>
            </w:r>
          </w:p>
        </w:tc>
        <w:tc>
          <w:tcPr>
            <w:tcW w:w="1276" w:type="dxa"/>
          </w:tcPr>
          <w:p w:rsidR="00092A97" w:rsidRPr="000D153B" w:rsidRDefault="000D153B" w:rsidP="000D153B">
            <w:pPr>
              <w:pStyle w:val="BodyText"/>
            </w:pPr>
            <w:r>
              <w:t>Results not yet available</w:t>
            </w:r>
          </w:p>
        </w:tc>
        <w:tc>
          <w:tcPr>
            <w:tcW w:w="2126" w:type="dxa"/>
            <w:shd w:val="clear" w:color="auto" w:fill="auto"/>
          </w:tcPr>
          <w:p w:rsidR="00092A97" w:rsidRPr="000D153B" w:rsidRDefault="000D153B" w:rsidP="000D153B">
            <w:pPr>
              <w:pStyle w:val="BodyText"/>
            </w:pPr>
            <w:r>
              <w:t>Reported in arrears based upon latest published TIPCU data</w:t>
            </w:r>
          </w:p>
        </w:tc>
      </w:tr>
      <w:tr w:rsidR="00092A97" w:rsidRPr="00092A97" w:rsidTr="000D153B">
        <w:trPr>
          <w:trHeight w:hRule="exact" w:val="979"/>
        </w:trPr>
        <w:tc>
          <w:tcPr>
            <w:tcW w:w="2147" w:type="dxa"/>
            <w:shd w:val="clear" w:color="auto" w:fill="auto"/>
          </w:tcPr>
          <w:p w:rsidR="00092A97" w:rsidRPr="000D153B" w:rsidRDefault="00092A97" w:rsidP="000D153B">
            <w:pPr>
              <w:pStyle w:val="BodyText"/>
            </w:pPr>
            <w:r w:rsidRPr="000D153B">
              <w:t>Result - LGH</w:t>
            </w:r>
          </w:p>
        </w:tc>
        <w:tc>
          <w:tcPr>
            <w:tcW w:w="1265" w:type="dxa"/>
            <w:shd w:val="clear" w:color="auto" w:fill="auto"/>
          </w:tcPr>
          <w:p w:rsidR="00092A97" w:rsidRPr="000D153B" w:rsidRDefault="00092A97" w:rsidP="000D153B">
            <w:pPr>
              <w:pStyle w:val="BodyText"/>
            </w:pPr>
            <w:r w:rsidRPr="000D153B">
              <w:t>76%</w:t>
            </w:r>
          </w:p>
        </w:tc>
        <w:tc>
          <w:tcPr>
            <w:tcW w:w="1271" w:type="dxa"/>
            <w:shd w:val="clear" w:color="auto" w:fill="auto"/>
          </w:tcPr>
          <w:p w:rsidR="00092A97" w:rsidRPr="000D153B" w:rsidRDefault="00092A97" w:rsidP="000D153B">
            <w:pPr>
              <w:pStyle w:val="BodyText"/>
            </w:pPr>
            <w:r w:rsidRPr="000D153B">
              <w:t>82%</w:t>
            </w:r>
          </w:p>
        </w:tc>
        <w:tc>
          <w:tcPr>
            <w:tcW w:w="1134" w:type="dxa"/>
            <w:shd w:val="clear" w:color="auto" w:fill="auto"/>
          </w:tcPr>
          <w:p w:rsidR="00092A97" w:rsidRPr="000D153B" w:rsidRDefault="000D153B" w:rsidP="000D153B">
            <w:pPr>
              <w:pStyle w:val="BodyText"/>
            </w:pPr>
            <w:r>
              <w:t>Results not yet available</w:t>
            </w:r>
          </w:p>
        </w:tc>
        <w:tc>
          <w:tcPr>
            <w:tcW w:w="1276" w:type="dxa"/>
          </w:tcPr>
          <w:p w:rsidR="00092A97" w:rsidRPr="000D153B" w:rsidRDefault="000D153B" w:rsidP="000D153B">
            <w:pPr>
              <w:pStyle w:val="BodyText"/>
            </w:pPr>
            <w:r>
              <w:t>Results not yet available</w:t>
            </w:r>
          </w:p>
        </w:tc>
        <w:tc>
          <w:tcPr>
            <w:tcW w:w="2126" w:type="dxa"/>
            <w:shd w:val="clear" w:color="auto" w:fill="auto"/>
          </w:tcPr>
          <w:p w:rsidR="00092A97" w:rsidRPr="000D153B" w:rsidRDefault="000D153B" w:rsidP="000D153B">
            <w:pPr>
              <w:pStyle w:val="BodyText"/>
            </w:pPr>
            <w:r>
              <w:t>Reported in arrears based upon latest published TIPCU data</w:t>
            </w:r>
          </w:p>
        </w:tc>
      </w:tr>
      <w:tr w:rsidR="00092A97" w:rsidRPr="00092A97" w:rsidTr="000D153B">
        <w:trPr>
          <w:trHeight w:hRule="exact" w:val="992"/>
        </w:trPr>
        <w:tc>
          <w:tcPr>
            <w:tcW w:w="2147" w:type="dxa"/>
            <w:shd w:val="clear" w:color="auto" w:fill="auto"/>
          </w:tcPr>
          <w:p w:rsidR="00092A97" w:rsidRPr="000D153B" w:rsidRDefault="00092A97" w:rsidP="000D153B">
            <w:pPr>
              <w:pStyle w:val="BodyText"/>
            </w:pPr>
            <w:r w:rsidRPr="000D153B">
              <w:t>Result - NWRH</w:t>
            </w:r>
          </w:p>
        </w:tc>
        <w:tc>
          <w:tcPr>
            <w:tcW w:w="1265" w:type="dxa"/>
            <w:shd w:val="clear" w:color="auto" w:fill="auto"/>
          </w:tcPr>
          <w:p w:rsidR="00092A97" w:rsidRPr="000D153B" w:rsidRDefault="00092A97" w:rsidP="000D153B">
            <w:pPr>
              <w:pStyle w:val="BodyText"/>
            </w:pPr>
            <w:r w:rsidRPr="000D153B">
              <w:t>73%</w:t>
            </w:r>
          </w:p>
        </w:tc>
        <w:tc>
          <w:tcPr>
            <w:tcW w:w="1271" w:type="dxa"/>
            <w:shd w:val="clear" w:color="auto" w:fill="auto"/>
          </w:tcPr>
          <w:p w:rsidR="00092A97" w:rsidRPr="000D153B" w:rsidRDefault="00092A97" w:rsidP="000D153B">
            <w:pPr>
              <w:pStyle w:val="BodyText"/>
            </w:pPr>
            <w:r w:rsidRPr="000D153B">
              <w:t>75%</w:t>
            </w:r>
          </w:p>
        </w:tc>
        <w:tc>
          <w:tcPr>
            <w:tcW w:w="1134" w:type="dxa"/>
            <w:shd w:val="clear" w:color="auto" w:fill="auto"/>
          </w:tcPr>
          <w:p w:rsidR="00092A97" w:rsidRPr="000D153B" w:rsidRDefault="000D153B" w:rsidP="000D153B">
            <w:pPr>
              <w:pStyle w:val="BodyText"/>
            </w:pPr>
            <w:r>
              <w:t>Results not yet available</w:t>
            </w:r>
          </w:p>
        </w:tc>
        <w:tc>
          <w:tcPr>
            <w:tcW w:w="1276" w:type="dxa"/>
          </w:tcPr>
          <w:p w:rsidR="00092A97" w:rsidRPr="000D153B" w:rsidRDefault="000D153B" w:rsidP="000D153B">
            <w:pPr>
              <w:pStyle w:val="BodyText"/>
            </w:pPr>
            <w:r>
              <w:t>Results not yet available</w:t>
            </w:r>
          </w:p>
        </w:tc>
        <w:tc>
          <w:tcPr>
            <w:tcW w:w="2126" w:type="dxa"/>
            <w:shd w:val="clear" w:color="auto" w:fill="auto"/>
          </w:tcPr>
          <w:p w:rsidR="00092A97" w:rsidRPr="000D153B" w:rsidRDefault="000D153B" w:rsidP="000D153B">
            <w:pPr>
              <w:pStyle w:val="BodyText"/>
            </w:pPr>
            <w:r>
              <w:t>Reported in arrears based upon latest published TIPCU data</w:t>
            </w:r>
          </w:p>
        </w:tc>
      </w:tr>
      <w:tr w:rsidR="00092A97" w:rsidRPr="00092A97" w:rsidTr="000D153B">
        <w:trPr>
          <w:trHeight w:hRule="exact" w:val="991"/>
        </w:trPr>
        <w:tc>
          <w:tcPr>
            <w:tcW w:w="2147" w:type="dxa"/>
            <w:shd w:val="clear" w:color="auto" w:fill="auto"/>
          </w:tcPr>
          <w:p w:rsidR="00092A97" w:rsidRPr="000D153B" w:rsidRDefault="00092A97" w:rsidP="000D153B">
            <w:pPr>
              <w:pStyle w:val="BodyText"/>
            </w:pPr>
            <w:r w:rsidRPr="000D153B">
              <w:t>Result - MCH</w:t>
            </w:r>
          </w:p>
        </w:tc>
        <w:tc>
          <w:tcPr>
            <w:tcW w:w="1265" w:type="dxa"/>
            <w:shd w:val="clear" w:color="auto" w:fill="auto"/>
          </w:tcPr>
          <w:p w:rsidR="00092A97" w:rsidRPr="000D153B" w:rsidRDefault="00092A97" w:rsidP="000D153B">
            <w:pPr>
              <w:pStyle w:val="BodyText"/>
            </w:pPr>
            <w:r w:rsidRPr="000D153B">
              <w:t>78%</w:t>
            </w:r>
          </w:p>
        </w:tc>
        <w:tc>
          <w:tcPr>
            <w:tcW w:w="1271" w:type="dxa"/>
            <w:shd w:val="clear" w:color="auto" w:fill="auto"/>
          </w:tcPr>
          <w:p w:rsidR="00092A97" w:rsidRPr="000D153B" w:rsidRDefault="00092A97" w:rsidP="000D153B">
            <w:pPr>
              <w:pStyle w:val="BodyText"/>
            </w:pPr>
            <w:r w:rsidRPr="000D153B">
              <w:t>85%</w:t>
            </w:r>
          </w:p>
        </w:tc>
        <w:tc>
          <w:tcPr>
            <w:tcW w:w="1134" w:type="dxa"/>
            <w:shd w:val="clear" w:color="auto" w:fill="auto"/>
          </w:tcPr>
          <w:p w:rsidR="00092A97" w:rsidRPr="000D153B" w:rsidRDefault="000D153B" w:rsidP="000D153B">
            <w:pPr>
              <w:pStyle w:val="BodyText"/>
            </w:pPr>
            <w:r>
              <w:t>Results not yet available</w:t>
            </w:r>
          </w:p>
        </w:tc>
        <w:tc>
          <w:tcPr>
            <w:tcW w:w="1276" w:type="dxa"/>
          </w:tcPr>
          <w:p w:rsidR="00092A97" w:rsidRPr="000D153B" w:rsidRDefault="000D153B" w:rsidP="000D153B">
            <w:pPr>
              <w:pStyle w:val="BodyText"/>
            </w:pPr>
            <w:r>
              <w:t>Results not yet available</w:t>
            </w:r>
          </w:p>
        </w:tc>
        <w:tc>
          <w:tcPr>
            <w:tcW w:w="2126" w:type="dxa"/>
            <w:shd w:val="clear" w:color="auto" w:fill="auto"/>
          </w:tcPr>
          <w:p w:rsidR="00092A97" w:rsidRPr="000D153B" w:rsidRDefault="000D153B" w:rsidP="000D153B">
            <w:pPr>
              <w:pStyle w:val="BodyText"/>
            </w:pPr>
            <w:r>
              <w:t>Reported in arrears based upon latest published TIPCU data</w:t>
            </w:r>
          </w:p>
        </w:tc>
      </w:tr>
    </w:tbl>
    <w:p w:rsidR="00092A97" w:rsidRDefault="00092A97" w:rsidP="00B75D09">
      <w:pPr>
        <w:pStyle w:val="BodyText"/>
      </w:pPr>
    </w:p>
    <w:p w:rsidR="000D153B" w:rsidRDefault="000D153B" w:rsidP="004B718D">
      <w:pPr>
        <w:autoSpaceDE w:val="0"/>
        <w:autoSpaceDN w:val="0"/>
        <w:adjustRightInd w:val="0"/>
        <w:spacing w:after="0" w:line="240" w:lineRule="auto"/>
        <w:rPr>
          <w:rFonts w:ascii="Gill Sans MT" w:hAnsi="Gill Sans MT" w:cs="GillSans-SemiBold"/>
          <w:b/>
          <w:bCs/>
        </w:rPr>
      </w:pPr>
      <w:proofErr w:type="gramStart"/>
      <w:r w:rsidRPr="004B718D">
        <w:rPr>
          <w:rFonts w:ascii="Gill Sans MT" w:hAnsi="Gill Sans MT" w:cs="GillSans-SemiBold"/>
          <w:b/>
          <w:bCs/>
        </w:rPr>
        <w:t>KPI SQ2.</w:t>
      </w:r>
      <w:proofErr w:type="gramEnd"/>
      <w:r w:rsidRPr="004B718D">
        <w:rPr>
          <w:rFonts w:ascii="Gill Sans MT" w:hAnsi="Gill Sans MT" w:cs="GillSans-SemiBold"/>
          <w:b/>
          <w:bCs/>
        </w:rPr>
        <w:t xml:space="preserve"> Healthcare associated staphylococcus aureus (including MRSA) bacteraemia infection rate</w:t>
      </w:r>
      <w:r w:rsidR="004B718D">
        <w:rPr>
          <w:rFonts w:ascii="Gill Sans MT" w:hAnsi="Gill Sans MT" w:cs="GillSans-SemiBold"/>
          <w:b/>
          <w:bCs/>
        </w:rPr>
        <w:t xml:space="preserve"> </w:t>
      </w:r>
      <w:r w:rsidRPr="004B718D">
        <w:rPr>
          <w:rFonts w:ascii="Gill Sans MT" w:hAnsi="Gill Sans MT" w:cs="GillSans-SemiBold"/>
          <w:b/>
          <w:bCs/>
        </w:rPr>
        <w:t>-</w:t>
      </w:r>
      <w:r w:rsidR="004B718D">
        <w:rPr>
          <w:rFonts w:ascii="Gill Sans MT" w:hAnsi="Gill Sans MT" w:cs="GillSans-SemiBold"/>
          <w:b/>
          <w:bCs/>
        </w:rPr>
        <w:t xml:space="preserve"> </w:t>
      </w:r>
      <w:r w:rsidRPr="004B718D">
        <w:rPr>
          <w:rFonts w:ascii="Gill Sans MT" w:hAnsi="Gill Sans MT" w:cs="GillSans-SemiBold"/>
          <w:b/>
          <w:bCs/>
        </w:rPr>
        <w:t>cases per 10 000 patient days</w:t>
      </w:r>
    </w:p>
    <w:p w:rsidR="004B718D" w:rsidRDefault="004B718D" w:rsidP="004B718D">
      <w:pPr>
        <w:autoSpaceDE w:val="0"/>
        <w:autoSpaceDN w:val="0"/>
        <w:adjustRightInd w:val="0"/>
        <w:spacing w:after="0" w:line="240" w:lineRule="auto"/>
        <w:rPr>
          <w:rFonts w:ascii="Gill Sans MT" w:hAnsi="Gill Sans MT" w:cs="GillSans-SemiBold"/>
          <w:b/>
          <w:bCs/>
        </w:rPr>
      </w:pPr>
    </w:p>
    <w:p w:rsidR="004B718D" w:rsidRPr="004B718D" w:rsidRDefault="004B718D" w:rsidP="004B718D">
      <w:pPr>
        <w:autoSpaceDE w:val="0"/>
        <w:autoSpaceDN w:val="0"/>
        <w:adjustRightInd w:val="0"/>
        <w:spacing w:after="0" w:line="240" w:lineRule="auto"/>
        <w:rPr>
          <w:rFonts w:ascii="Gill Sans MT" w:hAnsi="Gill Sans MT" w:cs="GillSans-SemiBold"/>
          <w:bCs/>
        </w:rPr>
      </w:pPr>
      <w:r w:rsidRPr="004B718D">
        <w:rPr>
          <w:rFonts w:ascii="Gill Sans MT" w:hAnsi="Gill Sans MT" w:cs="GillSans-SemiBold"/>
          <w:bCs/>
        </w:rPr>
        <w:t>Target (quarterly) &lt;2.0 cases</w:t>
      </w:r>
    </w:p>
    <w:p w:rsidR="004B718D" w:rsidRDefault="004B718D"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SQ2. Healthcare associated staphylococcus aureus (including MRSA) bacteraemia infection rate - cases per 10 000 patient days"/>
        <w:tblDescription w:val="Target (tri-annually) &lt;2.0 cases"/>
      </w:tblPr>
      <w:tblGrid>
        <w:gridCol w:w="2147"/>
        <w:gridCol w:w="1265"/>
        <w:gridCol w:w="1271"/>
        <w:gridCol w:w="1134"/>
        <w:gridCol w:w="1276"/>
        <w:gridCol w:w="2126"/>
      </w:tblGrid>
      <w:tr w:rsidR="004B718D" w:rsidRPr="00092A97" w:rsidTr="002F0A9E">
        <w:trPr>
          <w:trHeight w:hRule="exact" w:val="548"/>
        </w:trPr>
        <w:tc>
          <w:tcPr>
            <w:tcW w:w="2147" w:type="dxa"/>
            <w:shd w:val="clear" w:color="auto" w:fill="auto"/>
          </w:tcPr>
          <w:p w:rsidR="004B718D" w:rsidRPr="000D153B" w:rsidRDefault="004B718D" w:rsidP="002F0A9E">
            <w:pPr>
              <w:pStyle w:val="BodyText"/>
            </w:pPr>
            <w:r w:rsidRPr="000D153B">
              <w:t>Safety and Quality</w:t>
            </w:r>
          </w:p>
        </w:tc>
        <w:tc>
          <w:tcPr>
            <w:tcW w:w="1265" w:type="dxa"/>
            <w:shd w:val="clear" w:color="auto" w:fill="auto"/>
          </w:tcPr>
          <w:p w:rsidR="004B718D" w:rsidRPr="000D153B" w:rsidRDefault="004B718D"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4B718D" w:rsidRPr="000D153B" w:rsidRDefault="004B718D"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4B718D" w:rsidRPr="000D153B" w:rsidRDefault="004B718D" w:rsidP="002F0A9E">
            <w:pPr>
              <w:pStyle w:val="BodyText"/>
            </w:pPr>
            <w:r w:rsidRPr="000D153B">
              <w:t>3</w:t>
            </w:r>
            <w:r w:rsidRPr="000D153B">
              <w:rPr>
                <w:vertAlign w:val="superscript"/>
              </w:rPr>
              <w:t xml:space="preserve">rd </w:t>
            </w:r>
            <w:r w:rsidRPr="000D153B">
              <w:t>Quarter</w:t>
            </w:r>
          </w:p>
        </w:tc>
        <w:tc>
          <w:tcPr>
            <w:tcW w:w="1276" w:type="dxa"/>
          </w:tcPr>
          <w:p w:rsidR="004B718D" w:rsidRPr="000D153B" w:rsidRDefault="004B718D"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4B718D" w:rsidRPr="000D153B" w:rsidRDefault="004B718D" w:rsidP="002F0A9E">
            <w:pPr>
              <w:pStyle w:val="BodyText"/>
            </w:pPr>
            <w:r w:rsidRPr="000D153B">
              <w:t>Comments</w:t>
            </w:r>
          </w:p>
        </w:tc>
      </w:tr>
      <w:tr w:rsidR="004B718D" w:rsidRPr="00092A97" w:rsidTr="002F0A9E">
        <w:trPr>
          <w:trHeight w:hRule="exact" w:val="924"/>
        </w:trPr>
        <w:tc>
          <w:tcPr>
            <w:tcW w:w="2147" w:type="dxa"/>
            <w:shd w:val="clear" w:color="auto" w:fill="auto"/>
          </w:tcPr>
          <w:p w:rsidR="004B718D" w:rsidRPr="000D153B" w:rsidRDefault="004B718D" w:rsidP="002F0A9E">
            <w:pPr>
              <w:pStyle w:val="BodyText"/>
            </w:pPr>
            <w:r w:rsidRPr="000D153B">
              <w:t>Result - RHH</w:t>
            </w:r>
          </w:p>
        </w:tc>
        <w:tc>
          <w:tcPr>
            <w:tcW w:w="1265" w:type="dxa"/>
            <w:shd w:val="clear" w:color="auto" w:fill="auto"/>
          </w:tcPr>
          <w:p w:rsidR="004B718D" w:rsidRPr="000D153B" w:rsidRDefault="004B718D" w:rsidP="002F0A9E">
            <w:pPr>
              <w:pStyle w:val="BodyText"/>
            </w:pPr>
            <w:r>
              <w:t>1.3</w:t>
            </w:r>
          </w:p>
        </w:tc>
        <w:tc>
          <w:tcPr>
            <w:tcW w:w="1271" w:type="dxa"/>
            <w:shd w:val="clear" w:color="auto" w:fill="auto"/>
          </w:tcPr>
          <w:p w:rsidR="004B718D" w:rsidRPr="000D153B" w:rsidRDefault="004B718D" w:rsidP="002F0A9E">
            <w:pPr>
              <w:pStyle w:val="BodyText"/>
            </w:pPr>
            <w:r>
              <w:t>0.5</w:t>
            </w:r>
          </w:p>
        </w:tc>
        <w:tc>
          <w:tcPr>
            <w:tcW w:w="1134" w:type="dxa"/>
            <w:shd w:val="clear" w:color="auto" w:fill="auto"/>
          </w:tcPr>
          <w:p w:rsidR="004B718D" w:rsidRPr="000D153B" w:rsidRDefault="004B718D" w:rsidP="002F0A9E">
            <w:pPr>
              <w:pStyle w:val="BodyText"/>
            </w:pPr>
            <w:r>
              <w:t>0.5</w:t>
            </w:r>
          </w:p>
        </w:tc>
        <w:tc>
          <w:tcPr>
            <w:tcW w:w="1276" w:type="dxa"/>
          </w:tcPr>
          <w:p w:rsidR="004B718D" w:rsidRPr="000D153B" w:rsidRDefault="004B718D" w:rsidP="002F0A9E">
            <w:pPr>
              <w:pStyle w:val="BodyText"/>
            </w:pPr>
            <w:r>
              <w:t>Results not yet available</w:t>
            </w:r>
          </w:p>
        </w:tc>
        <w:tc>
          <w:tcPr>
            <w:tcW w:w="2126" w:type="dxa"/>
            <w:shd w:val="clear" w:color="auto" w:fill="auto"/>
          </w:tcPr>
          <w:p w:rsidR="004B718D" w:rsidRPr="000D153B" w:rsidRDefault="004B718D" w:rsidP="002F0A9E">
            <w:pPr>
              <w:pStyle w:val="BodyText"/>
            </w:pPr>
            <w:r>
              <w:t>Reported in arrears based upon latest published TIPCU data</w:t>
            </w:r>
          </w:p>
        </w:tc>
      </w:tr>
      <w:tr w:rsidR="004B718D" w:rsidRPr="00092A97" w:rsidTr="002F0A9E">
        <w:trPr>
          <w:trHeight w:hRule="exact" w:val="979"/>
        </w:trPr>
        <w:tc>
          <w:tcPr>
            <w:tcW w:w="2147" w:type="dxa"/>
            <w:shd w:val="clear" w:color="auto" w:fill="auto"/>
          </w:tcPr>
          <w:p w:rsidR="004B718D" w:rsidRPr="000D153B" w:rsidRDefault="004B718D" w:rsidP="002F0A9E">
            <w:pPr>
              <w:pStyle w:val="BodyText"/>
            </w:pPr>
            <w:r w:rsidRPr="000D153B">
              <w:t>Result - LGH</w:t>
            </w:r>
          </w:p>
        </w:tc>
        <w:tc>
          <w:tcPr>
            <w:tcW w:w="1265" w:type="dxa"/>
            <w:shd w:val="clear" w:color="auto" w:fill="auto"/>
          </w:tcPr>
          <w:p w:rsidR="004B718D" w:rsidRPr="000D153B" w:rsidRDefault="004B718D" w:rsidP="002F0A9E">
            <w:pPr>
              <w:pStyle w:val="BodyText"/>
            </w:pPr>
            <w:r>
              <w:t>1.5</w:t>
            </w:r>
          </w:p>
        </w:tc>
        <w:tc>
          <w:tcPr>
            <w:tcW w:w="1271" w:type="dxa"/>
            <w:shd w:val="clear" w:color="auto" w:fill="auto"/>
          </w:tcPr>
          <w:p w:rsidR="004B718D" w:rsidRPr="000D153B" w:rsidRDefault="004B718D" w:rsidP="002F0A9E">
            <w:pPr>
              <w:pStyle w:val="BodyText"/>
            </w:pPr>
            <w:r>
              <w:t>0.6</w:t>
            </w:r>
          </w:p>
        </w:tc>
        <w:tc>
          <w:tcPr>
            <w:tcW w:w="1134" w:type="dxa"/>
            <w:shd w:val="clear" w:color="auto" w:fill="auto"/>
          </w:tcPr>
          <w:p w:rsidR="004B718D" w:rsidRPr="000D153B" w:rsidRDefault="004B718D" w:rsidP="002F0A9E">
            <w:pPr>
              <w:pStyle w:val="BodyText"/>
            </w:pPr>
            <w:r>
              <w:t>1.6</w:t>
            </w:r>
          </w:p>
        </w:tc>
        <w:tc>
          <w:tcPr>
            <w:tcW w:w="1276" w:type="dxa"/>
          </w:tcPr>
          <w:p w:rsidR="004B718D" w:rsidRPr="000D153B" w:rsidRDefault="004B718D" w:rsidP="002F0A9E">
            <w:pPr>
              <w:pStyle w:val="BodyText"/>
            </w:pPr>
            <w:r>
              <w:t>Results not yet available</w:t>
            </w:r>
          </w:p>
        </w:tc>
        <w:tc>
          <w:tcPr>
            <w:tcW w:w="2126" w:type="dxa"/>
            <w:shd w:val="clear" w:color="auto" w:fill="auto"/>
          </w:tcPr>
          <w:p w:rsidR="004B718D" w:rsidRPr="000D153B" w:rsidRDefault="004B718D" w:rsidP="002F0A9E">
            <w:pPr>
              <w:pStyle w:val="BodyText"/>
            </w:pPr>
            <w:r>
              <w:t>Reported in arrears based upon latest published TIPCU data</w:t>
            </w:r>
          </w:p>
        </w:tc>
      </w:tr>
      <w:tr w:rsidR="004B718D" w:rsidRPr="00092A97" w:rsidTr="002F0A9E">
        <w:trPr>
          <w:trHeight w:hRule="exact" w:val="992"/>
        </w:trPr>
        <w:tc>
          <w:tcPr>
            <w:tcW w:w="2147" w:type="dxa"/>
            <w:shd w:val="clear" w:color="auto" w:fill="auto"/>
          </w:tcPr>
          <w:p w:rsidR="004B718D" w:rsidRPr="000D153B" w:rsidRDefault="004B718D" w:rsidP="002F0A9E">
            <w:pPr>
              <w:pStyle w:val="BodyText"/>
            </w:pPr>
            <w:r w:rsidRPr="000D153B">
              <w:t>Result - NWRH</w:t>
            </w:r>
          </w:p>
        </w:tc>
        <w:tc>
          <w:tcPr>
            <w:tcW w:w="1265" w:type="dxa"/>
            <w:shd w:val="clear" w:color="auto" w:fill="auto"/>
          </w:tcPr>
          <w:p w:rsidR="004B718D" w:rsidRPr="000D153B" w:rsidRDefault="004B718D" w:rsidP="002F0A9E">
            <w:pPr>
              <w:pStyle w:val="BodyText"/>
            </w:pPr>
            <w:r>
              <w:t>0.9</w:t>
            </w:r>
          </w:p>
        </w:tc>
        <w:tc>
          <w:tcPr>
            <w:tcW w:w="1271" w:type="dxa"/>
            <w:shd w:val="clear" w:color="auto" w:fill="auto"/>
          </w:tcPr>
          <w:p w:rsidR="004B718D" w:rsidRPr="000D153B" w:rsidRDefault="004B718D" w:rsidP="002F0A9E">
            <w:pPr>
              <w:pStyle w:val="BodyText"/>
            </w:pPr>
            <w:r>
              <w:t>0</w:t>
            </w:r>
          </w:p>
        </w:tc>
        <w:tc>
          <w:tcPr>
            <w:tcW w:w="1134" w:type="dxa"/>
            <w:shd w:val="clear" w:color="auto" w:fill="auto"/>
          </w:tcPr>
          <w:p w:rsidR="004B718D" w:rsidRPr="000D153B" w:rsidRDefault="004B718D" w:rsidP="002F0A9E">
            <w:pPr>
              <w:pStyle w:val="BodyText"/>
            </w:pPr>
            <w:r>
              <w:t>0</w:t>
            </w:r>
          </w:p>
        </w:tc>
        <w:tc>
          <w:tcPr>
            <w:tcW w:w="1276" w:type="dxa"/>
          </w:tcPr>
          <w:p w:rsidR="004B718D" w:rsidRPr="000D153B" w:rsidRDefault="004B718D" w:rsidP="002F0A9E">
            <w:pPr>
              <w:pStyle w:val="BodyText"/>
            </w:pPr>
            <w:r>
              <w:t>Results not yet available</w:t>
            </w:r>
          </w:p>
        </w:tc>
        <w:tc>
          <w:tcPr>
            <w:tcW w:w="2126" w:type="dxa"/>
            <w:shd w:val="clear" w:color="auto" w:fill="auto"/>
          </w:tcPr>
          <w:p w:rsidR="004B718D" w:rsidRPr="000D153B" w:rsidRDefault="004B718D" w:rsidP="002F0A9E">
            <w:pPr>
              <w:pStyle w:val="BodyText"/>
            </w:pPr>
            <w:r>
              <w:t>Reported in arrears based upon latest published TIPCU data</w:t>
            </w:r>
          </w:p>
        </w:tc>
      </w:tr>
      <w:tr w:rsidR="004B718D" w:rsidRPr="00092A97" w:rsidTr="002F0A9E">
        <w:trPr>
          <w:trHeight w:hRule="exact" w:val="991"/>
        </w:trPr>
        <w:tc>
          <w:tcPr>
            <w:tcW w:w="2147" w:type="dxa"/>
            <w:shd w:val="clear" w:color="auto" w:fill="auto"/>
          </w:tcPr>
          <w:p w:rsidR="004B718D" w:rsidRPr="000D153B" w:rsidRDefault="004B718D" w:rsidP="002F0A9E">
            <w:pPr>
              <w:pStyle w:val="BodyText"/>
            </w:pPr>
            <w:r w:rsidRPr="000D153B">
              <w:t>Result - MCH</w:t>
            </w:r>
          </w:p>
        </w:tc>
        <w:tc>
          <w:tcPr>
            <w:tcW w:w="1265" w:type="dxa"/>
            <w:shd w:val="clear" w:color="auto" w:fill="auto"/>
          </w:tcPr>
          <w:p w:rsidR="004B718D" w:rsidRPr="000D153B" w:rsidRDefault="004B718D" w:rsidP="002F0A9E">
            <w:pPr>
              <w:pStyle w:val="BodyText"/>
            </w:pPr>
            <w:r>
              <w:t>1.5</w:t>
            </w:r>
          </w:p>
        </w:tc>
        <w:tc>
          <w:tcPr>
            <w:tcW w:w="1271" w:type="dxa"/>
            <w:shd w:val="clear" w:color="auto" w:fill="auto"/>
          </w:tcPr>
          <w:p w:rsidR="004B718D" w:rsidRPr="000D153B" w:rsidRDefault="004B718D" w:rsidP="002F0A9E">
            <w:pPr>
              <w:pStyle w:val="BodyText"/>
            </w:pPr>
            <w:r>
              <w:t>1.7</w:t>
            </w:r>
          </w:p>
        </w:tc>
        <w:tc>
          <w:tcPr>
            <w:tcW w:w="1134" w:type="dxa"/>
            <w:shd w:val="clear" w:color="auto" w:fill="auto"/>
          </w:tcPr>
          <w:p w:rsidR="004B718D" w:rsidRPr="000D153B" w:rsidRDefault="004B718D" w:rsidP="002F0A9E">
            <w:pPr>
              <w:pStyle w:val="BodyText"/>
            </w:pPr>
            <w:r>
              <w:t>2.0</w:t>
            </w:r>
          </w:p>
        </w:tc>
        <w:tc>
          <w:tcPr>
            <w:tcW w:w="1276" w:type="dxa"/>
          </w:tcPr>
          <w:p w:rsidR="004B718D" w:rsidRPr="000D153B" w:rsidRDefault="004B718D" w:rsidP="002F0A9E">
            <w:pPr>
              <w:pStyle w:val="BodyText"/>
            </w:pPr>
            <w:r>
              <w:t>Results not yet available</w:t>
            </w:r>
          </w:p>
        </w:tc>
        <w:tc>
          <w:tcPr>
            <w:tcW w:w="2126" w:type="dxa"/>
            <w:shd w:val="clear" w:color="auto" w:fill="auto"/>
          </w:tcPr>
          <w:p w:rsidR="004B718D" w:rsidRPr="000D153B" w:rsidRDefault="004B718D" w:rsidP="002F0A9E">
            <w:pPr>
              <w:pStyle w:val="BodyText"/>
            </w:pPr>
            <w:r>
              <w:t>Reported in arrears based upon latest published TIPCU data</w:t>
            </w:r>
          </w:p>
        </w:tc>
      </w:tr>
    </w:tbl>
    <w:p w:rsidR="004B718D" w:rsidRDefault="004B718D" w:rsidP="004B718D">
      <w:pPr>
        <w:autoSpaceDE w:val="0"/>
        <w:autoSpaceDN w:val="0"/>
        <w:adjustRightInd w:val="0"/>
        <w:spacing w:after="0" w:line="240" w:lineRule="auto"/>
        <w:rPr>
          <w:rFonts w:ascii="Gill Sans MT" w:hAnsi="Gill Sans MT"/>
        </w:rPr>
      </w:pPr>
    </w:p>
    <w:p w:rsidR="004B718D" w:rsidRDefault="004B718D">
      <w:pPr>
        <w:rPr>
          <w:rFonts w:ascii="Gill Sans MT" w:hAnsi="Gill Sans MT"/>
        </w:rPr>
      </w:pPr>
      <w:r>
        <w:rPr>
          <w:rFonts w:ascii="Gill Sans MT" w:hAnsi="Gill Sans MT"/>
        </w:rPr>
        <w:br w:type="page"/>
      </w:r>
    </w:p>
    <w:p w:rsidR="004B718D" w:rsidRDefault="004B718D" w:rsidP="004B718D">
      <w:pPr>
        <w:autoSpaceDE w:val="0"/>
        <w:autoSpaceDN w:val="0"/>
        <w:adjustRightInd w:val="0"/>
        <w:spacing w:after="0" w:line="240" w:lineRule="auto"/>
        <w:rPr>
          <w:rFonts w:ascii="GillSans-SemiBold" w:hAnsi="GillSans-SemiBold" w:cs="GillSans-SemiBold"/>
          <w:b/>
          <w:bCs/>
        </w:rPr>
      </w:pPr>
      <w:proofErr w:type="gramStart"/>
      <w:r w:rsidRPr="004B718D">
        <w:rPr>
          <w:rFonts w:ascii="GillSans-SemiBold" w:hAnsi="GillSans-SemiBold" w:cs="GillSans-SemiBold"/>
          <w:b/>
          <w:bCs/>
        </w:rPr>
        <w:lastRenderedPageBreak/>
        <w:t>KPI AEC1.</w:t>
      </w:r>
      <w:proofErr w:type="gramEnd"/>
      <w:r w:rsidRPr="004B718D">
        <w:rPr>
          <w:rFonts w:ascii="GillSans-SemiBold" w:hAnsi="GillSans-SemiBold" w:cs="GillSans-SemiBold"/>
          <w:b/>
          <w:bCs/>
        </w:rPr>
        <w:t xml:space="preserve"> Triage 1 emergency department presentations seen within recommended time</w:t>
      </w:r>
    </w:p>
    <w:p w:rsidR="004B718D" w:rsidRDefault="004B718D" w:rsidP="004B718D">
      <w:pPr>
        <w:autoSpaceDE w:val="0"/>
        <w:autoSpaceDN w:val="0"/>
        <w:adjustRightInd w:val="0"/>
        <w:spacing w:after="0" w:line="240" w:lineRule="auto"/>
        <w:rPr>
          <w:rFonts w:ascii="GillSans-SemiBold" w:hAnsi="GillSans-SemiBold" w:cs="GillSans-SemiBold"/>
          <w:b/>
          <w:bCs/>
        </w:rPr>
      </w:pPr>
    </w:p>
    <w:p w:rsidR="004B718D" w:rsidRPr="004B718D" w:rsidRDefault="004B718D" w:rsidP="004B718D">
      <w:pPr>
        <w:autoSpaceDE w:val="0"/>
        <w:autoSpaceDN w:val="0"/>
        <w:adjustRightInd w:val="0"/>
        <w:spacing w:after="0" w:line="240" w:lineRule="auto"/>
        <w:rPr>
          <w:rFonts w:ascii="Gill Sans MT" w:hAnsi="Gill Sans MT"/>
        </w:rPr>
      </w:pPr>
      <w:r w:rsidRPr="004B718D">
        <w:rPr>
          <w:rFonts w:ascii="Gill Sans MT" w:hAnsi="Gill Sans MT" w:cs="GillSans-SemiBold"/>
          <w:bCs/>
        </w:rPr>
        <w:t>Target (quarterly): 100% each quarter</w:t>
      </w:r>
    </w:p>
    <w:p w:rsidR="004B718D" w:rsidRDefault="004B718D"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1. Triage 1 emergency department presentations seen within recommended time"/>
        <w:tblDescription w:val="Target (quarterly): 100 each quarter"/>
      </w:tblPr>
      <w:tblGrid>
        <w:gridCol w:w="2147"/>
        <w:gridCol w:w="1265"/>
        <w:gridCol w:w="1271"/>
        <w:gridCol w:w="1134"/>
        <w:gridCol w:w="1276"/>
        <w:gridCol w:w="2126"/>
      </w:tblGrid>
      <w:tr w:rsidR="004B718D" w:rsidRPr="006932A2" w:rsidTr="006932A2">
        <w:trPr>
          <w:trHeight w:hRule="exact" w:val="548"/>
          <w:tblHeader/>
        </w:trPr>
        <w:tc>
          <w:tcPr>
            <w:tcW w:w="2147" w:type="dxa"/>
            <w:shd w:val="clear" w:color="auto" w:fill="auto"/>
          </w:tcPr>
          <w:p w:rsidR="004B718D" w:rsidRPr="006932A2" w:rsidRDefault="00BD1A6D" w:rsidP="00BD1A6D">
            <w:pPr>
              <w:pStyle w:val="BodyText"/>
            </w:pPr>
            <w:r w:rsidRPr="006932A2">
              <w:t>Access to Emergency Care</w:t>
            </w:r>
          </w:p>
        </w:tc>
        <w:tc>
          <w:tcPr>
            <w:tcW w:w="1265" w:type="dxa"/>
            <w:shd w:val="clear" w:color="auto" w:fill="auto"/>
          </w:tcPr>
          <w:p w:rsidR="004B718D" w:rsidRPr="006932A2" w:rsidRDefault="004B718D" w:rsidP="002F0A9E">
            <w:pPr>
              <w:pStyle w:val="BodyText"/>
            </w:pPr>
            <w:r w:rsidRPr="006932A2">
              <w:t>1</w:t>
            </w:r>
            <w:r w:rsidRPr="006932A2">
              <w:rPr>
                <w:vertAlign w:val="superscript"/>
              </w:rPr>
              <w:t xml:space="preserve">st </w:t>
            </w:r>
            <w:r w:rsidRPr="006932A2">
              <w:t>Quarter</w:t>
            </w:r>
          </w:p>
        </w:tc>
        <w:tc>
          <w:tcPr>
            <w:tcW w:w="1271" w:type="dxa"/>
            <w:shd w:val="clear" w:color="auto" w:fill="auto"/>
          </w:tcPr>
          <w:p w:rsidR="004B718D" w:rsidRPr="006932A2" w:rsidRDefault="004B718D" w:rsidP="002F0A9E">
            <w:pPr>
              <w:pStyle w:val="BodyText"/>
            </w:pPr>
            <w:r w:rsidRPr="006932A2">
              <w:t>2</w:t>
            </w:r>
            <w:r w:rsidRPr="006932A2">
              <w:rPr>
                <w:vertAlign w:val="superscript"/>
              </w:rPr>
              <w:t>nd</w:t>
            </w:r>
            <w:r w:rsidRPr="006932A2">
              <w:t xml:space="preserve">  Quarter</w:t>
            </w:r>
          </w:p>
        </w:tc>
        <w:tc>
          <w:tcPr>
            <w:tcW w:w="1134" w:type="dxa"/>
            <w:shd w:val="clear" w:color="auto" w:fill="auto"/>
          </w:tcPr>
          <w:p w:rsidR="004B718D" w:rsidRPr="006932A2" w:rsidRDefault="004B718D" w:rsidP="002F0A9E">
            <w:pPr>
              <w:pStyle w:val="BodyText"/>
            </w:pPr>
            <w:r w:rsidRPr="006932A2">
              <w:t>3</w:t>
            </w:r>
            <w:r w:rsidRPr="006932A2">
              <w:rPr>
                <w:vertAlign w:val="superscript"/>
              </w:rPr>
              <w:t xml:space="preserve">rd </w:t>
            </w:r>
            <w:r w:rsidRPr="006932A2">
              <w:t>Quarter</w:t>
            </w:r>
          </w:p>
        </w:tc>
        <w:tc>
          <w:tcPr>
            <w:tcW w:w="1276" w:type="dxa"/>
          </w:tcPr>
          <w:p w:rsidR="004B718D" w:rsidRPr="006932A2" w:rsidRDefault="004B718D" w:rsidP="002F0A9E">
            <w:pPr>
              <w:pStyle w:val="BodyText"/>
            </w:pPr>
            <w:r w:rsidRPr="006932A2">
              <w:t>4</w:t>
            </w:r>
            <w:r w:rsidRPr="006932A2">
              <w:rPr>
                <w:vertAlign w:val="superscript"/>
              </w:rPr>
              <w:t xml:space="preserve">th </w:t>
            </w:r>
            <w:r w:rsidRPr="006932A2">
              <w:t>Quarter</w:t>
            </w:r>
          </w:p>
        </w:tc>
        <w:tc>
          <w:tcPr>
            <w:tcW w:w="2126" w:type="dxa"/>
            <w:shd w:val="clear" w:color="auto" w:fill="auto"/>
          </w:tcPr>
          <w:p w:rsidR="004B718D" w:rsidRPr="006932A2" w:rsidRDefault="004B718D" w:rsidP="002F0A9E">
            <w:pPr>
              <w:pStyle w:val="BodyText"/>
            </w:pPr>
            <w:r w:rsidRPr="006932A2">
              <w:t>Comments</w:t>
            </w:r>
          </w:p>
        </w:tc>
      </w:tr>
      <w:tr w:rsidR="004B718D" w:rsidRPr="00092A97" w:rsidTr="002F0A9E">
        <w:trPr>
          <w:trHeight w:hRule="exact" w:val="924"/>
        </w:trPr>
        <w:tc>
          <w:tcPr>
            <w:tcW w:w="2147" w:type="dxa"/>
            <w:shd w:val="clear" w:color="auto" w:fill="auto"/>
          </w:tcPr>
          <w:p w:rsidR="004B718D" w:rsidRPr="000D153B" w:rsidRDefault="004B718D" w:rsidP="002F0A9E">
            <w:pPr>
              <w:pStyle w:val="BodyText"/>
            </w:pPr>
            <w:r w:rsidRPr="000D153B">
              <w:t>Result - RHH</w:t>
            </w:r>
          </w:p>
        </w:tc>
        <w:tc>
          <w:tcPr>
            <w:tcW w:w="1265" w:type="dxa"/>
            <w:shd w:val="clear" w:color="auto" w:fill="auto"/>
          </w:tcPr>
          <w:p w:rsidR="004B718D" w:rsidRPr="000D153B" w:rsidRDefault="00BD1A6D" w:rsidP="002F0A9E">
            <w:pPr>
              <w:pStyle w:val="BodyText"/>
            </w:pPr>
            <w:r>
              <w:t>100%</w:t>
            </w:r>
          </w:p>
        </w:tc>
        <w:tc>
          <w:tcPr>
            <w:tcW w:w="1271" w:type="dxa"/>
            <w:shd w:val="clear" w:color="auto" w:fill="auto"/>
          </w:tcPr>
          <w:p w:rsidR="004B718D" w:rsidRPr="000D153B" w:rsidRDefault="00BD1A6D" w:rsidP="002F0A9E">
            <w:pPr>
              <w:pStyle w:val="BodyText"/>
            </w:pPr>
            <w:r>
              <w:t>100%</w:t>
            </w:r>
          </w:p>
        </w:tc>
        <w:tc>
          <w:tcPr>
            <w:tcW w:w="1134" w:type="dxa"/>
            <w:shd w:val="clear" w:color="auto" w:fill="auto"/>
          </w:tcPr>
          <w:p w:rsidR="004B718D" w:rsidRPr="000D153B" w:rsidRDefault="00BD1A6D" w:rsidP="002F0A9E">
            <w:pPr>
              <w:pStyle w:val="BodyText"/>
            </w:pPr>
            <w:r>
              <w:t>100%</w:t>
            </w:r>
          </w:p>
        </w:tc>
        <w:tc>
          <w:tcPr>
            <w:tcW w:w="1276" w:type="dxa"/>
          </w:tcPr>
          <w:p w:rsidR="004B718D" w:rsidRPr="000D153B" w:rsidRDefault="00BD1A6D" w:rsidP="002F0A9E">
            <w:pPr>
              <w:pStyle w:val="BodyText"/>
            </w:pPr>
            <w:r>
              <w:t>100%</w:t>
            </w:r>
          </w:p>
        </w:tc>
        <w:tc>
          <w:tcPr>
            <w:tcW w:w="2126" w:type="dxa"/>
            <w:shd w:val="clear" w:color="auto" w:fill="auto"/>
          </w:tcPr>
          <w:p w:rsidR="004B718D" w:rsidRPr="000D153B" w:rsidRDefault="00BD1A6D" w:rsidP="002F0A9E">
            <w:pPr>
              <w:pStyle w:val="BodyText"/>
            </w:pPr>
            <w:r>
              <w:t>N/A</w:t>
            </w:r>
          </w:p>
        </w:tc>
      </w:tr>
      <w:tr w:rsidR="004B718D" w:rsidRPr="00092A97" w:rsidTr="002F0A9E">
        <w:trPr>
          <w:trHeight w:hRule="exact" w:val="979"/>
        </w:trPr>
        <w:tc>
          <w:tcPr>
            <w:tcW w:w="2147" w:type="dxa"/>
            <w:shd w:val="clear" w:color="auto" w:fill="auto"/>
          </w:tcPr>
          <w:p w:rsidR="004B718D" w:rsidRPr="000D153B" w:rsidRDefault="004B718D" w:rsidP="002F0A9E">
            <w:pPr>
              <w:pStyle w:val="BodyText"/>
            </w:pPr>
            <w:r w:rsidRPr="000D153B">
              <w:t>Result - LGH</w:t>
            </w:r>
          </w:p>
        </w:tc>
        <w:tc>
          <w:tcPr>
            <w:tcW w:w="1265" w:type="dxa"/>
            <w:shd w:val="clear" w:color="auto" w:fill="auto"/>
          </w:tcPr>
          <w:p w:rsidR="004B718D" w:rsidRPr="000D153B" w:rsidRDefault="00BD1A6D" w:rsidP="002F0A9E">
            <w:pPr>
              <w:pStyle w:val="BodyText"/>
            </w:pPr>
            <w:r>
              <w:t>100%</w:t>
            </w:r>
          </w:p>
        </w:tc>
        <w:tc>
          <w:tcPr>
            <w:tcW w:w="1271" w:type="dxa"/>
            <w:shd w:val="clear" w:color="auto" w:fill="auto"/>
          </w:tcPr>
          <w:p w:rsidR="004B718D" w:rsidRPr="000D153B" w:rsidRDefault="00BD1A6D" w:rsidP="002F0A9E">
            <w:pPr>
              <w:pStyle w:val="BodyText"/>
            </w:pPr>
            <w:r>
              <w:t>100%</w:t>
            </w:r>
          </w:p>
        </w:tc>
        <w:tc>
          <w:tcPr>
            <w:tcW w:w="1134" w:type="dxa"/>
            <w:shd w:val="clear" w:color="auto" w:fill="auto"/>
          </w:tcPr>
          <w:p w:rsidR="004B718D" w:rsidRPr="000D153B" w:rsidRDefault="00BD1A6D" w:rsidP="002F0A9E">
            <w:pPr>
              <w:pStyle w:val="BodyText"/>
            </w:pPr>
            <w:r>
              <w:t>100%</w:t>
            </w:r>
          </w:p>
        </w:tc>
        <w:tc>
          <w:tcPr>
            <w:tcW w:w="1276" w:type="dxa"/>
          </w:tcPr>
          <w:p w:rsidR="004B718D" w:rsidRPr="000D153B" w:rsidRDefault="00BD1A6D" w:rsidP="002F0A9E">
            <w:pPr>
              <w:pStyle w:val="BodyText"/>
            </w:pPr>
            <w:r>
              <w:t>100%</w:t>
            </w:r>
          </w:p>
        </w:tc>
        <w:tc>
          <w:tcPr>
            <w:tcW w:w="2126" w:type="dxa"/>
            <w:shd w:val="clear" w:color="auto" w:fill="auto"/>
          </w:tcPr>
          <w:p w:rsidR="004B718D" w:rsidRPr="000D153B" w:rsidRDefault="00BD1A6D" w:rsidP="002F0A9E">
            <w:pPr>
              <w:pStyle w:val="BodyText"/>
            </w:pPr>
            <w:r>
              <w:t>N/A</w:t>
            </w:r>
          </w:p>
        </w:tc>
      </w:tr>
      <w:tr w:rsidR="004B718D" w:rsidRPr="00092A97" w:rsidTr="002F0A9E">
        <w:trPr>
          <w:trHeight w:hRule="exact" w:val="992"/>
        </w:trPr>
        <w:tc>
          <w:tcPr>
            <w:tcW w:w="2147" w:type="dxa"/>
            <w:shd w:val="clear" w:color="auto" w:fill="auto"/>
          </w:tcPr>
          <w:p w:rsidR="004B718D" w:rsidRPr="000D153B" w:rsidRDefault="004B718D" w:rsidP="002F0A9E">
            <w:pPr>
              <w:pStyle w:val="BodyText"/>
            </w:pPr>
            <w:r w:rsidRPr="000D153B">
              <w:t>Result - NWRH</w:t>
            </w:r>
          </w:p>
        </w:tc>
        <w:tc>
          <w:tcPr>
            <w:tcW w:w="1265" w:type="dxa"/>
            <w:shd w:val="clear" w:color="auto" w:fill="auto"/>
          </w:tcPr>
          <w:p w:rsidR="004B718D" w:rsidRPr="000D153B" w:rsidRDefault="00BD1A6D" w:rsidP="002F0A9E">
            <w:pPr>
              <w:pStyle w:val="BodyText"/>
            </w:pPr>
            <w:r>
              <w:t>100%</w:t>
            </w:r>
          </w:p>
        </w:tc>
        <w:tc>
          <w:tcPr>
            <w:tcW w:w="1271" w:type="dxa"/>
            <w:shd w:val="clear" w:color="auto" w:fill="auto"/>
          </w:tcPr>
          <w:p w:rsidR="004B718D" w:rsidRPr="000D153B" w:rsidRDefault="00BD1A6D" w:rsidP="002F0A9E">
            <w:pPr>
              <w:pStyle w:val="BodyText"/>
            </w:pPr>
            <w:r>
              <w:t>100%</w:t>
            </w:r>
          </w:p>
        </w:tc>
        <w:tc>
          <w:tcPr>
            <w:tcW w:w="1134" w:type="dxa"/>
            <w:shd w:val="clear" w:color="auto" w:fill="auto"/>
          </w:tcPr>
          <w:p w:rsidR="004B718D" w:rsidRPr="000D153B" w:rsidRDefault="00BD1A6D" w:rsidP="002F0A9E">
            <w:pPr>
              <w:pStyle w:val="BodyText"/>
            </w:pPr>
            <w:r>
              <w:t>100%</w:t>
            </w:r>
          </w:p>
        </w:tc>
        <w:tc>
          <w:tcPr>
            <w:tcW w:w="1276" w:type="dxa"/>
          </w:tcPr>
          <w:p w:rsidR="004B718D" w:rsidRPr="000D153B" w:rsidRDefault="00BD1A6D" w:rsidP="002F0A9E">
            <w:pPr>
              <w:pStyle w:val="BodyText"/>
            </w:pPr>
            <w:r>
              <w:t>100%</w:t>
            </w:r>
          </w:p>
        </w:tc>
        <w:tc>
          <w:tcPr>
            <w:tcW w:w="2126" w:type="dxa"/>
            <w:shd w:val="clear" w:color="auto" w:fill="auto"/>
          </w:tcPr>
          <w:p w:rsidR="004B718D" w:rsidRPr="000D153B" w:rsidRDefault="00BD1A6D" w:rsidP="002F0A9E">
            <w:pPr>
              <w:pStyle w:val="BodyText"/>
            </w:pPr>
            <w:r>
              <w:t>N/A</w:t>
            </w:r>
          </w:p>
        </w:tc>
      </w:tr>
      <w:tr w:rsidR="004B718D" w:rsidRPr="00092A97" w:rsidTr="002F0A9E">
        <w:trPr>
          <w:trHeight w:hRule="exact" w:val="991"/>
        </w:trPr>
        <w:tc>
          <w:tcPr>
            <w:tcW w:w="2147" w:type="dxa"/>
            <w:shd w:val="clear" w:color="auto" w:fill="auto"/>
          </w:tcPr>
          <w:p w:rsidR="004B718D" w:rsidRPr="000D153B" w:rsidRDefault="004B718D" w:rsidP="002F0A9E">
            <w:pPr>
              <w:pStyle w:val="BodyText"/>
            </w:pPr>
            <w:r w:rsidRPr="000D153B">
              <w:t>Result - MCH</w:t>
            </w:r>
          </w:p>
        </w:tc>
        <w:tc>
          <w:tcPr>
            <w:tcW w:w="1265" w:type="dxa"/>
            <w:shd w:val="clear" w:color="auto" w:fill="auto"/>
          </w:tcPr>
          <w:p w:rsidR="004B718D" w:rsidRPr="000D153B" w:rsidRDefault="00BD1A6D" w:rsidP="002F0A9E">
            <w:pPr>
              <w:pStyle w:val="BodyText"/>
            </w:pPr>
            <w:r>
              <w:t>100%</w:t>
            </w:r>
          </w:p>
        </w:tc>
        <w:tc>
          <w:tcPr>
            <w:tcW w:w="1271" w:type="dxa"/>
            <w:shd w:val="clear" w:color="auto" w:fill="auto"/>
          </w:tcPr>
          <w:p w:rsidR="004B718D" w:rsidRPr="000D153B" w:rsidRDefault="00BD1A6D" w:rsidP="002F0A9E">
            <w:pPr>
              <w:pStyle w:val="BodyText"/>
            </w:pPr>
            <w:r>
              <w:t>100%</w:t>
            </w:r>
          </w:p>
        </w:tc>
        <w:tc>
          <w:tcPr>
            <w:tcW w:w="1134" w:type="dxa"/>
            <w:shd w:val="clear" w:color="auto" w:fill="auto"/>
          </w:tcPr>
          <w:p w:rsidR="004B718D" w:rsidRPr="000D153B" w:rsidRDefault="00BD1A6D" w:rsidP="002F0A9E">
            <w:pPr>
              <w:pStyle w:val="BodyText"/>
            </w:pPr>
            <w:r>
              <w:t>100%</w:t>
            </w:r>
          </w:p>
        </w:tc>
        <w:tc>
          <w:tcPr>
            <w:tcW w:w="1276" w:type="dxa"/>
          </w:tcPr>
          <w:p w:rsidR="004B718D" w:rsidRPr="000D153B" w:rsidRDefault="00BD1A6D" w:rsidP="002F0A9E">
            <w:pPr>
              <w:pStyle w:val="BodyText"/>
            </w:pPr>
            <w:r>
              <w:t>100%</w:t>
            </w:r>
          </w:p>
        </w:tc>
        <w:tc>
          <w:tcPr>
            <w:tcW w:w="2126" w:type="dxa"/>
            <w:shd w:val="clear" w:color="auto" w:fill="auto"/>
          </w:tcPr>
          <w:p w:rsidR="004B718D" w:rsidRPr="000D153B" w:rsidRDefault="00BD1A6D" w:rsidP="002F0A9E">
            <w:pPr>
              <w:pStyle w:val="BodyText"/>
            </w:pPr>
            <w:r>
              <w:t>N/A</w:t>
            </w:r>
          </w:p>
        </w:tc>
      </w:tr>
    </w:tbl>
    <w:p w:rsidR="004B718D" w:rsidRDefault="004B718D" w:rsidP="004B718D">
      <w:pPr>
        <w:autoSpaceDE w:val="0"/>
        <w:autoSpaceDN w:val="0"/>
        <w:adjustRightInd w:val="0"/>
        <w:spacing w:after="0" w:line="240" w:lineRule="auto"/>
        <w:rPr>
          <w:rFonts w:ascii="Gill Sans MT" w:hAnsi="Gill Sans MT"/>
        </w:rPr>
      </w:pPr>
    </w:p>
    <w:p w:rsidR="006932A2" w:rsidRDefault="006932A2" w:rsidP="004B718D">
      <w:pPr>
        <w:autoSpaceDE w:val="0"/>
        <w:autoSpaceDN w:val="0"/>
        <w:adjustRightInd w:val="0"/>
        <w:spacing w:after="0" w:line="240" w:lineRule="auto"/>
        <w:rPr>
          <w:rFonts w:ascii="Gill Sans MT" w:hAnsi="Gill Sans MT"/>
        </w:rPr>
      </w:pPr>
    </w:p>
    <w:p w:rsidR="006932A2" w:rsidRDefault="006932A2" w:rsidP="006932A2">
      <w:pPr>
        <w:pStyle w:val="BodyText"/>
        <w:rPr>
          <w:b/>
        </w:rPr>
      </w:pPr>
      <w:proofErr w:type="gramStart"/>
      <w:r w:rsidRPr="006932A2">
        <w:rPr>
          <w:b/>
        </w:rPr>
        <w:t>KPI AEC2.</w:t>
      </w:r>
      <w:proofErr w:type="gramEnd"/>
      <w:r w:rsidRPr="006932A2">
        <w:rPr>
          <w:b/>
        </w:rPr>
        <w:t xml:space="preserve"> Triage 2 emergency department presentations seen within </w:t>
      </w:r>
      <w:proofErr w:type="gramStart"/>
      <w:r w:rsidRPr="006932A2">
        <w:rPr>
          <w:b/>
        </w:rPr>
        <w:t>recommended  time</w:t>
      </w:r>
      <w:proofErr w:type="gramEnd"/>
    </w:p>
    <w:p w:rsidR="006932A2" w:rsidRPr="006932A2" w:rsidRDefault="006932A2" w:rsidP="006932A2">
      <w:pPr>
        <w:pStyle w:val="BodyText"/>
      </w:pPr>
      <w:r>
        <w:t>Target (quarterly): 8</w:t>
      </w:r>
      <w:r w:rsidRPr="006932A2">
        <w:t>0% each quarter</w:t>
      </w:r>
    </w:p>
    <w:p w:rsidR="006932A2" w:rsidRDefault="006932A2"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2. Triage 2 emergency department presentations seen within recommended  time"/>
        <w:tblDescription w:val="Target (quarterly): 80% each quarter"/>
      </w:tblPr>
      <w:tblGrid>
        <w:gridCol w:w="2147"/>
        <w:gridCol w:w="1265"/>
        <w:gridCol w:w="1271"/>
        <w:gridCol w:w="1134"/>
        <w:gridCol w:w="1276"/>
        <w:gridCol w:w="2126"/>
      </w:tblGrid>
      <w:tr w:rsidR="006932A2" w:rsidRPr="00092A97" w:rsidTr="006932A2">
        <w:trPr>
          <w:trHeight w:hRule="exact" w:val="548"/>
          <w:tblHeader/>
        </w:trPr>
        <w:tc>
          <w:tcPr>
            <w:tcW w:w="2147" w:type="dxa"/>
            <w:shd w:val="clear" w:color="auto" w:fill="auto"/>
          </w:tcPr>
          <w:p w:rsidR="006932A2" w:rsidRPr="000D153B" w:rsidRDefault="006932A2" w:rsidP="002F0A9E">
            <w:pPr>
              <w:pStyle w:val="BodyText"/>
            </w:pPr>
            <w:r>
              <w:t>Access to Emergency Care</w:t>
            </w:r>
          </w:p>
        </w:tc>
        <w:tc>
          <w:tcPr>
            <w:tcW w:w="1265" w:type="dxa"/>
            <w:shd w:val="clear" w:color="auto" w:fill="auto"/>
          </w:tcPr>
          <w:p w:rsidR="006932A2" w:rsidRPr="000D153B" w:rsidRDefault="006932A2"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6932A2" w:rsidRPr="000D153B" w:rsidRDefault="006932A2"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6932A2" w:rsidRPr="000D153B" w:rsidRDefault="006932A2" w:rsidP="002F0A9E">
            <w:pPr>
              <w:pStyle w:val="BodyText"/>
            </w:pPr>
            <w:r w:rsidRPr="000D153B">
              <w:t>3</w:t>
            </w:r>
            <w:r w:rsidRPr="000D153B">
              <w:rPr>
                <w:vertAlign w:val="superscript"/>
              </w:rPr>
              <w:t xml:space="preserve">rd </w:t>
            </w:r>
            <w:r w:rsidRPr="000D153B">
              <w:t>Quarter</w:t>
            </w:r>
          </w:p>
        </w:tc>
        <w:tc>
          <w:tcPr>
            <w:tcW w:w="1276" w:type="dxa"/>
          </w:tcPr>
          <w:p w:rsidR="006932A2" w:rsidRPr="000D153B" w:rsidRDefault="006932A2"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6932A2" w:rsidRPr="000D153B" w:rsidRDefault="006932A2" w:rsidP="002F0A9E">
            <w:pPr>
              <w:pStyle w:val="BodyText"/>
            </w:pPr>
            <w:r w:rsidRPr="000D153B">
              <w:t>Comments</w:t>
            </w:r>
          </w:p>
        </w:tc>
      </w:tr>
      <w:tr w:rsidR="006932A2" w:rsidRPr="00092A97" w:rsidTr="002F0A9E">
        <w:trPr>
          <w:trHeight w:hRule="exact" w:val="924"/>
        </w:trPr>
        <w:tc>
          <w:tcPr>
            <w:tcW w:w="2147" w:type="dxa"/>
            <w:shd w:val="clear" w:color="auto" w:fill="auto"/>
          </w:tcPr>
          <w:p w:rsidR="006932A2" w:rsidRPr="000D153B" w:rsidRDefault="006932A2" w:rsidP="002F0A9E">
            <w:pPr>
              <w:pStyle w:val="BodyText"/>
            </w:pPr>
            <w:r w:rsidRPr="000D153B">
              <w:t>Result - RHH</w:t>
            </w:r>
          </w:p>
        </w:tc>
        <w:tc>
          <w:tcPr>
            <w:tcW w:w="1265" w:type="dxa"/>
            <w:shd w:val="clear" w:color="auto" w:fill="auto"/>
          </w:tcPr>
          <w:p w:rsidR="006932A2" w:rsidRPr="000D153B" w:rsidRDefault="006932A2" w:rsidP="002F0A9E">
            <w:pPr>
              <w:pStyle w:val="BodyText"/>
            </w:pPr>
            <w:r>
              <w:t>65.1%</w:t>
            </w:r>
          </w:p>
        </w:tc>
        <w:tc>
          <w:tcPr>
            <w:tcW w:w="1271" w:type="dxa"/>
            <w:shd w:val="clear" w:color="auto" w:fill="auto"/>
          </w:tcPr>
          <w:p w:rsidR="006932A2" w:rsidRPr="000D153B" w:rsidRDefault="006932A2" w:rsidP="002F0A9E">
            <w:pPr>
              <w:pStyle w:val="BodyText"/>
            </w:pPr>
            <w:r>
              <w:t>74.8%</w:t>
            </w:r>
          </w:p>
        </w:tc>
        <w:tc>
          <w:tcPr>
            <w:tcW w:w="1134" w:type="dxa"/>
            <w:shd w:val="clear" w:color="auto" w:fill="auto"/>
          </w:tcPr>
          <w:p w:rsidR="006932A2" w:rsidRPr="000D153B" w:rsidRDefault="006932A2" w:rsidP="002F0A9E">
            <w:pPr>
              <w:pStyle w:val="BodyText"/>
            </w:pPr>
            <w:r>
              <w:t>81.0%</w:t>
            </w:r>
          </w:p>
        </w:tc>
        <w:tc>
          <w:tcPr>
            <w:tcW w:w="1276" w:type="dxa"/>
          </w:tcPr>
          <w:p w:rsidR="006932A2" w:rsidRPr="000D153B" w:rsidRDefault="006932A2" w:rsidP="002F0A9E">
            <w:pPr>
              <w:pStyle w:val="BodyText"/>
            </w:pPr>
            <w:r>
              <w:t>87.6%</w:t>
            </w:r>
          </w:p>
        </w:tc>
        <w:tc>
          <w:tcPr>
            <w:tcW w:w="2126" w:type="dxa"/>
            <w:shd w:val="clear" w:color="auto" w:fill="auto"/>
          </w:tcPr>
          <w:p w:rsidR="006932A2" w:rsidRPr="000D153B" w:rsidRDefault="006932A2" w:rsidP="006932A2">
            <w:pPr>
              <w:pStyle w:val="BodyText"/>
            </w:pPr>
            <w:r>
              <w:t>Target achieved in 2 of 4 quarters</w:t>
            </w:r>
          </w:p>
        </w:tc>
      </w:tr>
      <w:tr w:rsidR="006932A2" w:rsidRPr="00092A97" w:rsidTr="002F0A9E">
        <w:trPr>
          <w:trHeight w:hRule="exact" w:val="979"/>
        </w:trPr>
        <w:tc>
          <w:tcPr>
            <w:tcW w:w="2147" w:type="dxa"/>
            <w:shd w:val="clear" w:color="auto" w:fill="auto"/>
          </w:tcPr>
          <w:p w:rsidR="006932A2" w:rsidRPr="000D153B" w:rsidRDefault="006932A2" w:rsidP="002F0A9E">
            <w:pPr>
              <w:pStyle w:val="BodyText"/>
            </w:pPr>
            <w:r w:rsidRPr="000D153B">
              <w:t>Result - LGH</w:t>
            </w:r>
          </w:p>
        </w:tc>
        <w:tc>
          <w:tcPr>
            <w:tcW w:w="1265" w:type="dxa"/>
            <w:shd w:val="clear" w:color="auto" w:fill="auto"/>
          </w:tcPr>
          <w:p w:rsidR="006932A2" w:rsidRPr="000D153B" w:rsidRDefault="006932A2" w:rsidP="002F0A9E">
            <w:pPr>
              <w:pStyle w:val="BodyText"/>
            </w:pPr>
            <w:r>
              <w:t>76.3%</w:t>
            </w:r>
          </w:p>
        </w:tc>
        <w:tc>
          <w:tcPr>
            <w:tcW w:w="1271" w:type="dxa"/>
            <w:shd w:val="clear" w:color="auto" w:fill="auto"/>
          </w:tcPr>
          <w:p w:rsidR="006932A2" w:rsidRPr="000D153B" w:rsidRDefault="006932A2" w:rsidP="002F0A9E">
            <w:pPr>
              <w:pStyle w:val="BodyText"/>
            </w:pPr>
            <w:r>
              <w:t>81.9%</w:t>
            </w:r>
          </w:p>
        </w:tc>
        <w:tc>
          <w:tcPr>
            <w:tcW w:w="1134" w:type="dxa"/>
            <w:shd w:val="clear" w:color="auto" w:fill="auto"/>
          </w:tcPr>
          <w:p w:rsidR="006932A2" w:rsidRPr="000D153B" w:rsidRDefault="006932A2" w:rsidP="002F0A9E">
            <w:pPr>
              <w:pStyle w:val="BodyText"/>
            </w:pPr>
            <w:r>
              <w:t>82.5%</w:t>
            </w:r>
          </w:p>
        </w:tc>
        <w:tc>
          <w:tcPr>
            <w:tcW w:w="1276" w:type="dxa"/>
          </w:tcPr>
          <w:p w:rsidR="006932A2" w:rsidRPr="000D153B" w:rsidRDefault="006932A2" w:rsidP="002F0A9E">
            <w:pPr>
              <w:pStyle w:val="BodyText"/>
            </w:pPr>
            <w:r>
              <w:t>81.9%</w:t>
            </w:r>
          </w:p>
        </w:tc>
        <w:tc>
          <w:tcPr>
            <w:tcW w:w="2126" w:type="dxa"/>
            <w:shd w:val="clear" w:color="auto" w:fill="auto"/>
          </w:tcPr>
          <w:p w:rsidR="006932A2" w:rsidRPr="000D153B" w:rsidRDefault="006932A2" w:rsidP="002F0A9E">
            <w:pPr>
              <w:pStyle w:val="BodyText"/>
            </w:pPr>
            <w:r>
              <w:t>Target achieved in 3 of 4 quarters</w:t>
            </w:r>
          </w:p>
        </w:tc>
      </w:tr>
      <w:tr w:rsidR="006932A2" w:rsidRPr="00092A97" w:rsidTr="002F0A9E">
        <w:trPr>
          <w:trHeight w:hRule="exact" w:val="992"/>
        </w:trPr>
        <w:tc>
          <w:tcPr>
            <w:tcW w:w="2147" w:type="dxa"/>
            <w:shd w:val="clear" w:color="auto" w:fill="auto"/>
          </w:tcPr>
          <w:p w:rsidR="006932A2" w:rsidRPr="000D153B" w:rsidRDefault="006932A2" w:rsidP="002F0A9E">
            <w:pPr>
              <w:pStyle w:val="BodyText"/>
            </w:pPr>
            <w:r w:rsidRPr="000D153B">
              <w:t>Result - NWRH</w:t>
            </w:r>
          </w:p>
        </w:tc>
        <w:tc>
          <w:tcPr>
            <w:tcW w:w="1265" w:type="dxa"/>
            <w:shd w:val="clear" w:color="auto" w:fill="auto"/>
          </w:tcPr>
          <w:p w:rsidR="006932A2" w:rsidRPr="000D153B" w:rsidRDefault="006932A2" w:rsidP="002F0A9E">
            <w:pPr>
              <w:pStyle w:val="BodyText"/>
            </w:pPr>
            <w:r>
              <w:t>85.0%</w:t>
            </w:r>
          </w:p>
        </w:tc>
        <w:tc>
          <w:tcPr>
            <w:tcW w:w="1271" w:type="dxa"/>
            <w:shd w:val="clear" w:color="auto" w:fill="auto"/>
          </w:tcPr>
          <w:p w:rsidR="006932A2" w:rsidRPr="000D153B" w:rsidRDefault="006932A2" w:rsidP="002F0A9E">
            <w:pPr>
              <w:pStyle w:val="BodyText"/>
            </w:pPr>
            <w:r>
              <w:t>88.6%</w:t>
            </w:r>
          </w:p>
        </w:tc>
        <w:tc>
          <w:tcPr>
            <w:tcW w:w="1134" w:type="dxa"/>
            <w:shd w:val="clear" w:color="auto" w:fill="auto"/>
          </w:tcPr>
          <w:p w:rsidR="006932A2" w:rsidRPr="000D153B" w:rsidRDefault="006932A2" w:rsidP="002F0A9E">
            <w:pPr>
              <w:pStyle w:val="BodyText"/>
            </w:pPr>
            <w:r>
              <w:t>82.3%</w:t>
            </w:r>
          </w:p>
        </w:tc>
        <w:tc>
          <w:tcPr>
            <w:tcW w:w="1276" w:type="dxa"/>
          </w:tcPr>
          <w:p w:rsidR="006932A2" w:rsidRPr="000D153B" w:rsidRDefault="006932A2" w:rsidP="002F0A9E">
            <w:pPr>
              <w:pStyle w:val="BodyText"/>
            </w:pPr>
            <w:r>
              <w:t>86.6%</w:t>
            </w:r>
          </w:p>
        </w:tc>
        <w:tc>
          <w:tcPr>
            <w:tcW w:w="2126" w:type="dxa"/>
            <w:shd w:val="clear" w:color="auto" w:fill="auto"/>
          </w:tcPr>
          <w:p w:rsidR="006932A2" w:rsidRPr="000D153B" w:rsidRDefault="006932A2" w:rsidP="002F0A9E">
            <w:pPr>
              <w:pStyle w:val="BodyText"/>
            </w:pPr>
            <w:r>
              <w:t>Target achieved in all 4 quarters</w:t>
            </w:r>
          </w:p>
        </w:tc>
      </w:tr>
      <w:tr w:rsidR="006932A2" w:rsidRPr="00092A97" w:rsidTr="002F0A9E">
        <w:trPr>
          <w:trHeight w:hRule="exact" w:val="991"/>
        </w:trPr>
        <w:tc>
          <w:tcPr>
            <w:tcW w:w="2147" w:type="dxa"/>
            <w:shd w:val="clear" w:color="auto" w:fill="auto"/>
          </w:tcPr>
          <w:p w:rsidR="006932A2" w:rsidRPr="000D153B" w:rsidRDefault="006932A2" w:rsidP="002F0A9E">
            <w:pPr>
              <w:pStyle w:val="BodyText"/>
            </w:pPr>
            <w:r w:rsidRPr="000D153B">
              <w:t>Result - MCH</w:t>
            </w:r>
          </w:p>
        </w:tc>
        <w:tc>
          <w:tcPr>
            <w:tcW w:w="1265" w:type="dxa"/>
            <w:shd w:val="clear" w:color="auto" w:fill="auto"/>
          </w:tcPr>
          <w:p w:rsidR="006932A2" w:rsidRPr="000D153B" w:rsidRDefault="006932A2" w:rsidP="002F0A9E">
            <w:pPr>
              <w:pStyle w:val="BodyText"/>
            </w:pPr>
            <w:r>
              <w:t>75.6%</w:t>
            </w:r>
          </w:p>
        </w:tc>
        <w:tc>
          <w:tcPr>
            <w:tcW w:w="1271" w:type="dxa"/>
            <w:shd w:val="clear" w:color="auto" w:fill="auto"/>
          </w:tcPr>
          <w:p w:rsidR="006932A2" w:rsidRPr="000D153B" w:rsidRDefault="006932A2" w:rsidP="002F0A9E">
            <w:pPr>
              <w:pStyle w:val="BodyText"/>
            </w:pPr>
            <w:r>
              <w:t>83.5%</w:t>
            </w:r>
          </w:p>
        </w:tc>
        <w:tc>
          <w:tcPr>
            <w:tcW w:w="1134" w:type="dxa"/>
            <w:shd w:val="clear" w:color="auto" w:fill="auto"/>
          </w:tcPr>
          <w:p w:rsidR="006932A2" w:rsidRPr="000D153B" w:rsidRDefault="006932A2" w:rsidP="002F0A9E">
            <w:pPr>
              <w:pStyle w:val="BodyText"/>
            </w:pPr>
            <w:r>
              <w:t>83.9%</w:t>
            </w:r>
          </w:p>
        </w:tc>
        <w:tc>
          <w:tcPr>
            <w:tcW w:w="1276" w:type="dxa"/>
          </w:tcPr>
          <w:p w:rsidR="006932A2" w:rsidRPr="000D153B" w:rsidRDefault="006932A2" w:rsidP="002F0A9E">
            <w:pPr>
              <w:pStyle w:val="BodyText"/>
            </w:pPr>
            <w:r>
              <w:t>77.0%</w:t>
            </w:r>
          </w:p>
        </w:tc>
        <w:tc>
          <w:tcPr>
            <w:tcW w:w="2126" w:type="dxa"/>
            <w:shd w:val="clear" w:color="auto" w:fill="auto"/>
          </w:tcPr>
          <w:p w:rsidR="006932A2" w:rsidRPr="000D153B" w:rsidRDefault="006932A2" w:rsidP="002F0A9E">
            <w:pPr>
              <w:pStyle w:val="BodyText"/>
            </w:pPr>
            <w:r>
              <w:t>Target achieved in 2 of 4 quarters</w:t>
            </w:r>
          </w:p>
        </w:tc>
      </w:tr>
    </w:tbl>
    <w:p w:rsidR="006932A2" w:rsidRDefault="006932A2" w:rsidP="004B718D">
      <w:pPr>
        <w:autoSpaceDE w:val="0"/>
        <w:autoSpaceDN w:val="0"/>
        <w:adjustRightInd w:val="0"/>
        <w:spacing w:after="0" w:line="240" w:lineRule="auto"/>
        <w:rPr>
          <w:rFonts w:ascii="Gill Sans MT" w:hAnsi="Gill Sans MT"/>
        </w:rPr>
      </w:pPr>
    </w:p>
    <w:p w:rsidR="00695B83" w:rsidRDefault="00695B83">
      <w:pPr>
        <w:rPr>
          <w:rFonts w:ascii="Gill Sans MT" w:hAnsi="Gill Sans MT"/>
        </w:rPr>
      </w:pPr>
      <w:r>
        <w:rPr>
          <w:rFonts w:ascii="Gill Sans MT" w:hAnsi="Gill Sans MT"/>
        </w:rPr>
        <w:br w:type="page"/>
      </w:r>
    </w:p>
    <w:p w:rsidR="00695B83" w:rsidRPr="00695B83" w:rsidRDefault="00695B83" w:rsidP="00695B83">
      <w:pPr>
        <w:pStyle w:val="BodyText"/>
        <w:rPr>
          <w:b/>
        </w:rPr>
      </w:pPr>
      <w:proofErr w:type="gramStart"/>
      <w:r w:rsidRPr="00695B83">
        <w:rPr>
          <w:b/>
        </w:rPr>
        <w:lastRenderedPageBreak/>
        <w:t>KPI AEC3.</w:t>
      </w:r>
      <w:proofErr w:type="gramEnd"/>
      <w:r w:rsidRPr="00695B83">
        <w:rPr>
          <w:b/>
        </w:rPr>
        <w:t xml:space="preserve"> Emergency </w:t>
      </w:r>
      <w:r w:rsidRPr="00695B83">
        <w:rPr>
          <w:b/>
          <w:spacing w:val="2"/>
        </w:rPr>
        <w:t xml:space="preserve">department </w:t>
      </w:r>
      <w:r w:rsidRPr="00695B83">
        <w:rPr>
          <w:b/>
        </w:rPr>
        <w:t>did not wait</w:t>
      </w:r>
      <w:r w:rsidRPr="00695B83">
        <w:rPr>
          <w:b/>
          <w:spacing w:val="51"/>
        </w:rPr>
        <w:t xml:space="preserve"> </w:t>
      </w:r>
      <w:r w:rsidRPr="00695B83">
        <w:rPr>
          <w:b/>
        </w:rPr>
        <w:t>presentations</w:t>
      </w:r>
    </w:p>
    <w:p w:rsidR="00695B83" w:rsidRPr="00695B83" w:rsidRDefault="00695B83" w:rsidP="00695B83">
      <w:pPr>
        <w:pStyle w:val="BodyText"/>
      </w:pPr>
      <w:r w:rsidRPr="00695B83">
        <w:t>Target (quarterly</w:t>
      </w:r>
      <w:proofErr w:type="gramStart"/>
      <w:r w:rsidRPr="00695B83">
        <w:t>):</w:t>
      </w:r>
      <w:proofErr w:type="gramEnd"/>
      <w:r w:rsidRPr="00695B83">
        <w:t xml:space="preserve"> &lt;/= 5% each quarter</w:t>
      </w:r>
    </w:p>
    <w:p w:rsidR="00695B83" w:rsidRDefault="00695B83"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3. Emergency department did not wait presentations"/>
        <w:tblDescription w:val="Target (quarterly): &lt;/= 5% each quarter"/>
      </w:tblPr>
      <w:tblGrid>
        <w:gridCol w:w="2147"/>
        <w:gridCol w:w="1265"/>
        <w:gridCol w:w="1271"/>
        <w:gridCol w:w="1134"/>
        <w:gridCol w:w="1276"/>
        <w:gridCol w:w="2126"/>
      </w:tblGrid>
      <w:tr w:rsidR="00695B83" w:rsidRPr="00092A97" w:rsidTr="002F0A9E">
        <w:trPr>
          <w:trHeight w:hRule="exact" w:val="548"/>
          <w:tblHeader/>
        </w:trPr>
        <w:tc>
          <w:tcPr>
            <w:tcW w:w="2147" w:type="dxa"/>
            <w:shd w:val="clear" w:color="auto" w:fill="auto"/>
          </w:tcPr>
          <w:p w:rsidR="00695B83" w:rsidRPr="000D153B" w:rsidRDefault="00695B83" w:rsidP="002F0A9E">
            <w:pPr>
              <w:pStyle w:val="BodyText"/>
            </w:pPr>
            <w:r>
              <w:t>Access to Emergency Care</w:t>
            </w:r>
          </w:p>
        </w:tc>
        <w:tc>
          <w:tcPr>
            <w:tcW w:w="1265" w:type="dxa"/>
            <w:shd w:val="clear" w:color="auto" w:fill="auto"/>
          </w:tcPr>
          <w:p w:rsidR="00695B83" w:rsidRPr="000D153B" w:rsidRDefault="00695B83"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695B83" w:rsidRPr="000D153B" w:rsidRDefault="00695B83"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695B83" w:rsidRPr="000D153B" w:rsidRDefault="00695B83" w:rsidP="002F0A9E">
            <w:pPr>
              <w:pStyle w:val="BodyText"/>
            </w:pPr>
            <w:r w:rsidRPr="000D153B">
              <w:t>3</w:t>
            </w:r>
            <w:r w:rsidRPr="000D153B">
              <w:rPr>
                <w:vertAlign w:val="superscript"/>
              </w:rPr>
              <w:t xml:space="preserve">rd </w:t>
            </w:r>
            <w:r w:rsidRPr="000D153B">
              <w:t>Quarter</w:t>
            </w:r>
          </w:p>
        </w:tc>
        <w:tc>
          <w:tcPr>
            <w:tcW w:w="1276" w:type="dxa"/>
          </w:tcPr>
          <w:p w:rsidR="00695B83" w:rsidRPr="000D153B" w:rsidRDefault="00695B83"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695B83" w:rsidRPr="000D153B" w:rsidRDefault="00695B83" w:rsidP="002F0A9E">
            <w:pPr>
              <w:pStyle w:val="BodyText"/>
            </w:pPr>
            <w:r w:rsidRPr="000D153B">
              <w:t>Comments</w:t>
            </w:r>
          </w:p>
        </w:tc>
      </w:tr>
      <w:tr w:rsidR="00695B83" w:rsidRPr="00092A97" w:rsidTr="002F0A9E">
        <w:trPr>
          <w:trHeight w:hRule="exact" w:val="924"/>
        </w:trPr>
        <w:tc>
          <w:tcPr>
            <w:tcW w:w="2147" w:type="dxa"/>
            <w:shd w:val="clear" w:color="auto" w:fill="auto"/>
          </w:tcPr>
          <w:p w:rsidR="00695B83" w:rsidRPr="000D153B" w:rsidRDefault="00695B83" w:rsidP="002F0A9E">
            <w:pPr>
              <w:pStyle w:val="BodyText"/>
            </w:pPr>
            <w:r w:rsidRPr="000D153B">
              <w:t>Result - RHH</w:t>
            </w:r>
          </w:p>
        </w:tc>
        <w:tc>
          <w:tcPr>
            <w:tcW w:w="1265" w:type="dxa"/>
            <w:shd w:val="clear" w:color="auto" w:fill="auto"/>
          </w:tcPr>
          <w:p w:rsidR="00695B83" w:rsidRPr="000D153B" w:rsidRDefault="004F02A4" w:rsidP="002F0A9E">
            <w:pPr>
              <w:pStyle w:val="BodyText"/>
            </w:pPr>
            <w:r>
              <w:t>7.3%</w:t>
            </w:r>
          </w:p>
        </w:tc>
        <w:tc>
          <w:tcPr>
            <w:tcW w:w="1271" w:type="dxa"/>
            <w:shd w:val="clear" w:color="auto" w:fill="auto"/>
          </w:tcPr>
          <w:p w:rsidR="00695B83" w:rsidRPr="000D153B" w:rsidRDefault="004F02A4" w:rsidP="002F0A9E">
            <w:pPr>
              <w:pStyle w:val="BodyText"/>
            </w:pPr>
            <w:r>
              <w:t>5.8%</w:t>
            </w:r>
          </w:p>
        </w:tc>
        <w:tc>
          <w:tcPr>
            <w:tcW w:w="1134" w:type="dxa"/>
            <w:shd w:val="clear" w:color="auto" w:fill="auto"/>
          </w:tcPr>
          <w:p w:rsidR="00695B83" w:rsidRPr="000D153B" w:rsidRDefault="004F02A4" w:rsidP="002F0A9E">
            <w:pPr>
              <w:pStyle w:val="BodyText"/>
            </w:pPr>
            <w:r>
              <w:t>3.3%</w:t>
            </w:r>
          </w:p>
        </w:tc>
        <w:tc>
          <w:tcPr>
            <w:tcW w:w="1276" w:type="dxa"/>
          </w:tcPr>
          <w:p w:rsidR="00695B83" w:rsidRPr="000D153B" w:rsidRDefault="004F02A4" w:rsidP="002F0A9E">
            <w:pPr>
              <w:pStyle w:val="BodyText"/>
            </w:pPr>
            <w:r>
              <w:t>2.2%</w:t>
            </w:r>
          </w:p>
        </w:tc>
        <w:tc>
          <w:tcPr>
            <w:tcW w:w="2126" w:type="dxa"/>
            <w:shd w:val="clear" w:color="auto" w:fill="auto"/>
          </w:tcPr>
          <w:p w:rsidR="00695B83" w:rsidRPr="000D153B" w:rsidRDefault="00695B83" w:rsidP="002F0A9E">
            <w:pPr>
              <w:pStyle w:val="BodyText"/>
            </w:pPr>
            <w:r>
              <w:t>Target achieved in 2 of 4 quarters</w:t>
            </w:r>
          </w:p>
        </w:tc>
      </w:tr>
      <w:tr w:rsidR="00695B83" w:rsidRPr="00092A97" w:rsidTr="002F0A9E">
        <w:trPr>
          <w:trHeight w:hRule="exact" w:val="979"/>
        </w:trPr>
        <w:tc>
          <w:tcPr>
            <w:tcW w:w="2147" w:type="dxa"/>
            <w:shd w:val="clear" w:color="auto" w:fill="auto"/>
          </w:tcPr>
          <w:p w:rsidR="00695B83" w:rsidRPr="000D153B" w:rsidRDefault="00695B83" w:rsidP="002F0A9E">
            <w:pPr>
              <w:pStyle w:val="BodyText"/>
            </w:pPr>
            <w:r w:rsidRPr="000D153B">
              <w:t>Result - LGH</w:t>
            </w:r>
          </w:p>
        </w:tc>
        <w:tc>
          <w:tcPr>
            <w:tcW w:w="1265" w:type="dxa"/>
            <w:shd w:val="clear" w:color="auto" w:fill="auto"/>
          </w:tcPr>
          <w:p w:rsidR="00695B83" w:rsidRPr="000D153B" w:rsidRDefault="004F02A4" w:rsidP="002F0A9E">
            <w:pPr>
              <w:pStyle w:val="BodyText"/>
            </w:pPr>
            <w:r>
              <w:t>4.6%</w:t>
            </w:r>
          </w:p>
        </w:tc>
        <w:tc>
          <w:tcPr>
            <w:tcW w:w="1271" w:type="dxa"/>
            <w:shd w:val="clear" w:color="auto" w:fill="auto"/>
          </w:tcPr>
          <w:p w:rsidR="00695B83" w:rsidRPr="000D153B" w:rsidRDefault="004F02A4" w:rsidP="002F0A9E">
            <w:pPr>
              <w:pStyle w:val="BodyText"/>
            </w:pPr>
            <w:r>
              <w:t>3.6%</w:t>
            </w:r>
          </w:p>
        </w:tc>
        <w:tc>
          <w:tcPr>
            <w:tcW w:w="1134" w:type="dxa"/>
            <w:shd w:val="clear" w:color="auto" w:fill="auto"/>
          </w:tcPr>
          <w:p w:rsidR="00695B83" w:rsidRPr="000D153B" w:rsidRDefault="004F02A4" w:rsidP="002F0A9E">
            <w:pPr>
              <w:pStyle w:val="BodyText"/>
            </w:pPr>
            <w:r>
              <w:t>4.0%</w:t>
            </w:r>
          </w:p>
        </w:tc>
        <w:tc>
          <w:tcPr>
            <w:tcW w:w="1276" w:type="dxa"/>
          </w:tcPr>
          <w:p w:rsidR="00695B83" w:rsidRPr="000D153B" w:rsidRDefault="004F02A4" w:rsidP="002F0A9E">
            <w:pPr>
              <w:pStyle w:val="BodyText"/>
            </w:pPr>
            <w:r>
              <w:t>2.7%</w:t>
            </w:r>
          </w:p>
        </w:tc>
        <w:tc>
          <w:tcPr>
            <w:tcW w:w="2126" w:type="dxa"/>
            <w:shd w:val="clear" w:color="auto" w:fill="auto"/>
          </w:tcPr>
          <w:p w:rsidR="00695B83" w:rsidRPr="000D153B" w:rsidRDefault="00695B83" w:rsidP="004F02A4">
            <w:pPr>
              <w:pStyle w:val="BodyText"/>
            </w:pPr>
            <w:r>
              <w:t xml:space="preserve">Target achieved in </w:t>
            </w:r>
            <w:r w:rsidR="004F02A4">
              <w:t>all</w:t>
            </w:r>
            <w:r>
              <w:t xml:space="preserve"> 4 quarters</w:t>
            </w:r>
          </w:p>
        </w:tc>
      </w:tr>
      <w:tr w:rsidR="00695B83" w:rsidRPr="00092A97" w:rsidTr="002F0A9E">
        <w:trPr>
          <w:trHeight w:hRule="exact" w:val="992"/>
        </w:trPr>
        <w:tc>
          <w:tcPr>
            <w:tcW w:w="2147" w:type="dxa"/>
            <w:shd w:val="clear" w:color="auto" w:fill="auto"/>
          </w:tcPr>
          <w:p w:rsidR="00695B83" w:rsidRPr="000D153B" w:rsidRDefault="00695B83" w:rsidP="002F0A9E">
            <w:pPr>
              <w:pStyle w:val="BodyText"/>
            </w:pPr>
            <w:r w:rsidRPr="000D153B">
              <w:t>Result - NWRH</w:t>
            </w:r>
          </w:p>
        </w:tc>
        <w:tc>
          <w:tcPr>
            <w:tcW w:w="1265" w:type="dxa"/>
            <w:shd w:val="clear" w:color="auto" w:fill="auto"/>
          </w:tcPr>
          <w:p w:rsidR="00695B83" w:rsidRPr="000D153B" w:rsidRDefault="004F02A4" w:rsidP="002F0A9E">
            <w:pPr>
              <w:pStyle w:val="BodyText"/>
            </w:pPr>
            <w:r>
              <w:t>1.2%</w:t>
            </w:r>
          </w:p>
        </w:tc>
        <w:tc>
          <w:tcPr>
            <w:tcW w:w="1271" w:type="dxa"/>
            <w:shd w:val="clear" w:color="auto" w:fill="auto"/>
          </w:tcPr>
          <w:p w:rsidR="00695B83" w:rsidRPr="000D153B" w:rsidRDefault="004F02A4" w:rsidP="002F0A9E">
            <w:pPr>
              <w:pStyle w:val="BodyText"/>
            </w:pPr>
            <w:r>
              <w:t>1.3%</w:t>
            </w:r>
          </w:p>
        </w:tc>
        <w:tc>
          <w:tcPr>
            <w:tcW w:w="1134" w:type="dxa"/>
            <w:shd w:val="clear" w:color="auto" w:fill="auto"/>
          </w:tcPr>
          <w:p w:rsidR="00695B83" w:rsidRPr="000D153B" w:rsidRDefault="004F02A4" w:rsidP="002F0A9E">
            <w:pPr>
              <w:pStyle w:val="BodyText"/>
            </w:pPr>
            <w:r>
              <w:t>2.6%</w:t>
            </w:r>
          </w:p>
        </w:tc>
        <w:tc>
          <w:tcPr>
            <w:tcW w:w="1276" w:type="dxa"/>
          </w:tcPr>
          <w:p w:rsidR="00695B83" w:rsidRPr="000D153B" w:rsidRDefault="004F02A4" w:rsidP="002F0A9E">
            <w:pPr>
              <w:pStyle w:val="BodyText"/>
            </w:pPr>
            <w:r>
              <w:t>1.6%</w:t>
            </w:r>
          </w:p>
        </w:tc>
        <w:tc>
          <w:tcPr>
            <w:tcW w:w="2126" w:type="dxa"/>
            <w:shd w:val="clear" w:color="auto" w:fill="auto"/>
          </w:tcPr>
          <w:p w:rsidR="00695B83" w:rsidRPr="000D153B" w:rsidRDefault="00695B83" w:rsidP="002F0A9E">
            <w:pPr>
              <w:pStyle w:val="BodyText"/>
            </w:pPr>
            <w:r>
              <w:t>Target achieved in all 4 quarters</w:t>
            </w:r>
          </w:p>
        </w:tc>
      </w:tr>
      <w:tr w:rsidR="00695B83" w:rsidRPr="00092A97" w:rsidTr="002F0A9E">
        <w:trPr>
          <w:trHeight w:hRule="exact" w:val="991"/>
        </w:trPr>
        <w:tc>
          <w:tcPr>
            <w:tcW w:w="2147" w:type="dxa"/>
            <w:shd w:val="clear" w:color="auto" w:fill="auto"/>
          </w:tcPr>
          <w:p w:rsidR="00695B83" w:rsidRPr="000D153B" w:rsidRDefault="00695B83" w:rsidP="002F0A9E">
            <w:pPr>
              <w:pStyle w:val="BodyText"/>
            </w:pPr>
            <w:r w:rsidRPr="000D153B">
              <w:t>Result - MCH</w:t>
            </w:r>
          </w:p>
        </w:tc>
        <w:tc>
          <w:tcPr>
            <w:tcW w:w="1265" w:type="dxa"/>
            <w:shd w:val="clear" w:color="auto" w:fill="auto"/>
          </w:tcPr>
          <w:p w:rsidR="00695B83" w:rsidRPr="000D153B" w:rsidRDefault="004F02A4" w:rsidP="002F0A9E">
            <w:pPr>
              <w:pStyle w:val="BodyText"/>
            </w:pPr>
            <w:r>
              <w:t>3.0%</w:t>
            </w:r>
          </w:p>
        </w:tc>
        <w:tc>
          <w:tcPr>
            <w:tcW w:w="1271" w:type="dxa"/>
            <w:shd w:val="clear" w:color="auto" w:fill="auto"/>
          </w:tcPr>
          <w:p w:rsidR="00695B83" w:rsidRPr="000D153B" w:rsidRDefault="004F02A4" w:rsidP="002F0A9E">
            <w:pPr>
              <w:pStyle w:val="BodyText"/>
            </w:pPr>
            <w:r>
              <w:t>2.4%</w:t>
            </w:r>
          </w:p>
        </w:tc>
        <w:tc>
          <w:tcPr>
            <w:tcW w:w="1134" w:type="dxa"/>
            <w:shd w:val="clear" w:color="auto" w:fill="auto"/>
          </w:tcPr>
          <w:p w:rsidR="00695B83" w:rsidRPr="000D153B" w:rsidRDefault="004F02A4" w:rsidP="002F0A9E">
            <w:pPr>
              <w:pStyle w:val="BodyText"/>
            </w:pPr>
            <w:r>
              <w:t>2.7%</w:t>
            </w:r>
          </w:p>
        </w:tc>
        <w:tc>
          <w:tcPr>
            <w:tcW w:w="1276" w:type="dxa"/>
          </w:tcPr>
          <w:p w:rsidR="00695B83" w:rsidRPr="000D153B" w:rsidRDefault="004F02A4" w:rsidP="002F0A9E">
            <w:pPr>
              <w:pStyle w:val="BodyText"/>
            </w:pPr>
            <w:r>
              <w:t>2.9%</w:t>
            </w:r>
          </w:p>
        </w:tc>
        <w:tc>
          <w:tcPr>
            <w:tcW w:w="2126" w:type="dxa"/>
            <w:shd w:val="clear" w:color="auto" w:fill="auto"/>
          </w:tcPr>
          <w:p w:rsidR="00695B83" w:rsidRPr="000D153B" w:rsidRDefault="00695B83" w:rsidP="004F02A4">
            <w:pPr>
              <w:pStyle w:val="BodyText"/>
            </w:pPr>
            <w:r>
              <w:t xml:space="preserve">Target achieved in </w:t>
            </w:r>
            <w:r w:rsidR="004F02A4">
              <w:t>all</w:t>
            </w:r>
            <w:r>
              <w:t xml:space="preserve"> 4 quarters</w:t>
            </w:r>
          </w:p>
        </w:tc>
      </w:tr>
    </w:tbl>
    <w:p w:rsidR="00695B83" w:rsidRDefault="00695B83" w:rsidP="004B718D">
      <w:pPr>
        <w:autoSpaceDE w:val="0"/>
        <w:autoSpaceDN w:val="0"/>
        <w:adjustRightInd w:val="0"/>
        <w:spacing w:after="0" w:line="240" w:lineRule="auto"/>
        <w:rPr>
          <w:rFonts w:ascii="Gill Sans MT" w:hAnsi="Gill Sans MT"/>
        </w:rPr>
      </w:pPr>
    </w:p>
    <w:p w:rsidR="004F02A4" w:rsidRDefault="004F02A4" w:rsidP="004B718D">
      <w:pPr>
        <w:autoSpaceDE w:val="0"/>
        <w:autoSpaceDN w:val="0"/>
        <w:adjustRightInd w:val="0"/>
        <w:spacing w:after="0" w:line="240" w:lineRule="auto"/>
        <w:rPr>
          <w:rFonts w:ascii="Gill Sans MT" w:hAnsi="Gill Sans MT"/>
        </w:rPr>
      </w:pPr>
    </w:p>
    <w:p w:rsidR="004F02A4" w:rsidRPr="004F02A4" w:rsidRDefault="004F02A4" w:rsidP="004F02A4">
      <w:pPr>
        <w:pStyle w:val="BodyText"/>
        <w:rPr>
          <w:b/>
        </w:rPr>
      </w:pPr>
      <w:proofErr w:type="gramStart"/>
      <w:r w:rsidRPr="004F02A4">
        <w:rPr>
          <w:b/>
        </w:rPr>
        <w:t>KPI AEC4.</w:t>
      </w:r>
      <w:proofErr w:type="gramEnd"/>
      <w:r w:rsidRPr="004F02A4">
        <w:rPr>
          <w:b/>
        </w:rPr>
        <w:t xml:space="preserve"> Time until most admitted patients (90%) departed the </w:t>
      </w:r>
      <w:proofErr w:type="gramStart"/>
      <w:r w:rsidRPr="004F02A4">
        <w:rPr>
          <w:b/>
        </w:rPr>
        <w:t>emergency  department</w:t>
      </w:r>
      <w:proofErr w:type="gramEnd"/>
    </w:p>
    <w:p w:rsidR="004F02A4" w:rsidRDefault="004F02A4" w:rsidP="004B718D">
      <w:pPr>
        <w:autoSpaceDE w:val="0"/>
        <w:autoSpaceDN w:val="0"/>
        <w:adjustRightInd w:val="0"/>
        <w:spacing w:after="0" w:line="240" w:lineRule="auto"/>
        <w:rPr>
          <w:rFonts w:ascii="Gill Sans MT" w:hAnsi="Gill Sans MT"/>
        </w:rPr>
      </w:pPr>
    </w:p>
    <w:p w:rsidR="004F02A4" w:rsidRDefault="004F02A4" w:rsidP="004B718D">
      <w:pPr>
        <w:autoSpaceDE w:val="0"/>
        <w:autoSpaceDN w:val="0"/>
        <w:adjustRightInd w:val="0"/>
        <w:spacing w:after="0" w:line="240" w:lineRule="auto"/>
        <w:rPr>
          <w:rFonts w:ascii="Gill Sans MT" w:hAnsi="Gill Sans MT"/>
        </w:rPr>
      </w:pPr>
      <w:r>
        <w:rPr>
          <w:rFonts w:ascii="Gill Sans MT" w:hAnsi="Gill Sans MT"/>
        </w:rPr>
        <w:t>Target (quarterly): 8 hours each quarter</w:t>
      </w:r>
    </w:p>
    <w:p w:rsidR="004F02A4" w:rsidRDefault="004F02A4"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4. Time until most admitted patients (90%) departed the emergency  department"/>
        <w:tblDescription w:val="Target (quarterly): 8 hours each quarter"/>
      </w:tblPr>
      <w:tblGrid>
        <w:gridCol w:w="2147"/>
        <w:gridCol w:w="1265"/>
        <w:gridCol w:w="1271"/>
        <w:gridCol w:w="1134"/>
        <w:gridCol w:w="1276"/>
        <w:gridCol w:w="2126"/>
      </w:tblGrid>
      <w:tr w:rsidR="004F02A4" w:rsidRPr="00092A97" w:rsidTr="002F0A9E">
        <w:trPr>
          <w:trHeight w:hRule="exact" w:val="548"/>
          <w:tblHeader/>
        </w:trPr>
        <w:tc>
          <w:tcPr>
            <w:tcW w:w="2147" w:type="dxa"/>
            <w:shd w:val="clear" w:color="auto" w:fill="auto"/>
          </w:tcPr>
          <w:p w:rsidR="004F02A4" w:rsidRPr="000D153B" w:rsidRDefault="004F02A4" w:rsidP="002F0A9E">
            <w:pPr>
              <w:pStyle w:val="BodyText"/>
            </w:pPr>
            <w:r>
              <w:t>Access to Emergency Care</w:t>
            </w:r>
          </w:p>
        </w:tc>
        <w:tc>
          <w:tcPr>
            <w:tcW w:w="1265" w:type="dxa"/>
            <w:shd w:val="clear" w:color="auto" w:fill="auto"/>
          </w:tcPr>
          <w:p w:rsidR="004F02A4" w:rsidRPr="000D153B" w:rsidRDefault="004F02A4"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4F02A4" w:rsidRPr="000D153B" w:rsidRDefault="004F02A4"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4F02A4" w:rsidRPr="000D153B" w:rsidRDefault="004F02A4" w:rsidP="002F0A9E">
            <w:pPr>
              <w:pStyle w:val="BodyText"/>
            </w:pPr>
            <w:r w:rsidRPr="000D153B">
              <w:t>3</w:t>
            </w:r>
            <w:r w:rsidRPr="000D153B">
              <w:rPr>
                <w:vertAlign w:val="superscript"/>
              </w:rPr>
              <w:t xml:space="preserve">rd </w:t>
            </w:r>
            <w:r w:rsidRPr="000D153B">
              <w:t>Quarter</w:t>
            </w:r>
          </w:p>
        </w:tc>
        <w:tc>
          <w:tcPr>
            <w:tcW w:w="1276" w:type="dxa"/>
          </w:tcPr>
          <w:p w:rsidR="004F02A4" w:rsidRPr="000D153B" w:rsidRDefault="004F02A4"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4F02A4" w:rsidRPr="000D153B" w:rsidRDefault="004F02A4" w:rsidP="002F0A9E">
            <w:pPr>
              <w:pStyle w:val="BodyText"/>
            </w:pPr>
            <w:r w:rsidRPr="000D153B">
              <w:t>Comments</w:t>
            </w:r>
          </w:p>
        </w:tc>
      </w:tr>
      <w:tr w:rsidR="004F02A4" w:rsidRPr="00092A97" w:rsidTr="002F0A9E">
        <w:trPr>
          <w:trHeight w:hRule="exact" w:val="924"/>
        </w:trPr>
        <w:tc>
          <w:tcPr>
            <w:tcW w:w="2147" w:type="dxa"/>
            <w:shd w:val="clear" w:color="auto" w:fill="auto"/>
          </w:tcPr>
          <w:p w:rsidR="004F02A4" w:rsidRPr="000D153B" w:rsidRDefault="004F02A4" w:rsidP="002F0A9E">
            <w:pPr>
              <w:pStyle w:val="BodyText"/>
            </w:pPr>
            <w:r w:rsidRPr="000D153B">
              <w:t>Result - RHH</w:t>
            </w:r>
          </w:p>
        </w:tc>
        <w:tc>
          <w:tcPr>
            <w:tcW w:w="1265" w:type="dxa"/>
            <w:shd w:val="clear" w:color="auto" w:fill="auto"/>
          </w:tcPr>
          <w:p w:rsidR="004F02A4" w:rsidRPr="000D153B" w:rsidRDefault="004F02A4" w:rsidP="002F0A9E">
            <w:pPr>
              <w:pStyle w:val="BodyText"/>
            </w:pPr>
            <w:r>
              <w:t>17.48</w:t>
            </w:r>
          </w:p>
        </w:tc>
        <w:tc>
          <w:tcPr>
            <w:tcW w:w="1271" w:type="dxa"/>
            <w:shd w:val="clear" w:color="auto" w:fill="auto"/>
          </w:tcPr>
          <w:p w:rsidR="004F02A4" w:rsidRPr="000D153B" w:rsidRDefault="004F02A4" w:rsidP="002F0A9E">
            <w:pPr>
              <w:pStyle w:val="BodyText"/>
            </w:pPr>
            <w:r>
              <w:t>13.04</w:t>
            </w:r>
          </w:p>
        </w:tc>
        <w:tc>
          <w:tcPr>
            <w:tcW w:w="1134" w:type="dxa"/>
            <w:shd w:val="clear" w:color="auto" w:fill="auto"/>
          </w:tcPr>
          <w:p w:rsidR="004F02A4" w:rsidRPr="000D153B" w:rsidRDefault="004F02A4" w:rsidP="002F0A9E">
            <w:pPr>
              <w:pStyle w:val="BodyText"/>
            </w:pPr>
            <w:r>
              <w:t>13.43</w:t>
            </w:r>
          </w:p>
        </w:tc>
        <w:tc>
          <w:tcPr>
            <w:tcW w:w="1276" w:type="dxa"/>
          </w:tcPr>
          <w:p w:rsidR="004F02A4" w:rsidRPr="000D153B" w:rsidRDefault="004F02A4" w:rsidP="002F0A9E">
            <w:pPr>
              <w:pStyle w:val="BodyText"/>
            </w:pPr>
            <w:r>
              <w:t>14.52</w:t>
            </w:r>
          </w:p>
        </w:tc>
        <w:tc>
          <w:tcPr>
            <w:tcW w:w="2126" w:type="dxa"/>
            <w:shd w:val="clear" w:color="auto" w:fill="auto"/>
          </w:tcPr>
          <w:p w:rsidR="004F02A4" w:rsidRPr="000D153B" w:rsidRDefault="004F02A4" w:rsidP="002F0A9E">
            <w:pPr>
              <w:pStyle w:val="BodyText"/>
            </w:pPr>
            <w:r>
              <w:t>Target not achieved in any quarter</w:t>
            </w:r>
          </w:p>
        </w:tc>
      </w:tr>
      <w:tr w:rsidR="004F02A4" w:rsidRPr="00092A97" w:rsidTr="002F0A9E">
        <w:trPr>
          <w:trHeight w:hRule="exact" w:val="979"/>
        </w:trPr>
        <w:tc>
          <w:tcPr>
            <w:tcW w:w="2147" w:type="dxa"/>
            <w:shd w:val="clear" w:color="auto" w:fill="auto"/>
          </w:tcPr>
          <w:p w:rsidR="004F02A4" w:rsidRPr="000D153B" w:rsidRDefault="004F02A4" w:rsidP="002F0A9E">
            <w:pPr>
              <w:pStyle w:val="BodyText"/>
            </w:pPr>
            <w:r w:rsidRPr="000D153B">
              <w:t>Result - LGH</w:t>
            </w:r>
          </w:p>
        </w:tc>
        <w:tc>
          <w:tcPr>
            <w:tcW w:w="1265" w:type="dxa"/>
            <w:shd w:val="clear" w:color="auto" w:fill="auto"/>
          </w:tcPr>
          <w:p w:rsidR="004F02A4" w:rsidRPr="000D153B" w:rsidRDefault="004F02A4" w:rsidP="002F0A9E">
            <w:pPr>
              <w:pStyle w:val="BodyText"/>
            </w:pPr>
            <w:r>
              <w:t>49.25</w:t>
            </w:r>
          </w:p>
        </w:tc>
        <w:tc>
          <w:tcPr>
            <w:tcW w:w="1271" w:type="dxa"/>
            <w:shd w:val="clear" w:color="auto" w:fill="auto"/>
          </w:tcPr>
          <w:p w:rsidR="004F02A4" w:rsidRPr="000D153B" w:rsidRDefault="004F02A4" w:rsidP="002F0A9E">
            <w:pPr>
              <w:pStyle w:val="BodyText"/>
            </w:pPr>
            <w:r>
              <w:t>29.07</w:t>
            </w:r>
          </w:p>
        </w:tc>
        <w:tc>
          <w:tcPr>
            <w:tcW w:w="1134" w:type="dxa"/>
            <w:shd w:val="clear" w:color="auto" w:fill="auto"/>
          </w:tcPr>
          <w:p w:rsidR="004F02A4" w:rsidRPr="000D153B" w:rsidRDefault="004F02A4" w:rsidP="002F0A9E">
            <w:pPr>
              <w:pStyle w:val="BodyText"/>
            </w:pPr>
            <w:r>
              <w:t>33.51</w:t>
            </w:r>
          </w:p>
        </w:tc>
        <w:tc>
          <w:tcPr>
            <w:tcW w:w="1276" w:type="dxa"/>
          </w:tcPr>
          <w:p w:rsidR="004F02A4" w:rsidRPr="000D153B" w:rsidRDefault="004F02A4" w:rsidP="002F0A9E">
            <w:pPr>
              <w:pStyle w:val="BodyText"/>
            </w:pPr>
            <w:r>
              <w:t>26.99</w:t>
            </w:r>
          </w:p>
        </w:tc>
        <w:tc>
          <w:tcPr>
            <w:tcW w:w="2126" w:type="dxa"/>
            <w:shd w:val="clear" w:color="auto" w:fill="auto"/>
          </w:tcPr>
          <w:p w:rsidR="004F02A4" w:rsidRPr="000D153B" w:rsidRDefault="004F02A4" w:rsidP="002F0A9E">
            <w:pPr>
              <w:pStyle w:val="BodyText"/>
            </w:pPr>
            <w:r>
              <w:t>Target not achieved in any quarter</w:t>
            </w:r>
          </w:p>
        </w:tc>
      </w:tr>
      <w:tr w:rsidR="004F02A4" w:rsidRPr="00092A97" w:rsidTr="002F0A9E">
        <w:trPr>
          <w:trHeight w:hRule="exact" w:val="992"/>
        </w:trPr>
        <w:tc>
          <w:tcPr>
            <w:tcW w:w="2147" w:type="dxa"/>
            <w:shd w:val="clear" w:color="auto" w:fill="auto"/>
          </w:tcPr>
          <w:p w:rsidR="004F02A4" w:rsidRPr="000D153B" w:rsidRDefault="004F02A4" w:rsidP="002F0A9E">
            <w:pPr>
              <w:pStyle w:val="BodyText"/>
            </w:pPr>
            <w:r w:rsidRPr="000D153B">
              <w:t>Result - NWRH</w:t>
            </w:r>
          </w:p>
        </w:tc>
        <w:tc>
          <w:tcPr>
            <w:tcW w:w="1265" w:type="dxa"/>
            <w:shd w:val="clear" w:color="auto" w:fill="auto"/>
          </w:tcPr>
          <w:p w:rsidR="004F02A4" w:rsidRPr="000D153B" w:rsidRDefault="004F02A4" w:rsidP="002F0A9E">
            <w:pPr>
              <w:pStyle w:val="BodyText"/>
            </w:pPr>
            <w:r>
              <w:t>11.18</w:t>
            </w:r>
          </w:p>
        </w:tc>
        <w:tc>
          <w:tcPr>
            <w:tcW w:w="1271" w:type="dxa"/>
            <w:shd w:val="clear" w:color="auto" w:fill="auto"/>
          </w:tcPr>
          <w:p w:rsidR="004F02A4" w:rsidRPr="000D153B" w:rsidRDefault="004F02A4" w:rsidP="002F0A9E">
            <w:pPr>
              <w:pStyle w:val="BodyText"/>
            </w:pPr>
            <w:r>
              <w:t>11.78</w:t>
            </w:r>
          </w:p>
        </w:tc>
        <w:tc>
          <w:tcPr>
            <w:tcW w:w="1134" w:type="dxa"/>
            <w:shd w:val="clear" w:color="auto" w:fill="auto"/>
          </w:tcPr>
          <w:p w:rsidR="004F02A4" w:rsidRPr="000D153B" w:rsidRDefault="004F02A4" w:rsidP="002F0A9E">
            <w:pPr>
              <w:pStyle w:val="BodyText"/>
            </w:pPr>
            <w:r>
              <w:t>10.43</w:t>
            </w:r>
          </w:p>
        </w:tc>
        <w:tc>
          <w:tcPr>
            <w:tcW w:w="1276" w:type="dxa"/>
          </w:tcPr>
          <w:p w:rsidR="004F02A4" w:rsidRPr="000D153B" w:rsidRDefault="004F02A4" w:rsidP="002F0A9E">
            <w:pPr>
              <w:pStyle w:val="BodyText"/>
            </w:pPr>
            <w:r>
              <w:t>11.39</w:t>
            </w:r>
          </w:p>
        </w:tc>
        <w:tc>
          <w:tcPr>
            <w:tcW w:w="2126" w:type="dxa"/>
            <w:shd w:val="clear" w:color="auto" w:fill="auto"/>
          </w:tcPr>
          <w:p w:rsidR="004F02A4" w:rsidRPr="000D153B" w:rsidRDefault="004F02A4" w:rsidP="002F0A9E">
            <w:pPr>
              <w:pStyle w:val="BodyText"/>
            </w:pPr>
            <w:r>
              <w:t>Target not achieved in any quarter</w:t>
            </w:r>
          </w:p>
        </w:tc>
      </w:tr>
      <w:tr w:rsidR="004F02A4" w:rsidRPr="00092A97" w:rsidTr="002F0A9E">
        <w:trPr>
          <w:trHeight w:hRule="exact" w:val="991"/>
        </w:trPr>
        <w:tc>
          <w:tcPr>
            <w:tcW w:w="2147" w:type="dxa"/>
            <w:shd w:val="clear" w:color="auto" w:fill="auto"/>
          </w:tcPr>
          <w:p w:rsidR="004F02A4" w:rsidRPr="000D153B" w:rsidRDefault="004F02A4" w:rsidP="002F0A9E">
            <w:pPr>
              <w:pStyle w:val="BodyText"/>
            </w:pPr>
            <w:r w:rsidRPr="000D153B">
              <w:t>Result - MCH</w:t>
            </w:r>
          </w:p>
        </w:tc>
        <w:tc>
          <w:tcPr>
            <w:tcW w:w="1265" w:type="dxa"/>
            <w:shd w:val="clear" w:color="auto" w:fill="auto"/>
          </w:tcPr>
          <w:p w:rsidR="004F02A4" w:rsidRPr="000D153B" w:rsidRDefault="004F02A4" w:rsidP="002F0A9E">
            <w:pPr>
              <w:pStyle w:val="BodyText"/>
            </w:pPr>
            <w:r>
              <w:t>15.88</w:t>
            </w:r>
          </w:p>
        </w:tc>
        <w:tc>
          <w:tcPr>
            <w:tcW w:w="1271" w:type="dxa"/>
            <w:shd w:val="clear" w:color="auto" w:fill="auto"/>
          </w:tcPr>
          <w:p w:rsidR="004F02A4" w:rsidRPr="000D153B" w:rsidRDefault="004F02A4" w:rsidP="002F0A9E">
            <w:pPr>
              <w:pStyle w:val="BodyText"/>
            </w:pPr>
            <w:r>
              <w:t>11.07</w:t>
            </w:r>
          </w:p>
        </w:tc>
        <w:tc>
          <w:tcPr>
            <w:tcW w:w="1134" w:type="dxa"/>
            <w:shd w:val="clear" w:color="auto" w:fill="auto"/>
          </w:tcPr>
          <w:p w:rsidR="004F02A4" w:rsidRPr="000D153B" w:rsidRDefault="004F02A4" w:rsidP="002F0A9E">
            <w:pPr>
              <w:pStyle w:val="BodyText"/>
            </w:pPr>
            <w:r>
              <w:t>9.48</w:t>
            </w:r>
          </w:p>
        </w:tc>
        <w:tc>
          <w:tcPr>
            <w:tcW w:w="1276" w:type="dxa"/>
          </w:tcPr>
          <w:p w:rsidR="004F02A4" w:rsidRPr="000D153B" w:rsidRDefault="004F02A4" w:rsidP="002F0A9E">
            <w:pPr>
              <w:pStyle w:val="BodyText"/>
            </w:pPr>
            <w:r>
              <w:t>11.17</w:t>
            </w:r>
          </w:p>
        </w:tc>
        <w:tc>
          <w:tcPr>
            <w:tcW w:w="2126" w:type="dxa"/>
            <w:shd w:val="clear" w:color="auto" w:fill="auto"/>
          </w:tcPr>
          <w:p w:rsidR="004F02A4" w:rsidRPr="000D153B" w:rsidRDefault="004F02A4" w:rsidP="002F0A9E">
            <w:pPr>
              <w:pStyle w:val="BodyText"/>
            </w:pPr>
            <w:r>
              <w:t>Target not achieved in any quarter</w:t>
            </w:r>
          </w:p>
        </w:tc>
      </w:tr>
    </w:tbl>
    <w:p w:rsidR="004F02A4" w:rsidRDefault="004F02A4" w:rsidP="004B718D">
      <w:pPr>
        <w:autoSpaceDE w:val="0"/>
        <w:autoSpaceDN w:val="0"/>
        <w:adjustRightInd w:val="0"/>
        <w:spacing w:after="0" w:line="240" w:lineRule="auto"/>
        <w:rPr>
          <w:rFonts w:ascii="Gill Sans MT" w:hAnsi="Gill Sans MT"/>
        </w:rPr>
      </w:pPr>
    </w:p>
    <w:p w:rsidR="004F02A4" w:rsidRDefault="004F02A4">
      <w:pPr>
        <w:rPr>
          <w:rFonts w:ascii="Gill Sans MT" w:hAnsi="Gill Sans MT"/>
        </w:rPr>
      </w:pPr>
      <w:r>
        <w:rPr>
          <w:rFonts w:ascii="Gill Sans MT" w:hAnsi="Gill Sans MT"/>
        </w:rPr>
        <w:br w:type="page"/>
      </w:r>
    </w:p>
    <w:p w:rsidR="004F02A4" w:rsidRPr="004F02A4" w:rsidRDefault="004F02A4" w:rsidP="004F02A4">
      <w:pPr>
        <w:pStyle w:val="BodyText"/>
        <w:rPr>
          <w:b/>
        </w:rPr>
      </w:pPr>
      <w:proofErr w:type="gramStart"/>
      <w:r w:rsidRPr="004F02A4">
        <w:rPr>
          <w:b/>
        </w:rPr>
        <w:lastRenderedPageBreak/>
        <w:t>KPI AEC5.</w:t>
      </w:r>
      <w:proofErr w:type="gramEnd"/>
      <w:r w:rsidRPr="004F02A4">
        <w:rPr>
          <w:b/>
        </w:rPr>
        <w:t xml:space="preserve"> Ambulance offload delay (Part1)</w:t>
      </w:r>
    </w:p>
    <w:p w:rsidR="004F02A4" w:rsidRPr="004F02A4" w:rsidRDefault="004F02A4" w:rsidP="004F02A4">
      <w:pPr>
        <w:pStyle w:val="BodyText"/>
      </w:pPr>
      <w:r w:rsidRPr="004F02A4">
        <w:t>Target (quarterly): 85% within 15 minutes each quarter</w:t>
      </w:r>
    </w:p>
    <w:p w:rsidR="004F02A4" w:rsidRDefault="004F02A4" w:rsidP="004B718D">
      <w:pPr>
        <w:autoSpaceDE w:val="0"/>
        <w:autoSpaceDN w:val="0"/>
        <w:adjustRightInd w:val="0"/>
        <w:spacing w:after="0" w:line="240" w:lineRule="auto"/>
        <w:rPr>
          <w:rFonts w:ascii="Gill Sans MT" w:hAnsi="Gill Sans MT"/>
        </w:rPr>
      </w:pPr>
    </w:p>
    <w:p w:rsidR="004F02A4" w:rsidRDefault="004F02A4"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5. Ambulance offload delay (Part1)"/>
        <w:tblDescription w:val="Target (quarterly): 85% within 15 minutes each quarter"/>
      </w:tblPr>
      <w:tblGrid>
        <w:gridCol w:w="2147"/>
        <w:gridCol w:w="1265"/>
        <w:gridCol w:w="1271"/>
        <w:gridCol w:w="1134"/>
        <w:gridCol w:w="1276"/>
        <w:gridCol w:w="2126"/>
      </w:tblGrid>
      <w:tr w:rsidR="004F02A4" w:rsidRPr="00092A97" w:rsidTr="002F0A9E">
        <w:trPr>
          <w:trHeight w:hRule="exact" w:val="548"/>
          <w:tblHeader/>
        </w:trPr>
        <w:tc>
          <w:tcPr>
            <w:tcW w:w="2147" w:type="dxa"/>
            <w:shd w:val="clear" w:color="auto" w:fill="auto"/>
          </w:tcPr>
          <w:p w:rsidR="004F02A4" w:rsidRPr="000D153B" w:rsidRDefault="004F02A4" w:rsidP="002F0A9E">
            <w:pPr>
              <w:pStyle w:val="BodyText"/>
            </w:pPr>
            <w:r>
              <w:t>Access to Emergency Care</w:t>
            </w:r>
          </w:p>
        </w:tc>
        <w:tc>
          <w:tcPr>
            <w:tcW w:w="1265" w:type="dxa"/>
            <w:shd w:val="clear" w:color="auto" w:fill="auto"/>
          </w:tcPr>
          <w:p w:rsidR="004F02A4" w:rsidRPr="000D153B" w:rsidRDefault="004F02A4"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4F02A4" w:rsidRPr="000D153B" w:rsidRDefault="004F02A4"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4F02A4" w:rsidRPr="000D153B" w:rsidRDefault="004F02A4" w:rsidP="002F0A9E">
            <w:pPr>
              <w:pStyle w:val="BodyText"/>
            </w:pPr>
            <w:r w:rsidRPr="000D153B">
              <w:t>3</w:t>
            </w:r>
            <w:r w:rsidRPr="000D153B">
              <w:rPr>
                <w:vertAlign w:val="superscript"/>
              </w:rPr>
              <w:t xml:space="preserve">rd </w:t>
            </w:r>
            <w:r w:rsidRPr="000D153B">
              <w:t>Quarter</w:t>
            </w:r>
          </w:p>
        </w:tc>
        <w:tc>
          <w:tcPr>
            <w:tcW w:w="1276" w:type="dxa"/>
          </w:tcPr>
          <w:p w:rsidR="004F02A4" w:rsidRPr="000D153B" w:rsidRDefault="004F02A4"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4F02A4" w:rsidRPr="000D153B" w:rsidRDefault="004F02A4" w:rsidP="002F0A9E">
            <w:pPr>
              <w:pStyle w:val="BodyText"/>
            </w:pPr>
            <w:r w:rsidRPr="000D153B">
              <w:t>Comments</w:t>
            </w:r>
          </w:p>
        </w:tc>
      </w:tr>
      <w:tr w:rsidR="004F02A4" w:rsidRPr="00092A97" w:rsidTr="002F0A9E">
        <w:trPr>
          <w:trHeight w:hRule="exact" w:val="924"/>
        </w:trPr>
        <w:tc>
          <w:tcPr>
            <w:tcW w:w="2147" w:type="dxa"/>
            <w:shd w:val="clear" w:color="auto" w:fill="auto"/>
          </w:tcPr>
          <w:p w:rsidR="004F02A4" w:rsidRPr="000D153B" w:rsidRDefault="004F02A4" w:rsidP="002F0A9E">
            <w:pPr>
              <w:pStyle w:val="BodyText"/>
            </w:pPr>
            <w:r w:rsidRPr="000D153B">
              <w:t>Result - RHH</w:t>
            </w:r>
          </w:p>
        </w:tc>
        <w:tc>
          <w:tcPr>
            <w:tcW w:w="1265" w:type="dxa"/>
            <w:shd w:val="clear" w:color="auto" w:fill="auto"/>
          </w:tcPr>
          <w:p w:rsidR="004F02A4" w:rsidRPr="000D153B" w:rsidRDefault="004F02A4" w:rsidP="002F0A9E">
            <w:pPr>
              <w:pStyle w:val="BodyText"/>
            </w:pPr>
            <w:r>
              <w:t>84.7%</w:t>
            </w:r>
          </w:p>
        </w:tc>
        <w:tc>
          <w:tcPr>
            <w:tcW w:w="1271" w:type="dxa"/>
            <w:shd w:val="clear" w:color="auto" w:fill="auto"/>
          </w:tcPr>
          <w:p w:rsidR="004F02A4" w:rsidRPr="000D153B" w:rsidRDefault="004F02A4" w:rsidP="002F0A9E">
            <w:pPr>
              <w:pStyle w:val="BodyText"/>
            </w:pPr>
            <w:r>
              <w:t>89.9%</w:t>
            </w:r>
          </w:p>
        </w:tc>
        <w:tc>
          <w:tcPr>
            <w:tcW w:w="1134" w:type="dxa"/>
            <w:shd w:val="clear" w:color="auto" w:fill="auto"/>
          </w:tcPr>
          <w:p w:rsidR="004F02A4" w:rsidRPr="000D153B" w:rsidRDefault="004F02A4" w:rsidP="002F0A9E">
            <w:pPr>
              <w:pStyle w:val="BodyText"/>
            </w:pPr>
            <w:r>
              <w:t>93.1%</w:t>
            </w:r>
          </w:p>
        </w:tc>
        <w:tc>
          <w:tcPr>
            <w:tcW w:w="1276" w:type="dxa"/>
          </w:tcPr>
          <w:p w:rsidR="004F02A4" w:rsidRPr="000D153B" w:rsidRDefault="004F02A4" w:rsidP="002F0A9E">
            <w:pPr>
              <w:pStyle w:val="BodyText"/>
            </w:pPr>
            <w:r>
              <w:t>92.8%</w:t>
            </w:r>
          </w:p>
        </w:tc>
        <w:tc>
          <w:tcPr>
            <w:tcW w:w="2126" w:type="dxa"/>
            <w:shd w:val="clear" w:color="auto" w:fill="auto"/>
          </w:tcPr>
          <w:p w:rsidR="004F02A4" w:rsidRPr="000D153B" w:rsidRDefault="004F02A4" w:rsidP="00695A17">
            <w:pPr>
              <w:pStyle w:val="BodyText"/>
            </w:pPr>
            <w:r>
              <w:t xml:space="preserve">Target achieved in </w:t>
            </w:r>
            <w:r w:rsidR="00695A17">
              <w:t>all</w:t>
            </w:r>
            <w:r>
              <w:t xml:space="preserve"> 4 quarters</w:t>
            </w:r>
          </w:p>
        </w:tc>
      </w:tr>
      <w:tr w:rsidR="004F02A4" w:rsidRPr="00092A97" w:rsidTr="002F0A9E">
        <w:trPr>
          <w:trHeight w:hRule="exact" w:val="979"/>
        </w:trPr>
        <w:tc>
          <w:tcPr>
            <w:tcW w:w="2147" w:type="dxa"/>
            <w:shd w:val="clear" w:color="auto" w:fill="auto"/>
          </w:tcPr>
          <w:p w:rsidR="004F02A4" w:rsidRPr="000D153B" w:rsidRDefault="004F02A4" w:rsidP="002F0A9E">
            <w:pPr>
              <w:pStyle w:val="BodyText"/>
            </w:pPr>
            <w:r w:rsidRPr="000D153B">
              <w:t>Result - LGH</w:t>
            </w:r>
          </w:p>
        </w:tc>
        <w:tc>
          <w:tcPr>
            <w:tcW w:w="1265" w:type="dxa"/>
            <w:shd w:val="clear" w:color="auto" w:fill="auto"/>
          </w:tcPr>
          <w:p w:rsidR="004F02A4" w:rsidRPr="000D153B" w:rsidRDefault="004F02A4" w:rsidP="002F0A9E">
            <w:pPr>
              <w:pStyle w:val="BodyText"/>
            </w:pPr>
            <w:r>
              <w:t>84.2$</w:t>
            </w:r>
          </w:p>
        </w:tc>
        <w:tc>
          <w:tcPr>
            <w:tcW w:w="1271" w:type="dxa"/>
            <w:shd w:val="clear" w:color="auto" w:fill="auto"/>
          </w:tcPr>
          <w:p w:rsidR="004F02A4" w:rsidRPr="000D153B" w:rsidRDefault="004F02A4" w:rsidP="002F0A9E">
            <w:pPr>
              <w:pStyle w:val="BodyText"/>
            </w:pPr>
            <w:r>
              <w:t>95.1%</w:t>
            </w:r>
          </w:p>
        </w:tc>
        <w:tc>
          <w:tcPr>
            <w:tcW w:w="1134" w:type="dxa"/>
            <w:shd w:val="clear" w:color="auto" w:fill="auto"/>
          </w:tcPr>
          <w:p w:rsidR="004F02A4" w:rsidRPr="000D153B" w:rsidRDefault="004F02A4" w:rsidP="002F0A9E">
            <w:pPr>
              <w:pStyle w:val="BodyText"/>
            </w:pPr>
            <w:r>
              <w:t>92.5%</w:t>
            </w:r>
          </w:p>
        </w:tc>
        <w:tc>
          <w:tcPr>
            <w:tcW w:w="1276" w:type="dxa"/>
          </w:tcPr>
          <w:p w:rsidR="004F02A4" w:rsidRPr="000D153B" w:rsidRDefault="004F02A4" w:rsidP="002F0A9E">
            <w:pPr>
              <w:pStyle w:val="BodyText"/>
            </w:pPr>
            <w:r>
              <w:t>88.7%</w:t>
            </w:r>
          </w:p>
        </w:tc>
        <w:tc>
          <w:tcPr>
            <w:tcW w:w="2126" w:type="dxa"/>
            <w:shd w:val="clear" w:color="auto" w:fill="auto"/>
          </w:tcPr>
          <w:p w:rsidR="004F02A4" w:rsidRPr="000D153B" w:rsidRDefault="004F02A4" w:rsidP="002F0A9E">
            <w:pPr>
              <w:pStyle w:val="BodyText"/>
            </w:pPr>
            <w:r>
              <w:t>Target achieved in 3 of 4 quarters</w:t>
            </w:r>
          </w:p>
        </w:tc>
      </w:tr>
      <w:tr w:rsidR="004F02A4" w:rsidRPr="00092A97" w:rsidTr="002F0A9E">
        <w:trPr>
          <w:trHeight w:hRule="exact" w:val="992"/>
        </w:trPr>
        <w:tc>
          <w:tcPr>
            <w:tcW w:w="2147" w:type="dxa"/>
            <w:shd w:val="clear" w:color="auto" w:fill="auto"/>
          </w:tcPr>
          <w:p w:rsidR="004F02A4" w:rsidRPr="000D153B" w:rsidRDefault="004F02A4" w:rsidP="002F0A9E">
            <w:pPr>
              <w:pStyle w:val="BodyText"/>
            </w:pPr>
            <w:r w:rsidRPr="000D153B">
              <w:t>Result - NWRH</w:t>
            </w:r>
          </w:p>
        </w:tc>
        <w:tc>
          <w:tcPr>
            <w:tcW w:w="1265" w:type="dxa"/>
            <w:shd w:val="clear" w:color="auto" w:fill="auto"/>
          </w:tcPr>
          <w:p w:rsidR="004F02A4" w:rsidRPr="000D153B" w:rsidRDefault="004F02A4" w:rsidP="002F0A9E">
            <w:pPr>
              <w:pStyle w:val="BodyText"/>
            </w:pPr>
            <w:r>
              <w:t>94.1%</w:t>
            </w:r>
          </w:p>
        </w:tc>
        <w:tc>
          <w:tcPr>
            <w:tcW w:w="1271" w:type="dxa"/>
            <w:shd w:val="clear" w:color="auto" w:fill="auto"/>
          </w:tcPr>
          <w:p w:rsidR="004F02A4" w:rsidRPr="000D153B" w:rsidRDefault="004F02A4" w:rsidP="002F0A9E">
            <w:pPr>
              <w:pStyle w:val="BodyText"/>
            </w:pPr>
            <w:r>
              <w:t>95.0%</w:t>
            </w:r>
          </w:p>
        </w:tc>
        <w:tc>
          <w:tcPr>
            <w:tcW w:w="1134" w:type="dxa"/>
            <w:shd w:val="clear" w:color="auto" w:fill="auto"/>
          </w:tcPr>
          <w:p w:rsidR="004F02A4" w:rsidRPr="000D153B" w:rsidRDefault="004F02A4" w:rsidP="002F0A9E">
            <w:pPr>
              <w:pStyle w:val="BodyText"/>
            </w:pPr>
            <w:r>
              <w:t>93.5%</w:t>
            </w:r>
          </w:p>
        </w:tc>
        <w:tc>
          <w:tcPr>
            <w:tcW w:w="1276" w:type="dxa"/>
          </w:tcPr>
          <w:p w:rsidR="004F02A4" w:rsidRPr="000D153B" w:rsidRDefault="004F02A4" w:rsidP="002F0A9E">
            <w:pPr>
              <w:pStyle w:val="BodyText"/>
            </w:pPr>
            <w:r>
              <w:t>95.4%</w:t>
            </w:r>
          </w:p>
        </w:tc>
        <w:tc>
          <w:tcPr>
            <w:tcW w:w="2126" w:type="dxa"/>
            <w:shd w:val="clear" w:color="auto" w:fill="auto"/>
          </w:tcPr>
          <w:p w:rsidR="004F02A4" w:rsidRPr="000D153B" w:rsidRDefault="004F02A4" w:rsidP="002F0A9E">
            <w:pPr>
              <w:pStyle w:val="BodyText"/>
            </w:pPr>
            <w:r>
              <w:t>Target achieved in all 4 quarters</w:t>
            </w:r>
          </w:p>
        </w:tc>
      </w:tr>
      <w:tr w:rsidR="004F02A4" w:rsidRPr="00092A97" w:rsidTr="002F0A9E">
        <w:trPr>
          <w:trHeight w:hRule="exact" w:val="991"/>
        </w:trPr>
        <w:tc>
          <w:tcPr>
            <w:tcW w:w="2147" w:type="dxa"/>
            <w:shd w:val="clear" w:color="auto" w:fill="auto"/>
          </w:tcPr>
          <w:p w:rsidR="004F02A4" w:rsidRPr="000D153B" w:rsidRDefault="004F02A4" w:rsidP="002F0A9E">
            <w:pPr>
              <w:pStyle w:val="BodyText"/>
            </w:pPr>
            <w:r w:rsidRPr="000D153B">
              <w:t>Result - MCH</w:t>
            </w:r>
          </w:p>
        </w:tc>
        <w:tc>
          <w:tcPr>
            <w:tcW w:w="1265" w:type="dxa"/>
            <w:shd w:val="clear" w:color="auto" w:fill="auto"/>
          </w:tcPr>
          <w:p w:rsidR="004F02A4" w:rsidRPr="000D153B" w:rsidRDefault="00695A17" w:rsidP="002F0A9E">
            <w:pPr>
              <w:pStyle w:val="BodyText"/>
            </w:pPr>
            <w:r>
              <w:t>92.2%</w:t>
            </w:r>
          </w:p>
        </w:tc>
        <w:tc>
          <w:tcPr>
            <w:tcW w:w="1271" w:type="dxa"/>
            <w:shd w:val="clear" w:color="auto" w:fill="auto"/>
          </w:tcPr>
          <w:p w:rsidR="004F02A4" w:rsidRPr="000D153B" w:rsidRDefault="00695A17" w:rsidP="002F0A9E">
            <w:pPr>
              <w:pStyle w:val="BodyText"/>
            </w:pPr>
            <w:r>
              <w:t>95.8%</w:t>
            </w:r>
          </w:p>
        </w:tc>
        <w:tc>
          <w:tcPr>
            <w:tcW w:w="1134" w:type="dxa"/>
            <w:shd w:val="clear" w:color="auto" w:fill="auto"/>
          </w:tcPr>
          <w:p w:rsidR="004F02A4" w:rsidRPr="000D153B" w:rsidRDefault="00695A17" w:rsidP="002F0A9E">
            <w:pPr>
              <w:pStyle w:val="BodyText"/>
            </w:pPr>
            <w:r>
              <w:t>95.4%</w:t>
            </w:r>
          </w:p>
        </w:tc>
        <w:tc>
          <w:tcPr>
            <w:tcW w:w="1276" w:type="dxa"/>
          </w:tcPr>
          <w:p w:rsidR="004F02A4" w:rsidRPr="000D153B" w:rsidRDefault="00695A17" w:rsidP="002F0A9E">
            <w:pPr>
              <w:pStyle w:val="BodyText"/>
            </w:pPr>
            <w:r>
              <w:t>91.0%</w:t>
            </w:r>
          </w:p>
        </w:tc>
        <w:tc>
          <w:tcPr>
            <w:tcW w:w="2126" w:type="dxa"/>
            <w:shd w:val="clear" w:color="auto" w:fill="auto"/>
          </w:tcPr>
          <w:p w:rsidR="004F02A4" w:rsidRPr="000D153B" w:rsidRDefault="004F02A4" w:rsidP="00695A17">
            <w:pPr>
              <w:pStyle w:val="BodyText"/>
            </w:pPr>
            <w:r>
              <w:t xml:space="preserve">Target achieved in </w:t>
            </w:r>
            <w:r w:rsidR="00695A17">
              <w:t xml:space="preserve">all </w:t>
            </w:r>
            <w:r>
              <w:t>4 quarters</w:t>
            </w:r>
          </w:p>
        </w:tc>
      </w:tr>
    </w:tbl>
    <w:p w:rsidR="004F02A4" w:rsidRDefault="004F02A4" w:rsidP="004B718D">
      <w:pPr>
        <w:autoSpaceDE w:val="0"/>
        <w:autoSpaceDN w:val="0"/>
        <w:adjustRightInd w:val="0"/>
        <w:spacing w:after="0" w:line="240" w:lineRule="auto"/>
        <w:rPr>
          <w:rFonts w:ascii="Gill Sans MT" w:hAnsi="Gill Sans MT"/>
        </w:rPr>
      </w:pPr>
    </w:p>
    <w:p w:rsidR="00695A17" w:rsidRDefault="00695A17" w:rsidP="004B718D">
      <w:pPr>
        <w:autoSpaceDE w:val="0"/>
        <w:autoSpaceDN w:val="0"/>
        <w:adjustRightInd w:val="0"/>
        <w:spacing w:after="0" w:line="240" w:lineRule="auto"/>
        <w:rPr>
          <w:rFonts w:ascii="Gill Sans MT" w:hAnsi="Gill Sans MT"/>
        </w:rPr>
      </w:pPr>
    </w:p>
    <w:p w:rsidR="00695A17" w:rsidRPr="00695A17" w:rsidRDefault="00695A17" w:rsidP="00695A17">
      <w:pPr>
        <w:pStyle w:val="BodyText"/>
        <w:rPr>
          <w:b/>
        </w:rPr>
      </w:pPr>
      <w:proofErr w:type="gramStart"/>
      <w:r w:rsidRPr="00695A17">
        <w:rPr>
          <w:b/>
        </w:rPr>
        <w:t>KPI AEC6.</w:t>
      </w:r>
      <w:proofErr w:type="gramEnd"/>
      <w:r w:rsidRPr="00695A17">
        <w:rPr>
          <w:b/>
        </w:rPr>
        <w:t xml:space="preserve"> </w:t>
      </w:r>
      <w:proofErr w:type="gramStart"/>
      <w:r w:rsidRPr="00695A17">
        <w:rPr>
          <w:b/>
        </w:rPr>
        <w:t>Ambulance offload</w:t>
      </w:r>
      <w:proofErr w:type="gramEnd"/>
      <w:r w:rsidRPr="00695A17">
        <w:rPr>
          <w:b/>
        </w:rPr>
        <w:t xml:space="preserve"> delay (part 2)</w:t>
      </w:r>
    </w:p>
    <w:p w:rsidR="00695A17" w:rsidRDefault="00695A17" w:rsidP="00695A17">
      <w:pPr>
        <w:pStyle w:val="BodyText"/>
      </w:pPr>
      <w:r>
        <w:t>Target (quarterly): 100% within 30 minutes each quarter</w:t>
      </w:r>
    </w:p>
    <w:p w:rsidR="00695A17" w:rsidRDefault="00695A17" w:rsidP="00695A17">
      <w:pPr>
        <w:pStyle w:val="BodyText"/>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C6. Ambulance offload delay (part 2)"/>
        <w:tblDescription w:val="Target (quarterly): 100% within 30 minutes each quarter"/>
      </w:tblPr>
      <w:tblGrid>
        <w:gridCol w:w="2147"/>
        <w:gridCol w:w="1265"/>
        <w:gridCol w:w="1271"/>
        <w:gridCol w:w="1134"/>
        <w:gridCol w:w="1276"/>
        <w:gridCol w:w="2126"/>
      </w:tblGrid>
      <w:tr w:rsidR="00695A17" w:rsidRPr="00092A97" w:rsidTr="002F0A9E">
        <w:trPr>
          <w:trHeight w:hRule="exact" w:val="548"/>
          <w:tblHeader/>
        </w:trPr>
        <w:tc>
          <w:tcPr>
            <w:tcW w:w="2147" w:type="dxa"/>
            <w:shd w:val="clear" w:color="auto" w:fill="auto"/>
          </w:tcPr>
          <w:p w:rsidR="00695A17" w:rsidRPr="000D153B" w:rsidRDefault="00695A17" w:rsidP="002F0A9E">
            <w:pPr>
              <w:pStyle w:val="BodyText"/>
            </w:pPr>
            <w:r>
              <w:t>Access to Emergency Care</w:t>
            </w:r>
          </w:p>
        </w:tc>
        <w:tc>
          <w:tcPr>
            <w:tcW w:w="1265" w:type="dxa"/>
            <w:shd w:val="clear" w:color="auto" w:fill="auto"/>
          </w:tcPr>
          <w:p w:rsidR="00695A17" w:rsidRPr="000D153B" w:rsidRDefault="00695A17"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695A17" w:rsidRPr="000D153B" w:rsidRDefault="00695A17"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695A17" w:rsidRPr="000D153B" w:rsidRDefault="00695A17" w:rsidP="002F0A9E">
            <w:pPr>
              <w:pStyle w:val="BodyText"/>
            </w:pPr>
            <w:r w:rsidRPr="000D153B">
              <w:t>3</w:t>
            </w:r>
            <w:r w:rsidRPr="000D153B">
              <w:rPr>
                <w:vertAlign w:val="superscript"/>
              </w:rPr>
              <w:t xml:space="preserve">rd </w:t>
            </w:r>
            <w:r w:rsidRPr="000D153B">
              <w:t>Quarter</w:t>
            </w:r>
          </w:p>
        </w:tc>
        <w:tc>
          <w:tcPr>
            <w:tcW w:w="1276" w:type="dxa"/>
          </w:tcPr>
          <w:p w:rsidR="00695A17" w:rsidRPr="000D153B" w:rsidRDefault="00695A17"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695A17" w:rsidRPr="000D153B" w:rsidRDefault="00695A17" w:rsidP="002F0A9E">
            <w:pPr>
              <w:pStyle w:val="BodyText"/>
            </w:pPr>
            <w:r w:rsidRPr="000D153B">
              <w:t>Comments</w:t>
            </w:r>
          </w:p>
        </w:tc>
      </w:tr>
      <w:tr w:rsidR="00695A17" w:rsidRPr="00092A97" w:rsidTr="002F0A9E">
        <w:trPr>
          <w:trHeight w:hRule="exact" w:val="924"/>
        </w:trPr>
        <w:tc>
          <w:tcPr>
            <w:tcW w:w="2147" w:type="dxa"/>
            <w:shd w:val="clear" w:color="auto" w:fill="auto"/>
          </w:tcPr>
          <w:p w:rsidR="00695A17" w:rsidRPr="000D153B" w:rsidRDefault="00695A17" w:rsidP="002F0A9E">
            <w:pPr>
              <w:pStyle w:val="BodyText"/>
            </w:pPr>
            <w:r w:rsidRPr="000D153B">
              <w:t>Result - RHH</w:t>
            </w:r>
          </w:p>
        </w:tc>
        <w:tc>
          <w:tcPr>
            <w:tcW w:w="1265" w:type="dxa"/>
            <w:shd w:val="clear" w:color="auto" w:fill="auto"/>
          </w:tcPr>
          <w:p w:rsidR="00695A17" w:rsidRPr="000D153B" w:rsidRDefault="00695A17" w:rsidP="002F0A9E">
            <w:pPr>
              <w:pStyle w:val="BodyText"/>
            </w:pPr>
            <w:r>
              <w:t>90.1%</w:t>
            </w:r>
          </w:p>
        </w:tc>
        <w:tc>
          <w:tcPr>
            <w:tcW w:w="1271" w:type="dxa"/>
            <w:shd w:val="clear" w:color="auto" w:fill="auto"/>
          </w:tcPr>
          <w:p w:rsidR="00695A17" w:rsidRPr="000D153B" w:rsidRDefault="00695A17" w:rsidP="002F0A9E">
            <w:pPr>
              <w:pStyle w:val="BodyText"/>
            </w:pPr>
            <w:r>
              <w:t>93.7%</w:t>
            </w:r>
          </w:p>
        </w:tc>
        <w:tc>
          <w:tcPr>
            <w:tcW w:w="1134" w:type="dxa"/>
            <w:shd w:val="clear" w:color="auto" w:fill="auto"/>
          </w:tcPr>
          <w:p w:rsidR="00695A17" w:rsidRPr="000D153B" w:rsidRDefault="00695A17" w:rsidP="002F0A9E">
            <w:pPr>
              <w:pStyle w:val="BodyText"/>
            </w:pPr>
            <w:r>
              <w:t>95.9%</w:t>
            </w:r>
          </w:p>
        </w:tc>
        <w:tc>
          <w:tcPr>
            <w:tcW w:w="1276" w:type="dxa"/>
          </w:tcPr>
          <w:p w:rsidR="00695A17" w:rsidRPr="000D153B" w:rsidRDefault="00695A17" w:rsidP="002F0A9E">
            <w:pPr>
              <w:pStyle w:val="BodyText"/>
            </w:pPr>
            <w:r>
              <w:t>95.6%</w:t>
            </w:r>
          </w:p>
        </w:tc>
        <w:tc>
          <w:tcPr>
            <w:tcW w:w="2126" w:type="dxa"/>
            <w:shd w:val="clear" w:color="auto" w:fill="auto"/>
          </w:tcPr>
          <w:p w:rsidR="00695A17" w:rsidRPr="000D153B" w:rsidRDefault="00450557" w:rsidP="002F0A9E">
            <w:pPr>
              <w:pStyle w:val="BodyText"/>
            </w:pPr>
            <w:r>
              <w:t>Target not achieved in any quarter</w:t>
            </w:r>
          </w:p>
        </w:tc>
      </w:tr>
      <w:tr w:rsidR="00695A17" w:rsidRPr="00092A97" w:rsidTr="002F0A9E">
        <w:trPr>
          <w:trHeight w:hRule="exact" w:val="979"/>
        </w:trPr>
        <w:tc>
          <w:tcPr>
            <w:tcW w:w="2147" w:type="dxa"/>
            <w:shd w:val="clear" w:color="auto" w:fill="auto"/>
          </w:tcPr>
          <w:p w:rsidR="00695A17" w:rsidRPr="000D153B" w:rsidRDefault="00695A17" w:rsidP="002F0A9E">
            <w:pPr>
              <w:pStyle w:val="BodyText"/>
            </w:pPr>
            <w:r w:rsidRPr="000D153B">
              <w:t>Result - LGH</w:t>
            </w:r>
          </w:p>
        </w:tc>
        <w:tc>
          <w:tcPr>
            <w:tcW w:w="1265" w:type="dxa"/>
            <w:shd w:val="clear" w:color="auto" w:fill="auto"/>
          </w:tcPr>
          <w:p w:rsidR="00695A17" w:rsidRPr="000D153B" w:rsidRDefault="00695A17" w:rsidP="002F0A9E">
            <w:pPr>
              <w:pStyle w:val="BodyText"/>
            </w:pPr>
            <w:r>
              <w:t>88.1%</w:t>
            </w:r>
          </w:p>
        </w:tc>
        <w:tc>
          <w:tcPr>
            <w:tcW w:w="1271" w:type="dxa"/>
            <w:shd w:val="clear" w:color="auto" w:fill="auto"/>
          </w:tcPr>
          <w:p w:rsidR="00695A17" w:rsidRPr="000D153B" w:rsidRDefault="00695A17" w:rsidP="002F0A9E">
            <w:pPr>
              <w:pStyle w:val="BodyText"/>
            </w:pPr>
            <w:r>
              <w:t>97.0%</w:t>
            </w:r>
          </w:p>
        </w:tc>
        <w:tc>
          <w:tcPr>
            <w:tcW w:w="1134" w:type="dxa"/>
            <w:shd w:val="clear" w:color="auto" w:fill="auto"/>
          </w:tcPr>
          <w:p w:rsidR="00695A17" w:rsidRPr="000D153B" w:rsidRDefault="00695A17" w:rsidP="002F0A9E">
            <w:pPr>
              <w:pStyle w:val="BodyText"/>
            </w:pPr>
            <w:r>
              <w:t>95.3%</w:t>
            </w:r>
          </w:p>
        </w:tc>
        <w:tc>
          <w:tcPr>
            <w:tcW w:w="1276" w:type="dxa"/>
          </w:tcPr>
          <w:p w:rsidR="00695A17" w:rsidRPr="000D153B" w:rsidRDefault="00695A17" w:rsidP="002F0A9E">
            <w:pPr>
              <w:pStyle w:val="BodyText"/>
            </w:pPr>
            <w:r>
              <w:t>92.6%</w:t>
            </w:r>
          </w:p>
        </w:tc>
        <w:tc>
          <w:tcPr>
            <w:tcW w:w="2126" w:type="dxa"/>
            <w:shd w:val="clear" w:color="auto" w:fill="auto"/>
          </w:tcPr>
          <w:p w:rsidR="00695A17" w:rsidRPr="000D153B" w:rsidRDefault="00450557" w:rsidP="002F0A9E">
            <w:pPr>
              <w:pStyle w:val="BodyText"/>
            </w:pPr>
            <w:r>
              <w:t>Target not achieved in any quarter</w:t>
            </w:r>
          </w:p>
        </w:tc>
      </w:tr>
      <w:tr w:rsidR="00695A17" w:rsidRPr="00092A97" w:rsidTr="002F0A9E">
        <w:trPr>
          <w:trHeight w:hRule="exact" w:val="992"/>
        </w:trPr>
        <w:tc>
          <w:tcPr>
            <w:tcW w:w="2147" w:type="dxa"/>
            <w:shd w:val="clear" w:color="auto" w:fill="auto"/>
          </w:tcPr>
          <w:p w:rsidR="00695A17" w:rsidRPr="000D153B" w:rsidRDefault="00695A17" w:rsidP="002F0A9E">
            <w:pPr>
              <w:pStyle w:val="BodyText"/>
            </w:pPr>
            <w:r w:rsidRPr="000D153B">
              <w:t>Result - NWRH</w:t>
            </w:r>
          </w:p>
        </w:tc>
        <w:tc>
          <w:tcPr>
            <w:tcW w:w="1265" w:type="dxa"/>
            <w:shd w:val="clear" w:color="auto" w:fill="auto"/>
          </w:tcPr>
          <w:p w:rsidR="00695A17" w:rsidRPr="000D153B" w:rsidRDefault="00450557" w:rsidP="002F0A9E">
            <w:pPr>
              <w:pStyle w:val="BodyText"/>
            </w:pPr>
            <w:r>
              <w:t>97.0%</w:t>
            </w:r>
          </w:p>
        </w:tc>
        <w:tc>
          <w:tcPr>
            <w:tcW w:w="1271" w:type="dxa"/>
            <w:shd w:val="clear" w:color="auto" w:fill="auto"/>
          </w:tcPr>
          <w:p w:rsidR="00695A17" w:rsidRPr="000D153B" w:rsidRDefault="00450557" w:rsidP="002F0A9E">
            <w:pPr>
              <w:pStyle w:val="BodyText"/>
            </w:pPr>
            <w:r>
              <w:t>97.2%</w:t>
            </w:r>
          </w:p>
        </w:tc>
        <w:tc>
          <w:tcPr>
            <w:tcW w:w="1134" w:type="dxa"/>
            <w:shd w:val="clear" w:color="auto" w:fill="auto"/>
          </w:tcPr>
          <w:p w:rsidR="00695A17" w:rsidRPr="000D153B" w:rsidRDefault="00450557" w:rsidP="002F0A9E">
            <w:pPr>
              <w:pStyle w:val="BodyText"/>
            </w:pPr>
            <w:r>
              <w:t>96.9%</w:t>
            </w:r>
          </w:p>
        </w:tc>
        <w:tc>
          <w:tcPr>
            <w:tcW w:w="1276" w:type="dxa"/>
          </w:tcPr>
          <w:p w:rsidR="00695A17" w:rsidRPr="000D153B" w:rsidRDefault="00450557" w:rsidP="002F0A9E">
            <w:pPr>
              <w:pStyle w:val="BodyText"/>
            </w:pPr>
            <w:r>
              <w:t>97.7%</w:t>
            </w:r>
          </w:p>
        </w:tc>
        <w:tc>
          <w:tcPr>
            <w:tcW w:w="2126" w:type="dxa"/>
            <w:shd w:val="clear" w:color="auto" w:fill="auto"/>
          </w:tcPr>
          <w:p w:rsidR="00695A17" w:rsidRPr="000D153B" w:rsidRDefault="00450557" w:rsidP="002F0A9E">
            <w:pPr>
              <w:pStyle w:val="BodyText"/>
            </w:pPr>
            <w:r>
              <w:t>Target not achieved in any quarter</w:t>
            </w:r>
          </w:p>
        </w:tc>
      </w:tr>
      <w:tr w:rsidR="00695A17" w:rsidRPr="00092A97" w:rsidTr="002F0A9E">
        <w:trPr>
          <w:trHeight w:hRule="exact" w:val="991"/>
        </w:trPr>
        <w:tc>
          <w:tcPr>
            <w:tcW w:w="2147" w:type="dxa"/>
            <w:shd w:val="clear" w:color="auto" w:fill="auto"/>
          </w:tcPr>
          <w:p w:rsidR="00695A17" w:rsidRPr="000D153B" w:rsidRDefault="00695A17" w:rsidP="002F0A9E">
            <w:pPr>
              <w:pStyle w:val="BodyText"/>
            </w:pPr>
            <w:r w:rsidRPr="000D153B">
              <w:t>Result - MCH</w:t>
            </w:r>
          </w:p>
        </w:tc>
        <w:tc>
          <w:tcPr>
            <w:tcW w:w="1265" w:type="dxa"/>
            <w:shd w:val="clear" w:color="auto" w:fill="auto"/>
          </w:tcPr>
          <w:p w:rsidR="00695A17" w:rsidRPr="000D153B" w:rsidRDefault="00450557" w:rsidP="002F0A9E">
            <w:pPr>
              <w:pStyle w:val="BodyText"/>
            </w:pPr>
            <w:r>
              <w:t>95.4%</w:t>
            </w:r>
          </w:p>
        </w:tc>
        <w:tc>
          <w:tcPr>
            <w:tcW w:w="1271" w:type="dxa"/>
            <w:shd w:val="clear" w:color="auto" w:fill="auto"/>
          </w:tcPr>
          <w:p w:rsidR="00695A17" w:rsidRPr="000D153B" w:rsidRDefault="00450557" w:rsidP="002F0A9E">
            <w:pPr>
              <w:pStyle w:val="BodyText"/>
            </w:pPr>
            <w:r>
              <w:t>97.8%</w:t>
            </w:r>
          </w:p>
        </w:tc>
        <w:tc>
          <w:tcPr>
            <w:tcW w:w="1134" w:type="dxa"/>
            <w:shd w:val="clear" w:color="auto" w:fill="auto"/>
          </w:tcPr>
          <w:p w:rsidR="00695A17" w:rsidRPr="000D153B" w:rsidRDefault="00450557" w:rsidP="002F0A9E">
            <w:pPr>
              <w:pStyle w:val="BodyText"/>
            </w:pPr>
            <w:r>
              <w:t>97.7%</w:t>
            </w:r>
          </w:p>
        </w:tc>
        <w:tc>
          <w:tcPr>
            <w:tcW w:w="1276" w:type="dxa"/>
          </w:tcPr>
          <w:p w:rsidR="00695A17" w:rsidRPr="000D153B" w:rsidRDefault="00450557" w:rsidP="002F0A9E">
            <w:pPr>
              <w:pStyle w:val="BodyText"/>
            </w:pPr>
            <w:r>
              <w:t>94.4%</w:t>
            </w:r>
          </w:p>
        </w:tc>
        <w:tc>
          <w:tcPr>
            <w:tcW w:w="2126" w:type="dxa"/>
            <w:shd w:val="clear" w:color="auto" w:fill="auto"/>
          </w:tcPr>
          <w:p w:rsidR="00695A17" w:rsidRPr="000D153B" w:rsidRDefault="00450557" w:rsidP="002F0A9E">
            <w:pPr>
              <w:pStyle w:val="BodyText"/>
            </w:pPr>
            <w:r>
              <w:t>Target not achieved in any quarter</w:t>
            </w:r>
          </w:p>
        </w:tc>
      </w:tr>
    </w:tbl>
    <w:p w:rsidR="00695A17" w:rsidRDefault="00695A17" w:rsidP="00695A17">
      <w:pPr>
        <w:pStyle w:val="BodyText"/>
      </w:pPr>
    </w:p>
    <w:p w:rsidR="00450557" w:rsidRDefault="00450557">
      <w:pPr>
        <w:rPr>
          <w:rFonts w:ascii="Gill Sans MT" w:hAnsi="Gill Sans MT"/>
        </w:rPr>
      </w:pPr>
      <w:r>
        <w:rPr>
          <w:rFonts w:ascii="Gill Sans MT" w:hAnsi="Gill Sans MT"/>
        </w:rPr>
        <w:br w:type="page"/>
      </w:r>
    </w:p>
    <w:p w:rsidR="002F0A9E" w:rsidRPr="00C255C2" w:rsidRDefault="002F0A9E" w:rsidP="00C255C2">
      <w:pPr>
        <w:pStyle w:val="BodyText"/>
        <w:rPr>
          <w:b/>
        </w:rPr>
      </w:pPr>
      <w:r w:rsidRPr="00C255C2">
        <w:rPr>
          <w:b/>
        </w:rPr>
        <w:lastRenderedPageBreak/>
        <w:t>KPI AES1a&amp;b. Baseline elective surgery admissions (includes Rebuilding Health Services)</w:t>
      </w:r>
    </w:p>
    <w:p w:rsidR="00695A17" w:rsidRDefault="00695A17"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1a&amp;b. Baseline elective surgery admissions (includes Rebuilding Health Services)"/>
      </w:tblPr>
      <w:tblGrid>
        <w:gridCol w:w="2147"/>
        <w:gridCol w:w="1265"/>
        <w:gridCol w:w="1271"/>
        <w:gridCol w:w="1134"/>
        <w:gridCol w:w="1276"/>
        <w:gridCol w:w="2126"/>
      </w:tblGrid>
      <w:tr w:rsidR="002F0A9E" w:rsidRPr="00092A97" w:rsidTr="002F0A9E">
        <w:trPr>
          <w:trHeight w:hRule="exact" w:val="548"/>
          <w:tblHeader/>
        </w:trPr>
        <w:tc>
          <w:tcPr>
            <w:tcW w:w="2147" w:type="dxa"/>
            <w:shd w:val="clear" w:color="auto" w:fill="auto"/>
          </w:tcPr>
          <w:p w:rsidR="002F0A9E" w:rsidRPr="000D153B" w:rsidRDefault="002F0A9E" w:rsidP="002F0A9E">
            <w:pPr>
              <w:pStyle w:val="BodyText"/>
            </w:pPr>
            <w:r>
              <w:t>Access to Elective Surgery</w:t>
            </w:r>
          </w:p>
        </w:tc>
        <w:tc>
          <w:tcPr>
            <w:tcW w:w="1265" w:type="dxa"/>
            <w:shd w:val="clear" w:color="auto" w:fill="auto"/>
          </w:tcPr>
          <w:p w:rsidR="002F0A9E" w:rsidRPr="000D153B" w:rsidRDefault="002F0A9E" w:rsidP="002F0A9E">
            <w:pPr>
              <w:pStyle w:val="BodyText"/>
            </w:pPr>
            <w:r w:rsidRPr="000D153B">
              <w:t>1</w:t>
            </w:r>
            <w:r w:rsidRPr="000D153B">
              <w:rPr>
                <w:vertAlign w:val="superscript"/>
              </w:rPr>
              <w:t xml:space="preserve">st </w:t>
            </w:r>
            <w:r w:rsidRPr="000D153B">
              <w:t>Quarter</w:t>
            </w:r>
          </w:p>
        </w:tc>
        <w:tc>
          <w:tcPr>
            <w:tcW w:w="1271" w:type="dxa"/>
            <w:shd w:val="clear" w:color="auto" w:fill="auto"/>
          </w:tcPr>
          <w:p w:rsidR="002F0A9E" w:rsidRPr="000D153B" w:rsidRDefault="002F0A9E" w:rsidP="002F0A9E">
            <w:pPr>
              <w:pStyle w:val="BodyText"/>
            </w:pPr>
            <w:r w:rsidRPr="000D153B">
              <w:t>2</w:t>
            </w:r>
            <w:r w:rsidRPr="000D153B">
              <w:rPr>
                <w:vertAlign w:val="superscript"/>
              </w:rPr>
              <w:t>nd</w:t>
            </w:r>
            <w:r w:rsidRPr="000D153B">
              <w:t xml:space="preserve">  Quarter</w:t>
            </w:r>
          </w:p>
        </w:tc>
        <w:tc>
          <w:tcPr>
            <w:tcW w:w="1134" w:type="dxa"/>
            <w:shd w:val="clear" w:color="auto" w:fill="auto"/>
          </w:tcPr>
          <w:p w:rsidR="002F0A9E" w:rsidRPr="000D153B" w:rsidRDefault="002F0A9E" w:rsidP="002F0A9E">
            <w:pPr>
              <w:pStyle w:val="BodyText"/>
            </w:pPr>
            <w:r w:rsidRPr="000D153B">
              <w:t>3</w:t>
            </w:r>
            <w:r w:rsidRPr="000D153B">
              <w:rPr>
                <w:vertAlign w:val="superscript"/>
              </w:rPr>
              <w:t xml:space="preserve">rd </w:t>
            </w:r>
            <w:r w:rsidRPr="000D153B">
              <w:t>Quarter</w:t>
            </w:r>
          </w:p>
        </w:tc>
        <w:tc>
          <w:tcPr>
            <w:tcW w:w="1276" w:type="dxa"/>
          </w:tcPr>
          <w:p w:rsidR="002F0A9E" w:rsidRPr="000D153B" w:rsidRDefault="002F0A9E" w:rsidP="002F0A9E">
            <w:pPr>
              <w:pStyle w:val="BodyText"/>
            </w:pPr>
            <w:r w:rsidRPr="000D153B">
              <w:t>4</w:t>
            </w:r>
            <w:r w:rsidRPr="000D153B">
              <w:rPr>
                <w:vertAlign w:val="superscript"/>
              </w:rPr>
              <w:t xml:space="preserve">th </w:t>
            </w:r>
            <w:r w:rsidRPr="000D153B">
              <w:t>Quarter</w:t>
            </w:r>
          </w:p>
        </w:tc>
        <w:tc>
          <w:tcPr>
            <w:tcW w:w="2126" w:type="dxa"/>
            <w:shd w:val="clear" w:color="auto" w:fill="auto"/>
          </w:tcPr>
          <w:p w:rsidR="002F0A9E" w:rsidRPr="000D153B" w:rsidRDefault="002F0A9E" w:rsidP="002F0A9E">
            <w:pPr>
              <w:pStyle w:val="BodyText"/>
            </w:pPr>
            <w:r w:rsidRPr="000D153B">
              <w:t>Comments</w:t>
            </w:r>
          </w:p>
        </w:tc>
      </w:tr>
      <w:tr w:rsidR="002F0A9E" w:rsidRPr="00092A97" w:rsidTr="002F0A9E">
        <w:trPr>
          <w:trHeight w:hRule="exact" w:val="924"/>
        </w:trPr>
        <w:tc>
          <w:tcPr>
            <w:tcW w:w="2147" w:type="dxa"/>
            <w:shd w:val="clear" w:color="auto" w:fill="auto"/>
          </w:tcPr>
          <w:p w:rsidR="002F0A9E" w:rsidRPr="000D153B" w:rsidRDefault="002F0A9E" w:rsidP="002F0A9E">
            <w:pPr>
              <w:pStyle w:val="BodyText"/>
            </w:pPr>
            <w:r>
              <w:t>Target (cumulative)</w:t>
            </w:r>
          </w:p>
        </w:tc>
        <w:tc>
          <w:tcPr>
            <w:tcW w:w="1265" w:type="dxa"/>
            <w:shd w:val="clear" w:color="auto" w:fill="auto"/>
          </w:tcPr>
          <w:p w:rsidR="002F0A9E" w:rsidRPr="000D153B" w:rsidRDefault="002F0A9E" w:rsidP="002F0A9E">
            <w:pPr>
              <w:pStyle w:val="BodyText"/>
            </w:pPr>
            <w:r>
              <w:t>4095</w:t>
            </w:r>
          </w:p>
        </w:tc>
        <w:tc>
          <w:tcPr>
            <w:tcW w:w="1271" w:type="dxa"/>
            <w:shd w:val="clear" w:color="auto" w:fill="auto"/>
          </w:tcPr>
          <w:p w:rsidR="002F0A9E" w:rsidRPr="000D153B" w:rsidRDefault="002F0A9E" w:rsidP="002F0A9E">
            <w:pPr>
              <w:pStyle w:val="BodyText"/>
            </w:pPr>
            <w:r>
              <w:t>8190</w:t>
            </w:r>
          </w:p>
        </w:tc>
        <w:tc>
          <w:tcPr>
            <w:tcW w:w="1134" w:type="dxa"/>
            <w:shd w:val="clear" w:color="auto" w:fill="auto"/>
          </w:tcPr>
          <w:p w:rsidR="002F0A9E" w:rsidRPr="000D153B" w:rsidRDefault="002F0A9E" w:rsidP="002F0A9E">
            <w:pPr>
              <w:pStyle w:val="BodyText"/>
            </w:pPr>
            <w:r>
              <w:t>12285</w:t>
            </w:r>
          </w:p>
        </w:tc>
        <w:tc>
          <w:tcPr>
            <w:tcW w:w="1276" w:type="dxa"/>
          </w:tcPr>
          <w:p w:rsidR="002F0A9E" w:rsidRPr="000D153B" w:rsidRDefault="002F0A9E" w:rsidP="002F0A9E">
            <w:pPr>
              <w:pStyle w:val="BodyText"/>
            </w:pPr>
            <w:r>
              <w:t>16386</w:t>
            </w:r>
          </w:p>
        </w:tc>
        <w:tc>
          <w:tcPr>
            <w:tcW w:w="2126" w:type="dxa"/>
            <w:shd w:val="clear" w:color="auto" w:fill="auto"/>
          </w:tcPr>
          <w:p w:rsidR="002F0A9E" w:rsidRPr="000D153B" w:rsidRDefault="002F0A9E" w:rsidP="002F0A9E">
            <w:pPr>
              <w:pStyle w:val="BodyText"/>
            </w:pPr>
            <w:r>
              <w:t>-</w:t>
            </w:r>
          </w:p>
        </w:tc>
      </w:tr>
      <w:tr w:rsidR="002F0A9E" w:rsidRPr="00092A97" w:rsidTr="002F0A9E">
        <w:trPr>
          <w:trHeight w:hRule="exact" w:val="979"/>
        </w:trPr>
        <w:tc>
          <w:tcPr>
            <w:tcW w:w="2147" w:type="dxa"/>
            <w:shd w:val="clear" w:color="auto" w:fill="auto"/>
          </w:tcPr>
          <w:p w:rsidR="002F0A9E" w:rsidRPr="000D153B" w:rsidRDefault="002F0A9E" w:rsidP="002F0A9E">
            <w:pPr>
              <w:pStyle w:val="BodyText"/>
            </w:pPr>
            <w:r>
              <w:t>Result (LIVE)</w:t>
            </w:r>
          </w:p>
        </w:tc>
        <w:tc>
          <w:tcPr>
            <w:tcW w:w="1265" w:type="dxa"/>
            <w:shd w:val="clear" w:color="auto" w:fill="auto"/>
          </w:tcPr>
          <w:p w:rsidR="002F0A9E" w:rsidRPr="000D153B" w:rsidRDefault="002F0A9E" w:rsidP="002F0A9E">
            <w:pPr>
              <w:pStyle w:val="BodyText"/>
            </w:pPr>
            <w:r>
              <w:t>3908</w:t>
            </w:r>
          </w:p>
        </w:tc>
        <w:tc>
          <w:tcPr>
            <w:tcW w:w="1271" w:type="dxa"/>
            <w:shd w:val="clear" w:color="auto" w:fill="auto"/>
          </w:tcPr>
          <w:p w:rsidR="002F0A9E" w:rsidRPr="000D153B" w:rsidRDefault="002F0A9E" w:rsidP="002F0A9E">
            <w:pPr>
              <w:pStyle w:val="BodyText"/>
            </w:pPr>
            <w:r>
              <w:t>7766</w:t>
            </w:r>
          </w:p>
        </w:tc>
        <w:tc>
          <w:tcPr>
            <w:tcW w:w="1134" w:type="dxa"/>
            <w:shd w:val="clear" w:color="auto" w:fill="auto"/>
          </w:tcPr>
          <w:p w:rsidR="002F0A9E" w:rsidRPr="000D153B" w:rsidRDefault="002F0A9E" w:rsidP="002F0A9E">
            <w:pPr>
              <w:pStyle w:val="BodyText"/>
            </w:pPr>
            <w:r>
              <w:t>11619</w:t>
            </w:r>
          </w:p>
        </w:tc>
        <w:tc>
          <w:tcPr>
            <w:tcW w:w="1276" w:type="dxa"/>
          </w:tcPr>
          <w:p w:rsidR="002F0A9E" w:rsidRPr="000D153B" w:rsidRDefault="002F0A9E" w:rsidP="002F0A9E">
            <w:pPr>
              <w:pStyle w:val="BodyText"/>
            </w:pPr>
            <w:r>
              <w:t>17556</w:t>
            </w:r>
          </w:p>
        </w:tc>
        <w:tc>
          <w:tcPr>
            <w:tcW w:w="2126" w:type="dxa"/>
            <w:shd w:val="clear" w:color="auto" w:fill="auto"/>
          </w:tcPr>
          <w:p w:rsidR="002F0A9E" w:rsidRPr="000D153B" w:rsidRDefault="002F0A9E" w:rsidP="002F0A9E">
            <w:pPr>
              <w:pStyle w:val="BodyText"/>
            </w:pPr>
            <w:r>
              <w:t>Target exceeded</w:t>
            </w:r>
          </w:p>
        </w:tc>
      </w:tr>
    </w:tbl>
    <w:p w:rsidR="002F0A9E" w:rsidRDefault="002F0A9E" w:rsidP="004B718D">
      <w:pPr>
        <w:autoSpaceDE w:val="0"/>
        <w:autoSpaceDN w:val="0"/>
        <w:adjustRightInd w:val="0"/>
        <w:spacing w:after="0" w:line="240" w:lineRule="auto"/>
        <w:rPr>
          <w:rFonts w:ascii="Gill Sans MT" w:hAnsi="Gill Sans MT"/>
        </w:rPr>
      </w:pPr>
    </w:p>
    <w:p w:rsidR="002F0A9E" w:rsidRPr="00C255C2" w:rsidRDefault="002F0A9E" w:rsidP="00C255C2">
      <w:pPr>
        <w:pStyle w:val="BodyText"/>
        <w:rPr>
          <w:b/>
        </w:rPr>
      </w:pPr>
      <w:proofErr w:type="gramStart"/>
      <w:r w:rsidRPr="00C255C2">
        <w:rPr>
          <w:b/>
        </w:rPr>
        <w:t>KPI AES1c.</w:t>
      </w:r>
      <w:proofErr w:type="gramEnd"/>
      <w:r w:rsidRPr="00C255C2">
        <w:rPr>
          <w:b/>
        </w:rPr>
        <w:t xml:space="preserve"> Tasmanian Health Assistance Package</w:t>
      </w:r>
    </w:p>
    <w:p w:rsidR="002F0A9E" w:rsidRDefault="002F0A9E" w:rsidP="002F0A9E">
      <w:pPr>
        <w:spacing w:before="70" w:after="59"/>
        <w:rPr>
          <w:rFonts w:ascii="GillSans-SemiBold"/>
          <w:b/>
          <w:sz w:val="20"/>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1c. Tasmanian Health Assistance Package"/>
      </w:tblPr>
      <w:tblGrid>
        <w:gridCol w:w="2147"/>
        <w:gridCol w:w="4946"/>
        <w:gridCol w:w="2126"/>
      </w:tblGrid>
      <w:tr w:rsidR="002F0A9E" w:rsidRPr="00092A97" w:rsidTr="002F0A9E">
        <w:trPr>
          <w:trHeight w:hRule="exact" w:val="548"/>
          <w:tblHeader/>
        </w:trPr>
        <w:tc>
          <w:tcPr>
            <w:tcW w:w="2147" w:type="dxa"/>
            <w:shd w:val="clear" w:color="auto" w:fill="auto"/>
          </w:tcPr>
          <w:p w:rsidR="002F0A9E" w:rsidRPr="000D153B" w:rsidRDefault="002F0A9E" w:rsidP="002F0A9E">
            <w:pPr>
              <w:pStyle w:val="BodyText"/>
            </w:pPr>
            <w:r>
              <w:t>Access to Elective Surgery</w:t>
            </w:r>
          </w:p>
        </w:tc>
        <w:tc>
          <w:tcPr>
            <w:tcW w:w="4946" w:type="dxa"/>
            <w:shd w:val="clear" w:color="auto" w:fill="auto"/>
          </w:tcPr>
          <w:p w:rsidR="002F0A9E" w:rsidRPr="000D153B" w:rsidRDefault="002F0A9E" w:rsidP="002F0A9E">
            <w:pPr>
              <w:pStyle w:val="BodyText"/>
            </w:pPr>
            <w:r>
              <w:t>Full Year</w:t>
            </w:r>
          </w:p>
        </w:tc>
        <w:tc>
          <w:tcPr>
            <w:tcW w:w="2126" w:type="dxa"/>
            <w:shd w:val="clear" w:color="auto" w:fill="auto"/>
          </w:tcPr>
          <w:p w:rsidR="002F0A9E" w:rsidRPr="000D153B" w:rsidRDefault="002F0A9E" w:rsidP="002F0A9E">
            <w:pPr>
              <w:pStyle w:val="BodyText"/>
            </w:pPr>
            <w:r w:rsidRPr="000D153B">
              <w:t>Comments</w:t>
            </w:r>
          </w:p>
        </w:tc>
      </w:tr>
      <w:tr w:rsidR="002F0A9E" w:rsidRPr="00092A97" w:rsidTr="002F0A9E">
        <w:trPr>
          <w:trHeight w:hRule="exact" w:val="924"/>
        </w:trPr>
        <w:tc>
          <w:tcPr>
            <w:tcW w:w="2147" w:type="dxa"/>
            <w:shd w:val="clear" w:color="auto" w:fill="auto"/>
          </w:tcPr>
          <w:p w:rsidR="002F0A9E" w:rsidRPr="000D153B" w:rsidRDefault="002F0A9E" w:rsidP="002F0A9E">
            <w:pPr>
              <w:pStyle w:val="BodyText"/>
            </w:pPr>
            <w:r>
              <w:t xml:space="preserve">Target </w:t>
            </w:r>
          </w:p>
        </w:tc>
        <w:tc>
          <w:tcPr>
            <w:tcW w:w="4946" w:type="dxa"/>
            <w:shd w:val="clear" w:color="auto" w:fill="auto"/>
          </w:tcPr>
          <w:p w:rsidR="002F0A9E" w:rsidRPr="000D153B" w:rsidRDefault="002F0A9E" w:rsidP="002F0A9E">
            <w:pPr>
              <w:pStyle w:val="BodyText"/>
            </w:pPr>
            <w:r>
              <w:t>1676 (includes 500 endoscopies)</w:t>
            </w:r>
          </w:p>
        </w:tc>
        <w:tc>
          <w:tcPr>
            <w:tcW w:w="2126" w:type="dxa"/>
            <w:shd w:val="clear" w:color="auto" w:fill="auto"/>
          </w:tcPr>
          <w:p w:rsidR="002F0A9E" w:rsidRPr="000D153B" w:rsidRDefault="002F0A9E" w:rsidP="002F0A9E">
            <w:pPr>
              <w:pStyle w:val="BodyText"/>
            </w:pPr>
            <w:r>
              <w:t>-</w:t>
            </w:r>
          </w:p>
        </w:tc>
      </w:tr>
      <w:tr w:rsidR="002F0A9E" w:rsidRPr="00092A97" w:rsidTr="002F0A9E">
        <w:trPr>
          <w:trHeight w:hRule="exact" w:val="979"/>
        </w:trPr>
        <w:tc>
          <w:tcPr>
            <w:tcW w:w="2147" w:type="dxa"/>
            <w:shd w:val="clear" w:color="auto" w:fill="auto"/>
          </w:tcPr>
          <w:p w:rsidR="002F0A9E" w:rsidRPr="000D153B" w:rsidRDefault="002F0A9E" w:rsidP="002F0A9E">
            <w:pPr>
              <w:pStyle w:val="BodyText"/>
            </w:pPr>
            <w:r>
              <w:t>Result (LIVE)</w:t>
            </w:r>
          </w:p>
        </w:tc>
        <w:tc>
          <w:tcPr>
            <w:tcW w:w="4946" w:type="dxa"/>
            <w:shd w:val="clear" w:color="auto" w:fill="auto"/>
          </w:tcPr>
          <w:p w:rsidR="002F0A9E" w:rsidRPr="000D153B" w:rsidRDefault="002F0A9E" w:rsidP="002F0A9E">
            <w:pPr>
              <w:pStyle w:val="BodyText"/>
            </w:pPr>
            <w:r>
              <w:t>1895</w:t>
            </w:r>
          </w:p>
        </w:tc>
        <w:tc>
          <w:tcPr>
            <w:tcW w:w="2126" w:type="dxa"/>
            <w:shd w:val="clear" w:color="auto" w:fill="auto"/>
          </w:tcPr>
          <w:p w:rsidR="002F0A9E" w:rsidRPr="000D153B" w:rsidRDefault="002F0A9E" w:rsidP="002F0A9E">
            <w:pPr>
              <w:pStyle w:val="BodyText"/>
            </w:pPr>
            <w:r>
              <w:t>Target exceeded</w:t>
            </w:r>
          </w:p>
        </w:tc>
      </w:tr>
    </w:tbl>
    <w:p w:rsidR="002F0A9E" w:rsidRDefault="002F0A9E" w:rsidP="002F0A9E">
      <w:pPr>
        <w:spacing w:before="70" w:after="59"/>
        <w:rPr>
          <w:rFonts w:ascii="GillSans-SemiBold" w:hAnsi="GillSans-SemiBold" w:cs="GillSans-SemiBold"/>
          <w:b/>
          <w:bCs/>
          <w:sz w:val="20"/>
          <w:szCs w:val="20"/>
        </w:rPr>
      </w:pPr>
    </w:p>
    <w:p w:rsidR="002F0A9E" w:rsidRPr="00C255C2" w:rsidRDefault="002F0A9E" w:rsidP="00C255C2">
      <w:pPr>
        <w:pStyle w:val="BodyText"/>
        <w:rPr>
          <w:b/>
        </w:rPr>
      </w:pPr>
      <w:proofErr w:type="gramStart"/>
      <w:r w:rsidRPr="00C255C2">
        <w:rPr>
          <w:b/>
        </w:rPr>
        <w:t>KPI AES2.</w:t>
      </w:r>
      <w:proofErr w:type="gramEnd"/>
      <w:r w:rsidRPr="00C255C2">
        <w:rPr>
          <w:b/>
        </w:rPr>
        <w:t xml:space="preserve"> Average overdue days</w:t>
      </w:r>
    </w:p>
    <w:p w:rsidR="002F0A9E" w:rsidRDefault="002F0A9E"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2. Average overdue days"/>
      </w:tblPr>
      <w:tblGrid>
        <w:gridCol w:w="2147"/>
        <w:gridCol w:w="2536"/>
        <w:gridCol w:w="2410"/>
        <w:gridCol w:w="2126"/>
      </w:tblGrid>
      <w:tr w:rsidR="00C55115" w:rsidRPr="00092A97" w:rsidTr="00C55115">
        <w:trPr>
          <w:trHeight w:hRule="exact" w:val="548"/>
          <w:tblHeader/>
        </w:trPr>
        <w:tc>
          <w:tcPr>
            <w:tcW w:w="2147" w:type="dxa"/>
            <w:shd w:val="clear" w:color="auto" w:fill="auto"/>
          </w:tcPr>
          <w:p w:rsidR="00C55115" w:rsidRPr="000D153B" w:rsidRDefault="00C55115" w:rsidP="002F0A9E">
            <w:pPr>
              <w:pStyle w:val="BodyText"/>
            </w:pPr>
            <w:r>
              <w:t>Access to Elective Surgery</w:t>
            </w:r>
          </w:p>
        </w:tc>
        <w:tc>
          <w:tcPr>
            <w:tcW w:w="2536" w:type="dxa"/>
          </w:tcPr>
          <w:p w:rsidR="00C55115" w:rsidRPr="000D153B" w:rsidRDefault="00C255C2" w:rsidP="002F0A9E">
            <w:pPr>
              <w:pStyle w:val="BodyText"/>
            </w:pPr>
            <w:r>
              <w:t>Dec-15</w:t>
            </w:r>
          </w:p>
        </w:tc>
        <w:tc>
          <w:tcPr>
            <w:tcW w:w="2410" w:type="dxa"/>
            <w:shd w:val="clear" w:color="auto" w:fill="auto"/>
          </w:tcPr>
          <w:p w:rsidR="00C55115" w:rsidRPr="000D153B" w:rsidRDefault="00C255C2" w:rsidP="002F0A9E">
            <w:pPr>
              <w:pStyle w:val="BodyText"/>
            </w:pPr>
            <w:r>
              <w:t>Jun-16</w:t>
            </w:r>
          </w:p>
        </w:tc>
        <w:tc>
          <w:tcPr>
            <w:tcW w:w="2126" w:type="dxa"/>
            <w:shd w:val="clear" w:color="auto" w:fill="auto"/>
          </w:tcPr>
          <w:p w:rsidR="00C55115" w:rsidRPr="000D153B" w:rsidRDefault="00C255C2" w:rsidP="002F0A9E">
            <w:pPr>
              <w:pStyle w:val="BodyText"/>
            </w:pPr>
            <w:r>
              <w:t>Comments</w:t>
            </w:r>
          </w:p>
        </w:tc>
      </w:tr>
      <w:tr w:rsidR="00C55115" w:rsidRPr="00092A97" w:rsidTr="00C55115">
        <w:trPr>
          <w:trHeight w:hRule="exact" w:val="924"/>
        </w:trPr>
        <w:tc>
          <w:tcPr>
            <w:tcW w:w="2147" w:type="dxa"/>
            <w:shd w:val="clear" w:color="auto" w:fill="auto"/>
          </w:tcPr>
          <w:p w:rsidR="00C55115" w:rsidRPr="000D153B" w:rsidRDefault="00C55115" w:rsidP="002F0A9E">
            <w:pPr>
              <w:pStyle w:val="BodyText"/>
            </w:pPr>
            <w:r>
              <w:t xml:space="preserve">Target </w:t>
            </w:r>
            <w:r w:rsidR="00C255C2">
              <w:t>(six monthly)</w:t>
            </w:r>
          </w:p>
        </w:tc>
        <w:tc>
          <w:tcPr>
            <w:tcW w:w="2536" w:type="dxa"/>
          </w:tcPr>
          <w:p w:rsidR="00C55115" w:rsidRPr="000D153B" w:rsidRDefault="00C255C2" w:rsidP="002F0A9E">
            <w:pPr>
              <w:pStyle w:val="BodyText"/>
            </w:pPr>
            <w:r>
              <w:t>177</w:t>
            </w:r>
          </w:p>
        </w:tc>
        <w:tc>
          <w:tcPr>
            <w:tcW w:w="2410" w:type="dxa"/>
            <w:shd w:val="clear" w:color="auto" w:fill="auto"/>
          </w:tcPr>
          <w:p w:rsidR="00C55115" w:rsidRPr="000D153B" w:rsidRDefault="00C255C2" w:rsidP="002F0A9E">
            <w:pPr>
              <w:pStyle w:val="BodyText"/>
            </w:pPr>
            <w:r>
              <w:t>137</w:t>
            </w:r>
          </w:p>
        </w:tc>
        <w:tc>
          <w:tcPr>
            <w:tcW w:w="2126" w:type="dxa"/>
            <w:shd w:val="clear" w:color="auto" w:fill="auto"/>
          </w:tcPr>
          <w:p w:rsidR="00C55115" w:rsidRPr="000D153B" w:rsidRDefault="00C55115" w:rsidP="002F0A9E">
            <w:pPr>
              <w:pStyle w:val="BodyText"/>
            </w:pPr>
            <w:r>
              <w:t>-</w:t>
            </w:r>
          </w:p>
        </w:tc>
      </w:tr>
      <w:tr w:rsidR="00C55115" w:rsidRPr="00092A97" w:rsidTr="00C55115">
        <w:trPr>
          <w:trHeight w:hRule="exact" w:val="979"/>
        </w:trPr>
        <w:tc>
          <w:tcPr>
            <w:tcW w:w="2147" w:type="dxa"/>
            <w:shd w:val="clear" w:color="auto" w:fill="auto"/>
          </w:tcPr>
          <w:p w:rsidR="00C55115" w:rsidRPr="000D153B" w:rsidRDefault="00C55115" w:rsidP="002F0A9E">
            <w:pPr>
              <w:pStyle w:val="BodyText"/>
            </w:pPr>
            <w:r>
              <w:t>Result (LIVE)</w:t>
            </w:r>
          </w:p>
        </w:tc>
        <w:tc>
          <w:tcPr>
            <w:tcW w:w="2536" w:type="dxa"/>
          </w:tcPr>
          <w:p w:rsidR="00C55115" w:rsidRPr="000D153B" w:rsidRDefault="00C255C2" w:rsidP="002F0A9E">
            <w:pPr>
              <w:pStyle w:val="BodyText"/>
            </w:pPr>
            <w:r>
              <w:t>194</w:t>
            </w:r>
          </w:p>
        </w:tc>
        <w:tc>
          <w:tcPr>
            <w:tcW w:w="2410" w:type="dxa"/>
            <w:shd w:val="clear" w:color="auto" w:fill="auto"/>
          </w:tcPr>
          <w:p w:rsidR="00C55115" w:rsidRPr="000D153B" w:rsidRDefault="00C255C2" w:rsidP="002F0A9E">
            <w:pPr>
              <w:pStyle w:val="BodyText"/>
            </w:pPr>
            <w:r>
              <w:t>148</w:t>
            </w:r>
          </w:p>
        </w:tc>
        <w:tc>
          <w:tcPr>
            <w:tcW w:w="2126" w:type="dxa"/>
            <w:shd w:val="clear" w:color="auto" w:fill="auto"/>
          </w:tcPr>
          <w:p w:rsidR="00C55115" w:rsidRPr="000D153B" w:rsidRDefault="00C255C2" w:rsidP="002F0A9E">
            <w:pPr>
              <w:pStyle w:val="BodyText"/>
            </w:pPr>
            <w:r>
              <w:t>Target not achieved</w:t>
            </w:r>
          </w:p>
        </w:tc>
      </w:tr>
    </w:tbl>
    <w:p w:rsidR="002F0A9E" w:rsidRDefault="002F0A9E" w:rsidP="004B718D">
      <w:pPr>
        <w:autoSpaceDE w:val="0"/>
        <w:autoSpaceDN w:val="0"/>
        <w:adjustRightInd w:val="0"/>
        <w:spacing w:after="0" w:line="240" w:lineRule="auto"/>
        <w:rPr>
          <w:rFonts w:ascii="Gill Sans MT" w:hAnsi="Gill Sans MT"/>
        </w:rPr>
      </w:pPr>
    </w:p>
    <w:p w:rsidR="00C255C2" w:rsidRPr="00C255C2" w:rsidRDefault="00C255C2" w:rsidP="00C255C2">
      <w:pPr>
        <w:pStyle w:val="BodyText"/>
        <w:rPr>
          <w:b/>
        </w:rPr>
      </w:pPr>
      <w:proofErr w:type="gramStart"/>
      <w:r w:rsidRPr="00C255C2">
        <w:rPr>
          <w:b/>
        </w:rPr>
        <w:t>KPI AES3.</w:t>
      </w:r>
      <w:proofErr w:type="gramEnd"/>
      <w:r w:rsidRPr="00C255C2">
        <w:rPr>
          <w:b/>
        </w:rPr>
        <w:t xml:space="preserve"> Maximum wait time</w:t>
      </w:r>
    </w:p>
    <w:p w:rsidR="00C255C2" w:rsidRDefault="00C255C2" w:rsidP="00C255C2">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3. Maximum wait time"/>
      </w:tblPr>
      <w:tblGrid>
        <w:gridCol w:w="2147"/>
        <w:gridCol w:w="2536"/>
        <w:gridCol w:w="2410"/>
        <w:gridCol w:w="2126"/>
      </w:tblGrid>
      <w:tr w:rsidR="00C255C2" w:rsidRPr="00092A97" w:rsidTr="00BA0546">
        <w:trPr>
          <w:trHeight w:hRule="exact" w:val="548"/>
          <w:tblHeader/>
        </w:trPr>
        <w:tc>
          <w:tcPr>
            <w:tcW w:w="2147" w:type="dxa"/>
            <w:shd w:val="clear" w:color="auto" w:fill="auto"/>
          </w:tcPr>
          <w:p w:rsidR="00C255C2" w:rsidRPr="000D153B" w:rsidRDefault="00C255C2" w:rsidP="00BA0546">
            <w:pPr>
              <w:pStyle w:val="BodyText"/>
            </w:pPr>
            <w:r>
              <w:t>Access to Elective Surgery</w:t>
            </w:r>
          </w:p>
        </w:tc>
        <w:tc>
          <w:tcPr>
            <w:tcW w:w="2536" w:type="dxa"/>
          </w:tcPr>
          <w:p w:rsidR="00C255C2" w:rsidRPr="000D153B" w:rsidRDefault="00C255C2" w:rsidP="00BA0546">
            <w:pPr>
              <w:pStyle w:val="BodyText"/>
            </w:pPr>
            <w:r>
              <w:t>Dec-15</w:t>
            </w:r>
          </w:p>
        </w:tc>
        <w:tc>
          <w:tcPr>
            <w:tcW w:w="2410" w:type="dxa"/>
            <w:shd w:val="clear" w:color="auto" w:fill="auto"/>
          </w:tcPr>
          <w:p w:rsidR="00C255C2" w:rsidRPr="000D153B" w:rsidRDefault="00C255C2" w:rsidP="00BA0546">
            <w:pPr>
              <w:pStyle w:val="BodyText"/>
            </w:pPr>
            <w:r>
              <w:t>Jun-16</w:t>
            </w:r>
          </w:p>
        </w:tc>
        <w:tc>
          <w:tcPr>
            <w:tcW w:w="2126" w:type="dxa"/>
            <w:shd w:val="clear" w:color="auto" w:fill="auto"/>
          </w:tcPr>
          <w:p w:rsidR="00C255C2" w:rsidRPr="000D153B" w:rsidRDefault="00C255C2" w:rsidP="00BA0546">
            <w:pPr>
              <w:pStyle w:val="BodyText"/>
            </w:pPr>
            <w:r>
              <w:t>Comments</w:t>
            </w:r>
          </w:p>
        </w:tc>
      </w:tr>
      <w:tr w:rsidR="00C255C2" w:rsidRPr="00092A97" w:rsidTr="00BA0546">
        <w:trPr>
          <w:trHeight w:hRule="exact" w:val="924"/>
        </w:trPr>
        <w:tc>
          <w:tcPr>
            <w:tcW w:w="2147" w:type="dxa"/>
            <w:shd w:val="clear" w:color="auto" w:fill="auto"/>
          </w:tcPr>
          <w:p w:rsidR="00C255C2" w:rsidRPr="000D153B" w:rsidRDefault="00C255C2" w:rsidP="00BA0546">
            <w:pPr>
              <w:pStyle w:val="BodyText"/>
            </w:pPr>
            <w:r>
              <w:t>Target (six monthly)</w:t>
            </w:r>
          </w:p>
        </w:tc>
        <w:tc>
          <w:tcPr>
            <w:tcW w:w="2536" w:type="dxa"/>
          </w:tcPr>
          <w:p w:rsidR="00C255C2" w:rsidRPr="000D153B" w:rsidRDefault="00C255C2" w:rsidP="00BA0546">
            <w:pPr>
              <w:pStyle w:val="BodyText"/>
            </w:pPr>
            <w:r>
              <w:t>730</w:t>
            </w:r>
          </w:p>
        </w:tc>
        <w:tc>
          <w:tcPr>
            <w:tcW w:w="2410" w:type="dxa"/>
            <w:shd w:val="clear" w:color="auto" w:fill="auto"/>
          </w:tcPr>
          <w:p w:rsidR="00C255C2" w:rsidRPr="000D153B" w:rsidRDefault="00C255C2" w:rsidP="00BA0546">
            <w:pPr>
              <w:pStyle w:val="BodyText"/>
            </w:pPr>
            <w:r>
              <w:t>600</w:t>
            </w:r>
          </w:p>
        </w:tc>
        <w:tc>
          <w:tcPr>
            <w:tcW w:w="2126" w:type="dxa"/>
            <w:shd w:val="clear" w:color="auto" w:fill="auto"/>
          </w:tcPr>
          <w:p w:rsidR="00C255C2" w:rsidRPr="000D153B" w:rsidRDefault="00C255C2" w:rsidP="00BA0546">
            <w:pPr>
              <w:pStyle w:val="BodyText"/>
            </w:pPr>
            <w:r>
              <w:t>-</w:t>
            </w:r>
          </w:p>
        </w:tc>
      </w:tr>
      <w:tr w:rsidR="00C255C2" w:rsidRPr="00092A97" w:rsidTr="00BA0546">
        <w:trPr>
          <w:trHeight w:hRule="exact" w:val="979"/>
        </w:trPr>
        <w:tc>
          <w:tcPr>
            <w:tcW w:w="2147" w:type="dxa"/>
            <w:shd w:val="clear" w:color="auto" w:fill="auto"/>
          </w:tcPr>
          <w:p w:rsidR="00C255C2" w:rsidRPr="000D153B" w:rsidRDefault="00C255C2" w:rsidP="00BA0546">
            <w:pPr>
              <w:pStyle w:val="BodyText"/>
            </w:pPr>
            <w:r>
              <w:t>Result (LIVE)</w:t>
            </w:r>
          </w:p>
        </w:tc>
        <w:tc>
          <w:tcPr>
            <w:tcW w:w="2536" w:type="dxa"/>
          </w:tcPr>
          <w:p w:rsidR="00C255C2" w:rsidRPr="000D153B" w:rsidRDefault="00C255C2" w:rsidP="00BA0546">
            <w:pPr>
              <w:pStyle w:val="BodyText"/>
            </w:pPr>
            <w:r>
              <w:t>2713</w:t>
            </w:r>
          </w:p>
        </w:tc>
        <w:tc>
          <w:tcPr>
            <w:tcW w:w="2410" w:type="dxa"/>
            <w:shd w:val="clear" w:color="auto" w:fill="auto"/>
          </w:tcPr>
          <w:p w:rsidR="00C255C2" w:rsidRPr="000D153B" w:rsidRDefault="00C255C2" w:rsidP="00BA0546">
            <w:pPr>
              <w:pStyle w:val="BodyText"/>
            </w:pPr>
            <w:r>
              <w:t>1184</w:t>
            </w:r>
          </w:p>
        </w:tc>
        <w:tc>
          <w:tcPr>
            <w:tcW w:w="2126" w:type="dxa"/>
            <w:shd w:val="clear" w:color="auto" w:fill="auto"/>
          </w:tcPr>
          <w:p w:rsidR="00C255C2" w:rsidRPr="000D153B" w:rsidRDefault="00C255C2" w:rsidP="00BA0546">
            <w:pPr>
              <w:pStyle w:val="BodyText"/>
            </w:pPr>
            <w:r>
              <w:t>Target not achieved</w:t>
            </w:r>
          </w:p>
        </w:tc>
      </w:tr>
    </w:tbl>
    <w:p w:rsidR="00C255C2" w:rsidRDefault="00C255C2" w:rsidP="004B718D">
      <w:pPr>
        <w:autoSpaceDE w:val="0"/>
        <w:autoSpaceDN w:val="0"/>
        <w:adjustRightInd w:val="0"/>
        <w:spacing w:after="0" w:line="240" w:lineRule="auto"/>
        <w:rPr>
          <w:rFonts w:ascii="Gill Sans MT" w:hAnsi="Gill Sans MT"/>
        </w:rPr>
      </w:pPr>
    </w:p>
    <w:p w:rsidR="00C255C2" w:rsidRDefault="00C255C2">
      <w:pPr>
        <w:rPr>
          <w:rFonts w:ascii="Gill Sans MT" w:hAnsi="Gill Sans MT"/>
        </w:rPr>
      </w:pPr>
      <w:r>
        <w:rPr>
          <w:rFonts w:ascii="Gill Sans MT" w:hAnsi="Gill Sans MT"/>
        </w:rPr>
        <w:br w:type="page"/>
      </w:r>
    </w:p>
    <w:p w:rsidR="00C255C2" w:rsidRPr="00C255C2" w:rsidRDefault="00C255C2" w:rsidP="00C255C2">
      <w:pPr>
        <w:pStyle w:val="BodyText"/>
        <w:rPr>
          <w:b/>
        </w:rPr>
      </w:pPr>
      <w:proofErr w:type="gramStart"/>
      <w:r w:rsidRPr="00C255C2">
        <w:rPr>
          <w:b/>
        </w:rPr>
        <w:lastRenderedPageBreak/>
        <w:t>KPI AES4.</w:t>
      </w:r>
      <w:proofErr w:type="gramEnd"/>
      <w:r w:rsidRPr="00C255C2">
        <w:rPr>
          <w:b/>
        </w:rPr>
        <w:t xml:space="preserve"> Category 1 admitted within the recommended time</w:t>
      </w:r>
    </w:p>
    <w:p w:rsidR="00C255C2" w:rsidRDefault="00C255C2"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4. Category 1 admitted within the recommended time"/>
      </w:tblPr>
      <w:tblGrid>
        <w:gridCol w:w="2147"/>
        <w:gridCol w:w="2536"/>
        <w:gridCol w:w="2410"/>
        <w:gridCol w:w="2126"/>
      </w:tblGrid>
      <w:tr w:rsidR="00C255C2" w:rsidRPr="00092A97" w:rsidTr="00BA0546">
        <w:trPr>
          <w:trHeight w:hRule="exact" w:val="548"/>
          <w:tblHeader/>
        </w:trPr>
        <w:tc>
          <w:tcPr>
            <w:tcW w:w="2147" w:type="dxa"/>
            <w:shd w:val="clear" w:color="auto" w:fill="auto"/>
          </w:tcPr>
          <w:p w:rsidR="00C255C2" w:rsidRPr="000D153B" w:rsidRDefault="00C255C2" w:rsidP="00BA0546">
            <w:pPr>
              <w:pStyle w:val="BodyText"/>
            </w:pPr>
            <w:r>
              <w:t>Access to Elective Surgery</w:t>
            </w:r>
          </w:p>
        </w:tc>
        <w:tc>
          <w:tcPr>
            <w:tcW w:w="2536" w:type="dxa"/>
          </w:tcPr>
          <w:p w:rsidR="00C255C2" w:rsidRPr="000D153B" w:rsidRDefault="00C255C2" w:rsidP="00BA0546">
            <w:pPr>
              <w:pStyle w:val="BodyText"/>
            </w:pPr>
            <w:r>
              <w:t>Dec-15</w:t>
            </w:r>
          </w:p>
        </w:tc>
        <w:tc>
          <w:tcPr>
            <w:tcW w:w="2410" w:type="dxa"/>
            <w:shd w:val="clear" w:color="auto" w:fill="auto"/>
          </w:tcPr>
          <w:p w:rsidR="00C255C2" w:rsidRPr="000D153B" w:rsidRDefault="00C255C2" w:rsidP="00BA0546">
            <w:pPr>
              <w:pStyle w:val="BodyText"/>
            </w:pPr>
            <w:r>
              <w:t>Jun-16</w:t>
            </w:r>
          </w:p>
        </w:tc>
        <w:tc>
          <w:tcPr>
            <w:tcW w:w="2126" w:type="dxa"/>
            <w:shd w:val="clear" w:color="auto" w:fill="auto"/>
          </w:tcPr>
          <w:p w:rsidR="00C255C2" w:rsidRPr="000D153B" w:rsidRDefault="00C255C2" w:rsidP="00BA0546">
            <w:pPr>
              <w:pStyle w:val="BodyText"/>
            </w:pPr>
            <w:r>
              <w:t>Comments</w:t>
            </w:r>
          </w:p>
        </w:tc>
      </w:tr>
      <w:tr w:rsidR="00C255C2" w:rsidRPr="00092A97" w:rsidTr="00BA0546">
        <w:trPr>
          <w:trHeight w:hRule="exact" w:val="924"/>
        </w:trPr>
        <w:tc>
          <w:tcPr>
            <w:tcW w:w="2147" w:type="dxa"/>
            <w:shd w:val="clear" w:color="auto" w:fill="auto"/>
          </w:tcPr>
          <w:p w:rsidR="00C255C2" w:rsidRPr="000D153B" w:rsidRDefault="00C255C2" w:rsidP="00BA0546">
            <w:pPr>
              <w:pStyle w:val="BodyText"/>
            </w:pPr>
            <w:r>
              <w:t>Target (six monthly)</w:t>
            </w:r>
          </w:p>
        </w:tc>
        <w:tc>
          <w:tcPr>
            <w:tcW w:w="2536" w:type="dxa"/>
          </w:tcPr>
          <w:p w:rsidR="00C255C2" w:rsidRPr="000D153B" w:rsidRDefault="00C255C2" w:rsidP="00BA0546">
            <w:pPr>
              <w:pStyle w:val="BodyText"/>
            </w:pPr>
            <w:r>
              <w:t>80%</w:t>
            </w:r>
          </w:p>
        </w:tc>
        <w:tc>
          <w:tcPr>
            <w:tcW w:w="2410" w:type="dxa"/>
            <w:shd w:val="clear" w:color="auto" w:fill="auto"/>
          </w:tcPr>
          <w:p w:rsidR="00C255C2" w:rsidRPr="000D153B" w:rsidRDefault="00C255C2" w:rsidP="00BA0546">
            <w:pPr>
              <w:pStyle w:val="BodyText"/>
            </w:pPr>
            <w:r>
              <w:t>90%</w:t>
            </w:r>
          </w:p>
        </w:tc>
        <w:tc>
          <w:tcPr>
            <w:tcW w:w="2126" w:type="dxa"/>
            <w:shd w:val="clear" w:color="auto" w:fill="auto"/>
          </w:tcPr>
          <w:p w:rsidR="00C255C2" w:rsidRPr="000D153B" w:rsidRDefault="00C255C2" w:rsidP="00BA0546">
            <w:pPr>
              <w:pStyle w:val="BodyText"/>
            </w:pPr>
            <w:r>
              <w:t>-</w:t>
            </w:r>
          </w:p>
        </w:tc>
      </w:tr>
      <w:tr w:rsidR="00C255C2" w:rsidRPr="00092A97" w:rsidTr="00BA0546">
        <w:trPr>
          <w:trHeight w:hRule="exact" w:val="979"/>
        </w:trPr>
        <w:tc>
          <w:tcPr>
            <w:tcW w:w="2147" w:type="dxa"/>
            <w:shd w:val="clear" w:color="auto" w:fill="auto"/>
          </w:tcPr>
          <w:p w:rsidR="00C255C2" w:rsidRPr="000D153B" w:rsidRDefault="00C255C2" w:rsidP="00BA0546">
            <w:pPr>
              <w:pStyle w:val="BodyText"/>
            </w:pPr>
            <w:r>
              <w:t>Result (LIVE)</w:t>
            </w:r>
          </w:p>
        </w:tc>
        <w:tc>
          <w:tcPr>
            <w:tcW w:w="2536" w:type="dxa"/>
          </w:tcPr>
          <w:p w:rsidR="00C255C2" w:rsidRPr="000D153B" w:rsidRDefault="00C255C2" w:rsidP="00BA0546">
            <w:pPr>
              <w:pStyle w:val="BodyText"/>
            </w:pPr>
            <w:r>
              <w:t>77.6%</w:t>
            </w:r>
          </w:p>
        </w:tc>
        <w:tc>
          <w:tcPr>
            <w:tcW w:w="2410" w:type="dxa"/>
            <w:shd w:val="clear" w:color="auto" w:fill="auto"/>
          </w:tcPr>
          <w:p w:rsidR="00C255C2" w:rsidRPr="000D153B" w:rsidRDefault="00C255C2" w:rsidP="00BA0546">
            <w:pPr>
              <w:pStyle w:val="BodyText"/>
            </w:pPr>
            <w:r>
              <w:t>77.6%</w:t>
            </w:r>
          </w:p>
        </w:tc>
        <w:tc>
          <w:tcPr>
            <w:tcW w:w="2126" w:type="dxa"/>
            <w:shd w:val="clear" w:color="auto" w:fill="auto"/>
          </w:tcPr>
          <w:p w:rsidR="00C255C2" w:rsidRPr="000D153B" w:rsidRDefault="00C255C2" w:rsidP="00BA0546">
            <w:pPr>
              <w:pStyle w:val="BodyText"/>
            </w:pPr>
            <w:r>
              <w:t>Target not achieved</w:t>
            </w:r>
          </w:p>
        </w:tc>
      </w:tr>
    </w:tbl>
    <w:p w:rsidR="00C255C2" w:rsidRDefault="00C255C2" w:rsidP="004B718D">
      <w:pPr>
        <w:autoSpaceDE w:val="0"/>
        <w:autoSpaceDN w:val="0"/>
        <w:adjustRightInd w:val="0"/>
        <w:spacing w:after="0" w:line="240" w:lineRule="auto"/>
        <w:rPr>
          <w:rFonts w:ascii="Gill Sans MT" w:hAnsi="Gill Sans MT"/>
        </w:rPr>
      </w:pPr>
    </w:p>
    <w:p w:rsidR="00005E25" w:rsidRPr="00005E25" w:rsidRDefault="00005E25" w:rsidP="00005E25">
      <w:pPr>
        <w:pStyle w:val="BodyText"/>
        <w:rPr>
          <w:b/>
        </w:rPr>
      </w:pPr>
      <w:proofErr w:type="gramStart"/>
      <w:r w:rsidRPr="00005E25">
        <w:rPr>
          <w:b/>
        </w:rPr>
        <w:t>KPI AES5.</w:t>
      </w:r>
      <w:proofErr w:type="gramEnd"/>
      <w:r w:rsidRPr="00005E25">
        <w:rPr>
          <w:b/>
        </w:rPr>
        <w:t xml:space="preserve"> Category 2 admitted within the recommended </w:t>
      </w:r>
    </w:p>
    <w:p w:rsidR="00005E25" w:rsidRDefault="00005E25"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5. Category 2 admitted within the recommended  "/>
      </w:tblPr>
      <w:tblGrid>
        <w:gridCol w:w="2147"/>
        <w:gridCol w:w="2536"/>
        <w:gridCol w:w="2410"/>
        <w:gridCol w:w="2126"/>
      </w:tblGrid>
      <w:tr w:rsidR="00005E25" w:rsidRPr="00092A97" w:rsidTr="00BA0546">
        <w:trPr>
          <w:trHeight w:hRule="exact" w:val="548"/>
          <w:tblHeader/>
        </w:trPr>
        <w:tc>
          <w:tcPr>
            <w:tcW w:w="2147" w:type="dxa"/>
            <w:shd w:val="clear" w:color="auto" w:fill="auto"/>
          </w:tcPr>
          <w:p w:rsidR="00005E25" w:rsidRPr="000D153B" w:rsidRDefault="00005E25" w:rsidP="00BA0546">
            <w:pPr>
              <w:pStyle w:val="BodyText"/>
            </w:pPr>
            <w:r>
              <w:t>Access to Elective Surgery</w:t>
            </w:r>
          </w:p>
        </w:tc>
        <w:tc>
          <w:tcPr>
            <w:tcW w:w="2536" w:type="dxa"/>
          </w:tcPr>
          <w:p w:rsidR="00005E25" w:rsidRPr="000D153B" w:rsidRDefault="00005E25" w:rsidP="00BA0546">
            <w:pPr>
              <w:pStyle w:val="BodyText"/>
            </w:pPr>
            <w:r>
              <w:t>Dec-15</w:t>
            </w:r>
          </w:p>
        </w:tc>
        <w:tc>
          <w:tcPr>
            <w:tcW w:w="2410" w:type="dxa"/>
            <w:shd w:val="clear" w:color="auto" w:fill="auto"/>
          </w:tcPr>
          <w:p w:rsidR="00005E25" w:rsidRPr="000D153B" w:rsidRDefault="00005E25" w:rsidP="00BA0546">
            <w:pPr>
              <w:pStyle w:val="BodyText"/>
            </w:pPr>
            <w:r>
              <w:t>Jun-16</w:t>
            </w:r>
          </w:p>
        </w:tc>
        <w:tc>
          <w:tcPr>
            <w:tcW w:w="2126" w:type="dxa"/>
            <w:shd w:val="clear" w:color="auto" w:fill="auto"/>
          </w:tcPr>
          <w:p w:rsidR="00005E25" w:rsidRPr="000D153B" w:rsidRDefault="00005E25" w:rsidP="00BA0546">
            <w:pPr>
              <w:pStyle w:val="BodyText"/>
            </w:pPr>
            <w:r>
              <w:t>Comments</w:t>
            </w:r>
          </w:p>
        </w:tc>
      </w:tr>
      <w:tr w:rsidR="00005E25" w:rsidRPr="00092A97" w:rsidTr="00BA0546">
        <w:trPr>
          <w:trHeight w:hRule="exact" w:val="924"/>
        </w:trPr>
        <w:tc>
          <w:tcPr>
            <w:tcW w:w="2147" w:type="dxa"/>
            <w:shd w:val="clear" w:color="auto" w:fill="auto"/>
          </w:tcPr>
          <w:p w:rsidR="00005E25" w:rsidRPr="000D153B" w:rsidRDefault="00005E25" w:rsidP="00BA0546">
            <w:pPr>
              <w:pStyle w:val="BodyText"/>
            </w:pPr>
            <w:r>
              <w:t>Target (six monthly)</w:t>
            </w:r>
          </w:p>
        </w:tc>
        <w:tc>
          <w:tcPr>
            <w:tcW w:w="2536" w:type="dxa"/>
          </w:tcPr>
          <w:p w:rsidR="00005E25" w:rsidRPr="000D153B" w:rsidRDefault="00005E25" w:rsidP="00BA0546">
            <w:pPr>
              <w:pStyle w:val="BodyText"/>
            </w:pPr>
            <w:r>
              <w:t>60%</w:t>
            </w:r>
          </w:p>
        </w:tc>
        <w:tc>
          <w:tcPr>
            <w:tcW w:w="2410" w:type="dxa"/>
            <w:shd w:val="clear" w:color="auto" w:fill="auto"/>
          </w:tcPr>
          <w:p w:rsidR="00005E25" w:rsidRPr="000D153B" w:rsidRDefault="00005E25" w:rsidP="00BA0546">
            <w:pPr>
              <w:pStyle w:val="BodyText"/>
            </w:pPr>
            <w:r>
              <w:t>70%</w:t>
            </w:r>
          </w:p>
        </w:tc>
        <w:tc>
          <w:tcPr>
            <w:tcW w:w="2126" w:type="dxa"/>
            <w:shd w:val="clear" w:color="auto" w:fill="auto"/>
          </w:tcPr>
          <w:p w:rsidR="00005E25" w:rsidRPr="000D153B" w:rsidRDefault="00005E25" w:rsidP="00BA0546">
            <w:pPr>
              <w:pStyle w:val="BodyText"/>
            </w:pPr>
            <w:r>
              <w:t>-</w:t>
            </w:r>
          </w:p>
        </w:tc>
      </w:tr>
      <w:tr w:rsidR="00005E25" w:rsidRPr="00092A97" w:rsidTr="00BA0546">
        <w:trPr>
          <w:trHeight w:hRule="exact" w:val="979"/>
        </w:trPr>
        <w:tc>
          <w:tcPr>
            <w:tcW w:w="2147" w:type="dxa"/>
            <w:shd w:val="clear" w:color="auto" w:fill="auto"/>
          </w:tcPr>
          <w:p w:rsidR="00005E25" w:rsidRPr="000D153B" w:rsidRDefault="00005E25" w:rsidP="00BA0546">
            <w:pPr>
              <w:pStyle w:val="BodyText"/>
            </w:pPr>
            <w:r>
              <w:t>Result (LIVE)</w:t>
            </w:r>
          </w:p>
        </w:tc>
        <w:tc>
          <w:tcPr>
            <w:tcW w:w="2536" w:type="dxa"/>
          </w:tcPr>
          <w:p w:rsidR="00005E25" w:rsidRPr="000D153B" w:rsidRDefault="00005E25" w:rsidP="00BA0546">
            <w:pPr>
              <w:pStyle w:val="BodyText"/>
            </w:pPr>
            <w:r>
              <w:t>46.2%</w:t>
            </w:r>
          </w:p>
        </w:tc>
        <w:tc>
          <w:tcPr>
            <w:tcW w:w="2410" w:type="dxa"/>
            <w:shd w:val="clear" w:color="auto" w:fill="auto"/>
          </w:tcPr>
          <w:p w:rsidR="00005E25" w:rsidRPr="000D153B" w:rsidRDefault="00005E25" w:rsidP="00BA0546">
            <w:pPr>
              <w:pStyle w:val="BodyText"/>
            </w:pPr>
            <w:r>
              <w:t>42.0%</w:t>
            </w:r>
          </w:p>
        </w:tc>
        <w:tc>
          <w:tcPr>
            <w:tcW w:w="2126" w:type="dxa"/>
            <w:shd w:val="clear" w:color="auto" w:fill="auto"/>
          </w:tcPr>
          <w:p w:rsidR="00005E25" w:rsidRPr="000D153B" w:rsidRDefault="00005E25" w:rsidP="00BA0546">
            <w:pPr>
              <w:pStyle w:val="BodyText"/>
            </w:pPr>
            <w:r>
              <w:t>Target not achieved</w:t>
            </w:r>
          </w:p>
        </w:tc>
      </w:tr>
    </w:tbl>
    <w:p w:rsidR="00005E25" w:rsidRDefault="00005E25" w:rsidP="004B718D">
      <w:pPr>
        <w:autoSpaceDE w:val="0"/>
        <w:autoSpaceDN w:val="0"/>
        <w:adjustRightInd w:val="0"/>
        <w:spacing w:after="0" w:line="240" w:lineRule="auto"/>
        <w:rPr>
          <w:rFonts w:ascii="Gill Sans MT" w:hAnsi="Gill Sans MT"/>
        </w:rPr>
      </w:pPr>
    </w:p>
    <w:p w:rsidR="00005E25" w:rsidRDefault="00005E25" w:rsidP="004B718D">
      <w:pPr>
        <w:autoSpaceDE w:val="0"/>
        <w:autoSpaceDN w:val="0"/>
        <w:adjustRightInd w:val="0"/>
        <w:spacing w:after="0" w:line="240" w:lineRule="auto"/>
        <w:rPr>
          <w:rFonts w:ascii="Gill Sans MT" w:hAnsi="Gill Sans MT"/>
        </w:rPr>
      </w:pPr>
    </w:p>
    <w:p w:rsidR="00005E25" w:rsidRPr="00005E25" w:rsidRDefault="00005E25" w:rsidP="00005E25">
      <w:pPr>
        <w:pStyle w:val="BodyText"/>
        <w:rPr>
          <w:b/>
        </w:rPr>
      </w:pPr>
      <w:proofErr w:type="gramStart"/>
      <w:r w:rsidRPr="00005E25">
        <w:rPr>
          <w:b/>
        </w:rPr>
        <w:t>KPI AES6.</w:t>
      </w:r>
      <w:proofErr w:type="gramEnd"/>
      <w:r w:rsidRPr="00005E25">
        <w:rPr>
          <w:b/>
        </w:rPr>
        <w:t xml:space="preserve"> Category 3 admitted within the </w:t>
      </w:r>
      <w:proofErr w:type="gramStart"/>
      <w:r w:rsidRPr="00005E25">
        <w:rPr>
          <w:b/>
        </w:rPr>
        <w:t>recommended  time</w:t>
      </w:r>
      <w:proofErr w:type="gramEnd"/>
    </w:p>
    <w:p w:rsidR="00005E25" w:rsidRDefault="00005E25" w:rsidP="00005E25">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5. Category 2 admitted within the recommended  "/>
      </w:tblPr>
      <w:tblGrid>
        <w:gridCol w:w="2147"/>
        <w:gridCol w:w="2536"/>
        <w:gridCol w:w="2410"/>
        <w:gridCol w:w="2126"/>
      </w:tblGrid>
      <w:tr w:rsidR="00005E25" w:rsidRPr="00092A97" w:rsidTr="00BA0546">
        <w:trPr>
          <w:trHeight w:hRule="exact" w:val="548"/>
          <w:tblHeader/>
        </w:trPr>
        <w:tc>
          <w:tcPr>
            <w:tcW w:w="2147" w:type="dxa"/>
            <w:shd w:val="clear" w:color="auto" w:fill="auto"/>
          </w:tcPr>
          <w:p w:rsidR="00005E25" w:rsidRPr="000D153B" w:rsidRDefault="00005E25" w:rsidP="00BA0546">
            <w:pPr>
              <w:pStyle w:val="BodyText"/>
            </w:pPr>
            <w:r>
              <w:t>Access to Elective Surgery</w:t>
            </w:r>
          </w:p>
        </w:tc>
        <w:tc>
          <w:tcPr>
            <w:tcW w:w="2536" w:type="dxa"/>
          </w:tcPr>
          <w:p w:rsidR="00005E25" w:rsidRPr="000D153B" w:rsidRDefault="00005E25" w:rsidP="00BA0546">
            <w:pPr>
              <w:pStyle w:val="BodyText"/>
            </w:pPr>
            <w:r>
              <w:t>Dec-15</w:t>
            </w:r>
          </w:p>
        </w:tc>
        <w:tc>
          <w:tcPr>
            <w:tcW w:w="2410" w:type="dxa"/>
            <w:shd w:val="clear" w:color="auto" w:fill="auto"/>
          </w:tcPr>
          <w:p w:rsidR="00005E25" w:rsidRPr="000D153B" w:rsidRDefault="00005E25" w:rsidP="00BA0546">
            <w:pPr>
              <w:pStyle w:val="BodyText"/>
            </w:pPr>
            <w:r>
              <w:t>Jun-16</w:t>
            </w:r>
          </w:p>
        </w:tc>
        <w:tc>
          <w:tcPr>
            <w:tcW w:w="2126" w:type="dxa"/>
            <w:shd w:val="clear" w:color="auto" w:fill="auto"/>
          </w:tcPr>
          <w:p w:rsidR="00005E25" w:rsidRPr="000D153B" w:rsidRDefault="00005E25" w:rsidP="00BA0546">
            <w:pPr>
              <w:pStyle w:val="BodyText"/>
            </w:pPr>
            <w:r>
              <w:t>Comments</w:t>
            </w:r>
          </w:p>
        </w:tc>
      </w:tr>
      <w:tr w:rsidR="00005E25" w:rsidRPr="00092A97" w:rsidTr="00BA0546">
        <w:trPr>
          <w:trHeight w:hRule="exact" w:val="924"/>
        </w:trPr>
        <w:tc>
          <w:tcPr>
            <w:tcW w:w="2147" w:type="dxa"/>
            <w:shd w:val="clear" w:color="auto" w:fill="auto"/>
          </w:tcPr>
          <w:p w:rsidR="00005E25" w:rsidRPr="000D153B" w:rsidRDefault="00005E25" w:rsidP="00BA0546">
            <w:pPr>
              <w:pStyle w:val="BodyText"/>
            </w:pPr>
            <w:r>
              <w:t>Target (six monthly)</w:t>
            </w:r>
          </w:p>
        </w:tc>
        <w:tc>
          <w:tcPr>
            <w:tcW w:w="2536" w:type="dxa"/>
          </w:tcPr>
          <w:p w:rsidR="00005E25" w:rsidRPr="000D153B" w:rsidRDefault="00005E25" w:rsidP="00BA0546">
            <w:pPr>
              <w:pStyle w:val="BodyText"/>
            </w:pPr>
            <w:r>
              <w:t>60%</w:t>
            </w:r>
          </w:p>
        </w:tc>
        <w:tc>
          <w:tcPr>
            <w:tcW w:w="2410" w:type="dxa"/>
            <w:shd w:val="clear" w:color="auto" w:fill="auto"/>
          </w:tcPr>
          <w:p w:rsidR="00005E25" w:rsidRPr="000D153B" w:rsidRDefault="00005E25" w:rsidP="00BA0546">
            <w:pPr>
              <w:pStyle w:val="BodyText"/>
            </w:pPr>
            <w:r>
              <w:t>70%</w:t>
            </w:r>
          </w:p>
        </w:tc>
        <w:tc>
          <w:tcPr>
            <w:tcW w:w="2126" w:type="dxa"/>
            <w:shd w:val="clear" w:color="auto" w:fill="auto"/>
          </w:tcPr>
          <w:p w:rsidR="00005E25" w:rsidRPr="000D153B" w:rsidRDefault="00005E25" w:rsidP="00BA0546">
            <w:pPr>
              <w:pStyle w:val="BodyText"/>
            </w:pPr>
            <w:r>
              <w:t>-</w:t>
            </w:r>
          </w:p>
        </w:tc>
      </w:tr>
      <w:tr w:rsidR="00005E25" w:rsidRPr="00092A97" w:rsidTr="00BA0546">
        <w:trPr>
          <w:trHeight w:hRule="exact" w:val="979"/>
        </w:trPr>
        <w:tc>
          <w:tcPr>
            <w:tcW w:w="2147" w:type="dxa"/>
            <w:shd w:val="clear" w:color="auto" w:fill="auto"/>
          </w:tcPr>
          <w:p w:rsidR="00005E25" w:rsidRPr="000D153B" w:rsidRDefault="00005E25" w:rsidP="00BA0546">
            <w:pPr>
              <w:pStyle w:val="BodyText"/>
            </w:pPr>
            <w:r>
              <w:t>Result (LIVE)</w:t>
            </w:r>
          </w:p>
        </w:tc>
        <w:tc>
          <w:tcPr>
            <w:tcW w:w="2536" w:type="dxa"/>
          </w:tcPr>
          <w:p w:rsidR="00005E25" w:rsidRPr="000D153B" w:rsidRDefault="00005E25" w:rsidP="00BA0546">
            <w:pPr>
              <w:pStyle w:val="BodyText"/>
            </w:pPr>
            <w:r>
              <w:t>60.9%</w:t>
            </w:r>
          </w:p>
        </w:tc>
        <w:tc>
          <w:tcPr>
            <w:tcW w:w="2410" w:type="dxa"/>
            <w:shd w:val="clear" w:color="auto" w:fill="auto"/>
          </w:tcPr>
          <w:p w:rsidR="00005E25" w:rsidRPr="000D153B" w:rsidRDefault="00005E25" w:rsidP="00BA0546">
            <w:pPr>
              <w:pStyle w:val="BodyText"/>
            </w:pPr>
            <w:r>
              <w:t>64.6%</w:t>
            </w:r>
          </w:p>
        </w:tc>
        <w:tc>
          <w:tcPr>
            <w:tcW w:w="2126" w:type="dxa"/>
            <w:shd w:val="clear" w:color="auto" w:fill="auto"/>
          </w:tcPr>
          <w:p w:rsidR="00005E25" w:rsidRPr="000D153B" w:rsidRDefault="00005E25" w:rsidP="00BA0546">
            <w:pPr>
              <w:pStyle w:val="BodyText"/>
            </w:pPr>
            <w:r>
              <w:t>Target achieved in one six month period</w:t>
            </w:r>
          </w:p>
        </w:tc>
      </w:tr>
    </w:tbl>
    <w:p w:rsidR="00005E25" w:rsidRDefault="00005E25" w:rsidP="004B718D">
      <w:pPr>
        <w:autoSpaceDE w:val="0"/>
        <w:autoSpaceDN w:val="0"/>
        <w:adjustRightInd w:val="0"/>
        <w:spacing w:after="0" w:line="240" w:lineRule="auto"/>
        <w:rPr>
          <w:rFonts w:ascii="Gill Sans MT" w:hAnsi="Gill Sans MT"/>
        </w:rPr>
      </w:pPr>
    </w:p>
    <w:p w:rsidR="00005E25" w:rsidRDefault="00005E25" w:rsidP="004B718D">
      <w:pPr>
        <w:autoSpaceDE w:val="0"/>
        <w:autoSpaceDN w:val="0"/>
        <w:adjustRightInd w:val="0"/>
        <w:spacing w:after="0" w:line="240" w:lineRule="auto"/>
        <w:rPr>
          <w:rFonts w:ascii="Gill Sans MT" w:hAnsi="Gill Sans MT"/>
        </w:rPr>
      </w:pPr>
    </w:p>
    <w:p w:rsidR="00005E25" w:rsidRDefault="00005E25" w:rsidP="00005E25">
      <w:pPr>
        <w:pStyle w:val="BodyText"/>
        <w:rPr>
          <w:b/>
        </w:rPr>
      </w:pPr>
      <w:proofErr w:type="gramStart"/>
      <w:r w:rsidRPr="00005E25">
        <w:rPr>
          <w:b/>
        </w:rPr>
        <w:t>KPI AES7.</w:t>
      </w:r>
      <w:proofErr w:type="gramEnd"/>
      <w:r w:rsidRPr="00005E25">
        <w:rPr>
          <w:b/>
        </w:rPr>
        <w:t xml:space="preserve"> </w:t>
      </w:r>
      <w:proofErr w:type="gramStart"/>
      <w:r w:rsidRPr="00005E25">
        <w:rPr>
          <w:b/>
        </w:rPr>
        <w:t>Category 2 treat</w:t>
      </w:r>
      <w:proofErr w:type="gramEnd"/>
      <w:r w:rsidRPr="00005E25">
        <w:rPr>
          <w:b/>
        </w:rPr>
        <w:t xml:space="preserve"> in turn rates</w:t>
      </w:r>
    </w:p>
    <w:p w:rsidR="00005E25" w:rsidRPr="00005E25" w:rsidRDefault="00005E25" w:rsidP="00005E25">
      <w:pPr>
        <w:pStyle w:val="BodyText"/>
        <w:rPr>
          <w:b/>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7. Category 2 treat in turn rates"/>
      </w:tblPr>
      <w:tblGrid>
        <w:gridCol w:w="2147"/>
        <w:gridCol w:w="2536"/>
        <w:gridCol w:w="2410"/>
        <w:gridCol w:w="2126"/>
      </w:tblGrid>
      <w:tr w:rsidR="00005E25" w:rsidRPr="00092A97" w:rsidTr="00BA0546">
        <w:trPr>
          <w:trHeight w:hRule="exact" w:val="548"/>
          <w:tblHeader/>
        </w:trPr>
        <w:tc>
          <w:tcPr>
            <w:tcW w:w="2147" w:type="dxa"/>
            <w:shd w:val="clear" w:color="auto" w:fill="auto"/>
          </w:tcPr>
          <w:p w:rsidR="00005E25" w:rsidRPr="000D153B" w:rsidRDefault="00005E25" w:rsidP="00BA0546">
            <w:pPr>
              <w:pStyle w:val="BodyText"/>
            </w:pPr>
            <w:r>
              <w:t>Access to Elective Surgery</w:t>
            </w:r>
          </w:p>
        </w:tc>
        <w:tc>
          <w:tcPr>
            <w:tcW w:w="2536" w:type="dxa"/>
          </w:tcPr>
          <w:p w:rsidR="00005E25" w:rsidRPr="000D153B" w:rsidRDefault="00005E25" w:rsidP="00BA0546">
            <w:pPr>
              <w:pStyle w:val="BodyText"/>
            </w:pPr>
            <w:r>
              <w:t>Dec-15</w:t>
            </w:r>
          </w:p>
        </w:tc>
        <w:tc>
          <w:tcPr>
            <w:tcW w:w="2410" w:type="dxa"/>
            <w:shd w:val="clear" w:color="auto" w:fill="auto"/>
          </w:tcPr>
          <w:p w:rsidR="00005E25" w:rsidRPr="000D153B" w:rsidRDefault="00005E25" w:rsidP="00BA0546">
            <w:pPr>
              <w:pStyle w:val="BodyText"/>
            </w:pPr>
            <w:r>
              <w:t>Jun-16</w:t>
            </w:r>
          </w:p>
        </w:tc>
        <w:tc>
          <w:tcPr>
            <w:tcW w:w="2126" w:type="dxa"/>
            <w:shd w:val="clear" w:color="auto" w:fill="auto"/>
          </w:tcPr>
          <w:p w:rsidR="00005E25" w:rsidRPr="000D153B" w:rsidRDefault="00005E25" w:rsidP="00BA0546">
            <w:pPr>
              <w:pStyle w:val="BodyText"/>
            </w:pPr>
            <w:r>
              <w:t>Comments</w:t>
            </w:r>
          </w:p>
        </w:tc>
      </w:tr>
      <w:tr w:rsidR="00005E25" w:rsidRPr="00092A97" w:rsidTr="00BA0546">
        <w:trPr>
          <w:trHeight w:hRule="exact" w:val="924"/>
        </w:trPr>
        <w:tc>
          <w:tcPr>
            <w:tcW w:w="2147" w:type="dxa"/>
            <w:shd w:val="clear" w:color="auto" w:fill="auto"/>
          </w:tcPr>
          <w:p w:rsidR="00005E25" w:rsidRPr="000D153B" w:rsidRDefault="00005E25" w:rsidP="00BA0546">
            <w:pPr>
              <w:pStyle w:val="BodyText"/>
            </w:pPr>
            <w:r>
              <w:t>Target (six monthly)</w:t>
            </w:r>
          </w:p>
        </w:tc>
        <w:tc>
          <w:tcPr>
            <w:tcW w:w="2536" w:type="dxa"/>
          </w:tcPr>
          <w:p w:rsidR="00005E25" w:rsidRPr="000D153B" w:rsidRDefault="00005E25" w:rsidP="00BA0546">
            <w:pPr>
              <w:pStyle w:val="BodyText"/>
            </w:pPr>
            <w:r>
              <w:t>40%</w:t>
            </w:r>
          </w:p>
        </w:tc>
        <w:tc>
          <w:tcPr>
            <w:tcW w:w="2410" w:type="dxa"/>
            <w:shd w:val="clear" w:color="auto" w:fill="auto"/>
          </w:tcPr>
          <w:p w:rsidR="00005E25" w:rsidRPr="000D153B" w:rsidRDefault="00005E25" w:rsidP="00BA0546">
            <w:pPr>
              <w:pStyle w:val="BodyText"/>
            </w:pPr>
            <w:r>
              <w:t>45%</w:t>
            </w:r>
          </w:p>
        </w:tc>
        <w:tc>
          <w:tcPr>
            <w:tcW w:w="2126" w:type="dxa"/>
            <w:shd w:val="clear" w:color="auto" w:fill="auto"/>
          </w:tcPr>
          <w:p w:rsidR="00005E25" w:rsidRPr="000D153B" w:rsidRDefault="00005E25" w:rsidP="00BA0546">
            <w:pPr>
              <w:pStyle w:val="BodyText"/>
            </w:pPr>
            <w:r>
              <w:t>-</w:t>
            </w:r>
          </w:p>
        </w:tc>
      </w:tr>
      <w:tr w:rsidR="00005E25" w:rsidRPr="00092A97" w:rsidTr="00BA0546">
        <w:trPr>
          <w:trHeight w:hRule="exact" w:val="979"/>
        </w:trPr>
        <w:tc>
          <w:tcPr>
            <w:tcW w:w="2147" w:type="dxa"/>
            <w:shd w:val="clear" w:color="auto" w:fill="auto"/>
          </w:tcPr>
          <w:p w:rsidR="00005E25" w:rsidRPr="000D153B" w:rsidRDefault="00005E25" w:rsidP="00BA0546">
            <w:pPr>
              <w:pStyle w:val="BodyText"/>
            </w:pPr>
            <w:r>
              <w:t>Result (LIVE)</w:t>
            </w:r>
          </w:p>
        </w:tc>
        <w:tc>
          <w:tcPr>
            <w:tcW w:w="2536" w:type="dxa"/>
          </w:tcPr>
          <w:p w:rsidR="00005E25" w:rsidRPr="000D153B" w:rsidRDefault="00005E25" w:rsidP="00BA0546">
            <w:pPr>
              <w:pStyle w:val="BodyText"/>
            </w:pPr>
            <w:r>
              <w:t>27.1%</w:t>
            </w:r>
          </w:p>
        </w:tc>
        <w:tc>
          <w:tcPr>
            <w:tcW w:w="2410" w:type="dxa"/>
            <w:shd w:val="clear" w:color="auto" w:fill="auto"/>
          </w:tcPr>
          <w:p w:rsidR="00005E25" w:rsidRPr="000D153B" w:rsidRDefault="00005E25" w:rsidP="00005E25">
            <w:pPr>
              <w:pStyle w:val="BodyText"/>
            </w:pPr>
            <w:r>
              <w:t>26.8%</w:t>
            </w:r>
          </w:p>
        </w:tc>
        <w:tc>
          <w:tcPr>
            <w:tcW w:w="2126" w:type="dxa"/>
            <w:shd w:val="clear" w:color="auto" w:fill="auto"/>
          </w:tcPr>
          <w:p w:rsidR="00005E25" w:rsidRPr="000D153B" w:rsidRDefault="00005E25" w:rsidP="00BA0546">
            <w:pPr>
              <w:pStyle w:val="BodyText"/>
            </w:pPr>
            <w:r>
              <w:t>Target not achieved</w:t>
            </w:r>
          </w:p>
        </w:tc>
      </w:tr>
    </w:tbl>
    <w:p w:rsidR="00005E25" w:rsidRPr="00005E25" w:rsidRDefault="00005E25" w:rsidP="00005E25">
      <w:pPr>
        <w:pStyle w:val="BodyText"/>
        <w:rPr>
          <w:b/>
        </w:rPr>
      </w:pPr>
      <w:proofErr w:type="gramStart"/>
      <w:r w:rsidRPr="00005E25">
        <w:rPr>
          <w:b/>
        </w:rPr>
        <w:lastRenderedPageBreak/>
        <w:t>KPI AES8.</w:t>
      </w:r>
      <w:proofErr w:type="gramEnd"/>
      <w:r w:rsidRPr="00005E25">
        <w:rPr>
          <w:b/>
        </w:rPr>
        <w:t xml:space="preserve"> </w:t>
      </w:r>
      <w:proofErr w:type="gramStart"/>
      <w:r w:rsidRPr="00005E25">
        <w:rPr>
          <w:b/>
        </w:rPr>
        <w:t>Category 3 treat</w:t>
      </w:r>
      <w:proofErr w:type="gramEnd"/>
      <w:r w:rsidRPr="00005E25">
        <w:rPr>
          <w:b/>
        </w:rPr>
        <w:t xml:space="preserve"> in turn rates</w:t>
      </w:r>
    </w:p>
    <w:p w:rsidR="00005E25" w:rsidRPr="00005E25" w:rsidRDefault="00005E25" w:rsidP="00005E25">
      <w:pPr>
        <w:pStyle w:val="BodyText"/>
        <w:rPr>
          <w:b/>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8. Category 3 treat in turn rates"/>
      </w:tblPr>
      <w:tblGrid>
        <w:gridCol w:w="2147"/>
        <w:gridCol w:w="2536"/>
        <w:gridCol w:w="2410"/>
        <w:gridCol w:w="2126"/>
      </w:tblGrid>
      <w:tr w:rsidR="00005E25" w:rsidRPr="00092A97" w:rsidTr="00BA0546">
        <w:trPr>
          <w:trHeight w:hRule="exact" w:val="548"/>
          <w:tblHeader/>
        </w:trPr>
        <w:tc>
          <w:tcPr>
            <w:tcW w:w="2147" w:type="dxa"/>
            <w:shd w:val="clear" w:color="auto" w:fill="auto"/>
          </w:tcPr>
          <w:p w:rsidR="00005E25" w:rsidRPr="000D153B" w:rsidRDefault="00005E25" w:rsidP="00BA0546">
            <w:pPr>
              <w:pStyle w:val="BodyText"/>
            </w:pPr>
            <w:r>
              <w:t>Access to Elective Surgery</w:t>
            </w:r>
          </w:p>
        </w:tc>
        <w:tc>
          <w:tcPr>
            <w:tcW w:w="2536" w:type="dxa"/>
          </w:tcPr>
          <w:p w:rsidR="00005E25" w:rsidRPr="000D153B" w:rsidRDefault="00005E25" w:rsidP="00BA0546">
            <w:pPr>
              <w:pStyle w:val="BodyText"/>
            </w:pPr>
            <w:r>
              <w:t>Dec-15</w:t>
            </w:r>
          </w:p>
        </w:tc>
        <w:tc>
          <w:tcPr>
            <w:tcW w:w="2410" w:type="dxa"/>
            <w:shd w:val="clear" w:color="auto" w:fill="auto"/>
          </w:tcPr>
          <w:p w:rsidR="00005E25" w:rsidRPr="000D153B" w:rsidRDefault="00005E25" w:rsidP="00BA0546">
            <w:pPr>
              <w:pStyle w:val="BodyText"/>
            </w:pPr>
            <w:r>
              <w:t>Jun-16</w:t>
            </w:r>
          </w:p>
        </w:tc>
        <w:tc>
          <w:tcPr>
            <w:tcW w:w="2126" w:type="dxa"/>
            <w:shd w:val="clear" w:color="auto" w:fill="auto"/>
          </w:tcPr>
          <w:p w:rsidR="00005E25" w:rsidRPr="000D153B" w:rsidRDefault="00005E25" w:rsidP="00BA0546">
            <w:pPr>
              <w:pStyle w:val="BodyText"/>
            </w:pPr>
            <w:r>
              <w:t>Comments</w:t>
            </w:r>
          </w:p>
        </w:tc>
      </w:tr>
      <w:tr w:rsidR="00005E25" w:rsidRPr="00092A97" w:rsidTr="00BA0546">
        <w:trPr>
          <w:trHeight w:hRule="exact" w:val="924"/>
        </w:trPr>
        <w:tc>
          <w:tcPr>
            <w:tcW w:w="2147" w:type="dxa"/>
            <w:shd w:val="clear" w:color="auto" w:fill="auto"/>
          </w:tcPr>
          <w:p w:rsidR="00005E25" w:rsidRPr="000D153B" w:rsidRDefault="00005E25" w:rsidP="00BA0546">
            <w:pPr>
              <w:pStyle w:val="BodyText"/>
            </w:pPr>
            <w:r>
              <w:t>Target (six monthly)</w:t>
            </w:r>
          </w:p>
        </w:tc>
        <w:tc>
          <w:tcPr>
            <w:tcW w:w="2536" w:type="dxa"/>
          </w:tcPr>
          <w:p w:rsidR="00005E25" w:rsidRPr="000D153B" w:rsidRDefault="00005E25" w:rsidP="00BA0546">
            <w:pPr>
              <w:pStyle w:val="BodyText"/>
            </w:pPr>
            <w:r>
              <w:t>40%</w:t>
            </w:r>
          </w:p>
        </w:tc>
        <w:tc>
          <w:tcPr>
            <w:tcW w:w="2410" w:type="dxa"/>
            <w:shd w:val="clear" w:color="auto" w:fill="auto"/>
          </w:tcPr>
          <w:p w:rsidR="00005E25" w:rsidRPr="000D153B" w:rsidRDefault="00005E25" w:rsidP="00BA0546">
            <w:pPr>
              <w:pStyle w:val="BodyText"/>
            </w:pPr>
            <w:r>
              <w:t>45%</w:t>
            </w:r>
          </w:p>
        </w:tc>
        <w:tc>
          <w:tcPr>
            <w:tcW w:w="2126" w:type="dxa"/>
            <w:shd w:val="clear" w:color="auto" w:fill="auto"/>
          </w:tcPr>
          <w:p w:rsidR="00005E25" w:rsidRPr="000D153B" w:rsidRDefault="00005E25" w:rsidP="00BA0546">
            <w:pPr>
              <w:pStyle w:val="BodyText"/>
            </w:pPr>
            <w:r>
              <w:t>-</w:t>
            </w:r>
          </w:p>
        </w:tc>
      </w:tr>
      <w:tr w:rsidR="00005E25" w:rsidRPr="00092A97" w:rsidTr="00BA0546">
        <w:trPr>
          <w:trHeight w:hRule="exact" w:val="979"/>
        </w:trPr>
        <w:tc>
          <w:tcPr>
            <w:tcW w:w="2147" w:type="dxa"/>
            <w:shd w:val="clear" w:color="auto" w:fill="auto"/>
          </w:tcPr>
          <w:p w:rsidR="00005E25" w:rsidRPr="000D153B" w:rsidRDefault="00005E25" w:rsidP="00BA0546">
            <w:pPr>
              <w:pStyle w:val="BodyText"/>
            </w:pPr>
            <w:r>
              <w:t>Result (LIVE)</w:t>
            </w:r>
          </w:p>
        </w:tc>
        <w:tc>
          <w:tcPr>
            <w:tcW w:w="2536" w:type="dxa"/>
          </w:tcPr>
          <w:p w:rsidR="00005E25" w:rsidRPr="000D153B" w:rsidRDefault="00005E25" w:rsidP="00005E25">
            <w:pPr>
              <w:pStyle w:val="BodyText"/>
            </w:pPr>
            <w:r>
              <w:t>37.0%</w:t>
            </w:r>
          </w:p>
        </w:tc>
        <w:tc>
          <w:tcPr>
            <w:tcW w:w="2410" w:type="dxa"/>
            <w:shd w:val="clear" w:color="auto" w:fill="auto"/>
          </w:tcPr>
          <w:p w:rsidR="00005E25" w:rsidRPr="000D153B" w:rsidRDefault="00005E25" w:rsidP="00BA0546">
            <w:pPr>
              <w:pStyle w:val="BodyText"/>
            </w:pPr>
            <w:r>
              <w:t>42.9%</w:t>
            </w:r>
          </w:p>
        </w:tc>
        <w:tc>
          <w:tcPr>
            <w:tcW w:w="2126" w:type="dxa"/>
            <w:shd w:val="clear" w:color="auto" w:fill="auto"/>
          </w:tcPr>
          <w:p w:rsidR="00005E25" w:rsidRPr="000D153B" w:rsidRDefault="00005E25" w:rsidP="00BA0546">
            <w:pPr>
              <w:pStyle w:val="BodyText"/>
            </w:pPr>
            <w:r>
              <w:t>Target not achieved</w:t>
            </w:r>
          </w:p>
        </w:tc>
      </w:tr>
    </w:tbl>
    <w:p w:rsidR="00005E25" w:rsidRDefault="00005E25" w:rsidP="004B718D">
      <w:pPr>
        <w:autoSpaceDE w:val="0"/>
        <w:autoSpaceDN w:val="0"/>
        <w:adjustRightInd w:val="0"/>
        <w:spacing w:after="0" w:line="240" w:lineRule="auto"/>
        <w:rPr>
          <w:rFonts w:ascii="Gill Sans MT" w:hAnsi="Gill Sans MT"/>
        </w:rPr>
      </w:pPr>
    </w:p>
    <w:p w:rsidR="00005E25" w:rsidRDefault="00005E25" w:rsidP="004B718D">
      <w:pPr>
        <w:autoSpaceDE w:val="0"/>
        <w:autoSpaceDN w:val="0"/>
        <w:adjustRightInd w:val="0"/>
        <w:spacing w:after="0" w:line="240" w:lineRule="auto"/>
        <w:rPr>
          <w:rFonts w:ascii="Gill Sans MT" w:hAnsi="Gill Sans MT"/>
        </w:rPr>
      </w:pPr>
    </w:p>
    <w:p w:rsidR="00005E25" w:rsidRPr="00005E25" w:rsidRDefault="00005E25" w:rsidP="00005E25">
      <w:pPr>
        <w:pStyle w:val="BodyText"/>
        <w:rPr>
          <w:b/>
        </w:rPr>
      </w:pPr>
      <w:proofErr w:type="gramStart"/>
      <w:r w:rsidRPr="00005E25">
        <w:rPr>
          <w:b/>
        </w:rPr>
        <w:t>KPI AES9.</w:t>
      </w:r>
      <w:proofErr w:type="gramEnd"/>
      <w:r w:rsidRPr="00005E25">
        <w:rPr>
          <w:b/>
        </w:rPr>
        <w:t xml:space="preserve"> Hospital initiated </w:t>
      </w:r>
      <w:proofErr w:type="gramStart"/>
      <w:r w:rsidRPr="00005E25">
        <w:rPr>
          <w:b/>
        </w:rPr>
        <w:t>postponements  (</w:t>
      </w:r>
      <w:proofErr w:type="gramEnd"/>
      <w:r w:rsidRPr="00005E25">
        <w:rPr>
          <w:b/>
        </w:rPr>
        <w:t>HIPs)</w:t>
      </w:r>
    </w:p>
    <w:p w:rsidR="00005E25" w:rsidRPr="00005E25" w:rsidRDefault="00005E25" w:rsidP="00005E25">
      <w:pPr>
        <w:pStyle w:val="BodyText"/>
        <w:rPr>
          <w:b/>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AES8. Category 3 treat in turn rates"/>
      </w:tblPr>
      <w:tblGrid>
        <w:gridCol w:w="2147"/>
        <w:gridCol w:w="2536"/>
        <w:gridCol w:w="2410"/>
        <w:gridCol w:w="2126"/>
      </w:tblGrid>
      <w:tr w:rsidR="00005E25" w:rsidRPr="00092A97" w:rsidTr="00BA0546">
        <w:trPr>
          <w:trHeight w:hRule="exact" w:val="548"/>
          <w:tblHeader/>
        </w:trPr>
        <w:tc>
          <w:tcPr>
            <w:tcW w:w="2147" w:type="dxa"/>
            <w:shd w:val="clear" w:color="auto" w:fill="auto"/>
          </w:tcPr>
          <w:p w:rsidR="00005E25" w:rsidRPr="000D153B" w:rsidRDefault="00005E25" w:rsidP="00BA0546">
            <w:pPr>
              <w:pStyle w:val="BodyText"/>
            </w:pPr>
            <w:r>
              <w:t>Access to Elective Surgery</w:t>
            </w:r>
          </w:p>
        </w:tc>
        <w:tc>
          <w:tcPr>
            <w:tcW w:w="2536" w:type="dxa"/>
          </w:tcPr>
          <w:p w:rsidR="00005E25" w:rsidRPr="000D153B" w:rsidRDefault="00005E25" w:rsidP="00BA0546">
            <w:pPr>
              <w:pStyle w:val="BodyText"/>
            </w:pPr>
            <w:r>
              <w:t>Dec-15</w:t>
            </w:r>
          </w:p>
        </w:tc>
        <w:tc>
          <w:tcPr>
            <w:tcW w:w="2410" w:type="dxa"/>
            <w:shd w:val="clear" w:color="auto" w:fill="auto"/>
          </w:tcPr>
          <w:p w:rsidR="00005E25" w:rsidRPr="000D153B" w:rsidRDefault="00005E25" w:rsidP="00BA0546">
            <w:pPr>
              <w:pStyle w:val="BodyText"/>
            </w:pPr>
            <w:r>
              <w:t>Jun-16</w:t>
            </w:r>
          </w:p>
        </w:tc>
        <w:tc>
          <w:tcPr>
            <w:tcW w:w="2126" w:type="dxa"/>
            <w:shd w:val="clear" w:color="auto" w:fill="auto"/>
          </w:tcPr>
          <w:p w:rsidR="00005E25" w:rsidRPr="000D153B" w:rsidRDefault="00005E25" w:rsidP="00BA0546">
            <w:pPr>
              <w:pStyle w:val="BodyText"/>
            </w:pPr>
            <w:r>
              <w:t>Comments</w:t>
            </w:r>
          </w:p>
        </w:tc>
      </w:tr>
      <w:tr w:rsidR="00005E25" w:rsidRPr="00092A97" w:rsidTr="00BA0546">
        <w:trPr>
          <w:trHeight w:hRule="exact" w:val="924"/>
        </w:trPr>
        <w:tc>
          <w:tcPr>
            <w:tcW w:w="2147" w:type="dxa"/>
            <w:shd w:val="clear" w:color="auto" w:fill="auto"/>
          </w:tcPr>
          <w:p w:rsidR="00005E25" w:rsidRPr="000D153B" w:rsidRDefault="00005E25" w:rsidP="00BA0546">
            <w:pPr>
              <w:pStyle w:val="BodyText"/>
            </w:pPr>
            <w:r>
              <w:t>Target (six monthly)</w:t>
            </w:r>
          </w:p>
        </w:tc>
        <w:tc>
          <w:tcPr>
            <w:tcW w:w="2536" w:type="dxa"/>
          </w:tcPr>
          <w:p w:rsidR="00005E25" w:rsidRPr="000D153B" w:rsidRDefault="00005E25" w:rsidP="00BA0546">
            <w:pPr>
              <w:pStyle w:val="BodyText"/>
            </w:pPr>
            <w:r>
              <w:t>14.7%</w:t>
            </w:r>
          </w:p>
        </w:tc>
        <w:tc>
          <w:tcPr>
            <w:tcW w:w="2410" w:type="dxa"/>
            <w:shd w:val="clear" w:color="auto" w:fill="auto"/>
          </w:tcPr>
          <w:p w:rsidR="00005E25" w:rsidRPr="000D153B" w:rsidRDefault="00005E25" w:rsidP="00BA0546">
            <w:pPr>
              <w:pStyle w:val="BodyText"/>
            </w:pPr>
            <w:r>
              <w:t>12.6%</w:t>
            </w:r>
          </w:p>
        </w:tc>
        <w:tc>
          <w:tcPr>
            <w:tcW w:w="2126" w:type="dxa"/>
            <w:shd w:val="clear" w:color="auto" w:fill="auto"/>
          </w:tcPr>
          <w:p w:rsidR="00005E25" w:rsidRPr="000D153B" w:rsidRDefault="00005E25" w:rsidP="00BA0546">
            <w:pPr>
              <w:pStyle w:val="BodyText"/>
            </w:pPr>
            <w:r>
              <w:t>-</w:t>
            </w:r>
          </w:p>
        </w:tc>
      </w:tr>
      <w:tr w:rsidR="00005E25" w:rsidRPr="00092A97" w:rsidTr="00BA0546">
        <w:trPr>
          <w:trHeight w:hRule="exact" w:val="979"/>
        </w:trPr>
        <w:tc>
          <w:tcPr>
            <w:tcW w:w="2147" w:type="dxa"/>
            <w:shd w:val="clear" w:color="auto" w:fill="auto"/>
          </w:tcPr>
          <w:p w:rsidR="00005E25" w:rsidRPr="000D153B" w:rsidRDefault="00005E25" w:rsidP="00BA0546">
            <w:pPr>
              <w:pStyle w:val="BodyText"/>
            </w:pPr>
            <w:r>
              <w:t>Result (LIVE)</w:t>
            </w:r>
          </w:p>
        </w:tc>
        <w:tc>
          <w:tcPr>
            <w:tcW w:w="2536" w:type="dxa"/>
          </w:tcPr>
          <w:p w:rsidR="00005E25" w:rsidRPr="000D153B" w:rsidRDefault="00005E25" w:rsidP="00BA0546">
            <w:pPr>
              <w:pStyle w:val="BodyText"/>
            </w:pPr>
            <w:r>
              <w:t>12.3%</w:t>
            </w:r>
          </w:p>
        </w:tc>
        <w:tc>
          <w:tcPr>
            <w:tcW w:w="2410" w:type="dxa"/>
            <w:shd w:val="clear" w:color="auto" w:fill="auto"/>
          </w:tcPr>
          <w:p w:rsidR="00005E25" w:rsidRPr="000D153B" w:rsidRDefault="00005E25" w:rsidP="00BA0546">
            <w:pPr>
              <w:pStyle w:val="BodyText"/>
            </w:pPr>
            <w:r>
              <w:t>9.0%</w:t>
            </w:r>
          </w:p>
        </w:tc>
        <w:tc>
          <w:tcPr>
            <w:tcW w:w="2126" w:type="dxa"/>
            <w:shd w:val="clear" w:color="auto" w:fill="auto"/>
          </w:tcPr>
          <w:p w:rsidR="00005E25" w:rsidRPr="000D153B" w:rsidRDefault="00005E25" w:rsidP="00005E25">
            <w:pPr>
              <w:pStyle w:val="BodyText"/>
            </w:pPr>
            <w:r>
              <w:t>Target achieved</w:t>
            </w:r>
          </w:p>
        </w:tc>
      </w:tr>
    </w:tbl>
    <w:p w:rsidR="002C6E82" w:rsidRDefault="002C6E82" w:rsidP="004B718D">
      <w:pPr>
        <w:autoSpaceDE w:val="0"/>
        <w:autoSpaceDN w:val="0"/>
        <w:adjustRightInd w:val="0"/>
        <w:spacing w:after="0" w:line="240" w:lineRule="auto"/>
        <w:rPr>
          <w:rFonts w:ascii="Gill Sans MT" w:hAnsi="Gill Sans MT"/>
        </w:rPr>
      </w:pPr>
    </w:p>
    <w:p w:rsidR="00005E25" w:rsidRDefault="00005E25" w:rsidP="00005E25">
      <w:pPr>
        <w:pStyle w:val="BodyText"/>
        <w:rPr>
          <w:b/>
        </w:rPr>
      </w:pPr>
    </w:p>
    <w:p w:rsidR="00005E25" w:rsidRDefault="00005E25" w:rsidP="00005E25">
      <w:pPr>
        <w:pStyle w:val="BodyText"/>
        <w:rPr>
          <w:b/>
        </w:rPr>
      </w:pPr>
      <w:proofErr w:type="gramStart"/>
      <w:r w:rsidRPr="00005E25">
        <w:rPr>
          <w:b/>
        </w:rPr>
        <w:t>KPI MH1.</w:t>
      </w:r>
      <w:proofErr w:type="gramEnd"/>
      <w:r w:rsidRPr="00005E25">
        <w:rPr>
          <w:b/>
        </w:rPr>
        <w:t xml:space="preserve"> 28 day Re-admission rate</w:t>
      </w:r>
    </w:p>
    <w:p w:rsidR="003D06BC" w:rsidRPr="003D06BC" w:rsidRDefault="003D06BC" w:rsidP="00005E25">
      <w:pPr>
        <w:pStyle w:val="BodyText"/>
      </w:pPr>
      <w:r w:rsidRPr="003D06BC">
        <w:t>Target (quarterly</w:t>
      </w:r>
      <w:proofErr w:type="gramStart"/>
      <w:r w:rsidRPr="003D06BC">
        <w:t>):</w:t>
      </w:r>
      <w:proofErr w:type="gramEnd"/>
      <w:r w:rsidRPr="003D06BC">
        <w:t xml:space="preserve"> &lt;/=13.0% each quarter</w:t>
      </w:r>
    </w:p>
    <w:p w:rsidR="00005E25" w:rsidRDefault="00005E25" w:rsidP="004B718D">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MH1. 28 day Re-admission rate"/>
      </w:tblPr>
      <w:tblGrid>
        <w:gridCol w:w="2147"/>
        <w:gridCol w:w="1265"/>
        <w:gridCol w:w="1271"/>
        <w:gridCol w:w="1134"/>
        <w:gridCol w:w="1276"/>
        <w:gridCol w:w="2126"/>
      </w:tblGrid>
      <w:tr w:rsidR="00005E25" w:rsidRPr="00092A97" w:rsidTr="00BA0546">
        <w:trPr>
          <w:trHeight w:hRule="exact" w:val="548"/>
          <w:tblHeader/>
        </w:trPr>
        <w:tc>
          <w:tcPr>
            <w:tcW w:w="2147" w:type="dxa"/>
            <w:shd w:val="clear" w:color="auto" w:fill="auto"/>
          </w:tcPr>
          <w:p w:rsidR="00005E25" w:rsidRPr="000D153B" w:rsidRDefault="003D06BC" w:rsidP="00BA0546">
            <w:pPr>
              <w:pStyle w:val="BodyText"/>
            </w:pPr>
            <w:r>
              <w:t>Mental Health Service</w:t>
            </w:r>
          </w:p>
        </w:tc>
        <w:tc>
          <w:tcPr>
            <w:tcW w:w="1265" w:type="dxa"/>
            <w:shd w:val="clear" w:color="auto" w:fill="auto"/>
          </w:tcPr>
          <w:p w:rsidR="00005E25" w:rsidRPr="000D153B" w:rsidRDefault="00005E25"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005E25" w:rsidRPr="000D153B" w:rsidRDefault="00005E25"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005E25" w:rsidRPr="000D153B" w:rsidRDefault="00005E25" w:rsidP="00BA0546">
            <w:pPr>
              <w:pStyle w:val="BodyText"/>
            </w:pPr>
            <w:r w:rsidRPr="000D153B">
              <w:t>3</w:t>
            </w:r>
            <w:r w:rsidRPr="000D153B">
              <w:rPr>
                <w:vertAlign w:val="superscript"/>
              </w:rPr>
              <w:t xml:space="preserve">rd </w:t>
            </w:r>
            <w:r w:rsidRPr="000D153B">
              <w:t>Quarter</w:t>
            </w:r>
          </w:p>
        </w:tc>
        <w:tc>
          <w:tcPr>
            <w:tcW w:w="1276" w:type="dxa"/>
          </w:tcPr>
          <w:p w:rsidR="00005E25" w:rsidRPr="000D153B" w:rsidRDefault="00005E25"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005E25" w:rsidRPr="000D153B" w:rsidRDefault="00005E25" w:rsidP="00BA0546">
            <w:pPr>
              <w:pStyle w:val="BodyText"/>
            </w:pPr>
            <w:r w:rsidRPr="000D153B">
              <w:t>Comments</w:t>
            </w:r>
          </w:p>
        </w:tc>
      </w:tr>
      <w:tr w:rsidR="00005E25" w:rsidRPr="00092A97" w:rsidTr="00BA0546">
        <w:trPr>
          <w:trHeight w:hRule="exact" w:val="979"/>
        </w:trPr>
        <w:tc>
          <w:tcPr>
            <w:tcW w:w="2147" w:type="dxa"/>
            <w:shd w:val="clear" w:color="auto" w:fill="auto"/>
          </w:tcPr>
          <w:p w:rsidR="00005E25" w:rsidRPr="000D153B" w:rsidRDefault="00005E25" w:rsidP="003D06BC">
            <w:pPr>
              <w:pStyle w:val="BodyText"/>
            </w:pPr>
            <w:r>
              <w:t xml:space="preserve">Result </w:t>
            </w:r>
          </w:p>
        </w:tc>
        <w:tc>
          <w:tcPr>
            <w:tcW w:w="1265" w:type="dxa"/>
            <w:shd w:val="clear" w:color="auto" w:fill="auto"/>
          </w:tcPr>
          <w:p w:rsidR="00005E25" w:rsidRPr="000D153B" w:rsidRDefault="003D06BC" w:rsidP="003D06BC">
            <w:pPr>
              <w:pStyle w:val="BodyText"/>
            </w:pPr>
            <w:r>
              <w:t>13.3%</w:t>
            </w:r>
          </w:p>
        </w:tc>
        <w:tc>
          <w:tcPr>
            <w:tcW w:w="1271" w:type="dxa"/>
            <w:shd w:val="clear" w:color="auto" w:fill="auto"/>
          </w:tcPr>
          <w:p w:rsidR="00005E25" w:rsidRPr="000D153B" w:rsidRDefault="003D06BC" w:rsidP="00BA0546">
            <w:pPr>
              <w:pStyle w:val="BodyText"/>
            </w:pPr>
            <w:r>
              <w:t>12.7%</w:t>
            </w:r>
          </w:p>
        </w:tc>
        <w:tc>
          <w:tcPr>
            <w:tcW w:w="1134" w:type="dxa"/>
            <w:shd w:val="clear" w:color="auto" w:fill="auto"/>
          </w:tcPr>
          <w:p w:rsidR="00005E25" w:rsidRPr="000D153B" w:rsidRDefault="003D06BC" w:rsidP="00BA0546">
            <w:pPr>
              <w:pStyle w:val="BodyText"/>
            </w:pPr>
            <w:r>
              <w:t>14.8%</w:t>
            </w:r>
          </w:p>
        </w:tc>
        <w:tc>
          <w:tcPr>
            <w:tcW w:w="1276" w:type="dxa"/>
          </w:tcPr>
          <w:p w:rsidR="00005E25" w:rsidRPr="000D153B" w:rsidRDefault="003D06BC" w:rsidP="00BA0546">
            <w:pPr>
              <w:pStyle w:val="BodyText"/>
            </w:pPr>
            <w:r>
              <w:t>12.6%</w:t>
            </w:r>
          </w:p>
        </w:tc>
        <w:tc>
          <w:tcPr>
            <w:tcW w:w="2126" w:type="dxa"/>
            <w:shd w:val="clear" w:color="auto" w:fill="auto"/>
          </w:tcPr>
          <w:p w:rsidR="00005E25" w:rsidRPr="000D153B" w:rsidRDefault="003D06BC" w:rsidP="00BA0546">
            <w:pPr>
              <w:pStyle w:val="BodyText"/>
            </w:pPr>
            <w:r>
              <w:t>Target achieved in 3 of 4 quarters</w:t>
            </w:r>
          </w:p>
        </w:tc>
      </w:tr>
    </w:tbl>
    <w:p w:rsidR="00005E25" w:rsidRDefault="00005E25" w:rsidP="004B718D">
      <w:pPr>
        <w:autoSpaceDE w:val="0"/>
        <w:autoSpaceDN w:val="0"/>
        <w:adjustRightInd w:val="0"/>
        <w:spacing w:after="0" w:line="240" w:lineRule="auto"/>
        <w:rPr>
          <w:rFonts w:ascii="Gill Sans MT" w:hAnsi="Gill Sans MT"/>
        </w:rPr>
      </w:pPr>
    </w:p>
    <w:p w:rsidR="003D06BC" w:rsidRPr="003D06BC" w:rsidRDefault="003D06BC" w:rsidP="003D06BC">
      <w:pPr>
        <w:pStyle w:val="BodyText"/>
        <w:rPr>
          <w:b/>
        </w:rPr>
      </w:pPr>
      <w:proofErr w:type="gramStart"/>
      <w:r w:rsidRPr="003D06BC">
        <w:rPr>
          <w:b/>
        </w:rPr>
        <w:t>KPI MH2.</w:t>
      </w:r>
      <w:proofErr w:type="gramEnd"/>
      <w:r w:rsidRPr="003D06BC">
        <w:rPr>
          <w:b/>
        </w:rPr>
        <w:t xml:space="preserve"> Acute 7 day post discharge community care</w:t>
      </w:r>
    </w:p>
    <w:p w:rsidR="003D06BC" w:rsidRPr="003D06BC" w:rsidRDefault="003D06BC" w:rsidP="003D06BC">
      <w:pPr>
        <w:pStyle w:val="BodyText"/>
      </w:pPr>
      <w:r w:rsidRPr="003D06BC">
        <w:t xml:space="preserve">Target (quarterly): </w:t>
      </w:r>
      <w:r>
        <w:t>75% each quarter</w:t>
      </w:r>
    </w:p>
    <w:p w:rsidR="003D06BC" w:rsidRDefault="003D06BC" w:rsidP="003D06BC">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MH1. 28 day Re-admission rate"/>
      </w:tblPr>
      <w:tblGrid>
        <w:gridCol w:w="2147"/>
        <w:gridCol w:w="1265"/>
        <w:gridCol w:w="1271"/>
        <w:gridCol w:w="1134"/>
        <w:gridCol w:w="1276"/>
        <w:gridCol w:w="2126"/>
      </w:tblGrid>
      <w:tr w:rsidR="003D06BC" w:rsidRPr="00092A97" w:rsidTr="00BA0546">
        <w:trPr>
          <w:trHeight w:hRule="exact" w:val="548"/>
          <w:tblHeader/>
        </w:trPr>
        <w:tc>
          <w:tcPr>
            <w:tcW w:w="2147" w:type="dxa"/>
            <w:shd w:val="clear" w:color="auto" w:fill="auto"/>
          </w:tcPr>
          <w:p w:rsidR="003D06BC" w:rsidRPr="000D153B" w:rsidRDefault="003D06BC" w:rsidP="00BA0546">
            <w:pPr>
              <w:pStyle w:val="BodyText"/>
            </w:pPr>
            <w:r>
              <w:t>Mental Health Service</w:t>
            </w:r>
          </w:p>
        </w:tc>
        <w:tc>
          <w:tcPr>
            <w:tcW w:w="1265" w:type="dxa"/>
            <w:shd w:val="clear" w:color="auto" w:fill="auto"/>
          </w:tcPr>
          <w:p w:rsidR="003D06BC" w:rsidRPr="000D153B" w:rsidRDefault="003D06BC"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3D06BC" w:rsidRPr="000D153B" w:rsidRDefault="003D06BC"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3D06BC" w:rsidRPr="000D153B" w:rsidRDefault="003D06BC" w:rsidP="00BA0546">
            <w:pPr>
              <w:pStyle w:val="BodyText"/>
            </w:pPr>
            <w:r w:rsidRPr="000D153B">
              <w:t>3</w:t>
            </w:r>
            <w:r w:rsidRPr="000D153B">
              <w:rPr>
                <w:vertAlign w:val="superscript"/>
              </w:rPr>
              <w:t xml:space="preserve">rd </w:t>
            </w:r>
            <w:r w:rsidRPr="000D153B">
              <w:t>Quarter</w:t>
            </w:r>
          </w:p>
        </w:tc>
        <w:tc>
          <w:tcPr>
            <w:tcW w:w="1276" w:type="dxa"/>
          </w:tcPr>
          <w:p w:rsidR="003D06BC" w:rsidRPr="000D153B" w:rsidRDefault="003D06BC"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3D06BC" w:rsidRPr="000D153B" w:rsidRDefault="003D06BC" w:rsidP="00BA0546">
            <w:pPr>
              <w:pStyle w:val="BodyText"/>
            </w:pPr>
            <w:r w:rsidRPr="000D153B">
              <w:t>Comments</w:t>
            </w:r>
          </w:p>
        </w:tc>
      </w:tr>
      <w:tr w:rsidR="003D06BC" w:rsidRPr="00092A97" w:rsidTr="00BA0546">
        <w:trPr>
          <w:trHeight w:hRule="exact" w:val="979"/>
        </w:trPr>
        <w:tc>
          <w:tcPr>
            <w:tcW w:w="2147" w:type="dxa"/>
            <w:shd w:val="clear" w:color="auto" w:fill="auto"/>
          </w:tcPr>
          <w:p w:rsidR="003D06BC" w:rsidRPr="000D153B" w:rsidRDefault="003D06BC" w:rsidP="00BA0546">
            <w:pPr>
              <w:pStyle w:val="BodyText"/>
            </w:pPr>
            <w:r>
              <w:t xml:space="preserve">Result </w:t>
            </w:r>
          </w:p>
        </w:tc>
        <w:tc>
          <w:tcPr>
            <w:tcW w:w="1265" w:type="dxa"/>
            <w:shd w:val="clear" w:color="auto" w:fill="auto"/>
          </w:tcPr>
          <w:p w:rsidR="003D06BC" w:rsidRPr="000D153B" w:rsidRDefault="003D06BC" w:rsidP="00BA0546">
            <w:pPr>
              <w:pStyle w:val="BodyText"/>
            </w:pPr>
            <w:r>
              <w:t>80%</w:t>
            </w:r>
          </w:p>
        </w:tc>
        <w:tc>
          <w:tcPr>
            <w:tcW w:w="1271" w:type="dxa"/>
            <w:shd w:val="clear" w:color="auto" w:fill="auto"/>
          </w:tcPr>
          <w:p w:rsidR="003D06BC" w:rsidRPr="000D153B" w:rsidRDefault="003D06BC" w:rsidP="00BA0546">
            <w:pPr>
              <w:pStyle w:val="BodyText"/>
            </w:pPr>
            <w:r>
              <w:t>82.1%</w:t>
            </w:r>
          </w:p>
        </w:tc>
        <w:tc>
          <w:tcPr>
            <w:tcW w:w="1134" w:type="dxa"/>
            <w:shd w:val="clear" w:color="auto" w:fill="auto"/>
          </w:tcPr>
          <w:p w:rsidR="003D06BC" w:rsidRPr="000D153B" w:rsidRDefault="003D06BC" w:rsidP="00BA0546">
            <w:pPr>
              <w:pStyle w:val="BodyText"/>
            </w:pPr>
            <w:r>
              <w:t>74.4%</w:t>
            </w:r>
          </w:p>
        </w:tc>
        <w:tc>
          <w:tcPr>
            <w:tcW w:w="1276" w:type="dxa"/>
          </w:tcPr>
          <w:p w:rsidR="003D06BC" w:rsidRPr="000D153B" w:rsidRDefault="003D06BC" w:rsidP="00BA0546">
            <w:pPr>
              <w:pStyle w:val="BodyText"/>
            </w:pPr>
            <w:r>
              <w:t>79.6%</w:t>
            </w:r>
          </w:p>
        </w:tc>
        <w:tc>
          <w:tcPr>
            <w:tcW w:w="2126" w:type="dxa"/>
            <w:shd w:val="clear" w:color="auto" w:fill="auto"/>
          </w:tcPr>
          <w:p w:rsidR="003D06BC" w:rsidRPr="000D153B" w:rsidRDefault="003D06BC" w:rsidP="00BA0546">
            <w:pPr>
              <w:pStyle w:val="BodyText"/>
            </w:pPr>
            <w:r>
              <w:t>Target achieved in 3 of 4 quarters</w:t>
            </w:r>
          </w:p>
        </w:tc>
      </w:tr>
    </w:tbl>
    <w:p w:rsidR="003D06BC" w:rsidRDefault="003D06BC" w:rsidP="004B718D">
      <w:pPr>
        <w:autoSpaceDE w:val="0"/>
        <w:autoSpaceDN w:val="0"/>
        <w:adjustRightInd w:val="0"/>
        <w:spacing w:after="0" w:line="240" w:lineRule="auto"/>
        <w:rPr>
          <w:rFonts w:ascii="Gill Sans MT" w:hAnsi="Gill Sans MT"/>
        </w:rPr>
      </w:pPr>
    </w:p>
    <w:p w:rsidR="003D06BC" w:rsidRDefault="003D06BC">
      <w:pPr>
        <w:rPr>
          <w:rFonts w:ascii="Gill Sans MT" w:hAnsi="Gill Sans MT"/>
        </w:rPr>
      </w:pPr>
      <w:r>
        <w:rPr>
          <w:rFonts w:ascii="Gill Sans MT" w:hAnsi="Gill Sans MT"/>
        </w:rPr>
        <w:br w:type="page"/>
      </w:r>
    </w:p>
    <w:p w:rsidR="003D06BC" w:rsidRPr="003D06BC" w:rsidRDefault="003D06BC" w:rsidP="003D06BC">
      <w:pPr>
        <w:pStyle w:val="BodyText"/>
        <w:rPr>
          <w:b/>
        </w:rPr>
      </w:pPr>
      <w:proofErr w:type="gramStart"/>
      <w:r w:rsidRPr="003D06BC">
        <w:rPr>
          <w:b/>
        </w:rPr>
        <w:lastRenderedPageBreak/>
        <w:t>KPI MH3.</w:t>
      </w:r>
      <w:proofErr w:type="gramEnd"/>
      <w:r w:rsidRPr="003D06BC">
        <w:rPr>
          <w:b/>
        </w:rPr>
        <w:t xml:space="preserve"> Seclusion Rates</w:t>
      </w:r>
    </w:p>
    <w:p w:rsidR="003D06BC" w:rsidRPr="003D06BC" w:rsidRDefault="003D06BC" w:rsidP="003D06BC">
      <w:pPr>
        <w:pStyle w:val="BodyText"/>
      </w:pPr>
      <w:r w:rsidRPr="003D06BC">
        <w:t>Target (quarterly</w:t>
      </w:r>
      <w:proofErr w:type="gramStart"/>
      <w:r w:rsidRPr="003D06BC">
        <w:t>):</w:t>
      </w:r>
      <w:proofErr w:type="gramEnd"/>
      <w:r w:rsidRPr="003D06BC">
        <w:t xml:space="preserve"> </w:t>
      </w:r>
      <w:r>
        <w:t>&lt;8 per 1000 patient days YTD</w:t>
      </w:r>
    </w:p>
    <w:p w:rsidR="003D06BC" w:rsidRDefault="003D06BC" w:rsidP="003D06BC">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MH3. Seclusion Rates"/>
      </w:tblPr>
      <w:tblGrid>
        <w:gridCol w:w="2147"/>
        <w:gridCol w:w="1265"/>
        <w:gridCol w:w="1271"/>
        <w:gridCol w:w="1134"/>
        <w:gridCol w:w="1276"/>
        <w:gridCol w:w="2126"/>
      </w:tblGrid>
      <w:tr w:rsidR="003D06BC" w:rsidRPr="00092A97" w:rsidTr="00BA0546">
        <w:trPr>
          <w:trHeight w:hRule="exact" w:val="548"/>
          <w:tblHeader/>
        </w:trPr>
        <w:tc>
          <w:tcPr>
            <w:tcW w:w="2147" w:type="dxa"/>
            <w:shd w:val="clear" w:color="auto" w:fill="auto"/>
          </w:tcPr>
          <w:p w:rsidR="003D06BC" w:rsidRPr="000D153B" w:rsidRDefault="003D06BC" w:rsidP="00BA0546">
            <w:pPr>
              <w:pStyle w:val="BodyText"/>
            </w:pPr>
            <w:r>
              <w:t>Mental Health Service</w:t>
            </w:r>
          </w:p>
        </w:tc>
        <w:tc>
          <w:tcPr>
            <w:tcW w:w="1265" w:type="dxa"/>
            <w:shd w:val="clear" w:color="auto" w:fill="auto"/>
          </w:tcPr>
          <w:p w:rsidR="003D06BC" w:rsidRPr="000D153B" w:rsidRDefault="003D06BC"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3D06BC" w:rsidRPr="000D153B" w:rsidRDefault="003D06BC"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3D06BC" w:rsidRPr="000D153B" w:rsidRDefault="003D06BC" w:rsidP="00BA0546">
            <w:pPr>
              <w:pStyle w:val="BodyText"/>
            </w:pPr>
            <w:r w:rsidRPr="000D153B">
              <w:t>3</w:t>
            </w:r>
            <w:r w:rsidRPr="000D153B">
              <w:rPr>
                <w:vertAlign w:val="superscript"/>
              </w:rPr>
              <w:t xml:space="preserve">rd </w:t>
            </w:r>
            <w:r w:rsidRPr="000D153B">
              <w:t>Quarter</w:t>
            </w:r>
          </w:p>
        </w:tc>
        <w:tc>
          <w:tcPr>
            <w:tcW w:w="1276" w:type="dxa"/>
          </w:tcPr>
          <w:p w:rsidR="003D06BC" w:rsidRPr="000D153B" w:rsidRDefault="003D06BC"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3D06BC" w:rsidRPr="000D153B" w:rsidRDefault="003D06BC" w:rsidP="00BA0546">
            <w:pPr>
              <w:pStyle w:val="BodyText"/>
            </w:pPr>
            <w:r w:rsidRPr="000D153B">
              <w:t>Comments</w:t>
            </w:r>
          </w:p>
        </w:tc>
      </w:tr>
      <w:tr w:rsidR="003D06BC" w:rsidRPr="00092A97" w:rsidTr="00BA0546">
        <w:trPr>
          <w:trHeight w:hRule="exact" w:val="979"/>
        </w:trPr>
        <w:tc>
          <w:tcPr>
            <w:tcW w:w="2147" w:type="dxa"/>
            <w:shd w:val="clear" w:color="auto" w:fill="auto"/>
          </w:tcPr>
          <w:p w:rsidR="003D06BC" w:rsidRPr="000D153B" w:rsidRDefault="003D06BC" w:rsidP="00BA0546">
            <w:pPr>
              <w:pStyle w:val="BodyText"/>
            </w:pPr>
            <w:r>
              <w:t xml:space="preserve">Result </w:t>
            </w:r>
          </w:p>
        </w:tc>
        <w:tc>
          <w:tcPr>
            <w:tcW w:w="1265" w:type="dxa"/>
            <w:shd w:val="clear" w:color="auto" w:fill="auto"/>
          </w:tcPr>
          <w:p w:rsidR="003D06BC" w:rsidRPr="000D153B" w:rsidRDefault="003D06BC" w:rsidP="00BA0546">
            <w:pPr>
              <w:pStyle w:val="BodyText"/>
            </w:pPr>
            <w:r>
              <w:t>14.4</w:t>
            </w:r>
          </w:p>
        </w:tc>
        <w:tc>
          <w:tcPr>
            <w:tcW w:w="1271" w:type="dxa"/>
            <w:shd w:val="clear" w:color="auto" w:fill="auto"/>
          </w:tcPr>
          <w:p w:rsidR="003D06BC" w:rsidRPr="000D153B" w:rsidRDefault="003D06BC" w:rsidP="00BA0546">
            <w:pPr>
              <w:pStyle w:val="BodyText"/>
            </w:pPr>
            <w:r>
              <w:t>11.0</w:t>
            </w:r>
          </w:p>
        </w:tc>
        <w:tc>
          <w:tcPr>
            <w:tcW w:w="1134" w:type="dxa"/>
            <w:shd w:val="clear" w:color="auto" w:fill="auto"/>
          </w:tcPr>
          <w:p w:rsidR="003D06BC" w:rsidRPr="000D153B" w:rsidRDefault="003D06BC" w:rsidP="00BA0546">
            <w:pPr>
              <w:pStyle w:val="BodyText"/>
            </w:pPr>
            <w:r>
              <w:t>11.0</w:t>
            </w:r>
          </w:p>
        </w:tc>
        <w:tc>
          <w:tcPr>
            <w:tcW w:w="1276" w:type="dxa"/>
          </w:tcPr>
          <w:p w:rsidR="003D06BC" w:rsidRPr="000D153B" w:rsidRDefault="003D06BC" w:rsidP="00BA0546">
            <w:pPr>
              <w:pStyle w:val="BodyText"/>
            </w:pPr>
            <w:r>
              <w:t>17.5</w:t>
            </w:r>
          </w:p>
        </w:tc>
        <w:tc>
          <w:tcPr>
            <w:tcW w:w="2126" w:type="dxa"/>
            <w:shd w:val="clear" w:color="auto" w:fill="auto"/>
          </w:tcPr>
          <w:p w:rsidR="003D06BC" w:rsidRPr="000D153B" w:rsidRDefault="003D06BC" w:rsidP="00BA0546">
            <w:pPr>
              <w:pStyle w:val="BodyText"/>
            </w:pPr>
            <w:r>
              <w:t>Target not achieved in all 4 quarters</w:t>
            </w:r>
          </w:p>
        </w:tc>
      </w:tr>
    </w:tbl>
    <w:p w:rsidR="003D06BC" w:rsidRDefault="003D06BC" w:rsidP="004B718D">
      <w:pPr>
        <w:autoSpaceDE w:val="0"/>
        <w:autoSpaceDN w:val="0"/>
        <w:adjustRightInd w:val="0"/>
        <w:spacing w:after="0" w:line="240" w:lineRule="auto"/>
        <w:rPr>
          <w:rFonts w:ascii="Gill Sans MT" w:hAnsi="Gill Sans MT"/>
        </w:rPr>
      </w:pPr>
    </w:p>
    <w:p w:rsidR="003D06BC" w:rsidRPr="003D06BC" w:rsidRDefault="003D06BC" w:rsidP="003D06BC">
      <w:pPr>
        <w:pStyle w:val="BodyText"/>
        <w:rPr>
          <w:b/>
        </w:rPr>
      </w:pPr>
      <w:proofErr w:type="gramStart"/>
      <w:r w:rsidRPr="003D06BC">
        <w:rPr>
          <w:b/>
        </w:rPr>
        <w:t>KPI PH1.</w:t>
      </w:r>
      <w:proofErr w:type="gramEnd"/>
      <w:r w:rsidRPr="003D06BC">
        <w:rPr>
          <w:b/>
        </w:rPr>
        <w:t xml:space="preserve"> Aged Care Assessment Team (ACAT) – Priority Category one clients seen ‘on time’ in all settings</w:t>
      </w:r>
    </w:p>
    <w:p w:rsidR="003D06BC" w:rsidRPr="003D06BC" w:rsidRDefault="003D06BC" w:rsidP="00BB590F">
      <w:pPr>
        <w:pStyle w:val="BodyText"/>
        <w:tabs>
          <w:tab w:val="left" w:pos="3180"/>
        </w:tabs>
      </w:pPr>
      <w:r w:rsidRPr="003D06BC">
        <w:t>Target (quarterly</w:t>
      </w:r>
      <w:proofErr w:type="gramStart"/>
      <w:r w:rsidRPr="003D06BC">
        <w:t>):</w:t>
      </w:r>
      <w:proofErr w:type="gramEnd"/>
      <w:r w:rsidRPr="003D06BC">
        <w:t xml:space="preserve"> </w:t>
      </w:r>
      <w:r>
        <w:t>&gt;85% YTD</w:t>
      </w:r>
      <w:r w:rsidR="00BB590F">
        <w:tab/>
      </w:r>
    </w:p>
    <w:p w:rsidR="003D06BC" w:rsidRDefault="003D06BC" w:rsidP="003D06BC">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PH1. Aged Care Assessment Team (ACAT) – Priority Category one clients seen ‘on time’ in all settings"/>
        <w:tblDescription w:val="Target (quarterly): &gt;85% YTD&#10;"/>
      </w:tblPr>
      <w:tblGrid>
        <w:gridCol w:w="2147"/>
        <w:gridCol w:w="1265"/>
        <w:gridCol w:w="1271"/>
        <w:gridCol w:w="1134"/>
        <w:gridCol w:w="1276"/>
        <w:gridCol w:w="2126"/>
      </w:tblGrid>
      <w:tr w:rsidR="003D06BC" w:rsidRPr="00092A97" w:rsidTr="00BA0546">
        <w:trPr>
          <w:trHeight w:hRule="exact" w:val="548"/>
          <w:tblHeader/>
        </w:trPr>
        <w:tc>
          <w:tcPr>
            <w:tcW w:w="2147" w:type="dxa"/>
            <w:shd w:val="clear" w:color="auto" w:fill="auto"/>
          </w:tcPr>
          <w:p w:rsidR="003D06BC" w:rsidRPr="000D153B" w:rsidRDefault="00C567DE" w:rsidP="00BA0546">
            <w:pPr>
              <w:pStyle w:val="BodyText"/>
            </w:pPr>
            <w:r>
              <w:t>Primary Health</w:t>
            </w:r>
          </w:p>
        </w:tc>
        <w:tc>
          <w:tcPr>
            <w:tcW w:w="1265" w:type="dxa"/>
            <w:shd w:val="clear" w:color="auto" w:fill="auto"/>
          </w:tcPr>
          <w:p w:rsidR="003D06BC" w:rsidRPr="000D153B" w:rsidRDefault="003D06BC"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3D06BC" w:rsidRPr="000D153B" w:rsidRDefault="003D06BC"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3D06BC" w:rsidRPr="000D153B" w:rsidRDefault="003D06BC" w:rsidP="00BA0546">
            <w:pPr>
              <w:pStyle w:val="BodyText"/>
            </w:pPr>
            <w:r w:rsidRPr="000D153B">
              <w:t>3</w:t>
            </w:r>
            <w:r w:rsidRPr="000D153B">
              <w:rPr>
                <w:vertAlign w:val="superscript"/>
              </w:rPr>
              <w:t xml:space="preserve">rd </w:t>
            </w:r>
            <w:r w:rsidRPr="000D153B">
              <w:t>Quarter</w:t>
            </w:r>
          </w:p>
        </w:tc>
        <w:tc>
          <w:tcPr>
            <w:tcW w:w="1276" w:type="dxa"/>
          </w:tcPr>
          <w:p w:rsidR="003D06BC" w:rsidRPr="000D153B" w:rsidRDefault="003D06BC"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3D06BC" w:rsidRPr="000D153B" w:rsidRDefault="003D06BC" w:rsidP="00BA0546">
            <w:pPr>
              <w:pStyle w:val="BodyText"/>
            </w:pPr>
            <w:r w:rsidRPr="000D153B">
              <w:t>Comments</w:t>
            </w:r>
          </w:p>
        </w:tc>
      </w:tr>
      <w:tr w:rsidR="003D06BC" w:rsidRPr="00092A97" w:rsidTr="00BA0546">
        <w:trPr>
          <w:trHeight w:hRule="exact" w:val="979"/>
        </w:trPr>
        <w:tc>
          <w:tcPr>
            <w:tcW w:w="2147" w:type="dxa"/>
            <w:shd w:val="clear" w:color="auto" w:fill="auto"/>
          </w:tcPr>
          <w:p w:rsidR="003D06BC" w:rsidRPr="000D153B" w:rsidRDefault="003D06BC" w:rsidP="00BA0546">
            <w:pPr>
              <w:pStyle w:val="BodyText"/>
            </w:pPr>
            <w:r>
              <w:t xml:space="preserve">Result </w:t>
            </w:r>
          </w:p>
        </w:tc>
        <w:tc>
          <w:tcPr>
            <w:tcW w:w="1265" w:type="dxa"/>
            <w:shd w:val="clear" w:color="auto" w:fill="auto"/>
          </w:tcPr>
          <w:p w:rsidR="003D06BC" w:rsidRPr="000D153B" w:rsidRDefault="003D06BC" w:rsidP="00BA0546">
            <w:pPr>
              <w:pStyle w:val="BodyText"/>
            </w:pPr>
            <w:r>
              <w:t>100%</w:t>
            </w:r>
          </w:p>
        </w:tc>
        <w:tc>
          <w:tcPr>
            <w:tcW w:w="1271" w:type="dxa"/>
            <w:shd w:val="clear" w:color="auto" w:fill="auto"/>
          </w:tcPr>
          <w:p w:rsidR="003D06BC" w:rsidRPr="000D153B" w:rsidRDefault="003D06BC" w:rsidP="00BA0546">
            <w:pPr>
              <w:pStyle w:val="BodyText"/>
            </w:pPr>
            <w:r>
              <w:t>100%</w:t>
            </w:r>
          </w:p>
        </w:tc>
        <w:tc>
          <w:tcPr>
            <w:tcW w:w="1134" w:type="dxa"/>
            <w:shd w:val="clear" w:color="auto" w:fill="auto"/>
          </w:tcPr>
          <w:p w:rsidR="003D06BC" w:rsidRPr="000D153B" w:rsidRDefault="003D06BC" w:rsidP="00BA0546">
            <w:pPr>
              <w:pStyle w:val="BodyText"/>
            </w:pPr>
            <w:r>
              <w:t>100%</w:t>
            </w:r>
          </w:p>
        </w:tc>
        <w:tc>
          <w:tcPr>
            <w:tcW w:w="1276" w:type="dxa"/>
          </w:tcPr>
          <w:p w:rsidR="003D06BC" w:rsidRPr="000D153B" w:rsidRDefault="003D06BC" w:rsidP="00BA0546">
            <w:pPr>
              <w:pStyle w:val="BodyText"/>
            </w:pPr>
            <w:r>
              <w:t>Results not yet available</w:t>
            </w:r>
          </w:p>
        </w:tc>
        <w:tc>
          <w:tcPr>
            <w:tcW w:w="2126" w:type="dxa"/>
            <w:shd w:val="clear" w:color="auto" w:fill="auto"/>
          </w:tcPr>
          <w:p w:rsidR="003D06BC" w:rsidRPr="000D153B" w:rsidRDefault="00C567DE" w:rsidP="00BA0546">
            <w:pPr>
              <w:pStyle w:val="BodyText"/>
            </w:pPr>
            <w:r>
              <w:t>-</w:t>
            </w:r>
          </w:p>
        </w:tc>
      </w:tr>
    </w:tbl>
    <w:p w:rsidR="003D06BC" w:rsidRDefault="003D06BC" w:rsidP="004B718D">
      <w:pPr>
        <w:autoSpaceDE w:val="0"/>
        <w:autoSpaceDN w:val="0"/>
        <w:adjustRightInd w:val="0"/>
        <w:spacing w:after="0" w:line="240" w:lineRule="auto"/>
        <w:rPr>
          <w:rFonts w:ascii="Gill Sans MT" w:hAnsi="Gill Sans MT"/>
        </w:rPr>
      </w:pPr>
    </w:p>
    <w:p w:rsidR="00C567DE" w:rsidRPr="00C567DE" w:rsidRDefault="00C567DE" w:rsidP="00C567DE">
      <w:pPr>
        <w:pStyle w:val="BodyText"/>
        <w:rPr>
          <w:b/>
        </w:rPr>
      </w:pPr>
      <w:proofErr w:type="gramStart"/>
      <w:r w:rsidRPr="00C567DE">
        <w:rPr>
          <w:b/>
        </w:rPr>
        <w:t>KPI PH2.</w:t>
      </w:r>
      <w:proofErr w:type="gramEnd"/>
      <w:r w:rsidRPr="00C567DE">
        <w:rPr>
          <w:b/>
        </w:rPr>
        <w:t xml:space="preserve"> Aged Care Assessment Team (ACAT) – Priority Category two clients seen ‘on time’ in all settings</w:t>
      </w:r>
    </w:p>
    <w:p w:rsidR="00C567DE" w:rsidRPr="003D06BC" w:rsidRDefault="00C567DE" w:rsidP="00C567DE">
      <w:pPr>
        <w:pStyle w:val="BodyText"/>
      </w:pPr>
      <w:r w:rsidRPr="003D06BC">
        <w:t>Target (quarterly</w:t>
      </w:r>
      <w:proofErr w:type="gramStart"/>
      <w:r w:rsidRPr="003D06BC">
        <w:t>):</w:t>
      </w:r>
      <w:proofErr w:type="gramEnd"/>
      <w:r w:rsidRPr="003D06BC">
        <w:t xml:space="preserve"> </w:t>
      </w:r>
      <w:r>
        <w:t>&gt;85% YTD</w:t>
      </w:r>
    </w:p>
    <w:p w:rsidR="00C567DE" w:rsidRDefault="00C567DE" w:rsidP="00C567DE">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PH2. Aged Care Assessment Team (ACAT) – Priority Category two clients seen ‘on time’ in all settings"/>
        <w:tblDescription w:val="Target (quartlery): &gt;85% YTD"/>
      </w:tblPr>
      <w:tblGrid>
        <w:gridCol w:w="2147"/>
        <w:gridCol w:w="1265"/>
        <w:gridCol w:w="1271"/>
        <w:gridCol w:w="1134"/>
        <w:gridCol w:w="1276"/>
        <w:gridCol w:w="2126"/>
      </w:tblGrid>
      <w:tr w:rsidR="00C567DE" w:rsidRPr="00092A97" w:rsidTr="00BA0546">
        <w:trPr>
          <w:trHeight w:hRule="exact" w:val="548"/>
          <w:tblHeader/>
        </w:trPr>
        <w:tc>
          <w:tcPr>
            <w:tcW w:w="2147" w:type="dxa"/>
            <w:shd w:val="clear" w:color="auto" w:fill="auto"/>
          </w:tcPr>
          <w:p w:rsidR="00C567DE" w:rsidRPr="000D153B" w:rsidRDefault="00C567DE" w:rsidP="00BA0546">
            <w:pPr>
              <w:pStyle w:val="BodyText"/>
            </w:pPr>
            <w:r>
              <w:t>Primary Health</w:t>
            </w:r>
          </w:p>
        </w:tc>
        <w:tc>
          <w:tcPr>
            <w:tcW w:w="1265" w:type="dxa"/>
            <w:shd w:val="clear" w:color="auto" w:fill="auto"/>
          </w:tcPr>
          <w:p w:rsidR="00C567DE" w:rsidRPr="000D153B" w:rsidRDefault="00C567DE"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C567DE" w:rsidRPr="000D153B" w:rsidRDefault="00C567DE"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C567DE" w:rsidRPr="000D153B" w:rsidRDefault="00C567DE" w:rsidP="00BA0546">
            <w:pPr>
              <w:pStyle w:val="BodyText"/>
            </w:pPr>
            <w:r w:rsidRPr="000D153B">
              <w:t>3</w:t>
            </w:r>
            <w:r w:rsidRPr="000D153B">
              <w:rPr>
                <w:vertAlign w:val="superscript"/>
              </w:rPr>
              <w:t xml:space="preserve">rd </w:t>
            </w:r>
            <w:r w:rsidRPr="000D153B">
              <w:t>Quarter</w:t>
            </w:r>
          </w:p>
        </w:tc>
        <w:tc>
          <w:tcPr>
            <w:tcW w:w="1276" w:type="dxa"/>
          </w:tcPr>
          <w:p w:rsidR="00C567DE" w:rsidRPr="000D153B" w:rsidRDefault="00C567DE"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C567DE" w:rsidRPr="000D153B" w:rsidRDefault="00C567DE" w:rsidP="00BA0546">
            <w:pPr>
              <w:pStyle w:val="BodyText"/>
            </w:pPr>
            <w:r w:rsidRPr="000D153B">
              <w:t>Comments</w:t>
            </w:r>
          </w:p>
        </w:tc>
      </w:tr>
      <w:tr w:rsidR="00C567DE" w:rsidRPr="00092A97" w:rsidTr="00BA0546">
        <w:trPr>
          <w:trHeight w:hRule="exact" w:val="979"/>
        </w:trPr>
        <w:tc>
          <w:tcPr>
            <w:tcW w:w="2147" w:type="dxa"/>
            <w:shd w:val="clear" w:color="auto" w:fill="auto"/>
          </w:tcPr>
          <w:p w:rsidR="00C567DE" w:rsidRPr="000D153B" w:rsidRDefault="00C567DE" w:rsidP="00BA0546">
            <w:pPr>
              <w:pStyle w:val="BodyText"/>
            </w:pPr>
            <w:r>
              <w:t xml:space="preserve">Result </w:t>
            </w:r>
          </w:p>
        </w:tc>
        <w:tc>
          <w:tcPr>
            <w:tcW w:w="1265" w:type="dxa"/>
            <w:shd w:val="clear" w:color="auto" w:fill="auto"/>
          </w:tcPr>
          <w:p w:rsidR="00C567DE" w:rsidRPr="000D153B" w:rsidRDefault="00C567DE" w:rsidP="00BA0546">
            <w:pPr>
              <w:pStyle w:val="BodyText"/>
            </w:pPr>
            <w:r>
              <w:t>98.7%</w:t>
            </w:r>
          </w:p>
        </w:tc>
        <w:tc>
          <w:tcPr>
            <w:tcW w:w="1271" w:type="dxa"/>
            <w:shd w:val="clear" w:color="auto" w:fill="auto"/>
          </w:tcPr>
          <w:p w:rsidR="00C567DE" w:rsidRPr="000D153B" w:rsidRDefault="00C567DE" w:rsidP="00BA0546">
            <w:pPr>
              <w:pStyle w:val="BodyText"/>
            </w:pPr>
            <w:r>
              <w:t>97.0%</w:t>
            </w:r>
          </w:p>
        </w:tc>
        <w:tc>
          <w:tcPr>
            <w:tcW w:w="1134" w:type="dxa"/>
            <w:shd w:val="clear" w:color="auto" w:fill="auto"/>
          </w:tcPr>
          <w:p w:rsidR="00C567DE" w:rsidRPr="000D153B" w:rsidRDefault="00C567DE" w:rsidP="00BA0546">
            <w:pPr>
              <w:pStyle w:val="BodyText"/>
            </w:pPr>
            <w:r>
              <w:t>95.4%</w:t>
            </w:r>
          </w:p>
        </w:tc>
        <w:tc>
          <w:tcPr>
            <w:tcW w:w="1276" w:type="dxa"/>
          </w:tcPr>
          <w:p w:rsidR="00C567DE" w:rsidRPr="000D153B" w:rsidRDefault="00C567DE" w:rsidP="00BA0546">
            <w:pPr>
              <w:pStyle w:val="BodyText"/>
            </w:pPr>
            <w:r>
              <w:t>Results not yet available</w:t>
            </w:r>
          </w:p>
        </w:tc>
        <w:tc>
          <w:tcPr>
            <w:tcW w:w="2126" w:type="dxa"/>
            <w:shd w:val="clear" w:color="auto" w:fill="auto"/>
          </w:tcPr>
          <w:p w:rsidR="00C567DE" w:rsidRPr="000D153B" w:rsidRDefault="00C567DE" w:rsidP="00BA0546">
            <w:pPr>
              <w:pStyle w:val="BodyText"/>
            </w:pPr>
            <w:r>
              <w:t>-</w:t>
            </w:r>
          </w:p>
        </w:tc>
      </w:tr>
    </w:tbl>
    <w:p w:rsidR="00C567DE" w:rsidRDefault="00C567DE" w:rsidP="004B718D">
      <w:pPr>
        <w:autoSpaceDE w:val="0"/>
        <w:autoSpaceDN w:val="0"/>
        <w:adjustRightInd w:val="0"/>
        <w:spacing w:after="0" w:line="240" w:lineRule="auto"/>
        <w:rPr>
          <w:rFonts w:ascii="Gill Sans MT" w:hAnsi="Gill Sans MT"/>
        </w:rPr>
      </w:pPr>
    </w:p>
    <w:p w:rsidR="00BB590F" w:rsidRPr="00BB590F" w:rsidRDefault="00BB590F" w:rsidP="00BB590F">
      <w:pPr>
        <w:pStyle w:val="BodyText"/>
        <w:rPr>
          <w:b/>
        </w:rPr>
      </w:pPr>
      <w:proofErr w:type="gramStart"/>
      <w:r w:rsidRPr="00BB590F">
        <w:rPr>
          <w:b/>
          <w:spacing w:val="-3"/>
        </w:rPr>
        <w:t xml:space="preserve">KPI </w:t>
      </w:r>
      <w:r w:rsidRPr="00BB590F">
        <w:rPr>
          <w:b/>
        </w:rPr>
        <w:t>PH3.</w:t>
      </w:r>
      <w:proofErr w:type="gramEnd"/>
      <w:r w:rsidRPr="00BB590F">
        <w:rPr>
          <w:b/>
        </w:rPr>
        <w:t xml:space="preserve"> </w:t>
      </w:r>
      <w:r w:rsidRPr="00BB590F">
        <w:rPr>
          <w:b/>
          <w:spacing w:val="-3"/>
        </w:rPr>
        <w:t xml:space="preserve">Aged </w:t>
      </w:r>
      <w:r w:rsidRPr="00BB590F">
        <w:rPr>
          <w:b/>
        </w:rPr>
        <w:t xml:space="preserve">Care Assessment </w:t>
      </w:r>
      <w:r w:rsidRPr="00BB590F">
        <w:rPr>
          <w:b/>
          <w:spacing w:val="-8"/>
        </w:rPr>
        <w:t xml:space="preserve">Team (ACAT) </w:t>
      </w:r>
      <w:r w:rsidRPr="00BB590F">
        <w:rPr>
          <w:b/>
        </w:rPr>
        <w:t xml:space="preserve">– Priority Category three clients seen </w:t>
      </w:r>
      <w:r w:rsidRPr="00BB590F">
        <w:rPr>
          <w:b/>
          <w:spacing w:val="-5"/>
        </w:rPr>
        <w:t xml:space="preserve">‘on time’ </w:t>
      </w:r>
      <w:r w:rsidRPr="00BB590F">
        <w:rPr>
          <w:b/>
          <w:spacing w:val="-3"/>
        </w:rPr>
        <w:t xml:space="preserve">in </w:t>
      </w:r>
      <w:r w:rsidRPr="00BB590F">
        <w:rPr>
          <w:b/>
        </w:rPr>
        <w:t>all settings</w:t>
      </w:r>
    </w:p>
    <w:p w:rsidR="00BB590F" w:rsidRPr="003D06BC" w:rsidRDefault="00BB590F" w:rsidP="00BB590F">
      <w:pPr>
        <w:pStyle w:val="BodyText"/>
      </w:pPr>
      <w:r w:rsidRPr="003D06BC">
        <w:t>Target (quarterly</w:t>
      </w:r>
      <w:proofErr w:type="gramStart"/>
      <w:r w:rsidRPr="003D06BC">
        <w:t>):</w:t>
      </w:r>
      <w:proofErr w:type="gramEnd"/>
      <w:r w:rsidRPr="003D06BC">
        <w:t xml:space="preserve"> </w:t>
      </w:r>
      <w:r>
        <w:t>&gt;85% YTD</w:t>
      </w:r>
    </w:p>
    <w:p w:rsidR="00BB590F" w:rsidRDefault="00BB590F" w:rsidP="00BB590F">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PH3. Aged Care Assessment Team (ACAT) – Priority Category three clients seen ‘on time’ in all settings"/>
        <w:tblDescription w:val="Target (quartlery): &gt;85% YTD"/>
      </w:tblPr>
      <w:tblGrid>
        <w:gridCol w:w="2147"/>
        <w:gridCol w:w="1265"/>
        <w:gridCol w:w="1271"/>
        <w:gridCol w:w="1134"/>
        <w:gridCol w:w="1276"/>
        <w:gridCol w:w="2126"/>
      </w:tblGrid>
      <w:tr w:rsidR="00BB590F" w:rsidRPr="00092A97" w:rsidTr="00BA0546">
        <w:trPr>
          <w:trHeight w:hRule="exact" w:val="548"/>
          <w:tblHeader/>
        </w:trPr>
        <w:tc>
          <w:tcPr>
            <w:tcW w:w="2147" w:type="dxa"/>
            <w:shd w:val="clear" w:color="auto" w:fill="auto"/>
          </w:tcPr>
          <w:p w:rsidR="00BB590F" w:rsidRPr="000D153B" w:rsidRDefault="00BB590F" w:rsidP="00BA0546">
            <w:pPr>
              <w:pStyle w:val="BodyText"/>
            </w:pPr>
            <w:r>
              <w:t>Primary Health</w:t>
            </w:r>
          </w:p>
        </w:tc>
        <w:tc>
          <w:tcPr>
            <w:tcW w:w="1265" w:type="dxa"/>
            <w:shd w:val="clear" w:color="auto" w:fill="auto"/>
          </w:tcPr>
          <w:p w:rsidR="00BB590F" w:rsidRPr="000D153B" w:rsidRDefault="00BB590F"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BB590F" w:rsidRPr="000D153B" w:rsidRDefault="00BB590F"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BB590F" w:rsidRPr="000D153B" w:rsidRDefault="00BB590F" w:rsidP="00BA0546">
            <w:pPr>
              <w:pStyle w:val="BodyText"/>
            </w:pPr>
            <w:r w:rsidRPr="000D153B">
              <w:t>3</w:t>
            </w:r>
            <w:r w:rsidRPr="000D153B">
              <w:rPr>
                <w:vertAlign w:val="superscript"/>
              </w:rPr>
              <w:t xml:space="preserve">rd </w:t>
            </w:r>
            <w:r w:rsidRPr="000D153B">
              <w:t>Quarter</w:t>
            </w:r>
          </w:p>
        </w:tc>
        <w:tc>
          <w:tcPr>
            <w:tcW w:w="1276" w:type="dxa"/>
          </w:tcPr>
          <w:p w:rsidR="00BB590F" w:rsidRPr="000D153B" w:rsidRDefault="00BB590F"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BB590F" w:rsidRPr="000D153B" w:rsidRDefault="00BB590F" w:rsidP="00BA0546">
            <w:pPr>
              <w:pStyle w:val="BodyText"/>
            </w:pPr>
            <w:r w:rsidRPr="000D153B">
              <w:t>Comments</w:t>
            </w:r>
          </w:p>
        </w:tc>
      </w:tr>
      <w:tr w:rsidR="00BB590F" w:rsidRPr="00092A97" w:rsidTr="00BA0546">
        <w:trPr>
          <w:trHeight w:hRule="exact" w:val="979"/>
        </w:trPr>
        <w:tc>
          <w:tcPr>
            <w:tcW w:w="2147" w:type="dxa"/>
            <w:shd w:val="clear" w:color="auto" w:fill="auto"/>
          </w:tcPr>
          <w:p w:rsidR="00BB590F" w:rsidRPr="000D153B" w:rsidRDefault="00BB590F" w:rsidP="00BA0546">
            <w:pPr>
              <w:pStyle w:val="BodyText"/>
            </w:pPr>
            <w:r>
              <w:t xml:space="preserve">Result </w:t>
            </w:r>
          </w:p>
        </w:tc>
        <w:tc>
          <w:tcPr>
            <w:tcW w:w="1265" w:type="dxa"/>
            <w:shd w:val="clear" w:color="auto" w:fill="auto"/>
          </w:tcPr>
          <w:p w:rsidR="00BB590F" w:rsidRPr="000D153B" w:rsidRDefault="00BB590F" w:rsidP="00BB590F">
            <w:pPr>
              <w:pStyle w:val="BodyText"/>
            </w:pPr>
            <w:r>
              <w:t>98.0%</w:t>
            </w:r>
          </w:p>
        </w:tc>
        <w:tc>
          <w:tcPr>
            <w:tcW w:w="1271" w:type="dxa"/>
            <w:shd w:val="clear" w:color="auto" w:fill="auto"/>
          </w:tcPr>
          <w:p w:rsidR="00BB590F" w:rsidRPr="000D153B" w:rsidRDefault="00BB590F" w:rsidP="00BB590F">
            <w:pPr>
              <w:pStyle w:val="BodyText"/>
            </w:pPr>
            <w:r>
              <w:t>96.0%</w:t>
            </w:r>
          </w:p>
        </w:tc>
        <w:tc>
          <w:tcPr>
            <w:tcW w:w="1134" w:type="dxa"/>
            <w:shd w:val="clear" w:color="auto" w:fill="auto"/>
          </w:tcPr>
          <w:p w:rsidR="00BB590F" w:rsidRPr="000D153B" w:rsidRDefault="00BB590F" w:rsidP="00BA0546">
            <w:pPr>
              <w:pStyle w:val="BodyText"/>
            </w:pPr>
            <w:r>
              <w:t>89.2%</w:t>
            </w:r>
          </w:p>
        </w:tc>
        <w:tc>
          <w:tcPr>
            <w:tcW w:w="1276" w:type="dxa"/>
          </w:tcPr>
          <w:p w:rsidR="00BB590F" w:rsidRPr="000D153B" w:rsidRDefault="00BB590F" w:rsidP="00BA0546">
            <w:pPr>
              <w:pStyle w:val="BodyText"/>
            </w:pPr>
            <w:r>
              <w:t>Results not yet available</w:t>
            </w:r>
          </w:p>
        </w:tc>
        <w:tc>
          <w:tcPr>
            <w:tcW w:w="2126" w:type="dxa"/>
            <w:shd w:val="clear" w:color="auto" w:fill="auto"/>
          </w:tcPr>
          <w:p w:rsidR="00BB590F" w:rsidRPr="000D153B" w:rsidRDefault="00BB590F" w:rsidP="00BA0546">
            <w:pPr>
              <w:pStyle w:val="BodyText"/>
            </w:pPr>
            <w:r>
              <w:t>-</w:t>
            </w:r>
          </w:p>
        </w:tc>
      </w:tr>
    </w:tbl>
    <w:p w:rsidR="00BB590F" w:rsidRDefault="00BB590F" w:rsidP="004B718D">
      <w:pPr>
        <w:autoSpaceDE w:val="0"/>
        <w:autoSpaceDN w:val="0"/>
        <w:adjustRightInd w:val="0"/>
        <w:spacing w:after="0" w:line="240" w:lineRule="auto"/>
        <w:rPr>
          <w:rFonts w:ascii="Gill Sans MT" w:hAnsi="Gill Sans MT"/>
        </w:rPr>
      </w:pPr>
    </w:p>
    <w:p w:rsidR="00BB590F" w:rsidRDefault="00BB590F">
      <w:pPr>
        <w:rPr>
          <w:rFonts w:ascii="Gill Sans MT" w:hAnsi="Gill Sans MT"/>
        </w:rPr>
      </w:pPr>
      <w:r>
        <w:rPr>
          <w:rFonts w:ascii="Gill Sans MT" w:hAnsi="Gill Sans MT"/>
        </w:rPr>
        <w:br w:type="page"/>
      </w:r>
    </w:p>
    <w:p w:rsidR="00BB590F" w:rsidRPr="00BB590F" w:rsidRDefault="00BB590F" w:rsidP="00BB590F">
      <w:pPr>
        <w:pStyle w:val="BodyText"/>
        <w:rPr>
          <w:b/>
        </w:rPr>
      </w:pPr>
      <w:proofErr w:type="gramStart"/>
      <w:r w:rsidRPr="00BB590F">
        <w:rPr>
          <w:b/>
        </w:rPr>
        <w:lastRenderedPageBreak/>
        <w:t>KPI OH1.</w:t>
      </w:r>
      <w:proofErr w:type="gramEnd"/>
      <w:r w:rsidRPr="00BB590F">
        <w:rPr>
          <w:b/>
        </w:rPr>
        <w:t xml:space="preserve"> Number of Dental Weighted Activity Units (DWAUs) delivered between July 2015 and June 2016</w:t>
      </w:r>
    </w:p>
    <w:p w:rsidR="00BB590F" w:rsidRDefault="00BB590F" w:rsidP="00BB590F">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OH1. Number of Dental Weighted Activity Units (DWAUs) delivered between July 2015 and June 2016"/>
      </w:tblPr>
      <w:tblGrid>
        <w:gridCol w:w="2147"/>
        <w:gridCol w:w="1265"/>
        <w:gridCol w:w="1271"/>
        <w:gridCol w:w="1134"/>
        <w:gridCol w:w="1276"/>
        <w:gridCol w:w="2126"/>
      </w:tblGrid>
      <w:tr w:rsidR="00BB590F" w:rsidRPr="00092A97" w:rsidTr="00BA0546">
        <w:trPr>
          <w:trHeight w:hRule="exact" w:val="548"/>
          <w:tblHeader/>
        </w:trPr>
        <w:tc>
          <w:tcPr>
            <w:tcW w:w="2147" w:type="dxa"/>
            <w:shd w:val="clear" w:color="auto" w:fill="auto"/>
          </w:tcPr>
          <w:p w:rsidR="00BB590F" w:rsidRPr="000D153B" w:rsidRDefault="00BB590F" w:rsidP="00BA0546">
            <w:pPr>
              <w:pStyle w:val="BodyText"/>
            </w:pPr>
            <w:r>
              <w:t>Oral Health</w:t>
            </w:r>
          </w:p>
        </w:tc>
        <w:tc>
          <w:tcPr>
            <w:tcW w:w="1265" w:type="dxa"/>
            <w:shd w:val="clear" w:color="auto" w:fill="auto"/>
          </w:tcPr>
          <w:p w:rsidR="00BB590F" w:rsidRPr="000D153B" w:rsidRDefault="00BB590F"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BB590F" w:rsidRPr="000D153B" w:rsidRDefault="00BB590F"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BB590F" w:rsidRPr="000D153B" w:rsidRDefault="00BB590F" w:rsidP="00BA0546">
            <w:pPr>
              <w:pStyle w:val="BodyText"/>
            </w:pPr>
            <w:r w:rsidRPr="000D153B">
              <w:t>3</w:t>
            </w:r>
            <w:r w:rsidRPr="000D153B">
              <w:rPr>
                <w:vertAlign w:val="superscript"/>
              </w:rPr>
              <w:t xml:space="preserve">rd </w:t>
            </w:r>
            <w:r w:rsidRPr="000D153B">
              <w:t>Quarter</w:t>
            </w:r>
          </w:p>
        </w:tc>
        <w:tc>
          <w:tcPr>
            <w:tcW w:w="1276" w:type="dxa"/>
          </w:tcPr>
          <w:p w:rsidR="00BB590F" w:rsidRPr="000D153B" w:rsidRDefault="00BB590F"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BB590F" w:rsidRPr="000D153B" w:rsidRDefault="00BB590F" w:rsidP="00BA0546">
            <w:pPr>
              <w:pStyle w:val="BodyText"/>
            </w:pPr>
            <w:r w:rsidRPr="000D153B">
              <w:t>Comments</w:t>
            </w:r>
          </w:p>
        </w:tc>
      </w:tr>
      <w:tr w:rsidR="00BB590F" w:rsidRPr="00092A97" w:rsidTr="00BB590F">
        <w:trPr>
          <w:trHeight w:hRule="exact" w:val="585"/>
        </w:trPr>
        <w:tc>
          <w:tcPr>
            <w:tcW w:w="2147" w:type="dxa"/>
            <w:shd w:val="clear" w:color="auto" w:fill="auto"/>
          </w:tcPr>
          <w:p w:rsidR="00BB590F" w:rsidRDefault="00BB590F" w:rsidP="00BA0546">
            <w:pPr>
              <w:pStyle w:val="BodyText"/>
            </w:pPr>
            <w:r>
              <w:t>Target (cumulative)</w:t>
            </w:r>
          </w:p>
        </w:tc>
        <w:tc>
          <w:tcPr>
            <w:tcW w:w="1265" w:type="dxa"/>
            <w:shd w:val="clear" w:color="auto" w:fill="auto"/>
          </w:tcPr>
          <w:p w:rsidR="00BB590F" w:rsidRDefault="00BB590F" w:rsidP="00BA0546">
            <w:pPr>
              <w:pStyle w:val="BodyText"/>
            </w:pPr>
            <w:r>
              <w:t>13125</w:t>
            </w:r>
          </w:p>
        </w:tc>
        <w:tc>
          <w:tcPr>
            <w:tcW w:w="1271" w:type="dxa"/>
            <w:shd w:val="clear" w:color="auto" w:fill="auto"/>
          </w:tcPr>
          <w:p w:rsidR="00BB590F" w:rsidRDefault="00BB590F" w:rsidP="00BA0546">
            <w:pPr>
              <w:pStyle w:val="BodyText"/>
            </w:pPr>
            <w:r>
              <w:t>24954</w:t>
            </w:r>
          </w:p>
        </w:tc>
        <w:tc>
          <w:tcPr>
            <w:tcW w:w="1134" w:type="dxa"/>
            <w:shd w:val="clear" w:color="auto" w:fill="auto"/>
          </w:tcPr>
          <w:p w:rsidR="00BB590F" w:rsidRDefault="00BB590F" w:rsidP="00BA0546">
            <w:pPr>
              <w:pStyle w:val="BodyText"/>
            </w:pPr>
            <w:r>
              <w:t>35451</w:t>
            </w:r>
          </w:p>
        </w:tc>
        <w:tc>
          <w:tcPr>
            <w:tcW w:w="1276" w:type="dxa"/>
          </w:tcPr>
          <w:p w:rsidR="00BB590F" w:rsidRDefault="00BB590F" w:rsidP="00BA0546">
            <w:pPr>
              <w:pStyle w:val="BodyText"/>
            </w:pPr>
            <w:r>
              <w:t>45883</w:t>
            </w:r>
          </w:p>
        </w:tc>
        <w:tc>
          <w:tcPr>
            <w:tcW w:w="2126" w:type="dxa"/>
            <w:shd w:val="clear" w:color="auto" w:fill="auto"/>
          </w:tcPr>
          <w:p w:rsidR="00BB590F" w:rsidRDefault="00BB590F" w:rsidP="00BA0546">
            <w:pPr>
              <w:pStyle w:val="BodyText"/>
            </w:pPr>
            <w:r>
              <w:t>-</w:t>
            </w:r>
          </w:p>
        </w:tc>
      </w:tr>
      <w:tr w:rsidR="00BB590F" w:rsidRPr="00092A97" w:rsidTr="00BA0546">
        <w:trPr>
          <w:trHeight w:hRule="exact" w:val="979"/>
        </w:trPr>
        <w:tc>
          <w:tcPr>
            <w:tcW w:w="2147" w:type="dxa"/>
            <w:shd w:val="clear" w:color="auto" w:fill="auto"/>
          </w:tcPr>
          <w:p w:rsidR="00BB590F" w:rsidRPr="000D153B" w:rsidRDefault="00BB590F" w:rsidP="00BA0546">
            <w:pPr>
              <w:pStyle w:val="BodyText"/>
            </w:pPr>
            <w:r>
              <w:t xml:space="preserve">Result </w:t>
            </w:r>
          </w:p>
        </w:tc>
        <w:tc>
          <w:tcPr>
            <w:tcW w:w="1265" w:type="dxa"/>
            <w:shd w:val="clear" w:color="auto" w:fill="auto"/>
          </w:tcPr>
          <w:p w:rsidR="00BB590F" w:rsidRPr="000D153B" w:rsidRDefault="00BB590F" w:rsidP="00BA0546">
            <w:pPr>
              <w:pStyle w:val="BodyText"/>
            </w:pPr>
            <w:r>
              <w:t>14257</w:t>
            </w:r>
          </w:p>
        </w:tc>
        <w:tc>
          <w:tcPr>
            <w:tcW w:w="1271" w:type="dxa"/>
            <w:shd w:val="clear" w:color="auto" w:fill="auto"/>
          </w:tcPr>
          <w:p w:rsidR="00BB590F" w:rsidRPr="000D153B" w:rsidRDefault="00BB590F" w:rsidP="00BA0546">
            <w:pPr>
              <w:pStyle w:val="BodyText"/>
            </w:pPr>
            <w:r>
              <w:t>27009</w:t>
            </w:r>
          </w:p>
        </w:tc>
        <w:tc>
          <w:tcPr>
            <w:tcW w:w="1134" w:type="dxa"/>
            <w:shd w:val="clear" w:color="auto" w:fill="auto"/>
          </w:tcPr>
          <w:p w:rsidR="00BB590F" w:rsidRPr="000D153B" w:rsidRDefault="00BB590F" w:rsidP="00BA0546">
            <w:pPr>
              <w:pStyle w:val="BodyText"/>
            </w:pPr>
            <w:r>
              <w:t>38387</w:t>
            </w:r>
          </w:p>
        </w:tc>
        <w:tc>
          <w:tcPr>
            <w:tcW w:w="1276" w:type="dxa"/>
          </w:tcPr>
          <w:p w:rsidR="00BB590F" w:rsidRPr="000D153B" w:rsidRDefault="00BB590F" w:rsidP="00BA0546">
            <w:pPr>
              <w:pStyle w:val="BodyText"/>
            </w:pPr>
            <w:r>
              <w:t>51724</w:t>
            </w:r>
          </w:p>
        </w:tc>
        <w:tc>
          <w:tcPr>
            <w:tcW w:w="2126" w:type="dxa"/>
            <w:shd w:val="clear" w:color="auto" w:fill="auto"/>
          </w:tcPr>
          <w:p w:rsidR="00BB590F" w:rsidRPr="000D153B" w:rsidRDefault="00BB590F" w:rsidP="00BA0546">
            <w:pPr>
              <w:pStyle w:val="BodyText"/>
            </w:pPr>
            <w:r>
              <w:t>Target exceeded</w:t>
            </w:r>
          </w:p>
        </w:tc>
      </w:tr>
    </w:tbl>
    <w:p w:rsidR="00BB590F" w:rsidRDefault="00BB590F" w:rsidP="004B718D">
      <w:pPr>
        <w:autoSpaceDE w:val="0"/>
        <w:autoSpaceDN w:val="0"/>
        <w:adjustRightInd w:val="0"/>
        <w:spacing w:after="0" w:line="240" w:lineRule="auto"/>
        <w:rPr>
          <w:rFonts w:ascii="Gill Sans MT" w:hAnsi="Gill Sans MT"/>
        </w:rPr>
      </w:pPr>
    </w:p>
    <w:p w:rsidR="00BB590F" w:rsidRDefault="00BB590F" w:rsidP="00BB590F">
      <w:pPr>
        <w:pStyle w:val="BodyText"/>
        <w:rPr>
          <w:b/>
        </w:rPr>
      </w:pPr>
      <w:proofErr w:type="gramStart"/>
      <w:r w:rsidRPr="00BB590F">
        <w:rPr>
          <w:b/>
        </w:rPr>
        <w:t>KPI OH2.</w:t>
      </w:r>
      <w:proofErr w:type="gramEnd"/>
      <w:r w:rsidRPr="00BB590F">
        <w:rPr>
          <w:b/>
        </w:rPr>
        <w:t xml:space="preserve"> Emergency clients managed on same day that they </w:t>
      </w:r>
      <w:proofErr w:type="gramStart"/>
      <w:r w:rsidRPr="00BB590F">
        <w:rPr>
          <w:b/>
        </w:rPr>
        <w:t>are  triaged</w:t>
      </w:r>
      <w:proofErr w:type="gramEnd"/>
    </w:p>
    <w:p w:rsidR="00BB590F" w:rsidRPr="00BB590F" w:rsidRDefault="00BB590F" w:rsidP="00BB590F">
      <w:pPr>
        <w:pStyle w:val="BodyText"/>
      </w:pPr>
      <w:r w:rsidRPr="00BB590F">
        <w:t>Target (quarterly): 80% each quarter</w:t>
      </w:r>
    </w:p>
    <w:p w:rsidR="00BB590F" w:rsidRDefault="00BB590F" w:rsidP="00BB590F">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OH2. Emergency clients managed on same day that they are  triaged"/>
        <w:tblDescription w:val="Target (quarterly): 80% each quarter"/>
      </w:tblPr>
      <w:tblGrid>
        <w:gridCol w:w="2147"/>
        <w:gridCol w:w="1265"/>
        <w:gridCol w:w="1271"/>
        <w:gridCol w:w="1134"/>
        <w:gridCol w:w="1276"/>
        <w:gridCol w:w="2126"/>
      </w:tblGrid>
      <w:tr w:rsidR="00BB590F" w:rsidRPr="00092A97" w:rsidTr="00BA0546">
        <w:trPr>
          <w:trHeight w:hRule="exact" w:val="548"/>
          <w:tblHeader/>
        </w:trPr>
        <w:tc>
          <w:tcPr>
            <w:tcW w:w="2147" w:type="dxa"/>
            <w:shd w:val="clear" w:color="auto" w:fill="auto"/>
          </w:tcPr>
          <w:p w:rsidR="00BB590F" w:rsidRPr="000D153B" w:rsidRDefault="00BB590F" w:rsidP="00BA0546">
            <w:pPr>
              <w:pStyle w:val="BodyText"/>
            </w:pPr>
            <w:r>
              <w:t>Oral Health</w:t>
            </w:r>
          </w:p>
        </w:tc>
        <w:tc>
          <w:tcPr>
            <w:tcW w:w="1265" w:type="dxa"/>
            <w:shd w:val="clear" w:color="auto" w:fill="auto"/>
          </w:tcPr>
          <w:p w:rsidR="00BB590F" w:rsidRPr="000D153B" w:rsidRDefault="00BB590F"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BB590F" w:rsidRPr="000D153B" w:rsidRDefault="00BB590F"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BB590F" w:rsidRPr="000D153B" w:rsidRDefault="00BB590F" w:rsidP="00BA0546">
            <w:pPr>
              <w:pStyle w:val="BodyText"/>
            </w:pPr>
            <w:r w:rsidRPr="000D153B">
              <w:t>3</w:t>
            </w:r>
            <w:r w:rsidRPr="000D153B">
              <w:rPr>
                <w:vertAlign w:val="superscript"/>
              </w:rPr>
              <w:t xml:space="preserve">rd </w:t>
            </w:r>
            <w:r w:rsidRPr="000D153B">
              <w:t>Quarter</w:t>
            </w:r>
          </w:p>
        </w:tc>
        <w:tc>
          <w:tcPr>
            <w:tcW w:w="1276" w:type="dxa"/>
          </w:tcPr>
          <w:p w:rsidR="00BB590F" w:rsidRPr="000D153B" w:rsidRDefault="00BB590F"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BB590F" w:rsidRPr="000D153B" w:rsidRDefault="00BB590F" w:rsidP="00BA0546">
            <w:pPr>
              <w:pStyle w:val="BodyText"/>
            </w:pPr>
            <w:r w:rsidRPr="000D153B">
              <w:t>Comments</w:t>
            </w:r>
          </w:p>
        </w:tc>
      </w:tr>
      <w:tr w:rsidR="00BB590F" w:rsidRPr="00092A97" w:rsidTr="00BA0546">
        <w:trPr>
          <w:trHeight w:hRule="exact" w:val="979"/>
        </w:trPr>
        <w:tc>
          <w:tcPr>
            <w:tcW w:w="2147" w:type="dxa"/>
            <w:shd w:val="clear" w:color="auto" w:fill="auto"/>
          </w:tcPr>
          <w:p w:rsidR="00BB590F" w:rsidRPr="000D153B" w:rsidRDefault="00BB590F" w:rsidP="00BA0546">
            <w:pPr>
              <w:pStyle w:val="BodyText"/>
            </w:pPr>
            <w:r>
              <w:t xml:space="preserve">Result </w:t>
            </w:r>
          </w:p>
        </w:tc>
        <w:tc>
          <w:tcPr>
            <w:tcW w:w="1265" w:type="dxa"/>
            <w:shd w:val="clear" w:color="auto" w:fill="auto"/>
          </w:tcPr>
          <w:p w:rsidR="00BB590F" w:rsidRPr="000D153B" w:rsidRDefault="00BB590F" w:rsidP="00BA0546">
            <w:pPr>
              <w:pStyle w:val="BodyText"/>
            </w:pPr>
            <w:r>
              <w:t>96.8%</w:t>
            </w:r>
          </w:p>
        </w:tc>
        <w:tc>
          <w:tcPr>
            <w:tcW w:w="1271" w:type="dxa"/>
            <w:shd w:val="clear" w:color="auto" w:fill="auto"/>
          </w:tcPr>
          <w:p w:rsidR="00BB590F" w:rsidRPr="000D153B" w:rsidRDefault="00BB590F" w:rsidP="00BA0546">
            <w:pPr>
              <w:pStyle w:val="BodyText"/>
            </w:pPr>
            <w:r>
              <w:t>96.9%</w:t>
            </w:r>
          </w:p>
        </w:tc>
        <w:tc>
          <w:tcPr>
            <w:tcW w:w="1134" w:type="dxa"/>
            <w:shd w:val="clear" w:color="auto" w:fill="auto"/>
          </w:tcPr>
          <w:p w:rsidR="00BB590F" w:rsidRPr="000D153B" w:rsidRDefault="00BB590F" w:rsidP="00BA0546">
            <w:pPr>
              <w:pStyle w:val="BodyText"/>
            </w:pPr>
            <w:r>
              <w:t>95.1%</w:t>
            </w:r>
          </w:p>
        </w:tc>
        <w:tc>
          <w:tcPr>
            <w:tcW w:w="1276" w:type="dxa"/>
          </w:tcPr>
          <w:p w:rsidR="00BB590F" w:rsidRPr="000D153B" w:rsidRDefault="00BB590F" w:rsidP="00BA0546">
            <w:pPr>
              <w:pStyle w:val="BodyText"/>
            </w:pPr>
            <w:r>
              <w:t>97.3%</w:t>
            </w:r>
          </w:p>
        </w:tc>
        <w:tc>
          <w:tcPr>
            <w:tcW w:w="2126" w:type="dxa"/>
            <w:shd w:val="clear" w:color="auto" w:fill="auto"/>
          </w:tcPr>
          <w:p w:rsidR="00BB590F" w:rsidRPr="000D153B" w:rsidRDefault="00BB590F" w:rsidP="00BA0546">
            <w:pPr>
              <w:pStyle w:val="BodyText"/>
            </w:pPr>
            <w:r>
              <w:t>Target exceeded</w:t>
            </w:r>
          </w:p>
        </w:tc>
      </w:tr>
    </w:tbl>
    <w:p w:rsidR="00BB590F" w:rsidRDefault="00BB590F" w:rsidP="004B718D">
      <w:pPr>
        <w:autoSpaceDE w:val="0"/>
        <w:autoSpaceDN w:val="0"/>
        <w:adjustRightInd w:val="0"/>
        <w:spacing w:after="0" w:line="240" w:lineRule="auto"/>
        <w:rPr>
          <w:rFonts w:ascii="Gill Sans MT" w:hAnsi="Gill Sans MT"/>
        </w:rPr>
      </w:pPr>
    </w:p>
    <w:p w:rsidR="00BB590F" w:rsidRPr="00BB590F" w:rsidRDefault="00BB590F" w:rsidP="00BB590F">
      <w:pPr>
        <w:pStyle w:val="BodyText"/>
        <w:rPr>
          <w:b/>
        </w:rPr>
      </w:pPr>
      <w:proofErr w:type="gramStart"/>
      <w:r w:rsidRPr="00BB590F">
        <w:rPr>
          <w:b/>
        </w:rPr>
        <w:t>KPI CSCS1.</w:t>
      </w:r>
      <w:proofErr w:type="gramEnd"/>
      <w:r w:rsidRPr="00BB590F">
        <w:rPr>
          <w:b/>
        </w:rPr>
        <w:t xml:space="preserve"> Clients assessed within 28 days of </w:t>
      </w:r>
      <w:proofErr w:type="gramStart"/>
      <w:r w:rsidRPr="00BB590F">
        <w:rPr>
          <w:b/>
        </w:rPr>
        <w:t>screening  mammogram</w:t>
      </w:r>
      <w:proofErr w:type="gramEnd"/>
    </w:p>
    <w:p w:rsidR="00BB590F" w:rsidRPr="00BB590F" w:rsidRDefault="00BB590F" w:rsidP="00BB590F">
      <w:pPr>
        <w:pStyle w:val="BodyText"/>
      </w:pPr>
      <w:r w:rsidRPr="00BB590F">
        <w:t>Target (</w:t>
      </w:r>
      <w:r>
        <w:t>YTD</w:t>
      </w:r>
      <w:proofErr w:type="gramStart"/>
      <w:r w:rsidRPr="00BB590F">
        <w:t>):</w:t>
      </w:r>
      <w:proofErr w:type="gramEnd"/>
      <w:r w:rsidRPr="00BB590F">
        <w:t xml:space="preserve"> </w:t>
      </w:r>
      <w:r>
        <w:t xml:space="preserve"> &gt;90% YTD</w:t>
      </w:r>
    </w:p>
    <w:p w:rsidR="00BB590F" w:rsidRDefault="00BB590F" w:rsidP="00BB590F">
      <w:pPr>
        <w:autoSpaceDE w:val="0"/>
        <w:autoSpaceDN w:val="0"/>
        <w:adjustRightInd w:val="0"/>
        <w:spacing w:after="0" w:line="240" w:lineRule="auto"/>
        <w:rPr>
          <w:rFonts w:ascii="Gill Sans MT" w:hAnsi="Gill Sans MT"/>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OH2. Emergency clients managed on same day that they are  triaged"/>
        <w:tblDescription w:val="Target (quarterly): 80% each quarter"/>
      </w:tblPr>
      <w:tblGrid>
        <w:gridCol w:w="2147"/>
        <w:gridCol w:w="1265"/>
        <w:gridCol w:w="1271"/>
        <w:gridCol w:w="1134"/>
        <w:gridCol w:w="1276"/>
        <w:gridCol w:w="2126"/>
      </w:tblGrid>
      <w:tr w:rsidR="00BB590F" w:rsidRPr="00092A97" w:rsidTr="00BB590F">
        <w:trPr>
          <w:trHeight w:hRule="exact" w:val="938"/>
          <w:tblHeader/>
        </w:trPr>
        <w:tc>
          <w:tcPr>
            <w:tcW w:w="2147" w:type="dxa"/>
            <w:shd w:val="clear" w:color="auto" w:fill="auto"/>
          </w:tcPr>
          <w:p w:rsidR="00BB590F" w:rsidRPr="000D153B" w:rsidRDefault="00BB590F" w:rsidP="00BA0546">
            <w:pPr>
              <w:pStyle w:val="BodyText"/>
            </w:pPr>
            <w:r>
              <w:t>Cancer Screening and Control Services (CSCS)</w:t>
            </w:r>
          </w:p>
        </w:tc>
        <w:tc>
          <w:tcPr>
            <w:tcW w:w="1265" w:type="dxa"/>
            <w:shd w:val="clear" w:color="auto" w:fill="auto"/>
          </w:tcPr>
          <w:p w:rsidR="00BB590F" w:rsidRPr="000D153B" w:rsidRDefault="00BB590F"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BB590F" w:rsidRPr="000D153B" w:rsidRDefault="00BB590F"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BB590F" w:rsidRPr="000D153B" w:rsidRDefault="00BB590F" w:rsidP="00BA0546">
            <w:pPr>
              <w:pStyle w:val="BodyText"/>
            </w:pPr>
            <w:r w:rsidRPr="000D153B">
              <w:t>3</w:t>
            </w:r>
            <w:r w:rsidRPr="000D153B">
              <w:rPr>
                <w:vertAlign w:val="superscript"/>
              </w:rPr>
              <w:t xml:space="preserve">rd </w:t>
            </w:r>
            <w:r w:rsidRPr="000D153B">
              <w:t>Quarter</w:t>
            </w:r>
          </w:p>
        </w:tc>
        <w:tc>
          <w:tcPr>
            <w:tcW w:w="1276" w:type="dxa"/>
          </w:tcPr>
          <w:p w:rsidR="00BB590F" w:rsidRPr="000D153B" w:rsidRDefault="00BB590F"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BB590F" w:rsidRPr="000D153B" w:rsidRDefault="00BB590F" w:rsidP="00BA0546">
            <w:pPr>
              <w:pStyle w:val="BodyText"/>
            </w:pPr>
            <w:r w:rsidRPr="000D153B">
              <w:t>Comments</w:t>
            </w:r>
          </w:p>
        </w:tc>
      </w:tr>
      <w:tr w:rsidR="00BB590F" w:rsidRPr="00092A97" w:rsidTr="00BA0546">
        <w:trPr>
          <w:trHeight w:hRule="exact" w:val="979"/>
        </w:trPr>
        <w:tc>
          <w:tcPr>
            <w:tcW w:w="2147" w:type="dxa"/>
            <w:shd w:val="clear" w:color="auto" w:fill="auto"/>
          </w:tcPr>
          <w:p w:rsidR="00BB590F" w:rsidRPr="000D153B" w:rsidRDefault="00BB590F" w:rsidP="00BA0546">
            <w:pPr>
              <w:pStyle w:val="BodyText"/>
            </w:pPr>
            <w:r>
              <w:t xml:space="preserve">Result </w:t>
            </w:r>
          </w:p>
        </w:tc>
        <w:tc>
          <w:tcPr>
            <w:tcW w:w="1265" w:type="dxa"/>
            <w:shd w:val="clear" w:color="auto" w:fill="auto"/>
          </w:tcPr>
          <w:p w:rsidR="00BB590F" w:rsidRPr="000D153B" w:rsidRDefault="00BB590F" w:rsidP="00BA0546">
            <w:pPr>
              <w:pStyle w:val="BodyText"/>
            </w:pPr>
            <w:r>
              <w:t>66.2%</w:t>
            </w:r>
          </w:p>
        </w:tc>
        <w:tc>
          <w:tcPr>
            <w:tcW w:w="1271" w:type="dxa"/>
            <w:shd w:val="clear" w:color="auto" w:fill="auto"/>
          </w:tcPr>
          <w:p w:rsidR="00BB590F" w:rsidRPr="000D153B" w:rsidRDefault="00BB590F" w:rsidP="00BA0546">
            <w:pPr>
              <w:pStyle w:val="BodyText"/>
            </w:pPr>
            <w:r>
              <w:t>95.2%</w:t>
            </w:r>
          </w:p>
        </w:tc>
        <w:tc>
          <w:tcPr>
            <w:tcW w:w="1134" w:type="dxa"/>
            <w:shd w:val="clear" w:color="auto" w:fill="auto"/>
          </w:tcPr>
          <w:p w:rsidR="00BB590F" w:rsidRPr="000D153B" w:rsidRDefault="00BB590F" w:rsidP="00BA0546">
            <w:pPr>
              <w:pStyle w:val="BodyText"/>
            </w:pPr>
            <w:r>
              <w:t>78.5%</w:t>
            </w:r>
          </w:p>
        </w:tc>
        <w:tc>
          <w:tcPr>
            <w:tcW w:w="1276" w:type="dxa"/>
          </w:tcPr>
          <w:p w:rsidR="00BB590F" w:rsidRPr="000D153B" w:rsidRDefault="00BB590F" w:rsidP="00BA0546">
            <w:pPr>
              <w:pStyle w:val="BodyText"/>
            </w:pPr>
            <w:r>
              <w:t>84.7%</w:t>
            </w:r>
          </w:p>
        </w:tc>
        <w:tc>
          <w:tcPr>
            <w:tcW w:w="2126" w:type="dxa"/>
            <w:shd w:val="clear" w:color="auto" w:fill="auto"/>
          </w:tcPr>
          <w:p w:rsidR="00BB590F" w:rsidRPr="000D153B" w:rsidRDefault="00BB590F" w:rsidP="00BA0546">
            <w:pPr>
              <w:pStyle w:val="BodyText"/>
            </w:pPr>
            <w:r>
              <w:t>Target achieved in 1 of 4 quarters</w:t>
            </w:r>
          </w:p>
        </w:tc>
      </w:tr>
    </w:tbl>
    <w:p w:rsidR="00BB590F" w:rsidRDefault="00BB590F" w:rsidP="004B718D">
      <w:pPr>
        <w:autoSpaceDE w:val="0"/>
        <w:autoSpaceDN w:val="0"/>
        <w:adjustRightInd w:val="0"/>
        <w:spacing w:after="0" w:line="240" w:lineRule="auto"/>
        <w:rPr>
          <w:rFonts w:ascii="Gill Sans MT" w:hAnsi="Gill Sans MT"/>
        </w:rPr>
      </w:pPr>
    </w:p>
    <w:p w:rsidR="00BB590F" w:rsidRDefault="00BB590F" w:rsidP="00BB590F">
      <w:pPr>
        <w:pStyle w:val="BodyText"/>
        <w:rPr>
          <w:b/>
        </w:rPr>
      </w:pPr>
      <w:proofErr w:type="gramStart"/>
      <w:r w:rsidRPr="00BB590F">
        <w:rPr>
          <w:b/>
        </w:rPr>
        <w:t>KPI CSCS2.</w:t>
      </w:r>
      <w:proofErr w:type="gramEnd"/>
      <w:r w:rsidRPr="00BB590F">
        <w:rPr>
          <w:b/>
        </w:rPr>
        <w:t xml:space="preserve"> Eligible women screened for breast cancer</w:t>
      </w:r>
    </w:p>
    <w:p w:rsidR="00BB590F" w:rsidRPr="00BB590F" w:rsidRDefault="00BB590F" w:rsidP="00BB590F">
      <w:pPr>
        <w:pStyle w:val="BodyText"/>
        <w:rPr>
          <w:b/>
        </w:rPr>
      </w:pPr>
    </w:p>
    <w:tbl>
      <w:tblPr>
        <w:tblW w:w="9219"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KPI CSCS2. Eligible women screened for breast cancer"/>
      </w:tblPr>
      <w:tblGrid>
        <w:gridCol w:w="2147"/>
        <w:gridCol w:w="1265"/>
        <w:gridCol w:w="1271"/>
        <w:gridCol w:w="1134"/>
        <w:gridCol w:w="1276"/>
        <w:gridCol w:w="2126"/>
      </w:tblGrid>
      <w:tr w:rsidR="00BB590F" w:rsidRPr="00092A97" w:rsidTr="00BA0546">
        <w:trPr>
          <w:trHeight w:hRule="exact" w:val="548"/>
          <w:tblHeader/>
        </w:trPr>
        <w:tc>
          <w:tcPr>
            <w:tcW w:w="2147" w:type="dxa"/>
            <w:shd w:val="clear" w:color="auto" w:fill="auto"/>
          </w:tcPr>
          <w:p w:rsidR="00BB590F" w:rsidRPr="000D153B" w:rsidRDefault="00BB590F" w:rsidP="00BA0546">
            <w:pPr>
              <w:pStyle w:val="BodyText"/>
            </w:pPr>
            <w:r>
              <w:t>Oral Health</w:t>
            </w:r>
          </w:p>
        </w:tc>
        <w:tc>
          <w:tcPr>
            <w:tcW w:w="1265" w:type="dxa"/>
            <w:shd w:val="clear" w:color="auto" w:fill="auto"/>
          </w:tcPr>
          <w:p w:rsidR="00BB590F" w:rsidRPr="000D153B" w:rsidRDefault="00BB590F" w:rsidP="00BA0546">
            <w:pPr>
              <w:pStyle w:val="BodyText"/>
            </w:pPr>
            <w:r w:rsidRPr="000D153B">
              <w:t>1</w:t>
            </w:r>
            <w:r w:rsidRPr="000D153B">
              <w:rPr>
                <w:vertAlign w:val="superscript"/>
              </w:rPr>
              <w:t xml:space="preserve">st </w:t>
            </w:r>
            <w:r w:rsidRPr="000D153B">
              <w:t>Quarter</w:t>
            </w:r>
          </w:p>
        </w:tc>
        <w:tc>
          <w:tcPr>
            <w:tcW w:w="1271" w:type="dxa"/>
            <w:shd w:val="clear" w:color="auto" w:fill="auto"/>
          </w:tcPr>
          <w:p w:rsidR="00BB590F" w:rsidRPr="000D153B" w:rsidRDefault="00BB590F" w:rsidP="00BA0546">
            <w:pPr>
              <w:pStyle w:val="BodyText"/>
            </w:pPr>
            <w:r w:rsidRPr="000D153B">
              <w:t>2</w:t>
            </w:r>
            <w:r w:rsidRPr="000D153B">
              <w:rPr>
                <w:vertAlign w:val="superscript"/>
              </w:rPr>
              <w:t>nd</w:t>
            </w:r>
            <w:r w:rsidRPr="000D153B">
              <w:t xml:space="preserve">  Quarter</w:t>
            </w:r>
          </w:p>
        </w:tc>
        <w:tc>
          <w:tcPr>
            <w:tcW w:w="1134" w:type="dxa"/>
            <w:shd w:val="clear" w:color="auto" w:fill="auto"/>
          </w:tcPr>
          <w:p w:rsidR="00BB590F" w:rsidRPr="000D153B" w:rsidRDefault="00BB590F" w:rsidP="00BA0546">
            <w:pPr>
              <w:pStyle w:val="BodyText"/>
            </w:pPr>
            <w:r w:rsidRPr="000D153B">
              <w:t>3</w:t>
            </w:r>
            <w:r w:rsidRPr="000D153B">
              <w:rPr>
                <w:vertAlign w:val="superscript"/>
              </w:rPr>
              <w:t xml:space="preserve">rd </w:t>
            </w:r>
            <w:r w:rsidRPr="000D153B">
              <w:t>Quarter</w:t>
            </w:r>
          </w:p>
        </w:tc>
        <w:tc>
          <w:tcPr>
            <w:tcW w:w="1276" w:type="dxa"/>
          </w:tcPr>
          <w:p w:rsidR="00BB590F" w:rsidRPr="000D153B" w:rsidRDefault="00BB590F" w:rsidP="00BA0546">
            <w:pPr>
              <w:pStyle w:val="BodyText"/>
            </w:pPr>
            <w:r w:rsidRPr="000D153B">
              <w:t>4</w:t>
            </w:r>
            <w:r w:rsidRPr="000D153B">
              <w:rPr>
                <w:vertAlign w:val="superscript"/>
              </w:rPr>
              <w:t xml:space="preserve">th </w:t>
            </w:r>
            <w:r w:rsidRPr="000D153B">
              <w:t>Quarter</w:t>
            </w:r>
          </w:p>
        </w:tc>
        <w:tc>
          <w:tcPr>
            <w:tcW w:w="2126" w:type="dxa"/>
            <w:shd w:val="clear" w:color="auto" w:fill="auto"/>
          </w:tcPr>
          <w:p w:rsidR="00BB590F" w:rsidRPr="000D153B" w:rsidRDefault="00BB590F" w:rsidP="00BA0546">
            <w:pPr>
              <w:pStyle w:val="BodyText"/>
            </w:pPr>
            <w:r w:rsidRPr="000D153B">
              <w:t>Comments</w:t>
            </w:r>
          </w:p>
        </w:tc>
      </w:tr>
      <w:tr w:rsidR="00BB590F" w:rsidRPr="00092A97" w:rsidTr="00BA0546">
        <w:trPr>
          <w:trHeight w:hRule="exact" w:val="585"/>
        </w:trPr>
        <w:tc>
          <w:tcPr>
            <w:tcW w:w="2147" w:type="dxa"/>
            <w:shd w:val="clear" w:color="auto" w:fill="auto"/>
          </w:tcPr>
          <w:p w:rsidR="00BB590F" w:rsidRDefault="00BB590F" w:rsidP="00BB590F">
            <w:pPr>
              <w:pStyle w:val="BodyText"/>
            </w:pPr>
            <w:r>
              <w:t>Target (YTD)</w:t>
            </w:r>
          </w:p>
        </w:tc>
        <w:tc>
          <w:tcPr>
            <w:tcW w:w="1265" w:type="dxa"/>
            <w:shd w:val="clear" w:color="auto" w:fill="auto"/>
          </w:tcPr>
          <w:p w:rsidR="00BB590F" w:rsidRDefault="00BB590F" w:rsidP="00BB590F">
            <w:pPr>
              <w:pStyle w:val="BodyText"/>
            </w:pPr>
            <w:r>
              <w:t>6953</w:t>
            </w:r>
          </w:p>
        </w:tc>
        <w:tc>
          <w:tcPr>
            <w:tcW w:w="1271" w:type="dxa"/>
            <w:shd w:val="clear" w:color="auto" w:fill="auto"/>
          </w:tcPr>
          <w:p w:rsidR="00BB590F" w:rsidRDefault="00BB590F" w:rsidP="00BA0546">
            <w:pPr>
              <w:pStyle w:val="BodyText"/>
            </w:pPr>
            <w:r>
              <w:t>14398</w:t>
            </w:r>
          </w:p>
        </w:tc>
        <w:tc>
          <w:tcPr>
            <w:tcW w:w="1134" w:type="dxa"/>
            <w:shd w:val="clear" w:color="auto" w:fill="auto"/>
          </w:tcPr>
          <w:p w:rsidR="00BB590F" w:rsidRDefault="00BB590F" w:rsidP="00BA0546">
            <w:pPr>
              <w:pStyle w:val="BodyText"/>
            </w:pPr>
            <w:r>
              <w:t>21784</w:t>
            </w:r>
          </w:p>
        </w:tc>
        <w:tc>
          <w:tcPr>
            <w:tcW w:w="1276" w:type="dxa"/>
          </w:tcPr>
          <w:p w:rsidR="00BB590F" w:rsidRDefault="00BB590F" w:rsidP="00BA0546">
            <w:pPr>
              <w:pStyle w:val="BodyText"/>
            </w:pPr>
            <w:r>
              <w:t>29236</w:t>
            </w:r>
          </w:p>
        </w:tc>
        <w:tc>
          <w:tcPr>
            <w:tcW w:w="2126" w:type="dxa"/>
            <w:shd w:val="clear" w:color="auto" w:fill="auto"/>
          </w:tcPr>
          <w:p w:rsidR="00BB590F" w:rsidRDefault="00BB590F" w:rsidP="00BA0546">
            <w:pPr>
              <w:pStyle w:val="BodyText"/>
            </w:pPr>
            <w:r>
              <w:t>-</w:t>
            </w:r>
          </w:p>
        </w:tc>
      </w:tr>
      <w:tr w:rsidR="00BB590F" w:rsidRPr="00092A97" w:rsidTr="00BA0546">
        <w:trPr>
          <w:trHeight w:hRule="exact" w:val="979"/>
        </w:trPr>
        <w:tc>
          <w:tcPr>
            <w:tcW w:w="2147" w:type="dxa"/>
            <w:shd w:val="clear" w:color="auto" w:fill="auto"/>
          </w:tcPr>
          <w:p w:rsidR="00BB590F" w:rsidRPr="000D153B" w:rsidRDefault="00BB590F" w:rsidP="00BA0546">
            <w:pPr>
              <w:pStyle w:val="BodyText"/>
            </w:pPr>
            <w:r>
              <w:t xml:space="preserve">Result </w:t>
            </w:r>
          </w:p>
        </w:tc>
        <w:tc>
          <w:tcPr>
            <w:tcW w:w="1265" w:type="dxa"/>
            <w:shd w:val="clear" w:color="auto" w:fill="auto"/>
          </w:tcPr>
          <w:p w:rsidR="00BB590F" w:rsidRPr="000D153B" w:rsidRDefault="00BB590F" w:rsidP="00BA0546">
            <w:pPr>
              <w:pStyle w:val="BodyText"/>
            </w:pPr>
            <w:r>
              <w:t>8735</w:t>
            </w:r>
          </w:p>
        </w:tc>
        <w:tc>
          <w:tcPr>
            <w:tcW w:w="1271" w:type="dxa"/>
            <w:shd w:val="clear" w:color="auto" w:fill="auto"/>
          </w:tcPr>
          <w:p w:rsidR="00BB590F" w:rsidRPr="000D153B" w:rsidRDefault="00BB590F" w:rsidP="00BA0546">
            <w:pPr>
              <w:pStyle w:val="BodyText"/>
            </w:pPr>
            <w:r>
              <w:t>15778</w:t>
            </w:r>
          </w:p>
        </w:tc>
        <w:tc>
          <w:tcPr>
            <w:tcW w:w="1134" w:type="dxa"/>
            <w:shd w:val="clear" w:color="auto" w:fill="auto"/>
          </w:tcPr>
          <w:p w:rsidR="00BB590F" w:rsidRPr="000D153B" w:rsidRDefault="00BB590F" w:rsidP="00BA0546">
            <w:pPr>
              <w:pStyle w:val="BodyText"/>
            </w:pPr>
            <w:r>
              <w:t>23456</w:t>
            </w:r>
          </w:p>
        </w:tc>
        <w:tc>
          <w:tcPr>
            <w:tcW w:w="1276" w:type="dxa"/>
          </w:tcPr>
          <w:p w:rsidR="00BB590F" w:rsidRPr="000D153B" w:rsidRDefault="00BB590F" w:rsidP="00BA0546">
            <w:pPr>
              <w:pStyle w:val="BodyText"/>
            </w:pPr>
            <w:r>
              <w:t>31699</w:t>
            </w:r>
          </w:p>
        </w:tc>
        <w:tc>
          <w:tcPr>
            <w:tcW w:w="2126" w:type="dxa"/>
            <w:shd w:val="clear" w:color="auto" w:fill="auto"/>
          </w:tcPr>
          <w:p w:rsidR="00BB590F" w:rsidRPr="000D153B" w:rsidRDefault="00BB590F" w:rsidP="00BA0546">
            <w:pPr>
              <w:pStyle w:val="BodyText"/>
            </w:pPr>
            <w:r>
              <w:t>Target achieved in all 4 quarters</w:t>
            </w:r>
          </w:p>
        </w:tc>
      </w:tr>
    </w:tbl>
    <w:p w:rsidR="00EF3419" w:rsidRDefault="00EF3419" w:rsidP="004B718D">
      <w:pPr>
        <w:autoSpaceDE w:val="0"/>
        <w:autoSpaceDN w:val="0"/>
        <w:adjustRightInd w:val="0"/>
        <w:spacing w:after="0" w:line="240" w:lineRule="auto"/>
        <w:rPr>
          <w:rFonts w:ascii="Gill Sans MT" w:hAnsi="Gill Sans MT"/>
        </w:rPr>
      </w:pPr>
    </w:p>
    <w:p w:rsidR="00FE3ECD" w:rsidRDefault="00FE3ECD">
      <w:pPr>
        <w:rPr>
          <w:rFonts w:ascii="Gill Sans MT" w:eastAsiaTheme="majorEastAsia" w:hAnsi="Gill Sans MT" w:cstheme="majorBidi"/>
          <w:b/>
          <w:bCs/>
          <w:iCs/>
          <w:sz w:val="24"/>
        </w:rPr>
      </w:pPr>
      <w:r>
        <w:br w:type="page"/>
      </w:r>
    </w:p>
    <w:p w:rsidR="00EF3419" w:rsidRDefault="00EF3419" w:rsidP="00EF3419">
      <w:pPr>
        <w:pStyle w:val="Heading4"/>
      </w:pPr>
      <w:r>
        <w:lastRenderedPageBreak/>
        <w:t>North West Cancer Centre Officially Opens</w:t>
      </w:r>
    </w:p>
    <w:p w:rsidR="00EF3419" w:rsidRDefault="00EF3419" w:rsidP="00EF3419">
      <w:pPr>
        <w:pStyle w:val="BodyText"/>
      </w:pPr>
      <w:r>
        <w:t>Following almost four years of meticulous planning, designing and building, the North West Cancer Centre was officially opened in May 2016. More than 100 guests descended upon North West Regional Hospital to attend the much anticipated opening, including politicians, health stakeholders, building contractors, hospital volunteers, patients and staff.</w:t>
      </w:r>
    </w:p>
    <w:p w:rsidR="00EF3419" w:rsidRDefault="00EF3419" w:rsidP="00EF3419">
      <w:pPr>
        <w:pStyle w:val="BodyText"/>
      </w:pPr>
      <w:r>
        <w:t>Tasmanian Premier Will Hodgman, Tasmanian Health Minister Michael Ferguson and former Federal Member for Braddon Brett Whiteley were all on hand to help cut the ribbon on the multi-million dollar facility, which has been operational since the start of the year.</w:t>
      </w:r>
    </w:p>
    <w:p w:rsidR="00EF3419" w:rsidRDefault="00EF3419" w:rsidP="00EF3419">
      <w:pPr>
        <w:pStyle w:val="BodyText"/>
      </w:pPr>
      <w:r>
        <w:t xml:space="preserve">Other noteworthy attendees included local businessman Dale Elphinstone, along with wife Cheryl. </w:t>
      </w:r>
      <w:proofErr w:type="gramStart"/>
      <w:r>
        <w:t>The  Elphinstone</w:t>
      </w:r>
      <w:proofErr w:type="gramEnd"/>
      <w:r>
        <w:t xml:space="preserve"> family donated significant funds to the project to allow for the purchase of the MRI machine. The Elphinstone </w:t>
      </w:r>
      <w:proofErr w:type="gramStart"/>
      <w:r>
        <w:t>family also sponsor</w:t>
      </w:r>
      <w:proofErr w:type="gramEnd"/>
      <w:r>
        <w:t xml:space="preserve"> a scholarship for North West students to undertake university studies in radiation medicine, which will allow them to return to work at the Cancer Centre and operate the centre’s linear accelerator.</w:t>
      </w:r>
    </w:p>
    <w:p w:rsidR="00EF3419" w:rsidRDefault="00EF3419" w:rsidP="00EF3419">
      <w:pPr>
        <w:pStyle w:val="BodyText"/>
      </w:pPr>
      <w:r>
        <w:t>During his speech, Premier Hodgman said the centre would allow many North West Coasters to undertake treatment closer to home.</w:t>
      </w:r>
    </w:p>
    <w:p w:rsidR="00EF3419" w:rsidRDefault="00EF3419" w:rsidP="00EF3419">
      <w:pPr>
        <w:pStyle w:val="BodyText"/>
      </w:pPr>
      <w:r>
        <w:t xml:space="preserve">“It is wonderful to have a facility in the North West to allow people to be treated here and not spend a lot of time travelling east and even south.” </w:t>
      </w:r>
    </w:p>
    <w:p w:rsidR="00EF3419" w:rsidRDefault="00EF3419" w:rsidP="00EF3419">
      <w:pPr>
        <w:pStyle w:val="BodyText"/>
      </w:pPr>
      <w:r>
        <w:t>Premier Hodgman also thanked all those community members and groups who both lobbied for the centre, and donated funds. All up, the North West community has donated more than $255,000 to the project.</w:t>
      </w:r>
    </w:p>
    <w:p w:rsidR="00EF3419" w:rsidRDefault="00EF3419" w:rsidP="00EF3419">
      <w:pPr>
        <w:pStyle w:val="BodyText"/>
      </w:pPr>
      <w:r>
        <w:t>“Today’s celebration is about a lot more than what governments can do, it’s really been a community effort…it’s about working together and that gets the best results.”</w:t>
      </w:r>
    </w:p>
    <w:p w:rsidR="00FE3ECD" w:rsidRDefault="00EF3419" w:rsidP="00EF3419">
      <w:pPr>
        <w:pStyle w:val="BodyText"/>
      </w:pPr>
      <w:r>
        <w:t>Following the formalities, guests were able to tour the new centre, including the linear accelerator bunker. The linear accelerator is the most advanced available, and also began operating last week.</w:t>
      </w:r>
    </w:p>
    <w:p w:rsidR="00FE3ECD" w:rsidRDefault="00FE3ECD">
      <w:pPr>
        <w:rPr>
          <w:rFonts w:ascii="Gill Sans MT" w:eastAsia="GillSans-Light" w:hAnsi="Gill Sans MT" w:cs="GillSans-Light"/>
          <w:lang w:val="en-US"/>
        </w:rPr>
      </w:pPr>
      <w:r>
        <w:br w:type="page"/>
      </w:r>
    </w:p>
    <w:p w:rsidR="00FE3ECD" w:rsidRDefault="00FE3ECD" w:rsidP="00FE3ECD">
      <w:pPr>
        <w:pStyle w:val="Heading2"/>
      </w:pPr>
      <w:bookmarkStart w:id="36" w:name="_Toc472581976"/>
      <w:r>
        <w:lastRenderedPageBreak/>
        <w:t>Supplementary Information</w:t>
      </w:r>
      <w:bookmarkEnd w:id="36"/>
    </w:p>
    <w:p w:rsidR="00FE3ECD" w:rsidRDefault="00FE3ECD" w:rsidP="00FE3ECD">
      <w:pPr>
        <w:pStyle w:val="Heading3"/>
      </w:pPr>
      <w:bookmarkStart w:id="37" w:name="_Toc472581977"/>
      <w:r>
        <w:t>Climate Change</w:t>
      </w:r>
      <w:bookmarkEnd w:id="37"/>
    </w:p>
    <w:p w:rsidR="00FE3ECD" w:rsidRDefault="00FE3ECD" w:rsidP="00FE3ECD">
      <w:pPr>
        <w:pStyle w:val="Heading4"/>
      </w:pPr>
      <w:r>
        <w:t>Commitment to Reducing Greenhouse Gas Emissions</w:t>
      </w:r>
    </w:p>
    <w:p w:rsidR="00FE3ECD" w:rsidRDefault="00FE3ECD" w:rsidP="00FE3ECD">
      <w:pPr>
        <w:pStyle w:val="BodyText"/>
      </w:pPr>
      <w:r>
        <w:t>The Tasmanian Health Service makes a proportional contribution toward Tasmania’s greenhouse gas emissions reduction goals.</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4106"/>
        <w:gridCol w:w="10"/>
        <w:gridCol w:w="1966"/>
        <w:gridCol w:w="1682"/>
        <w:gridCol w:w="1559"/>
      </w:tblGrid>
      <w:tr w:rsidR="00FE3ECD" w:rsidRPr="00FE3ECD" w:rsidTr="00FE3ECD">
        <w:trPr>
          <w:trHeight w:hRule="exact" w:val="356"/>
        </w:trPr>
        <w:tc>
          <w:tcPr>
            <w:tcW w:w="4116" w:type="dxa"/>
            <w:gridSpan w:val="2"/>
            <w:tcBorders>
              <w:top w:val="single" w:sz="4" w:space="0" w:color="004D8F"/>
              <w:left w:val="single" w:sz="4" w:space="0" w:color="004D8F"/>
              <w:bottom w:val="single" w:sz="4" w:space="0" w:color="004D8F"/>
              <w:right w:val="single" w:sz="4" w:space="0" w:color="004D8F"/>
            </w:tcBorders>
            <w:shd w:val="clear" w:color="auto" w:fill="auto"/>
          </w:tcPr>
          <w:p w:rsidR="00FE3ECD" w:rsidRPr="00FE3ECD" w:rsidRDefault="00FE3ECD" w:rsidP="00BA0546">
            <w:pPr>
              <w:pStyle w:val="TableParagraph"/>
              <w:tabs>
                <w:tab w:val="left" w:pos="5612"/>
              </w:tabs>
              <w:spacing w:before="38"/>
              <w:ind w:left="141"/>
              <w:rPr>
                <w:rFonts w:ascii="Gill Sans MT" w:hAnsi="Gill Sans MT"/>
              </w:rPr>
            </w:pPr>
            <w:r w:rsidRPr="00FE3ECD">
              <w:rPr>
                <w:rFonts w:ascii="Gill Sans MT" w:hAnsi="Gill Sans MT"/>
                <w:b/>
                <w:spacing w:val="-3"/>
                <w:position w:val="-3"/>
              </w:rPr>
              <w:t>Total</w:t>
            </w:r>
            <w:r w:rsidRPr="00FE3ECD">
              <w:rPr>
                <w:rFonts w:ascii="Gill Sans MT" w:hAnsi="Gill Sans MT"/>
                <w:b/>
                <w:spacing w:val="2"/>
                <w:position w:val="-3"/>
              </w:rPr>
              <w:t xml:space="preserve"> </w:t>
            </w:r>
            <w:r w:rsidRPr="00FE3ECD">
              <w:rPr>
                <w:rFonts w:ascii="Gill Sans MT" w:hAnsi="Gill Sans MT"/>
                <w:b/>
                <w:position w:val="-3"/>
              </w:rPr>
              <w:t>THS</w:t>
            </w:r>
            <w:r w:rsidRPr="00FE3ECD">
              <w:rPr>
                <w:rFonts w:ascii="Gill Sans MT" w:hAnsi="Gill Sans MT"/>
                <w:b/>
                <w:position w:val="-3"/>
              </w:rPr>
              <w:tab/>
            </w:r>
            <w:r w:rsidRPr="00FE3ECD">
              <w:rPr>
                <w:rFonts w:ascii="Gill Sans MT" w:hAnsi="Gill Sans MT"/>
                <w:spacing w:val="2"/>
              </w:rPr>
              <w:t xml:space="preserve">Current </w:t>
            </w:r>
            <w:r w:rsidRPr="00FE3ECD">
              <w:rPr>
                <w:rFonts w:ascii="Gill Sans MT" w:hAnsi="Gill Sans MT"/>
              </w:rPr>
              <w:t>Position</w:t>
            </w:r>
            <w:r w:rsidRPr="00FE3ECD">
              <w:rPr>
                <w:rFonts w:ascii="Gill Sans MT" w:hAnsi="Gill Sans MT"/>
                <w:spacing w:val="9"/>
              </w:rPr>
              <w:t xml:space="preserve"> </w:t>
            </w:r>
            <w:r w:rsidRPr="00FE3ECD">
              <w:rPr>
                <w:rFonts w:ascii="Gill Sans MT" w:hAnsi="Gill Sans MT"/>
                <w:spacing w:val="-7"/>
              </w:rPr>
              <w:t>2015-16</w:t>
            </w:r>
          </w:p>
        </w:tc>
        <w:tc>
          <w:tcPr>
            <w:tcW w:w="5207" w:type="dxa"/>
            <w:gridSpan w:val="3"/>
            <w:tcBorders>
              <w:top w:val="single" w:sz="4" w:space="0" w:color="004D8F"/>
              <w:left w:val="single" w:sz="4" w:space="0" w:color="004D8F"/>
              <w:bottom w:val="single" w:sz="4" w:space="0" w:color="004D8F"/>
              <w:right w:val="single" w:sz="4" w:space="0" w:color="004D8F"/>
            </w:tcBorders>
            <w:shd w:val="clear" w:color="auto" w:fill="auto"/>
          </w:tcPr>
          <w:p w:rsidR="00FE3ECD" w:rsidRPr="00FE3ECD" w:rsidRDefault="00FE3ECD" w:rsidP="00BA0546">
            <w:pPr>
              <w:pStyle w:val="TableParagraph"/>
              <w:tabs>
                <w:tab w:val="left" w:pos="5612"/>
              </w:tabs>
              <w:spacing w:before="38"/>
              <w:ind w:left="141"/>
              <w:rPr>
                <w:rFonts w:ascii="Gill Sans MT" w:hAnsi="Gill Sans MT"/>
              </w:rPr>
            </w:pPr>
            <w:r>
              <w:rPr>
                <w:rFonts w:ascii="Gill Sans MT" w:hAnsi="Gill Sans MT"/>
              </w:rPr>
              <w:t>Current Position 2015-16</w:t>
            </w:r>
          </w:p>
        </w:tc>
      </w:tr>
      <w:tr w:rsidR="00FE3ECD" w:rsidRPr="00FE3ECD" w:rsidTr="00FE3ECD">
        <w:trPr>
          <w:trHeight w:hRule="exact" w:val="320"/>
        </w:trPr>
        <w:tc>
          <w:tcPr>
            <w:tcW w:w="4106" w:type="dxa"/>
            <w:tcBorders>
              <w:top w:val="single" w:sz="4" w:space="0" w:color="004D8F"/>
              <w:right w:val="single" w:sz="4" w:space="0" w:color="004D8F"/>
            </w:tcBorders>
            <w:shd w:val="clear" w:color="auto" w:fill="auto"/>
          </w:tcPr>
          <w:p w:rsidR="00FE3ECD" w:rsidRPr="00FE3ECD" w:rsidRDefault="00FE3ECD" w:rsidP="00BA0546">
            <w:pPr>
              <w:pStyle w:val="TableParagraph"/>
              <w:spacing w:before="32"/>
              <w:ind w:left="75"/>
              <w:rPr>
                <w:rFonts w:ascii="Gill Sans MT" w:hAnsi="Gill Sans MT"/>
                <w:b/>
              </w:rPr>
            </w:pPr>
            <w:r w:rsidRPr="00FE3ECD">
              <w:rPr>
                <w:rFonts w:ascii="Gill Sans MT" w:hAnsi="Gill Sans MT"/>
                <w:b/>
              </w:rPr>
              <w:t>Activity</w:t>
            </w:r>
          </w:p>
        </w:tc>
        <w:tc>
          <w:tcPr>
            <w:tcW w:w="1976" w:type="dxa"/>
            <w:gridSpan w:val="2"/>
            <w:tcBorders>
              <w:top w:val="single" w:sz="4" w:space="0" w:color="004D8F"/>
              <w:left w:val="single" w:sz="4" w:space="0" w:color="004D8F"/>
              <w:right w:val="single" w:sz="4" w:space="0" w:color="004D8F"/>
            </w:tcBorders>
            <w:shd w:val="clear" w:color="auto" w:fill="auto"/>
          </w:tcPr>
          <w:p w:rsidR="00FE3ECD" w:rsidRPr="00FE3ECD" w:rsidRDefault="00FE3ECD" w:rsidP="00BA0546">
            <w:pPr>
              <w:pStyle w:val="TableParagraph"/>
              <w:spacing w:before="32"/>
              <w:ind w:left="590" w:right="590"/>
              <w:jc w:val="center"/>
              <w:rPr>
                <w:rFonts w:ascii="Gill Sans MT" w:hAnsi="Gill Sans MT"/>
                <w:b/>
              </w:rPr>
            </w:pPr>
            <w:r w:rsidRPr="00FE3ECD">
              <w:rPr>
                <w:rFonts w:ascii="Gill Sans MT" w:hAnsi="Gill Sans MT"/>
                <w:b/>
              </w:rPr>
              <w:t>Volumee</w:t>
            </w:r>
          </w:p>
        </w:tc>
        <w:tc>
          <w:tcPr>
            <w:tcW w:w="1682" w:type="dxa"/>
            <w:tcBorders>
              <w:top w:val="single" w:sz="4" w:space="0" w:color="004D8F"/>
              <w:left w:val="single" w:sz="4" w:space="0" w:color="004D8F"/>
              <w:right w:val="single" w:sz="4" w:space="0" w:color="004D8F"/>
            </w:tcBorders>
            <w:shd w:val="clear" w:color="auto" w:fill="auto"/>
          </w:tcPr>
          <w:p w:rsidR="00FE3ECD" w:rsidRPr="00FE3ECD" w:rsidRDefault="00FE3ECD" w:rsidP="00BA0546">
            <w:pPr>
              <w:rPr>
                <w:rFonts w:ascii="Gill Sans MT" w:hAnsi="Gill Sans MT"/>
              </w:rPr>
            </w:pPr>
            <w:r w:rsidRPr="00FE3ECD">
              <w:rPr>
                <w:rFonts w:ascii="Gill Sans MT" w:hAnsi="Gill Sans MT"/>
              </w:rPr>
              <w:t xml:space="preserve">- </w:t>
            </w:r>
          </w:p>
        </w:tc>
        <w:tc>
          <w:tcPr>
            <w:tcW w:w="1559" w:type="dxa"/>
            <w:tcBorders>
              <w:top w:val="single" w:sz="4" w:space="0" w:color="004D8F"/>
              <w:left w:val="single" w:sz="4" w:space="0" w:color="004D8F"/>
            </w:tcBorders>
            <w:shd w:val="clear" w:color="auto" w:fill="auto"/>
          </w:tcPr>
          <w:p w:rsidR="00FE3ECD" w:rsidRPr="00FE3ECD" w:rsidRDefault="00FE3ECD" w:rsidP="00BA0546">
            <w:pPr>
              <w:pStyle w:val="TableParagraph"/>
              <w:spacing w:before="32"/>
              <w:ind w:right="420"/>
              <w:jc w:val="right"/>
              <w:rPr>
                <w:rFonts w:ascii="Gill Sans MT" w:hAnsi="Gill Sans MT"/>
                <w:b/>
              </w:rPr>
            </w:pPr>
            <w:r w:rsidRPr="00FE3ECD">
              <w:rPr>
                <w:rFonts w:ascii="Gill Sans MT" w:hAnsi="Gill Sans MT"/>
                <w:b/>
              </w:rPr>
              <w:t>tCO</w:t>
            </w:r>
            <w:r w:rsidRPr="00FE3ECD">
              <w:rPr>
                <w:rFonts w:ascii="Gill Sans MT" w:hAnsi="Gill Sans MT"/>
                <w:b/>
                <w:position w:val="-6"/>
                <w:sz w:val="13"/>
              </w:rPr>
              <w:t>2</w:t>
            </w:r>
            <w:r w:rsidRPr="00FE3ECD">
              <w:rPr>
                <w:rFonts w:ascii="Gill Sans MT" w:hAnsi="Gill Sans MT"/>
                <w:b/>
              </w:rPr>
              <w:t>-e</w:t>
            </w:r>
          </w:p>
        </w:tc>
      </w:tr>
      <w:tr w:rsidR="00FE3ECD" w:rsidRPr="00FE3ECD" w:rsidTr="00FE3ECD">
        <w:trPr>
          <w:trHeight w:hRule="exact" w:val="320"/>
        </w:trPr>
        <w:tc>
          <w:tcPr>
            <w:tcW w:w="4106" w:type="dxa"/>
            <w:tcBorders>
              <w:right w:val="single" w:sz="4" w:space="0" w:color="004D8F"/>
            </w:tcBorders>
            <w:shd w:val="clear" w:color="auto" w:fill="auto"/>
          </w:tcPr>
          <w:p w:rsidR="00FE3ECD" w:rsidRPr="00FE3ECD" w:rsidRDefault="00FE3ECD" w:rsidP="00BA0546">
            <w:pPr>
              <w:pStyle w:val="TableParagraph"/>
              <w:spacing w:before="38"/>
              <w:ind w:left="75"/>
              <w:rPr>
                <w:rFonts w:ascii="Gill Sans MT" w:hAnsi="Gill Sans MT"/>
              </w:rPr>
            </w:pPr>
            <w:r w:rsidRPr="00FE3ECD">
              <w:rPr>
                <w:rFonts w:ascii="Gill Sans MT" w:hAnsi="Gill Sans MT"/>
              </w:rPr>
              <w:t>Electricity</w:t>
            </w:r>
          </w:p>
        </w:tc>
        <w:tc>
          <w:tcPr>
            <w:tcW w:w="1976" w:type="dxa"/>
            <w:gridSpan w:val="2"/>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90" w:right="529"/>
              <w:jc w:val="center"/>
              <w:rPr>
                <w:rFonts w:ascii="Gill Sans MT" w:hAnsi="Gill Sans MT"/>
              </w:rPr>
            </w:pPr>
            <w:r w:rsidRPr="00FE3ECD">
              <w:rPr>
                <w:rFonts w:ascii="Gill Sans MT" w:hAnsi="Gill Sans MT"/>
              </w:rPr>
              <w:t>92.64</w:t>
            </w:r>
          </w:p>
        </w:tc>
        <w:tc>
          <w:tcPr>
            <w:tcW w:w="1682" w:type="dxa"/>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70" w:right="570"/>
              <w:jc w:val="center"/>
              <w:rPr>
                <w:rFonts w:ascii="Gill Sans MT" w:hAnsi="Gill Sans MT"/>
              </w:rPr>
            </w:pPr>
            <w:r w:rsidRPr="00FE3ECD">
              <w:rPr>
                <w:rFonts w:ascii="Gill Sans MT" w:hAnsi="Gill Sans MT"/>
              </w:rPr>
              <w:t>GWh</w:t>
            </w:r>
          </w:p>
        </w:tc>
        <w:tc>
          <w:tcPr>
            <w:tcW w:w="1559" w:type="dxa"/>
            <w:tcBorders>
              <w:left w:val="single" w:sz="4" w:space="0" w:color="004D8F"/>
            </w:tcBorders>
            <w:shd w:val="clear" w:color="auto" w:fill="auto"/>
          </w:tcPr>
          <w:p w:rsidR="00FE3ECD" w:rsidRPr="00FE3ECD" w:rsidRDefault="00FE3ECD" w:rsidP="00FE3ECD">
            <w:pPr>
              <w:pStyle w:val="TableParagraph"/>
              <w:spacing w:before="38"/>
              <w:ind w:right="447"/>
              <w:jc w:val="right"/>
              <w:rPr>
                <w:rFonts w:ascii="Gill Sans MT" w:hAnsi="Gill Sans MT"/>
              </w:rPr>
            </w:pPr>
            <w:r w:rsidRPr="00FE3ECD">
              <w:rPr>
                <w:rFonts w:ascii="Gill Sans MT" w:hAnsi="Gill Sans MT"/>
              </w:rPr>
              <w:t>12043</w:t>
            </w:r>
          </w:p>
        </w:tc>
      </w:tr>
      <w:tr w:rsidR="00FE3ECD" w:rsidRPr="00FE3ECD" w:rsidTr="00FE3ECD">
        <w:trPr>
          <w:trHeight w:hRule="exact" w:val="349"/>
        </w:trPr>
        <w:tc>
          <w:tcPr>
            <w:tcW w:w="4106" w:type="dxa"/>
            <w:tcBorders>
              <w:right w:val="single" w:sz="4" w:space="0" w:color="004D8F"/>
            </w:tcBorders>
            <w:shd w:val="clear" w:color="auto" w:fill="auto"/>
          </w:tcPr>
          <w:p w:rsidR="00FE3ECD" w:rsidRPr="00FE3ECD" w:rsidRDefault="00FE3ECD" w:rsidP="00BA0546">
            <w:pPr>
              <w:pStyle w:val="TableParagraph"/>
              <w:spacing w:before="38"/>
              <w:ind w:left="76"/>
              <w:rPr>
                <w:rFonts w:ascii="Gill Sans MT" w:hAnsi="Gill Sans MT"/>
              </w:rPr>
            </w:pPr>
            <w:r w:rsidRPr="00FE3ECD">
              <w:rPr>
                <w:rFonts w:ascii="Gill Sans MT" w:hAnsi="Gill Sans MT"/>
              </w:rPr>
              <w:t>Natural gas</w:t>
            </w:r>
          </w:p>
        </w:tc>
        <w:tc>
          <w:tcPr>
            <w:tcW w:w="1976" w:type="dxa"/>
            <w:gridSpan w:val="2"/>
            <w:tcBorders>
              <w:left w:val="single" w:sz="4" w:space="0" w:color="004D8F"/>
              <w:right w:val="single" w:sz="4" w:space="0" w:color="004D8F"/>
            </w:tcBorders>
            <w:shd w:val="clear" w:color="auto" w:fill="auto"/>
          </w:tcPr>
          <w:p w:rsidR="00FE3ECD" w:rsidRPr="00FE3ECD" w:rsidRDefault="00FE3ECD" w:rsidP="00FE3ECD">
            <w:pPr>
              <w:pStyle w:val="TableParagraph"/>
              <w:spacing w:before="38"/>
              <w:ind w:left="586" w:right="590"/>
              <w:jc w:val="center"/>
              <w:rPr>
                <w:rFonts w:ascii="Gill Sans MT" w:hAnsi="Gill Sans MT"/>
              </w:rPr>
            </w:pPr>
            <w:r w:rsidRPr="00FE3ECD">
              <w:rPr>
                <w:rFonts w:ascii="Gill Sans MT" w:hAnsi="Gill Sans MT"/>
              </w:rPr>
              <w:t>93653</w:t>
            </w:r>
          </w:p>
        </w:tc>
        <w:tc>
          <w:tcPr>
            <w:tcW w:w="1682" w:type="dxa"/>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70" w:right="568"/>
              <w:jc w:val="center"/>
              <w:rPr>
                <w:rFonts w:ascii="Gill Sans MT" w:hAnsi="Gill Sans MT"/>
              </w:rPr>
            </w:pPr>
            <w:r w:rsidRPr="00FE3ECD">
              <w:rPr>
                <w:rFonts w:ascii="Gill Sans MT" w:hAnsi="Gill Sans MT"/>
              </w:rPr>
              <w:t>GJ</w:t>
            </w:r>
          </w:p>
        </w:tc>
        <w:tc>
          <w:tcPr>
            <w:tcW w:w="1559" w:type="dxa"/>
            <w:tcBorders>
              <w:left w:val="single" w:sz="4" w:space="0" w:color="004D8F"/>
            </w:tcBorders>
            <w:shd w:val="clear" w:color="auto" w:fill="auto"/>
          </w:tcPr>
          <w:p w:rsidR="00FE3ECD" w:rsidRPr="00FE3ECD" w:rsidRDefault="00FE3ECD" w:rsidP="00BA0546">
            <w:pPr>
              <w:pStyle w:val="TableParagraph"/>
              <w:spacing w:before="38"/>
              <w:ind w:right="451"/>
              <w:jc w:val="right"/>
              <w:rPr>
                <w:rFonts w:ascii="Gill Sans MT" w:hAnsi="Gill Sans MT"/>
              </w:rPr>
            </w:pPr>
            <w:r w:rsidRPr="00FE3ECD">
              <w:rPr>
                <w:rFonts w:ascii="Gill Sans MT" w:hAnsi="Gill Sans MT"/>
              </w:rPr>
              <w:t>4826</w:t>
            </w:r>
          </w:p>
        </w:tc>
      </w:tr>
      <w:tr w:rsidR="00FE3ECD" w:rsidRPr="00FE3ECD" w:rsidTr="00FE3ECD">
        <w:trPr>
          <w:trHeight w:hRule="exact" w:val="331"/>
        </w:trPr>
        <w:tc>
          <w:tcPr>
            <w:tcW w:w="4106" w:type="dxa"/>
            <w:tcBorders>
              <w:right w:val="single" w:sz="4" w:space="0" w:color="004D8F"/>
            </w:tcBorders>
            <w:shd w:val="clear" w:color="auto" w:fill="auto"/>
          </w:tcPr>
          <w:p w:rsidR="00FE3ECD" w:rsidRPr="00FE3ECD" w:rsidRDefault="00FE3ECD" w:rsidP="00BA0546">
            <w:pPr>
              <w:pStyle w:val="TableParagraph"/>
              <w:spacing w:before="49"/>
              <w:ind w:left="76"/>
              <w:rPr>
                <w:rFonts w:ascii="Gill Sans MT" w:hAnsi="Gill Sans MT"/>
              </w:rPr>
            </w:pPr>
            <w:r w:rsidRPr="00FE3ECD">
              <w:rPr>
                <w:rFonts w:ascii="Gill Sans MT" w:hAnsi="Gill Sans MT"/>
              </w:rPr>
              <w:t>Unleaded petrol</w:t>
            </w:r>
          </w:p>
        </w:tc>
        <w:tc>
          <w:tcPr>
            <w:tcW w:w="1976" w:type="dxa"/>
            <w:gridSpan w:val="2"/>
            <w:tcBorders>
              <w:left w:val="single" w:sz="4" w:space="0" w:color="004D8F"/>
              <w:right w:val="single" w:sz="4" w:space="0" w:color="004D8F"/>
            </w:tcBorders>
            <w:shd w:val="clear" w:color="auto" w:fill="auto"/>
          </w:tcPr>
          <w:p w:rsidR="00FE3ECD" w:rsidRPr="00FE3ECD" w:rsidRDefault="00FE3ECD" w:rsidP="00BA0546">
            <w:pPr>
              <w:pStyle w:val="TableParagraph"/>
              <w:spacing w:before="49"/>
              <w:ind w:left="590" w:right="590"/>
              <w:jc w:val="center"/>
              <w:rPr>
                <w:rFonts w:ascii="Gill Sans MT" w:hAnsi="Gill Sans MT"/>
              </w:rPr>
            </w:pPr>
            <w:r w:rsidRPr="00FE3ECD">
              <w:rPr>
                <w:rFonts w:ascii="Gill Sans MT" w:hAnsi="Gill Sans MT"/>
              </w:rPr>
              <w:t>446.36</w:t>
            </w:r>
          </w:p>
        </w:tc>
        <w:tc>
          <w:tcPr>
            <w:tcW w:w="1682" w:type="dxa"/>
            <w:tcBorders>
              <w:left w:val="single" w:sz="4" w:space="0" w:color="004D8F"/>
              <w:right w:val="single" w:sz="4" w:space="0" w:color="004D8F"/>
            </w:tcBorders>
            <w:shd w:val="clear" w:color="auto" w:fill="auto"/>
          </w:tcPr>
          <w:p w:rsidR="00FE3ECD" w:rsidRPr="00FE3ECD" w:rsidRDefault="00FE3ECD" w:rsidP="00BA0546">
            <w:pPr>
              <w:pStyle w:val="TableParagraph"/>
              <w:spacing w:before="49"/>
              <w:ind w:left="570" w:right="564"/>
              <w:jc w:val="center"/>
              <w:rPr>
                <w:rFonts w:ascii="Gill Sans MT" w:hAnsi="Gill Sans MT"/>
              </w:rPr>
            </w:pPr>
            <w:r w:rsidRPr="00FE3ECD">
              <w:rPr>
                <w:rFonts w:ascii="Gill Sans MT" w:hAnsi="Gill Sans MT"/>
              </w:rPr>
              <w:t>kL</w:t>
            </w:r>
          </w:p>
        </w:tc>
        <w:tc>
          <w:tcPr>
            <w:tcW w:w="1559" w:type="dxa"/>
            <w:tcBorders>
              <w:left w:val="single" w:sz="4" w:space="0" w:color="004D8F"/>
            </w:tcBorders>
            <w:shd w:val="clear" w:color="auto" w:fill="auto"/>
          </w:tcPr>
          <w:p w:rsidR="00FE3ECD" w:rsidRPr="00FE3ECD" w:rsidRDefault="00FE3ECD" w:rsidP="00BA0546">
            <w:pPr>
              <w:pStyle w:val="TableParagraph"/>
              <w:spacing w:before="49"/>
              <w:ind w:right="447"/>
              <w:jc w:val="right"/>
              <w:rPr>
                <w:rFonts w:ascii="Gill Sans MT" w:hAnsi="Gill Sans MT"/>
              </w:rPr>
            </w:pPr>
            <w:r w:rsidRPr="00FE3ECD">
              <w:rPr>
                <w:rFonts w:ascii="Gill Sans MT" w:hAnsi="Gill Sans MT"/>
              </w:rPr>
              <w:t>1063</w:t>
            </w:r>
          </w:p>
        </w:tc>
      </w:tr>
      <w:tr w:rsidR="00FE3ECD" w:rsidRPr="00FE3ECD" w:rsidTr="00FE3ECD">
        <w:trPr>
          <w:trHeight w:hRule="exact" w:val="320"/>
        </w:trPr>
        <w:tc>
          <w:tcPr>
            <w:tcW w:w="4106" w:type="dxa"/>
            <w:tcBorders>
              <w:right w:val="single" w:sz="4" w:space="0" w:color="004D8F"/>
            </w:tcBorders>
            <w:shd w:val="clear" w:color="auto" w:fill="auto"/>
          </w:tcPr>
          <w:p w:rsidR="00FE3ECD" w:rsidRPr="00FE3ECD" w:rsidRDefault="00FE3ECD" w:rsidP="00BA0546">
            <w:pPr>
              <w:pStyle w:val="TableParagraph"/>
              <w:spacing w:before="38"/>
              <w:ind w:left="75"/>
              <w:rPr>
                <w:rFonts w:ascii="Gill Sans MT" w:hAnsi="Gill Sans MT"/>
              </w:rPr>
            </w:pPr>
            <w:r w:rsidRPr="00FE3ECD">
              <w:rPr>
                <w:rFonts w:ascii="Gill Sans MT" w:hAnsi="Gill Sans MT"/>
              </w:rPr>
              <w:t>Diesel fuel</w:t>
            </w:r>
          </w:p>
        </w:tc>
        <w:tc>
          <w:tcPr>
            <w:tcW w:w="1976" w:type="dxa"/>
            <w:gridSpan w:val="2"/>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77" w:right="590"/>
              <w:jc w:val="center"/>
              <w:rPr>
                <w:rFonts w:ascii="Gill Sans MT" w:hAnsi="Gill Sans MT"/>
              </w:rPr>
            </w:pPr>
            <w:r w:rsidRPr="00FE3ECD">
              <w:rPr>
                <w:rFonts w:ascii="Gill Sans MT" w:hAnsi="Gill Sans MT"/>
              </w:rPr>
              <w:t>304.17</w:t>
            </w:r>
          </w:p>
        </w:tc>
        <w:tc>
          <w:tcPr>
            <w:tcW w:w="1682" w:type="dxa"/>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70" w:right="564"/>
              <w:jc w:val="center"/>
              <w:rPr>
                <w:rFonts w:ascii="Gill Sans MT" w:hAnsi="Gill Sans MT"/>
              </w:rPr>
            </w:pPr>
            <w:r w:rsidRPr="00FE3ECD">
              <w:rPr>
                <w:rFonts w:ascii="Gill Sans MT" w:hAnsi="Gill Sans MT"/>
              </w:rPr>
              <w:t>kL</w:t>
            </w:r>
          </w:p>
        </w:tc>
        <w:tc>
          <w:tcPr>
            <w:tcW w:w="1559" w:type="dxa"/>
            <w:tcBorders>
              <w:left w:val="single" w:sz="4" w:space="0" w:color="004D8F"/>
            </w:tcBorders>
            <w:shd w:val="clear" w:color="auto" w:fill="auto"/>
          </w:tcPr>
          <w:p w:rsidR="00FE3ECD" w:rsidRPr="00FE3ECD" w:rsidRDefault="00FE3ECD" w:rsidP="00BA0546">
            <w:pPr>
              <w:pStyle w:val="TableParagraph"/>
              <w:spacing w:before="38"/>
              <w:ind w:right="448"/>
              <w:jc w:val="right"/>
              <w:rPr>
                <w:rFonts w:ascii="Gill Sans MT" w:hAnsi="Gill Sans MT"/>
              </w:rPr>
            </w:pPr>
            <w:r w:rsidRPr="00FE3ECD">
              <w:rPr>
                <w:rFonts w:ascii="Gill Sans MT" w:hAnsi="Gill Sans MT"/>
              </w:rPr>
              <w:t>820</w:t>
            </w:r>
          </w:p>
        </w:tc>
      </w:tr>
      <w:tr w:rsidR="00FE3ECD" w:rsidRPr="00FE3ECD" w:rsidTr="00FE3ECD">
        <w:trPr>
          <w:trHeight w:hRule="exact" w:val="320"/>
        </w:trPr>
        <w:tc>
          <w:tcPr>
            <w:tcW w:w="4106" w:type="dxa"/>
            <w:tcBorders>
              <w:right w:val="single" w:sz="4" w:space="0" w:color="004D8F"/>
            </w:tcBorders>
            <w:shd w:val="clear" w:color="auto" w:fill="auto"/>
          </w:tcPr>
          <w:p w:rsidR="00FE3ECD" w:rsidRPr="00FE3ECD" w:rsidRDefault="00FE3ECD" w:rsidP="00BA0546">
            <w:pPr>
              <w:pStyle w:val="TableParagraph"/>
              <w:spacing w:before="38"/>
              <w:ind w:left="75"/>
              <w:rPr>
                <w:rFonts w:ascii="Gill Sans MT" w:hAnsi="Gill Sans MT"/>
              </w:rPr>
            </w:pPr>
            <w:r w:rsidRPr="00FE3ECD">
              <w:rPr>
                <w:rFonts w:ascii="Gill Sans MT" w:hAnsi="Gill Sans MT"/>
              </w:rPr>
              <w:t>Air travel</w:t>
            </w:r>
          </w:p>
        </w:tc>
        <w:tc>
          <w:tcPr>
            <w:tcW w:w="1976" w:type="dxa"/>
            <w:gridSpan w:val="2"/>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89" w:right="590"/>
              <w:jc w:val="center"/>
              <w:rPr>
                <w:rFonts w:ascii="Gill Sans MT" w:hAnsi="Gill Sans MT"/>
              </w:rPr>
            </w:pPr>
            <w:r w:rsidRPr="00FE3ECD">
              <w:rPr>
                <w:rFonts w:ascii="Gill Sans MT" w:hAnsi="Gill Sans MT"/>
              </w:rPr>
              <w:t>6.82</w:t>
            </w:r>
          </w:p>
        </w:tc>
        <w:tc>
          <w:tcPr>
            <w:tcW w:w="1682" w:type="dxa"/>
            <w:tcBorders>
              <w:left w:val="single" w:sz="4" w:space="0" w:color="004D8F"/>
              <w:right w:val="single" w:sz="4" w:space="0" w:color="004D8F"/>
            </w:tcBorders>
            <w:shd w:val="clear" w:color="auto" w:fill="auto"/>
          </w:tcPr>
          <w:p w:rsidR="00FE3ECD" w:rsidRPr="00FE3ECD" w:rsidRDefault="00FE3ECD" w:rsidP="00BA0546">
            <w:pPr>
              <w:pStyle w:val="TableParagraph"/>
              <w:spacing w:before="38"/>
              <w:ind w:left="570" w:right="563"/>
              <w:jc w:val="center"/>
              <w:rPr>
                <w:rFonts w:ascii="Gill Sans MT" w:hAnsi="Gill Sans MT"/>
              </w:rPr>
            </w:pPr>
            <w:r w:rsidRPr="00FE3ECD">
              <w:rPr>
                <w:rFonts w:ascii="Gill Sans MT" w:hAnsi="Gill Sans MT"/>
              </w:rPr>
              <w:t>km</w:t>
            </w:r>
          </w:p>
        </w:tc>
        <w:tc>
          <w:tcPr>
            <w:tcW w:w="1559" w:type="dxa"/>
            <w:tcBorders>
              <w:left w:val="single" w:sz="4" w:space="0" w:color="004D8F"/>
            </w:tcBorders>
            <w:shd w:val="clear" w:color="auto" w:fill="auto"/>
          </w:tcPr>
          <w:p w:rsidR="00FE3ECD" w:rsidRPr="00FE3ECD" w:rsidRDefault="00FE3ECD" w:rsidP="00BA0546">
            <w:pPr>
              <w:pStyle w:val="TableParagraph"/>
              <w:spacing w:before="38"/>
              <w:ind w:right="447"/>
              <w:jc w:val="right"/>
              <w:rPr>
                <w:rFonts w:ascii="Gill Sans MT" w:hAnsi="Gill Sans MT"/>
              </w:rPr>
            </w:pPr>
            <w:r w:rsidRPr="00FE3ECD">
              <w:rPr>
                <w:rFonts w:ascii="Gill Sans MT" w:hAnsi="Gill Sans MT"/>
              </w:rPr>
              <w:t>1078</w:t>
            </w:r>
          </w:p>
        </w:tc>
      </w:tr>
      <w:tr w:rsidR="00FE3ECD" w:rsidRPr="00FE3ECD" w:rsidTr="00FE3ECD">
        <w:trPr>
          <w:trHeight w:hRule="exact" w:val="320"/>
        </w:trPr>
        <w:tc>
          <w:tcPr>
            <w:tcW w:w="4106" w:type="dxa"/>
            <w:tcBorders>
              <w:bottom w:val="single" w:sz="4" w:space="0" w:color="004D8F"/>
              <w:right w:val="single" w:sz="4" w:space="0" w:color="004D8F"/>
            </w:tcBorders>
            <w:shd w:val="clear" w:color="auto" w:fill="auto"/>
          </w:tcPr>
          <w:p w:rsidR="00FE3ECD" w:rsidRPr="00FE3ECD" w:rsidRDefault="00FE3ECD" w:rsidP="00BA0546">
            <w:pPr>
              <w:pStyle w:val="TableParagraph"/>
              <w:spacing w:before="29"/>
              <w:ind w:left="75"/>
              <w:rPr>
                <w:rFonts w:ascii="Gill Sans MT" w:hAnsi="Gill Sans MT"/>
                <w:b/>
              </w:rPr>
            </w:pPr>
            <w:r w:rsidRPr="00FE3ECD">
              <w:rPr>
                <w:rFonts w:ascii="Gill Sans MT" w:hAnsi="Gill Sans MT"/>
                <w:b/>
              </w:rPr>
              <w:t>Total THS</w:t>
            </w:r>
          </w:p>
        </w:tc>
        <w:tc>
          <w:tcPr>
            <w:tcW w:w="1976" w:type="dxa"/>
            <w:gridSpan w:val="2"/>
            <w:tcBorders>
              <w:left w:val="single" w:sz="4" w:space="0" w:color="004D8F"/>
              <w:bottom w:val="single" w:sz="4" w:space="0" w:color="004D8F"/>
              <w:right w:val="single" w:sz="4" w:space="0" w:color="004D8F"/>
            </w:tcBorders>
            <w:shd w:val="clear" w:color="auto" w:fill="auto"/>
          </w:tcPr>
          <w:p w:rsidR="00FE3ECD" w:rsidRPr="00FE3ECD" w:rsidRDefault="00FE3ECD" w:rsidP="00BA0546">
            <w:pPr>
              <w:rPr>
                <w:rFonts w:ascii="Gill Sans MT" w:hAnsi="Gill Sans MT"/>
              </w:rPr>
            </w:pPr>
            <w:r w:rsidRPr="00FE3ECD">
              <w:rPr>
                <w:rFonts w:ascii="Gill Sans MT" w:hAnsi="Gill Sans MT"/>
              </w:rPr>
              <w:t>-</w:t>
            </w:r>
          </w:p>
        </w:tc>
        <w:tc>
          <w:tcPr>
            <w:tcW w:w="1682" w:type="dxa"/>
            <w:tcBorders>
              <w:left w:val="single" w:sz="4" w:space="0" w:color="004D8F"/>
              <w:bottom w:val="single" w:sz="4" w:space="0" w:color="004D8F"/>
              <w:right w:val="single" w:sz="4" w:space="0" w:color="004D8F"/>
            </w:tcBorders>
            <w:shd w:val="clear" w:color="auto" w:fill="auto"/>
          </w:tcPr>
          <w:p w:rsidR="00FE3ECD" w:rsidRPr="00FE3ECD" w:rsidRDefault="00FE3ECD" w:rsidP="00BA0546">
            <w:pPr>
              <w:rPr>
                <w:rFonts w:ascii="Gill Sans MT" w:hAnsi="Gill Sans MT"/>
              </w:rPr>
            </w:pPr>
            <w:r w:rsidRPr="00FE3ECD">
              <w:rPr>
                <w:rFonts w:ascii="Gill Sans MT" w:hAnsi="Gill Sans MT"/>
              </w:rPr>
              <w:t>-</w:t>
            </w:r>
          </w:p>
        </w:tc>
        <w:tc>
          <w:tcPr>
            <w:tcW w:w="1559" w:type="dxa"/>
            <w:tcBorders>
              <w:left w:val="single" w:sz="4" w:space="0" w:color="004D8F"/>
              <w:bottom w:val="single" w:sz="4" w:space="0" w:color="004D8F"/>
            </w:tcBorders>
            <w:shd w:val="clear" w:color="auto" w:fill="auto"/>
          </w:tcPr>
          <w:p w:rsidR="00FE3ECD" w:rsidRPr="00FE3ECD" w:rsidRDefault="00FE3ECD" w:rsidP="00BA0546">
            <w:pPr>
              <w:pStyle w:val="TableParagraph"/>
              <w:spacing w:before="29"/>
              <w:ind w:right="447"/>
              <w:jc w:val="right"/>
              <w:rPr>
                <w:rFonts w:ascii="Gill Sans MT" w:hAnsi="Gill Sans MT"/>
                <w:b/>
              </w:rPr>
            </w:pPr>
            <w:r w:rsidRPr="00FE3ECD">
              <w:rPr>
                <w:rFonts w:ascii="Gill Sans MT" w:hAnsi="Gill Sans MT"/>
                <w:b/>
              </w:rPr>
              <w:t>245</w:t>
            </w:r>
          </w:p>
        </w:tc>
      </w:tr>
    </w:tbl>
    <w:p w:rsidR="00EF3419" w:rsidRDefault="00EF3419" w:rsidP="00FE3ECD">
      <w:pPr>
        <w:pStyle w:val="BodyText"/>
      </w:pPr>
    </w:p>
    <w:p w:rsidR="00FE3ECD" w:rsidRDefault="00FE3ECD" w:rsidP="008309DD">
      <w:pPr>
        <w:pStyle w:val="Heading3"/>
      </w:pPr>
      <w:bookmarkStart w:id="38" w:name="_Toc472581978"/>
      <w:r>
        <w:t>Capital Works and Asset Management</w:t>
      </w:r>
      <w:bookmarkEnd w:id="38"/>
    </w:p>
    <w:p w:rsidR="00FE3ECD" w:rsidRDefault="00FE3ECD" w:rsidP="008309DD">
      <w:pPr>
        <w:pStyle w:val="BodyText"/>
      </w:pPr>
      <w:r>
        <w:t>Asset Management Services (AMS) continues</w:t>
      </w:r>
      <w:r w:rsidR="008309DD">
        <w:t xml:space="preserve"> </w:t>
      </w:r>
      <w:r>
        <w:t>to provide support to the Tasmanian Health</w:t>
      </w:r>
      <w:r w:rsidR="008309DD">
        <w:t xml:space="preserve"> </w:t>
      </w:r>
      <w:r>
        <w:t>Services (THS) for the key property management</w:t>
      </w:r>
      <w:r w:rsidR="008309DD">
        <w:t xml:space="preserve"> </w:t>
      </w:r>
      <w:r>
        <w:t>elements of planning, procurement and</w:t>
      </w:r>
      <w:r w:rsidR="008309DD">
        <w:t xml:space="preserve"> </w:t>
      </w:r>
      <w:r>
        <w:t>sustainability.</w:t>
      </w:r>
    </w:p>
    <w:p w:rsidR="00FE3ECD" w:rsidRDefault="00FE3ECD" w:rsidP="008309DD">
      <w:pPr>
        <w:pStyle w:val="BodyText"/>
      </w:pPr>
      <w:r>
        <w:t>In 2014-15, AMS was responsible for</w:t>
      </w:r>
      <w:r w:rsidR="008309DD">
        <w:t xml:space="preserve"> </w:t>
      </w:r>
      <w:r>
        <w:t>implementing an asbestos audit across its entire</w:t>
      </w:r>
      <w:r w:rsidR="008309DD">
        <w:t xml:space="preserve"> </w:t>
      </w:r>
      <w:r>
        <w:t xml:space="preserve">portfolio of assets. An audit </w:t>
      </w:r>
      <w:proofErr w:type="gramStart"/>
      <w:r>
        <w:t>of every asbestos</w:t>
      </w:r>
      <w:proofErr w:type="gramEnd"/>
      <w:r w:rsidR="008309DD">
        <w:t xml:space="preserve"> </w:t>
      </w:r>
      <w:r>
        <w:t>containing</w:t>
      </w:r>
      <w:r w:rsidR="008309DD">
        <w:t xml:space="preserve"> </w:t>
      </w:r>
      <w:r>
        <w:t>site was completed and a program</w:t>
      </w:r>
      <w:r w:rsidR="008309DD">
        <w:t xml:space="preserve"> </w:t>
      </w:r>
      <w:r>
        <w:t>implemented to provide each site with an</w:t>
      </w:r>
      <w:r w:rsidR="008309DD">
        <w:t xml:space="preserve"> </w:t>
      </w:r>
      <w:r>
        <w:t>updated Asbestos Register. At the same time, an</w:t>
      </w:r>
      <w:r w:rsidR="008309DD">
        <w:t xml:space="preserve"> </w:t>
      </w:r>
      <w:r>
        <w:t>Asbestos Management Plan was developed, which</w:t>
      </w:r>
      <w:r w:rsidR="008309DD">
        <w:t xml:space="preserve"> </w:t>
      </w:r>
      <w:r>
        <w:t>provides a guide for the management of Asbestos</w:t>
      </w:r>
      <w:r w:rsidR="008309DD">
        <w:t xml:space="preserve"> </w:t>
      </w:r>
      <w:r>
        <w:t>Containing Materials (ACM) in the workplace and</w:t>
      </w:r>
      <w:r w:rsidR="008309DD">
        <w:t xml:space="preserve"> </w:t>
      </w:r>
      <w:r>
        <w:t>details the roles and responsibilities of employees</w:t>
      </w:r>
      <w:r w:rsidR="008309DD">
        <w:t xml:space="preserve"> </w:t>
      </w:r>
      <w:r>
        <w:t>and contractors. AMS has continued to improve</w:t>
      </w:r>
      <w:r w:rsidR="008309DD">
        <w:t xml:space="preserve"> </w:t>
      </w:r>
      <w:r>
        <w:t xml:space="preserve">ACM management </w:t>
      </w:r>
      <w:proofErr w:type="gramStart"/>
      <w:r>
        <w:t xml:space="preserve">by </w:t>
      </w:r>
      <w:r w:rsidR="008309DD">
        <w:t xml:space="preserve"> i</w:t>
      </w:r>
      <w:r>
        <w:t>mplementing</w:t>
      </w:r>
      <w:proofErr w:type="gramEnd"/>
      <w:r>
        <w:t xml:space="preserve"> an electronic</w:t>
      </w:r>
      <w:r w:rsidR="008309DD">
        <w:t xml:space="preserve"> </w:t>
      </w:r>
      <w:r>
        <w:t>system called Octfolio. Octfolio is a digital based</w:t>
      </w:r>
      <w:r w:rsidR="008309DD">
        <w:t xml:space="preserve"> </w:t>
      </w:r>
      <w:r>
        <w:t>system that can be updated remotely whilst giving</w:t>
      </w:r>
      <w:r w:rsidR="008309DD">
        <w:t xml:space="preserve"> </w:t>
      </w:r>
      <w:r>
        <w:t>24 hour on site access to the real time building</w:t>
      </w:r>
      <w:r w:rsidR="008309DD">
        <w:t xml:space="preserve"> </w:t>
      </w:r>
      <w:r>
        <w:t>ACM register.</w:t>
      </w:r>
    </w:p>
    <w:p w:rsidR="008309DD" w:rsidRDefault="00FE3ECD" w:rsidP="008309DD">
      <w:pPr>
        <w:pStyle w:val="BodyText"/>
      </w:pPr>
      <w:r>
        <w:t>A state wide Fire Services Maintenance contract</w:t>
      </w:r>
      <w:r w:rsidR="008309DD">
        <w:t xml:space="preserve"> </w:t>
      </w:r>
      <w:r>
        <w:t>was implemented in June 2016 and will ensure fire</w:t>
      </w:r>
      <w:r w:rsidR="008309DD">
        <w:t xml:space="preserve"> </w:t>
      </w:r>
      <w:r>
        <w:t>equipment installed at non-residential properties</w:t>
      </w:r>
      <w:r w:rsidR="008309DD">
        <w:t xml:space="preserve"> </w:t>
      </w:r>
      <w:r>
        <w:t>managed or occupied by THS meets Australian</w:t>
      </w:r>
      <w:r w:rsidR="008309DD">
        <w:t xml:space="preserve"> </w:t>
      </w:r>
      <w:r>
        <w:t>Standards and maintenance is carried out at predetermined</w:t>
      </w:r>
      <w:r w:rsidR="008309DD">
        <w:t xml:space="preserve"> </w:t>
      </w:r>
      <w:r>
        <w:t>prices and response periods.</w:t>
      </w:r>
      <w:r w:rsidR="008309DD">
        <w:t xml:space="preserve"> </w:t>
      </w:r>
    </w:p>
    <w:p w:rsidR="00FE3ECD" w:rsidRDefault="00FE3ECD" w:rsidP="008309DD">
      <w:pPr>
        <w:pStyle w:val="BodyText"/>
      </w:pPr>
      <w:r>
        <w:t>The rolling program of Building Condition</w:t>
      </w:r>
      <w:r w:rsidR="008309DD">
        <w:t xml:space="preserve"> </w:t>
      </w:r>
      <w:r>
        <w:t>Assessments continues across the State to</w:t>
      </w:r>
      <w:r w:rsidR="008309DD">
        <w:t xml:space="preserve"> </w:t>
      </w:r>
      <w:r>
        <w:t>identify asset-related risks for inclusion in the</w:t>
      </w:r>
      <w:r w:rsidR="008309DD">
        <w:t xml:space="preserve"> </w:t>
      </w:r>
      <w:r>
        <w:t>essential maintenance program. AMS also</w:t>
      </w:r>
      <w:r w:rsidR="008309DD">
        <w:t xml:space="preserve"> </w:t>
      </w:r>
      <w:r>
        <w:t>represents the Department as a member of the</w:t>
      </w:r>
      <w:r w:rsidR="008309DD">
        <w:t xml:space="preserve"> </w:t>
      </w:r>
      <w:r>
        <w:t>Australasian Health Infrastructure Alliance to</w:t>
      </w:r>
      <w:r w:rsidR="008309DD">
        <w:t xml:space="preserve"> </w:t>
      </w:r>
      <w:r>
        <w:t>provide consistency and promote best practice in</w:t>
      </w:r>
      <w:r w:rsidR="008309DD">
        <w:t xml:space="preserve"> </w:t>
      </w:r>
      <w:r>
        <w:t>hospital design across Australasia and undertaking</w:t>
      </w:r>
      <w:r w:rsidR="008309DD">
        <w:t xml:space="preserve"> </w:t>
      </w:r>
      <w:r>
        <w:t>research and benchmarking into energy efficient</w:t>
      </w:r>
      <w:r w:rsidR="008309DD">
        <w:t xml:space="preserve"> </w:t>
      </w:r>
      <w:r>
        <w:t>measures.</w:t>
      </w:r>
    </w:p>
    <w:p w:rsidR="00FE3ECD" w:rsidRDefault="00FE3ECD" w:rsidP="008309DD">
      <w:pPr>
        <w:pStyle w:val="BodyText"/>
      </w:pPr>
      <w:r>
        <w:t>This work includes updating of Australian Health</w:t>
      </w:r>
      <w:r w:rsidR="008309DD">
        <w:t xml:space="preserve"> </w:t>
      </w:r>
      <w:r>
        <w:t>Facilities Guidelines, development of Building</w:t>
      </w:r>
      <w:r w:rsidR="008309DD">
        <w:t xml:space="preserve"> </w:t>
      </w:r>
      <w:r>
        <w:t>Information Management (BIM) principles for</w:t>
      </w:r>
      <w:r w:rsidR="008309DD">
        <w:t xml:space="preserve"> </w:t>
      </w:r>
      <w:r>
        <w:t>health facilities and the development of a national</w:t>
      </w:r>
      <w:r w:rsidR="008309DD">
        <w:t xml:space="preserve"> </w:t>
      </w:r>
      <w:r>
        <w:t>energy benchmark tool specifically for health</w:t>
      </w:r>
      <w:r w:rsidR="008309DD">
        <w:t xml:space="preserve"> </w:t>
      </w:r>
      <w:r>
        <w:t>facilities.</w:t>
      </w:r>
    </w:p>
    <w:p w:rsidR="00FE3ECD" w:rsidRDefault="00FE3ECD" w:rsidP="008309DD">
      <w:pPr>
        <w:pStyle w:val="Heading4"/>
      </w:pPr>
      <w:r>
        <w:t>Acquisitions Updated 2/08/2016</w:t>
      </w:r>
    </w:p>
    <w:p w:rsidR="00FE3ECD" w:rsidRDefault="00FE3ECD" w:rsidP="008309DD">
      <w:pPr>
        <w:pStyle w:val="BodyText"/>
      </w:pPr>
      <w:r>
        <w:t>During 2015 - 16, DHHS acquired on behalf of</w:t>
      </w:r>
      <w:r w:rsidR="008309DD">
        <w:t xml:space="preserve"> </w:t>
      </w:r>
      <w:r>
        <w:t>the THS three properties for Mental Health</w:t>
      </w:r>
      <w:r w:rsidR="008309DD">
        <w:t xml:space="preserve"> </w:t>
      </w:r>
      <w:r>
        <w:t>Services:</w:t>
      </w:r>
    </w:p>
    <w:p w:rsidR="00FE3ECD" w:rsidRDefault="00FE3ECD" w:rsidP="00103528">
      <w:pPr>
        <w:pStyle w:val="BodyText"/>
        <w:numPr>
          <w:ilvl w:val="0"/>
          <w:numId w:val="34"/>
        </w:numPr>
        <w:ind w:left="567" w:hanging="567"/>
      </w:pPr>
      <w:r>
        <w:t>Millbrook Rise at 3 Hobart Road, New Norfolk;</w:t>
      </w:r>
    </w:p>
    <w:p w:rsidR="00FE3ECD" w:rsidRDefault="00FE3ECD" w:rsidP="00103528">
      <w:pPr>
        <w:pStyle w:val="BodyText"/>
        <w:numPr>
          <w:ilvl w:val="0"/>
          <w:numId w:val="34"/>
        </w:numPr>
        <w:ind w:left="567" w:hanging="567"/>
      </w:pPr>
      <w:r>
        <w:t>108 Tolosa Street, Glenorchy; and</w:t>
      </w:r>
    </w:p>
    <w:p w:rsidR="00FE3ECD" w:rsidRDefault="00FE3ECD" w:rsidP="00103528">
      <w:pPr>
        <w:pStyle w:val="BodyText"/>
        <w:numPr>
          <w:ilvl w:val="0"/>
          <w:numId w:val="34"/>
        </w:numPr>
        <w:ind w:left="567" w:hanging="567"/>
      </w:pPr>
      <w:r>
        <w:t>1 Mistral Place, Hobart</w:t>
      </w:r>
    </w:p>
    <w:p w:rsidR="00FE3ECD" w:rsidRDefault="00FE3ECD" w:rsidP="00103528">
      <w:pPr>
        <w:pStyle w:val="BodyText"/>
        <w:numPr>
          <w:ilvl w:val="0"/>
          <w:numId w:val="34"/>
        </w:numPr>
        <w:ind w:left="567" w:hanging="567"/>
      </w:pPr>
      <w:r>
        <w:lastRenderedPageBreak/>
        <w:t>Progress was made on subdividing the old</w:t>
      </w:r>
      <w:r w:rsidR="008309DD">
        <w:t xml:space="preserve"> </w:t>
      </w:r>
      <w:r>
        <w:t>Kingston High School site for a new Kingston</w:t>
      </w:r>
      <w:r w:rsidR="008309DD">
        <w:t xml:space="preserve"> </w:t>
      </w:r>
      <w:r>
        <w:t>Community Health Centre with an expected</w:t>
      </w:r>
      <w:r w:rsidR="008309DD">
        <w:t xml:space="preserve"> </w:t>
      </w:r>
      <w:r>
        <w:t>completion in 2016 – 17.</w:t>
      </w:r>
    </w:p>
    <w:p w:rsidR="00FE3ECD" w:rsidRDefault="00FE3ECD" w:rsidP="00103528">
      <w:pPr>
        <w:pStyle w:val="BodyText"/>
        <w:numPr>
          <w:ilvl w:val="0"/>
          <w:numId w:val="34"/>
        </w:numPr>
        <w:ind w:left="567" w:hanging="567"/>
      </w:pPr>
      <w:r>
        <w:t>Progress was made on acquiring a site for</w:t>
      </w:r>
      <w:r w:rsidR="008309DD">
        <w:t xml:space="preserve"> </w:t>
      </w:r>
      <w:r>
        <w:t>the new St. Helens Hospital. Completion is</w:t>
      </w:r>
      <w:r w:rsidR="008309DD">
        <w:t xml:space="preserve"> </w:t>
      </w:r>
      <w:r>
        <w:t>expected in 2016 – 17.</w:t>
      </w:r>
    </w:p>
    <w:p w:rsidR="00FE3ECD" w:rsidRDefault="00FE3ECD" w:rsidP="008309DD">
      <w:pPr>
        <w:pStyle w:val="Heading4"/>
      </w:pPr>
      <w:r>
        <w:t>Disposals</w:t>
      </w:r>
    </w:p>
    <w:p w:rsidR="00FE3ECD" w:rsidRDefault="00FE3ECD" w:rsidP="008309DD">
      <w:pPr>
        <w:pStyle w:val="BodyText"/>
      </w:pPr>
      <w:r>
        <w:t>Properties that are surplus to requirements are</w:t>
      </w:r>
      <w:r w:rsidR="008309DD">
        <w:t xml:space="preserve"> </w:t>
      </w:r>
      <w:r>
        <w:t>disposed, with proceeds of sale being reinvested</w:t>
      </w:r>
      <w:r w:rsidR="008309DD">
        <w:t xml:space="preserve"> </w:t>
      </w:r>
      <w:r>
        <w:t>into THS real estate asset portfolios.</w:t>
      </w:r>
    </w:p>
    <w:p w:rsidR="00FE3ECD" w:rsidRDefault="00FE3ECD" w:rsidP="008309DD">
      <w:pPr>
        <w:pStyle w:val="BodyText"/>
      </w:pPr>
      <w:r>
        <w:t>During 2015-16 one property, 36 French Street,</w:t>
      </w:r>
      <w:r w:rsidR="008309DD">
        <w:t xml:space="preserve"> </w:t>
      </w:r>
      <w:r>
        <w:t>Launceston, was sold for $484,500 with net</w:t>
      </w:r>
      <w:r w:rsidR="008309DD">
        <w:t xml:space="preserve"> </w:t>
      </w:r>
      <w:r>
        <w:t>proceeds of $460,742 reinvested into THS</w:t>
      </w:r>
      <w:r w:rsidR="008309DD">
        <w:t xml:space="preserve"> </w:t>
      </w:r>
      <w:r>
        <w:t>North’s asset portfolio.</w:t>
      </w:r>
    </w:p>
    <w:p w:rsidR="00FE3ECD" w:rsidRDefault="00FE3ECD" w:rsidP="008309DD">
      <w:pPr>
        <w:pStyle w:val="BodyText"/>
      </w:pPr>
      <w:r>
        <w:t>Progress was made in obtaining a certificate</w:t>
      </w:r>
      <w:r w:rsidR="008309DD">
        <w:t xml:space="preserve"> </w:t>
      </w:r>
      <w:r>
        <w:t>of title for the former child clinic at 34 Pioneer</w:t>
      </w:r>
      <w:r w:rsidR="008309DD">
        <w:t xml:space="preserve"> </w:t>
      </w:r>
      <w:r>
        <w:t>Drive, Mole Creek before listing with the</w:t>
      </w:r>
      <w:r w:rsidR="008309DD">
        <w:t xml:space="preserve"> </w:t>
      </w:r>
      <w:r>
        <w:t>Department of Treasury and Finance for disposal.</w:t>
      </w:r>
    </w:p>
    <w:p w:rsidR="00FE3ECD" w:rsidRDefault="00FE3ECD" w:rsidP="008309DD">
      <w:pPr>
        <w:pStyle w:val="BodyText"/>
      </w:pPr>
      <w:r>
        <w:t>Properties remaining with The Department of</w:t>
      </w:r>
      <w:r w:rsidR="008309DD">
        <w:t xml:space="preserve"> </w:t>
      </w:r>
      <w:r>
        <w:t>Treasury and Finance for disposal include:</w:t>
      </w:r>
    </w:p>
    <w:p w:rsidR="008309DD" w:rsidRDefault="00FE3ECD" w:rsidP="00103528">
      <w:pPr>
        <w:pStyle w:val="BodyText"/>
        <w:numPr>
          <w:ilvl w:val="0"/>
          <w:numId w:val="34"/>
        </w:numPr>
        <w:ind w:left="567" w:hanging="567"/>
      </w:pPr>
      <w:r>
        <w:t>former West Coast Hospital in Queenstown</w:t>
      </w:r>
      <w:r w:rsidR="008309DD">
        <w:t xml:space="preserve"> </w:t>
      </w:r>
    </w:p>
    <w:p w:rsidR="008309DD" w:rsidRDefault="008309DD" w:rsidP="00103528">
      <w:pPr>
        <w:pStyle w:val="BodyText"/>
        <w:numPr>
          <w:ilvl w:val="0"/>
          <w:numId w:val="34"/>
        </w:numPr>
        <w:ind w:left="567" w:hanging="567"/>
      </w:pPr>
      <w:r>
        <w:t>Community Hall at 17 Cambridge Road, Bellerive</w:t>
      </w:r>
    </w:p>
    <w:p w:rsidR="008309DD" w:rsidRDefault="008309DD" w:rsidP="00103528">
      <w:pPr>
        <w:pStyle w:val="BodyText"/>
        <w:numPr>
          <w:ilvl w:val="0"/>
          <w:numId w:val="34"/>
        </w:numPr>
        <w:ind w:left="567" w:hanging="567"/>
      </w:pPr>
      <w:proofErr w:type="gramStart"/>
      <w:r>
        <w:t>former</w:t>
      </w:r>
      <w:proofErr w:type="gramEnd"/>
      <w:r>
        <w:t xml:space="preserve"> Mental Health Services property at 13 Cambridge Road, Bellerive.</w:t>
      </w:r>
    </w:p>
    <w:p w:rsidR="008309DD" w:rsidRDefault="008309DD" w:rsidP="008309DD">
      <w:pPr>
        <w:pStyle w:val="BodyText"/>
      </w:pPr>
    </w:p>
    <w:p w:rsidR="008309DD" w:rsidRDefault="008309DD" w:rsidP="008309DD">
      <w:pPr>
        <w:pStyle w:val="Heading4"/>
      </w:pPr>
      <w:r>
        <w:t>Asset Planning Including Major Capital Works</w:t>
      </w:r>
    </w:p>
    <w:p w:rsidR="008309DD" w:rsidRDefault="008309DD" w:rsidP="008309DD">
      <w:pPr>
        <w:pStyle w:val="BodyText"/>
      </w:pPr>
      <w:r>
        <w:t>The Department’s 2012-2017 Strategic Asset Management Plan (SAMP), along with the Housing Tasmania SAMP, were both endorsed by the Department of Treasury and Finance in 2013.</w:t>
      </w:r>
    </w:p>
    <w:p w:rsidR="008309DD" w:rsidRDefault="008309DD" w:rsidP="008309DD">
      <w:pPr>
        <w:pStyle w:val="BodyText"/>
      </w:pPr>
      <w:r>
        <w:t>During the past 12 months, the focus has continued to be on the development of SAMPs across the remainder of the key Agency business units. For the Department, the SAMP focuses on providing direction and a common approach to the measurement of performance within the asset portfolio. It responds to the delivery of highly complex and diverse services across the health and human services portfolios.</w:t>
      </w:r>
    </w:p>
    <w:p w:rsidR="008309DD" w:rsidRDefault="008309DD" w:rsidP="008309DD">
      <w:pPr>
        <w:pStyle w:val="BodyText"/>
      </w:pPr>
      <w:r>
        <w:t>In 2015-16 the THS continues to progress their internal SAMP.</w:t>
      </w:r>
    </w:p>
    <w:p w:rsidR="008309DD" w:rsidRDefault="008309DD" w:rsidP="008309DD">
      <w:pPr>
        <w:pStyle w:val="BodyText"/>
      </w:pPr>
      <w:r>
        <w:t>The Agency submitted its updated Capital Investment Program of budget submissions through the Strategic Infrastructure Investment Review Process (SIIRP) to Treasury in 2016, which has 18 projects at varying stages of Business Case development, for Treasury review and approval. The Department was successful in obtaining $7.85M funding for the Launceston General Hospital - Ward 4K project for the 2016-20 years and $3.71M for redevelopment of the Royal Hobart Hospital Pharmacy project for the 2017-20 years.</w:t>
      </w:r>
    </w:p>
    <w:p w:rsidR="000D59C4" w:rsidRDefault="000D59C4">
      <w:pPr>
        <w:rPr>
          <w:rFonts w:ascii="Gill Sans MT" w:eastAsiaTheme="majorEastAsia" w:hAnsi="Gill Sans MT" w:cstheme="majorBidi"/>
          <w:b/>
          <w:bCs/>
          <w:iCs/>
          <w:sz w:val="24"/>
        </w:rPr>
      </w:pPr>
      <w:r>
        <w:br w:type="page"/>
      </w:r>
    </w:p>
    <w:p w:rsidR="008309DD" w:rsidRDefault="008309DD" w:rsidP="008309DD">
      <w:pPr>
        <w:pStyle w:val="Heading4"/>
      </w:pPr>
      <w:r>
        <w:lastRenderedPageBreak/>
        <w:t>Completed Major Capital Works Program 2015-16</w:t>
      </w:r>
    </w:p>
    <w:p w:rsidR="008309DD" w:rsidRDefault="008309DD" w:rsidP="008309DD">
      <w:pPr>
        <w:pStyle w:val="BodyText"/>
      </w:pPr>
      <w:r w:rsidRPr="008309DD">
        <w:t>Completed Major Capital Works 2015-16</w:t>
      </w:r>
      <w:r>
        <w:t xml:space="preserve"> </w:t>
      </w:r>
      <w:r w:rsidRPr="008309DD">
        <w:t>(projects are defined as completed once all of</w:t>
      </w:r>
      <w:r>
        <w:t xml:space="preserve"> </w:t>
      </w:r>
      <w:r w:rsidRPr="008309DD">
        <w:t>the project funds are expended in the finance</w:t>
      </w:r>
      <w:r>
        <w:t xml:space="preserve"> </w:t>
      </w:r>
      <w:r w:rsidRPr="008309DD">
        <w:t>system).</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5108"/>
        <w:gridCol w:w="1843"/>
      </w:tblGrid>
      <w:tr w:rsidR="008309DD" w:rsidTr="000D59C4">
        <w:trPr>
          <w:trHeight w:hRule="exact" w:val="832"/>
          <w:tblHeader/>
        </w:trPr>
        <w:tc>
          <w:tcPr>
            <w:tcW w:w="5108" w:type="dxa"/>
            <w:tcBorders>
              <w:top w:val="single" w:sz="4" w:space="0" w:color="004D8F"/>
              <w:left w:val="single" w:sz="4" w:space="0" w:color="004D8F"/>
              <w:bottom w:val="single" w:sz="4" w:space="0" w:color="004D8F"/>
              <w:right w:val="single" w:sz="4" w:space="0" w:color="004D8F"/>
            </w:tcBorders>
            <w:shd w:val="clear" w:color="auto" w:fill="auto"/>
          </w:tcPr>
          <w:p w:rsidR="008309DD" w:rsidRDefault="008309DD" w:rsidP="008309DD">
            <w:pPr>
              <w:pStyle w:val="BodyText"/>
            </w:pPr>
            <w:r>
              <w:t>Completed Major Capital Works in 2015-16</w:t>
            </w:r>
          </w:p>
        </w:tc>
        <w:tc>
          <w:tcPr>
            <w:tcW w:w="1843" w:type="dxa"/>
            <w:tcBorders>
              <w:top w:val="single" w:sz="4" w:space="0" w:color="004D8F"/>
              <w:left w:val="single" w:sz="4" w:space="0" w:color="004D8F"/>
              <w:bottom w:val="single" w:sz="4" w:space="0" w:color="004D8F"/>
              <w:right w:val="single" w:sz="4" w:space="0" w:color="004D8F"/>
            </w:tcBorders>
            <w:shd w:val="clear" w:color="auto" w:fill="auto"/>
          </w:tcPr>
          <w:p w:rsidR="008309DD" w:rsidRDefault="008309DD" w:rsidP="008309DD">
            <w:pPr>
              <w:pStyle w:val="BodyText"/>
            </w:pPr>
            <w:r>
              <w:t>Total Cost</w:t>
            </w:r>
          </w:p>
          <w:p w:rsidR="008309DD" w:rsidRDefault="008309DD" w:rsidP="008309DD">
            <w:pPr>
              <w:pStyle w:val="BodyText"/>
              <w:rPr>
                <w:rFonts w:hAnsi="GillSans-SemiBold"/>
              </w:rPr>
            </w:pPr>
            <w:r>
              <w:rPr>
                <w:rFonts w:hAnsi="GillSans-SemiBold"/>
              </w:rPr>
              <w:t>$</w:t>
            </w:r>
            <w:r>
              <w:rPr>
                <w:rFonts w:hAnsi="GillSans-SemiBold"/>
              </w:rPr>
              <w:t>’</w:t>
            </w:r>
            <w:r>
              <w:rPr>
                <w:rFonts w:hAnsi="GillSans-SemiBold"/>
              </w:rPr>
              <w:t>000</w:t>
            </w:r>
          </w:p>
        </w:tc>
      </w:tr>
      <w:tr w:rsidR="008309DD" w:rsidTr="000D59C4">
        <w:trPr>
          <w:trHeight w:hRule="exact" w:val="320"/>
        </w:trPr>
        <w:tc>
          <w:tcPr>
            <w:tcW w:w="5108" w:type="dxa"/>
            <w:tcBorders>
              <w:top w:val="single" w:sz="4"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Flinders Island Multi Purpose Centre</w:t>
            </w:r>
          </w:p>
        </w:tc>
        <w:tc>
          <w:tcPr>
            <w:tcW w:w="1843" w:type="dxa"/>
            <w:tcBorders>
              <w:top w:val="single" w:sz="4"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6 002</w:t>
            </w:r>
          </w:p>
        </w:tc>
      </w:tr>
      <w:tr w:rsidR="008309DD" w:rsidTr="000D59C4">
        <w:trPr>
          <w:trHeight w:hRule="exact" w:val="350"/>
        </w:trPr>
        <w:tc>
          <w:tcPr>
            <w:tcW w:w="5108"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rPr>
                <w:sz w:val="11"/>
              </w:rPr>
            </w:pPr>
            <w:r>
              <w:t>Ravenswood Community Health Centre</w:t>
            </w:r>
            <w:r>
              <w:rPr>
                <w:position w:val="7"/>
                <w:sz w:val="11"/>
              </w:rPr>
              <w:t>1</w:t>
            </w:r>
          </w:p>
        </w:tc>
        <w:tc>
          <w:tcPr>
            <w:tcW w:w="1843"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2 623</w:t>
            </w:r>
          </w:p>
        </w:tc>
      </w:tr>
      <w:tr w:rsidR="008309DD" w:rsidTr="000D59C4">
        <w:trPr>
          <w:trHeight w:hRule="exact" w:val="320"/>
        </w:trPr>
        <w:tc>
          <w:tcPr>
            <w:tcW w:w="5108"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THS North Back Up Power Supply</w:t>
            </w:r>
          </w:p>
        </w:tc>
        <w:tc>
          <w:tcPr>
            <w:tcW w:w="1843"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600</w:t>
            </w:r>
          </w:p>
        </w:tc>
      </w:tr>
      <w:tr w:rsidR="008309DD" w:rsidTr="000D59C4">
        <w:trPr>
          <w:trHeight w:hRule="exact" w:val="320"/>
        </w:trPr>
        <w:tc>
          <w:tcPr>
            <w:tcW w:w="5108"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rPr>
                <w:sz w:val="11"/>
              </w:rPr>
            </w:pPr>
            <w:r>
              <w:t>Priority Infrastructure Works</w:t>
            </w:r>
            <w:r>
              <w:rPr>
                <w:position w:val="7"/>
                <w:sz w:val="11"/>
              </w:rPr>
              <w:t>2</w:t>
            </w:r>
          </w:p>
        </w:tc>
        <w:tc>
          <w:tcPr>
            <w:tcW w:w="1843"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3 760</w:t>
            </w:r>
          </w:p>
        </w:tc>
      </w:tr>
      <w:tr w:rsidR="008309DD" w:rsidTr="000D59C4">
        <w:trPr>
          <w:trHeight w:hRule="exact" w:val="320"/>
        </w:trPr>
        <w:tc>
          <w:tcPr>
            <w:tcW w:w="5108"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Hospital Equipment Fund</w:t>
            </w:r>
          </w:p>
        </w:tc>
        <w:tc>
          <w:tcPr>
            <w:tcW w:w="1843" w:type="dxa"/>
            <w:tcBorders>
              <w:top w:val="single" w:sz="3" w:space="0" w:color="004D8F"/>
              <w:left w:val="single" w:sz="3" w:space="0" w:color="004D8F"/>
              <w:bottom w:val="single" w:sz="3" w:space="0" w:color="004D8F"/>
              <w:right w:val="single" w:sz="3" w:space="0" w:color="004D8F"/>
            </w:tcBorders>
            <w:shd w:val="clear" w:color="auto" w:fill="auto"/>
          </w:tcPr>
          <w:p w:rsidR="008309DD" w:rsidRDefault="008309DD" w:rsidP="008309DD">
            <w:pPr>
              <w:pStyle w:val="BodyText"/>
            </w:pPr>
            <w:r>
              <w:t>1 655</w:t>
            </w:r>
          </w:p>
        </w:tc>
      </w:tr>
      <w:tr w:rsidR="008309DD" w:rsidTr="000D59C4">
        <w:trPr>
          <w:trHeight w:hRule="exact" w:val="800"/>
        </w:trPr>
        <w:tc>
          <w:tcPr>
            <w:tcW w:w="5108" w:type="dxa"/>
            <w:tcBorders>
              <w:top w:val="single" w:sz="3" w:space="0" w:color="004D8F"/>
              <w:left w:val="single" w:sz="3" w:space="0" w:color="004D8F"/>
              <w:bottom w:val="single" w:sz="4" w:space="0" w:color="004D8F"/>
              <w:right w:val="single" w:sz="3" w:space="0" w:color="004D8F"/>
            </w:tcBorders>
            <w:shd w:val="clear" w:color="auto" w:fill="auto"/>
          </w:tcPr>
          <w:p w:rsidR="008309DD" w:rsidRDefault="008309DD" w:rsidP="008309DD">
            <w:pPr>
              <w:pStyle w:val="BodyText"/>
            </w:pPr>
            <w:r>
              <w:t xml:space="preserve">Launceston </w:t>
            </w:r>
            <w:r>
              <w:rPr>
                <w:spacing w:val="3"/>
              </w:rPr>
              <w:t xml:space="preserve">General </w:t>
            </w:r>
            <w:r>
              <w:rPr>
                <w:spacing w:val="2"/>
              </w:rPr>
              <w:t xml:space="preserve">Hospital </w:t>
            </w:r>
            <w:r>
              <w:t xml:space="preserve">- Specialist Clinics, </w:t>
            </w:r>
            <w:r>
              <w:rPr>
                <w:spacing w:val="2"/>
              </w:rPr>
              <w:t xml:space="preserve">Pharmacy </w:t>
            </w:r>
            <w:r>
              <w:t>and Clinical Trial Research</w:t>
            </w:r>
            <w:r>
              <w:rPr>
                <w:spacing w:val="9"/>
              </w:rPr>
              <w:t xml:space="preserve"> </w:t>
            </w:r>
            <w:r>
              <w:rPr>
                <w:spacing w:val="2"/>
              </w:rPr>
              <w:t>Area</w:t>
            </w:r>
          </w:p>
        </w:tc>
        <w:tc>
          <w:tcPr>
            <w:tcW w:w="1843" w:type="dxa"/>
            <w:tcBorders>
              <w:top w:val="single" w:sz="3" w:space="0" w:color="004D8F"/>
              <w:left w:val="single" w:sz="3" w:space="0" w:color="004D8F"/>
              <w:bottom w:val="single" w:sz="4" w:space="0" w:color="004D8F"/>
              <w:right w:val="single" w:sz="3" w:space="0" w:color="004D8F"/>
            </w:tcBorders>
            <w:shd w:val="clear" w:color="auto" w:fill="auto"/>
          </w:tcPr>
          <w:p w:rsidR="008309DD" w:rsidRDefault="008309DD" w:rsidP="008309DD">
            <w:pPr>
              <w:pStyle w:val="BodyText"/>
            </w:pPr>
            <w:r>
              <w:t>4 140</w:t>
            </w:r>
          </w:p>
        </w:tc>
      </w:tr>
    </w:tbl>
    <w:p w:rsidR="008309DD" w:rsidRDefault="008309DD" w:rsidP="008309DD">
      <w:pPr>
        <w:pStyle w:val="BodyText"/>
      </w:pPr>
    </w:p>
    <w:p w:rsidR="000D59C4" w:rsidRDefault="000D59C4" w:rsidP="008309DD">
      <w:pPr>
        <w:pStyle w:val="BodyText"/>
      </w:pPr>
      <w:r>
        <w:t>Notes:</w:t>
      </w:r>
    </w:p>
    <w:p w:rsidR="000D59C4" w:rsidRPr="000D59C4" w:rsidRDefault="000D59C4" w:rsidP="00103528">
      <w:pPr>
        <w:pStyle w:val="ListParagraph"/>
        <w:widowControl w:val="0"/>
        <w:numPr>
          <w:ilvl w:val="0"/>
          <w:numId w:val="36"/>
        </w:numPr>
        <w:autoSpaceDE w:val="0"/>
        <w:autoSpaceDN w:val="0"/>
        <w:spacing w:before="78" w:after="0" w:line="302" w:lineRule="auto"/>
        <w:ind w:hanging="544"/>
        <w:contextualSpacing w:val="0"/>
        <w:rPr>
          <w:rFonts w:ascii="Gill Sans MT" w:hAnsi="Gill Sans MT"/>
          <w:sz w:val="20"/>
          <w:szCs w:val="20"/>
        </w:rPr>
      </w:pPr>
      <w:r w:rsidRPr="000D59C4">
        <w:rPr>
          <w:rFonts w:ascii="Gill Sans MT" w:hAnsi="Gill Sans MT"/>
          <w:spacing w:val="2"/>
          <w:sz w:val="20"/>
          <w:szCs w:val="20"/>
        </w:rPr>
        <w:t xml:space="preserve">The Ravenswood </w:t>
      </w:r>
      <w:r w:rsidRPr="000D59C4">
        <w:rPr>
          <w:rFonts w:ascii="Gill Sans MT" w:hAnsi="Gill Sans MT"/>
          <w:spacing w:val="3"/>
          <w:sz w:val="20"/>
          <w:szCs w:val="20"/>
        </w:rPr>
        <w:t xml:space="preserve">Community Health Centre </w:t>
      </w:r>
      <w:r w:rsidRPr="000D59C4">
        <w:rPr>
          <w:rFonts w:ascii="Gill Sans MT" w:hAnsi="Gill Sans MT"/>
          <w:spacing w:val="2"/>
          <w:sz w:val="20"/>
          <w:szCs w:val="20"/>
        </w:rPr>
        <w:t xml:space="preserve">was completed </w:t>
      </w:r>
      <w:r w:rsidRPr="000D59C4">
        <w:rPr>
          <w:rFonts w:ascii="Gill Sans MT" w:hAnsi="Gill Sans MT"/>
          <w:spacing w:val="3"/>
          <w:sz w:val="20"/>
          <w:szCs w:val="20"/>
        </w:rPr>
        <w:t xml:space="preserve">with </w:t>
      </w:r>
      <w:proofErr w:type="gramStart"/>
      <w:r w:rsidRPr="000D59C4">
        <w:rPr>
          <w:rFonts w:ascii="Gill Sans MT" w:hAnsi="Gill Sans MT"/>
          <w:sz w:val="20"/>
          <w:szCs w:val="20"/>
        </w:rPr>
        <w:t xml:space="preserve">an </w:t>
      </w:r>
      <w:r w:rsidRPr="000D59C4">
        <w:rPr>
          <w:rFonts w:ascii="Gill Sans MT" w:hAnsi="Gill Sans MT"/>
          <w:spacing w:val="3"/>
          <w:sz w:val="20"/>
          <w:szCs w:val="20"/>
        </w:rPr>
        <w:t>underspend</w:t>
      </w:r>
      <w:proofErr w:type="gramEnd"/>
      <w:r w:rsidRPr="000D59C4">
        <w:rPr>
          <w:rFonts w:ascii="Gill Sans MT" w:hAnsi="Gill Sans MT"/>
          <w:spacing w:val="3"/>
          <w:sz w:val="20"/>
          <w:szCs w:val="20"/>
        </w:rPr>
        <w:t xml:space="preserve">. </w:t>
      </w:r>
      <w:r w:rsidRPr="000D59C4">
        <w:rPr>
          <w:rFonts w:ascii="Gill Sans MT" w:hAnsi="Gill Sans MT"/>
          <w:spacing w:val="2"/>
          <w:sz w:val="20"/>
          <w:szCs w:val="20"/>
        </w:rPr>
        <w:t xml:space="preserve">The </w:t>
      </w:r>
      <w:r w:rsidRPr="000D59C4">
        <w:rPr>
          <w:rFonts w:ascii="Gill Sans MT" w:hAnsi="Gill Sans MT"/>
          <w:spacing w:val="3"/>
          <w:sz w:val="20"/>
          <w:szCs w:val="20"/>
        </w:rPr>
        <w:t xml:space="preserve">project </w:t>
      </w:r>
      <w:r w:rsidRPr="000D59C4">
        <w:rPr>
          <w:rFonts w:ascii="Gill Sans MT" w:hAnsi="Gill Sans MT"/>
          <w:spacing w:val="2"/>
          <w:sz w:val="20"/>
          <w:szCs w:val="20"/>
        </w:rPr>
        <w:t xml:space="preserve">handed </w:t>
      </w:r>
      <w:r w:rsidRPr="000D59C4">
        <w:rPr>
          <w:rFonts w:ascii="Gill Sans MT" w:hAnsi="Gill Sans MT"/>
          <w:sz w:val="20"/>
          <w:szCs w:val="20"/>
        </w:rPr>
        <w:t xml:space="preserve">back </w:t>
      </w:r>
      <w:r w:rsidRPr="000D59C4">
        <w:rPr>
          <w:rFonts w:ascii="Gill Sans MT" w:hAnsi="Gill Sans MT"/>
          <w:spacing w:val="2"/>
          <w:sz w:val="20"/>
          <w:szCs w:val="20"/>
        </w:rPr>
        <w:t xml:space="preserve">$200 </w:t>
      </w:r>
      <w:r w:rsidRPr="000D59C4">
        <w:rPr>
          <w:rFonts w:ascii="Gill Sans MT" w:hAnsi="Gill Sans MT"/>
          <w:spacing w:val="4"/>
          <w:sz w:val="20"/>
          <w:szCs w:val="20"/>
        </w:rPr>
        <w:t xml:space="preserve">000 </w:t>
      </w:r>
      <w:r w:rsidRPr="000D59C4">
        <w:rPr>
          <w:rFonts w:ascii="Gill Sans MT" w:hAnsi="Gill Sans MT"/>
          <w:sz w:val="20"/>
          <w:szCs w:val="20"/>
        </w:rPr>
        <w:t xml:space="preserve">to </w:t>
      </w:r>
      <w:r w:rsidRPr="000D59C4">
        <w:rPr>
          <w:rFonts w:ascii="Gill Sans MT" w:hAnsi="Gill Sans MT"/>
          <w:spacing w:val="2"/>
          <w:sz w:val="20"/>
          <w:szCs w:val="20"/>
        </w:rPr>
        <w:t>the State</w:t>
      </w:r>
      <w:r w:rsidRPr="000D59C4">
        <w:rPr>
          <w:rFonts w:ascii="Gill Sans MT" w:hAnsi="Gill Sans MT"/>
          <w:spacing w:val="5"/>
          <w:sz w:val="20"/>
          <w:szCs w:val="20"/>
        </w:rPr>
        <w:t xml:space="preserve"> </w:t>
      </w:r>
      <w:r w:rsidRPr="000D59C4">
        <w:rPr>
          <w:rFonts w:ascii="Gill Sans MT" w:hAnsi="Gill Sans MT"/>
          <w:spacing w:val="3"/>
          <w:sz w:val="20"/>
          <w:szCs w:val="20"/>
        </w:rPr>
        <w:t>Government</w:t>
      </w:r>
    </w:p>
    <w:p w:rsidR="000D59C4" w:rsidRPr="000D59C4" w:rsidRDefault="000D59C4" w:rsidP="00103528">
      <w:pPr>
        <w:pStyle w:val="ListParagraph"/>
        <w:widowControl w:val="0"/>
        <w:numPr>
          <w:ilvl w:val="0"/>
          <w:numId w:val="36"/>
        </w:numPr>
        <w:autoSpaceDE w:val="0"/>
        <w:autoSpaceDN w:val="0"/>
        <w:spacing w:before="39" w:after="0" w:line="302" w:lineRule="auto"/>
        <w:ind w:hanging="544"/>
        <w:contextualSpacing w:val="0"/>
        <w:rPr>
          <w:rFonts w:ascii="Gill Sans MT" w:hAnsi="Gill Sans MT"/>
          <w:sz w:val="20"/>
          <w:szCs w:val="20"/>
        </w:rPr>
      </w:pPr>
      <w:r w:rsidRPr="000D59C4">
        <w:rPr>
          <w:rFonts w:ascii="Gill Sans MT" w:hAnsi="Gill Sans MT"/>
          <w:spacing w:val="2"/>
          <w:sz w:val="20"/>
          <w:szCs w:val="20"/>
        </w:rPr>
        <w:t xml:space="preserve">Funding </w:t>
      </w:r>
      <w:r w:rsidRPr="000D59C4">
        <w:rPr>
          <w:rFonts w:ascii="Gill Sans MT" w:hAnsi="Gill Sans MT"/>
          <w:sz w:val="20"/>
          <w:szCs w:val="20"/>
        </w:rPr>
        <w:t xml:space="preserve">of $3.76m </w:t>
      </w:r>
      <w:r w:rsidRPr="000D59C4">
        <w:rPr>
          <w:rFonts w:ascii="Gill Sans MT" w:hAnsi="Gill Sans MT"/>
          <w:spacing w:val="2"/>
          <w:sz w:val="20"/>
          <w:szCs w:val="20"/>
        </w:rPr>
        <w:t xml:space="preserve">was provided </w:t>
      </w:r>
      <w:r w:rsidRPr="000D59C4">
        <w:rPr>
          <w:rFonts w:ascii="Gill Sans MT" w:hAnsi="Gill Sans MT"/>
          <w:sz w:val="20"/>
          <w:szCs w:val="20"/>
        </w:rPr>
        <w:t xml:space="preserve">in 2015-16, </w:t>
      </w:r>
      <w:r w:rsidRPr="000D59C4">
        <w:rPr>
          <w:rFonts w:ascii="Gill Sans MT" w:hAnsi="Gill Sans MT"/>
          <w:spacing w:val="2"/>
          <w:sz w:val="20"/>
          <w:szCs w:val="20"/>
        </w:rPr>
        <w:t xml:space="preserve">from State </w:t>
      </w:r>
      <w:r w:rsidRPr="000D59C4">
        <w:rPr>
          <w:rFonts w:ascii="Gill Sans MT" w:hAnsi="Gill Sans MT"/>
          <w:spacing w:val="3"/>
          <w:sz w:val="20"/>
          <w:szCs w:val="20"/>
        </w:rPr>
        <w:t xml:space="preserve">Government, </w:t>
      </w:r>
      <w:r w:rsidRPr="000D59C4">
        <w:rPr>
          <w:rFonts w:ascii="Gill Sans MT" w:hAnsi="Gill Sans MT"/>
          <w:sz w:val="20"/>
          <w:szCs w:val="20"/>
        </w:rPr>
        <w:t xml:space="preserve">for a </w:t>
      </w:r>
      <w:r w:rsidRPr="000D59C4">
        <w:rPr>
          <w:rFonts w:ascii="Gill Sans MT" w:hAnsi="Gill Sans MT"/>
          <w:spacing w:val="3"/>
          <w:sz w:val="20"/>
          <w:szCs w:val="20"/>
        </w:rPr>
        <w:t xml:space="preserve">range </w:t>
      </w:r>
      <w:r w:rsidRPr="000D59C4">
        <w:rPr>
          <w:rFonts w:ascii="Gill Sans MT" w:hAnsi="Gill Sans MT"/>
          <w:sz w:val="20"/>
          <w:szCs w:val="20"/>
        </w:rPr>
        <w:t xml:space="preserve">of </w:t>
      </w:r>
      <w:r w:rsidRPr="000D59C4">
        <w:rPr>
          <w:rFonts w:ascii="Gill Sans MT" w:hAnsi="Gill Sans MT"/>
          <w:spacing w:val="4"/>
          <w:sz w:val="20"/>
          <w:szCs w:val="20"/>
        </w:rPr>
        <w:t xml:space="preserve">infrastructure </w:t>
      </w:r>
      <w:r w:rsidRPr="000D59C4">
        <w:rPr>
          <w:rFonts w:ascii="Gill Sans MT" w:hAnsi="Gill Sans MT"/>
          <w:spacing w:val="3"/>
          <w:sz w:val="20"/>
          <w:szCs w:val="20"/>
        </w:rPr>
        <w:t xml:space="preserve">projects </w:t>
      </w:r>
      <w:r w:rsidRPr="000D59C4">
        <w:rPr>
          <w:rFonts w:ascii="Gill Sans MT" w:hAnsi="Gill Sans MT"/>
          <w:spacing w:val="2"/>
          <w:sz w:val="20"/>
          <w:szCs w:val="20"/>
        </w:rPr>
        <w:t xml:space="preserve">including bathroom upgrades </w:t>
      </w:r>
      <w:r w:rsidRPr="000D59C4">
        <w:rPr>
          <w:rFonts w:ascii="Gill Sans MT" w:hAnsi="Gill Sans MT"/>
          <w:sz w:val="20"/>
          <w:szCs w:val="20"/>
        </w:rPr>
        <w:t xml:space="preserve">at </w:t>
      </w:r>
      <w:r w:rsidRPr="000D59C4">
        <w:rPr>
          <w:rFonts w:ascii="Gill Sans MT" w:hAnsi="Gill Sans MT"/>
          <w:spacing w:val="2"/>
          <w:sz w:val="20"/>
          <w:szCs w:val="20"/>
        </w:rPr>
        <w:t xml:space="preserve">Midlands </w:t>
      </w:r>
      <w:r w:rsidRPr="000D59C4">
        <w:rPr>
          <w:rFonts w:ascii="Gill Sans MT" w:hAnsi="Gill Sans MT"/>
          <w:spacing w:val="3"/>
          <w:sz w:val="20"/>
          <w:szCs w:val="20"/>
        </w:rPr>
        <w:t xml:space="preserve">Multipurpose Centre, </w:t>
      </w:r>
      <w:r w:rsidRPr="000D59C4">
        <w:rPr>
          <w:rFonts w:ascii="Gill Sans MT" w:hAnsi="Gill Sans MT"/>
          <w:spacing w:val="2"/>
          <w:sz w:val="20"/>
          <w:szCs w:val="20"/>
        </w:rPr>
        <w:t xml:space="preserve">Oatlands; </w:t>
      </w:r>
      <w:r w:rsidRPr="000D59C4">
        <w:rPr>
          <w:rFonts w:ascii="Gill Sans MT" w:hAnsi="Gill Sans MT"/>
          <w:sz w:val="20"/>
          <w:szCs w:val="20"/>
        </w:rPr>
        <w:t xml:space="preserve">roof </w:t>
      </w:r>
      <w:r w:rsidRPr="000D59C4">
        <w:rPr>
          <w:rFonts w:ascii="Gill Sans MT" w:hAnsi="Gill Sans MT"/>
          <w:spacing w:val="2"/>
          <w:sz w:val="20"/>
          <w:szCs w:val="20"/>
        </w:rPr>
        <w:t xml:space="preserve">replacement </w:t>
      </w:r>
      <w:r w:rsidRPr="000D59C4">
        <w:rPr>
          <w:rFonts w:ascii="Gill Sans MT" w:hAnsi="Gill Sans MT"/>
          <w:sz w:val="20"/>
          <w:szCs w:val="20"/>
        </w:rPr>
        <w:t xml:space="preserve">at St </w:t>
      </w:r>
      <w:r w:rsidRPr="000D59C4">
        <w:rPr>
          <w:rFonts w:ascii="Gill Sans MT" w:hAnsi="Gill Sans MT"/>
          <w:spacing w:val="4"/>
          <w:sz w:val="20"/>
          <w:szCs w:val="20"/>
        </w:rPr>
        <w:t xml:space="preserve">Marys </w:t>
      </w:r>
      <w:r w:rsidRPr="000D59C4">
        <w:rPr>
          <w:rFonts w:ascii="Gill Sans MT" w:hAnsi="Gill Sans MT"/>
          <w:spacing w:val="3"/>
          <w:sz w:val="20"/>
          <w:szCs w:val="20"/>
        </w:rPr>
        <w:t xml:space="preserve">Health Centre </w:t>
      </w:r>
      <w:r w:rsidRPr="000D59C4">
        <w:rPr>
          <w:rFonts w:ascii="Gill Sans MT" w:hAnsi="Gill Sans MT"/>
          <w:sz w:val="20"/>
          <w:szCs w:val="20"/>
        </w:rPr>
        <w:t xml:space="preserve">and </w:t>
      </w:r>
      <w:r w:rsidRPr="000D59C4">
        <w:rPr>
          <w:rFonts w:ascii="Gill Sans MT" w:hAnsi="Gill Sans MT"/>
          <w:spacing w:val="2"/>
          <w:sz w:val="20"/>
          <w:szCs w:val="20"/>
        </w:rPr>
        <w:t xml:space="preserve">replacement </w:t>
      </w:r>
      <w:r w:rsidRPr="000D59C4">
        <w:rPr>
          <w:rFonts w:ascii="Gill Sans MT" w:hAnsi="Gill Sans MT"/>
          <w:sz w:val="20"/>
          <w:szCs w:val="20"/>
        </w:rPr>
        <w:t xml:space="preserve">of </w:t>
      </w:r>
      <w:r w:rsidRPr="000D59C4">
        <w:rPr>
          <w:rFonts w:ascii="Gill Sans MT" w:hAnsi="Gill Sans MT"/>
          <w:spacing w:val="3"/>
          <w:sz w:val="20"/>
          <w:szCs w:val="20"/>
        </w:rPr>
        <w:t xml:space="preserve">nurse </w:t>
      </w:r>
      <w:r w:rsidRPr="000D59C4">
        <w:rPr>
          <w:rFonts w:ascii="Gill Sans MT" w:hAnsi="Gill Sans MT"/>
          <w:spacing w:val="2"/>
          <w:sz w:val="20"/>
          <w:szCs w:val="20"/>
        </w:rPr>
        <w:t xml:space="preserve">call </w:t>
      </w:r>
      <w:r w:rsidRPr="000D59C4">
        <w:rPr>
          <w:rFonts w:ascii="Gill Sans MT" w:hAnsi="Gill Sans MT"/>
          <w:spacing w:val="3"/>
          <w:sz w:val="20"/>
          <w:szCs w:val="20"/>
        </w:rPr>
        <w:t xml:space="preserve">systems </w:t>
      </w:r>
      <w:r w:rsidRPr="000D59C4">
        <w:rPr>
          <w:rFonts w:ascii="Gill Sans MT" w:hAnsi="Gill Sans MT"/>
          <w:sz w:val="20"/>
          <w:szCs w:val="20"/>
        </w:rPr>
        <w:t xml:space="preserve">at </w:t>
      </w:r>
      <w:r w:rsidRPr="000D59C4">
        <w:rPr>
          <w:rFonts w:ascii="Gill Sans MT" w:hAnsi="Gill Sans MT"/>
          <w:spacing w:val="3"/>
          <w:sz w:val="20"/>
          <w:szCs w:val="20"/>
        </w:rPr>
        <w:t xml:space="preserve">Beaconsfield, </w:t>
      </w:r>
      <w:proofErr w:type="gramStart"/>
      <w:r w:rsidRPr="000D59C4">
        <w:rPr>
          <w:rFonts w:ascii="Gill Sans MT" w:hAnsi="Gill Sans MT"/>
          <w:spacing w:val="4"/>
          <w:sz w:val="20"/>
          <w:szCs w:val="20"/>
        </w:rPr>
        <w:t xml:space="preserve">North  </w:t>
      </w:r>
      <w:r w:rsidRPr="000D59C4">
        <w:rPr>
          <w:rFonts w:ascii="Gill Sans MT" w:hAnsi="Gill Sans MT"/>
          <w:sz w:val="20"/>
          <w:szCs w:val="20"/>
        </w:rPr>
        <w:t>West</w:t>
      </w:r>
      <w:proofErr w:type="gramEnd"/>
      <w:r w:rsidRPr="000D59C4">
        <w:rPr>
          <w:rFonts w:ascii="Gill Sans MT" w:hAnsi="Gill Sans MT"/>
          <w:sz w:val="20"/>
          <w:szCs w:val="20"/>
        </w:rPr>
        <w:t xml:space="preserve"> </w:t>
      </w:r>
      <w:r w:rsidRPr="000D59C4">
        <w:rPr>
          <w:rFonts w:ascii="Gill Sans MT" w:hAnsi="Gill Sans MT"/>
          <w:spacing w:val="2"/>
          <w:sz w:val="20"/>
          <w:szCs w:val="20"/>
        </w:rPr>
        <w:t xml:space="preserve">Regional </w:t>
      </w:r>
      <w:r w:rsidRPr="000D59C4">
        <w:rPr>
          <w:rFonts w:ascii="Gill Sans MT" w:hAnsi="Gill Sans MT"/>
          <w:spacing w:val="3"/>
          <w:sz w:val="20"/>
          <w:szCs w:val="20"/>
        </w:rPr>
        <w:t xml:space="preserve">Hospital (NWRH) </w:t>
      </w:r>
      <w:r w:rsidRPr="000D59C4">
        <w:rPr>
          <w:rFonts w:ascii="Gill Sans MT" w:hAnsi="Gill Sans MT"/>
          <w:sz w:val="20"/>
          <w:szCs w:val="20"/>
        </w:rPr>
        <w:t xml:space="preserve">West </w:t>
      </w:r>
      <w:r w:rsidRPr="000D59C4">
        <w:rPr>
          <w:rFonts w:ascii="Gill Sans MT" w:hAnsi="Gill Sans MT"/>
          <w:spacing w:val="3"/>
          <w:sz w:val="20"/>
          <w:szCs w:val="20"/>
        </w:rPr>
        <w:t xml:space="preserve">Coast </w:t>
      </w:r>
      <w:r w:rsidRPr="000D59C4">
        <w:rPr>
          <w:rFonts w:ascii="Gill Sans MT" w:hAnsi="Gill Sans MT"/>
          <w:spacing w:val="4"/>
          <w:sz w:val="20"/>
          <w:szCs w:val="20"/>
        </w:rPr>
        <w:t xml:space="preserve">District </w:t>
      </w:r>
      <w:r w:rsidRPr="000D59C4">
        <w:rPr>
          <w:rFonts w:ascii="Gill Sans MT" w:hAnsi="Gill Sans MT"/>
          <w:spacing w:val="3"/>
          <w:sz w:val="20"/>
          <w:szCs w:val="20"/>
        </w:rPr>
        <w:t xml:space="preserve">Hospital (WCDH), Repatriation Hospital </w:t>
      </w:r>
      <w:r w:rsidRPr="000D59C4">
        <w:rPr>
          <w:rFonts w:ascii="Gill Sans MT" w:hAnsi="Gill Sans MT"/>
          <w:sz w:val="20"/>
          <w:szCs w:val="20"/>
        </w:rPr>
        <w:t xml:space="preserve">and </w:t>
      </w:r>
      <w:r w:rsidRPr="000D59C4">
        <w:rPr>
          <w:rFonts w:ascii="Gill Sans MT" w:hAnsi="Gill Sans MT"/>
          <w:spacing w:val="3"/>
          <w:sz w:val="20"/>
          <w:szCs w:val="20"/>
        </w:rPr>
        <w:t>Launceston General Hospital</w:t>
      </w:r>
      <w:r w:rsidRPr="000D59C4">
        <w:rPr>
          <w:rFonts w:ascii="Gill Sans MT" w:hAnsi="Gill Sans MT"/>
          <w:spacing w:val="11"/>
          <w:sz w:val="20"/>
          <w:szCs w:val="20"/>
        </w:rPr>
        <w:t xml:space="preserve"> </w:t>
      </w:r>
      <w:r w:rsidRPr="000D59C4">
        <w:rPr>
          <w:rFonts w:ascii="Gill Sans MT" w:hAnsi="Gill Sans MT"/>
          <w:sz w:val="20"/>
          <w:szCs w:val="20"/>
        </w:rPr>
        <w:t>(LGH).</w:t>
      </w:r>
    </w:p>
    <w:p w:rsidR="000D59C4" w:rsidRDefault="000D59C4" w:rsidP="008309DD">
      <w:pPr>
        <w:pStyle w:val="BodyText"/>
      </w:pPr>
    </w:p>
    <w:p w:rsidR="000D59C4" w:rsidRDefault="000D59C4">
      <w:pPr>
        <w:rPr>
          <w:rFonts w:ascii="Gill Sans MT" w:eastAsiaTheme="majorEastAsia" w:hAnsi="Gill Sans MT" w:cstheme="majorBidi"/>
          <w:b/>
          <w:bCs/>
          <w:iCs/>
          <w:sz w:val="24"/>
        </w:rPr>
      </w:pPr>
      <w:r>
        <w:br w:type="page"/>
      </w:r>
    </w:p>
    <w:p w:rsidR="000D59C4" w:rsidRDefault="000D59C4" w:rsidP="000D59C4">
      <w:pPr>
        <w:pStyle w:val="Heading4"/>
      </w:pPr>
      <w:r>
        <w:lastRenderedPageBreak/>
        <w:t>Ongoing Major Capital Works 2015-16</w:t>
      </w:r>
    </w:p>
    <w:p w:rsidR="000D59C4" w:rsidRPr="000D59C4" w:rsidRDefault="000D59C4" w:rsidP="000D59C4"/>
    <w:tbl>
      <w:tblPr>
        <w:tblW w:w="0" w:type="auto"/>
        <w:tblInd w:w="5"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Ongoing Major Capital Works 2015-16"/>
      </w:tblPr>
      <w:tblGrid>
        <w:gridCol w:w="4678"/>
        <w:gridCol w:w="1418"/>
        <w:gridCol w:w="1134"/>
        <w:gridCol w:w="1134"/>
        <w:gridCol w:w="1275"/>
      </w:tblGrid>
      <w:tr w:rsidR="000D59C4" w:rsidRPr="000D59C4" w:rsidTr="00FE254C">
        <w:trPr>
          <w:trHeight w:hRule="exact" w:val="1013"/>
          <w:tblHeader/>
        </w:trPr>
        <w:tc>
          <w:tcPr>
            <w:tcW w:w="4678" w:type="dxa"/>
            <w:shd w:val="clear" w:color="auto" w:fill="auto"/>
          </w:tcPr>
          <w:p w:rsidR="000D59C4" w:rsidRPr="000D59C4" w:rsidRDefault="000D59C4" w:rsidP="000D59C4">
            <w:pPr>
              <w:pStyle w:val="TableParagraph"/>
              <w:spacing w:before="47"/>
              <w:ind w:left="56"/>
              <w:rPr>
                <w:rFonts w:ascii="Gill Sans MT" w:hAnsi="Gill Sans MT"/>
                <w:b/>
                <w:sz w:val="20"/>
                <w:szCs w:val="20"/>
              </w:rPr>
            </w:pPr>
            <w:r w:rsidRPr="000D59C4">
              <w:rPr>
                <w:rFonts w:ascii="Gill Sans MT" w:hAnsi="Gill Sans MT"/>
                <w:b/>
                <w:sz w:val="20"/>
                <w:szCs w:val="20"/>
              </w:rPr>
              <w:t>Ongoing Major Capital Works in 2015-16</w:t>
            </w:r>
          </w:p>
        </w:tc>
        <w:tc>
          <w:tcPr>
            <w:tcW w:w="1418" w:type="dxa"/>
            <w:shd w:val="clear" w:color="auto" w:fill="auto"/>
          </w:tcPr>
          <w:p w:rsidR="000D59C4" w:rsidRPr="000D59C4" w:rsidRDefault="000D59C4" w:rsidP="00BA0546">
            <w:pPr>
              <w:pStyle w:val="TableParagraph"/>
              <w:spacing w:before="43"/>
              <w:ind w:left="71" w:right="71"/>
              <w:jc w:val="center"/>
              <w:rPr>
                <w:rFonts w:ascii="Gill Sans MT" w:hAnsi="Gill Sans MT"/>
                <w:b/>
                <w:sz w:val="20"/>
                <w:szCs w:val="20"/>
              </w:rPr>
            </w:pPr>
            <w:r w:rsidRPr="000D59C4">
              <w:rPr>
                <w:rFonts w:ascii="Gill Sans MT" w:hAnsi="Gill Sans MT"/>
                <w:b/>
                <w:sz w:val="20"/>
                <w:szCs w:val="20"/>
              </w:rPr>
              <w:t>2015-16</w:t>
            </w:r>
          </w:p>
          <w:p w:rsidR="000D59C4" w:rsidRPr="000D59C4" w:rsidRDefault="000D59C4" w:rsidP="00BA0546">
            <w:pPr>
              <w:pStyle w:val="TableParagraph"/>
              <w:spacing w:before="1"/>
              <w:ind w:left="71" w:right="71"/>
              <w:jc w:val="center"/>
              <w:rPr>
                <w:rFonts w:ascii="Gill Sans MT" w:hAnsi="Gill Sans MT"/>
                <w:b/>
                <w:sz w:val="20"/>
                <w:szCs w:val="20"/>
              </w:rPr>
            </w:pPr>
            <w:r w:rsidRPr="000D59C4">
              <w:rPr>
                <w:rFonts w:ascii="Gill Sans MT" w:hAnsi="Gill Sans MT"/>
                <w:b/>
                <w:sz w:val="20"/>
                <w:szCs w:val="20"/>
              </w:rPr>
              <w:t>Expenditure</w:t>
            </w:r>
          </w:p>
          <w:p w:rsidR="000D59C4" w:rsidRPr="000D59C4" w:rsidRDefault="000D59C4" w:rsidP="00BA0546">
            <w:pPr>
              <w:pStyle w:val="TableParagraph"/>
              <w:spacing w:before="1"/>
              <w:ind w:left="71" w:right="64"/>
              <w:jc w:val="center"/>
              <w:rPr>
                <w:rFonts w:ascii="Gill Sans MT" w:hAnsi="Gill Sans MT"/>
                <w:b/>
                <w:sz w:val="20"/>
                <w:szCs w:val="20"/>
              </w:rPr>
            </w:pPr>
            <w:r w:rsidRPr="000D59C4">
              <w:rPr>
                <w:rFonts w:ascii="Gill Sans MT" w:hAnsi="Gill Sans MT"/>
                <w:b/>
                <w:sz w:val="20"/>
                <w:szCs w:val="20"/>
              </w:rPr>
              <w:t>$’000</w:t>
            </w:r>
          </w:p>
        </w:tc>
        <w:tc>
          <w:tcPr>
            <w:tcW w:w="1134" w:type="dxa"/>
            <w:shd w:val="clear" w:color="auto" w:fill="auto"/>
          </w:tcPr>
          <w:p w:rsidR="000D59C4" w:rsidRPr="000D59C4" w:rsidRDefault="000D59C4" w:rsidP="00BA0546">
            <w:pPr>
              <w:pStyle w:val="TableParagraph"/>
              <w:spacing w:before="43"/>
              <w:ind w:left="43" w:right="39"/>
              <w:jc w:val="center"/>
              <w:rPr>
                <w:rFonts w:ascii="Gill Sans MT" w:hAnsi="Gill Sans MT"/>
                <w:b/>
                <w:sz w:val="20"/>
                <w:szCs w:val="20"/>
              </w:rPr>
            </w:pPr>
            <w:r w:rsidRPr="000D59C4">
              <w:rPr>
                <w:rFonts w:ascii="Gill Sans MT" w:hAnsi="Gill Sans MT"/>
                <w:b/>
                <w:sz w:val="20"/>
                <w:szCs w:val="20"/>
              </w:rPr>
              <w:t>Estimated total cost</w:t>
            </w:r>
          </w:p>
          <w:p w:rsidR="000D59C4" w:rsidRPr="000D59C4" w:rsidRDefault="000D59C4" w:rsidP="00BA0546">
            <w:pPr>
              <w:pStyle w:val="TableParagraph"/>
              <w:spacing w:before="1"/>
              <w:ind w:left="43" w:right="36"/>
              <w:jc w:val="center"/>
              <w:rPr>
                <w:rFonts w:ascii="Gill Sans MT" w:hAnsi="Gill Sans MT"/>
                <w:b/>
                <w:sz w:val="20"/>
                <w:szCs w:val="20"/>
              </w:rPr>
            </w:pPr>
            <w:r w:rsidRPr="000D59C4">
              <w:rPr>
                <w:rFonts w:ascii="Gill Sans MT" w:hAnsi="Gill Sans MT"/>
                <w:b/>
                <w:sz w:val="20"/>
                <w:szCs w:val="20"/>
              </w:rPr>
              <w:t>$’000</w:t>
            </w:r>
          </w:p>
        </w:tc>
        <w:tc>
          <w:tcPr>
            <w:tcW w:w="1134" w:type="dxa"/>
            <w:shd w:val="clear" w:color="auto" w:fill="auto"/>
          </w:tcPr>
          <w:p w:rsidR="000D59C4" w:rsidRPr="000D59C4" w:rsidRDefault="000D59C4" w:rsidP="00BA0546">
            <w:pPr>
              <w:pStyle w:val="TableParagraph"/>
              <w:spacing w:before="43"/>
              <w:ind w:left="43" w:right="39"/>
              <w:jc w:val="center"/>
              <w:rPr>
                <w:rFonts w:ascii="Gill Sans MT" w:hAnsi="Gill Sans MT"/>
                <w:b/>
                <w:sz w:val="20"/>
                <w:szCs w:val="20"/>
              </w:rPr>
            </w:pPr>
            <w:r w:rsidRPr="000D59C4">
              <w:rPr>
                <w:rFonts w:ascii="Gill Sans MT" w:hAnsi="Gill Sans MT"/>
                <w:b/>
                <w:sz w:val="20"/>
                <w:szCs w:val="20"/>
              </w:rPr>
              <w:t>Estimated cost to complete</w:t>
            </w:r>
          </w:p>
          <w:p w:rsidR="000D59C4" w:rsidRPr="000D59C4" w:rsidRDefault="000D59C4" w:rsidP="00BA0546">
            <w:pPr>
              <w:pStyle w:val="TableParagraph"/>
              <w:spacing w:before="1"/>
              <w:ind w:left="43" w:right="36"/>
              <w:jc w:val="center"/>
              <w:rPr>
                <w:rFonts w:ascii="Gill Sans MT" w:hAnsi="Gill Sans MT"/>
                <w:b/>
                <w:sz w:val="20"/>
                <w:szCs w:val="20"/>
              </w:rPr>
            </w:pPr>
            <w:r w:rsidRPr="000D59C4">
              <w:rPr>
                <w:rFonts w:ascii="Gill Sans MT" w:hAnsi="Gill Sans MT"/>
                <w:b/>
                <w:sz w:val="20"/>
                <w:szCs w:val="20"/>
              </w:rPr>
              <w:t>$’000</w:t>
            </w:r>
          </w:p>
        </w:tc>
        <w:tc>
          <w:tcPr>
            <w:tcW w:w="1275" w:type="dxa"/>
            <w:shd w:val="clear" w:color="auto" w:fill="auto"/>
          </w:tcPr>
          <w:p w:rsidR="000D59C4" w:rsidRPr="000D59C4" w:rsidRDefault="000D59C4" w:rsidP="00BA0546">
            <w:pPr>
              <w:pStyle w:val="TableParagraph"/>
              <w:spacing w:before="47"/>
              <w:ind w:left="55" w:right="57" w:firstLine="54"/>
              <w:jc w:val="both"/>
              <w:rPr>
                <w:rFonts w:ascii="Gill Sans MT" w:hAnsi="Gill Sans MT"/>
                <w:b/>
                <w:sz w:val="20"/>
                <w:szCs w:val="20"/>
              </w:rPr>
            </w:pPr>
            <w:r w:rsidRPr="000D59C4">
              <w:rPr>
                <w:rFonts w:ascii="Gill Sans MT" w:hAnsi="Gill Sans MT"/>
                <w:b/>
                <w:sz w:val="20"/>
                <w:szCs w:val="20"/>
              </w:rPr>
              <w:t>Estimated completion year $’000</w:t>
            </w:r>
          </w:p>
        </w:tc>
      </w:tr>
      <w:tr w:rsidR="000D59C4" w:rsidRPr="000D59C4" w:rsidTr="00FE254C">
        <w:trPr>
          <w:trHeight w:hRule="exact" w:val="397"/>
        </w:trPr>
        <w:tc>
          <w:tcPr>
            <w:tcW w:w="4678" w:type="dxa"/>
            <w:shd w:val="clear" w:color="auto" w:fill="auto"/>
          </w:tcPr>
          <w:p w:rsidR="000D59C4" w:rsidRPr="000D59C4" w:rsidRDefault="000D59C4" w:rsidP="00BA0546">
            <w:pPr>
              <w:rPr>
                <w:rFonts w:ascii="Gill Sans MT" w:hAnsi="Gill Sans MT"/>
                <w:sz w:val="20"/>
                <w:szCs w:val="20"/>
              </w:rPr>
            </w:pPr>
            <w:r w:rsidRPr="000D59C4">
              <w:rPr>
                <w:rFonts w:ascii="Gill Sans MT" w:hAnsi="Gill Sans MT"/>
                <w:sz w:val="20"/>
                <w:szCs w:val="20"/>
              </w:rPr>
              <w:t>Essential Maintena</w:t>
            </w:r>
            <w:r>
              <w:rPr>
                <w:rFonts w:ascii="Gill Sans MT" w:hAnsi="Gill Sans MT"/>
                <w:sz w:val="20"/>
                <w:szCs w:val="20"/>
              </w:rPr>
              <w:t>nce</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2 645</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N/A</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N/A</w:t>
            </w:r>
          </w:p>
        </w:tc>
        <w:tc>
          <w:tcPr>
            <w:tcW w:w="1275" w:type="dxa"/>
            <w:shd w:val="clear" w:color="auto" w:fill="auto"/>
          </w:tcPr>
          <w:p w:rsidR="000D59C4" w:rsidRPr="000D59C4" w:rsidRDefault="000D59C4" w:rsidP="00BA0546">
            <w:pPr>
              <w:pStyle w:val="TableParagraph"/>
              <w:spacing w:before="43"/>
              <w:ind w:right="220"/>
              <w:jc w:val="right"/>
              <w:rPr>
                <w:rFonts w:ascii="Gill Sans MT" w:hAnsi="Gill Sans MT"/>
                <w:sz w:val="20"/>
                <w:szCs w:val="20"/>
              </w:rPr>
            </w:pPr>
            <w:r w:rsidRPr="000D59C4">
              <w:rPr>
                <w:rFonts w:ascii="Gill Sans MT" w:hAnsi="Gill Sans MT"/>
                <w:sz w:val="20"/>
                <w:szCs w:val="20"/>
              </w:rPr>
              <w:t>Ongoing</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Glenorchy Community Health Centre</w:t>
            </w:r>
            <w:r w:rsidRPr="000D59C4">
              <w:rPr>
                <w:rFonts w:ascii="Gill Sans MT" w:hAnsi="Gill Sans MT"/>
                <w:position w:val="7"/>
                <w:sz w:val="20"/>
                <w:szCs w:val="20"/>
              </w:rPr>
              <w:t>1</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2 291</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21 000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17 033</w:t>
            </w:r>
          </w:p>
        </w:tc>
        <w:tc>
          <w:tcPr>
            <w:tcW w:w="1275" w:type="dxa"/>
            <w:shd w:val="clear" w:color="auto" w:fill="auto"/>
          </w:tcPr>
          <w:p w:rsidR="000D59C4" w:rsidRPr="000D59C4" w:rsidRDefault="000D59C4" w:rsidP="00BA0546">
            <w:pPr>
              <w:pStyle w:val="TableParagraph"/>
              <w:spacing w:before="39"/>
              <w:ind w:right="233"/>
              <w:jc w:val="right"/>
              <w:rPr>
                <w:rFonts w:ascii="Gill Sans MT" w:hAnsi="Gill Sans MT"/>
                <w:sz w:val="20"/>
                <w:szCs w:val="20"/>
              </w:rPr>
            </w:pPr>
            <w:r w:rsidRPr="000D59C4">
              <w:rPr>
                <w:rFonts w:ascii="Gill Sans MT" w:hAnsi="Gill Sans MT"/>
                <w:sz w:val="20"/>
                <w:szCs w:val="20"/>
              </w:rPr>
              <w:t>2017</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Hospital and Health Centre Maintenance</w:t>
            </w:r>
            <w:r w:rsidRPr="000D59C4">
              <w:rPr>
                <w:rFonts w:ascii="Gill Sans MT" w:hAnsi="Gill Sans MT"/>
                <w:position w:val="7"/>
                <w:sz w:val="20"/>
                <w:szCs w:val="20"/>
              </w:rPr>
              <w:t>2</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3 290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8 340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5 050</w:t>
            </w:r>
          </w:p>
        </w:tc>
        <w:tc>
          <w:tcPr>
            <w:tcW w:w="1275" w:type="dxa"/>
            <w:shd w:val="clear" w:color="auto" w:fill="auto"/>
          </w:tcPr>
          <w:p w:rsidR="000D59C4" w:rsidRPr="000D59C4" w:rsidRDefault="000D59C4" w:rsidP="00BA0546">
            <w:pPr>
              <w:pStyle w:val="TableParagraph"/>
              <w:spacing w:before="39"/>
              <w:ind w:right="230"/>
              <w:jc w:val="right"/>
              <w:rPr>
                <w:rFonts w:ascii="Gill Sans MT" w:hAnsi="Gill Sans MT"/>
                <w:sz w:val="20"/>
                <w:szCs w:val="20"/>
              </w:rPr>
            </w:pPr>
            <w:r w:rsidRPr="000D59C4">
              <w:rPr>
                <w:rFonts w:ascii="Gill Sans MT" w:hAnsi="Gill Sans MT"/>
                <w:sz w:val="20"/>
                <w:szCs w:val="20"/>
              </w:rPr>
              <w:t>2018</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pacing w:val="2"/>
                <w:sz w:val="20"/>
                <w:szCs w:val="20"/>
              </w:rPr>
              <w:t xml:space="preserve">Health </w:t>
            </w:r>
            <w:r w:rsidRPr="000D59C4">
              <w:rPr>
                <w:rFonts w:ascii="Gill Sans MT" w:hAnsi="Gill Sans MT"/>
                <w:sz w:val="20"/>
                <w:szCs w:val="20"/>
              </w:rPr>
              <w:t>Transport and Coordination</w:t>
            </w:r>
            <w:r w:rsidRPr="000D59C4">
              <w:rPr>
                <w:rFonts w:ascii="Gill Sans MT" w:hAnsi="Gill Sans MT"/>
                <w:spacing w:val="51"/>
                <w:sz w:val="20"/>
                <w:szCs w:val="20"/>
              </w:rPr>
              <w:t xml:space="preserve"> </w:t>
            </w:r>
            <w:r w:rsidRPr="000D59C4">
              <w:rPr>
                <w:rFonts w:ascii="Gill Sans MT" w:hAnsi="Gill Sans MT"/>
                <w:spacing w:val="3"/>
                <w:sz w:val="20"/>
                <w:szCs w:val="20"/>
              </w:rPr>
              <w:t>Infrastructure</w:t>
            </w:r>
            <w:r w:rsidRPr="000D59C4">
              <w:rPr>
                <w:rFonts w:ascii="Gill Sans MT" w:hAnsi="Gill Sans MT"/>
                <w:spacing w:val="3"/>
                <w:position w:val="7"/>
                <w:sz w:val="20"/>
                <w:szCs w:val="20"/>
              </w:rPr>
              <w:t>3</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480</w:t>
            </w:r>
          </w:p>
        </w:tc>
        <w:tc>
          <w:tcPr>
            <w:tcW w:w="1134" w:type="dxa"/>
            <w:shd w:val="clear" w:color="auto" w:fill="auto"/>
          </w:tcPr>
          <w:p w:rsidR="000D59C4" w:rsidRPr="000D59C4" w:rsidRDefault="000D59C4" w:rsidP="00BA0546">
            <w:pPr>
              <w:pStyle w:val="TableParagraph"/>
              <w:spacing w:before="39"/>
              <w:ind w:right="211"/>
              <w:jc w:val="right"/>
              <w:rPr>
                <w:rFonts w:ascii="Gill Sans MT" w:hAnsi="Gill Sans MT"/>
                <w:sz w:val="20"/>
                <w:szCs w:val="20"/>
              </w:rPr>
            </w:pPr>
            <w:r w:rsidRPr="000D59C4">
              <w:rPr>
                <w:rFonts w:ascii="Gill Sans MT" w:hAnsi="Gill Sans MT"/>
                <w:sz w:val="20"/>
                <w:szCs w:val="20"/>
              </w:rPr>
              <w:t>10 000</w:t>
            </w:r>
          </w:p>
        </w:tc>
        <w:tc>
          <w:tcPr>
            <w:tcW w:w="1134" w:type="dxa"/>
            <w:shd w:val="clear" w:color="auto" w:fill="auto"/>
          </w:tcPr>
          <w:p w:rsidR="000D59C4" w:rsidRPr="000D59C4" w:rsidRDefault="000D59C4" w:rsidP="00BA0546">
            <w:pPr>
              <w:pStyle w:val="TableParagraph"/>
              <w:spacing w:before="39"/>
              <w:ind w:right="211"/>
              <w:jc w:val="right"/>
              <w:rPr>
                <w:rFonts w:ascii="Gill Sans MT" w:hAnsi="Gill Sans MT"/>
                <w:sz w:val="20"/>
                <w:szCs w:val="20"/>
              </w:rPr>
            </w:pPr>
            <w:r w:rsidRPr="000D59C4">
              <w:rPr>
                <w:rFonts w:ascii="Gill Sans MT" w:hAnsi="Gill Sans MT"/>
                <w:sz w:val="20"/>
                <w:szCs w:val="20"/>
              </w:rPr>
              <w:t>10 000</w:t>
            </w:r>
          </w:p>
        </w:tc>
        <w:tc>
          <w:tcPr>
            <w:tcW w:w="1275" w:type="dxa"/>
            <w:shd w:val="clear" w:color="auto" w:fill="auto"/>
          </w:tcPr>
          <w:p w:rsidR="000D59C4" w:rsidRPr="000D59C4" w:rsidRDefault="000D59C4" w:rsidP="00BA0546">
            <w:pPr>
              <w:pStyle w:val="TableParagraph"/>
              <w:spacing w:before="39"/>
              <w:ind w:right="230"/>
              <w:jc w:val="right"/>
              <w:rPr>
                <w:rFonts w:ascii="Gill Sans MT" w:hAnsi="Gill Sans MT"/>
                <w:sz w:val="20"/>
                <w:szCs w:val="20"/>
              </w:rPr>
            </w:pPr>
            <w:r w:rsidRPr="000D59C4">
              <w:rPr>
                <w:rFonts w:ascii="Gill Sans MT" w:hAnsi="Gill Sans MT"/>
                <w:sz w:val="20"/>
                <w:szCs w:val="20"/>
              </w:rPr>
              <w:t>2018</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Kingston Community Health Centre</w:t>
            </w:r>
            <w:r w:rsidRPr="000D59C4">
              <w:rPr>
                <w:rFonts w:ascii="Gill Sans MT" w:hAnsi="Gill Sans MT"/>
                <w:position w:val="7"/>
                <w:sz w:val="20"/>
                <w:szCs w:val="20"/>
              </w:rPr>
              <w:t>4</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6 500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6 443</w:t>
            </w:r>
          </w:p>
        </w:tc>
        <w:tc>
          <w:tcPr>
            <w:tcW w:w="1275" w:type="dxa"/>
            <w:shd w:val="clear" w:color="auto" w:fill="auto"/>
          </w:tcPr>
          <w:p w:rsidR="000D59C4" w:rsidRPr="000D59C4" w:rsidRDefault="000D59C4" w:rsidP="00BA0546">
            <w:pPr>
              <w:pStyle w:val="TableParagraph"/>
              <w:spacing w:before="39"/>
              <w:ind w:right="233"/>
              <w:jc w:val="right"/>
              <w:rPr>
                <w:rFonts w:ascii="Gill Sans MT" w:hAnsi="Gill Sans MT"/>
                <w:sz w:val="20"/>
                <w:szCs w:val="20"/>
              </w:rPr>
            </w:pPr>
            <w:r w:rsidRPr="000D59C4">
              <w:rPr>
                <w:rFonts w:ascii="Gill Sans MT" w:hAnsi="Gill Sans MT"/>
                <w:sz w:val="20"/>
                <w:szCs w:val="20"/>
              </w:rPr>
              <w:t>2017</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Launceston General Hospital - Allied Health Clinics</w:t>
            </w:r>
            <w:r w:rsidRPr="000D59C4">
              <w:rPr>
                <w:rFonts w:ascii="Gill Sans MT" w:hAnsi="Gill Sans MT"/>
                <w:position w:val="7"/>
                <w:sz w:val="20"/>
                <w:szCs w:val="20"/>
              </w:rPr>
              <w:t>5</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1 550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3 162</w:t>
            </w:r>
          </w:p>
        </w:tc>
        <w:tc>
          <w:tcPr>
            <w:tcW w:w="1134" w:type="dxa"/>
            <w:shd w:val="clear" w:color="auto" w:fill="auto"/>
          </w:tcPr>
          <w:p w:rsidR="000D59C4" w:rsidRPr="000D59C4" w:rsidRDefault="000D59C4" w:rsidP="00BA0546">
            <w:pPr>
              <w:pStyle w:val="TableParagraph"/>
              <w:spacing w:before="39"/>
              <w:ind w:right="211"/>
              <w:jc w:val="right"/>
              <w:rPr>
                <w:rFonts w:ascii="Gill Sans MT" w:hAnsi="Gill Sans MT"/>
                <w:sz w:val="20"/>
                <w:szCs w:val="20"/>
              </w:rPr>
            </w:pPr>
            <w:r w:rsidRPr="000D59C4">
              <w:rPr>
                <w:rFonts w:ascii="Gill Sans MT" w:hAnsi="Gill Sans MT"/>
                <w:sz w:val="20"/>
                <w:szCs w:val="20"/>
              </w:rPr>
              <w:t>3 000</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594"/>
        </w:trPr>
        <w:tc>
          <w:tcPr>
            <w:tcW w:w="4678" w:type="dxa"/>
            <w:shd w:val="clear" w:color="auto" w:fill="auto"/>
          </w:tcPr>
          <w:p w:rsidR="000D59C4" w:rsidRPr="000D59C4" w:rsidRDefault="000D59C4" w:rsidP="00BA0546">
            <w:pPr>
              <w:pStyle w:val="TableParagraph"/>
              <w:spacing w:before="39" w:line="254" w:lineRule="auto"/>
              <w:ind w:left="52" w:right="1900"/>
              <w:rPr>
                <w:rFonts w:ascii="Gill Sans MT" w:hAnsi="Gill Sans MT"/>
                <w:sz w:val="20"/>
                <w:szCs w:val="20"/>
              </w:rPr>
            </w:pPr>
            <w:r w:rsidRPr="000D59C4">
              <w:rPr>
                <w:rFonts w:ascii="Gill Sans MT" w:hAnsi="Gill Sans MT"/>
                <w:sz w:val="20"/>
                <w:szCs w:val="20"/>
              </w:rPr>
              <w:t>Launceston General Hospital - Acute Medical and Surgical Unit</w:t>
            </w:r>
            <w:r w:rsidRPr="000D59C4">
              <w:rPr>
                <w:rFonts w:ascii="Gill Sans MT" w:hAnsi="Gill Sans MT"/>
                <w:position w:val="7"/>
                <w:sz w:val="20"/>
                <w:szCs w:val="20"/>
              </w:rPr>
              <w:t>6</w:t>
            </w:r>
          </w:p>
        </w:tc>
        <w:tc>
          <w:tcPr>
            <w:tcW w:w="1418" w:type="dxa"/>
            <w:shd w:val="clear" w:color="auto" w:fill="auto"/>
          </w:tcPr>
          <w:p w:rsidR="000D59C4" w:rsidRPr="000D59C4" w:rsidRDefault="000D59C4" w:rsidP="00BA0546">
            <w:pPr>
              <w:pStyle w:val="TableParagraph"/>
              <w:spacing w:before="39"/>
              <w:ind w:right="233"/>
              <w:jc w:val="right"/>
              <w:rPr>
                <w:rFonts w:ascii="Gill Sans MT" w:hAnsi="Gill Sans MT"/>
                <w:sz w:val="20"/>
                <w:szCs w:val="20"/>
              </w:rPr>
            </w:pPr>
            <w:r w:rsidRPr="000D59C4">
              <w:rPr>
                <w:rFonts w:ascii="Gill Sans MT" w:hAnsi="Gill Sans MT"/>
                <w:sz w:val="20"/>
                <w:szCs w:val="20"/>
              </w:rPr>
              <w:t>4 291</w:t>
            </w:r>
          </w:p>
        </w:tc>
        <w:tc>
          <w:tcPr>
            <w:tcW w:w="1134"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45 019</w:t>
            </w:r>
          </w:p>
        </w:tc>
        <w:tc>
          <w:tcPr>
            <w:tcW w:w="1134" w:type="dxa"/>
            <w:shd w:val="clear" w:color="auto" w:fill="auto"/>
          </w:tcPr>
          <w:p w:rsidR="000D59C4" w:rsidRPr="000D59C4" w:rsidRDefault="000D59C4" w:rsidP="00BA0546">
            <w:pPr>
              <w:pStyle w:val="TableParagraph"/>
              <w:spacing w:before="39"/>
              <w:ind w:right="222"/>
              <w:jc w:val="right"/>
              <w:rPr>
                <w:rFonts w:ascii="Gill Sans MT" w:hAnsi="Gill Sans MT"/>
                <w:sz w:val="20"/>
                <w:szCs w:val="20"/>
              </w:rPr>
            </w:pPr>
            <w:r w:rsidRPr="000D59C4">
              <w:rPr>
                <w:rFonts w:ascii="Gill Sans MT" w:hAnsi="Gill Sans MT"/>
                <w:sz w:val="20"/>
                <w:szCs w:val="20"/>
              </w:rPr>
              <w:t>1 855</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Launceston Integrated Care Centre</w:t>
            </w:r>
            <w:r w:rsidRPr="000D59C4">
              <w:rPr>
                <w:rFonts w:ascii="Gill Sans MT" w:hAnsi="Gill Sans MT"/>
                <w:position w:val="7"/>
                <w:sz w:val="20"/>
                <w:szCs w:val="20"/>
              </w:rPr>
              <w:t>7</w:t>
            </w:r>
          </w:p>
        </w:tc>
        <w:tc>
          <w:tcPr>
            <w:tcW w:w="1418" w:type="dxa"/>
            <w:shd w:val="clear" w:color="auto" w:fill="auto"/>
          </w:tcPr>
          <w:p w:rsidR="000D59C4" w:rsidRPr="000D59C4" w:rsidRDefault="000D59C4" w:rsidP="00BA0546">
            <w:pPr>
              <w:pStyle w:val="TableParagraph"/>
              <w:spacing w:before="39"/>
              <w:ind w:right="244"/>
              <w:jc w:val="right"/>
              <w:rPr>
                <w:rFonts w:ascii="Gill Sans MT" w:hAnsi="Gill Sans MT"/>
                <w:sz w:val="20"/>
                <w:szCs w:val="20"/>
              </w:rPr>
            </w:pPr>
            <w:r w:rsidRPr="000D59C4">
              <w:rPr>
                <w:rFonts w:ascii="Gill Sans MT" w:hAnsi="Gill Sans MT"/>
                <w:sz w:val="20"/>
                <w:szCs w:val="20"/>
              </w:rPr>
              <w:t>411</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22 500</w:t>
            </w:r>
          </w:p>
        </w:tc>
        <w:tc>
          <w:tcPr>
            <w:tcW w:w="1134" w:type="dxa"/>
            <w:shd w:val="clear" w:color="auto" w:fill="auto"/>
          </w:tcPr>
          <w:p w:rsidR="000D59C4" w:rsidRPr="000D59C4" w:rsidRDefault="000D59C4" w:rsidP="00BA0546">
            <w:pPr>
              <w:pStyle w:val="TableParagraph"/>
              <w:spacing w:before="39"/>
              <w:ind w:right="244"/>
              <w:jc w:val="right"/>
              <w:rPr>
                <w:rFonts w:ascii="Gill Sans MT" w:hAnsi="Gill Sans MT"/>
                <w:sz w:val="20"/>
                <w:szCs w:val="20"/>
              </w:rPr>
            </w:pPr>
            <w:r w:rsidRPr="000D59C4">
              <w:rPr>
                <w:rFonts w:ascii="Gill Sans MT" w:hAnsi="Gill Sans MT"/>
                <w:sz w:val="20"/>
                <w:szCs w:val="20"/>
              </w:rPr>
              <w:t>411</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Mersey Community Hospital - SCIF Project</w:t>
            </w:r>
            <w:r w:rsidRPr="000D59C4">
              <w:rPr>
                <w:rFonts w:ascii="Gill Sans MT" w:hAnsi="Gill Sans MT"/>
                <w:position w:val="7"/>
                <w:sz w:val="20"/>
                <w:szCs w:val="20"/>
              </w:rPr>
              <w:t>8</w:t>
            </w:r>
          </w:p>
        </w:tc>
        <w:tc>
          <w:tcPr>
            <w:tcW w:w="1418" w:type="dxa"/>
            <w:shd w:val="clear" w:color="auto" w:fill="auto"/>
          </w:tcPr>
          <w:p w:rsidR="000D59C4" w:rsidRPr="000D59C4" w:rsidRDefault="000D59C4" w:rsidP="00BA0546">
            <w:pPr>
              <w:pStyle w:val="TableParagraph"/>
              <w:spacing w:before="39"/>
              <w:ind w:right="224"/>
              <w:jc w:val="right"/>
              <w:rPr>
                <w:rFonts w:ascii="Gill Sans MT" w:hAnsi="Gill Sans MT"/>
                <w:sz w:val="20"/>
                <w:szCs w:val="20"/>
              </w:rPr>
            </w:pPr>
            <w:r w:rsidRPr="000D59C4">
              <w:rPr>
                <w:rFonts w:ascii="Gill Sans MT" w:hAnsi="Gill Sans MT"/>
                <w:sz w:val="20"/>
                <w:szCs w:val="20"/>
              </w:rPr>
              <w:t>503</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1 900</w:t>
            </w:r>
          </w:p>
        </w:tc>
        <w:tc>
          <w:tcPr>
            <w:tcW w:w="1134" w:type="dxa"/>
            <w:shd w:val="clear" w:color="auto" w:fill="auto"/>
          </w:tcPr>
          <w:p w:rsidR="000D59C4" w:rsidRPr="000D59C4" w:rsidRDefault="000D59C4" w:rsidP="00BA0546">
            <w:pPr>
              <w:pStyle w:val="TableParagraph"/>
              <w:spacing w:before="39"/>
              <w:ind w:right="224"/>
              <w:jc w:val="right"/>
              <w:rPr>
                <w:rFonts w:ascii="Gill Sans MT" w:hAnsi="Gill Sans MT"/>
                <w:sz w:val="20"/>
                <w:szCs w:val="20"/>
              </w:rPr>
            </w:pPr>
            <w:r w:rsidRPr="000D59C4">
              <w:rPr>
                <w:rFonts w:ascii="Gill Sans MT" w:hAnsi="Gill Sans MT"/>
                <w:sz w:val="20"/>
                <w:szCs w:val="20"/>
              </w:rPr>
              <w:t>503</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628"/>
        </w:trPr>
        <w:tc>
          <w:tcPr>
            <w:tcW w:w="4678" w:type="dxa"/>
            <w:shd w:val="clear" w:color="auto" w:fill="auto"/>
          </w:tcPr>
          <w:p w:rsidR="000D59C4" w:rsidRPr="000D59C4" w:rsidRDefault="000D59C4" w:rsidP="00BA0546">
            <w:pPr>
              <w:pStyle w:val="TableParagraph"/>
              <w:spacing w:before="39" w:line="254" w:lineRule="auto"/>
              <w:ind w:left="52" w:right="208"/>
              <w:rPr>
                <w:rFonts w:ascii="Gill Sans MT" w:hAnsi="Gill Sans MT"/>
                <w:sz w:val="20"/>
                <w:szCs w:val="20"/>
              </w:rPr>
            </w:pPr>
            <w:r w:rsidRPr="000D59C4">
              <w:rPr>
                <w:rFonts w:ascii="Gill Sans MT" w:hAnsi="Gill Sans MT"/>
                <w:sz w:val="20"/>
                <w:szCs w:val="20"/>
              </w:rPr>
              <w:t>National Health and Hospitals Network - Capital - Elective Surgery - Royal Hobart Hospital</w:t>
            </w:r>
            <w:r w:rsidRPr="000D59C4">
              <w:rPr>
                <w:rFonts w:ascii="Gill Sans MT" w:hAnsi="Gill Sans MT"/>
                <w:position w:val="7"/>
                <w:sz w:val="20"/>
                <w:szCs w:val="20"/>
              </w:rPr>
              <w:t>9</w:t>
            </w:r>
          </w:p>
        </w:tc>
        <w:tc>
          <w:tcPr>
            <w:tcW w:w="1418" w:type="dxa"/>
            <w:shd w:val="clear" w:color="auto" w:fill="auto"/>
          </w:tcPr>
          <w:p w:rsidR="000D59C4" w:rsidRPr="000D59C4" w:rsidRDefault="000D59C4" w:rsidP="00BA0546">
            <w:pPr>
              <w:pStyle w:val="TableParagraph"/>
              <w:spacing w:before="39"/>
              <w:ind w:right="217"/>
              <w:jc w:val="right"/>
              <w:rPr>
                <w:rFonts w:ascii="Gill Sans MT" w:hAnsi="Gill Sans MT"/>
                <w:sz w:val="20"/>
                <w:szCs w:val="20"/>
              </w:rPr>
            </w:pPr>
            <w:r w:rsidRPr="000D59C4">
              <w:rPr>
                <w:rFonts w:ascii="Gill Sans MT" w:hAnsi="Gill Sans MT"/>
                <w:sz w:val="20"/>
                <w:szCs w:val="20"/>
              </w:rPr>
              <w:t>72</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3 660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1 136</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694"/>
        </w:trPr>
        <w:tc>
          <w:tcPr>
            <w:tcW w:w="4678" w:type="dxa"/>
            <w:shd w:val="clear" w:color="auto" w:fill="auto"/>
          </w:tcPr>
          <w:p w:rsidR="000D59C4" w:rsidRPr="000D59C4" w:rsidRDefault="000D59C4" w:rsidP="00BA0546">
            <w:pPr>
              <w:pStyle w:val="TableParagraph"/>
              <w:spacing w:before="39" w:line="254" w:lineRule="auto"/>
              <w:ind w:left="52"/>
              <w:rPr>
                <w:rFonts w:ascii="Gill Sans MT" w:hAnsi="Gill Sans MT"/>
                <w:sz w:val="20"/>
                <w:szCs w:val="20"/>
              </w:rPr>
            </w:pPr>
            <w:r w:rsidRPr="000D59C4">
              <w:rPr>
                <w:rFonts w:ascii="Gill Sans MT" w:hAnsi="Gill Sans MT"/>
                <w:sz w:val="20"/>
                <w:szCs w:val="20"/>
              </w:rPr>
              <w:t>National Health and Hospitals Network - Capital - Emergency Department - Royal Hobart Hospital</w:t>
            </w:r>
            <w:r w:rsidRPr="000D59C4">
              <w:rPr>
                <w:rFonts w:ascii="Gill Sans MT" w:hAnsi="Gill Sans MT"/>
                <w:position w:val="7"/>
                <w:sz w:val="20"/>
                <w:szCs w:val="20"/>
              </w:rPr>
              <w:t>10</w:t>
            </w:r>
          </w:p>
        </w:tc>
        <w:tc>
          <w:tcPr>
            <w:tcW w:w="1418" w:type="dxa"/>
            <w:shd w:val="clear" w:color="auto" w:fill="auto"/>
          </w:tcPr>
          <w:p w:rsidR="000D59C4" w:rsidRPr="000D59C4" w:rsidRDefault="000D59C4" w:rsidP="00BA0546">
            <w:pPr>
              <w:pStyle w:val="TableParagraph"/>
              <w:spacing w:before="39"/>
              <w:ind w:right="237"/>
              <w:jc w:val="right"/>
              <w:rPr>
                <w:rFonts w:ascii="Gill Sans MT" w:hAnsi="Gill Sans MT"/>
                <w:sz w:val="20"/>
                <w:szCs w:val="20"/>
              </w:rPr>
            </w:pPr>
            <w:r w:rsidRPr="000D59C4">
              <w:rPr>
                <w:rFonts w:ascii="Gill Sans MT" w:hAnsi="Gill Sans MT"/>
                <w:sz w:val="20"/>
                <w:szCs w:val="20"/>
              </w:rPr>
              <w:t>813</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3 710</w:t>
            </w:r>
          </w:p>
        </w:tc>
        <w:tc>
          <w:tcPr>
            <w:tcW w:w="1134" w:type="dxa"/>
            <w:shd w:val="clear" w:color="auto" w:fill="auto"/>
          </w:tcPr>
          <w:p w:rsidR="000D59C4" w:rsidRPr="000D59C4" w:rsidRDefault="000D59C4" w:rsidP="00BA0546">
            <w:pPr>
              <w:pStyle w:val="TableParagraph"/>
              <w:spacing w:before="39"/>
              <w:ind w:right="223"/>
              <w:jc w:val="right"/>
              <w:rPr>
                <w:rFonts w:ascii="Gill Sans MT" w:hAnsi="Gill Sans MT"/>
                <w:sz w:val="20"/>
                <w:szCs w:val="20"/>
              </w:rPr>
            </w:pPr>
            <w:r w:rsidRPr="000D59C4">
              <w:rPr>
                <w:rFonts w:ascii="Gill Sans MT" w:hAnsi="Gill Sans MT"/>
                <w:sz w:val="20"/>
                <w:szCs w:val="20"/>
              </w:rPr>
              <w:t>783</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Royal Hobart Hospital $100 million</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1 804</w:t>
            </w:r>
          </w:p>
        </w:tc>
        <w:tc>
          <w:tcPr>
            <w:tcW w:w="1134" w:type="dxa"/>
            <w:shd w:val="clear" w:color="auto" w:fill="auto"/>
          </w:tcPr>
          <w:p w:rsidR="000D59C4" w:rsidRPr="000D59C4" w:rsidRDefault="000D59C4" w:rsidP="00BA0546">
            <w:pPr>
              <w:pStyle w:val="TableParagraph"/>
              <w:spacing w:before="39"/>
              <w:ind w:right="211"/>
              <w:jc w:val="right"/>
              <w:rPr>
                <w:rFonts w:ascii="Gill Sans MT" w:hAnsi="Gill Sans MT"/>
                <w:sz w:val="20"/>
                <w:szCs w:val="20"/>
              </w:rPr>
            </w:pPr>
            <w:r w:rsidRPr="000D59C4">
              <w:rPr>
                <w:rFonts w:ascii="Gill Sans MT" w:hAnsi="Gill Sans MT"/>
                <w:sz w:val="20"/>
                <w:szCs w:val="20"/>
              </w:rPr>
              <w:t>100 000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17 332</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Royal Hobart Hospital - Inpatient Precinct Project</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11 871</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536 900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477 808</w:t>
            </w:r>
          </w:p>
        </w:tc>
        <w:tc>
          <w:tcPr>
            <w:tcW w:w="1275" w:type="dxa"/>
            <w:shd w:val="clear" w:color="auto" w:fill="auto"/>
          </w:tcPr>
          <w:p w:rsidR="000D59C4" w:rsidRPr="000D59C4" w:rsidRDefault="000D59C4" w:rsidP="00BA0546">
            <w:pPr>
              <w:pStyle w:val="TableParagraph"/>
              <w:spacing w:before="39"/>
              <w:ind w:right="230"/>
              <w:jc w:val="right"/>
              <w:rPr>
                <w:rFonts w:ascii="Gill Sans MT" w:hAnsi="Gill Sans MT"/>
                <w:sz w:val="20"/>
                <w:szCs w:val="20"/>
              </w:rPr>
            </w:pPr>
            <w:r w:rsidRPr="000D59C4">
              <w:rPr>
                <w:rFonts w:ascii="Gill Sans MT" w:hAnsi="Gill Sans MT"/>
                <w:sz w:val="20"/>
                <w:szCs w:val="20"/>
              </w:rPr>
              <w:t>2018</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Royal Hobart Hospital Redevelopment Fund</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w:t>
            </w:r>
          </w:p>
        </w:tc>
        <w:tc>
          <w:tcPr>
            <w:tcW w:w="1134" w:type="dxa"/>
            <w:shd w:val="clear" w:color="auto" w:fill="auto"/>
          </w:tcPr>
          <w:p w:rsidR="000D59C4" w:rsidRPr="000D59C4" w:rsidRDefault="000D59C4" w:rsidP="00BA0546">
            <w:pPr>
              <w:pStyle w:val="TableParagraph"/>
              <w:spacing w:before="39"/>
              <w:ind w:right="221"/>
              <w:jc w:val="right"/>
              <w:rPr>
                <w:rFonts w:ascii="Gill Sans MT" w:hAnsi="Gill Sans MT"/>
                <w:sz w:val="20"/>
                <w:szCs w:val="20"/>
              </w:rPr>
            </w:pPr>
            <w:r w:rsidRPr="000D59C4">
              <w:rPr>
                <w:rFonts w:ascii="Gill Sans MT" w:hAnsi="Gill Sans MT"/>
                <w:sz w:val="20"/>
                <w:szCs w:val="20"/>
              </w:rPr>
              <w:t>35 000</w:t>
            </w:r>
          </w:p>
        </w:tc>
        <w:tc>
          <w:tcPr>
            <w:tcW w:w="1134" w:type="dxa"/>
            <w:shd w:val="clear" w:color="auto" w:fill="auto"/>
          </w:tcPr>
          <w:p w:rsidR="000D59C4" w:rsidRPr="000D59C4" w:rsidRDefault="000D59C4" w:rsidP="00BA0546">
            <w:pPr>
              <w:pStyle w:val="TableParagraph"/>
              <w:spacing w:before="39"/>
              <w:ind w:right="226"/>
              <w:jc w:val="right"/>
              <w:rPr>
                <w:rFonts w:ascii="Gill Sans MT" w:hAnsi="Gill Sans MT"/>
                <w:sz w:val="20"/>
                <w:szCs w:val="20"/>
              </w:rPr>
            </w:pPr>
            <w:r w:rsidRPr="000D59C4">
              <w:rPr>
                <w:rFonts w:ascii="Gill Sans MT" w:hAnsi="Gill Sans MT"/>
                <w:sz w:val="20"/>
                <w:szCs w:val="20"/>
              </w:rPr>
              <w:t>653</w:t>
            </w:r>
          </w:p>
        </w:tc>
        <w:tc>
          <w:tcPr>
            <w:tcW w:w="1275" w:type="dxa"/>
            <w:shd w:val="clear" w:color="auto" w:fill="auto"/>
          </w:tcPr>
          <w:p w:rsidR="000D59C4" w:rsidRPr="000D59C4" w:rsidRDefault="000D59C4" w:rsidP="00BA0546">
            <w:pPr>
              <w:pStyle w:val="TableParagraph"/>
              <w:spacing w:before="39"/>
              <w:ind w:right="233"/>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Rural Breast Screening Clinics</w:t>
            </w:r>
          </w:p>
        </w:tc>
        <w:tc>
          <w:tcPr>
            <w:tcW w:w="1418" w:type="dxa"/>
            <w:shd w:val="clear" w:color="auto" w:fill="auto"/>
          </w:tcPr>
          <w:p w:rsidR="000D59C4" w:rsidRPr="000D59C4" w:rsidRDefault="000D59C4" w:rsidP="00BA0546">
            <w:pPr>
              <w:pStyle w:val="TableParagraph"/>
              <w:spacing w:before="39"/>
              <w:ind w:right="223"/>
              <w:jc w:val="right"/>
              <w:rPr>
                <w:rFonts w:ascii="Gill Sans MT" w:hAnsi="Gill Sans MT"/>
                <w:sz w:val="20"/>
                <w:szCs w:val="20"/>
              </w:rPr>
            </w:pPr>
            <w:r w:rsidRPr="000D59C4">
              <w:rPr>
                <w:rFonts w:ascii="Gill Sans MT" w:hAnsi="Gill Sans MT"/>
                <w:sz w:val="20"/>
                <w:szCs w:val="20"/>
              </w:rPr>
              <w:t>1 026</w:t>
            </w:r>
          </w:p>
        </w:tc>
        <w:tc>
          <w:tcPr>
            <w:tcW w:w="1134" w:type="dxa"/>
            <w:shd w:val="clear" w:color="auto" w:fill="auto"/>
          </w:tcPr>
          <w:p w:rsidR="000D59C4" w:rsidRPr="000D59C4" w:rsidRDefault="000D59C4" w:rsidP="00BA0546">
            <w:pPr>
              <w:pStyle w:val="TableParagraph"/>
              <w:spacing w:before="39"/>
              <w:ind w:right="221"/>
              <w:jc w:val="right"/>
              <w:rPr>
                <w:rFonts w:ascii="Gill Sans MT" w:hAnsi="Gill Sans MT"/>
                <w:sz w:val="20"/>
                <w:szCs w:val="20"/>
              </w:rPr>
            </w:pPr>
            <w:r w:rsidRPr="000D59C4">
              <w:rPr>
                <w:rFonts w:ascii="Gill Sans MT" w:hAnsi="Gill Sans MT"/>
                <w:sz w:val="20"/>
                <w:szCs w:val="20"/>
              </w:rPr>
              <w:t>1 268</w:t>
            </w:r>
          </w:p>
        </w:tc>
        <w:tc>
          <w:tcPr>
            <w:tcW w:w="1134" w:type="dxa"/>
            <w:shd w:val="clear" w:color="auto" w:fill="auto"/>
          </w:tcPr>
          <w:p w:rsidR="000D59C4" w:rsidRPr="000D59C4" w:rsidRDefault="000D59C4" w:rsidP="00BA0546">
            <w:pPr>
              <w:pStyle w:val="TableParagraph"/>
              <w:spacing w:before="39"/>
              <w:ind w:right="221"/>
              <w:jc w:val="right"/>
              <w:rPr>
                <w:rFonts w:ascii="Gill Sans MT" w:hAnsi="Gill Sans MT"/>
                <w:sz w:val="20"/>
                <w:szCs w:val="20"/>
              </w:rPr>
            </w:pPr>
            <w:r w:rsidRPr="000D59C4">
              <w:rPr>
                <w:rFonts w:ascii="Gill Sans MT" w:hAnsi="Gill Sans MT"/>
                <w:sz w:val="20"/>
                <w:szCs w:val="20"/>
              </w:rPr>
              <w:t>175</w:t>
            </w:r>
          </w:p>
        </w:tc>
        <w:tc>
          <w:tcPr>
            <w:tcW w:w="1275" w:type="dxa"/>
            <w:shd w:val="clear" w:color="auto" w:fill="auto"/>
          </w:tcPr>
          <w:p w:rsidR="000D59C4" w:rsidRPr="000D59C4" w:rsidRDefault="000D59C4" w:rsidP="00BA0546">
            <w:pPr>
              <w:pStyle w:val="TableParagraph"/>
              <w:spacing w:before="39"/>
              <w:ind w:right="233"/>
              <w:jc w:val="right"/>
              <w:rPr>
                <w:rFonts w:ascii="Gill Sans MT" w:hAnsi="Gill Sans MT"/>
                <w:sz w:val="20"/>
                <w:szCs w:val="20"/>
              </w:rPr>
            </w:pPr>
            <w:r w:rsidRPr="000D59C4">
              <w:rPr>
                <w:rFonts w:ascii="Gill Sans MT" w:hAnsi="Gill Sans MT"/>
                <w:sz w:val="20"/>
                <w:szCs w:val="20"/>
              </w:rPr>
              <w:t>2016</w:t>
            </w:r>
          </w:p>
        </w:tc>
      </w:tr>
      <w:tr w:rsidR="000D59C4" w:rsidRPr="000D59C4" w:rsidTr="00FE254C">
        <w:trPr>
          <w:trHeight w:hRule="exact" w:val="397"/>
        </w:trPr>
        <w:tc>
          <w:tcPr>
            <w:tcW w:w="4678" w:type="dxa"/>
            <w:shd w:val="clear" w:color="auto" w:fill="auto"/>
          </w:tcPr>
          <w:p w:rsidR="000D59C4" w:rsidRPr="000D59C4" w:rsidRDefault="000D59C4" w:rsidP="00BA0546">
            <w:pPr>
              <w:pStyle w:val="TableParagraph"/>
              <w:spacing w:before="39"/>
              <w:ind w:left="52"/>
              <w:rPr>
                <w:rFonts w:ascii="Gill Sans MT" w:hAnsi="Gill Sans MT"/>
                <w:sz w:val="20"/>
                <w:szCs w:val="20"/>
              </w:rPr>
            </w:pPr>
            <w:r w:rsidRPr="000D59C4">
              <w:rPr>
                <w:rFonts w:ascii="Gill Sans MT" w:hAnsi="Gill Sans MT"/>
                <w:sz w:val="20"/>
                <w:szCs w:val="20"/>
              </w:rPr>
              <w:t>Statewide Cancer Services</w:t>
            </w:r>
            <w:r w:rsidRPr="000D59C4">
              <w:rPr>
                <w:rFonts w:ascii="Gill Sans MT" w:hAnsi="Gill Sans MT"/>
                <w:position w:val="7"/>
                <w:sz w:val="20"/>
                <w:szCs w:val="20"/>
              </w:rPr>
              <w:t>11</w:t>
            </w:r>
          </w:p>
        </w:tc>
        <w:tc>
          <w:tcPr>
            <w:tcW w:w="1418"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12 832</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63 020</w:t>
            </w:r>
          </w:p>
        </w:tc>
        <w:tc>
          <w:tcPr>
            <w:tcW w:w="1134" w:type="dxa"/>
            <w:shd w:val="clear" w:color="auto" w:fill="auto"/>
          </w:tcPr>
          <w:p w:rsidR="000D59C4" w:rsidRPr="000D59C4" w:rsidRDefault="000D59C4" w:rsidP="00BA0546">
            <w:pPr>
              <w:pStyle w:val="TableParagraph"/>
              <w:spacing w:before="39"/>
              <w:ind w:right="220"/>
              <w:jc w:val="right"/>
              <w:rPr>
                <w:rFonts w:ascii="Gill Sans MT" w:hAnsi="Gill Sans MT"/>
                <w:sz w:val="20"/>
                <w:szCs w:val="20"/>
              </w:rPr>
            </w:pPr>
            <w:r w:rsidRPr="000D59C4">
              <w:rPr>
                <w:rFonts w:ascii="Gill Sans MT" w:hAnsi="Gill Sans MT"/>
                <w:sz w:val="20"/>
                <w:szCs w:val="20"/>
              </w:rPr>
              <w:t>11 268</w:t>
            </w:r>
          </w:p>
        </w:tc>
        <w:tc>
          <w:tcPr>
            <w:tcW w:w="1275" w:type="dxa"/>
            <w:shd w:val="clear" w:color="auto" w:fill="auto"/>
          </w:tcPr>
          <w:p w:rsidR="000D59C4" w:rsidRPr="000D59C4" w:rsidRDefault="000D59C4" w:rsidP="00BA0546">
            <w:pPr>
              <w:pStyle w:val="TableParagraph"/>
              <w:spacing w:before="39"/>
              <w:ind w:right="232"/>
              <w:jc w:val="right"/>
              <w:rPr>
                <w:rFonts w:ascii="Gill Sans MT" w:hAnsi="Gill Sans MT"/>
                <w:sz w:val="20"/>
                <w:szCs w:val="20"/>
              </w:rPr>
            </w:pPr>
            <w:r w:rsidRPr="000D59C4">
              <w:rPr>
                <w:rFonts w:ascii="Gill Sans MT" w:hAnsi="Gill Sans MT"/>
                <w:sz w:val="20"/>
                <w:szCs w:val="20"/>
              </w:rPr>
              <w:t>2016</w:t>
            </w:r>
          </w:p>
        </w:tc>
      </w:tr>
    </w:tbl>
    <w:p w:rsidR="000D59C4" w:rsidRDefault="000D59C4" w:rsidP="000D59C4"/>
    <w:p w:rsidR="00FE254C" w:rsidRPr="00FE254C" w:rsidRDefault="00FE254C" w:rsidP="00FE254C">
      <w:pPr>
        <w:spacing w:before="97"/>
        <w:ind w:left="673" w:hanging="673"/>
        <w:rPr>
          <w:rFonts w:ascii="Gill Sans MT" w:hAnsi="Gill Sans MT"/>
          <w:b/>
          <w:sz w:val="20"/>
          <w:szCs w:val="20"/>
        </w:rPr>
      </w:pPr>
      <w:r w:rsidRPr="00FE254C">
        <w:rPr>
          <w:rFonts w:ascii="Gill Sans MT" w:hAnsi="Gill Sans MT"/>
          <w:b/>
          <w:sz w:val="20"/>
          <w:szCs w:val="20"/>
        </w:rPr>
        <w:t>Notes:</w:t>
      </w:r>
    </w:p>
    <w:p w:rsidR="00FE254C" w:rsidRPr="00FE254C" w:rsidRDefault="00FE254C" w:rsidP="00103528">
      <w:pPr>
        <w:pStyle w:val="ListParagraph"/>
        <w:widowControl w:val="0"/>
        <w:numPr>
          <w:ilvl w:val="1"/>
          <w:numId w:val="36"/>
        </w:numPr>
        <w:autoSpaceDE w:val="0"/>
        <w:autoSpaceDN w:val="0"/>
        <w:spacing w:before="78" w:after="0" w:line="302" w:lineRule="auto"/>
        <w:ind w:left="567" w:right="249" w:hanging="567"/>
        <w:contextualSpacing w:val="0"/>
        <w:jc w:val="left"/>
        <w:rPr>
          <w:rFonts w:ascii="Gill Sans MT" w:hAnsi="Gill Sans MT"/>
          <w:sz w:val="20"/>
          <w:szCs w:val="20"/>
        </w:rPr>
      </w:pPr>
      <w:r w:rsidRPr="00FE254C">
        <w:rPr>
          <w:rFonts w:ascii="Gill Sans MT" w:hAnsi="Gill Sans MT"/>
          <w:spacing w:val="3"/>
          <w:sz w:val="20"/>
          <w:szCs w:val="20"/>
        </w:rPr>
        <w:t xml:space="preserve">Early </w:t>
      </w:r>
      <w:r w:rsidRPr="00FE254C">
        <w:rPr>
          <w:rFonts w:ascii="Gill Sans MT" w:hAnsi="Gill Sans MT"/>
          <w:spacing w:val="2"/>
          <w:sz w:val="20"/>
          <w:szCs w:val="20"/>
        </w:rPr>
        <w:t xml:space="preserve">demolition </w:t>
      </w:r>
      <w:r w:rsidRPr="00FE254C">
        <w:rPr>
          <w:rFonts w:ascii="Gill Sans MT" w:hAnsi="Gill Sans MT"/>
          <w:spacing w:val="3"/>
          <w:sz w:val="20"/>
          <w:szCs w:val="20"/>
        </w:rPr>
        <w:t xml:space="preserve">works </w:t>
      </w:r>
      <w:r w:rsidRPr="00FE254C">
        <w:rPr>
          <w:rFonts w:ascii="Gill Sans MT" w:hAnsi="Gill Sans MT"/>
          <w:sz w:val="20"/>
          <w:szCs w:val="20"/>
        </w:rPr>
        <w:t xml:space="preserve">of </w:t>
      </w:r>
      <w:r w:rsidRPr="00FE254C">
        <w:rPr>
          <w:rFonts w:ascii="Gill Sans MT" w:hAnsi="Gill Sans MT"/>
          <w:spacing w:val="2"/>
          <w:sz w:val="20"/>
          <w:szCs w:val="20"/>
        </w:rPr>
        <w:t xml:space="preserve">existing buildings was </w:t>
      </w:r>
      <w:r w:rsidRPr="00FE254C">
        <w:rPr>
          <w:rFonts w:ascii="Gill Sans MT" w:hAnsi="Gill Sans MT"/>
          <w:spacing w:val="3"/>
          <w:sz w:val="20"/>
          <w:szCs w:val="20"/>
        </w:rPr>
        <w:t xml:space="preserve">undertaken </w:t>
      </w:r>
      <w:r w:rsidRPr="00FE254C">
        <w:rPr>
          <w:rFonts w:ascii="Gill Sans MT" w:hAnsi="Gill Sans MT"/>
          <w:sz w:val="20"/>
          <w:szCs w:val="20"/>
        </w:rPr>
        <w:t xml:space="preserve">in 2015-16. </w:t>
      </w:r>
      <w:r w:rsidRPr="00FE254C">
        <w:rPr>
          <w:rFonts w:ascii="Gill Sans MT" w:hAnsi="Gill Sans MT"/>
          <w:spacing w:val="3"/>
          <w:sz w:val="20"/>
          <w:szCs w:val="20"/>
        </w:rPr>
        <w:t xml:space="preserve">Construction </w:t>
      </w:r>
      <w:r w:rsidRPr="00FE254C">
        <w:rPr>
          <w:rFonts w:ascii="Gill Sans MT" w:hAnsi="Gill Sans MT"/>
          <w:sz w:val="20"/>
          <w:szCs w:val="20"/>
        </w:rPr>
        <w:t xml:space="preserve">of </w:t>
      </w:r>
      <w:r w:rsidRPr="00FE254C">
        <w:rPr>
          <w:rFonts w:ascii="Gill Sans MT" w:hAnsi="Gill Sans MT"/>
          <w:spacing w:val="2"/>
          <w:sz w:val="20"/>
          <w:szCs w:val="20"/>
        </w:rPr>
        <w:t xml:space="preserve">the </w:t>
      </w:r>
      <w:r w:rsidRPr="00FE254C">
        <w:rPr>
          <w:rFonts w:ascii="Gill Sans MT" w:hAnsi="Gill Sans MT"/>
          <w:sz w:val="20"/>
          <w:szCs w:val="20"/>
        </w:rPr>
        <w:t xml:space="preserve">new </w:t>
      </w:r>
      <w:r w:rsidRPr="00FE254C">
        <w:rPr>
          <w:rFonts w:ascii="Gill Sans MT" w:hAnsi="Gill Sans MT"/>
          <w:spacing w:val="2"/>
          <w:sz w:val="20"/>
          <w:szCs w:val="20"/>
        </w:rPr>
        <w:t xml:space="preserve">Glenorchy </w:t>
      </w:r>
      <w:r w:rsidRPr="00FE254C">
        <w:rPr>
          <w:rFonts w:ascii="Gill Sans MT" w:hAnsi="Gill Sans MT"/>
          <w:spacing w:val="3"/>
          <w:sz w:val="20"/>
          <w:szCs w:val="20"/>
        </w:rPr>
        <w:t xml:space="preserve">Community Health Centre </w:t>
      </w:r>
      <w:r w:rsidRPr="00FE254C">
        <w:rPr>
          <w:rFonts w:ascii="Gill Sans MT" w:hAnsi="Gill Sans MT"/>
          <w:sz w:val="20"/>
          <w:szCs w:val="20"/>
        </w:rPr>
        <w:t xml:space="preserve">is </w:t>
      </w:r>
      <w:r w:rsidRPr="00FE254C">
        <w:rPr>
          <w:rFonts w:ascii="Gill Sans MT" w:hAnsi="Gill Sans MT"/>
          <w:spacing w:val="2"/>
          <w:sz w:val="20"/>
          <w:szCs w:val="20"/>
        </w:rPr>
        <w:t xml:space="preserve">still </w:t>
      </w:r>
      <w:r w:rsidRPr="00FE254C">
        <w:rPr>
          <w:rFonts w:ascii="Gill Sans MT" w:hAnsi="Gill Sans MT"/>
          <w:sz w:val="20"/>
          <w:szCs w:val="20"/>
        </w:rPr>
        <w:t xml:space="preserve">on </w:t>
      </w:r>
      <w:r w:rsidRPr="00FE254C">
        <w:rPr>
          <w:rFonts w:ascii="Gill Sans MT" w:hAnsi="Gill Sans MT"/>
          <w:spacing w:val="3"/>
          <w:sz w:val="20"/>
          <w:szCs w:val="20"/>
        </w:rPr>
        <w:t xml:space="preserve">track </w:t>
      </w:r>
      <w:r w:rsidRPr="00FE254C">
        <w:rPr>
          <w:rFonts w:ascii="Gill Sans MT" w:hAnsi="Gill Sans MT"/>
          <w:sz w:val="20"/>
          <w:szCs w:val="20"/>
        </w:rPr>
        <w:t xml:space="preserve">for </w:t>
      </w:r>
      <w:r w:rsidRPr="00FE254C">
        <w:rPr>
          <w:rFonts w:ascii="Gill Sans MT" w:hAnsi="Gill Sans MT"/>
          <w:spacing w:val="2"/>
          <w:sz w:val="20"/>
          <w:szCs w:val="20"/>
        </w:rPr>
        <w:t xml:space="preserve">completion </w:t>
      </w:r>
      <w:r w:rsidRPr="00FE254C">
        <w:rPr>
          <w:rFonts w:ascii="Gill Sans MT" w:hAnsi="Gill Sans MT"/>
          <w:sz w:val="20"/>
          <w:szCs w:val="20"/>
        </w:rPr>
        <w:t>in</w:t>
      </w:r>
      <w:r w:rsidRPr="00FE254C">
        <w:rPr>
          <w:rFonts w:ascii="Gill Sans MT" w:hAnsi="Gill Sans MT"/>
          <w:spacing w:val="9"/>
          <w:sz w:val="20"/>
          <w:szCs w:val="20"/>
        </w:rPr>
        <w:t xml:space="preserve"> </w:t>
      </w:r>
      <w:r w:rsidRPr="00FE254C">
        <w:rPr>
          <w:rFonts w:ascii="Gill Sans MT" w:hAnsi="Gill Sans MT"/>
          <w:spacing w:val="-4"/>
          <w:sz w:val="20"/>
          <w:szCs w:val="20"/>
        </w:rPr>
        <w:t>2017.</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336" w:hanging="567"/>
        <w:contextualSpacing w:val="0"/>
        <w:jc w:val="left"/>
        <w:rPr>
          <w:rFonts w:ascii="Gill Sans MT" w:hAnsi="Gill Sans MT"/>
          <w:sz w:val="20"/>
          <w:szCs w:val="20"/>
        </w:rPr>
      </w:pPr>
      <w:r w:rsidRPr="00FE254C">
        <w:rPr>
          <w:rFonts w:ascii="Gill Sans MT" w:hAnsi="Gill Sans MT"/>
          <w:spacing w:val="3"/>
          <w:sz w:val="20"/>
          <w:szCs w:val="20"/>
        </w:rPr>
        <w:t xml:space="preserve">Projects </w:t>
      </w:r>
      <w:r w:rsidRPr="00FE254C">
        <w:rPr>
          <w:rFonts w:ascii="Gill Sans MT" w:hAnsi="Gill Sans MT"/>
          <w:spacing w:val="2"/>
          <w:sz w:val="20"/>
          <w:szCs w:val="20"/>
        </w:rPr>
        <w:t xml:space="preserve">funded under this budget include: </w:t>
      </w:r>
      <w:r w:rsidRPr="00FE254C">
        <w:rPr>
          <w:rFonts w:ascii="Gill Sans MT" w:hAnsi="Gill Sans MT"/>
          <w:sz w:val="20"/>
          <w:szCs w:val="20"/>
        </w:rPr>
        <w:t xml:space="preserve">:LGH </w:t>
      </w:r>
      <w:r w:rsidRPr="00FE254C">
        <w:rPr>
          <w:rFonts w:ascii="Gill Sans MT" w:hAnsi="Gill Sans MT"/>
          <w:spacing w:val="3"/>
          <w:sz w:val="20"/>
          <w:szCs w:val="20"/>
        </w:rPr>
        <w:t xml:space="preserve">substation </w:t>
      </w:r>
      <w:r w:rsidRPr="00FE254C">
        <w:rPr>
          <w:rFonts w:ascii="Gill Sans MT" w:hAnsi="Gill Sans MT"/>
          <w:spacing w:val="2"/>
          <w:sz w:val="20"/>
          <w:szCs w:val="20"/>
        </w:rPr>
        <w:t xml:space="preserve">upgrade; </w:t>
      </w:r>
      <w:r w:rsidRPr="00FE254C">
        <w:rPr>
          <w:rFonts w:ascii="Gill Sans MT" w:hAnsi="Gill Sans MT"/>
          <w:spacing w:val="3"/>
          <w:sz w:val="20"/>
          <w:szCs w:val="20"/>
        </w:rPr>
        <w:t xml:space="preserve">Launceston </w:t>
      </w:r>
      <w:r w:rsidRPr="00FE254C">
        <w:rPr>
          <w:rFonts w:ascii="Gill Sans MT" w:hAnsi="Gill Sans MT"/>
          <w:spacing w:val="2"/>
          <w:sz w:val="20"/>
          <w:szCs w:val="20"/>
        </w:rPr>
        <w:t xml:space="preserve">Ambulance Station </w:t>
      </w:r>
      <w:r w:rsidRPr="00FE254C">
        <w:rPr>
          <w:rFonts w:ascii="Gill Sans MT" w:hAnsi="Gill Sans MT"/>
          <w:spacing w:val="3"/>
          <w:sz w:val="20"/>
          <w:szCs w:val="20"/>
        </w:rPr>
        <w:t xml:space="preserve">Structural </w:t>
      </w:r>
      <w:r w:rsidRPr="00FE254C">
        <w:rPr>
          <w:rFonts w:ascii="Gill Sans MT" w:hAnsi="Gill Sans MT"/>
          <w:spacing w:val="2"/>
          <w:sz w:val="20"/>
          <w:szCs w:val="20"/>
        </w:rPr>
        <w:t xml:space="preserve">Works; </w:t>
      </w:r>
      <w:r w:rsidRPr="00FE254C">
        <w:rPr>
          <w:rFonts w:ascii="Gill Sans MT" w:hAnsi="Gill Sans MT"/>
          <w:spacing w:val="3"/>
          <w:sz w:val="20"/>
          <w:szCs w:val="20"/>
        </w:rPr>
        <w:t xml:space="preserve">Flinders </w:t>
      </w:r>
      <w:r w:rsidRPr="00FE254C">
        <w:rPr>
          <w:rFonts w:ascii="Gill Sans MT" w:hAnsi="Gill Sans MT"/>
          <w:spacing w:val="2"/>
          <w:sz w:val="20"/>
          <w:szCs w:val="20"/>
        </w:rPr>
        <w:t xml:space="preserve">Island Sewer </w:t>
      </w:r>
      <w:r w:rsidRPr="00FE254C">
        <w:rPr>
          <w:rFonts w:ascii="Gill Sans MT" w:hAnsi="Gill Sans MT"/>
          <w:spacing w:val="3"/>
          <w:sz w:val="20"/>
          <w:szCs w:val="20"/>
        </w:rPr>
        <w:t xml:space="preserve">Upgrade; Fire </w:t>
      </w:r>
      <w:r w:rsidRPr="00FE254C">
        <w:rPr>
          <w:rFonts w:ascii="Gill Sans MT" w:hAnsi="Gill Sans MT"/>
          <w:spacing w:val="2"/>
          <w:sz w:val="20"/>
          <w:szCs w:val="20"/>
        </w:rPr>
        <w:t xml:space="preserve">Systems </w:t>
      </w:r>
      <w:r w:rsidRPr="00FE254C">
        <w:rPr>
          <w:rFonts w:ascii="Gill Sans MT" w:hAnsi="Gill Sans MT"/>
          <w:spacing w:val="3"/>
          <w:sz w:val="20"/>
          <w:szCs w:val="20"/>
        </w:rPr>
        <w:t xml:space="preserve">Protection Upgrade; Body Protection Wiring Rectification; </w:t>
      </w:r>
      <w:r w:rsidRPr="00FE254C">
        <w:rPr>
          <w:rFonts w:ascii="Gill Sans MT" w:hAnsi="Gill Sans MT"/>
          <w:sz w:val="20"/>
          <w:szCs w:val="20"/>
        </w:rPr>
        <w:t xml:space="preserve">LGH </w:t>
      </w:r>
      <w:r w:rsidRPr="00FE254C">
        <w:rPr>
          <w:rFonts w:ascii="Gill Sans MT" w:hAnsi="Gill Sans MT"/>
          <w:spacing w:val="2"/>
          <w:sz w:val="20"/>
          <w:szCs w:val="20"/>
        </w:rPr>
        <w:t xml:space="preserve">ICU/ED </w:t>
      </w:r>
      <w:r w:rsidRPr="00FE254C">
        <w:rPr>
          <w:rFonts w:ascii="Gill Sans MT" w:hAnsi="Gill Sans MT"/>
          <w:spacing w:val="3"/>
          <w:sz w:val="20"/>
          <w:szCs w:val="20"/>
        </w:rPr>
        <w:t xml:space="preserve">Lift Upgrade; </w:t>
      </w:r>
      <w:r w:rsidRPr="00FE254C">
        <w:rPr>
          <w:rFonts w:ascii="Gill Sans MT" w:hAnsi="Gill Sans MT"/>
          <w:spacing w:val="2"/>
          <w:sz w:val="20"/>
          <w:szCs w:val="20"/>
        </w:rPr>
        <w:t xml:space="preserve">HPH Chiller </w:t>
      </w:r>
      <w:r w:rsidRPr="00FE254C">
        <w:rPr>
          <w:rFonts w:ascii="Gill Sans MT" w:hAnsi="Gill Sans MT"/>
          <w:sz w:val="20"/>
          <w:szCs w:val="20"/>
        </w:rPr>
        <w:t xml:space="preserve">and </w:t>
      </w:r>
      <w:r w:rsidRPr="00FE254C">
        <w:rPr>
          <w:rFonts w:ascii="Gill Sans MT" w:hAnsi="Gill Sans MT"/>
          <w:spacing w:val="2"/>
          <w:sz w:val="20"/>
          <w:szCs w:val="20"/>
        </w:rPr>
        <w:t xml:space="preserve">Heat Pump </w:t>
      </w:r>
      <w:r w:rsidRPr="00FE254C">
        <w:rPr>
          <w:rFonts w:ascii="Gill Sans MT" w:hAnsi="Gill Sans MT"/>
          <w:spacing w:val="3"/>
          <w:sz w:val="20"/>
          <w:szCs w:val="20"/>
        </w:rPr>
        <w:t xml:space="preserve">Installation; Emergency </w:t>
      </w:r>
      <w:r w:rsidRPr="00FE254C">
        <w:rPr>
          <w:rFonts w:ascii="Gill Sans MT" w:hAnsi="Gill Sans MT"/>
          <w:sz w:val="20"/>
          <w:szCs w:val="20"/>
        </w:rPr>
        <w:t>Power</w:t>
      </w:r>
      <w:r w:rsidRPr="00FE254C">
        <w:rPr>
          <w:rFonts w:ascii="Gill Sans MT" w:hAnsi="Gill Sans MT"/>
          <w:spacing w:val="5"/>
          <w:sz w:val="20"/>
          <w:szCs w:val="20"/>
        </w:rPr>
        <w:t xml:space="preserve"> </w:t>
      </w:r>
      <w:r w:rsidRPr="00FE254C">
        <w:rPr>
          <w:rFonts w:ascii="Gill Sans MT" w:hAnsi="Gill Sans MT"/>
          <w:spacing w:val="2"/>
          <w:sz w:val="20"/>
          <w:szCs w:val="20"/>
        </w:rPr>
        <w:t>Supplies</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171" w:hanging="567"/>
        <w:contextualSpacing w:val="0"/>
        <w:jc w:val="left"/>
        <w:rPr>
          <w:rFonts w:ascii="Gill Sans MT" w:hAnsi="Gill Sans MT"/>
          <w:sz w:val="20"/>
          <w:szCs w:val="20"/>
        </w:rPr>
      </w:pPr>
      <w:r w:rsidRPr="00FE254C">
        <w:rPr>
          <w:rFonts w:ascii="Gill Sans MT" w:hAnsi="Gill Sans MT"/>
          <w:spacing w:val="2"/>
          <w:sz w:val="20"/>
          <w:szCs w:val="20"/>
        </w:rPr>
        <w:t xml:space="preserve">These funds are </w:t>
      </w:r>
      <w:r w:rsidRPr="00FE254C">
        <w:rPr>
          <w:rFonts w:ascii="Gill Sans MT" w:hAnsi="Gill Sans MT"/>
          <w:sz w:val="20"/>
          <w:szCs w:val="20"/>
        </w:rPr>
        <w:t xml:space="preserve">for </w:t>
      </w:r>
      <w:r w:rsidRPr="00FE254C">
        <w:rPr>
          <w:rFonts w:ascii="Gill Sans MT" w:hAnsi="Gill Sans MT"/>
          <w:spacing w:val="2"/>
          <w:sz w:val="20"/>
          <w:szCs w:val="20"/>
        </w:rPr>
        <w:t xml:space="preserve">improved </w:t>
      </w:r>
      <w:r w:rsidRPr="00FE254C">
        <w:rPr>
          <w:rFonts w:ascii="Gill Sans MT" w:hAnsi="Gill Sans MT"/>
          <w:spacing w:val="4"/>
          <w:sz w:val="20"/>
          <w:szCs w:val="20"/>
        </w:rPr>
        <w:t xml:space="preserve">infrastructure </w:t>
      </w:r>
      <w:r w:rsidRPr="00FE254C">
        <w:rPr>
          <w:rFonts w:ascii="Gill Sans MT" w:hAnsi="Gill Sans MT"/>
          <w:spacing w:val="2"/>
          <w:sz w:val="20"/>
          <w:szCs w:val="20"/>
        </w:rPr>
        <w:t xml:space="preserve">associated </w:t>
      </w:r>
      <w:r w:rsidRPr="00FE254C">
        <w:rPr>
          <w:rFonts w:ascii="Gill Sans MT" w:hAnsi="Gill Sans MT"/>
          <w:spacing w:val="3"/>
          <w:sz w:val="20"/>
          <w:szCs w:val="20"/>
        </w:rPr>
        <w:t xml:space="preserve">with </w:t>
      </w:r>
      <w:r w:rsidRPr="00FE254C">
        <w:rPr>
          <w:rFonts w:ascii="Gill Sans MT" w:hAnsi="Gill Sans MT"/>
          <w:sz w:val="20"/>
          <w:szCs w:val="20"/>
        </w:rPr>
        <w:t xml:space="preserve">changes to </w:t>
      </w:r>
      <w:r w:rsidRPr="00FE254C">
        <w:rPr>
          <w:rFonts w:ascii="Gill Sans MT" w:hAnsi="Gill Sans MT"/>
          <w:spacing w:val="2"/>
          <w:sz w:val="20"/>
          <w:szCs w:val="20"/>
        </w:rPr>
        <w:t xml:space="preserve">patient coordination, </w:t>
      </w:r>
      <w:r w:rsidRPr="00FE254C">
        <w:rPr>
          <w:rFonts w:ascii="Gill Sans MT" w:hAnsi="Gill Sans MT"/>
          <w:spacing w:val="4"/>
          <w:sz w:val="20"/>
          <w:szCs w:val="20"/>
        </w:rPr>
        <w:t xml:space="preserve">transport </w:t>
      </w:r>
      <w:r w:rsidRPr="00FE254C">
        <w:rPr>
          <w:rFonts w:ascii="Gill Sans MT" w:hAnsi="Gill Sans MT"/>
          <w:sz w:val="20"/>
          <w:szCs w:val="20"/>
        </w:rPr>
        <w:t xml:space="preserve">and </w:t>
      </w:r>
      <w:r w:rsidRPr="00FE254C">
        <w:rPr>
          <w:rFonts w:ascii="Gill Sans MT" w:hAnsi="Gill Sans MT"/>
          <w:spacing w:val="2"/>
          <w:sz w:val="20"/>
          <w:szCs w:val="20"/>
        </w:rPr>
        <w:t xml:space="preserve">accommodation arising </w:t>
      </w:r>
      <w:r w:rsidRPr="00FE254C">
        <w:rPr>
          <w:rFonts w:ascii="Gill Sans MT" w:hAnsi="Gill Sans MT"/>
          <w:sz w:val="20"/>
          <w:szCs w:val="20"/>
        </w:rPr>
        <w:t xml:space="preserve">for </w:t>
      </w:r>
      <w:r w:rsidRPr="00FE254C">
        <w:rPr>
          <w:rFonts w:ascii="Gill Sans MT" w:hAnsi="Gill Sans MT"/>
          <w:spacing w:val="2"/>
          <w:sz w:val="20"/>
          <w:szCs w:val="20"/>
        </w:rPr>
        <w:t xml:space="preserve">the One </w:t>
      </w:r>
      <w:r w:rsidRPr="00FE254C">
        <w:rPr>
          <w:rFonts w:ascii="Gill Sans MT" w:hAnsi="Gill Sans MT"/>
          <w:spacing w:val="3"/>
          <w:sz w:val="20"/>
          <w:szCs w:val="20"/>
        </w:rPr>
        <w:t xml:space="preserve">Health </w:t>
      </w:r>
      <w:r w:rsidRPr="00FE254C">
        <w:rPr>
          <w:rFonts w:ascii="Gill Sans MT" w:hAnsi="Gill Sans MT"/>
          <w:spacing w:val="2"/>
          <w:sz w:val="20"/>
          <w:szCs w:val="20"/>
        </w:rPr>
        <w:t xml:space="preserve">System </w:t>
      </w:r>
      <w:r w:rsidRPr="00FE254C">
        <w:rPr>
          <w:rFonts w:ascii="Gill Sans MT" w:hAnsi="Gill Sans MT"/>
          <w:spacing w:val="3"/>
          <w:sz w:val="20"/>
          <w:szCs w:val="20"/>
        </w:rPr>
        <w:t xml:space="preserve">reforms. Projects </w:t>
      </w:r>
      <w:r w:rsidRPr="00FE254C">
        <w:rPr>
          <w:rFonts w:ascii="Gill Sans MT" w:hAnsi="Gill Sans MT"/>
          <w:spacing w:val="2"/>
          <w:sz w:val="20"/>
          <w:szCs w:val="20"/>
        </w:rPr>
        <w:t xml:space="preserve">include creation </w:t>
      </w:r>
      <w:r w:rsidRPr="00FE254C">
        <w:rPr>
          <w:rFonts w:ascii="Gill Sans MT" w:hAnsi="Gill Sans MT"/>
          <w:sz w:val="20"/>
          <w:szCs w:val="20"/>
        </w:rPr>
        <w:t xml:space="preserve">of Transit </w:t>
      </w:r>
      <w:r w:rsidRPr="00FE254C">
        <w:rPr>
          <w:rFonts w:ascii="Gill Sans MT" w:hAnsi="Gill Sans MT"/>
          <w:spacing w:val="3"/>
          <w:sz w:val="20"/>
          <w:szCs w:val="20"/>
        </w:rPr>
        <w:t xml:space="preserve">Centres </w:t>
      </w:r>
      <w:r w:rsidRPr="00FE254C">
        <w:rPr>
          <w:rFonts w:ascii="Gill Sans MT" w:hAnsi="Gill Sans MT"/>
          <w:sz w:val="20"/>
          <w:szCs w:val="20"/>
        </w:rPr>
        <w:t xml:space="preserve">at </w:t>
      </w:r>
      <w:r w:rsidRPr="00FE254C">
        <w:rPr>
          <w:rFonts w:ascii="Gill Sans MT" w:hAnsi="Gill Sans MT"/>
          <w:spacing w:val="2"/>
          <w:sz w:val="20"/>
          <w:szCs w:val="20"/>
        </w:rPr>
        <w:t xml:space="preserve">the </w:t>
      </w:r>
      <w:r w:rsidRPr="00FE254C">
        <w:rPr>
          <w:rFonts w:ascii="Gill Sans MT" w:hAnsi="Gill Sans MT"/>
          <w:sz w:val="20"/>
          <w:szCs w:val="20"/>
        </w:rPr>
        <w:t xml:space="preserve">LGH, </w:t>
      </w:r>
      <w:r w:rsidRPr="00FE254C">
        <w:rPr>
          <w:rFonts w:ascii="Gill Sans MT" w:hAnsi="Gill Sans MT"/>
          <w:spacing w:val="2"/>
          <w:sz w:val="20"/>
          <w:szCs w:val="20"/>
        </w:rPr>
        <w:t xml:space="preserve">MCH </w:t>
      </w:r>
      <w:r w:rsidRPr="00FE254C">
        <w:rPr>
          <w:rFonts w:ascii="Gill Sans MT" w:hAnsi="Gill Sans MT"/>
          <w:sz w:val="20"/>
          <w:szCs w:val="20"/>
        </w:rPr>
        <w:t xml:space="preserve">and </w:t>
      </w:r>
      <w:r w:rsidRPr="00FE254C">
        <w:rPr>
          <w:rFonts w:ascii="Gill Sans MT" w:hAnsi="Gill Sans MT"/>
          <w:spacing w:val="3"/>
          <w:sz w:val="20"/>
          <w:szCs w:val="20"/>
        </w:rPr>
        <w:t xml:space="preserve">NWRH </w:t>
      </w:r>
      <w:r w:rsidRPr="00FE254C">
        <w:rPr>
          <w:rFonts w:ascii="Gill Sans MT" w:hAnsi="Gill Sans MT"/>
          <w:spacing w:val="2"/>
          <w:sz w:val="20"/>
          <w:szCs w:val="20"/>
        </w:rPr>
        <w:t xml:space="preserve">as </w:t>
      </w:r>
      <w:r w:rsidRPr="00FE254C">
        <w:rPr>
          <w:rFonts w:ascii="Gill Sans MT" w:hAnsi="Gill Sans MT"/>
          <w:sz w:val="20"/>
          <w:szCs w:val="20"/>
        </w:rPr>
        <w:t xml:space="preserve">well </w:t>
      </w:r>
      <w:r w:rsidRPr="00FE254C">
        <w:rPr>
          <w:rFonts w:ascii="Gill Sans MT" w:hAnsi="Gill Sans MT"/>
          <w:spacing w:val="2"/>
          <w:sz w:val="20"/>
          <w:szCs w:val="20"/>
        </w:rPr>
        <w:t xml:space="preserve">as Helipads </w:t>
      </w:r>
      <w:r w:rsidRPr="00FE254C">
        <w:rPr>
          <w:rFonts w:ascii="Gill Sans MT" w:hAnsi="Gill Sans MT"/>
          <w:sz w:val="20"/>
          <w:szCs w:val="20"/>
        </w:rPr>
        <w:t xml:space="preserve">at </w:t>
      </w:r>
      <w:r w:rsidRPr="00FE254C">
        <w:rPr>
          <w:rFonts w:ascii="Gill Sans MT" w:hAnsi="Gill Sans MT"/>
          <w:spacing w:val="2"/>
          <w:sz w:val="20"/>
          <w:szCs w:val="20"/>
        </w:rPr>
        <w:t>the MCH and</w:t>
      </w:r>
      <w:r w:rsidRPr="00FE254C">
        <w:rPr>
          <w:rFonts w:ascii="Gill Sans MT" w:hAnsi="Gill Sans MT"/>
          <w:spacing w:val="20"/>
          <w:sz w:val="20"/>
          <w:szCs w:val="20"/>
        </w:rPr>
        <w:t xml:space="preserve"> </w:t>
      </w:r>
      <w:r w:rsidRPr="00FE254C">
        <w:rPr>
          <w:rFonts w:ascii="Gill Sans MT" w:hAnsi="Gill Sans MT"/>
          <w:spacing w:val="4"/>
          <w:sz w:val="20"/>
          <w:szCs w:val="20"/>
        </w:rPr>
        <w:t>NWRH.</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240" w:hanging="567"/>
        <w:contextualSpacing w:val="0"/>
        <w:jc w:val="left"/>
        <w:rPr>
          <w:rFonts w:ascii="Gill Sans MT" w:hAnsi="Gill Sans MT"/>
          <w:sz w:val="20"/>
          <w:szCs w:val="20"/>
        </w:rPr>
      </w:pPr>
      <w:r w:rsidRPr="00FE254C">
        <w:rPr>
          <w:rFonts w:ascii="Gill Sans MT" w:hAnsi="Gill Sans MT"/>
          <w:spacing w:val="3"/>
          <w:sz w:val="20"/>
          <w:szCs w:val="20"/>
        </w:rPr>
        <w:t xml:space="preserve">Land </w:t>
      </w:r>
      <w:r w:rsidRPr="00FE254C">
        <w:rPr>
          <w:rFonts w:ascii="Gill Sans MT" w:hAnsi="Gill Sans MT"/>
          <w:spacing w:val="2"/>
          <w:sz w:val="20"/>
          <w:szCs w:val="20"/>
        </w:rPr>
        <w:t xml:space="preserve">negotiations </w:t>
      </w:r>
      <w:r w:rsidRPr="00FE254C">
        <w:rPr>
          <w:rFonts w:ascii="Gill Sans MT" w:hAnsi="Gill Sans MT"/>
          <w:sz w:val="20"/>
          <w:szCs w:val="20"/>
        </w:rPr>
        <w:t xml:space="preserve">for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Kingston Community Health Centre </w:t>
      </w:r>
      <w:r w:rsidRPr="00FE254C">
        <w:rPr>
          <w:rFonts w:ascii="Gill Sans MT" w:hAnsi="Gill Sans MT"/>
          <w:sz w:val="20"/>
          <w:szCs w:val="20"/>
        </w:rPr>
        <w:t xml:space="preserve">have </w:t>
      </w:r>
      <w:r w:rsidRPr="00FE254C">
        <w:rPr>
          <w:rFonts w:ascii="Gill Sans MT" w:hAnsi="Gill Sans MT"/>
          <w:spacing w:val="2"/>
          <w:sz w:val="20"/>
          <w:szCs w:val="20"/>
        </w:rPr>
        <w:t xml:space="preserve">been resolved </w:t>
      </w:r>
      <w:r w:rsidRPr="00FE254C">
        <w:rPr>
          <w:rFonts w:ascii="Gill Sans MT" w:hAnsi="Gill Sans MT"/>
          <w:sz w:val="20"/>
          <w:szCs w:val="20"/>
        </w:rPr>
        <w:t xml:space="preserve">and </w:t>
      </w:r>
      <w:r w:rsidRPr="00FE254C">
        <w:rPr>
          <w:rFonts w:ascii="Gill Sans MT" w:hAnsi="Gill Sans MT"/>
          <w:spacing w:val="2"/>
          <w:sz w:val="20"/>
          <w:szCs w:val="20"/>
        </w:rPr>
        <w:t xml:space="preserve">title </w:t>
      </w:r>
      <w:r w:rsidRPr="00FE254C">
        <w:rPr>
          <w:rFonts w:ascii="Gill Sans MT" w:hAnsi="Gill Sans MT"/>
          <w:spacing w:val="3"/>
          <w:sz w:val="20"/>
          <w:szCs w:val="20"/>
        </w:rPr>
        <w:t xml:space="preserve">transfer </w:t>
      </w:r>
      <w:r w:rsidRPr="00FE254C">
        <w:rPr>
          <w:rFonts w:ascii="Gill Sans MT" w:hAnsi="Gill Sans MT"/>
          <w:sz w:val="20"/>
          <w:szCs w:val="20"/>
        </w:rPr>
        <w:t>is in</w:t>
      </w:r>
      <w:r w:rsidRPr="00FE254C">
        <w:rPr>
          <w:rFonts w:ascii="Gill Sans MT" w:hAnsi="Gill Sans MT"/>
          <w:spacing w:val="17"/>
          <w:sz w:val="20"/>
          <w:szCs w:val="20"/>
        </w:rPr>
        <w:t xml:space="preserve"> </w:t>
      </w:r>
      <w:r w:rsidRPr="00FE254C">
        <w:rPr>
          <w:rFonts w:ascii="Gill Sans MT" w:hAnsi="Gill Sans MT"/>
          <w:spacing w:val="3"/>
          <w:sz w:val="20"/>
          <w:szCs w:val="20"/>
        </w:rPr>
        <w:t>progress.</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54" w:hanging="567"/>
        <w:contextualSpacing w:val="0"/>
        <w:jc w:val="left"/>
        <w:rPr>
          <w:rFonts w:ascii="Gill Sans MT" w:hAnsi="Gill Sans MT"/>
          <w:sz w:val="20"/>
          <w:szCs w:val="20"/>
        </w:rPr>
      </w:pPr>
      <w:r w:rsidRPr="00FE254C">
        <w:rPr>
          <w:rFonts w:ascii="Gill Sans MT" w:hAnsi="Gill Sans MT"/>
          <w:spacing w:val="2"/>
          <w:sz w:val="20"/>
          <w:szCs w:val="20"/>
        </w:rPr>
        <w:t xml:space="preserve">The </w:t>
      </w:r>
      <w:r w:rsidRPr="00FE254C">
        <w:rPr>
          <w:rFonts w:ascii="Gill Sans MT" w:hAnsi="Gill Sans MT"/>
          <w:sz w:val="20"/>
          <w:szCs w:val="20"/>
        </w:rPr>
        <w:t xml:space="preserve">2015-16 </w:t>
      </w:r>
      <w:r w:rsidRPr="00FE254C">
        <w:rPr>
          <w:rFonts w:ascii="Gill Sans MT" w:hAnsi="Gill Sans MT"/>
          <w:spacing w:val="2"/>
          <w:sz w:val="20"/>
          <w:szCs w:val="20"/>
        </w:rPr>
        <w:t xml:space="preserve">Budget provided $3.0 million </w:t>
      </w:r>
      <w:r w:rsidRPr="00FE254C">
        <w:rPr>
          <w:rFonts w:ascii="Gill Sans MT" w:hAnsi="Gill Sans MT"/>
          <w:sz w:val="20"/>
          <w:szCs w:val="20"/>
        </w:rPr>
        <w:t xml:space="preserve">to </w:t>
      </w:r>
      <w:r w:rsidRPr="00FE254C">
        <w:rPr>
          <w:rFonts w:ascii="Gill Sans MT" w:hAnsi="Gill Sans MT"/>
          <w:spacing w:val="2"/>
          <w:sz w:val="20"/>
          <w:szCs w:val="20"/>
        </w:rPr>
        <w:t xml:space="preserve">complete the </w:t>
      </w:r>
      <w:r w:rsidRPr="00FE254C">
        <w:rPr>
          <w:rFonts w:ascii="Gill Sans MT" w:hAnsi="Gill Sans MT"/>
          <w:spacing w:val="3"/>
          <w:sz w:val="20"/>
          <w:szCs w:val="20"/>
        </w:rPr>
        <w:t xml:space="preserve">Launceston General Hospital </w:t>
      </w:r>
      <w:r w:rsidRPr="00FE254C">
        <w:rPr>
          <w:rFonts w:ascii="Gill Sans MT" w:hAnsi="Gill Sans MT"/>
          <w:spacing w:val="2"/>
          <w:sz w:val="20"/>
          <w:szCs w:val="20"/>
        </w:rPr>
        <w:t xml:space="preserve">Allied </w:t>
      </w:r>
      <w:r w:rsidRPr="00FE254C">
        <w:rPr>
          <w:rFonts w:ascii="Gill Sans MT" w:hAnsi="Gill Sans MT"/>
          <w:spacing w:val="3"/>
          <w:sz w:val="20"/>
          <w:szCs w:val="20"/>
        </w:rPr>
        <w:t xml:space="preserve">Health </w:t>
      </w:r>
      <w:r w:rsidRPr="00FE254C">
        <w:rPr>
          <w:rFonts w:ascii="Gill Sans MT" w:hAnsi="Gill Sans MT"/>
          <w:spacing w:val="2"/>
          <w:sz w:val="20"/>
          <w:szCs w:val="20"/>
        </w:rPr>
        <w:t xml:space="preserve">Clinics </w:t>
      </w:r>
      <w:r w:rsidRPr="00FE254C">
        <w:rPr>
          <w:rFonts w:ascii="Gill Sans MT" w:hAnsi="Gill Sans MT"/>
          <w:spacing w:val="3"/>
          <w:sz w:val="20"/>
          <w:szCs w:val="20"/>
        </w:rPr>
        <w:t xml:space="preserve">project </w:t>
      </w:r>
      <w:r w:rsidRPr="00FE254C">
        <w:rPr>
          <w:rFonts w:ascii="Gill Sans MT" w:hAnsi="Gill Sans MT"/>
          <w:sz w:val="20"/>
          <w:szCs w:val="20"/>
        </w:rPr>
        <w:t xml:space="preserve">– </w:t>
      </w:r>
      <w:r w:rsidRPr="00FE254C">
        <w:rPr>
          <w:rFonts w:ascii="Gill Sans MT" w:hAnsi="Gill Sans MT"/>
          <w:spacing w:val="2"/>
          <w:sz w:val="20"/>
          <w:szCs w:val="20"/>
        </w:rPr>
        <w:t xml:space="preserve">this </w:t>
      </w:r>
      <w:r w:rsidRPr="00FE254C">
        <w:rPr>
          <w:rFonts w:ascii="Gill Sans MT" w:hAnsi="Gill Sans MT"/>
          <w:sz w:val="20"/>
          <w:szCs w:val="20"/>
        </w:rPr>
        <w:t xml:space="preserve">is due for </w:t>
      </w:r>
      <w:r w:rsidRPr="00FE254C">
        <w:rPr>
          <w:rFonts w:ascii="Gill Sans MT" w:hAnsi="Gill Sans MT"/>
          <w:spacing w:val="2"/>
          <w:sz w:val="20"/>
          <w:szCs w:val="20"/>
        </w:rPr>
        <w:t xml:space="preserve">completion </w:t>
      </w:r>
      <w:r w:rsidRPr="00FE254C">
        <w:rPr>
          <w:rFonts w:ascii="Gill Sans MT" w:hAnsi="Gill Sans MT"/>
          <w:sz w:val="20"/>
          <w:szCs w:val="20"/>
        </w:rPr>
        <w:t xml:space="preserve">in </w:t>
      </w:r>
      <w:r w:rsidRPr="00FE254C">
        <w:rPr>
          <w:rFonts w:ascii="Gill Sans MT" w:hAnsi="Gill Sans MT"/>
          <w:spacing w:val="2"/>
          <w:sz w:val="20"/>
          <w:szCs w:val="20"/>
        </w:rPr>
        <w:t xml:space="preserve">the </w:t>
      </w:r>
      <w:r w:rsidRPr="00FE254C">
        <w:rPr>
          <w:rFonts w:ascii="Gill Sans MT" w:hAnsi="Gill Sans MT"/>
          <w:sz w:val="20"/>
          <w:szCs w:val="20"/>
        </w:rPr>
        <w:t xml:space="preserve">2nd </w:t>
      </w:r>
      <w:r w:rsidRPr="00FE254C">
        <w:rPr>
          <w:rFonts w:ascii="Gill Sans MT" w:hAnsi="Gill Sans MT"/>
          <w:spacing w:val="3"/>
          <w:sz w:val="20"/>
          <w:szCs w:val="20"/>
        </w:rPr>
        <w:t xml:space="preserve">quarter </w:t>
      </w:r>
      <w:r w:rsidRPr="00FE254C">
        <w:rPr>
          <w:rFonts w:ascii="Gill Sans MT" w:hAnsi="Gill Sans MT"/>
          <w:sz w:val="20"/>
          <w:szCs w:val="20"/>
        </w:rPr>
        <w:t>of</w:t>
      </w:r>
      <w:r w:rsidRPr="00FE254C">
        <w:rPr>
          <w:rFonts w:ascii="Gill Sans MT" w:hAnsi="Gill Sans MT"/>
          <w:spacing w:val="14"/>
          <w:sz w:val="20"/>
          <w:szCs w:val="20"/>
        </w:rPr>
        <w:t xml:space="preserve"> </w:t>
      </w:r>
      <w:r w:rsidRPr="00FE254C">
        <w:rPr>
          <w:rFonts w:ascii="Gill Sans MT" w:hAnsi="Gill Sans MT"/>
          <w:spacing w:val="-3"/>
          <w:sz w:val="20"/>
          <w:szCs w:val="20"/>
        </w:rPr>
        <w:t>2016-17.</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33" w:hanging="567"/>
        <w:contextualSpacing w:val="0"/>
        <w:jc w:val="left"/>
        <w:rPr>
          <w:rFonts w:ascii="Gill Sans MT" w:hAnsi="Gill Sans MT"/>
          <w:sz w:val="20"/>
          <w:szCs w:val="20"/>
        </w:rPr>
      </w:pP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Launceston General Hospital </w:t>
      </w:r>
      <w:r w:rsidRPr="00FE254C">
        <w:rPr>
          <w:rFonts w:ascii="Gill Sans MT" w:hAnsi="Gill Sans MT"/>
          <w:sz w:val="20"/>
          <w:szCs w:val="20"/>
        </w:rPr>
        <w:t xml:space="preserve">Acute </w:t>
      </w:r>
      <w:r w:rsidRPr="00FE254C">
        <w:rPr>
          <w:rFonts w:ascii="Gill Sans MT" w:hAnsi="Gill Sans MT"/>
          <w:spacing w:val="2"/>
          <w:sz w:val="20"/>
          <w:szCs w:val="20"/>
        </w:rPr>
        <w:t xml:space="preserve">Medical </w:t>
      </w:r>
      <w:r w:rsidRPr="00FE254C">
        <w:rPr>
          <w:rFonts w:ascii="Gill Sans MT" w:hAnsi="Gill Sans MT"/>
          <w:sz w:val="20"/>
          <w:szCs w:val="20"/>
        </w:rPr>
        <w:t xml:space="preserve">and </w:t>
      </w:r>
      <w:r w:rsidRPr="00FE254C">
        <w:rPr>
          <w:rFonts w:ascii="Gill Sans MT" w:hAnsi="Gill Sans MT"/>
          <w:spacing w:val="3"/>
          <w:sz w:val="20"/>
          <w:szCs w:val="20"/>
        </w:rPr>
        <w:t xml:space="preserve">Surgical Unit project </w:t>
      </w:r>
      <w:r w:rsidRPr="00FE254C">
        <w:rPr>
          <w:rFonts w:ascii="Gill Sans MT" w:hAnsi="Gill Sans MT"/>
          <w:spacing w:val="2"/>
          <w:sz w:val="20"/>
          <w:szCs w:val="20"/>
        </w:rPr>
        <w:t xml:space="preserve">was initially allocated </w:t>
      </w:r>
      <w:r w:rsidRPr="00FE254C">
        <w:rPr>
          <w:rFonts w:ascii="Gill Sans MT" w:hAnsi="Gill Sans MT"/>
          <w:spacing w:val="3"/>
          <w:sz w:val="20"/>
          <w:szCs w:val="20"/>
        </w:rPr>
        <w:t xml:space="preserve">$40 </w:t>
      </w:r>
      <w:r w:rsidRPr="00FE254C">
        <w:rPr>
          <w:rFonts w:ascii="Gill Sans MT" w:hAnsi="Gill Sans MT"/>
          <w:spacing w:val="2"/>
          <w:sz w:val="20"/>
          <w:szCs w:val="20"/>
        </w:rPr>
        <w:t xml:space="preserve">million </w:t>
      </w:r>
      <w:r w:rsidRPr="00FE254C">
        <w:rPr>
          <w:rFonts w:ascii="Gill Sans MT" w:hAnsi="Gill Sans MT"/>
          <w:sz w:val="20"/>
          <w:szCs w:val="20"/>
        </w:rPr>
        <w:t xml:space="preserve">by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Australian Government. </w:t>
      </w:r>
      <w:r w:rsidRPr="00FE254C">
        <w:rPr>
          <w:rFonts w:ascii="Gill Sans MT" w:hAnsi="Gill Sans MT"/>
          <w:spacing w:val="2"/>
          <w:sz w:val="20"/>
          <w:szCs w:val="20"/>
        </w:rPr>
        <w:t xml:space="preserve">THS </w:t>
      </w:r>
      <w:proofErr w:type="gramStart"/>
      <w:r w:rsidRPr="00FE254C">
        <w:rPr>
          <w:rFonts w:ascii="Gill Sans MT" w:hAnsi="Gill Sans MT"/>
          <w:spacing w:val="4"/>
          <w:sz w:val="20"/>
          <w:szCs w:val="20"/>
        </w:rPr>
        <w:t>North</w:t>
      </w:r>
      <w:proofErr w:type="gramEnd"/>
      <w:r w:rsidRPr="00FE254C">
        <w:rPr>
          <w:rFonts w:ascii="Gill Sans MT" w:hAnsi="Gill Sans MT"/>
          <w:spacing w:val="4"/>
          <w:sz w:val="20"/>
          <w:szCs w:val="20"/>
        </w:rPr>
        <w:t xml:space="preserve"> </w:t>
      </w:r>
      <w:r w:rsidRPr="00FE254C">
        <w:rPr>
          <w:rFonts w:ascii="Gill Sans MT" w:hAnsi="Gill Sans MT"/>
          <w:sz w:val="20"/>
          <w:szCs w:val="20"/>
        </w:rPr>
        <w:t xml:space="preserve">have </w:t>
      </w:r>
      <w:r w:rsidRPr="00FE254C">
        <w:rPr>
          <w:rFonts w:ascii="Gill Sans MT" w:hAnsi="Gill Sans MT"/>
          <w:spacing w:val="2"/>
          <w:sz w:val="20"/>
          <w:szCs w:val="20"/>
        </w:rPr>
        <w:t xml:space="preserve">provided </w:t>
      </w:r>
      <w:r w:rsidRPr="00FE254C">
        <w:rPr>
          <w:rFonts w:ascii="Gill Sans MT" w:hAnsi="Gill Sans MT"/>
          <w:spacing w:val="3"/>
          <w:sz w:val="20"/>
          <w:szCs w:val="20"/>
        </w:rPr>
        <w:t xml:space="preserve">supplementation </w:t>
      </w:r>
      <w:r w:rsidRPr="00FE254C">
        <w:rPr>
          <w:rFonts w:ascii="Gill Sans MT" w:hAnsi="Gill Sans MT"/>
          <w:sz w:val="20"/>
          <w:szCs w:val="20"/>
        </w:rPr>
        <w:t xml:space="preserve">of $5.019 </w:t>
      </w:r>
      <w:r w:rsidRPr="00FE254C">
        <w:rPr>
          <w:rFonts w:ascii="Gill Sans MT" w:hAnsi="Gill Sans MT"/>
          <w:spacing w:val="2"/>
          <w:sz w:val="20"/>
          <w:szCs w:val="20"/>
        </w:rPr>
        <w:t xml:space="preserve">million from </w:t>
      </w:r>
      <w:r w:rsidRPr="00FE254C">
        <w:rPr>
          <w:rFonts w:ascii="Gill Sans MT" w:hAnsi="Gill Sans MT"/>
          <w:spacing w:val="3"/>
          <w:sz w:val="20"/>
          <w:szCs w:val="20"/>
        </w:rPr>
        <w:t xml:space="preserve">within its </w:t>
      </w:r>
      <w:r w:rsidRPr="00FE254C">
        <w:rPr>
          <w:rFonts w:ascii="Gill Sans MT" w:hAnsi="Gill Sans MT"/>
          <w:spacing w:val="2"/>
          <w:sz w:val="20"/>
          <w:szCs w:val="20"/>
        </w:rPr>
        <w:t xml:space="preserve">existing </w:t>
      </w:r>
      <w:r w:rsidRPr="00FE254C">
        <w:rPr>
          <w:rFonts w:ascii="Gill Sans MT" w:hAnsi="Gill Sans MT"/>
          <w:spacing w:val="2"/>
          <w:sz w:val="20"/>
          <w:szCs w:val="20"/>
        </w:rPr>
        <w:lastRenderedPageBreak/>
        <w:t>funding</w:t>
      </w:r>
      <w:r w:rsidRPr="00FE254C">
        <w:rPr>
          <w:rFonts w:ascii="Gill Sans MT" w:hAnsi="Gill Sans MT"/>
          <w:spacing w:val="11"/>
          <w:sz w:val="20"/>
          <w:szCs w:val="20"/>
        </w:rPr>
        <w:t xml:space="preserve"> </w:t>
      </w:r>
      <w:r w:rsidRPr="00FE254C">
        <w:rPr>
          <w:rFonts w:ascii="Gill Sans MT" w:hAnsi="Gill Sans MT"/>
          <w:spacing w:val="2"/>
          <w:sz w:val="20"/>
          <w:szCs w:val="20"/>
        </w:rPr>
        <w:t>allocation.</w:t>
      </w:r>
    </w:p>
    <w:p w:rsidR="00FE254C" w:rsidRPr="00FE254C" w:rsidRDefault="00FE254C" w:rsidP="00103528">
      <w:pPr>
        <w:pStyle w:val="ListParagraph"/>
        <w:widowControl w:val="0"/>
        <w:numPr>
          <w:ilvl w:val="1"/>
          <w:numId w:val="36"/>
        </w:numPr>
        <w:autoSpaceDE w:val="0"/>
        <w:autoSpaceDN w:val="0"/>
        <w:spacing w:before="39" w:after="0" w:line="302" w:lineRule="auto"/>
        <w:ind w:left="567" w:right="319" w:hanging="567"/>
        <w:contextualSpacing w:val="0"/>
        <w:jc w:val="left"/>
        <w:rPr>
          <w:rFonts w:ascii="Gill Sans MT" w:hAnsi="Gill Sans MT"/>
          <w:sz w:val="20"/>
          <w:szCs w:val="20"/>
        </w:rPr>
      </w:pP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Launceston Integrated Care Centre experienced temporary </w:t>
      </w:r>
      <w:r w:rsidRPr="00FE254C">
        <w:rPr>
          <w:rFonts w:ascii="Gill Sans MT" w:hAnsi="Gill Sans MT"/>
          <w:sz w:val="20"/>
          <w:szCs w:val="20"/>
        </w:rPr>
        <w:t xml:space="preserve">delays </w:t>
      </w:r>
      <w:r w:rsidRPr="00FE254C">
        <w:rPr>
          <w:rFonts w:ascii="Gill Sans MT" w:hAnsi="Gill Sans MT"/>
          <w:spacing w:val="2"/>
          <w:sz w:val="20"/>
          <w:szCs w:val="20"/>
        </w:rPr>
        <w:t xml:space="preserve">related </w:t>
      </w:r>
      <w:r w:rsidRPr="00FE254C">
        <w:rPr>
          <w:rFonts w:ascii="Gill Sans MT" w:hAnsi="Gill Sans MT"/>
          <w:sz w:val="20"/>
          <w:szCs w:val="20"/>
        </w:rPr>
        <w:t xml:space="preserve">to </w:t>
      </w:r>
      <w:r w:rsidRPr="00FE254C">
        <w:rPr>
          <w:rFonts w:ascii="Gill Sans MT" w:hAnsi="Gill Sans MT"/>
          <w:spacing w:val="3"/>
          <w:sz w:val="20"/>
          <w:szCs w:val="20"/>
        </w:rPr>
        <w:t xml:space="preserve">contractual </w:t>
      </w:r>
      <w:r w:rsidRPr="00FE254C">
        <w:rPr>
          <w:rFonts w:ascii="Gill Sans MT" w:hAnsi="Gill Sans MT"/>
          <w:spacing w:val="2"/>
          <w:sz w:val="20"/>
          <w:szCs w:val="20"/>
        </w:rPr>
        <w:t xml:space="preserve">negotiations </w:t>
      </w:r>
      <w:r w:rsidRPr="00FE254C">
        <w:rPr>
          <w:rFonts w:ascii="Gill Sans MT" w:hAnsi="Gill Sans MT"/>
          <w:sz w:val="20"/>
          <w:szCs w:val="20"/>
        </w:rPr>
        <w:t xml:space="preserve">and </w:t>
      </w:r>
      <w:r w:rsidRPr="00FE254C">
        <w:rPr>
          <w:rFonts w:ascii="Gill Sans MT" w:hAnsi="Gill Sans MT"/>
          <w:spacing w:val="3"/>
          <w:sz w:val="20"/>
          <w:szCs w:val="20"/>
        </w:rPr>
        <w:t xml:space="preserve">recruitment </w:t>
      </w:r>
      <w:r w:rsidRPr="00FE254C">
        <w:rPr>
          <w:rFonts w:ascii="Gill Sans MT" w:hAnsi="Gill Sans MT"/>
          <w:sz w:val="20"/>
          <w:szCs w:val="20"/>
        </w:rPr>
        <w:t>in</w:t>
      </w:r>
      <w:r w:rsidRPr="00FE254C">
        <w:rPr>
          <w:rFonts w:ascii="Gill Sans MT" w:hAnsi="Gill Sans MT"/>
          <w:spacing w:val="10"/>
          <w:sz w:val="20"/>
          <w:szCs w:val="20"/>
        </w:rPr>
        <w:t xml:space="preserve"> </w:t>
      </w:r>
      <w:r w:rsidRPr="00FE254C">
        <w:rPr>
          <w:rFonts w:ascii="Gill Sans MT" w:hAnsi="Gill Sans MT"/>
          <w:sz w:val="20"/>
          <w:szCs w:val="20"/>
        </w:rPr>
        <w:t>2014-15.</w:t>
      </w:r>
    </w:p>
    <w:p w:rsidR="00FE254C" w:rsidRPr="00FE254C" w:rsidRDefault="00FE254C" w:rsidP="00103528">
      <w:pPr>
        <w:pStyle w:val="ListParagraph"/>
        <w:widowControl w:val="0"/>
        <w:numPr>
          <w:ilvl w:val="1"/>
          <w:numId w:val="36"/>
        </w:numPr>
        <w:tabs>
          <w:tab w:val="left" w:pos="783"/>
        </w:tabs>
        <w:autoSpaceDE w:val="0"/>
        <w:autoSpaceDN w:val="0"/>
        <w:spacing w:before="104" w:after="0" w:line="302" w:lineRule="auto"/>
        <w:ind w:left="567" w:right="517" w:hanging="567"/>
        <w:contextualSpacing w:val="0"/>
        <w:jc w:val="left"/>
        <w:rPr>
          <w:rFonts w:ascii="Gill Sans MT" w:hAnsi="Gill Sans MT"/>
          <w:sz w:val="20"/>
          <w:szCs w:val="20"/>
        </w:rPr>
      </w:pPr>
      <w:r w:rsidRPr="00FE254C">
        <w:rPr>
          <w:rFonts w:ascii="Gill Sans MT" w:hAnsi="Gill Sans MT"/>
          <w:spacing w:val="2"/>
          <w:sz w:val="20"/>
          <w:szCs w:val="20"/>
        </w:rPr>
        <w:t xml:space="preserve">This </w:t>
      </w:r>
      <w:r w:rsidRPr="00FE254C">
        <w:rPr>
          <w:rFonts w:ascii="Gill Sans MT" w:hAnsi="Gill Sans MT"/>
          <w:spacing w:val="3"/>
          <w:sz w:val="20"/>
          <w:szCs w:val="20"/>
        </w:rPr>
        <w:t xml:space="preserve">project </w:t>
      </w:r>
      <w:r w:rsidRPr="00FE254C">
        <w:rPr>
          <w:rFonts w:ascii="Gill Sans MT" w:hAnsi="Gill Sans MT"/>
          <w:sz w:val="20"/>
          <w:szCs w:val="20"/>
        </w:rPr>
        <w:t xml:space="preserve">is </w:t>
      </w:r>
      <w:r w:rsidRPr="00FE254C">
        <w:rPr>
          <w:rFonts w:ascii="Gill Sans MT" w:hAnsi="Gill Sans MT"/>
          <w:spacing w:val="2"/>
          <w:sz w:val="20"/>
          <w:szCs w:val="20"/>
        </w:rPr>
        <w:t xml:space="preserve">funded </w:t>
      </w:r>
      <w:r w:rsidRPr="00FE254C">
        <w:rPr>
          <w:rFonts w:ascii="Gill Sans MT" w:hAnsi="Gill Sans MT"/>
          <w:sz w:val="20"/>
          <w:szCs w:val="20"/>
        </w:rPr>
        <w:t xml:space="preserve">by </w:t>
      </w:r>
      <w:r w:rsidRPr="00FE254C">
        <w:rPr>
          <w:rFonts w:ascii="Gill Sans MT" w:hAnsi="Gill Sans MT"/>
          <w:spacing w:val="2"/>
          <w:sz w:val="20"/>
          <w:szCs w:val="20"/>
        </w:rPr>
        <w:t xml:space="preserve">the State </w:t>
      </w:r>
      <w:r w:rsidRPr="00FE254C">
        <w:rPr>
          <w:rFonts w:ascii="Gill Sans MT" w:hAnsi="Gill Sans MT"/>
          <w:spacing w:val="3"/>
          <w:sz w:val="20"/>
          <w:szCs w:val="20"/>
        </w:rPr>
        <w:t xml:space="preserve">Government.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Australian </w:t>
      </w:r>
      <w:r w:rsidRPr="00FE254C">
        <w:rPr>
          <w:rFonts w:ascii="Gill Sans MT" w:hAnsi="Gill Sans MT"/>
          <w:spacing w:val="2"/>
          <w:sz w:val="20"/>
          <w:szCs w:val="20"/>
        </w:rPr>
        <w:t xml:space="preserve">Government </w:t>
      </w:r>
      <w:r w:rsidRPr="00FE254C">
        <w:rPr>
          <w:rFonts w:ascii="Gill Sans MT" w:hAnsi="Gill Sans MT"/>
          <w:spacing w:val="3"/>
          <w:sz w:val="20"/>
          <w:szCs w:val="20"/>
        </w:rPr>
        <w:t xml:space="preserve">separately </w:t>
      </w:r>
      <w:r w:rsidRPr="00FE254C">
        <w:rPr>
          <w:rFonts w:ascii="Gill Sans MT" w:hAnsi="Gill Sans MT"/>
          <w:spacing w:val="2"/>
          <w:sz w:val="20"/>
          <w:szCs w:val="20"/>
        </w:rPr>
        <w:t xml:space="preserve">funded </w:t>
      </w:r>
      <w:r w:rsidRPr="00FE254C">
        <w:rPr>
          <w:rFonts w:ascii="Gill Sans MT" w:hAnsi="Gill Sans MT"/>
          <w:spacing w:val="4"/>
          <w:sz w:val="20"/>
          <w:szCs w:val="20"/>
        </w:rPr>
        <w:t xml:space="preserve">fire </w:t>
      </w:r>
      <w:r w:rsidRPr="00FE254C">
        <w:rPr>
          <w:rFonts w:ascii="Gill Sans MT" w:hAnsi="Gill Sans MT"/>
          <w:spacing w:val="3"/>
          <w:sz w:val="20"/>
          <w:szCs w:val="20"/>
        </w:rPr>
        <w:t xml:space="preserve">rectification </w:t>
      </w:r>
      <w:r w:rsidRPr="00FE254C">
        <w:rPr>
          <w:rFonts w:ascii="Gill Sans MT" w:hAnsi="Gill Sans MT"/>
          <w:spacing w:val="2"/>
          <w:sz w:val="20"/>
          <w:szCs w:val="20"/>
        </w:rPr>
        <w:t xml:space="preserve">and </w:t>
      </w:r>
      <w:r w:rsidRPr="00FE254C">
        <w:rPr>
          <w:rFonts w:ascii="Gill Sans MT" w:hAnsi="Gill Sans MT"/>
          <w:spacing w:val="3"/>
          <w:sz w:val="20"/>
          <w:szCs w:val="20"/>
        </w:rPr>
        <w:t xml:space="preserve">pharmacy works </w:t>
      </w:r>
      <w:r w:rsidRPr="00FE254C">
        <w:rPr>
          <w:rFonts w:ascii="Gill Sans MT" w:hAnsi="Gill Sans MT"/>
          <w:sz w:val="20"/>
          <w:szCs w:val="20"/>
        </w:rPr>
        <w:t xml:space="preserve">at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Mersey Community Hospital </w:t>
      </w:r>
      <w:r w:rsidRPr="00FE254C">
        <w:rPr>
          <w:rFonts w:ascii="Gill Sans MT" w:hAnsi="Gill Sans MT"/>
          <w:spacing w:val="2"/>
          <w:sz w:val="20"/>
          <w:szCs w:val="20"/>
        </w:rPr>
        <w:t xml:space="preserve">site </w:t>
      </w:r>
      <w:r w:rsidRPr="00FE254C">
        <w:rPr>
          <w:rFonts w:ascii="Gill Sans MT" w:hAnsi="Gill Sans MT"/>
          <w:sz w:val="20"/>
          <w:szCs w:val="20"/>
        </w:rPr>
        <w:t xml:space="preserve">in 2014-15 (refer to </w:t>
      </w:r>
      <w:r w:rsidRPr="00FE254C">
        <w:rPr>
          <w:rFonts w:ascii="Gill Sans MT" w:hAnsi="Gill Sans MT"/>
          <w:spacing w:val="2"/>
          <w:sz w:val="20"/>
          <w:szCs w:val="20"/>
        </w:rPr>
        <w:t xml:space="preserve">the THO </w:t>
      </w:r>
      <w:r w:rsidRPr="00FE254C">
        <w:rPr>
          <w:rFonts w:ascii="Gill Sans MT" w:hAnsi="Gill Sans MT"/>
          <w:spacing w:val="3"/>
          <w:sz w:val="20"/>
          <w:szCs w:val="20"/>
        </w:rPr>
        <w:t xml:space="preserve">North-West </w:t>
      </w:r>
      <w:r w:rsidRPr="00FE254C">
        <w:rPr>
          <w:rFonts w:ascii="Gill Sans MT" w:hAnsi="Gill Sans MT"/>
          <w:sz w:val="20"/>
          <w:szCs w:val="20"/>
        </w:rPr>
        <w:t xml:space="preserve">2014-15 </w:t>
      </w:r>
      <w:r w:rsidRPr="00FE254C">
        <w:rPr>
          <w:rFonts w:ascii="Gill Sans MT" w:hAnsi="Gill Sans MT"/>
          <w:spacing w:val="2"/>
          <w:sz w:val="20"/>
          <w:szCs w:val="20"/>
        </w:rPr>
        <w:t xml:space="preserve">Annual </w:t>
      </w:r>
      <w:r w:rsidRPr="00FE254C">
        <w:rPr>
          <w:rFonts w:ascii="Gill Sans MT" w:hAnsi="Gill Sans MT"/>
          <w:spacing w:val="4"/>
          <w:sz w:val="20"/>
          <w:szCs w:val="20"/>
        </w:rPr>
        <w:t xml:space="preserve">Report </w:t>
      </w:r>
      <w:r w:rsidRPr="00FE254C">
        <w:rPr>
          <w:rFonts w:ascii="Gill Sans MT" w:hAnsi="Gill Sans MT"/>
          <w:sz w:val="20"/>
          <w:szCs w:val="20"/>
        </w:rPr>
        <w:t xml:space="preserve">for </w:t>
      </w:r>
      <w:r w:rsidRPr="00FE254C">
        <w:rPr>
          <w:rFonts w:ascii="Gill Sans MT" w:hAnsi="Gill Sans MT"/>
          <w:spacing w:val="4"/>
          <w:sz w:val="20"/>
          <w:szCs w:val="20"/>
        </w:rPr>
        <w:t>further</w:t>
      </w:r>
      <w:r w:rsidRPr="00FE254C">
        <w:rPr>
          <w:rFonts w:ascii="Gill Sans MT" w:hAnsi="Gill Sans MT"/>
          <w:spacing w:val="29"/>
          <w:sz w:val="20"/>
          <w:szCs w:val="20"/>
        </w:rPr>
        <w:t xml:space="preserve"> </w:t>
      </w:r>
      <w:r w:rsidRPr="00FE254C">
        <w:rPr>
          <w:rFonts w:ascii="Gill Sans MT" w:hAnsi="Gill Sans MT"/>
          <w:sz w:val="20"/>
          <w:szCs w:val="20"/>
        </w:rPr>
        <w:t>information).</w:t>
      </w:r>
    </w:p>
    <w:p w:rsidR="00FE254C" w:rsidRPr="00FE254C" w:rsidRDefault="00FE254C" w:rsidP="00103528">
      <w:pPr>
        <w:pStyle w:val="ListParagraph"/>
        <w:widowControl w:val="0"/>
        <w:numPr>
          <w:ilvl w:val="1"/>
          <w:numId w:val="36"/>
        </w:numPr>
        <w:tabs>
          <w:tab w:val="left" w:pos="783"/>
        </w:tabs>
        <w:autoSpaceDE w:val="0"/>
        <w:autoSpaceDN w:val="0"/>
        <w:spacing w:before="104" w:after="0" w:line="302" w:lineRule="auto"/>
        <w:ind w:left="567" w:right="517" w:hanging="567"/>
        <w:contextualSpacing w:val="0"/>
        <w:jc w:val="left"/>
        <w:rPr>
          <w:rFonts w:ascii="Gill Sans MT" w:hAnsi="Gill Sans MT"/>
          <w:sz w:val="20"/>
          <w:szCs w:val="20"/>
        </w:rPr>
      </w:pPr>
      <w:r w:rsidRPr="00FE254C">
        <w:rPr>
          <w:rFonts w:ascii="Gill Sans MT" w:hAnsi="Gill Sans MT"/>
          <w:spacing w:val="2"/>
          <w:sz w:val="20"/>
          <w:szCs w:val="20"/>
        </w:rPr>
        <w:t xml:space="preserve">The National </w:t>
      </w:r>
      <w:r w:rsidRPr="00FE254C">
        <w:rPr>
          <w:rFonts w:ascii="Gill Sans MT" w:hAnsi="Gill Sans MT"/>
          <w:spacing w:val="3"/>
          <w:sz w:val="20"/>
          <w:szCs w:val="20"/>
        </w:rPr>
        <w:t xml:space="preserve">Health </w:t>
      </w:r>
      <w:r w:rsidRPr="00FE254C">
        <w:rPr>
          <w:rFonts w:ascii="Gill Sans MT" w:hAnsi="Gill Sans MT"/>
          <w:spacing w:val="2"/>
          <w:sz w:val="20"/>
          <w:szCs w:val="20"/>
        </w:rPr>
        <w:t xml:space="preserve">Reform initiatives: </w:t>
      </w:r>
      <w:r w:rsidRPr="00FE254C">
        <w:rPr>
          <w:rFonts w:ascii="Gill Sans MT" w:hAnsi="Gill Sans MT"/>
          <w:spacing w:val="3"/>
          <w:sz w:val="20"/>
          <w:szCs w:val="20"/>
        </w:rPr>
        <w:t xml:space="preserve">Elective </w:t>
      </w:r>
      <w:r w:rsidRPr="00FE254C">
        <w:rPr>
          <w:rFonts w:ascii="Gill Sans MT" w:hAnsi="Gill Sans MT"/>
          <w:spacing w:val="2"/>
          <w:sz w:val="20"/>
          <w:szCs w:val="20"/>
        </w:rPr>
        <w:t xml:space="preserve">Surgery, </w:t>
      </w:r>
      <w:r w:rsidRPr="00FE254C">
        <w:rPr>
          <w:rFonts w:ascii="Gill Sans MT" w:hAnsi="Gill Sans MT"/>
          <w:spacing w:val="3"/>
          <w:sz w:val="20"/>
          <w:szCs w:val="20"/>
        </w:rPr>
        <w:t xml:space="preserve">Emergency Department </w:t>
      </w:r>
      <w:r w:rsidRPr="00FE254C">
        <w:rPr>
          <w:rFonts w:ascii="Gill Sans MT" w:hAnsi="Gill Sans MT"/>
          <w:sz w:val="20"/>
          <w:szCs w:val="20"/>
        </w:rPr>
        <w:t xml:space="preserve">and </w:t>
      </w:r>
      <w:r w:rsidRPr="00FE254C">
        <w:rPr>
          <w:rFonts w:ascii="Gill Sans MT" w:hAnsi="Gill Sans MT"/>
          <w:spacing w:val="2"/>
          <w:sz w:val="20"/>
          <w:szCs w:val="20"/>
        </w:rPr>
        <w:t xml:space="preserve">Sub-Acute were </w:t>
      </w:r>
      <w:r w:rsidRPr="00FE254C">
        <w:rPr>
          <w:rFonts w:ascii="Gill Sans MT" w:hAnsi="Gill Sans MT"/>
          <w:spacing w:val="3"/>
          <w:sz w:val="20"/>
          <w:szCs w:val="20"/>
        </w:rPr>
        <w:t xml:space="preserve">primarily </w:t>
      </w:r>
      <w:r w:rsidRPr="00FE254C">
        <w:rPr>
          <w:rFonts w:ascii="Gill Sans MT" w:hAnsi="Gill Sans MT"/>
          <w:spacing w:val="2"/>
          <w:sz w:val="20"/>
          <w:szCs w:val="20"/>
        </w:rPr>
        <w:t xml:space="preserve">funded </w:t>
      </w:r>
      <w:r w:rsidRPr="00FE254C">
        <w:rPr>
          <w:rFonts w:ascii="Gill Sans MT" w:hAnsi="Gill Sans MT"/>
          <w:sz w:val="20"/>
          <w:szCs w:val="20"/>
        </w:rPr>
        <w:t xml:space="preserve">by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Australian Government </w:t>
      </w:r>
      <w:r w:rsidRPr="00FE254C">
        <w:rPr>
          <w:rFonts w:ascii="Gill Sans MT" w:hAnsi="Gill Sans MT"/>
          <w:spacing w:val="2"/>
          <w:sz w:val="20"/>
          <w:szCs w:val="20"/>
        </w:rPr>
        <w:t xml:space="preserve">under the National </w:t>
      </w:r>
      <w:r w:rsidRPr="00FE254C">
        <w:rPr>
          <w:rFonts w:ascii="Gill Sans MT" w:hAnsi="Gill Sans MT"/>
          <w:spacing w:val="4"/>
          <w:sz w:val="20"/>
          <w:szCs w:val="20"/>
        </w:rPr>
        <w:t xml:space="preserve">Partnership </w:t>
      </w:r>
      <w:r w:rsidRPr="00FE254C">
        <w:rPr>
          <w:rFonts w:ascii="Gill Sans MT" w:hAnsi="Gill Sans MT"/>
          <w:spacing w:val="3"/>
          <w:sz w:val="20"/>
          <w:szCs w:val="20"/>
        </w:rPr>
        <w:t xml:space="preserve">Agreement </w:t>
      </w:r>
      <w:r w:rsidRPr="00FE254C">
        <w:rPr>
          <w:rFonts w:ascii="Gill Sans MT" w:hAnsi="Gill Sans MT"/>
          <w:sz w:val="20"/>
          <w:szCs w:val="20"/>
        </w:rPr>
        <w:t xml:space="preserve">on </w:t>
      </w:r>
      <w:r w:rsidRPr="00FE254C">
        <w:rPr>
          <w:rFonts w:ascii="Gill Sans MT" w:hAnsi="Gill Sans MT"/>
          <w:spacing w:val="2"/>
          <w:sz w:val="20"/>
          <w:szCs w:val="20"/>
        </w:rPr>
        <w:t xml:space="preserve">Improving Public </w:t>
      </w:r>
      <w:r w:rsidRPr="00FE254C">
        <w:rPr>
          <w:rFonts w:ascii="Gill Sans MT" w:hAnsi="Gill Sans MT"/>
          <w:spacing w:val="3"/>
          <w:sz w:val="20"/>
          <w:szCs w:val="20"/>
        </w:rPr>
        <w:t>Hospital</w:t>
      </w:r>
      <w:r w:rsidRPr="00FE254C">
        <w:rPr>
          <w:rFonts w:ascii="Gill Sans MT" w:hAnsi="Gill Sans MT"/>
          <w:spacing w:val="8"/>
          <w:sz w:val="20"/>
          <w:szCs w:val="20"/>
        </w:rPr>
        <w:t xml:space="preserve"> </w:t>
      </w:r>
      <w:r w:rsidRPr="00FE254C">
        <w:rPr>
          <w:rFonts w:ascii="Gill Sans MT" w:hAnsi="Gill Sans MT"/>
          <w:spacing w:val="3"/>
          <w:sz w:val="20"/>
          <w:szCs w:val="20"/>
        </w:rPr>
        <w:t>Services.</w:t>
      </w:r>
    </w:p>
    <w:p w:rsidR="00FE254C" w:rsidRPr="00FE254C" w:rsidRDefault="00FE254C" w:rsidP="00103528">
      <w:pPr>
        <w:pStyle w:val="ListParagraph"/>
        <w:widowControl w:val="0"/>
        <w:numPr>
          <w:ilvl w:val="1"/>
          <w:numId w:val="36"/>
        </w:numPr>
        <w:tabs>
          <w:tab w:val="left" w:pos="567"/>
        </w:tabs>
        <w:autoSpaceDE w:val="0"/>
        <w:autoSpaceDN w:val="0"/>
        <w:spacing w:before="38" w:after="0" w:line="302" w:lineRule="auto"/>
        <w:ind w:left="567" w:right="217" w:hanging="673"/>
        <w:contextualSpacing w:val="0"/>
        <w:jc w:val="left"/>
        <w:rPr>
          <w:rFonts w:ascii="Gill Sans MT" w:hAnsi="Gill Sans MT"/>
          <w:sz w:val="20"/>
          <w:szCs w:val="20"/>
        </w:rPr>
      </w:pPr>
      <w:r w:rsidRPr="00FE254C">
        <w:rPr>
          <w:rFonts w:ascii="Gill Sans MT" w:hAnsi="Gill Sans MT"/>
          <w:spacing w:val="2"/>
          <w:sz w:val="20"/>
          <w:szCs w:val="20"/>
        </w:rPr>
        <w:t xml:space="preserve">The National </w:t>
      </w:r>
      <w:r w:rsidRPr="00FE254C">
        <w:rPr>
          <w:rFonts w:ascii="Gill Sans MT" w:hAnsi="Gill Sans MT"/>
          <w:spacing w:val="3"/>
          <w:sz w:val="20"/>
          <w:szCs w:val="20"/>
        </w:rPr>
        <w:t xml:space="preserve">Health </w:t>
      </w:r>
      <w:r w:rsidRPr="00FE254C">
        <w:rPr>
          <w:rFonts w:ascii="Gill Sans MT" w:hAnsi="Gill Sans MT"/>
          <w:spacing w:val="2"/>
          <w:sz w:val="20"/>
          <w:szCs w:val="20"/>
        </w:rPr>
        <w:t xml:space="preserve">and </w:t>
      </w:r>
      <w:r w:rsidRPr="00FE254C">
        <w:rPr>
          <w:rFonts w:ascii="Gill Sans MT" w:hAnsi="Gill Sans MT"/>
          <w:spacing w:val="3"/>
          <w:sz w:val="20"/>
          <w:szCs w:val="20"/>
        </w:rPr>
        <w:t xml:space="preserve">Hospitals Network </w:t>
      </w:r>
      <w:r w:rsidRPr="00FE254C">
        <w:rPr>
          <w:rFonts w:ascii="Gill Sans MT" w:hAnsi="Gill Sans MT"/>
          <w:sz w:val="20"/>
          <w:szCs w:val="20"/>
        </w:rPr>
        <w:t xml:space="preserve">– </w:t>
      </w:r>
      <w:r w:rsidRPr="00FE254C">
        <w:rPr>
          <w:rFonts w:ascii="Gill Sans MT" w:hAnsi="Gill Sans MT"/>
          <w:spacing w:val="3"/>
          <w:sz w:val="20"/>
          <w:szCs w:val="20"/>
        </w:rPr>
        <w:t xml:space="preserve">Elective Surgery </w:t>
      </w:r>
      <w:r w:rsidRPr="00FE254C">
        <w:rPr>
          <w:rFonts w:ascii="Gill Sans MT" w:hAnsi="Gill Sans MT"/>
          <w:sz w:val="20"/>
          <w:szCs w:val="20"/>
        </w:rPr>
        <w:t xml:space="preserve">– Royal </w:t>
      </w:r>
      <w:r w:rsidRPr="00FE254C">
        <w:rPr>
          <w:rFonts w:ascii="Gill Sans MT" w:hAnsi="Gill Sans MT"/>
          <w:spacing w:val="4"/>
          <w:sz w:val="20"/>
          <w:szCs w:val="20"/>
        </w:rPr>
        <w:t xml:space="preserve">Hobart </w:t>
      </w:r>
      <w:r w:rsidRPr="00FE254C">
        <w:rPr>
          <w:rFonts w:ascii="Gill Sans MT" w:hAnsi="Gill Sans MT"/>
          <w:spacing w:val="3"/>
          <w:sz w:val="20"/>
          <w:szCs w:val="20"/>
        </w:rPr>
        <w:t xml:space="preserve">Hospital project experienced </w:t>
      </w:r>
      <w:r w:rsidRPr="00FE254C">
        <w:rPr>
          <w:rFonts w:ascii="Gill Sans MT" w:hAnsi="Gill Sans MT"/>
          <w:sz w:val="20"/>
          <w:szCs w:val="20"/>
        </w:rPr>
        <w:t xml:space="preserve">delays </w:t>
      </w:r>
      <w:r w:rsidRPr="00FE254C">
        <w:rPr>
          <w:rFonts w:ascii="Gill Sans MT" w:hAnsi="Gill Sans MT"/>
          <w:spacing w:val="2"/>
          <w:sz w:val="20"/>
          <w:szCs w:val="20"/>
        </w:rPr>
        <w:t xml:space="preserve">implementing the </w:t>
      </w:r>
      <w:r w:rsidRPr="00FE254C">
        <w:rPr>
          <w:rFonts w:ascii="Gill Sans MT" w:hAnsi="Gill Sans MT"/>
          <w:spacing w:val="3"/>
          <w:sz w:val="20"/>
          <w:szCs w:val="20"/>
        </w:rPr>
        <w:t xml:space="preserve">Anaesthetic </w:t>
      </w:r>
      <w:r w:rsidRPr="00FE254C">
        <w:rPr>
          <w:rFonts w:ascii="Gill Sans MT" w:hAnsi="Gill Sans MT"/>
          <w:spacing w:val="2"/>
          <w:sz w:val="20"/>
          <w:szCs w:val="20"/>
        </w:rPr>
        <w:t xml:space="preserve">Information System </w:t>
      </w:r>
      <w:r w:rsidRPr="00FE254C">
        <w:rPr>
          <w:rFonts w:ascii="Gill Sans MT" w:hAnsi="Gill Sans MT"/>
          <w:sz w:val="20"/>
          <w:szCs w:val="20"/>
        </w:rPr>
        <w:t xml:space="preserve">and </w:t>
      </w:r>
      <w:r w:rsidRPr="00FE254C">
        <w:rPr>
          <w:rFonts w:ascii="Gill Sans MT" w:hAnsi="Gill Sans MT"/>
          <w:spacing w:val="2"/>
          <w:sz w:val="20"/>
          <w:szCs w:val="20"/>
        </w:rPr>
        <w:t xml:space="preserve">purchasing equipment </w:t>
      </w:r>
      <w:r w:rsidRPr="00FE254C">
        <w:rPr>
          <w:rFonts w:ascii="Gill Sans MT" w:hAnsi="Gill Sans MT"/>
          <w:sz w:val="20"/>
          <w:szCs w:val="20"/>
        </w:rPr>
        <w:t xml:space="preserve">in 2014-15. </w:t>
      </w:r>
      <w:r w:rsidRPr="00FE254C">
        <w:rPr>
          <w:rFonts w:ascii="Gill Sans MT" w:hAnsi="Gill Sans MT"/>
          <w:spacing w:val="2"/>
          <w:sz w:val="20"/>
          <w:szCs w:val="20"/>
        </w:rPr>
        <w:t>The</w:t>
      </w:r>
      <w:r w:rsidRPr="00FE254C">
        <w:rPr>
          <w:rFonts w:ascii="Gill Sans MT" w:hAnsi="Gill Sans MT"/>
          <w:spacing w:val="22"/>
          <w:sz w:val="20"/>
          <w:szCs w:val="20"/>
        </w:rPr>
        <w:t xml:space="preserve"> </w:t>
      </w:r>
      <w:r w:rsidRPr="00FE254C">
        <w:rPr>
          <w:rFonts w:ascii="Gill Sans MT" w:hAnsi="Gill Sans MT"/>
          <w:spacing w:val="3"/>
          <w:sz w:val="20"/>
          <w:szCs w:val="20"/>
        </w:rPr>
        <w:t xml:space="preserve">reduction </w:t>
      </w:r>
      <w:r w:rsidRPr="00FE254C">
        <w:rPr>
          <w:rFonts w:ascii="Gill Sans MT" w:hAnsi="Gill Sans MT"/>
          <w:sz w:val="20"/>
          <w:szCs w:val="20"/>
        </w:rPr>
        <w:t xml:space="preserve">in </w:t>
      </w:r>
      <w:r w:rsidRPr="00FE254C">
        <w:rPr>
          <w:rFonts w:ascii="Gill Sans MT" w:hAnsi="Gill Sans MT"/>
          <w:spacing w:val="2"/>
          <w:sz w:val="20"/>
          <w:szCs w:val="20"/>
        </w:rPr>
        <w:t xml:space="preserve">the estimated total </w:t>
      </w:r>
      <w:r w:rsidRPr="00FE254C">
        <w:rPr>
          <w:rFonts w:ascii="Gill Sans MT" w:hAnsi="Gill Sans MT"/>
          <w:sz w:val="20"/>
          <w:szCs w:val="20"/>
        </w:rPr>
        <w:t xml:space="preserve">cost since </w:t>
      </w:r>
      <w:r w:rsidRPr="00FE254C">
        <w:rPr>
          <w:rFonts w:ascii="Gill Sans MT" w:hAnsi="Gill Sans MT"/>
          <w:spacing w:val="2"/>
          <w:sz w:val="20"/>
          <w:szCs w:val="20"/>
        </w:rPr>
        <w:t xml:space="preserve">the publication </w:t>
      </w:r>
      <w:r w:rsidRPr="00FE254C">
        <w:rPr>
          <w:rFonts w:ascii="Gill Sans MT" w:hAnsi="Gill Sans MT"/>
          <w:sz w:val="20"/>
          <w:szCs w:val="20"/>
        </w:rPr>
        <w:t xml:space="preserve">of </w:t>
      </w:r>
      <w:r w:rsidRPr="00FE254C">
        <w:rPr>
          <w:rFonts w:ascii="Gill Sans MT" w:hAnsi="Gill Sans MT"/>
          <w:spacing w:val="2"/>
          <w:sz w:val="20"/>
          <w:szCs w:val="20"/>
        </w:rPr>
        <w:t xml:space="preserve">the </w:t>
      </w:r>
      <w:r w:rsidRPr="00FE254C">
        <w:rPr>
          <w:rFonts w:ascii="Gill Sans MT" w:hAnsi="Gill Sans MT"/>
          <w:spacing w:val="-3"/>
          <w:sz w:val="20"/>
          <w:szCs w:val="20"/>
        </w:rPr>
        <w:t xml:space="preserve">2013-14 </w:t>
      </w:r>
      <w:r w:rsidRPr="00FE254C">
        <w:rPr>
          <w:rFonts w:ascii="Gill Sans MT" w:hAnsi="Gill Sans MT"/>
          <w:sz w:val="20"/>
          <w:szCs w:val="20"/>
        </w:rPr>
        <w:t xml:space="preserve"> </w:t>
      </w:r>
      <w:r w:rsidRPr="00FE254C">
        <w:rPr>
          <w:rFonts w:ascii="Gill Sans MT" w:hAnsi="Gill Sans MT"/>
          <w:spacing w:val="2"/>
          <w:sz w:val="20"/>
          <w:szCs w:val="20"/>
        </w:rPr>
        <w:t xml:space="preserve">Annual </w:t>
      </w:r>
      <w:r w:rsidRPr="00FE254C">
        <w:rPr>
          <w:rFonts w:ascii="Gill Sans MT" w:hAnsi="Gill Sans MT"/>
          <w:sz w:val="20"/>
          <w:szCs w:val="20"/>
        </w:rPr>
        <w:t>Report is due to $740 000 of unspent funding being redirected to recurrent activities in 2014-15.</w:t>
      </w:r>
    </w:p>
    <w:p w:rsidR="00FE254C" w:rsidRPr="00FE254C" w:rsidRDefault="00FE254C" w:rsidP="00103528">
      <w:pPr>
        <w:pStyle w:val="ListParagraph"/>
        <w:widowControl w:val="0"/>
        <w:numPr>
          <w:ilvl w:val="1"/>
          <w:numId w:val="36"/>
        </w:numPr>
        <w:autoSpaceDE w:val="0"/>
        <w:autoSpaceDN w:val="0"/>
        <w:spacing w:before="40" w:after="0" w:line="159" w:lineRule="exact"/>
        <w:ind w:left="567" w:right="209" w:hanging="673"/>
        <w:contextualSpacing w:val="0"/>
        <w:jc w:val="left"/>
        <w:rPr>
          <w:rFonts w:ascii="Gill Sans MT" w:hAnsi="Gill Sans MT"/>
          <w:sz w:val="20"/>
          <w:szCs w:val="20"/>
        </w:rPr>
      </w:pPr>
      <w:r w:rsidRPr="00FE254C">
        <w:rPr>
          <w:rFonts w:ascii="Gill Sans MT" w:hAnsi="Gill Sans MT"/>
          <w:spacing w:val="2"/>
          <w:sz w:val="20"/>
          <w:szCs w:val="20"/>
        </w:rPr>
        <w:t xml:space="preserve">The total </w:t>
      </w:r>
      <w:r w:rsidRPr="00FE254C">
        <w:rPr>
          <w:rFonts w:ascii="Gill Sans MT" w:hAnsi="Gill Sans MT"/>
          <w:spacing w:val="3"/>
          <w:sz w:val="20"/>
          <w:szCs w:val="20"/>
        </w:rPr>
        <w:t xml:space="preserve">Australian Government </w:t>
      </w:r>
      <w:r w:rsidRPr="00FE254C">
        <w:rPr>
          <w:rFonts w:ascii="Gill Sans MT" w:hAnsi="Gill Sans MT"/>
          <w:spacing w:val="2"/>
          <w:sz w:val="20"/>
          <w:szCs w:val="20"/>
        </w:rPr>
        <w:t xml:space="preserve">commitment </w:t>
      </w:r>
      <w:r w:rsidRPr="00FE254C">
        <w:rPr>
          <w:rFonts w:ascii="Gill Sans MT" w:hAnsi="Gill Sans MT"/>
          <w:sz w:val="20"/>
          <w:szCs w:val="20"/>
        </w:rPr>
        <w:t xml:space="preserve">to </w:t>
      </w:r>
      <w:r w:rsidRPr="00FE254C">
        <w:rPr>
          <w:rFonts w:ascii="Gill Sans MT" w:hAnsi="Gill Sans MT"/>
          <w:spacing w:val="2"/>
          <w:sz w:val="20"/>
          <w:szCs w:val="20"/>
        </w:rPr>
        <w:t xml:space="preserve">the Statewide Cancer </w:t>
      </w:r>
      <w:r w:rsidRPr="00FE254C">
        <w:rPr>
          <w:rFonts w:ascii="Gill Sans MT" w:hAnsi="Gill Sans MT"/>
          <w:spacing w:val="3"/>
          <w:sz w:val="20"/>
          <w:szCs w:val="20"/>
        </w:rPr>
        <w:t xml:space="preserve">Services project </w:t>
      </w:r>
      <w:r w:rsidRPr="00FE254C">
        <w:rPr>
          <w:rFonts w:ascii="Gill Sans MT" w:hAnsi="Gill Sans MT"/>
          <w:sz w:val="20"/>
          <w:szCs w:val="20"/>
        </w:rPr>
        <w:t xml:space="preserve">is </w:t>
      </w:r>
      <w:r w:rsidRPr="00FE254C">
        <w:rPr>
          <w:rFonts w:ascii="Gill Sans MT" w:hAnsi="Gill Sans MT"/>
          <w:spacing w:val="2"/>
          <w:sz w:val="20"/>
          <w:szCs w:val="20"/>
        </w:rPr>
        <w:t xml:space="preserve">$36.3 million, </w:t>
      </w:r>
      <w:r w:rsidRPr="00FE254C">
        <w:rPr>
          <w:rFonts w:ascii="Gill Sans MT" w:hAnsi="Gill Sans MT"/>
          <w:spacing w:val="3"/>
          <w:sz w:val="20"/>
          <w:szCs w:val="20"/>
        </w:rPr>
        <w:t xml:space="preserve">with </w:t>
      </w:r>
      <w:r w:rsidRPr="00FE254C">
        <w:rPr>
          <w:rFonts w:ascii="Gill Sans MT" w:hAnsi="Gill Sans MT"/>
          <w:sz w:val="20"/>
          <w:szCs w:val="20"/>
        </w:rPr>
        <w:t xml:space="preserve">$23.9 </w:t>
      </w:r>
      <w:r w:rsidRPr="00FE254C">
        <w:rPr>
          <w:rFonts w:ascii="Gill Sans MT" w:hAnsi="Gill Sans MT"/>
          <w:spacing w:val="2"/>
          <w:sz w:val="20"/>
          <w:szCs w:val="20"/>
        </w:rPr>
        <w:t xml:space="preserve">million funded </w:t>
      </w:r>
      <w:r w:rsidRPr="00FE254C">
        <w:rPr>
          <w:rFonts w:ascii="Gill Sans MT" w:hAnsi="Gill Sans MT"/>
          <w:sz w:val="20"/>
          <w:szCs w:val="20"/>
        </w:rPr>
        <w:t xml:space="preserve">by </w:t>
      </w:r>
      <w:r w:rsidRPr="00FE254C">
        <w:rPr>
          <w:rFonts w:ascii="Gill Sans MT" w:hAnsi="Gill Sans MT"/>
          <w:spacing w:val="2"/>
          <w:sz w:val="20"/>
          <w:szCs w:val="20"/>
        </w:rPr>
        <w:t>the State</w:t>
      </w:r>
      <w:r w:rsidRPr="00FE254C">
        <w:rPr>
          <w:rFonts w:ascii="Gill Sans MT" w:hAnsi="Gill Sans MT"/>
          <w:spacing w:val="17"/>
          <w:sz w:val="20"/>
          <w:szCs w:val="20"/>
        </w:rPr>
        <w:t xml:space="preserve"> </w:t>
      </w:r>
      <w:r w:rsidRPr="00FE254C">
        <w:rPr>
          <w:rFonts w:ascii="Gill Sans MT" w:hAnsi="Gill Sans MT"/>
          <w:sz w:val="20"/>
          <w:szCs w:val="20"/>
        </w:rPr>
        <w:t>and $2.8 million provided through donations.</w:t>
      </w:r>
    </w:p>
    <w:p w:rsidR="00FE254C" w:rsidRDefault="00FE254C" w:rsidP="00FE254C">
      <w:pPr>
        <w:ind w:left="567"/>
        <w:rPr>
          <w:rFonts w:ascii="Gill Sans MT" w:hAnsi="Gill Sans MT"/>
          <w:sz w:val="20"/>
          <w:szCs w:val="20"/>
        </w:rPr>
      </w:pPr>
    </w:p>
    <w:p w:rsidR="00FE254C" w:rsidRDefault="00FE254C" w:rsidP="00FE254C">
      <w:pPr>
        <w:pStyle w:val="Heading4"/>
      </w:pPr>
      <w:r>
        <w:t>Transport</w:t>
      </w:r>
    </w:p>
    <w:p w:rsidR="00FE254C" w:rsidRPr="00FE254C" w:rsidRDefault="00FE254C" w:rsidP="00FE254C">
      <w:pPr>
        <w:pStyle w:val="BodyText"/>
      </w:pPr>
      <w:r w:rsidRPr="00FE254C">
        <w:t>At 30 June 2016, the THS operated 484 leased light vehicles comprising 176 executives and 308 operational.</w:t>
      </w:r>
    </w:p>
    <w:p w:rsidR="00FE254C" w:rsidRPr="00FE254C" w:rsidRDefault="00FE254C" w:rsidP="00FE254C">
      <w:pPr>
        <w:pStyle w:val="BodyText"/>
      </w:pPr>
      <w:r w:rsidRPr="00FE254C">
        <w:t>The DHHS, including the THS, saved $825 416 (excluding GST) on vehicle lease costs during the 2015-16 financial year compared to the 2014-15 financial year.</w:t>
      </w:r>
    </w:p>
    <w:p w:rsidR="00FE254C" w:rsidRDefault="00FE254C" w:rsidP="00FE254C">
      <w:pPr>
        <w:rPr>
          <w:rFonts w:ascii="Gill Sans MT" w:hAnsi="Gill Sans MT"/>
          <w:sz w:val="20"/>
          <w:szCs w:val="20"/>
        </w:rPr>
        <w:sectPr w:rsidR="00FE254C" w:rsidSect="00025D0E">
          <w:pgSz w:w="11906" w:h="16838"/>
          <w:pgMar w:top="1440" w:right="707" w:bottom="1134" w:left="1134" w:header="708" w:footer="708" w:gutter="0"/>
          <w:cols w:space="708"/>
          <w:docGrid w:linePitch="360"/>
        </w:sectPr>
      </w:pPr>
    </w:p>
    <w:p w:rsidR="00BA0546" w:rsidRDefault="00BA0546">
      <w:pPr>
        <w:rPr>
          <w:rFonts w:ascii="Gill Sans MT" w:hAnsi="Gill Sans MT"/>
          <w:sz w:val="20"/>
          <w:szCs w:val="20"/>
        </w:rPr>
      </w:pPr>
      <w:r>
        <w:rPr>
          <w:rFonts w:ascii="Gill Sans MT" w:hAnsi="Gill Sans MT"/>
          <w:sz w:val="20"/>
          <w:szCs w:val="20"/>
        </w:rPr>
        <w:lastRenderedPageBreak/>
        <w:br w:type="page"/>
      </w:r>
    </w:p>
    <w:p w:rsidR="00FE254C" w:rsidRDefault="00BA0546" w:rsidP="00BA0546">
      <w:pPr>
        <w:pStyle w:val="Heading3"/>
      </w:pPr>
      <w:bookmarkStart w:id="39" w:name="_Toc472581979"/>
      <w:r>
        <w:lastRenderedPageBreak/>
        <w:t>Consultancies, Contracts and Tenders</w:t>
      </w:r>
      <w:bookmarkEnd w:id="39"/>
    </w:p>
    <w:p w:rsidR="00BA0546" w:rsidRDefault="00BA0546" w:rsidP="00BA0546">
      <w:pPr>
        <w:pStyle w:val="BodyText"/>
      </w:pPr>
      <w:r>
        <w:t>The Tasmanian Health Service (THS) ensures procurement is undertaken in accordance with the mandatory requirements of the Treasurer’s Instructions relating to procurement, including that Tasmanian businesses are given every opportunity to compete for business. It is THS policy to support Tasmanian businesses whenever they offer best value for money for the Government.</w:t>
      </w:r>
    </w:p>
    <w:p w:rsidR="00BA0546" w:rsidRDefault="00BA0546" w:rsidP="00BA0546">
      <w:pPr>
        <w:pStyle w:val="BodyText"/>
      </w:pPr>
      <w:r>
        <w:t>See Table 1 for a summary of the level of participation by local businesses for contracts, tenders and/or quotations with a value of $50 000 or over (excluding GST). Tables 2 and 3 provide detailed information on consultancies and other contracts with a value of $50 000 or over (excluding GST). Table 4 provides a summary of contracts awarded as a result of a direct/ limited submission sourcing process approved in accordance with Instructions 1114 or 1217. Table 5 provides a summary of contract extensions approved in accordance with Instruction 1115(2). Table 6 provides a summary of contracts where approval to aggregate the procurement was obtained in accordance with Instructions 1119 and 1225.</w:t>
      </w:r>
    </w:p>
    <w:p w:rsidR="00BA0546" w:rsidRDefault="00BA0546" w:rsidP="00BA0546">
      <w:pPr>
        <w:pStyle w:val="Heading4"/>
      </w:pPr>
      <w:r>
        <w:t>Table 1 - Summary of Participation by Local Businesses</w:t>
      </w:r>
    </w:p>
    <w:p w:rsidR="00BA0546" w:rsidRDefault="00BA0546" w:rsidP="00BA0546">
      <w:pPr>
        <w:pStyle w:val="BodyText"/>
      </w:pPr>
      <w:r>
        <w:t>Below is a summary of participation by local businesses for contracts, tenders and/or quotation processes with a value of $50000 or over.</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1 - Summary of Participation by Local Businesses"/>
      </w:tblPr>
      <w:tblGrid>
        <w:gridCol w:w="4116"/>
        <w:gridCol w:w="1985"/>
      </w:tblGrid>
      <w:tr w:rsidR="006E6115" w:rsidRPr="006E6115" w:rsidTr="006E6115">
        <w:trPr>
          <w:trHeight w:hRule="exact" w:val="316"/>
          <w:tblHeader/>
        </w:trPr>
        <w:tc>
          <w:tcPr>
            <w:tcW w:w="4116" w:type="dxa"/>
            <w:shd w:val="clear" w:color="auto" w:fill="auto"/>
          </w:tcPr>
          <w:p w:rsidR="006E6115" w:rsidRPr="006E6115" w:rsidRDefault="006E6115" w:rsidP="006E6115">
            <w:pPr>
              <w:pStyle w:val="BodyText"/>
              <w:rPr>
                <w:b/>
              </w:rPr>
            </w:pPr>
            <w:r w:rsidRPr="006E6115">
              <w:rPr>
                <w:b/>
              </w:rPr>
              <w:t>Participation by local businesses</w:t>
            </w:r>
          </w:p>
        </w:tc>
        <w:tc>
          <w:tcPr>
            <w:tcW w:w="1985" w:type="dxa"/>
            <w:shd w:val="clear" w:color="auto" w:fill="auto"/>
          </w:tcPr>
          <w:p w:rsidR="006E6115" w:rsidRPr="006E6115" w:rsidRDefault="006E6115" w:rsidP="006E6115">
            <w:pPr>
              <w:pStyle w:val="BodyText"/>
              <w:jc w:val="right"/>
              <w:rPr>
                <w:b/>
              </w:rPr>
            </w:pPr>
            <w:r w:rsidRPr="006E6115">
              <w:rPr>
                <w:b/>
              </w:rPr>
              <w:t>Number/value</w:t>
            </w:r>
          </w:p>
        </w:tc>
      </w:tr>
      <w:tr w:rsidR="00BA0546" w:rsidTr="006E6115">
        <w:trPr>
          <w:trHeight w:hRule="exact" w:val="316"/>
        </w:trPr>
        <w:tc>
          <w:tcPr>
            <w:tcW w:w="4116" w:type="dxa"/>
            <w:shd w:val="clear" w:color="auto" w:fill="auto"/>
          </w:tcPr>
          <w:p w:rsidR="00BA0546" w:rsidRDefault="00BA0546" w:rsidP="006E6115">
            <w:pPr>
              <w:pStyle w:val="BodyText"/>
            </w:pPr>
            <w:r>
              <w:t>Total number of contracts awarded</w:t>
            </w:r>
          </w:p>
        </w:tc>
        <w:tc>
          <w:tcPr>
            <w:tcW w:w="1985" w:type="dxa"/>
            <w:shd w:val="clear" w:color="auto" w:fill="auto"/>
          </w:tcPr>
          <w:p w:rsidR="00BA0546" w:rsidRDefault="00BA0546" w:rsidP="006E6115">
            <w:pPr>
              <w:pStyle w:val="BodyText"/>
              <w:jc w:val="right"/>
            </w:pPr>
            <w:r>
              <w:t>65</w:t>
            </w:r>
          </w:p>
        </w:tc>
      </w:tr>
      <w:tr w:rsidR="00BA0546" w:rsidTr="006E6115">
        <w:trPr>
          <w:trHeight w:hRule="exact" w:val="560"/>
        </w:trPr>
        <w:tc>
          <w:tcPr>
            <w:tcW w:w="4116" w:type="dxa"/>
            <w:shd w:val="clear" w:color="auto" w:fill="auto"/>
          </w:tcPr>
          <w:p w:rsidR="00BA0546" w:rsidRDefault="00BA0546" w:rsidP="006E6115">
            <w:pPr>
              <w:pStyle w:val="BodyText"/>
            </w:pPr>
            <w:r>
              <w:t>Total number of contracts awarded to Tasmanian businesses</w:t>
            </w:r>
          </w:p>
        </w:tc>
        <w:tc>
          <w:tcPr>
            <w:tcW w:w="1985" w:type="dxa"/>
            <w:shd w:val="clear" w:color="auto" w:fill="auto"/>
          </w:tcPr>
          <w:p w:rsidR="00BA0546" w:rsidRDefault="00BA0546" w:rsidP="006E6115">
            <w:pPr>
              <w:pStyle w:val="BodyText"/>
              <w:jc w:val="right"/>
            </w:pPr>
            <w:r>
              <w:t>19</w:t>
            </w:r>
          </w:p>
        </w:tc>
      </w:tr>
      <w:tr w:rsidR="00BA0546" w:rsidTr="006E6115">
        <w:trPr>
          <w:trHeight w:hRule="exact" w:val="320"/>
        </w:trPr>
        <w:tc>
          <w:tcPr>
            <w:tcW w:w="4116" w:type="dxa"/>
            <w:shd w:val="clear" w:color="auto" w:fill="auto"/>
          </w:tcPr>
          <w:p w:rsidR="00BA0546" w:rsidRDefault="00BA0546" w:rsidP="006E6115">
            <w:pPr>
              <w:pStyle w:val="BodyText"/>
            </w:pPr>
            <w:r>
              <w:t>Value of contracts awarded</w:t>
            </w:r>
          </w:p>
        </w:tc>
        <w:tc>
          <w:tcPr>
            <w:tcW w:w="1985" w:type="dxa"/>
            <w:shd w:val="clear" w:color="auto" w:fill="auto"/>
          </w:tcPr>
          <w:p w:rsidR="00BA0546" w:rsidRDefault="00BA0546" w:rsidP="006E6115">
            <w:pPr>
              <w:pStyle w:val="BodyText"/>
              <w:jc w:val="right"/>
            </w:pPr>
            <w:r>
              <w:t>$41 736 118</w:t>
            </w:r>
          </w:p>
        </w:tc>
      </w:tr>
      <w:tr w:rsidR="00BA0546" w:rsidTr="006E6115">
        <w:trPr>
          <w:trHeight w:hRule="exact" w:val="560"/>
        </w:trPr>
        <w:tc>
          <w:tcPr>
            <w:tcW w:w="4116" w:type="dxa"/>
            <w:shd w:val="clear" w:color="auto" w:fill="auto"/>
          </w:tcPr>
          <w:p w:rsidR="00BA0546" w:rsidRDefault="00BA0546" w:rsidP="006E6115">
            <w:pPr>
              <w:pStyle w:val="BodyText"/>
            </w:pPr>
            <w:r>
              <w:t>Value of contracts awarded to Tasmanian businesses</w:t>
            </w:r>
          </w:p>
        </w:tc>
        <w:tc>
          <w:tcPr>
            <w:tcW w:w="1985" w:type="dxa"/>
            <w:shd w:val="clear" w:color="auto" w:fill="auto"/>
          </w:tcPr>
          <w:p w:rsidR="00BA0546" w:rsidRDefault="00BA0546" w:rsidP="006E6115">
            <w:pPr>
              <w:pStyle w:val="BodyText"/>
              <w:jc w:val="right"/>
            </w:pPr>
            <w:r>
              <w:t>$31 798 414</w:t>
            </w:r>
          </w:p>
        </w:tc>
      </w:tr>
      <w:tr w:rsidR="00BA0546" w:rsidTr="006E6115">
        <w:trPr>
          <w:trHeight w:hRule="exact" w:val="560"/>
        </w:trPr>
        <w:tc>
          <w:tcPr>
            <w:tcW w:w="4116" w:type="dxa"/>
            <w:shd w:val="clear" w:color="auto" w:fill="auto"/>
          </w:tcPr>
          <w:p w:rsidR="00BA0546" w:rsidRDefault="00BA0546" w:rsidP="006E6115">
            <w:pPr>
              <w:pStyle w:val="BodyText"/>
            </w:pPr>
            <w:r>
              <w:t>Total number of tenders called and/or quotation processes run</w:t>
            </w:r>
          </w:p>
        </w:tc>
        <w:tc>
          <w:tcPr>
            <w:tcW w:w="1985" w:type="dxa"/>
            <w:shd w:val="clear" w:color="auto" w:fill="auto"/>
          </w:tcPr>
          <w:p w:rsidR="00BA0546" w:rsidRDefault="00BA0546" w:rsidP="006E6115">
            <w:pPr>
              <w:pStyle w:val="BodyText"/>
              <w:jc w:val="right"/>
            </w:pPr>
            <w:r>
              <w:t>23</w:t>
            </w:r>
          </w:p>
        </w:tc>
      </w:tr>
      <w:tr w:rsidR="00BA0546" w:rsidTr="006E6115">
        <w:trPr>
          <w:trHeight w:hRule="exact" w:val="560"/>
        </w:trPr>
        <w:tc>
          <w:tcPr>
            <w:tcW w:w="4116" w:type="dxa"/>
            <w:shd w:val="clear" w:color="auto" w:fill="auto"/>
          </w:tcPr>
          <w:p w:rsidR="00BA0546" w:rsidRDefault="00BA0546" w:rsidP="006E6115">
            <w:pPr>
              <w:pStyle w:val="BodyText"/>
            </w:pPr>
            <w:r>
              <w:t>Total number of bids and/or written quotations received</w:t>
            </w:r>
          </w:p>
        </w:tc>
        <w:tc>
          <w:tcPr>
            <w:tcW w:w="1985" w:type="dxa"/>
            <w:shd w:val="clear" w:color="auto" w:fill="auto"/>
          </w:tcPr>
          <w:p w:rsidR="00BA0546" w:rsidRDefault="00BA0546" w:rsidP="006E6115">
            <w:pPr>
              <w:pStyle w:val="BodyText"/>
              <w:jc w:val="right"/>
            </w:pPr>
            <w:r>
              <w:t>101</w:t>
            </w:r>
          </w:p>
        </w:tc>
      </w:tr>
      <w:tr w:rsidR="00BA0546" w:rsidTr="006E6115">
        <w:trPr>
          <w:trHeight w:hRule="exact" w:val="964"/>
        </w:trPr>
        <w:tc>
          <w:tcPr>
            <w:tcW w:w="4116" w:type="dxa"/>
            <w:shd w:val="clear" w:color="auto" w:fill="auto"/>
          </w:tcPr>
          <w:p w:rsidR="00BA0546" w:rsidRDefault="00BA0546" w:rsidP="006E6115">
            <w:pPr>
              <w:pStyle w:val="BodyText"/>
            </w:pPr>
            <w:r>
              <w:t>Total number of bids and/or written quotations received from Tasmanian businesses</w:t>
            </w:r>
          </w:p>
        </w:tc>
        <w:tc>
          <w:tcPr>
            <w:tcW w:w="1985" w:type="dxa"/>
            <w:shd w:val="clear" w:color="auto" w:fill="auto"/>
          </w:tcPr>
          <w:p w:rsidR="00BA0546" w:rsidRDefault="00BA0546" w:rsidP="006E6115">
            <w:pPr>
              <w:pStyle w:val="BodyText"/>
              <w:jc w:val="right"/>
            </w:pPr>
            <w:r>
              <w:t>29</w:t>
            </w:r>
          </w:p>
        </w:tc>
      </w:tr>
    </w:tbl>
    <w:p w:rsidR="00BA0546" w:rsidRDefault="00BA0546" w:rsidP="00BA0546">
      <w:pPr>
        <w:pStyle w:val="BodyText"/>
      </w:pPr>
    </w:p>
    <w:p w:rsidR="006E6115" w:rsidRPr="006E6115" w:rsidRDefault="006E6115" w:rsidP="006E6115">
      <w:pPr>
        <w:pStyle w:val="BodyText"/>
      </w:pPr>
      <w:r w:rsidRPr="006E6115">
        <w:t>Note:</w:t>
      </w:r>
    </w:p>
    <w:p w:rsidR="006E6115" w:rsidRPr="006E6115" w:rsidRDefault="006E6115" w:rsidP="00103528">
      <w:pPr>
        <w:pStyle w:val="BodyText"/>
        <w:numPr>
          <w:ilvl w:val="0"/>
          <w:numId w:val="37"/>
        </w:numPr>
        <w:ind w:left="567" w:hanging="567"/>
      </w:pPr>
      <w:r w:rsidRPr="006E6115">
        <w:t>In accordance with the requirements of the Treasurer’s Instructions, the</w:t>
      </w:r>
      <w:r>
        <w:t xml:space="preserve"> v</w:t>
      </w:r>
      <w:r w:rsidRPr="006E6115">
        <w:t>alues in this table do not include the value of options to extend.</w:t>
      </w:r>
    </w:p>
    <w:p w:rsidR="006E6115" w:rsidRDefault="006E6115" w:rsidP="00103528">
      <w:pPr>
        <w:pStyle w:val="BodyText"/>
        <w:numPr>
          <w:ilvl w:val="0"/>
          <w:numId w:val="37"/>
        </w:numPr>
        <w:ind w:left="567" w:hanging="567"/>
      </w:pPr>
      <w:r w:rsidRPr="006E6115">
        <w:t>All values exclude GST.</w:t>
      </w:r>
    </w:p>
    <w:p w:rsidR="006E6115" w:rsidRDefault="006E6115">
      <w:pPr>
        <w:rPr>
          <w:rFonts w:ascii="Gill Sans MT" w:eastAsiaTheme="majorEastAsia" w:hAnsi="Gill Sans MT" w:cstheme="majorBidi"/>
          <w:b/>
          <w:bCs/>
          <w:iCs/>
          <w:sz w:val="24"/>
        </w:rPr>
      </w:pPr>
      <w:r>
        <w:br w:type="page"/>
      </w:r>
    </w:p>
    <w:p w:rsidR="006E6115" w:rsidRPr="006E6115" w:rsidRDefault="006E6115" w:rsidP="006E6115">
      <w:pPr>
        <w:pStyle w:val="Heading4"/>
      </w:pPr>
      <w:r w:rsidRPr="006E6115">
        <w:lastRenderedPageBreak/>
        <w:t>Table 2 - Consultancies Awarded</w:t>
      </w:r>
    </w:p>
    <w:p w:rsidR="006E6115" w:rsidRDefault="006E6115" w:rsidP="006E6115">
      <w:pPr>
        <w:pStyle w:val="BodyText"/>
      </w:pPr>
      <w:r w:rsidRPr="006E6115">
        <w:t>The following table provides information on consultancies awarded in the 2015-16 financial year with a value of</w:t>
      </w:r>
      <w:r>
        <w:t xml:space="preserve"> $50 000 or over.</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2 - Consultancies Awarded"/>
      </w:tblPr>
      <w:tblGrid>
        <w:gridCol w:w="1903"/>
        <w:gridCol w:w="1079"/>
        <w:gridCol w:w="2819"/>
        <w:gridCol w:w="2568"/>
        <w:gridCol w:w="1275"/>
      </w:tblGrid>
      <w:tr w:rsidR="006E6115" w:rsidRPr="006E6115" w:rsidTr="006E6115">
        <w:trPr>
          <w:trHeight w:hRule="exact" w:val="556"/>
        </w:trPr>
        <w:tc>
          <w:tcPr>
            <w:tcW w:w="1903" w:type="dxa"/>
            <w:shd w:val="clear" w:color="auto" w:fill="auto"/>
          </w:tcPr>
          <w:p w:rsidR="006E6115" w:rsidRPr="006E6115" w:rsidRDefault="006E6115" w:rsidP="006E6115">
            <w:pPr>
              <w:pStyle w:val="BodyText"/>
              <w:rPr>
                <w:b/>
              </w:rPr>
            </w:pPr>
            <w:r w:rsidRPr="006E6115">
              <w:rPr>
                <w:b/>
              </w:rPr>
              <w:t>Consultant Name</w:t>
            </w:r>
          </w:p>
        </w:tc>
        <w:tc>
          <w:tcPr>
            <w:tcW w:w="1079" w:type="dxa"/>
            <w:shd w:val="clear" w:color="auto" w:fill="auto"/>
          </w:tcPr>
          <w:p w:rsidR="006E6115" w:rsidRPr="006E6115" w:rsidRDefault="006E6115" w:rsidP="006E6115">
            <w:pPr>
              <w:pStyle w:val="BodyText"/>
              <w:rPr>
                <w:b/>
              </w:rPr>
            </w:pPr>
            <w:r w:rsidRPr="006E6115">
              <w:rPr>
                <w:b/>
              </w:rPr>
              <w:t>Location</w:t>
            </w:r>
          </w:p>
        </w:tc>
        <w:tc>
          <w:tcPr>
            <w:tcW w:w="2819" w:type="dxa"/>
            <w:shd w:val="clear" w:color="auto" w:fill="auto"/>
          </w:tcPr>
          <w:p w:rsidR="006E6115" w:rsidRPr="006E6115" w:rsidRDefault="006E6115" w:rsidP="006E6115">
            <w:pPr>
              <w:pStyle w:val="BodyText"/>
              <w:rPr>
                <w:b/>
              </w:rPr>
            </w:pPr>
            <w:r w:rsidRPr="006E6115">
              <w:rPr>
                <w:b/>
              </w:rPr>
              <w:t>Consultancy Description</w:t>
            </w:r>
          </w:p>
        </w:tc>
        <w:tc>
          <w:tcPr>
            <w:tcW w:w="2568" w:type="dxa"/>
            <w:shd w:val="clear" w:color="auto" w:fill="auto"/>
          </w:tcPr>
          <w:p w:rsidR="006E6115" w:rsidRPr="006E6115" w:rsidRDefault="006E6115" w:rsidP="006E6115">
            <w:pPr>
              <w:pStyle w:val="BodyText"/>
              <w:rPr>
                <w:b/>
              </w:rPr>
            </w:pPr>
            <w:r w:rsidRPr="006E6115">
              <w:rPr>
                <w:b/>
              </w:rPr>
              <w:t>Period of Consultancy</w:t>
            </w:r>
          </w:p>
        </w:tc>
        <w:tc>
          <w:tcPr>
            <w:tcW w:w="1275" w:type="dxa"/>
            <w:shd w:val="clear" w:color="auto" w:fill="auto"/>
          </w:tcPr>
          <w:p w:rsidR="006E6115" w:rsidRPr="006E6115" w:rsidRDefault="006E6115" w:rsidP="006E6115">
            <w:pPr>
              <w:pStyle w:val="BodyText"/>
              <w:rPr>
                <w:b/>
              </w:rPr>
            </w:pPr>
            <w:r w:rsidRPr="006E6115">
              <w:rPr>
                <w:b/>
              </w:rPr>
              <w:t>Total Value</w:t>
            </w:r>
          </w:p>
          <w:p w:rsidR="006E6115" w:rsidRPr="006E6115" w:rsidRDefault="006E6115" w:rsidP="006E6115">
            <w:pPr>
              <w:pStyle w:val="BodyText"/>
              <w:rPr>
                <w:b/>
              </w:rPr>
            </w:pPr>
            <w:r w:rsidRPr="006E6115">
              <w:rPr>
                <w:b/>
              </w:rPr>
              <w:t>$</w:t>
            </w:r>
          </w:p>
        </w:tc>
      </w:tr>
      <w:tr w:rsidR="006E6115" w:rsidRPr="006E6115" w:rsidTr="006E6115">
        <w:trPr>
          <w:trHeight w:hRule="exact" w:val="940"/>
        </w:trPr>
        <w:tc>
          <w:tcPr>
            <w:tcW w:w="1903" w:type="dxa"/>
            <w:shd w:val="clear" w:color="auto" w:fill="auto"/>
          </w:tcPr>
          <w:p w:rsidR="006E6115" w:rsidRPr="006E6115" w:rsidRDefault="006E6115" w:rsidP="006E6115">
            <w:pPr>
              <w:pStyle w:val="BodyText"/>
            </w:pPr>
            <w:r w:rsidRPr="006E6115">
              <w:t>Healthcare Reform Consulting</w:t>
            </w:r>
          </w:p>
        </w:tc>
        <w:tc>
          <w:tcPr>
            <w:tcW w:w="1079" w:type="dxa"/>
            <w:shd w:val="clear" w:color="auto" w:fill="auto"/>
          </w:tcPr>
          <w:p w:rsidR="006E6115" w:rsidRPr="006E6115" w:rsidRDefault="006E6115" w:rsidP="006E6115">
            <w:pPr>
              <w:pStyle w:val="BodyText"/>
            </w:pPr>
            <w:r w:rsidRPr="006E6115">
              <w:t>WA</w:t>
            </w:r>
          </w:p>
        </w:tc>
        <w:tc>
          <w:tcPr>
            <w:tcW w:w="2819" w:type="dxa"/>
            <w:shd w:val="clear" w:color="auto" w:fill="auto"/>
          </w:tcPr>
          <w:p w:rsidR="006E6115" w:rsidRPr="006E6115" w:rsidRDefault="006E6115" w:rsidP="006E6115">
            <w:pPr>
              <w:pStyle w:val="BodyText"/>
            </w:pPr>
            <w:r w:rsidRPr="006E6115">
              <w:t>LGH - Emergency Department Access Block Capacity Management</w:t>
            </w:r>
          </w:p>
        </w:tc>
        <w:tc>
          <w:tcPr>
            <w:tcW w:w="2568" w:type="dxa"/>
            <w:shd w:val="clear" w:color="auto" w:fill="auto"/>
          </w:tcPr>
          <w:p w:rsidR="006E6115" w:rsidRPr="006E6115" w:rsidRDefault="006E6115" w:rsidP="006E6115">
            <w:pPr>
              <w:pStyle w:val="BodyText"/>
            </w:pPr>
            <w:r w:rsidRPr="006E6115">
              <w:t>28/09/2015 - 31/01/2016</w:t>
            </w:r>
          </w:p>
        </w:tc>
        <w:tc>
          <w:tcPr>
            <w:tcW w:w="1275" w:type="dxa"/>
            <w:shd w:val="clear" w:color="auto" w:fill="auto"/>
          </w:tcPr>
          <w:p w:rsidR="006E6115" w:rsidRPr="006E6115" w:rsidRDefault="006E6115" w:rsidP="006E6115">
            <w:pPr>
              <w:pStyle w:val="BodyText"/>
              <w:jc w:val="right"/>
            </w:pPr>
            <w:r w:rsidRPr="006E6115">
              <w:t>92 420</w:t>
            </w:r>
          </w:p>
        </w:tc>
      </w:tr>
      <w:tr w:rsidR="006E6115" w:rsidRPr="006E6115" w:rsidTr="006E6115">
        <w:trPr>
          <w:trHeight w:hRule="exact" w:val="710"/>
        </w:trPr>
        <w:tc>
          <w:tcPr>
            <w:tcW w:w="1903" w:type="dxa"/>
            <w:shd w:val="clear" w:color="auto" w:fill="auto"/>
          </w:tcPr>
          <w:p w:rsidR="006E6115" w:rsidRPr="006E6115" w:rsidRDefault="006E6115" w:rsidP="006E6115">
            <w:pPr>
              <w:pStyle w:val="BodyText"/>
            </w:pPr>
            <w:r w:rsidRPr="006E6115">
              <w:t>Transearch Pty Ltd</w:t>
            </w:r>
          </w:p>
        </w:tc>
        <w:tc>
          <w:tcPr>
            <w:tcW w:w="1079" w:type="dxa"/>
            <w:shd w:val="clear" w:color="auto" w:fill="auto"/>
          </w:tcPr>
          <w:p w:rsidR="006E6115" w:rsidRPr="006E6115" w:rsidRDefault="006E6115" w:rsidP="006E6115">
            <w:pPr>
              <w:pStyle w:val="BodyText"/>
            </w:pPr>
            <w:r w:rsidRPr="006E6115">
              <w:t>Vic</w:t>
            </w:r>
          </w:p>
        </w:tc>
        <w:tc>
          <w:tcPr>
            <w:tcW w:w="2819" w:type="dxa"/>
            <w:shd w:val="clear" w:color="auto" w:fill="auto"/>
          </w:tcPr>
          <w:p w:rsidR="006E6115" w:rsidRPr="006E6115" w:rsidRDefault="006E6115" w:rsidP="006E6115">
            <w:pPr>
              <w:pStyle w:val="BodyText"/>
            </w:pPr>
            <w:r w:rsidRPr="006E6115">
              <w:t>Tasmanian Health Service - Revenue Review</w:t>
            </w:r>
          </w:p>
        </w:tc>
        <w:tc>
          <w:tcPr>
            <w:tcW w:w="2568" w:type="dxa"/>
            <w:shd w:val="clear" w:color="auto" w:fill="auto"/>
          </w:tcPr>
          <w:p w:rsidR="006E6115" w:rsidRPr="006E6115" w:rsidRDefault="006E6115" w:rsidP="006E6115">
            <w:pPr>
              <w:pStyle w:val="BodyText"/>
            </w:pPr>
            <w:r w:rsidRPr="006E6115">
              <w:t>21/03/2016 - 05/05/2016</w:t>
            </w:r>
          </w:p>
        </w:tc>
        <w:tc>
          <w:tcPr>
            <w:tcW w:w="1275" w:type="dxa"/>
            <w:shd w:val="clear" w:color="auto" w:fill="auto"/>
          </w:tcPr>
          <w:p w:rsidR="006E6115" w:rsidRPr="006E6115" w:rsidRDefault="006E6115" w:rsidP="006E6115">
            <w:pPr>
              <w:pStyle w:val="BodyText"/>
              <w:jc w:val="right"/>
            </w:pPr>
            <w:r w:rsidRPr="006E6115">
              <w:t>55 000</w:t>
            </w:r>
          </w:p>
        </w:tc>
      </w:tr>
    </w:tbl>
    <w:p w:rsidR="006E6115" w:rsidRDefault="006E6115" w:rsidP="006E6115">
      <w:pPr>
        <w:pStyle w:val="BodyText"/>
      </w:pPr>
    </w:p>
    <w:p w:rsidR="006E6115" w:rsidRDefault="006E6115" w:rsidP="006E6115">
      <w:pPr>
        <w:pStyle w:val="BodyText"/>
      </w:pPr>
      <w:r>
        <w:t>Notes:</w:t>
      </w:r>
    </w:p>
    <w:p w:rsidR="006E6115" w:rsidRPr="006E6115" w:rsidRDefault="006E6115" w:rsidP="00103528">
      <w:pPr>
        <w:pStyle w:val="BodyText"/>
        <w:numPr>
          <w:ilvl w:val="0"/>
          <w:numId w:val="38"/>
        </w:numPr>
      </w:pPr>
      <w:r w:rsidRPr="006E6115">
        <w:t>Where an overarching procurement process exists (for example Common Use Contracts and Agency Panel arrangements) individual engagements are not reported.</w:t>
      </w:r>
    </w:p>
    <w:p w:rsidR="006E6115" w:rsidRDefault="006E6115" w:rsidP="00103528">
      <w:pPr>
        <w:pStyle w:val="BodyText"/>
        <w:numPr>
          <w:ilvl w:val="0"/>
          <w:numId w:val="38"/>
        </w:numPr>
      </w:pPr>
      <w:r w:rsidRPr="006E6115">
        <w:t>All values exclude GST.</w:t>
      </w:r>
    </w:p>
    <w:p w:rsidR="009238CA" w:rsidRDefault="009238CA" w:rsidP="006E6115">
      <w:pPr>
        <w:pStyle w:val="Heading4"/>
      </w:pPr>
    </w:p>
    <w:p w:rsidR="006E6115" w:rsidRPr="006E6115" w:rsidRDefault="006E6115" w:rsidP="006E6115">
      <w:pPr>
        <w:pStyle w:val="Heading4"/>
      </w:pPr>
      <w:r w:rsidRPr="006E6115">
        <w:t>Table 3 - Contracts Awarded</w:t>
      </w:r>
    </w:p>
    <w:p w:rsidR="006E6115" w:rsidRPr="006E6115" w:rsidRDefault="006E6115" w:rsidP="006E6115">
      <w:pPr>
        <w:pStyle w:val="BodyText"/>
      </w:pPr>
      <w:r w:rsidRPr="006E6115">
        <w:t>The following table provides information on contracts awarded in the 2015-16 financial year with a value of</w:t>
      </w:r>
    </w:p>
    <w:p w:rsidR="006E6115" w:rsidRPr="006E6115" w:rsidRDefault="006E6115" w:rsidP="006E6115">
      <w:pPr>
        <w:pStyle w:val="BodyText"/>
      </w:pPr>
      <w:r w:rsidRPr="006E6115">
        <w:t>$50 000 or over and excludes consultancy contracts.</w:t>
      </w:r>
    </w:p>
    <w:tbl>
      <w:tblPr>
        <w:tblStyle w:val="TableGrid"/>
        <w:tblW w:w="0" w:type="auto"/>
        <w:tblLook w:val="04A0" w:firstRow="1" w:lastRow="0" w:firstColumn="1" w:lastColumn="0" w:noHBand="0" w:noVBand="1"/>
        <w:tblCaption w:val="Table 3: Contracts Awarded"/>
      </w:tblPr>
      <w:tblGrid>
        <w:gridCol w:w="2056"/>
        <w:gridCol w:w="2056"/>
        <w:gridCol w:w="2056"/>
        <w:gridCol w:w="2056"/>
        <w:gridCol w:w="2057"/>
      </w:tblGrid>
      <w:tr w:rsidR="009238CA" w:rsidRPr="00D17CA8" w:rsidTr="00D17CA8">
        <w:trPr>
          <w:tblHeader/>
        </w:trPr>
        <w:tc>
          <w:tcPr>
            <w:tcW w:w="2056" w:type="dxa"/>
          </w:tcPr>
          <w:p w:rsidR="009238CA" w:rsidRPr="00D17CA8" w:rsidRDefault="009238CA" w:rsidP="006E6115">
            <w:pPr>
              <w:pStyle w:val="BodyText"/>
              <w:rPr>
                <w:b/>
                <w:sz w:val="20"/>
                <w:szCs w:val="20"/>
              </w:rPr>
            </w:pPr>
            <w:r w:rsidRPr="00D17CA8">
              <w:rPr>
                <w:b/>
                <w:sz w:val="20"/>
                <w:szCs w:val="20"/>
              </w:rPr>
              <w:t>Contractor Name</w:t>
            </w:r>
          </w:p>
        </w:tc>
        <w:tc>
          <w:tcPr>
            <w:tcW w:w="2056" w:type="dxa"/>
          </w:tcPr>
          <w:p w:rsidR="009238CA" w:rsidRPr="00D17CA8" w:rsidRDefault="009238CA" w:rsidP="006E6115">
            <w:pPr>
              <w:pStyle w:val="BodyText"/>
              <w:rPr>
                <w:b/>
                <w:sz w:val="20"/>
                <w:szCs w:val="20"/>
              </w:rPr>
            </w:pPr>
            <w:r w:rsidRPr="00D17CA8">
              <w:rPr>
                <w:b/>
                <w:sz w:val="20"/>
                <w:szCs w:val="20"/>
              </w:rPr>
              <w:t>Location</w:t>
            </w:r>
          </w:p>
        </w:tc>
        <w:tc>
          <w:tcPr>
            <w:tcW w:w="2056" w:type="dxa"/>
          </w:tcPr>
          <w:p w:rsidR="009238CA" w:rsidRPr="00D17CA8" w:rsidRDefault="009238CA" w:rsidP="006E6115">
            <w:pPr>
              <w:pStyle w:val="BodyText"/>
              <w:rPr>
                <w:b/>
                <w:sz w:val="20"/>
                <w:szCs w:val="20"/>
              </w:rPr>
            </w:pPr>
            <w:r w:rsidRPr="00D17CA8">
              <w:rPr>
                <w:b/>
                <w:sz w:val="20"/>
                <w:szCs w:val="20"/>
              </w:rPr>
              <w:t>Contract Description</w:t>
            </w:r>
          </w:p>
        </w:tc>
        <w:tc>
          <w:tcPr>
            <w:tcW w:w="2056" w:type="dxa"/>
          </w:tcPr>
          <w:p w:rsidR="009238CA" w:rsidRPr="00D17CA8" w:rsidRDefault="009238CA" w:rsidP="006E6115">
            <w:pPr>
              <w:pStyle w:val="BodyText"/>
              <w:rPr>
                <w:b/>
                <w:sz w:val="20"/>
                <w:szCs w:val="20"/>
              </w:rPr>
            </w:pPr>
            <w:r w:rsidRPr="00D17CA8">
              <w:rPr>
                <w:b/>
                <w:sz w:val="20"/>
                <w:szCs w:val="20"/>
              </w:rPr>
              <w:t>Period of Contract</w:t>
            </w:r>
          </w:p>
        </w:tc>
        <w:tc>
          <w:tcPr>
            <w:tcW w:w="2057" w:type="dxa"/>
          </w:tcPr>
          <w:p w:rsidR="009238CA" w:rsidRPr="00D17CA8" w:rsidRDefault="009238CA" w:rsidP="009F2A6F">
            <w:pPr>
              <w:pStyle w:val="BodyText"/>
              <w:jc w:val="right"/>
              <w:rPr>
                <w:b/>
                <w:sz w:val="20"/>
                <w:szCs w:val="20"/>
              </w:rPr>
            </w:pPr>
            <w:r w:rsidRPr="00D17CA8">
              <w:rPr>
                <w:b/>
                <w:sz w:val="20"/>
                <w:szCs w:val="20"/>
              </w:rPr>
              <w:t>Total Value $</w:t>
            </w:r>
          </w:p>
        </w:tc>
      </w:tr>
      <w:tr w:rsidR="009238CA" w:rsidRPr="009F2A6F" w:rsidTr="009238CA">
        <w:tc>
          <w:tcPr>
            <w:tcW w:w="2056" w:type="dxa"/>
          </w:tcPr>
          <w:p w:rsidR="009238CA" w:rsidRPr="009F2A6F" w:rsidRDefault="009238CA" w:rsidP="006E6115">
            <w:pPr>
              <w:pStyle w:val="BodyText"/>
              <w:rPr>
                <w:sz w:val="20"/>
                <w:szCs w:val="20"/>
              </w:rPr>
            </w:pPr>
            <w:r w:rsidRPr="009F2A6F">
              <w:rPr>
                <w:sz w:val="20"/>
                <w:szCs w:val="20"/>
              </w:rPr>
              <w:t>Abbott Australasia Pty Ltd</w:t>
            </w:r>
          </w:p>
        </w:tc>
        <w:tc>
          <w:tcPr>
            <w:tcW w:w="2056" w:type="dxa"/>
          </w:tcPr>
          <w:p w:rsidR="009238CA" w:rsidRPr="009F2A6F" w:rsidRDefault="009238CA" w:rsidP="006E6115">
            <w:pPr>
              <w:pStyle w:val="BodyText"/>
              <w:rPr>
                <w:sz w:val="20"/>
                <w:szCs w:val="20"/>
              </w:rPr>
            </w:pPr>
            <w:r w:rsidRPr="009F2A6F">
              <w:rPr>
                <w:sz w:val="20"/>
                <w:szCs w:val="20"/>
              </w:rPr>
              <w:t>NSW</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Nutritional Feeding</w:t>
            </w:r>
          </w:p>
          <w:p w:rsidR="009238CA" w:rsidRPr="009F2A6F" w:rsidRDefault="009238CA" w:rsidP="009238CA">
            <w:pPr>
              <w:pStyle w:val="BodyText"/>
              <w:rPr>
                <w:sz w:val="20"/>
                <w:szCs w:val="20"/>
              </w:rPr>
            </w:pPr>
            <w:r w:rsidRPr="009F2A6F">
              <w:rPr>
                <w:sz w:val="20"/>
                <w:szCs w:val="20"/>
              </w:rPr>
              <w:t>Products and Equipment</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01/06/2016 - 31/05/2019 </w:t>
            </w:r>
          </w:p>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238CA" w:rsidRPr="009F2A6F" w:rsidRDefault="009238CA" w:rsidP="009238CA">
            <w:pPr>
              <w:pStyle w:val="BodyText"/>
              <w:rPr>
                <w:sz w:val="20"/>
                <w:szCs w:val="20"/>
              </w:rPr>
            </w:pPr>
            <w:r w:rsidRPr="009F2A6F">
              <w:rPr>
                <w:sz w:val="20"/>
                <w:szCs w:val="20"/>
              </w:rPr>
              <w:t>01/06/2019 - 31/05/2023</w:t>
            </w:r>
          </w:p>
        </w:tc>
        <w:tc>
          <w:tcPr>
            <w:tcW w:w="2057" w:type="dxa"/>
          </w:tcPr>
          <w:p w:rsidR="009238CA" w:rsidRPr="009F2A6F" w:rsidRDefault="009238CA" w:rsidP="009F2A6F">
            <w:pPr>
              <w:pStyle w:val="BodyText"/>
              <w:jc w:val="right"/>
              <w:rPr>
                <w:sz w:val="20"/>
                <w:szCs w:val="20"/>
              </w:rPr>
            </w:pPr>
            <w:r w:rsidRPr="009F2A6F">
              <w:rPr>
                <w:sz w:val="20"/>
                <w:szCs w:val="20"/>
              </w:rPr>
              <w:t>0</w:t>
            </w:r>
          </w:p>
          <w:p w:rsidR="009238CA" w:rsidRPr="009F2A6F" w:rsidRDefault="009238CA" w:rsidP="009F2A6F">
            <w:pPr>
              <w:pStyle w:val="BodyText"/>
              <w:jc w:val="right"/>
              <w:rPr>
                <w:sz w:val="20"/>
                <w:szCs w:val="20"/>
              </w:rPr>
            </w:pPr>
            <w:r w:rsidRPr="009F2A6F">
              <w:rPr>
                <w:sz w:val="20"/>
                <w:szCs w:val="20"/>
              </w:rPr>
              <w:t>0</w:t>
            </w:r>
          </w:p>
        </w:tc>
      </w:tr>
      <w:tr w:rsidR="009238CA" w:rsidRPr="009F2A6F" w:rsidTr="009238CA">
        <w:tc>
          <w:tcPr>
            <w:tcW w:w="2056" w:type="dxa"/>
          </w:tcPr>
          <w:p w:rsidR="009238CA" w:rsidRPr="009F2A6F" w:rsidRDefault="009238CA" w:rsidP="006E6115">
            <w:pPr>
              <w:pStyle w:val="BodyText"/>
              <w:rPr>
                <w:sz w:val="20"/>
                <w:szCs w:val="20"/>
              </w:rPr>
            </w:pPr>
            <w:r w:rsidRPr="009F2A6F">
              <w:rPr>
                <w:sz w:val="20"/>
                <w:szCs w:val="20"/>
              </w:rPr>
              <w:t>Advanced Lifecare Pty Ltd</w:t>
            </w:r>
          </w:p>
        </w:tc>
        <w:tc>
          <w:tcPr>
            <w:tcW w:w="2056" w:type="dxa"/>
          </w:tcPr>
          <w:p w:rsidR="009238CA" w:rsidRPr="009F2A6F" w:rsidRDefault="009238CA" w:rsidP="006E6115">
            <w:pPr>
              <w:pStyle w:val="BodyText"/>
              <w:rPr>
                <w:sz w:val="20"/>
                <w:szCs w:val="20"/>
              </w:rPr>
            </w:pPr>
            <w:r w:rsidRPr="009F2A6F">
              <w:rPr>
                <w:sz w:val="20"/>
                <w:szCs w:val="20"/>
              </w:rPr>
              <w:t>Tas</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9238CA" w:rsidRPr="009F2A6F" w:rsidRDefault="009238CA" w:rsidP="009238CA">
            <w:pPr>
              <w:pStyle w:val="BodyText"/>
              <w:rPr>
                <w:sz w:val="20"/>
                <w:szCs w:val="20"/>
              </w:rPr>
            </w:pPr>
            <w:r w:rsidRPr="009F2A6F">
              <w:rPr>
                <w:sz w:val="20"/>
                <w:szCs w:val="20"/>
              </w:rPr>
              <w:t>accessories and services</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238CA" w:rsidRPr="009F2A6F" w:rsidRDefault="009238CA" w:rsidP="009238CA">
            <w:pPr>
              <w:pStyle w:val="BodyText"/>
              <w:rPr>
                <w:sz w:val="20"/>
                <w:szCs w:val="20"/>
              </w:rPr>
            </w:pPr>
            <w:r w:rsidRPr="009F2A6F">
              <w:rPr>
                <w:sz w:val="20"/>
                <w:szCs w:val="20"/>
              </w:rPr>
              <w:t>01/11/2018 - 31/10/2020</w:t>
            </w:r>
          </w:p>
        </w:tc>
        <w:tc>
          <w:tcPr>
            <w:tcW w:w="2057" w:type="dxa"/>
          </w:tcPr>
          <w:p w:rsidR="009238CA" w:rsidRPr="009F2A6F" w:rsidRDefault="009238CA" w:rsidP="009F2A6F">
            <w:pPr>
              <w:pStyle w:val="BodyText"/>
              <w:jc w:val="right"/>
              <w:rPr>
                <w:sz w:val="20"/>
                <w:szCs w:val="20"/>
              </w:rPr>
            </w:pPr>
            <w:r w:rsidRPr="009F2A6F">
              <w:rPr>
                <w:sz w:val="20"/>
                <w:szCs w:val="20"/>
              </w:rPr>
              <w:t>0</w:t>
            </w:r>
          </w:p>
          <w:p w:rsidR="009238CA" w:rsidRPr="009F2A6F" w:rsidRDefault="009238CA" w:rsidP="009F2A6F">
            <w:pPr>
              <w:pStyle w:val="BodyText"/>
              <w:jc w:val="right"/>
              <w:rPr>
                <w:sz w:val="20"/>
                <w:szCs w:val="20"/>
              </w:rPr>
            </w:pPr>
            <w:r w:rsidRPr="009F2A6F">
              <w:rPr>
                <w:sz w:val="20"/>
                <w:szCs w:val="20"/>
              </w:rPr>
              <w:t>0</w:t>
            </w:r>
          </w:p>
        </w:tc>
      </w:tr>
      <w:tr w:rsidR="009238CA" w:rsidRPr="009F2A6F" w:rsidTr="009238CA">
        <w:tc>
          <w:tcPr>
            <w:tcW w:w="2056" w:type="dxa"/>
          </w:tcPr>
          <w:p w:rsidR="009238CA" w:rsidRPr="009F2A6F" w:rsidRDefault="009238CA" w:rsidP="006E6115">
            <w:pPr>
              <w:pStyle w:val="BodyText"/>
              <w:rPr>
                <w:sz w:val="20"/>
                <w:szCs w:val="20"/>
              </w:rPr>
            </w:pPr>
            <w:r w:rsidRPr="009F2A6F">
              <w:rPr>
                <w:sz w:val="20"/>
                <w:szCs w:val="20"/>
              </w:rPr>
              <w:t>Aidacare Pty Ltd</w:t>
            </w:r>
          </w:p>
        </w:tc>
        <w:tc>
          <w:tcPr>
            <w:tcW w:w="2056" w:type="dxa"/>
          </w:tcPr>
          <w:p w:rsidR="009238CA" w:rsidRPr="009F2A6F" w:rsidRDefault="009238CA" w:rsidP="006E6115">
            <w:pPr>
              <w:pStyle w:val="BodyText"/>
              <w:rPr>
                <w:sz w:val="20"/>
                <w:szCs w:val="20"/>
              </w:rPr>
            </w:pPr>
            <w:r w:rsidRPr="009F2A6F">
              <w:rPr>
                <w:sz w:val="20"/>
                <w:szCs w:val="20"/>
              </w:rPr>
              <w:t>Tas</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9238CA" w:rsidRPr="009F2A6F" w:rsidRDefault="009238CA" w:rsidP="009238CA">
            <w:pPr>
              <w:pStyle w:val="BodyText"/>
              <w:rPr>
                <w:sz w:val="20"/>
                <w:szCs w:val="20"/>
              </w:rPr>
            </w:pPr>
            <w:r w:rsidRPr="009F2A6F">
              <w:rPr>
                <w:sz w:val="20"/>
                <w:szCs w:val="20"/>
              </w:rPr>
              <w:t>accessories and services</w:t>
            </w:r>
          </w:p>
        </w:tc>
        <w:tc>
          <w:tcPr>
            <w:tcW w:w="2056" w:type="dxa"/>
          </w:tcPr>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9238CA" w:rsidRPr="009F2A6F" w:rsidRDefault="009238CA" w:rsidP="009238CA">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238CA" w:rsidRPr="009F2A6F" w:rsidRDefault="009238CA" w:rsidP="009238CA">
            <w:pPr>
              <w:pStyle w:val="BodyText"/>
              <w:rPr>
                <w:sz w:val="20"/>
                <w:szCs w:val="20"/>
              </w:rPr>
            </w:pPr>
            <w:r w:rsidRPr="009F2A6F">
              <w:rPr>
                <w:sz w:val="20"/>
                <w:szCs w:val="20"/>
              </w:rPr>
              <w:t>01/11/2018 - 31/10/2020</w:t>
            </w:r>
          </w:p>
        </w:tc>
        <w:tc>
          <w:tcPr>
            <w:tcW w:w="2057" w:type="dxa"/>
          </w:tcPr>
          <w:p w:rsidR="009238CA" w:rsidRPr="009F2A6F" w:rsidRDefault="009238CA" w:rsidP="009F2A6F">
            <w:pPr>
              <w:pStyle w:val="BodyText"/>
              <w:jc w:val="right"/>
              <w:rPr>
                <w:sz w:val="20"/>
                <w:szCs w:val="20"/>
              </w:rPr>
            </w:pPr>
            <w:r w:rsidRPr="009F2A6F">
              <w:rPr>
                <w:sz w:val="20"/>
                <w:szCs w:val="20"/>
              </w:rPr>
              <w:t>0</w:t>
            </w:r>
          </w:p>
          <w:p w:rsidR="009238CA" w:rsidRPr="009F2A6F" w:rsidRDefault="009238CA" w:rsidP="009F2A6F">
            <w:pPr>
              <w:pStyle w:val="BodyText"/>
              <w:jc w:val="right"/>
              <w:rPr>
                <w:sz w:val="20"/>
                <w:szCs w:val="20"/>
              </w:rPr>
            </w:pPr>
            <w:r w:rsidRPr="009F2A6F">
              <w:rPr>
                <w:sz w:val="20"/>
                <w:szCs w:val="20"/>
              </w:rPr>
              <w:t>0</w:t>
            </w:r>
          </w:p>
        </w:tc>
      </w:tr>
      <w:tr w:rsidR="009238CA" w:rsidRPr="009F2A6F" w:rsidTr="009238CA">
        <w:tc>
          <w:tcPr>
            <w:tcW w:w="2056" w:type="dxa"/>
          </w:tcPr>
          <w:p w:rsidR="009238CA" w:rsidRPr="009F2A6F" w:rsidRDefault="00652E14" w:rsidP="006E6115">
            <w:pPr>
              <w:pStyle w:val="BodyText"/>
              <w:rPr>
                <w:sz w:val="20"/>
                <w:szCs w:val="20"/>
              </w:rPr>
            </w:pPr>
            <w:r w:rsidRPr="009F2A6F">
              <w:rPr>
                <w:sz w:val="20"/>
                <w:szCs w:val="20"/>
              </w:rPr>
              <w:t>AlphaXRT Ltd</w:t>
            </w:r>
          </w:p>
        </w:tc>
        <w:tc>
          <w:tcPr>
            <w:tcW w:w="2056" w:type="dxa"/>
          </w:tcPr>
          <w:p w:rsidR="009238CA"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w:t>
            </w:r>
          </w:p>
          <w:p w:rsidR="009238CA" w:rsidRPr="009F2A6F" w:rsidRDefault="00652E14" w:rsidP="00652E14">
            <w:pPr>
              <w:pStyle w:val="BodyText"/>
              <w:rPr>
                <w:sz w:val="20"/>
                <w:szCs w:val="20"/>
              </w:rPr>
            </w:pPr>
            <w:r w:rsidRPr="009F2A6F">
              <w:rPr>
                <w:sz w:val="20"/>
                <w:szCs w:val="20"/>
              </w:rPr>
              <w:t>- Immobilisation Equipment</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21/09/2015</w:t>
            </w:r>
          </w:p>
          <w:p w:rsidR="009238CA" w:rsidRPr="009F2A6F" w:rsidRDefault="00652E14" w:rsidP="00652E14">
            <w:pPr>
              <w:pStyle w:val="BodyText"/>
              <w:rPr>
                <w:sz w:val="20"/>
                <w:szCs w:val="20"/>
              </w:rPr>
            </w:pPr>
            <w:r w:rsidRPr="009F2A6F">
              <w:rPr>
                <w:sz w:val="20"/>
                <w:szCs w:val="20"/>
              </w:rPr>
              <w:t>(one-off purchase)</w:t>
            </w:r>
          </w:p>
        </w:tc>
        <w:tc>
          <w:tcPr>
            <w:tcW w:w="2057" w:type="dxa"/>
          </w:tcPr>
          <w:p w:rsidR="009238CA" w:rsidRPr="009F2A6F" w:rsidRDefault="00652E14" w:rsidP="009F2A6F">
            <w:pPr>
              <w:pStyle w:val="BodyText"/>
              <w:jc w:val="right"/>
              <w:rPr>
                <w:sz w:val="20"/>
                <w:szCs w:val="20"/>
              </w:rPr>
            </w:pPr>
            <w:r w:rsidRPr="009F2A6F">
              <w:rPr>
                <w:sz w:val="20"/>
                <w:szCs w:val="20"/>
              </w:rPr>
              <w:t>30 090</w:t>
            </w:r>
          </w:p>
        </w:tc>
      </w:tr>
      <w:tr w:rsidR="009238CA" w:rsidRPr="009F2A6F" w:rsidTr="009238CA">
        <w:tc>
          <w:tcPr>
            <w:tcW w:w="2056" w:type="dxa"/>
          </w:tcPr>
          <w:p w:rsidR="009238CA" w:rsidRPr="009F2A6F" w:rsidRDefault="00652E14" w:rsidP="006E6115">
            <w:pPr>
              <w:pStyle w:val="BodyText"/>
              <w:rPr>
                <w:sz w:val="20"/>
                <w:szCs w:val="20"/>
              </w:rPr>
            </w:pPr>
            <w:r w:rsidRPr="009F2A6F">
              <w:rPr>
                <w:sz w:val="20"/>
                <w:szCs w:val="20"/>
              </w:rPr>
              <w:t>AlphaXRT Ltd</w:t>
            </w:r>
          </w:p>
        </w:tc>
        <w:tc>
          <w:tcPr>
            <w:tcW w:w="2056" w:type="dxa"/>
          </w:tcPr>
          <w:p w:rsidR="009238CA"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 -</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Quality Assurance Systems for</w:t>
            </w:r>
          </w:p>
          <w:p w:rsidR="009238CA" w:rsidRPr="009F2A6F" w:rsidRDefault="00652E14" w:rsidP="00652E14">
            <w:pPr>
              <w:pStyle w:val="BodyText"/>
              <w:rPr>
                <w:sz w:val="20"/>
                <w:szCs w:val="20"/>
              </w:rPr>
            </w:pPr>
            <w:r w:rsidRPr="009F2A6F">
              <w:rPr>
                <w:sz w:val="20"/>
                <w:szCs w:val="20"/>
              </w:rPr>
              <w:t>VMAT and IMRT Treatments</w:t>
            </w:r>
          </w:p>
        </w:tc>
        <w:tc>
          <w:tcPr>
            <w:tcW w:w="2056" w:type="dxa"/>
          </w:tcPr>
          <w:p w:rsidR="009238CA" w:rsidRPr="009F2A6F" w:rsidRDefault="00652E14" w:rsidP="006E6115">
            <w:pPr>
              <w:pStyle w:val="BodyText"/>
              <w:rPr>
                <w:sz w:val="20"/>
                <w:szCs w:val="20"/>
              </w:rPr>
            </w:pPr>
            <w:r w:rsidRPr="009F2A6F">
              <w:rPr>
                <w:sz w:val="20"/>
                <w:szCs w:val="20"/>
              </w:rPr>
              <w:lastRenderedPageBreak/>
              <w:t xml:space="preserve">07/10/2015 - </w:t>
            </w:r>
            <w:r w:rsidRPr="009F2A6F">
              <w:rPr>
                <w:sz w:val="20"/>
                <w:szCs w:val="20"/>
              </w:rPr>
              <w:lastRenderedPageBreak/>
              <w:t>06/10/2021</w:t>
            </w:r>
          </w:p>
        </w:tc>
        <w:tc>
          <w:tcPr>
            <w:tcW w:w="2057" w:type="dxa"/>
          </w:tcPr>
          <w:p w:rsidR="009238CA" w:rsidRPr="009F2A6F" w:rsidRDefault="00652E14" w:rsidP="009F2A6F">
            <w:pPr>
              <w:pStyle w:val="BodyText"/>
              <w:jc w:val="right"/>
              <w:rPr>
                <w:sz w:val="20"/>
                <w:szCs w:val="20"/>
              </w:rPr>
            </w:pPr>
            <w:r w:rsidRPr="009F2A6F">
              <w:rPr>
                <w:sz w:val="20"/>
                <w:szCs w:val="20"/>
              </w:rPr>
              <w:lastRenderedPageBreak/>
              <w:t>256 560</w:t>
            </w:r>
          </w:p>
        </w:tc>
      </w:tr>
      <w:tr w:rsidR="009238CA" w:rsidRPr="009F2A6F" w:rsidTr="009238CA">
        <w:tc>
          <w:tcPr>
            <w:tcW w:w="2056" w:type="dxa"/>
          </w:tcPr>
          <w:p w:rsidR="009238CA" w:rsidRPr="009F2A6F" w:rsidRDefault="00652E14" w:rsidP="006E6115">
            <w:pPr>
              <w:pStyle w:val="BodyText"/>
              <w:rPr>
                <w:sz w:val="20"/>
                <w:szCs w:val="20"/>
              </w:rPr>
            </w:pPr>
            <w:r w:rsidRPr="009F2A6F">
              <w:rPr>
                <w:sz w:val="20"/>
                <w:szCs w:val="20"/>
              </w:rPr>
              <w:lastRenderedPageBreak/>
              <w:t>Atlas Copco Australia Pty Ltd</w:t>
            </w:r>
          </w:p>
        </w:tc>
        <w:tc>
          <w:tcPr>
            <w:tcW w:w="2056" w:type="dxa"/>
          </w:tcPr>
          <w:p w:rsidR="009238CA" w:rsidRPr="009F2A6F" w:rsidRDefault="00652E14" w:rsidP="006E6115">
            <w:pPr>
              <w:pStyle w:val="BodyText"/>
              <w:rPr>
                <w:sz w:val="20"/>
                <w:szCs w:val="20"/>
              </w:rPr>
            </w:pPr>
            <w:r w:rsidRPr="009F2A6F">
              <w:rPr>
                <w:sz w:val="20"/>
                <w:szCs w:val="20"/>
              </w:rPr>
              <w:t>Tas</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LGH - Maintenance of</w:t>
            </w:r>
          </w:p>
          <w:p w:rsidR="009238CA" w:rsidRPr="009F2A6F" w:rsidRDefault="00652E14" w:rsidP="00652E14">
            <w:pPr>
              <w:pStyle w:val="BodyText"/>
              <w:rPr>
                <w:sz w:val="20"/>
                <w:szCs w:val="20"/>
              </w:rPr>
            </w:pPr>
            <w:r w:rsidRPr="009F2A6F">
              <w:rPr>
                <w:sz w:val="20"/>
                <w:szCs w:val="20"/>
              </w:rPr>
              <w:t>Medical Air Compressors</w:t>
            </w:r>
          </w:p>
        </w:tc>
        <w:tc>
          <w:tcPr>
            <w:tcW w:w="2056" w:type="dxa"/>
          </w:tcPr>
          <w:p w:rsidR="009238CA" w:rsidRPr="009F2A6F" w:rsidRDefault="00652E14" w:rsidP="006E6115">
            <w:pPr>
              <w:pStyle w:val="BodyText"/>
              <w:rPr>
                <w:sz w:val="20"/>
                <w:szCs w:val="20"/>
              </w:rPr>
            </w:pPr>
            <w:r w:rsidRPr="009F2A6F">
              <w:rPr>
                <w:sz w:val="20"/>
                <w:szCs w:val="20"/>
              </w:rPr>
              <w:t>05/11/2015 - 04/11/2020</w:t>
            </w:r>
          </w:p>
        </w:tc>
        <w:tc>
          <w:tcPr>
            <w:tcW w:w="2057" w:type="dxa"/>
          </w:tcPr>
          <w:p w:rsidR="009238CA" w:rsidRPr="009F2A6F" w:rsidRDefault="00652E14" w:rsidP="009F2A6F">
            <w:pPr>
              <w:pStyle w:val="BodyText"/>
              <w:jc w:val="right"/>
              <w:rPr>
                <w:sz w:val="20"/>
                <w:szCs w:val="20"/>
              </w:rPr>
            </w:pPr>
            <w:r w:rsidRPr="009F2A6F">
              <w:rPr>
                <w:sz w:val="20"/>
                <w:szCs w:val="20"/>
              </w:rPr>
              <w:t>114 850</w:t>
            </w:r>
          </w:p>
        </w:tc>
      </w:tr>
      <w:tr w:rsidR="009238CA" w:rsidRPr="009F2A6F" w:rsidTr="009238CA">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Australian Linen Supply Pty Ltd</w:t>
            </w:r>
          </w:p>
          <w:p w:rsidR="009238CA" w:rsidRPr="009F2A6F" w:rsidRDefault="00652E14" w:rsidP="00652E14">
            <w:pPr>
              <w:pStyle w:val="BodyText"/>
              <w:rPr>
                <w:sz w:val="20"/>
                <w:szCs w:val="20"/>
              </w:rPr>
            </w:pPr>
            <w:r w:rsidRPr="009F2A6F">
              <w:rPr>
                <w:sz w:val="20"/>
                <w:szCs w:val="20"/>
              </w:rPr>
              <w:t>t/a Confident Care Products</w:t>
            </w:r>
          </w:p>
        </w:tc>
        <w:tc>
          <w:tcPr>
            <w:tcW w:w="2056" w:type="dxa"/>
          </w:tcPr>
          <w:p w:rsidR="009238CA"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9238CA" w:rsidRPr="009F2A6F" w:rsidRDefault="00652E14" w:rsidP="00652E14">
            <w:pPr>
              <w:pStyle w:val="BodyText"/>
              <w:rPr>
                <w:sz w:val="20"/>
                <w:szCs w:val="20"/>
              </w:rPr>
            </w:pPr>
            <w:r w:rsidRPr="009F2A6F">
              <w:rPr>
                <w:sz w:val="20"/>
                <w:szCs w:val="20"/>
              </w:rPr>
              <w:t>accessories and services</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238CA" w:rsidRPr="009F2A6F" w:rsidRDefault="00652E14" w:rsidP="00652E14">
            <w:pPr>
              <w:pStyle w:val="BodyText"/>
              <w:rPr>
                <w:sz w:val="20"/>
                <w:szCs w:val="20"/>
              </w:rPr>
            </w:pPr>
            <w:r w:rsidRPr="009F2A6F">
              <w:rPr>
                <w:sz w:val="20"/>
                <w:szCs w:val="20"/>
              </w:rPr>
              <w:t>01/11/2018 - 31/10/2020</w:t>
            </w:r>
          </w:p>
        </w:tc>
        <w:tc>
          <w:tcPr>
            <w:tcW w:w="2057" w:type="dxa"/>
          </w:tcPr>
          <w:p w:rsidR="009238CA" w:rsidRPr="009F2A6F" w:rsidRDefault="00652E14" w:rsidP="009F2A6F">
            <w:pPr>
              <w:pStyle w:val="BodyText"/>
              <w:jc w:val="right"/>
              <w:rPr>
                <w:sz w:val="20"/>
                <w:szCs w:val="20"/>
              </w:rPr>
            </w:pPr>
            <w:r w:rsidRPr="009F2A6F">
              <w:rPr>
                <w:sz w:val="20"/>
                <w:szCs w:val="20"/>
              </w:rPr>
              <w:t>0</w:t>
            </w:r>
          </w:p>
          <w:p w:rsidR="00652E14" w:rsidRPr="009F2A6F" w:rsidRDefault="00652E14" w:rsidP="009F2A6F">
            <w:pPr>
              <w:pStyle w:val="BodyText"/>
              <w:jc w:val="right"/>
              <w:rPr>
                <w:sz w:val="20"/>
                <w:szCs w:val="20"/>
              </w:rPr>
            </w:pPr>
            <w:r w:rsidRPr="009F2A6F">
              <w:rPr>
                <w:sz w:val="20"/>
                <w:szCs w:val="20"/>
              </w:rPr>
              <w:t>0</w:t>
            </w:r>
          </w:p>
        </w:tc>
      </w:tr>
      <w:tr w:rsidR="00652E14" w:rsidRPr="009F2A6F" w:rsidTr="009238CA">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Baptcare Limited</w:t>
            </w:r>
          </w:p>
        </w:tc>
        <w:tc>
          <w:tcPr>
            <w:tcW w:w="2056" w:type="dxa"/>
          </w:tcPr>
          <w:p w:rsidR="00652E14" w:rsidRPr="009F2A6F" w:rsidRDefault="00652E14" w:rsidP="006E6115">
            <w:pPr>
              <w:pStyle w:val="BodyText"/>
              <w:rPr>
                <w:sz w:val="20"/>
                <w:szCs w:val="20"/>
              </w:rPr>
            </w:pPr>
            <w:r w:rsidRPr="009F2A6F">
              <w:rPr>
                <w:sz w:val="20"/>
                <w:szCs w:val="20"/>
              </w:rPr>
              <w:t>Vic #</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Transition Care Program</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Flexible Residential and</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Community Packages</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01/07/2016 - 31/12/2016</w:t>
            </w:r>
          </w:p>
        </w:tc>
        <w:tc>
          <w:tcPr>
            <w:tcW w:w="2057" w:type="dxa"/>
          </w:tcPr>
          <w:p w:rsidR="00652E14" w:rsidRPr="009F2A6F" w:rsidRDefault="00652E14" w:rsidP="009F2A6F">
            <w:pPr>
              <w:pStyle w:val="BodyText"/>
              <w:jc w:val="right"/>
              <w:rPr>
                <w:sz w:val="20"/>
                <w:szCs w:val="20"/>
              </w:rPr>
            </w:pPr>
            <w:r w:rsidRPr="009F2A6F">
              <w:rPr>
                <w:sz w:val="20"/>
                <w:szCs w:val="20"/>
              </w:rPr>
              <w:t>357 292</w:t>
            </w:r>
          </w:p>
        </w:tc>
      </w:tr>
      <w:tr w:rsidR="00652E14" w:rsidRPr="009F2A6F" w:rsidTr="009238CA">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Baxter Healthcare Pty Ltd</w:t>
            </w:r>
          </w:p>
        </w:tc>
        <w:tc>
          <w:tcPr>
            <w:tcW w:w="2056" w:type="dxa"/>
          </w:tcPr>
          <w:p w:rsidR="00652E14"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Reverse Osmosis System</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01/06/2016</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652E14" w:rsidRPr="009F2A6F" w:rsidRDefault="00652E14" w:rsidP="009F2A6F">
            <w:pPr>
              <w:pStyle w:val="BodyText"/>
              <w:jc w:val="right"/>
              <w:rPr>
                <w:sz w:val="20"/>
                <w:szCs w:val="20"/>
              </w:rPr>
            </w:pPr>
            <w:r w:rsidRPr="009F2A6F">
              <w:rPr>
                <w:sz w:val="20"/>
                <w:szCs w:val="20"/>
              </w:rPr>
              <w:t>250 000</w:t>
            </w:r>
          </w:p>
        </w:tc>
      </w:tr>
      <w:tr w:rsidR="00652E14" w:rsidRPr="009F2A6F" w:rsidTr="009238CA">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Better Living Care Pty Ltd</w:t>
            </w:r>
          </w:p>
        </w:tc>
        <w:tc>
          <w:tcPr>
            <w:tcW w:w="2056" w:type="dxa"/>
          </w:tcPr>
          <w:p w:rsidR="00652E14"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652E14" w:rsidRPr="009F2A6F" w:rsidRDefault="00652E14" w:rsidP="009F2A6F">
            <w:pPr>
              <w:pStyle w:val="BodyText"/>
              <w:jc w:val="right"/>
              <w:rPr>
                <w:sz w:val="20"/>
                <w:szCs w:val="20"/>
              </w:rPr>
            </w:pPr>
            <w:r w:rsidRPr="009F2A6F">
              <w:rPr>
                <w:sz w:val="20"/>
                <w:szCs w:val="20"/>
              </w:rPr>
              <w:t>0</w:t>
            </w:r>
          </w:p>
          <w:p w:rsidR="00652E14" w:rsidRPr="009F2A6F" w:rsidRDefault="00652E14" w:rsidP="009F2A6F">
            <w:pPr>
              <w:pStyle w:val="BodyText"/>
              <w:jc w:val="right"/>
              <w:rPr>
                <w:sz w:val="20"/>
                <w:szCs w:val="20"/>
              </w:rPr>
            </w:pPr>
            <w:r w:rsidRPr="009F2A6F">
              <w:rPr>
                <w:sz w:val="20"/>
                <w:szCs w:val="20"/>
              </w:rPr>
              <w:t>0</w:t>
            </w:r>
          </w:p>
        </w:tc>
      </w:tr>
      <w:tr w:rsidR="00652E14" w:rsidRPr="009F2A6F" w:rsidTr="009238CA">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Boston Scientific Pty Ltd</w:t>
            </w:r>
          </w:p>
        </w:tc>
        <w:tc>
          <w:tcPr>
            <w:tcW w:w="2056" w:type="dxa"/>
          </w:tcPr>
          <w:p w:rsidR="00652E14" w:rsidRPr="009F2A6F" w:rsidRDefault="00652E14" w:rsidP="006E6115">
            <w:pPr>
              <w:pStyle w:val="BodyText"/>
              <w:rPr>
                <w:sz w:val="20"/>
                <w:szCs w:val="20"/>
              </w:rPr>
            </w:pPr>
            <w:r w:rsidRPr="009F2A6F">
              <w:rPr>
                <w:sz w:val="20"/>
                <w:szCs w:val="20"/>
              </w:rPr>
              <w:t>NSW</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LGH - SpyGlass™ DS Direct</w:t>
            </w:r>
          </w:p>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Visualisation System</w:t>
            </w:r>
          </w:p>
        </w:tc>
        <w:tc>
          <w:tcPr>
            <w:tcW w:w="2056" w:type="dxa"/>
          </w:tcPr>
          <w:p w:rsidR="00652E14" w:rsidRPr="009F2A6F" w:rsidRDefault="00652E14" w:rsidP="00652E14">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01/06/2016 - 31/05/2019</w:t>
            </w:r>
          </w:p>
        </w:tc>
        <w:tc>
          <w:tcPr>
            <w:tcW w:w="2057" w:type="dxa"/>
          </w:tcPr>
          <w:p w:rsidR="00652E14" w:rsidRPr="009F2A6F" w:rsidRDefault="00652E14" w:rsidP="009F2A6F">
            <w:pPr>
              <w:pStyle w:val="BodyText"/>
              <w:jc w:val="right"/>
              <w:rPr>
                <w:sz w:val="20"/>
                <w:szCs w:val="20"/>
              </w:rPr>
            </w:pPr>
            <w:r w:rsidRPr="009F2A6F">
              <w:rPr>
                <w:sz w:val="20"/>
                <w:szCs w:val="20"/>
              </w:rPr>
              <w:t>150 000</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Butler Investment Group Pty</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Ltd t/a Keystone Healthcare</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Supplies</w:t>
            </w:r>
          </w:p>
        </w:tc>
        <w:tc>
          <w:tcPr>
            <w:tcW w:w="2056" w:type="dxa"/>
          </w:tcPr>
          <w:p w:rsidR="002E5D52" w:rsidRPr="009F2A6F" w:rsidRDefault="002E5D52" w:rsidP="006E6115">
            <w:pPr>
              <w:pStyle w:val="BodyText"/>
              <w:rPr>
                <w:sz w:val="20"/>
                <w:szCs w:val="20"/>
              </w:rPr>
            </w:pPr>
            <w:r w:rsidRPr="009F2A6F">
              <w:rPr>
                <w:sz w:val="20"/>
                <w:szCs w:val="20"/>
              </w:rPr>
              <w:t>Vic</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2E5D52" w:rsidRPr="009F2A6F" w:rsidRDefault="002E5D52" w:rsidP="009F2A6F">
            <w:pPr>
              <w:pStyle w:val="BodyText"/>
              <w:jc w:val="right"/>
              <w:rPr>
                <w:sz w:val="20"/>
                <w:szCs w:val="20"/>
              </w:rPr>
            </w:pPr>
            <w:r w:rsidRPr="009F2A6F">
              <w:rPr>
                <w:sz w:val="20"/>
                <w:szCs w:val="20"/>
              </w:rPr>
              <w:t>0</w:t>
            </w:r>
          </w:p>
          <w:p w:rsidR="002E5D52" w:rsidRPr="009F2A6F" w:rsidRDefault="002E5D52" w:rsidP="009F2A6F">
            <w:pPr>
              <w:pStyle w:val="BodyText"/>
              <w:jc w:val="right"/>
              <w:rPr>
                <w:sz w:val="20"/>
                <w:szCs w:val="20"/>
              </w:rPr>
            </w:pPr>
            <w:r w:rsidRPr="009F2A6F">
              <w:rPr>
                <w:sz w:val="20"/>
                <w:szCs w:val="20"/>
              </w:rPr>
              <w:t>0</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Carl Zeiss Pty Ltd</w:t>
            </w:r>
          </w:p>
        </w:tc>
        <w:tc>
          <w:tcPr>
            <w:tcW w:w="2056" w:type="dxa"/>
          </w:tcPr>
          <w:p w:rsidR="002E5D52" w:rsidRPr="009F2A6F" w:rsidRDefault="002E5D52" w:rsidP="006E6115">
            <w:pPr>
              <w:pStyle w:val="BodyText"/>
              <w:rPr>
                <w:sz w:val="20"/>
                <w:szCs w:val="20"/>
              </w:rPr>
            </w:pPr>
            <w:r w:rsidRPr="009F2A6F">
              <w:rPr>
                <w:sz w:val="20"/>
                <w:szCs w:val="20"/>
              </w:rPr>
              <w:t>NSW</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Metaphase Slide</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Scanner</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31/03/2016</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2E5D52" w:rsidRPr="009F2A6F" w:rsidRDefault="002E5D52" w:rsidP="009F2A6F">
            <w:pPr>
              <w:pStyle w:val="BodyText"/>
              <w:jc w:val="right"/>
              <w:rPr>
                <w:sz w:val="20"/>
                <w:szCs w:val="20"/>
              </w:rPr>
            </w:pPr>
            <w:r w:rsidRPr="009F2A6F">
              <w:rPr>
                <w:sz w:val="20"/>
                <w:szCs w:val="20"/>
              </w:rPr>
              <w:t>186 000</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Covidien Pty Ltd</w:t>
            </w:r>
          </w:p>
        </w:tc>
        <w:tc>
          <w:tcPr>
            <w:tcW w:w="2056" w:type="dxa"/>
          </w:tcPr>
          <w:p w:rsidR="002E5D52" w:rsidRPr="009F2A6F" w:rsidRDefault="002E5D52" w:rsidP="006E6115">
            <w:pPr>
              <w:pStyle w:val="BodyText"/>
              <w:rPr>
                <w:sz w:val="20"/>
                <w:szCs w:val="20"/>
              </w:rPr>
            </w:pPr>
            <w:r w:rsidRPr="009F2A6F">
              <w:rPr>
                <w:sz w:val="20"/>
                <w:szCs w:val="20"/>
              </w:rPr>
              <w:t>NSW</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Nutritional Feeding</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Products and Equipment</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01/06/2016 - 31/05/2019 </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01/06/2019 - 31/05/2023</w:t>
            </w:r>
          </w:p>
        </w:tc>
        <w:tc>
          <w:tcPr>
            <w:tcW w:w="2057" w:type="dxa"/>
          </w:tcPr>
          <w:p w:rsidR="002E5D52" w:rsidRPr="009F2A6F" w:rsidRDefault="002E5D52" w:rsidP="009F2A6F">
            <w:pPr>
              <w:pStyle w:val="BodyText"/>
              <w:jc w:val="right"/>
              <w:rPr>
                <w:sz w:val="20"/>
                <w:szCs w:val="20"/>
              </w:rPr>
            </w:pPr>
            <w:r w:rsidRPr="009F2A6F">
              <w:rPr>
                <w:sz w:val="20"/>
                <w:szCs w:val="20"/>
              </w:rPr>
              <w:t>278 715</w:t>
            </w:r>
          </w:p>
          <w:p w:rsidR="002E5D52" w:rsidRPr="009F2A6F" w:rsidRDefault="002E5D52" w:rsidP="009F2A6F">
            <w:pPr>
              <w:pStyle w:val="BodyText"/>
              <w:jc w:val="right"/>
              <w:rPr>
                <w:sz w:val="20"/>
                <w:szCs w:val="20"/>
              </w:rPr>
            </w:pPr>
            <w:r w:rsidRPr="009F2A6F">
              <w:rPr>
                <w:sz w:val="20"/>
                <w:szCs w:val="20"/>
              </w:rPr>
              <w:t>371 619</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Designed to Stick Pty Ltd</w:t>
            </w:r>
          </w:p>
        </w:tc>
        <w:tc>
          <w:tcPr>
            <w:tcW w:w="2056" w:type="dxa"/>
          </w:tcPr>
          <w:p w:rsidR="002E5D52" w:rsidRPr="009F2A6F" w:rsidRDefault="002E5D52" w:rsidP="006E6115">
            <w:pPr>
              <w:pStyle w:val="BodyText"/>
              <w:rPr>
                <w:sz w:val="20"/>
                <w:szCs w:val="20"/>
              </w:rPr>
            </w:pPr>
            <w:r w:rsidRPr="009F2A6F">
              <w:rPr>
                <w:sz w:val="20"/>
                <w:szCs w:val="20"/>
              </w:rPr>
              <w:t>Qld</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Patient Identification Bands</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01/07/2016 - 30/06/2019 </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01/07/2019 - 30/06/2022</w:t>
            </w:r>
          </w:p>
        </w:tc>
        <w:tc>
          <w:tcPr>
            <w:tcW w:w="2057" w:type="dxa"/>
          </w:tcPr>
          <w:p w:rsidR="002E5D52" w:rsidRPr="009F2A6F" w:rsidRDefault="002E5D52" w:rsidP="009F2A6F">
            <w:pPr>
              <w:pStyle w:val="BodyText"/>
              <w:jc w:val="right"/>
              <w:rPr>
                <w:sz w:val="20"/>
                <w:szCs w:val="20"/>
              </w:rPr>
            </w:pPr>
            <w:r w:rsidRPr="009F2A6F">
              <w:rPr>
                <w:sz w:val="20"/>
                <w:szCs w:val="20"/>
              </w:rPr>
              <w:t>230 985</w:t>
            </w:r>
          </w:p>
          <w:p w:rsidR="002E5D52" w:rsidRPr="009F2A6F" w:rsidRDefault="002E5D52" w:rsidP="009F2A6F">
            <w:pPr>
              <w:pStyle w:val="BodyText"/>
              <w:jc w:val="right"/>
              <w:rPr>
                <w:sz w:val="20"/>
                <w:szCs w:val="20"/>
              </w:rPr>
            </w:pPr>
            <w:r w:rsidRPr="009F2A6F">
              <w:rPr>
                <w:sz w:val="20"/>
                <w:szCs w:val="20"/>
              </w:rPr>
              <w:t>230 985</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Diagnostic Services Pty Ltd</w:t>
            </w:r>
          </w:p>
        </w:tc>
        <w:tc>
          <w:tcPr>
            <w:tcW w:w="2056" w:type="dxa"/>
          </w:tcPr>
          <w:p w:rsidR="002E5D52" w:rsidRPr="009F2A6F" w:rsidRDefault="002E5D52" w:rsidP="006E6115">
            <w:pPr>
              <w:pStyle w:val="BodyText"/>
              <w:rPr>
                <w:sz w:val="20"/>
                <w:szCs w:val="20"/>
              </w:rPr>
            </w:pPr>
            <w:r w:rsidRPr="009F2A6F">
              <w:rPr>
                <w:sz w:val="20"/>
                <w:szCs w:val="20"/>
              </w:rPr>
              <w:t>Tas</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Provision of Pathology</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Services to BreastScreen</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Tasmania</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01/10/2015 - 30/09/2017 </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01/10/2017 - 30/09/2021</w:t>
            </w:r>
          </w:p>
        </w:tc>
        <w:tc>
          <w:tcPr>
            <w:tcW w:w="2057" w:type="dxa"/>
          </w:tcPr>
          <w:p w:rsidR="002E5D52" w:rsidRPr="009F2A6F" w:rsidRDefault="002E5D52" w:rsidP="009F2A6F">
            <w:pPr>
              <w:pStyle w:val="BodyText"/>
              <w:jc w:val="right"/>
              <w:rPr>
                <w:sz w:val="20"/>
                <w:szCs w:val="20"/>
              </w:rPr>
            </w:pPr>
            <w:r w:rsidRPr="009F2A6F">
              <w:rPr>
                <w:sz w:val="20"/>
                <w:szCs w:val="20"/>
              </w:rPr>
              <w:t>310 000</w:t>
            </w:r>
          </w:p>
          <w:p w:rsidR="002E5D52" w:rsidRPr="009F2A6F" w:rsidRDefault="002E5D52" w:rsidP="009F2A6F">
            <w:pPr>
              <w:pStyle w:val="BodyText"/>
              <w:jc w:val="right"/>
              <w:rPr>
                <w:sz w:val="20"/>
                <w:szCs w:val="20"/>
              </w:rPr>
            </w:pPr>
            <w:r w:rsidRPr="009F2A6F">
              <w:rPr>
                <w:sz w:val="20"/>
                <w:szCs w:val="20"/>
              </w:rPr>
              <w:t>620 000</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Dickson &amp; Dickson</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Healthcare Ltd</w:t>
            </w:r>
          </w:p>
        </w:tc>
        <w:tc>
          <w:tcPr>
            <w:tcW w:w="2056" w:type="dxa"/>
          </w:tcPr>
          <w:p w:rsidR="002E5D52" w:rsidRPr="009F2A6F" w:rsidRDefault="002E5D52" w:rsidP="006E6115">
            <w:pPr>
              <w:pStyle w:val="BodyText"/>
              <w:rPr>
                <w:sz w:val="20"/>
                <w:szCs w:val="20"/>
              </w:rPr>
            </w:pPr>
            <w:r w:rsidRPr="009F2A6F">
              <w:rPr>
                <w:sz w:val="20"/>
                <w:szCs w:val="20"/>
              </w:rPr>
              <w:t>NSW</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mattresses, trolleys, associated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01/11/2015-31/10/2018</w:t>
            </w:r>
            <w:r w:rsidRPr="009F2A6F">
              <w:rPr>
                <w:rFonts w:ascii="Gill Sans MT" w:hAnsi="Gill Sans MT" w:cs="GillSans-Light"/>
                <w:sz w:val="20"/>
                <w:szCs w:val="20"/>
              </w:rPr>
              <w:br/>
            </w:r>
            <w:r w:rsidRPr="009F2A6F">
              <w:rPr>
                <w:rFonts w:ascii="Gill Sans MT" w:hAnsi="Gill Sans MT" w:cs="GillSans-Light"/>
                <w:sz w:val="20"/>
                <w:szCs w:val="20"/>
              </w:rPr>
              <w:lastRenderedPageBreak/>
              <w:t>Option to extend</w:t>
            </w:r>
            <w:r w:rsidRPr="009F2A6F">
              <w:rPr>
                <w:rFonts w:ascii="Gill Sans MT" w:hAnsi="Gill Sans MT" w:cs="GillSans-Light"/>
                <w:sz w:val="20"/>
                <w:szCs w:val="20"/>
              </w:rPr>
              <w:br/>
              <w:t>01/11/2018-31/10/2020</w:t>
            </w:r>
          </w:p>
        </w:tc>
        <w:tc>
          <w:tcPr>
            <w:tcW w:w="2057" w:type="dxa"/>
          </w:tcPr>
          <w:p w:rsidR="002E5D52" w:rsidRPr="009F2A6F" w:rsidRDefault="002E5D52" w:rsidP="009F2A6F">
            <w:pPr>
              <w:pStyle w:val="BodyText"/>
              <w:jc w:val="right"/>
              <w:rPr>
                <w:sz w:val="20"/>
                <w:szCs w:val="20"/>
              </w:rPr>
            </w:pPr>
            <w:r w:rsidRPr="009F2A6F">
              <w:rPr>
                <w:sz w:val="20"/>
                <w:szCs w:val="20"/>
              </w:rPr>
              <w:lastRenderedPageBreak/>
              <w:t>0</w:t>
            </w:r>
          </w:p>
          <w:p w:rsidR="002E5D52" w:rsidRPr="009F2A6F" w:rsidRDefault="002E5D52" w:rsidP="009F2A6F">
            <w:pPr>
              <w:pStyle w:val="BodyText"/>
              <w:jc w:val="right"/>
              <w:rPr>
                <w:sz w:val="20"/>
                <w:szCs w:val="20"/>
              </w:rPr>
            </w:pPr>
            <w:r w:rsidRPr="009F2A6F">
              <w:rPr>
                <w:sz w:val="20"/>
                <w:szCs w:val="20"/>
              </w:rPr>
              <w:lastRenderedPageBreak/>
              <w:t>0</w:t>
            </w:r>
          </w:p>
        </w:tc>
      </w:tr>
      <w:tr w:rsidR="002E5D52" w:rsidRPr="009F2A6F" w:rsidTr="009238CA">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Dynamx Australia Pty Ltd t/a</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MacMed Healthcare</w:t>
            </w:r>
          </w:p>
        </w:tc>
        <w:tc>
          <w:tcPr>
            <w:tcW w:w="2056" w:type="dxa"/>
          </w:tcPr>
          <w:p w:rsidR="002E5D52" w:rsidRPr="009F2A6F" w:rsidRDefault="002E5D52" w:rsidP="006E6115">
            <w:pPr>
              <w:pStyle w:val="BodyText"/>
              <w:rPr>
                <w:sz w:val="20"/>
                <w:szCs w:val="20"/>
              </w:rPr>
            </w:pPr>
            <w:r w:rsidRPr="009F2A6F">
              <w:rPr>
                <w:sz w:val="20"/>
                <w:szCs w:val="20"/>
              </w:rPr>
              <w:t>Qld</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2E5D52" w:rsidRPr="009F2A6F" w:rsidRDefault="002E5D52"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2E5D52" w:rsidRPr="009F2A6F" w:rsidRDefault="002E5D52" w:rsidP="009F2A6F">
            <w:pPr>
              <w:pStyle w:val="BodyText"/>
              <w:jc w:val="right"/>
              <w:rPr>
                <w:sz w:val="20"/>
                <w:szCs w:val="20"/>
              </w:rPr>
            </w:pPr>
            <w:r w:rsidRPr="009F2A6F">
              <w:rPr>
                <w:sz w:val="20"/>
                <w:szCs w:val="20"/>
              </w:rPr>
              <w:t>0</w:t>
            </w:r>
          </w:p>
          <w:p w:rsidR="002E5D52" w:rsidRPr="009F2A6F" w:rsidRDefault="002E5D52" w:rsidP="009F2A6F">
            <w:pPr>
              <w:pStyle w:val="BodyText"/>
              <w:jc w:val="right"/>
              <w:rPr>
                <w:sz w:val="20"/>
                <w:szCs w:val="20"/>
              </w:rPr>
            </w:pPr>
            <w:r w:rsidRPr="009F2A6F">
              <w:rPr>
                <w:sz w:val="20"/>
                <w:szCs w:val="20"/>
              </w:rPr>
              <w:t>0</w:t>
            </w:r>
          </w:p>
        </w:tc>
      </w:tr>
      <w:tr w:rsidR="00CB0C05" w:rsidRPr="009F2A6F" w:rsidTr="009238CA">
        <w:tc>
          <w:tcPr>
            <w:tcW w:w="2056" w:type="dxa"/>
          </w:tcPr>
          <w:p w:rsidR="00CB0C05" w:rsidRPr="009F2A6F" w:rsidRDefault="00CB0C05"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Electroboard Solutions Pty Ltd</w:t>
            </w:r>
          </w:p>
        </w:tc>
        <w:tc>
          <w:tcPr>
            <w:tcW w:w="2056" w:type="dxa"/>
          </w:tcPr>
          <w:p w:rsidR="00CB0C05" w:rsidRPr="009F2A6F" w:rsidRDefault="00CB0C05" w:rsidP="006E6115">
            <w:pPr>
              <w:pStyle w:val="BodyText"/>
              <w:rPr>
                <w:sz w:val="20"/>
                <w:szCs w:val="20"/>
              </w:rPr>
            </w:pPr>
            <w:r w:rsidRPr="009F2A6F">
              <w:rPr>
                <w:sz w:val="20"/>
                <w:szCs w:val="20"/>
              </w:rPr>
              <w:t>Tas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Audio Visual and Video</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Conference Equipment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17/07/2015</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CB0C05" w:rsidRPr="009F2A6F" w:rsidRDefault="00CB0C05" w:rsidP="009F2A6F">
            <w:pPr>
              <w:pStyle w:val="BodyText"/>
              <w:jc w:val="right"/>
              <w:rPr>
                <w:sz w:val="20"/>
                <w:szCs w:val="20"/>
              </w:rPr>
            </w:pPr>
            <w:r w:rsidRPr="009F2A6F">
              <w:rPr>
                <w:sz w:val="20"/>
                <w:szCs w:val="20"/>
              </w:rPr>
              <w:t>188 072</w:t>
            </w:r>
          </w:p>
        </w:tc>
      </w:tr>
      <w:tr w:rsidR="00CB0C05" w:rsidRPr="009F2A6F" w:rsidTr="009238CA">
        <w:tc>
          <w:tcPr>
            <w:tcW w:w="2056" w:type="dxa"/>
          </w:tcPr>
          <w:p w:rsidR="00CB0C05" w:rsidRPr="009F2A6F" w:rsidRDefault="00CB0C05"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Everlight Radiology Pty Ltd</w:t>
            </w:r>
          </w:p>
        </w:tc>
        <w:tc>
          <w:tcPr>
            <w:tcW w:w="2056" w:type="dxa"/>
          </w:tcPr>
          <w:p w:rsidR="00CB0C05" w:rsidRPr="009F2A6F" w:rsidRDefault="00CB0C05" w:rsidP="006E6115">
            <w:pPr>
              <w:pStyle w:val="BodyText"/>
              <w:rPr>
                <w:sz w:val="20"/>
                <w:szCs w:val="20"/>
              </w:rPr>
            </w:pPr>
            <w:r w:rsidRPr="009F2A6F">
              <w:rPr>
                <w:sz w:val="20"/>
                <w:szCs w:val="20"/>
              </w:rPr>
              <w:t>NSW</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Provision of</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Teleradiology Services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01/01/2016 - 31/12/2016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01/01/2017 - 31/12/2018</w:t>
            </w:r>
          </w:p>
        </w:tc>
        <w:tc>
          <w:tcPr>
            <w:tcW w:w="2057" w:type="dxa"/>
          </w:tcPr>
          <w:p w:rsidR="00CB0C05" w:rsidRPr="009F2A6F" w:rsidRDefault="00CB0C05" w:rsidP="009F2A6F">
            <w:pPr>
              <w:pStyle w:val="BodyText"/>
              <w:jc w:val="right"/>
              <w:rPr>
                <w:sz w:val="20"/>
                <w:szCs w:val="20"/>
              </w:rPr>
            </w:pPr>
            <w:r w:rsidRPr="009F2A6F">
              <w:rPr>
                <w:sz w:val="20"/>
                <w:szCs w:val="20"/>
              </w:rPr>
              <w:t>200 000</w:t>
            </w:r>
          </w:p>
          <w:p w:rsidR="00CB0C05" w:rsidRPr="009F2A6F" w:rsidRDefault="00CB0C05" w:rsidP="009F2A6F">
            <w:pPr>
              <w:pStyle w:val="BodyText"/>
              <w:jc w:val="right"/>
              <w:rPr>
                <w:sz w:val="20"/>
                <w:szCs w:val="20"/>
              </w:rPr>
            </w:pPr>
            <w:r w:rsidRPr="009F2A6F">
              <w:rPr>
                <w:sz w:val="20"/>
                <w:szCs w:val="20"/>
              </w:rPr>
              <w:t>400 000</w:t>
            </w:r>
          </w:p>
        </w:tc>
      </w:tr>
      <w:tr w:rsidR="00CB0C05" w:rsidRPr="009F2A6F" w:rsidTr="009238CA">
        <w:tc>
          <w:tcPr>
            <w:tcW w:w="2056" w:type="dxa"/>
          </w:tcPr>
          <w:p w:rsidR="00CB0C05" w:rsidRPr="009F2A6F" w:rsidRDefault="00CB0C05"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Fink Engineering Pty Ltd</w:t>
            </w:r>
          </w:p>
        </w:tc>
        <w:tc>
          <w:tcPr>
            <w:tcW w:w="2056" w:type="dxa"/>
          </w:tcPr>
          <w:p w:rsidR="00CB0C05" w:rsidRPr="009F2A6F" w:rsidRDefault="00CB0C05" w:rsidP="006E6115">
            <w:pPr>
              <w:pStyle w:val="BodyText"/>
              <w:rPr>
                <w:sz w:val="20"/>
                <w:szCs w:val="20"/>
              </w:rPr>
            </w:pPr>
            <w:r w:rsidRPr="009F2A6F">
              <w:rPr>
                <w:sz w:val="20"/>
                <w:szCs w:val="20"/>
              </w:rPr>
              <w:t>Qld</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Two Monoplace</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Hyperbaric Chambers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15/04/2016 - 30/08/2017</w:t>
            </w:r>
          </w:p>
        </w:tc>
        <w:tc>
          <w:tcPr>
            <w:tcW w:w="2057" w:type="dxa"/>
          </w:tcPr>
          <w:p w:rsidR="00CB0C05" w:rsidRPr="009F2A6F" w:rsidRDefault="00CB0C05" w:rsidP="009F2A6F">
            <w:pPr>
              <w:pStyle w:val="BodyText"/>
              <w:jc w:val="right"/>
              <w:rPr>
                <w:sz w:val="20"/>
                <w:szCs w:val="20"/>
              </w:rPr>
            </w:pPr>
            <w:r w:rsidRPr="009F2A6F">
              <w:rPr>
                <w:sz w:val="20"/>
                <w:szCs w:val="20"/>
              </w:rPr>
              <w:t>575 961</w:t>
            </w:r>
          </w:p>
        </w:tc>
      </w:tr>
      <w:tr w:rsidR="00CB0C05" w:rsidRPr="009F2A6F" w:rsidTr="009238CA">
        <w:tc>
          <w:tcPr>
            <w:tcW w:w="2056" w:type="dxa"/>
          </w:tcPr>
          <w:p w:rsidR="00CB0C05" w:rsidRPr="009F2A6F" w:rsidRDefault="00CB0C05" w:rsidP="002E5D52">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Flavour Creations Pty Ltd</w:t>
            </w:r>
          </w:p>
        </w:tc>
        <w:tc>
          <w:tcPr>
            <w:tcW w:w="2056" w:type="dxa"/>
          </w:tcPr>
          <w:p w:rsidR="00CB0C05" w:rsidRPr="009F2A6F" w:rsidRDefault="00CB0C05" w:rsidP="006E6115">
            <w:pPr>
              <w:pStyle w:val="BodyText"/>
              <w:rPr>
                <w:sz w:val="20"/>
                <w:szCs w:val="20"/>
              </w:rPr>
            </w:pPr>
            <w:r w:rsidRPr="009F2A6F">
              <w:rPr>
                <w:sz w:val="20"/>
                <w:szCs w:val="20"/>
              </w:rPr>
              <w:t>Qld</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Nutritional Feeding</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Products and Equipment</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01/06/2016 - 31/05/2019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01/06/2019 - 31/05/2023</w:t>
            </w:r>
          </w:p>
        </w:tc>
        <w:tc>
          <w:tcPr>
            <w:tcW w:w="2057" w:type="dxa"/>
          </w:tcPr>
          <w:p w:rsidR="00CB0C05" w:rsidRPr="009F2A6F" w:rsidRDefault="00CB0C05" w:rsidP="009F2A6F">
            <w:pPr>
              <w:pStyle w:val="BodyText"/>
              <w:jc w:val="right"/>
              <w:rPr>
                <w:sz w:val="20"/>
                <w:szCs w:val="20"/>
              </w:rPr>
            </w:pPr>
            <w:r w:rsidRPr="009F2A6F">
              <w:rPr>
                <w:sz w:val="20"/>
                <w:szCs w:val="20"/>
              </w:rPr>
              <w:t>61 146</w:t>
            </w:r>
          </w:p>
          <w:p w:rsidR="00CB0C05" w:rsidRPr="009F2A6F" w:rsidRDefault="00CB0C05" w:rsidP="009F2A6F">
            <w:pPr>
              <w:pStyle w:val="BodyText"/>
              <w:jc w:val="right"/>
              <w:rPr>
                <w:sz w:val="20"/>
                <w:szCs w:val="20"/>
              </w:rPr>
            </w:pPr>
            <w:r w:rsidRPr="009F2A6F">
              <w:rPr>
                <w:sz w:val="20"/>
                <w:szCs w:val="20"/>
              </w:rPr>
              <w:t>81 528</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Fresenius Medical Care</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Australia Pty Ltd </w:t>
            </w:r>
          </w:p>
          <w:p w:rsidR="00CB0C05" w:rsidRPr="009F2A6F" w:rsidRDefault="00CB0C05" w:rsidP="00CB0C05">
            <w:pPr>
              <w:autoSpaceDE w:val="0"/>
              <w:autoSpaceDN w:val="0"/>
              <w:adjustRightInd w:val="0"/>
              <w:rPr>
                <w:rFonts w:ascii="Gill Sans MT" w:hAnsi="Gill Sans MT" w:cs="GillSans-Light"/>
                <w:sz w:val="20"/>
                <w:szCs w:val="20"/>
              </w:rPr>
            </w:pPr>
          </w:p>
        </w:tc>
        <w:tc>
          <w:tcPr>
            <w:tcW w:w="2056" w:type="dxa"/>
          </w:tcPr>
          <w:p w:rsidR="00CB0C05" w:rsidRPr="009F2A6F" w:rsidRDefault="00CB0C05" w:rsidP="006E6115">
            <w:pPr>
              <w:pStyle w:val="BodyText"/>
              <w:rPr>
                <w:sz w:val="20"/>
                <w:szCs w:val="20"/>
              </w:rPr>
            </w:pPr>
            <w:r w:rsidRPr="009F2A6F">
              <w:rPr>
                <w:sz w:val="20"/>
                <w:szCs w:val="20"/>
              </w:rPr>
              <w:t>Vic</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Patient Treatment Chairs</w:t>
            </w:r>
          </w:p>
          <w:p w:rsidR="00CB0C05" w:rsidRPr="009F2A6F" w:rsidRDefault="00CB0C05" w:rsidP="00CB0C05">
            <w:pPr>
              <w:autoSpaceDE w:val="0"/>
              <w:autoSpaceDN w:val="0"/>
              <w:adjustRightInd w:val="0"/>
              <w:rPr>
                <w:rFonts w:ascii="Gill Sans MT" w:hAnsi="Gill Sans MT" w:cs="GillSans-Light"/>
                <w:sz w:val="20"/>
                <w:szCs w:val="20"/>
              </w:rPr>
            </w:pP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12/10/2015</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CB0C05" w:rsidRPr="009F2A6F" w:rsidRDefault="00CB0C05" w:rsidP="009F2A6F">
            <w:pPr>
              <w:pStyle w:val="BodyText"/>
              <w:jc w:val="right"/>
              <w:rPr>
                <w:sz w:val="20"/>
                <w:szCs w:val="20"/>
              </w:rPr>
            </w:pPr>
            <w:r w:rsidRPr="009F2A6F">
              <w:rPr>
                <w:sz w:val="20"/>
                <w:szCs w:val="20"/>
              </w:rPr>
              <w:t>89 825</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G4S Custodial Services Pty Ltd</w:t>
            </w:r>
          </w:p>
        </w:tc>
        <w:tc>
          <w:tcPr>
            <w:tcW w:w="2056" w:type="dxa"/>
          </w:tcPr>
          <w:p w:rsidR="00CB0C05" w:rsidRPr="009F2A6F" w:rsidRDefault="00CB0C05" w:rsidP="00222594">
            <w:pPr>
              <w:pStyle w:val="BodyText"/>
              <w:rPr>
                <w:sz w:val="20"/>
                <w:szCs w:val="20"/>
              </w:rPr>
            </w:pPr>
            <w:r w:rsidRPr="009F2A6F">
              <w:rPr>
                <w:sz w:val="20"/>
                <w:szCs w:val="20"/>
              </w:rPr>
              <w:t>Vic</w:t>
            </w:r>
            <w:r w:rsidR="00222594">
              <w:rPr>
                <w:sz w:val="20"/>
                <w:szCs w:val="20"/>
              </w:rPr>
              <w:t xml:space="preserve"> </w:t>
            </w:r>
            <w:r w:rsidRPr="009F2A6F">
              <w:rPr>
                <w:sz w:val="20"/>
                <w:szCs w:val="20"/>
              </w:rPr>
              <w:t>#</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Provision of Security Services</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for Wilfred Lopes Centre</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01/06/2016 - 31/07/2016</w:t>
            </w:r>
          </w:p>
        </w:tc>
        <w:tc>
          <w:tcPr>
            <w:tcW w:w="2057" w:type="dxa"/>
          </w:tcPr>
          <w:p w:rsidR="00CB0C05" w:rsidRPr="009F2A6F" w:rsidRDefault="00CB0C05" w:rsidP="009F2A6F">
            <w:pPr>
              <w:pStyle w:val="BodyText"/>
              <w:jc w:val="right"/>
              <w:rPr>
                <w:sz w:val="20"/>
                <w:szCs w:val="20"/>
              </w:rPr>
            </w:pPr>
            <w:r w:rsidRPr="009F2A6F">
              <w:rPr>
                <w:sz w:val="20"/>
                <w:szCs w:val="20"/>
              </w:rPr>
              <w:t>216 000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G4S Custodial Services Pty Ltd</w:t>
            </w:r>
          </w:p>
        </w:tc>
        <w:tc>
          <w:tcPr>
            <w:tcW w:w="2056" w:type="dxa"/>
          </w:tcPr>
          <w:p w:rsidR="00CB0C05" w:rsidRPr="009F2A6F" w:rsidRDefault="00222594" w:rsidP="00222594">
            <w:pPr>
              <w:pStyle w:val="BodyText"/>
              <w:rPr>
                <w:sz w:val="20"/>
                <w:szCs w:val="20"/>
              </w:rPr>
            </w:pPr>
            <w:r>
              <w:rPr>
                <w:sz w:val="20"/>
                <w:szCs w:val="20"/>
              </w:rPr>
              <w:t xml:space="preserve">Vic </w:t>
            </w:r>
            <w:r w:rsidR="00CB0C05" w:rsidRPr="009F2A6F">
              <w:rPr>
                <w:sz w:val="20"/>
                <w:szCs w:val="20"/>
              </w:rPr>
              <w:t xml:space="preserve"> #</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Provision of Security Services</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for Wilfred Lopes Centre</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19/03/2016 - 31/05/2016</w:t>
            </w:r>
          </w:p>
        </w:tc>
        <w:tc>
          <w:tcPr>
            <w:tcW w:w="2057" w:type="dxa"/>
          </w:tcPr>
          <w:p w:rsidR="00CB0C05" w:rsidRPr="009F2A6F" w:rsidRDefault="00CB0C05" w:rsidP="009F2A6F">
            <w:pPr>
              <w:pStyle w:val="BodyText"/>
              <w:jc w:val="right"/>
              <w:rPr>
                <w:sz w:val="20"/>
                <w:szCs w:val="20"/>
              </w:rPr>
            </w:pPr>
            <w:r w:rsidRPr="009F2A6F">
              <w:rPr>
                <w:sz w:val="20"/>
                <w:szCs w:val="20"/>
              </w:rPr>
              <w:t>216 000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GE Healthcare Australia Pty Ltd</w:t>
            </w:r>
          </w:p>
        </w:tc>
        <w:tc>
          <w:tcPr>
            <w:tcW w:w="2056" w:type="dxa"/>
          </w:tcPr>
          <w:p w:rsidR="00CB0C05" w:rsidRPr="009F2A6F" w:rsidRDefault="00222594" w:rsidP="006E6115">
            <w:pPr>
              <w:pStyle w:val="BodyText"/>
              <w:rPr>
                <w:sz w:val="20"/>
                <w:szCs w:val="20"/>
              </w:rPr>
            </w:pPr>
            <w:r>
              <w:rPr>
                <w:sz w:val="20"/>
                <w:szCs w:val="20"/>
              </w:rPr>
              <w:t xml:space="preserve">NSW </w:t>
            </w:r>
            <w:r w:rsidR="00CB0C05" w:rsidRPr="009F2A6F">
              <w:rPr>
                <w:sz w:val="20"/>
                <w:szCs w:val="20"/>
              </w:rPr>
              <w:t>#</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MRI Unit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Maintenance Service</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Agreement</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18/03/2016 - 17/03/2019</w:t>
            </w:r>
          </w:p>
        </w:tc>
        <w:tc>
          <w:tcPr>
            <w:tcW w:w="2057" w:type="dxa"/>
          </w:tcPr>
          <w:p w:rsidR="00CB0C05" w:rsidRPr="009F2A6F" w:rsidRDefault="00CB0C05" w:rsidP="009F2A6F">
            <w:pPr>
              <w:pStyle w:val="BodyText"/>
              <w:jc w:val="right"/>
              <w:rPr>
                <w:sz w:val="20"/>
                <w:szCs w:val="20"/>
              </w:rPr>
            </w:pPr>
            <w:r w:rsidRPr="009F2A6F">
              <w:rPr>
                <w:sz w:val="20"/>
                <w:szCs w:val="20"/>
              </w:rPr>
              <w:t>536 370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Getinge Australia Pty Ltd</w:t>
            </w:r>
          </w:p>
        </w:tc>
        <w:tc>
          <w:tcPr>
            <w:tcW w:w="2056" w:type="dxa"/>
          </w:tcPr>
          <w:p w:rsidR="00CB0C05" w:rsidRPr="009F2A6F" w:rsidRDefault="00CB0C05" w:rsidP="006E6115">
            <w:pPr>
              <w:pStyle w:val="BodyText"/>
              <w:rPr>
                <w:sz w:val="20"/>
                <w:szCs w:val="20"/>
              </w:rPr>
            </w:pPr>
            <w:r w:rsidRPr="009F2A6F">
              <w:rPr>
                <w:sz w:val="20"/>
                <w:szCs w:val="20"/>
              </w:rPr>
              <w:t>Vic</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Pan Flushers and Instrument</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Washers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25/05/2016</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CB0C05" w:rsidRPr="009F2A6F" w:rsidRDefault="00CB0C05" w:rsidP="009F2A6F">
            <w:pPr>
              <w:pStyle w:val="BodyText"/>
              <w:jc w:val="right"/>
              <w:rPr>
                <w:sz w:val="20"/>
                <w:szCs w:val="20"/>
              </w:rPr>
            </w:pPr>
            <w:r w:rsidRPr="009F2A6F">
              <w:rPr>
                <w:sz w:val="20"/>
                <w:szCs w:val="20"/>
              </w:rPr>
              <w:t>63 210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HCX Pty Ltd t/a Eden</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Healthcare Solutions</w:t>
            </w:r>
          </w:p>
        </w:tc>
        <w:tc>
          <w:tcPr>
            <w:tcW w:w="2056" w:type="dxa"/>
          </w:tcPr>
          <w:p w:rsidR="00CB0C05" w:rsidRPr="009F2A6F" w:rsidRDefault="00CB0C05" w:rsidP="006E6115">
            <w:pPr>
              <w:pStyle w:val="BodyText"/>
              <w:rPr>
                <w:sz w:val="20"/>
                <w:szCs w:val="20"/>
              </w:rPr>
            </w:pPr>
            <w:r w:rsidRPr="009F2A6F">
              <w:rPr>
                <w:sz w:val="20"/>
                <w:szCs w:val="20"/>
              </w:rPr>
              <w:t>NSW</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CB0C05" w:rsidRPr="009F2A6F" w:rsidRDefault="00CB0C05" w:rsidP="009F2A6F">
            <w:pPr>
              <w:pStyle w:val="BodyText"/>
              <w:jc w:val="right"/>
              <w:rPr>
                <w:sz w:val="20"/>
                <w:szCs w:val="20"/>
              </w:rPr>
            </w:pPr>
            <w:r w:rsidRPr="009F2A6F">
              <w:rPr>
                <w:sz w:val="20"/>
                <w:szCs w:val="20"/>
              </w:rPr>
              <w:t>0</w:t>
            </w:r>
          </w:p>
          <w:p w:rsidR="00CB0C05" w:rsidRPr="009F2A6F" w:rsidRDefault="00CB0C05" w:rsidP="009F2A6F">
            <w:pPr>
              <w:pStyle w:val="BodyText"/>
              <w:jc w:val="right"/>
              <w:rPr>
                <w:sz w:val="20"/>
                <w:szCs w:val="20"/>
              </w:rPr>
            </w:pPr>
            <w:r w:rsidRPr="009F2A6F">
              <w:rPr>
                <w:sz w:val="20"/>
                <w:szCs w:val="20"/>
              </w:rPr>
              <w:t>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Hill-Rom Pty Ltd</w:t>
            </w:r>
          </w:p>
        </w:tc>
        <w:tc>
          <w:tcPr>
            <w:tcW w:w="2056" w:type="dxa"/>
          </w:tcPr>
          <w:p w:rsidR="00CB0C05" w:rsidRPr="009F2A6F" w:rsidRDefault="00CB0C05" w:rsidP="006E6115">
            <w:pPr>
              <w:pStyle w:val="BodyText"/>
              <w:rPr>
                <w:sz w:val="20"/>
                <w:szCs w:val="20"/>
              </w:rPr>
            </w:pPr>
            <w:r w:rsidRPr="009F2A6F">
              <w:rPr>
                <w:sz w:val="20"/>
                <w:szCs w:val="20"/>
              </w:rPr>
              <w:t>NSW</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mattresses, trolleys, associated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 xml:space="preserve">01/11/2015 - 31/10/2018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Option to extend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CB0C05" w:rsidRPr="009F2A6F" w:rsidRDefault="00CB0C05" w:rsidP="009F2A6F">
            <w:pPr>
              <w:pStyle w:val="BodyText"/>
              <w:jc w:val="right"/>
              <w:rPr>
                <w:sz w:val="20"/>
                <w:szCs w:val="20"/>
              </w:rPr>
            </w:pPr>
            <w:r w:rsidRPr="009F2A6F">
              <w:rPr>
                <w:sz w:val="20"/>
                <w:szCs w:val="20"/>
              </w:rPr>
              <w:lastRenderedPageBreak/>
              <w:t>0</w:t>
            </w:r>
          </w:p>
          <w:p w:rsidR="00CB0C05" w:rsidRPr="009F2A6F" w:rsidRDefault="00CB0C05" w:rsidP="009F2A6F">
            <w:pPr>
              <w:pStyle w:val="BodyText"/>
              <w:jc w:val="right"/>
              <w:rPr>
                <w:sz w:val="20"/>
                <w:szCs w:val="20"/>
              </w:rPr>
            </w:pPr>
            <w:r w:rsidRPr="009F2A6F">
              <w:rPr>
                <w:sz w:val="20"/>
                <w:szCs w:val="20"/>
              </w:rPr>
              <w:lastRenderedPageBreak/>
              <w:t>0</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Honeywell Limited</w:t>
            </w:r>
          </w:p>
        </w:tc>
        <w:tc>
          <w:tcPr>
            <w:tcW w:w="2056" w:type="dxa"/>
          </w:tcPr>
          <w:p w:rsidR="00CB0C05" w:rsidRPr="009F2A6F" w:rsidRDefault="00CB0C05" w:rsidP="006E6115">
            <w:pPr>
              <w:pStyle w:val="BodyText"/>
              <w:rPr>
                <w:sz w:val="20"/>
                <w:szCs w:val="20"/>
              </w:rPr>
            </w:pPr>
            <w:r w:rsidRPr="009F2A6F">
              <w:rPr>
                <w:sz w:val="20"/>
                <w:szCs w:val="20"/>
              </w:rPr>
              <w:t>Tas</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Building Management</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System</w:t>
            </w:r>
          </w:p>
        </w:tc>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07/01/2016 - 06/01/2019 </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07/01/2019 - 06/01/2021</w:t>
            </w:r>
          </w:p>
        </w:tc>
        <w:tc>
          <w:tcPr>
            <w:tcW w:w="2057" w:type="dxa"/>
          </w:tcPr>
          <w:p w:rsidR="00CB0C05" w:rsidRPr="009F2A6F" w:rsidRDefault="00CB0C05" w:rsidP="009F2A6F">
            <w:pPr>
              <w:pStyle w:val="BodyText"/>
              <w:jc w:val="right"/>
              <w:rPr>
                <w:sz w:val="20"/>
                <w:szCs w:val="20"/>
              </w:rPr>
            </w:pPr>
            <w:r w:rsidRPr="009F2A6F">
              <w:rPr>
                <w:sz w:val="20"/>
                <w:szCs w:val="20"/>
              </w:rPr>
              <w:t>807 266</w:t>
            </w:r>
          </w:p>
          <w:p w:rsidR="00CB0C05" w:rsidRPr="009F2A6F" w:rsidRDefault="00CB0C05" w:rsidP="009F2A6F">
            <w:pPr>
              <w:pStyle w:val="BodyText"/>
              <w:jc w:val="right"/>
              <w:rPr>
                <w:sz w:val="20"/>
                <w:szCs w:val="20"/>
              </w:rPr>
            </w:pPr>
            <w:r w:rsidRPr="009F2A6F">
              <w:rPr>
                <w:sz w:val="20"/>
                <w:szCs w:val="20"/>
              </w:rPr>
              <w:t>538177</w:t>
            </w:r>
          </w:p>
        </w:tc>
      </w:tr>
      <w:tr w:rsidR="00CB0C05" w:rsidRPr="009F2A6F" w:rsidTr="009238CA">
        <w:tc>
          <w:tcPr>
            <w:tcW w:w="2056" w:type="dxa"/>
          </w:tcPr>
          <w:p w:rsidR="00CB0C05" w:rsidRPr="009F2A6F" w:rsidRDefault="00CB0C05"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HospEquip</w:t>
            </w:r>
          </w:p>
        </w:tc>
        <w:tc>
          <w:tcPr>
            <w:tcW w:w="2056" w:type="dxa"/>
          </w:tcPr>
          <w:p w:rsidR="00CB0C05" w:rsidRPr="009F2A6F" w:rsidRDefault="00CB0C05" w:rsidP="006E6115">
            <w:pPr>
              <w:pStyle w:val="BodyText"/>
              <w:rPr>
                <w:sz w:val="20"/>
                <w:szCs w:val="20"/>
              </w:rPr>
            </w:pPr>
            <w:r w:rsidRPr="009F2A6F">
              <w:rPr>
                <w:sz w:val="20"/>
                <w:szCs w:val="20"/>
              </w:rPr>
              <w:t>WA</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CB0C05"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CB0C05"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CB0C05"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 xml:space="preserve">0 </w:t>
            </w:r>
          </w:p>
        </w:tc>
      </w:tr>
      <w:tr w:rsidR="00F24F71" w:rsidRPr="009F2A6F" w:rsidTr="009238CA">
        <w:tc>
          <w:tcPr>
            <w:tcW w:w="2056" w:type="dxa"/>
          </w:tcPr>
          <w:p w:rsidR="00F24F71" w:rsidRPr="009F2A6F" w:rsidRDefault="00F24F71" w:rsidP="00CB0C05">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Howard Wright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p w:rsidR="00F24F71" w:rsidRPr="009F2A6F" w:rsidRDefault="00F24F71" w:rsidP="00F24F71">
            <w:pPr>
              <w:rPr>
                <w:rFonts w:ascii="Gill Sans MT" w:hAnsi="Gill Sans MT" w:cs="GillSans-Light"/>
                <w:sz w:val="20"/>
                <w:szCs w:val="20"/>
              </w:rPr>
            </w:pPr>
          </w:p>
          <w:p w:rsidR="00F24F71" w:rsidRPr="009F2A6F" w:rsidRDefault="00F24F71" w:rsidP="00F24F71">
            <w:pPr>
              <w:jc w:val="center"/>
              <w:rPr>
                <w:rFonts w:ascii="Gill Sans MT" w:hAnsi="Gill Sans MT" w:cs="GillSans-Light"/>
                <w:sz w:val="20"/>
                <w:szCs w:val="20"/>
              </w:rPr>
            </w:pP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Huntleigh Healthcare Pty Ltd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t/a Arjohuntleigh</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IBIS No.3 Pty Ltd</w:t>
            </w:r>
          </w:p>
        </w:tc>
        <w:tc>
          <w:tcPr>
            <w:tcW w:w="2056" w:type="dxa"/>
          </w:tcPr>
          <w:p w:rsidR="00F24F71" w:rsidRPr="009F2A6F" w:rsidRDefault="00F24F71" w:rsidP="006E6115">
            <w:pPr>
              <w:pStyle w:val="BodyText"/>
              <w:rPr>
                <w:sz w:val="20"/>
                <w:szCs w:val="20"/>
              </w:rPr>
            </w:pPr>
            <w:r w:rsidRPr="009F2A6F">
              <w:rPr>
                <w:sz w:val="20"/>
                <w:szCs w:val="20"/>
              </w:rPr>
              <w:t>Tas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Transition Care Program</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Flexible Residential and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Community Packages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01/07/2016 - 31/12/2016</w:t>
            </w:r>
          </w:p>
        </w:tc>
        <w:tc>
          <w:tcPr>
            <w:tcW w:w="2057" w:type="dxa"/>
          </w:tcPr>
          <w:p w:rsidR="00F24F71" w:rsidRPr="009F2A6F" w:rsidRDefault="00F24F71" w:rsidP="009F2A6F">
            <w:pPr>
              <w:pStyle w:val="BodyText"/>
              <w:jc w:val="right"/>
              <w:rPr>
                <w:sz w:val="20"/>
                <w:szCs w:val="20"/>
              </w:rPr>
            </w:pPr>
            <w:r w:rsidRPr="009F2A6F">
              <w:rPr>
                <w:sz w:val="20"/>
                <w:szCs w:val="20"/>
              </w:rPr>
              <w:t>194 886</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Independent Living Specialists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InSight Oceania 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Radiation Therapy Treatment</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Planning System</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01/08/2015 - 31/10/2020</w:t>
            </w:r>
          </w:p>
        </w:tc>
        <w:tc>
          <w:tcPr>
            <w:tcW w:w="2057" w:type="dxa"/>
          </w:tcPr>
          <w:p w:rsidR="00F24F71" w:rsidRPr="009F2A6F" w:rsidRDefault="00F24F71" w:rsidP="009F2A6F">
            <w:pPr>
              <w:pStyle w:val="BodyText"/>
              <w:jc w:val="right"/>
              <w:rPr>
                <w:sz w:val="20"/>
                <w:szCs w:val="20"/>
              </w:rPr>
            </w:pPr>
            <w:r w:rsidRPr="009F2A6F">
              <w:rPr>
                <w:sz w:val="20"/>
                <w:szCs w:val="20"/>
              </w:rPr>
              <w:t>654 000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Invacare Australia 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Jomor Healthcare Pty Ltd</w:t>
            </w:r>
          </w:p>
        </w:tc>
        <w:tc>
          <w:tcPr>
            <w:tcW w:w="2056" w:type="dxa"/>
          </w:tcPr>
          <w:p w:rsidR="00F24F71" w:rsidRPr="009F2A6F" w:rsidRDefault="00F24F71" w:rsidP="006E6115">
            <w:pPr>
              <w:pStyle w:val="BodyText"/>
              <w:rPr>
                <w:sz w:val="20"/>
                <w:szCs w:val="20"/>
              </w:rPr>
            </w:pPr>
            <w:r w:rsidRPr="009F2A6F">
              <w:rPr>
                <w:sz w:val="20"/>
                <w:szCs w:val="20"/>
              </w:rPr>
              <w:t>VIC</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01/11/2015 - 31/10/20180</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K Care Pty Ltd t/a K Care</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Healthcare Equipment</w:t>
            </w:r>
          </w:p>
        </w:tc>
        <w:tc>
          <w:tcPr>
            <w:tcW w:w="2056" w:type="dxa"/>
          </w:tcPr>
          <w:p w:rsidR="00F24F71" w:rsidRPr="009F2A6F" w:rsidRDefault="00F24F71" w:rsidP="006E6115">
            <w:pPr>
              <w:pStyle w:val="BodyText"/>
              <w:rPr>
                <w:sz w:val="20"/>
                <w:szCs w:val="20"/>
              </w:rPr>
            </w:pPr>
            <w:r w:rsidRPr="009F2A6F">
              <w:rPr>
                <w:sz w:val="20"/>
                <w:szCs w:val="20"/>
              </w:rPr>
              <w:t>WA</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mattresses, trolleys, </w:t>
            </w:r>
            <w:r w:rsidRPr="009F2A6F">
              <w:rPr>
                <w:rFonts w:ascii="Gill Sans MT" w:hAnsi="Gill Sans MT" w:cs="GillSans-Light"/>
                <w:sz w:val="20"/>
                <w:szCs w:val="20"/>
              </w:rPr>
              <w:lastRenderedPageBreak/>
              <w:t>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01/11/2018 - 31/10/2020</w:t>
            </w:r>
          </w:p>
        </w:tc>
        <w:tc>
          <w:tcPr>
            <w:tcW w:w="2057" w:type="dxa"/>
          </w:tcPr>
          <w:p w:rsidR="00F24F71" w:rsidRPr="009F2A6F" w:rsidRDefault="00F24F71" w:rsidP="009F2A6F">
            <w:pPr>
              <w:pStyle w:val="BodyText"/>
              <w:jc w:val="right"/>
              <w:rPr>
                <w:sz w:val="20"/>
                <w:szCs w:val="20"/>
              </w:rPr>
            </w:pPr>
            <w:r w:rsidRPr="009F2A6F">
              <w:rPr>
                <w:sz w:val="20"/>
                <w:szCs w:val="20"/>
              </w:rPr>
              <w:lastRenderedPageBreak/>
              <w:t>0</w:t>
            </w:r>
          </w:p>
          <w:p w:rsidR="00F24F71" w:rsidRPr="009F2A6F" w:rsidRDefault="00F24F71" w:rsidP="009F2A6F">
            <w:pPr>
              <w:pStyle w:val="BodyText"/>
              <w:jc w:val="right"/>
              <w:rPr>
                <w:sz w:val="20"/>
                <w:szCs w:val="20"/>
              </w:rPr>
            </w:pPr>
            <w:r w:rsidRPr="009F2A6F">
              <w:rPr>
                <w:sz w:val="20"/>
                <w:szCs w:val="20"/>
              </w:rPr>
              <w:lastRenderedPageBreak/>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Lazaro Pty Ltd</w:t>
            </w:r>
          </w:p>
        </w:tc>
        <w:tc>
          <w:tcPr>
            <w:tcW w:w="2056" w:type="dxa"/>
          </w:tcPr>
          <w:p w:rsidR="00F24F71" w:rsidRPr="009F2A6F" w:rsidRDefault="00F24F71" w:rsidP="006E6115">
            <w:pPr>
              <w:pStyle w:val="BodyText"/>
              <w:rPr>
                <w:sz w:val="20"/>
                <w:szCs w:val="20"/>
              </w:rPr>
            </w:pPr>
            <w:r w:rsidRPr="009F2A6F">
              <w:rPr>
                <w:sz w:val="20"/>
                <w:szCs w:val="20"/>
              </w:rPr>
              <w:t>TAS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Cleaning Services - Southern</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Dental Centre and various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other Southern sites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30/11/2015 - 30/11/2017</w:t>
            </w:r>
          </w:p>
        </w:tc>
        <w:tc>
          <w:tcPr>
            <w:tcW w:w="2057" w:type="dxa"/>
          </w:tcPr>
          <w:p w:rsidR="00F24F71" w:rsidRPr="009F2A6F" w:rsidRDefault="00F24F71" w:rsidP="009F2A6F">
            <w:pPr>
              <w:pStyle w:val="BodyText"/>
              <w:jc w:val="right"/>
              <w:rPr>
                <w:sz w:val="20"/>
                <w:szCs w:val="20"/>
              </w:rPr>
            </w:pPr>
            <w:r w:rsidRPr="009F2A6F">
              <w:rPr>
                <w:sz w:val="20"/>
                <w:szCs w:val="20"/>
              </w:rPr>
              <w:t>198 938</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Midmed Pty Ltd</w:t>
            </w:r>
          </w:p>
        </w:tc>
        <w:tc>
          <w:tcPr>
            <w:tcW w:w="2056" w:type="dxa"/>
          </w:tcPr>
          <w:p w:rsidR="00F24F71" w:rsidRPr="009F2A6F" w:rsidRDefault="00F24F71" w:rsidP="006E6115">
            <w:pPr>
              <w:pStyle w:val="BodyText"/>
              <w:rPr>
                <w:sz w:val="20"/>
                <w:szCs w:val="20"/>
              </w:rPr>
            </w:pPr>
            <w:r w:rsidRPr="009F2A6F">
              <w:rPr>
                <w:sz w:val="20"/>
                <w:szCs w:val="20"/>
              </w:rPr>
              <w:t>QLD</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Nestle Australia Limited</w:t>
            </w:r>
          </w:p>
        </w:tc>
        <w:tc>
          <w:tcPr>
            <w:tcW w:w="2056" w:type="dxa"/>
          </w:tcPr>
          <w:p w:rsidR="00F24F71" w:rsidRPr="009F2A6F" w:rsidRDefault="00F24F71" w:rsidP="006E6115">
            <w:pPr>
              <w:pStyle w:val="BodyText"/>
              <w:rPr>
                <w:sz w:val="20"/>
                <w:szCs w:val="20"/>
              </w:rPr>
            </w:pPr>
            <w:r w:rsidRPr="009F2A6F">
              <w:rPr>
                <w:sz w:val="20"/>
                <w:szCs w:val="20"/>
              </w:rPr>
              <w:t>VIC</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Nutritional Feeding</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Products and Equipment</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01/06/2016 - 31/05/2019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01/06/2019 - 31/05/2023</w:t>
            </w:r>
          </w:p>
        </w:tc>
        <w:tc>
          <w:tcPr>
            <w:tcW w:w="2057" w:type="dxa"/>
          </w:tcPr>
          <w:p w:rsidR="00F24F71" w:rsidRPr="009F2A6F" w:rsidRDefault="00F24F71" w:rsidP="009F2A6F">
            <w:pPr>
              <w:pStyle w:val="BodyText"/>
              <w:jc w:val="right"/>
              <w:rPr>
                <w:sz w:val="20"/>
                <w:szCs w:val="20"/>
              </w:rPr>
            </w:pPr>
            <w:r w:rsidRPr="009F2A6F">
              <w:rPr>
                <w:sz w:val="20"/>
                <w:szCs w:val="20"/>
              </w:rPr>
              <w:t>1 477 843</w:t>
            </w:r>
          </w:p>
          <w:p w:rsidR="00F24F71" w:rsidRPr="009F2A6F" w:rsidRDefault="00F24F71" w:rsidP="009F2A6F">
            <w:pPr>
              <w:pStyle w:val="BodyText"/>
              <w:jc w:val="right"/>
              <w:rPr>
                <w:sz w:val="20"/>
                <w:szCs w:val="20"/>
              </w:rPr>
            </w:pPr>
            <w:r w:rsidRPr="009F2A6F">
              <w:rPr>
                <w:sz w:val="20"/>
                <w:szCs w:val="20"/>
              </w:rPr>
              <w:t>1 970 457</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NL-Tec Pty Ltd</w:t>
            </w:r>
          </w:p>
        </w:tc>
        <w:tc>
          <w:tcPr>
            <w:tcW w:w="2056" w:type="dxa"/>
          </w:tcPr>
          <w:p w:rsidR="00F24F71" w:rsidRPr="009F2A6F" w:rsidRDefault="00F24F71" w:rsidP="006E6115">
            <w:pPr>
              <w:pStyle w:val="BodyText"/>
              <w:rPr>
                <w:sz w:val="20"/>
                <w:szCs w:val="20"/>
              </w:rPr>
            </w:pPr>
            <w:r w:rsidRPr="009F2A6F">
              <w:rPr>
                <w:sz w:val="20"/>
                <w:szCs w:val="20"/>
              </w:rPr>
              <w:t>WA</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Immobilisation Equipment</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21/09/2015</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F24F71" w:rsidRPr="009F2A6F" w:rsidRDefault="00F24F71" w:rsidP="009F2A6F">
            <w:pPr>
              <w:pStyle w:val="BodyText"/>
              <w:jc w:val="right"/>
              <w:rPr>
                <w:sz w:val="20"/>
                <w:szCs w:val="20"/>
              </w:rPr>
            </w:pPr>
            <w:r w:rsidRPr="009F2A6F">
              <w:rPr>
                <w:sz w:val="20"/>
                <w:szCs w:val="20"/>
              </w:rPr>
              <w:t>36 757</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Novis Healthcare 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F24F71" w:rsidRPr="009F2A6F" w:rsidRDefault="00F24F71" w:rsidP="009F2A6F">
            <w:pPr>
              <w:pStyle w:val="BodyText"/>
              <w:jc w:val="right"/>
              <w:rPr>
                <w:sz w:val="20"/>
                <w:szCs w:val="20"/>
              </w:rPr>
            </w:pPr>
            <w:r w:rsidRPr="009F2A6F">
              <w:rPr>
                <w:sz w:val="20"/>
                <w:szCs w:val="20"/>
              </w:rPr>
              <w:t>0</w:t>
            </w:r>
          </w:p>
          <w:p w:rsidR="00F24F71" w:rsidRPr="009F2A6F" w:rsidRDefault="00F24F71" w:rsidP="009F2A6F">
            <w:pPr>
              <w:pStyle w:val="BodyText"/>
              <w:jc w:val="right"/>
              <w:rPr>
                <w:sz w:val="20"/>
                <w:szCs w:val="20"/>
              </w:rPr>
            </w:pPr>
            <w:r w:rsidRPr="009F2A6F">
              <w:rPr>
                <w:sz w:val="20"/>
                <w:szCs w:val="20"/>
              </w:rPr>
              <w:t>0</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Nucletron 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North West Cancer Centre</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Immobilisation Equipment</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21/09/2015</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F24F71" w:rsidRPr="009F2A6F" w:rsidRDefault="00F24F71" w:rsidP="009F2A6F">
            <w:pPr>
              <w:pStyle w:val="BodyText"/>
              <w:jc w:val="right"/>
              <w:rPr>
                <w:sz w:val="20"/>
                <w:szCs w:val="20"/>
              </w:rPr>
            </w:pPr>
            <w:r w:rsidRPr="009F2A6F">
              <w:rPr>
                <w:sz w:val="20"/>
                <w:szCs w:val="20"/>
              </w:rPr>
              <w:t>45 278</w:t>
            </w:r>
          </w:p>
        </w:tc>
      </w:tr>
      <w:tr w:rsidR="00F24F71" w:rsidRPr="009F2A6F" w:rsidTr="00F24F71">
        <w:trPr>
          <w:trHeight w:val="1227"/>
        </w:trPr>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Nutricia Australia Pty Ltd</w:t>
            </w:r>
          </w:p>
        </w:tc>
        <w:tc>
          <w:tcPr>
            <w:tcW w:w="2056" w:type="dxa"/>
          </w:tcPr>
          <w:p w:rsidR="00F24F71" w:rsidRPr="009F2A6F" w:rsidRDefault="00F24F71" w:rsidP="006E6115">
            <w:pPr>
              <w:pStyle w:val="BodyText"/>
              <w:rPr>
                <w:sz w:val="20"/>
                <w:szCs w:val="20"/>
              </w:rPr>
            </w:pPr>
            <w:r w:rsidRPr="009F2A6F">
              <w:rPr>
                <w:sz w:val="20"/>
                <w:szCs w:val="20"/>
              </w:rPr>
              <w:t>NSW</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Nutritional Feeding</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Products and Equipment</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01/06/2016 - 31/05/2019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01/06/2019 - 31/05/2023</w:t>
            </w:r>
          </w:p>
        </w:tc>
        <w:tc>
          <w:tcPr>
            <w:tcW w:w="2057" w:type="dxa"/>
          </w:tcPr>
          <w:p w:rsidR="00F24F71" w:rsidRPr="009F2A6F" w:rsidRDefault="00F24F71" w:rsidP="009F2A6F">
            <w:pPr>
              <w:pStyle w:val="BodyText"/>
              <w:jc w:val="right"/>
              <w:rPr>
                <w:sz w:val="20"/>
                <w:szCs w:val="20"/>
              </w:rPr>
            </w:pPr>
            <w:r w:rsidRPr="009F2A6F">
              <w:rPr>
                <w:sz w:val="20"/>
                <w:szCs w:val="20"/>
              </w:rPr>
              <w:t>538 958</w:t>
            </w:r>
          </w:p>
          <w:p w:rsidR="00F24F71" w:rsidRPr="009F2A6F" w:rsidRDefault="00F24F71" w:rsidP="009F2A6F">
            <w:pPr>
              <w:pStyle w:val="BodyText"/>
              <w:jc w:val="right"/>
              <w:rPr>
                <w:sz w:val="20"/>
                <w:szCs w:val="20"/>
              </w:rPr>
            </w:pPr>
            <w:r w:rsidRPr="009F2A6F">
              <w:rPr>
                <w:sz w:val="20"/>
                <w:szCs w:val="20"/>
              </w:rPr>
              <w:t>718 611</w:t>
            </w:r>
          </w:p>
        </w:tc>
      </w:tr>
      <w:tr w:rsidR="00F24F71" w:rsidRPr="009F2A6F" w:rsidTr="009238CA">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Ochre Health Pty Ltd</w:t>
            </w:r>
          </w:p>
        </w:tc>
        <w:tc>
          <w:tcPr>
            <w:tcW w:w="2056" w:type="dxa"/>
          </w:tcPr>
          <w:p w:rsidR="00F24F71" w:rsidRPr="009F2A6F" w:rsidRDefault="00F24F71" w:rsidP="00222594">
            <w:pPr>
              <w:pStyle w:val="BodyText"/>
              <w:rPr>
                <w:sz w:val="20"/>
                <w:szCs w:val="20"/>
              </w:rPr>
            </w:pPr>
            <w:r w:rsidRPr="009F2A6F">
              <w:rPr>
                <w:sz w:val="20"/>
                <w:szCs w:val="20"/>
              </w:rPr>
              <w:t>NSW</w:t>
            </w:r>
            <w:r w:rsidR="00222594">
              <w:rPr>
                <w:sz w:val="20"/>
                <w:szCs w:val="20"/>
              </w:rPr>
              <w:t xml:space="preserve"> </w:t>
            </w:r>
            <w:r w:rsidRPr="009F2A6F">
              <w:rPr>
                <w:sz w:val="20"/>
                <w:szCs w:val="20"/>
              </w:rPr>
              <w:t>#</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Rural Medical Services for</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the Tasmanian West Coast</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and King Island</w:t>
            </w:r>
          </w:p>
        </w:tc>
        <w:tc>
          <w:tcPr>
            <w:tcW w:w="2056" w:type="dxa"/>
          </w:tcPr>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01/01/2016 - 31/12/2020 </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F24F71"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01/01/2021 - 31/12/2025</w:t>
            </w:r>
          </w:p>
        </w:tc>
        <w:tc>
          <w:tcPr>
            <w:tcW w:w="2057" w:type="dxa"/>
          </w:tcPr>
          <w:p w:rsidR="00F24F71" w:rsidRPr="009F2A6F" w:rsidRDefault="00F24F71" w:rsidP="009F2A6F">
            <w:pPr>
              <w:pStyle w:val="BodyText"/>
              <w:jc w:val="right"/>
              <w:rPr>
                <w:sz w:val="20"/>
                <w:szCs w:val="20"/>
              </w:rPr>
            </w:pPr>
            <w:r w:rsidRPr="009F2A6F">
              <w:rPr>
                <w:sz w:val="20"/>
                <w:szCs w:val="20"/>
              </w:rPr>
              <w:t>14 027 799</w:t>
            </w:r>
          </w:p>
          <w:p w:rsidR="00F24F71" w:rsidRPr="009F2A6F" w:rsidRDefault="00F24F71" w:rsidP="009F2A6F">
            <w:pPr>
              <w:pStyle w:val="BodyText"/>
              <w:jc w:val="right"/>
              <w:rPr>
                <w:sz w:val="20"/>
                <w:szCs w:val="20"/>
              </w:rPr>
            </w:pPr>
            <w:r w:rsidRPr="009F2A6F">
              <w:rPr>
                <w:sz w:val="20"/>
                <w:szCs w:val="20"/>
              </w:rPr>
              <w:t>16 262 069</w:t>
            </w:r>
          </w:p>
        </w:tc>
      </w:tr>
      <w:tr w:rsidR="00F24F71" w:rsidRPr="009F2A6F" w:rsidTr="009238CA">
        <w:tc>
          <w:tcPr>
            <w:tcW w:w="2056" w:type="dxa"/>
          </w:tcPr>
          <w:p w:rsidR="00F24F71" w:rsidRPr="009F2A6F" w:rsidRDefault="00103528"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Ochre Health Pty Ltd</w:t>
            </w:r>
          </w:p>
        </w:tc>
        <w:tc>
          <w:tcPr>
            <w:tcW w:w="2056" w:type="dxa"/>
          </w:tcPr>
          <w:p w:rsidR="00F24F71" w:rsidRPr="009F2A6F" w:rsidRDefault="00103528" w:rsidP="006E6115">
            <w:pPr>
              <w:pStyle w:val="BodyText"/>
              <w:rPr>
                <w:sz w:val="20"/>
                <w:szCs w:val="20"/>
              </w:rPr>
            </w:pPr>
            <w:r w:rsidRPr="009F2A6F">
              <w:rPr>
                <w:sz w:val="20"/>
                <w:szCs w:val="20"/>
              </w:rPr>
              <w:t>NSW #</w:t>
            </w:r>
          </w:p>
        </w:tc>
        <w:tc>
          <w:tcPr>
            <w:tcW w:w="2056" w:type="dxa"/>
          </w:tcPr>
          <w:p w:rsidR="00103528"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Rural Medical Services for St</w:t>
            </w:r>
          </w:p>
          <w:p w:rsidR="00103528"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Helens, Flinders Island and</w:t>
            </w:r>
          </w:p>
          <w:p w:rsidR="00F24F71"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Cape Barren Island</w:t>
            </w:r>
          </w:p>
        </w:tc>
        <w:tc>
          <w:tcPr>
            <w:tcW w:w="2056" w:type="dxa"/>
          </w:tcPr>
          <w:p w:rsidR="00103528"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01/07/2016 - 31/12/2020 </w:t>
            </w:r>
          </w:p>
          <w:p w:rsidR="00103528"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F24F71" w:rsidRPr="009F2A6F" w:rsidRDefault="00103528" w:rsidP="00103528">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01/01/2021 - 31/12/2025</w:t>
            </w:r>
          </w:p>
        </w:tc>
        <w:tc>
          <w:tcPr>
            <w:tcW w:w="2057" w:type="dxa"/>
          </w:tcPr>
          <w:p w:rsidR="00F24F71" w:rsidRPr="009F2A6F" w:rsidRDefault="00103528" w:rsidP="009F2A6F">
            <w:pPr>
              <w:pStyle w:val="BodyText"/>
              <w:jc w:val="right"/>
              <w:rPr>
                <w:sz w:val="20"/>
                <w:szCs w:val="20"/>
              </w:rPr>
            </w:pPr>
            <w:r w:rsidRPr="009F2A6F">
              <w:rPr>
                <w:sz w:val="20"/>
                <w:szCs w:val="20"/>
              </w:rPr>
              <w:t>8 054 048</w:t>
            </w:r>
          </w:p>
          <w:p w:rsidR="00103528" w:rsidRPr="009F2A6F" w:rsidRDefault="00103528" w:rsidP="009F2A6F">
            <w:pPr>
              <w:pStyle w:val="BodyText"/>
              <w:jc w:val="right"/>
              <w:rPr>
                <w:sz w:val="20"/>
                <w:szCs w:val="20"/>
              </w:rPr>
            </w:pPr>
            <w:r w:rsidRPr="009F2A6F">
              <w:rPr>
                <w:sz w:val="20"/>
                <w:szCs w:val="20"/>
              </w:rPr>
              <w:t>10 318 852</w:t>
            </w:r>
          </w:p>
        </w:tc>
      </w:tr>
      <w:tr w:rsidR="00103528" w:rsidRPr="009F2A6F" w:rsidTr="009238CA">
        <w:tc>
          <w:tcPr>
            <w:tcW w:w="2056" w:type="dxa"/>
          </w:tcPr>
          <w:p w:rsidR="00103528" w:rsidRPr="009F2A6F" w:rsidRDefault="0093000C" w:rsidP="00F24F71">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Olympus Australia Pty Ltd</w:t>
            </w:r>
          </w:p>
        </w:tc>
        <w:tc>
          <w:tcPr>
            <w:tcW w:w="2056" w:type="dxa"/>
          </w:tcPr>
          <w:p w:rsidR="00103528" w:rsidRPr="009F2A6F" w:rsidRDefault="0093000C" w:rsidP="006E6115">
            <w:pPr>
              <w:pStyle w:val="BodyText"/>
              <w:rPr>
                <w:sz w:val="20"/>
                <w:szCs w:val="20"/>
              </w:rPr>
            </w:pPr>
            <w:r w:rsidRPr="009F2A6F">
              <w:rPr>
                <w:sz w:val="20"/>
                <w:szCs w:val="20"/>
              </w:rPr>
              <w:t>VIC</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NWRH - Operating Theatre</w:t>
            </w:r>
          </w:p>
          <w:p w:rsidR="00103528"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Endoscopy Equipment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07/12/2015</w:t>
            </w:r>
          </w:p>
          <w:p w:rsidR="00103528"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93000C" w:rsidRPr="009F2A6F" w:rsidRDefault="0093000C" w:rsidP="009F2A6F">
            <w:pPr>
              <w:pStyle w:val="BodyText"/>
              <w:jc w:val="right"/>
              <w:rPr>
                <w:sz w:val="20"/>
                <w:szCs w:val="20"/>
              </w:rPr>
            </w:pPr>
            <w:r w:rsidRPr="009F2A6F">
              <w:rPr>
                <w:sz w:val="20"/>
                <w:szCs w:val="20"/>
              </w:rPr>
              <w:t>223 713</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Oxberry Pty Ltd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(t/a Marcom Watson)</w:t>
            </w:r>
          </w:p>
        </w:tc>
        <w:tc>
          <w:tcPr>
            <w:tcW w:w="2056" w:type="dxa"/>
          </w:tcPr>
          <w:p w:rsidR="0093000C" w:rsidRPr="009F2A6F" w:rsidRDefault="0093000C" w:rsidP="006E6115">
            <w:pPr>
              <w:pStyle w:val="BodyText"/>
              <w:rPr>
                <w:sz w:val="20"/>
                <w:szCs w:val="20"/>
              </w:rPr>
            </w:pPr>
            <w:r w:rsidRPr="009F2A6F">
              <w:rPr>
                <w:sz w:val="20"/>
                <w:szCs w:val="20"/>
              </w:rPr>
              <w:t>TAS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Wilfred Lopes Centre - Two-</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Way Digital Radio System</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22/09/2015 - 31/12/2017</w:t>
            </w:r>
          </w:p>
        </w:tc>
        <w:tc>
          <w:tcPr>
            <w:tcW w:w="2057" w:type="dxa"/>
          </w:tcPr>
          <w:p w:rsidR="0093000C" w:rsidRPr="009F2A6F" w:rsidRDefault="0093000C" w:rsidP="009F2A6F">
            <w:pPr>
              <w:pStyle w:val="BodyText"/>
              <w:jc w:val="right"/>
              <w:rPr>
                <w:sz w:val="20"/>
                <w:szCs w:val="20"/>
              </w:rPr>
            </w:pPr>
            <w:r w:rsidRPr="009F2A6F">
              <w:rPr>
                <w:sz w:val="20"/>
                <w:szCs w:val="20"/>
              </w:rPr>
              <w:t>200 060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Oxberry Pty Ltd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(t/a Marcom Watson)</w:t>
            </w:r>
          </w:p>
        </w:tc>
        <w:tc>
          <w:tcPr>
            <w:tcW w:w="2056" w:type="dxa"/>
          </w:tcPr>
          <w:p w:rsidR="0093000C" w:rsidRPr="009F2A6F" w:rsidRDefault="0093000C" w:rsidP="006E6115">
            <w:pPr>
              <w:pStyle w:val="BodyText"/>
              <w:rPr>
                <w:sz w:val="20"/>
                <w:szCs w:val="20"/>
              </w:rPr>
            </w:pPr>
            <w:r w:rsidRPr="009F2A6F">
              <w:rPr>
                <w:sz w:val="20"/>
                <w:szCs w:val="20"/>
              </w:rPr>
              <w:t>TAS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Wilfred Lopes Centre -</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Duress System</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22/09/2015 - 31/12/2017</w:t>
            </w:r>
          </w:p>
        </w:tc>
        <w:tc>
          <w:tcPr>
            <w:tcW w:w="2057" w:type="dxa"/>
          </w:tcPr>
          <w:p w:rsidR="0093000C" w:rsidRPr="009F2A6F" w:rsidRDefault="0093000C" w:rsidP="009F2A6F">
            <w:pPr>
              <w:pStyle w:val="BodyText"/>
              <w:jc w:val="right"/>
              <w:rPr>
                <w:rFonts w:cs="GillSans-Bold"/>
                <w:bCs/>
                <w:sz w:val="21"/>
                <w:szCs w:val="21"/>
              </w:rPr>
            </w:pPr>
            <w:r w:rsidRPr="009F2A6F">
              <w:rPr>
                <w:rFonts w:cs="GillSans-Bold"/>
                <w:bCs/>
                <w:sz w:val="21"/>
                <w:szCs w:val="21"/>
              </w:rPr>
              <w:t>249 408</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lastRenderedPageBreak/>
              <w:t>Philips Electronics Australia Ltd</w:t>
            </w:r>
          </w:p>
        </w:tc>
        <w:tc>
          <w:tcPr>
            <w:tcW w:w="2056" w:type="dxa"/>
          </w:tcPr>
          <w:p w:rsidR="0093000C" w:rsidRPr="009F2A6F" w:rsidRDefault="0093000C" w:rsidP="006E6115">
            <w:pPr>
              <w:pStyle w:val="BodyText"/>
              <w:rPr>
                <w:sz w:val="20"/>
                <w:szCs w:val="20"/>
              </w:rPr>
            </w:pPr>
            <w:r w:rsidRPr="009F2A6F">
              <w:rPr>
                <w:sz w:val="20"/>
                <w:szCs w:val="20"/>
              </w:rPr>
              <w:t>VIC</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LGH - Neonatal Monitoring</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Equipment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28/01/2016</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93000C" w:rsidRPr="009F2A6F" w:rsidRDefault="0093000C" w:rsidP="009F2A6F">
            <w:pPr>
              <w:pStyle w:val="BodyText"/>
              <w:jc w:val="right"/>
              <w:rPr>
                <w:rFonts w:cs="GillSans-Bold"/>
                <w:bCs/>
                <w:sz w:val="21"/>
                <w:szCs w:val="21"/>
              </w:rPr>
            </w:pPr>
            <w:r w:rsidRPr="009F2A6F">
              <w:rPr>
                <w:rFonts w:cs="GillSans-Bold"/>
                <w:bCs/>
                <w:sz w:val="21"/>
                <w:szCs w:val="21"/>
              </w:rPr>
              <w:t>96 389</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Philips Electronics Australia Ltd</w:t>
            </w:r>
          </w:p>
        </w:tc>
        <w:tc>
          <w:tcPr>
            <w:tcW w:w="2056" w:type="dxa"/>
          </w:tcPr>
          <w:p w:rsidR="0093000C" w:rsidRPr="009F2A6F" w:rsidRDefault="0093000C" w:rsidP="006E6115">
            <w:pPr>
              <w:pStyle w:val="BodyText"/>
              <w:rPr>
                <w:sz w:val="20"/>
                <w:szCs w:val="20"/>
              </w:rPr>
            </w:pPr>
            <w:r w:rsidRPr="009F2A6F">
              <w:rPr>
                <w:sz w:val="20"/>
                <w:szCs w:val="20"/>
              </w:rPr>
              <w:t>VIC</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NWRH - Patient Monitoring</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Equipment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05/10/2015</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tc>
        <w:tc>
          <w:tcPr>
            <w:tcW w:w="2057" w:type="dxa"/>
          </w:tcPr>
          <w:p w:rsidR="0093000C" w:rsidRPr="009F2A6F" w:rsidRDefault="0093000C" w:rsidP="009F2A6F">
            <w:pPr>
              <w:pStyle w:val="BodyText"/>
              <w:jc w:val="right"/>
              <w:rPr>
                <w:rFonts w:cs="GillSans-Bold"/>
                <w:bCs/>
                <w:sz w:val="21"/>
                <w:szCs w:val="21"/>
              </w:rPr>
            </w:pPr>
            <w:r w:rsidRPr="009F2A6F">
              <w:rPr>
                <w:rFonts w:cs="GillSans-Bold"/>
                <w:bCs/>
                <w:sz w:val="21"/>
                <w:szCs w:val="21"/>
              </w:rPr>
              <w:t>75 048</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Presbyterian Care Tasmania Inc</w:t>
            </w:r>
          </w:p>
        </w:tc>
        <w:tc>
          <w:tcPr>
            <w:tcW w:w="2056" w:type="dxa"/>
          </w:tcPr>
          <w:p w:rsidR="0093000C" w:rsidRPr="009F2A6F" w:rsidRDefault="0093000C" w:rsidP="006E6115">
            <w:pPr>
              <w:pStyle w:val="BodyText"/>
              <w:rPr>
                <w:sz w:val="20"/>
                <w:szCs w:val="20"/>
              </w:rPr>
            </w:pPr>
            <w:r w:rsidRPr="009F2A6F">
              <w:rPr>
                <w:sz w:val="20"/>
                <w:szCs w:val="20"/>
              </w:rPr>
              <w:t>TAS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Transition Care Program</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Flexible Residential Care</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Packages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01/02/2016 - 31/01/2019 </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01/02/2019 - 31/01/2021</w:t>
            </w:r>
          </w:p>
        </w:tc>
        <w:tc>
          <w:tcPr>
            <w:tcW w:w="2057" w:type="dxa"/>
          </w:tcPr>
          <w:p w:rsidR="0093000C" w:rsidRPr="009F2A6F" w:rsidRDefault="0093000C" w:rsidP="009F2A6F">
            <w:pPr>
              <w:pStyle w:val="BodyText"/>
              <w:jc w:val="right"/>
              <w:rPr>
                <w:sz w:val="20"/>
                <w:szCs w:val="20"/>
              </w:rPr>
            </w:pPr>
            <w:r w:rsidRPr="009F2A6F">
              <w:rPr>
                <w:sz w:val="20"/>
                <w:szCs w:val="20"/>
              </w:rPr>
              <w:t>2 558 095</w:t>
            </w:r>
          </w:p>
          <w:p w:rsidR="0093000C" w:rsidRPr="009F2A6F" w:rsidRDefault="0093000C" w:rsidP="009F2A6F">
            <w:pPr>
              <w:pStyle w:val="BodyText"/>
              <w:jc w:val="right"/>
              <w:rPr>
                <w:rFonts w:cs="GillSans-Bold"/>
                <w:bCs/>
                <w:sz w:val="21"/>
                <w:szCs w:val="21"/>
              </w:rPr>
            </w:pPr>
            <w:r w:rsidRPr="009F2A6F">
              <w:rPr>
                <w:rFonts w:cs="GillSans-Bold"/>
                <w:bCs/>
                <w:sz w:val="21"/>
                <w:szCs w:val="21"/>
              </w:rPr>
              <w:br/>
            </w:r>
            <w:r w:rsidRPr="009F2A6F">
              <w:rPr>
                <w:sz w:val="20"/>
                <w:szCs w:val="20"/>
              </w:rPr>
              <w:t>1 705 397</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Sexton Trading Company</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Pty Ltd</w:t>
            </w:r>
          </w:p>
        </w:tc>
        <w:tc>
          <w:tcPr>
            <w:tcW w:w="2056" w:type="dxa"/>
          </w:tcPr>
          <w:p w:rsidR="0093000C" w:rsidRPr="009F2A6F" w:rsidRDefault="0093000C" w:rsidP="006E6115">
            <w:pPr>
              <w:pStyle w:val="BodyText"/>
              <w:rPr>
                <w:sz w:val="20"/>
                <w:szCs w:val="20"/>
              </w:rPr>
            </w:pPr>
            <w:r w:rsidRPr="009F2A6F">
              <w:rPr>
                <w:sz w:val="20"/>
                <w:szCs w:val="20"/>
              </w:rPr>
              <w:t>QLD</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93000C" w:rsidRPr="009F2A6F" w:rsidRDefault="0093000C" w:rsidP="009F2A6F">
            <w:pPr>
              <w:pStyle w:val="BodyText"/>
              <w:jc w:val="right"/>
              <w:rPr>
                <w:sz w:val="20"/>
                <w:szCs w:val="20"/>
              </w:rPr>
            </w:pPr>
            <w:r w:rsidRPr="009F2A6F">
              <w:rPr>
                <w:sz w:val="20"/>
                <w:szCs w:val="20"/>
              </w:rPr>
              <w:t>0</w:t>
            </w:r>
          </w:p>
          <w:p w:rsidR="0093000C" w:rsidRPr="009F2A6F" w:rsidRDefault="0093000C" w:rsidP="009F2A6F">
            <w:pPr>
              <w:pStyle w:val="BodyText"/>
              <w:jc w:val="right"/>
              <w:rPr>
                <w:sz w:val="20"/>
                <w:szCs w:val="20"/>
              </w:rPr>
            </w:pPr>
            <w:r w:rsidRPr="009F2A6F">
              <w:rPr>
                <w:sz w:val="20"/>
                <w:szCs w:val="20"/>
              </w:rPr>
              <w:t>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Siemens Healthcare Pty Ltd</w:t>
            </w:r>
          </w:p>
        </w:tc>
        <w:tc>
          <w:tcPr>
            <w:tcW w:w="2056" w:type="dxa"/>
          </w:tcPr>
          <w:p w:rsidR="0093000C" w:rsidRPr="009F2A6F" w:rsidRDefault="0093000C" w:rsidP="00222594">
            <w:pPr>
              <w:pStyle w:val="BodyText"/>
              <w:rPr>
                <w:sz w:val="20"/>
                <w:szCs w:val="20"/>
              </w:rPr>
            </w:pPr>
            <w:r w:rsidRPr="009F2A6F">
              <w:rPr>
                <w:sz w:val="20"/>
                <w:szCs w:val="20"/>
              </w:rPr>
              <w:t>VIC</w:t>
            </w:r>
            <w:r w:rsidR="00222594">
              <w:rPr>
                <w:sz w:val="20"/>
                <w:szCs w:val="20"/>
              </w:rPr>
              <w:t xml:space="preserve"> </w:t>
            </w:r>
            <w:r w:rsidRPr="009F2A6F">
              <w:rPr>
                <w:sz w:val="20"/>
                <w:szCs w:val="20"/>
              </w:rPr>
              <w: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LGH - Fluoroscopic Imaging</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Equipment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01/05/2016 - 01/08/2026</w:t>
            </w:r>
          </w:p>
        </w:tc>
        <w:tc>
          <w:tcPr>
            <w:tcW w:w="2057" w:type="dxa"/>
          </w:tcPr>
          <w:p w:rsidR="0093000C" w:rsidRPr="009F2A6F" w:rsidRDefault="0093000C" w:rsidP="009F2A6F">
            <w:pPr>
              <w:pStyle w:val="BodyText"/>
              <w:jc w:val="right"/>
              <w:rPr>
                <w:sz w:val="20"/>
                <w:szCs w:val="20"/>
              </w:rPr>
            </w:pPr>
            <w:r w:rsidRPr="009F2A6F">
              <w:rPr>
                <w:sz w:val="20"/>
                <w:szCs w:val="20"/>
              </w:rPr>
              <w:t>1 249 330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Siemens Ltd Healthcare Sector</w:t>
            </w:r>
          </w:p>
        </w:tc>
        <w:tc>
          <w:tcPr>
            <w:tcW w:w="2056" w:type="dxa"/>
          </w:tcPr>
          <w:p w:rsidR="0093000C" w:rsidRPr="009F2A6F" w:rsidRDefault="0093000C" w:rsidP="006E6115">
            <w:pPr>
              <w:pStyle w:val="BodyText"/>
              <w:rPr>
                <w:sz w:val="20"/>
                <w:szCs w:val="20"/>
              </w:rPr>
            </w:pPr>
            <w:r w:rsidRPr="009F2A6F">
              <w:rPr>
                <w:sz w:val="20"/>
                <w:szCs w:val="20"/>
              </w:rPr>
              <w:t>NSW</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Department</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of Medical Imaging -</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Refurbishment of two</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Ultrasound Machines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01/08/2015</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(one-off purchase)</w:t>
            </w:r>
          </w:p>
          <w:p w:rsidR="0093000C" w:rsidRPr="009F2A6F" w:rsidRDefault="0093000C" w:rsidP="0093000C">
            <w:pPr>
              <w:ind w:firstLine="720"/>
              <w:rPr>
                <w:rFonts w:ascii="Gill Sans MT" w:hAnsi="Gill Sans MT" w:cs="GillSans-Light"/>
                <w:sz w:val="20"/>
                <w:szCs w:val="20"/>
              </w:rPr>
            </w:pPr>
          </w:p>
        </w:tc>
        <w:tc>
          <w:tcPr>
            <w:tcW w:w="2057" w:type="dxa"/>
          </w:tcPr>
          <w:p w:rsidR="0093000C" w:rsidRPr="009F2A6F" w:rsidRDefault="0093000C" w:rsidP="009F2A6F">
            <w:pPr>
              <w:pStyle w:val="BodyText"/>
              <w:jc w:val="right"/>
              <w:rPr>
                <w:sz w:val="20"/>
                <w:szCs w:val="20"/>
              </w:rPr>
            </w:pPr>
            <w:r w:rsidRPr="009F2A6F">
              <w:rPr>
                <w:sz w:val="20"/>
                <w:szCs w:val="20"/>
              </w:rPr>
              <w:t>100 000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Stryker Australia Pty Ltd</w:t>
            </w:r>
          </w:p>
        </w:tc>
        <w:tc>
          <w:tcPr>
            <w:tcW w:w="2056" w:type="dxa"/>
          </w:tcPr>
          <w:p w:rsidR="0093000C" w:rsidRPr="009F2A6F" w:rsidRDefault="0093000C" w:rsidP="006E6115">
            <w:pPr>
              <w:pStyle w:val="BodyText"/>
              <w:rPr>
                <w:sz w:val="20"/>
                <w:szCs w:val="20"/>
              </w:rPr>
            </w:pPr>
            <w:r w:rsidRPr="009F2A6F">
              <w:rPr>
                <w:sz w:val="20"/>
                <w:szCs w:val="20"/>
              </w:rPr>
              <w:t>NSW</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Supply of hospital beds,</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mattresses, trolleys, associated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 and services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 xml:space="preserve">01/11/2015 - 31/10/2018 </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Option to extend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01/11/2018 - 31/10/2020</w:t>
            </w:r>
          </w:p>
        </w:tc>
        <w:tc>
          <w:tcPr>
            <w:tcW w:w="2057" w:type="dxa"/>
          </w:tcPr>
          <w:p w:rsidR="0093000C" w:rsidRPr="009F2A6F" w:rsidRDefault="0093000C" w:rsidP="009F2A6F">
            <w:pPr>
              <w:pStyle w:val="BodyText"/>
              <w:jc w:val="right"/>
              <w:rPr>
                <w:sz w:val="20"/>
                <w:szCs w:val="20"/>
              </w:rPr>
            </w:pPr>
            <w:r w:rsidRPr="009F2A6F">
              <w:rPr>
                <w:sz w:val="20"/>
                <w:szCs w:val="20"/>
              </w:rPr>
              <w:t>0</w:t>
            </w:r>
          </w:p>
          <w:p w:rsidR="0093000C" w:rsidRPr="009F2A6F" w:rsidRDefault="0093000C" w:rsidP="009F2A6F">
            <w:pPr>
              <w:pStyle w:val="BodyText"/>
              <w:jc w:val="right"/>
              <w:rPr>
                <w:sz w:val="20"/>
                <w:szCs w:val="20"/>
              </w:rPr>
            </w:pPr>
            <w:r w:rsidRPr="009F2A6F">
              <w:rPr>
                <w:sz w:val="20"/>
                <w:szCs w:val="20"/>
              </w:rPr>
              <w:t>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Sultan Holdings Pty Ltd</w:t>
            </w:r>
          </w:p>
        </w:tc>
        <w:tc>
          <w:tcPr>
            <w:tcW w:w="2056" w:type="dxa"/>
          </w:tcPr>
          <w:p w:rsidR="0093000C" w:rsidRPr="009F2A6F" w:rsidRDefault="0093000C" w:rsidP="006E6115">
            <w:pPr>
              <w:pStyle w:val="BodyText"/>
              <w:rPr>
                <w:sz w:val="20"/>
                <w:szCs w:val="20"/>
              </w:rPr>
            </w:pPr>
            <w:r w:rsidRPr="009F2A6F">
              <w:rPr>
                <w:sz w:val="20"/>
                <w:szCs w:val="20"/>
              </w:rPr>
              <w:t>TAS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Provision of car</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parking spaces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01/11/2015 - 31/10/2018</w:t>
            </w:r>
          </w:p>
        </w:tc>
        <w:tc>
          <w:tcPr>
            <w:tcW w:w="2057" w:type="dxa"/>
          </w:tcPr>
          <w:p w:rsidR="0093000C" w:rsidRPr="009F2A6F" w:rsidRDefault="0093000C" w:rsidP="009F2A6F">
            <w:pPr>
              <w:pStyle w:val="BodyText"/>
              <w:jc w:val="right"/>
              <w:rPr>
                <w:sz w:val="20"/>
                <w:szCs w:val="20"/>
              </w:rPr>
            </w:pPr>
            <w:r w:rsidRPr="009F2A6F">
              <w:rPr>
                <w:sz w:val="20"/>
                <w:szCs w:val="20"/>
              </w:rPr>
              <w:t>2 320 000</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Toshiba (Australia) Pty Ltd</w:t>
            </w:r>
          </w:p>
        </w:tc>
        <w:tc>
          <w:tcPr>
            <w:tcW w:w="2056" w:type="dxa"/>
          </w:tcPr>
          <w:p w:rsidR="0093000C" w:rsidRPr="009F2A6F" w:rsidRDefault="0093000C" w:rsidP="006E6115">
            <w:pPr>
              <w:pStyle w:val="BodyText"/>
              <w:rPr>
                <w:sz w:val="20"/>
                <w:szCs w:val="20"/>
              </w:rPr>
            </w:pPr>
            <w:r w:rsidRPr="009F2A6F">
              <w:rPr>
                <w:sz w:val="20"/>
                <w:szCs w:val="20"/>
              </w:rPr>
              <w:t>VIC</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NWRH - CT Simulator and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Accessories</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20/08/2015 - 28/02/2026</w:t>
            </w:r>
          </w:p>
        </w:tc>
        <w:tc>
          <w:tcPr>
            <w:tcW w:w="2057" w:type="dxa"/>
          </w:tcPr>
          <w:p w:rsidR="0093000C" w:rsidRPr="009F2A6F" w:rsidRDefault="0093000C" w:rsidP="009F2A6F">
            <w:pPr>
              <w:pStyle w:val="BodyText"/>
              <w:jc w:val="right"/>
              <w:rPr>
                <w:sz w:val="20"/>
                <w:szCs w:val="20"/>
              </w:rPr>
            </w:pPr>
            <w:r w:rsidRPr="009F2A6F">
              <w:rPr>
                <w:sz w:val="20"/>
                <w:szCs w:val="20"/>
              </w:rPr>
              <w:t>1 414 013</w:t>
            </w:r>
          </w:p>
        </w:tc>
      </w:tr>
      <w:tr w:rsidR="0093000C" w:rsidRPr="009F2A6F" w:rsidTr="009238CA">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TRUMPF Med (Aust) Pty Ltd</w:t>
            </w:r>
          </w:p>
        </w:tc>
        <w:tc>
          <w:tcPr>
            <w:tcW w:w="2056" w:type="dxa"/>
          </w:tcPr>
          <w:p w:rsidR="0093000C" w:rsidRPr="009F2A6F" w:rsidRDefault="0093000C" w:rsidP="006E6115">
            <w:pPr>
              <w:pStyle w:val="BodyText"/>
              <w:rPr>
                <w:sz w:val="20"/>
                <w:szCs w:val="20"/>
              </w:rPr>
            </w:pPr>
            <w:r w:rsidRPr="009F2A6F">
              <w:rPr>
                <w:sz w:val="20"/>
                <w:szCs w:val="20"/>
              </w:rPr>
              <w:t>NSW</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LGH - Provision of Operating</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Theatre Tables and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Equipment</w:t>
            </w:r>
          </w:p>
        </w:tc>
        <w:tc>
          <w:tcPr>
            <w:tcW w:w="2056" w:type="dxa"/>
          </w:tcPr>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28/02/2016 - 27/02/2017 Option to extend</w:t>
            </w:r>
          </w:p>
          <w:p w:rsidR="0093000C" w:rsidRPr="009F2A6F" w:rsidRDefault="0093000C"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28/02/2017 - 27/02/2019</w:t>
            </w:r>
          </w:p>
        </w:tc>
        <w:tc>
          <w:tcPr>
            <w:tcW w:w="2057" w:type="dxa"/>
          </w:tcPr>
          <w:p w:rsidR="009F2A6F" w:rsidRPr="009F2A6F" w:rsidRDefault="009F2A6F" w:rsidP="009F2A6F">
            <w:pPr>
              <w:autoSpaceDE w:val="0"/>
              <w:autoSpaceDN w:val="0"/>
              <w:adjustRightInd w:val="0"/>
              <w:jc w:val="right"/>
              <w:rPr>
                <w:rFonts w:ascii="Gill Sans MT" w:hAnsi="Gill Sans MT" w:cs="GillSans-Light"/>
                <w:sz w:val="20"/>
                <w:szCs w:val="20"/>
              </w:rPr>
            </w:pPr>
            <w:r w:rsidRPr="009F2A6F">
              <w:rPr>
                <w:rFonts w:ascii="Gill Sans MT" w:hAnsi="Gill Sans MT" w:cs="GillSans-Light"/>
                <w:sz w:val="20"/>
                <w:szCs w:val="20"/>
              </w:rPr>
              <w:t>262 270</w:t>
            </w:r>
          </w:p>
          <w:p w:rsidR="0093000C" w:rsidRPr="009F2A6F" w:rsidRDefault="0093000C" w:rsidP="009F2A6F">
            <w:pPr>
              <w:pStyle w:val="BodyText"/>
              <w:jc w:val="right"/>
              <w:rPr>
                <w:sz w:val="20"/>
                <w:szCs w:val="20"/>
              </w:rPr>
            </w:pPr>
          </w:p>
          <w:p w:rsidR="009F2A6F" w:rsidRPr="009F2A6F" w:rsidRDefault="009F2A6F" w:rsidP="009F2A6F">
            <w:pPr>
              <w:pStyle w:val="BodyText"/>
              <w:jc w:val="right"/>
              <w:rPr>
                <w:sz w:val="20"/>
                <w:szCs w:val="20"/>
              </w:rPr>
            </w:pPr>
            <w:r w:rsidRPr="009F2A6F">
              <w:rPr>
                <w:sz w:val="20"/>
                <w:szCs w:val="20"/>
              </w:rPr>
              <w:t>0</w:t>
            </w:r>
          </w:p>
        </w:tc>
      </w:tr>
      <w:tr w:rsidR="009F2A6F" w:rsidRPr="009F2A6F" w:rsidTr="009238CA">
        <w:tc>
          <w:tcPr>
            <w:tcW w:w="2056" w:type="dxa"/>
          </w:tcPr>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Varian Medical Systems</w:t>
            </w:r>
          </w:p>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Australasia Pty Ltd</w:t>
            </w:r>
          </w:p>
        </w:tc>
        <w:tc>
          <w:tcPr>
            <w:tcW w:w="2056" w:type="dxa"/>
          </w:tcPr>
          <w:p w:rsidR="009F2A6F" w:rsidRPr="009F2A6F" w:rsidRDefault="009F2A6F" w:rsidP="006E6115">
            <w:pPr>
              <w:pStyle w:val="BodyText"/>
              <w:rPr>
                <w:sz w:val="20"/>
                <w:szCs w:val="20"/>
              </w:rPr>
            </w:pPr>
            <w:r w:rsidRPr="009F2A6F">
              <w:rPr>
                <w:sz w:val="20"/>
                <w:szCs w:val="20"/>
              </w:rPr>
              <w:t>NSW</w:t>
            </w:r>
          </w:p>
        </w:tc>
        <w:tc>
          <w:tcPr>
            <w:tcW w:w="2056" w:type="dxa"/>
          </w:tcPr>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Equicare Active Patient</w:t>
            </w:r>
          </w:p>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Portal</w:t>
            </w:r>
          </w:p>
        </w:tc>
        <w:tc>
          <w:tcPr>
            <w:tcW w:w="2056" w:type="dxa"/>
          </w:tcPr>
          <w:p w:rsidR="009F2A6F" w:rsidRPr="009F2A6F" w:rsidRDefault="009F2A6F"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31/03/2016 - 01/12/2025</w:t>
            </w:r>
          </w:p>
        </w:tc>
        <w:tc>
          <w:tcPr>
            <w:tcW w:w="2057" w:type="dxa"/>
          </w:tcPr>
          <w:p w:rsidR="009F2A6F" w:rsidRPr="009F2A6F" w:rsidRDefault="009F2A6F" w:rsidP="009F2A6F">
            <w:pPr>
              <w:autoSpaceDE w:val="0"/>
              <w:autoSpaceDN w:val="0"/>
              <w:adjustRightInd w:val="0"/>
              <w:jc w:val="right"/>
              <w:rPr>
                <w:rFonts w:ascii="Gill Sans MT" w:hAnsi="Gill Sans MT" w:cs="GillSans-Light"/>
                <w:sz w:val="20"/>
                <w:szCs w:val="20"/>
              </w:rPr>
            </w:pPr>
            <w:r w:rsidRPr="009F2A6F">
              <w:rPr>
                <w:rFonts w:ascii="Gill Sans MT" w:hAnsi="Gill Sans MT" w:cs="GillSans-Light"/>
                <w:sz w:val="20"/>
                <w:szCs w:val="20"/>
              </w:rPr>
              <w:t>173 933</w:t>
            </w:r>
          </w:p>
        </w:tc>
      </w:tr>
      <w:tr w:rsidR="009F2A6F" w:rsidRPr="009F2A6F" w:rsidTr="009238CA">
        <w:tc>
          <w:tcPr>
            <w:tcW w:w="2056" w:type="dxa"/>
          </w:tcPr>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Vision Software Solutions</w:t>
            </w:r>
          </w:p>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Pty Ltd</w:t>
            </w:r>
          </w:p>
        </w:tc>
        <w:tc>
          <w:tcPr>
            <w:tcW w:w="2056" w:type="dxa"/>
          </w:tcPr>
          <w:p w:rsidR="009F2A6F" w:rsidRPr="009F2A6F" w:rsidRDefault="009F2A6F" w:rsidP="006E6115">
            <w:pPr>
              <w:pStyle w:val="BodyText"/>
              <w:rPr>
                <w:sz w:val="20"/>
                <w:szCs w:val="20"/>
              </w:rPr>
            </w:pPr>
            <w:r w:rsidRPr="009F2A6F">
              <w:rPr>
                <w:sz w:val="20"/>
                <w:szCs w:val="20"/>
              </w:rPr>
              <w:t>QLD</w:t>
            </w:r>
          </w:p>
        </w:tc>
        <w:tc>
          <w:tcPr>
            <w:tcW w:w="2056" w:type="dxa"/>
          </w:tcPr>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RHH - Clinical Information</w:t>
            </w:r>
          </w:p>
          <w:p w:rsidR="009F2A6F" w:rsidRPr="009F2A6F" w:rsidRDefault="009F2A6F" w:rsidP="009F2A6F">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System</w:t>
            </w:r>
          </w:p>
        </w:tc>
        <w:tc>
          <w:tcPr>
            <w:tcW w:w="2056" w:type="dxa"/>
          </w:tcPr>
          <w:p w:rsidR="009F2A6F" w:rsidRPr="009F2A6F" w:rsidRDefault="009F2A6F" w:rsidP="0093000C">
            <w:pPr>
              <w:autoSpaceDE w:val="0"/>
              <w:autoSpaceDN w:val="0"/>
              <w:adjustRightInd w:val="0"/>
              <w:rPr>
                <w:rFonts w:ascii="Gill Sans MT" w:hAnsi="Gill Sans MT" w:cs="GillSans-Light"/>
                <w:sz w:val="20"/>
                <w:szCs w:val="20"/>
              </w:rPr>
            </w:pPr>
            <w:r w:rsidRPr="009F2A6F">
              <w:rPr>
                <w:rFonts w:ascii="Gill Sans MT" w:hAnsi="Gill Sans MT" w:cs="GillSans-Light"/>
                <w:sz w:val="20"/>
                <w:szCs w:val="20"/>
              </w:rPr>
              <w:t>31/03/2016 - 30/03/2021</w:t>
            </w:r>
          </w:p>
        </w:tc>
        <w:tc>
          <w:tcPr>
            <w:tcW w:w="2057" w:type="dxa"/>
          </w:tcPr>
          <w:p w:rsidR="009F2A6F" w:rsidRPr="009F2A6F" w:rsidRDefault="009F2A6F" w:rsidP="009F2A6F">
            <w:pPr>
              <w:autoSpaceDE w:val="0"/>
              <w:autoSpaceDN w:val="0"/>
              <w:adjustRightInd w:val="0"/>
              <w:jc w:val="right"/>
              <w:rPr>
                <w:rFonts w:ascii="Gill Sans MT" w:hAnsi="Gill Sans MT" w:cs="GillSans-Light"/>
                <w:sz w:val="20"/>
                <w:szCs w:val="20"/>
              </w:rPr>
            </w:pPr>
            <w:r w:rsidRPr="009F2A6F">
              <w:rPr>
                <w:rFonts w:ascii="Gill Sans MT" w:hAnsi="Gill Sans MT" w:cs="GillSans-Light"/>
                <w:sz w:val="20"/>
                <w:szCs w:val="20"/>
              </w:rPr>
              <w:t>2 319 590</w:t>
            </w:r>
          </w:p>
        </w:tc>
      </w:tr>
    </w:tbl>
    <w:p w:rsidR="009F2A6F" w:rsidRDefault="009F2A6F" w:rsidP="009F2A6F">
      <w:pPr>
        <w:autoSpaceDE w:val="0"/>
        <w:autoSpaceDN w:val="0"/>
        <w:adjustRightInd w:val="0"/>
        <w:spacing w:after="0" w:line="240" w:lineRule="auto"/>
        <w:rPr>
          <w:rFonts w:ascii="Gill Sans MT" w:hAnsi="Gill Sans MT" w:cs="GillSans-Bold"/>
          <w:b/>
          <w:bCs/>
          <w:sz w:val="20"/>
          <w:szCs w:val="20"/>
        </w:rPr>
      </w:pPr>
    </w:p>
    <w:p w:rsidR="009F2A6F" w:rsidRPr="009F2A6F" w:rsidRDefault="009F2A6F" w:rsidP="009F2A6F">
      <w:pPr>
        <w:autoSpaceDE w:val="0"/>
        <w:autoSpaceDN w:val="0"/>
        <w:adjustRightInd w:val="0"/>
        <w:spacing w:after="0" w:line="240" w:lineRule="auto"/>
        <w:rPr>
          <w:rFonts w:ascii="Gill Sans MT" w:hAnsi="Gill Sans MT" w:cs="GillSans-Bold"/>
          <w:b/>
          <w:bCs/>
          <w:sz w:val="20"/>
          <w:szCs w:val="20"/>
        </w:rPr>
      </w:pPr>
      <w:r w:rsidRPr="009F2A6F">
        <w:rPr>
          <w:rFonts w:ascii="Gill Sans MT" w:hAnsi="Gill Sans MT" w:cs="GillSans-Bold"/>
          <w:b/>
          <w:bCs/>
          <w:sz w:val="20"/>
          <w:szCs w:val="20"/>
        </w:rPr>
        <w:t>Notes:</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r w:rsidRPr="009F2A6F">
        <w:rPr>
          <w:rFonts w:ascii="Gill Sans MT" w:hAnsi="Gill Sans MT" w:cs="GillSans-Light"/>
          <w:sz w:val="20"/>
          <w:szCs w:val="20"/>
        </w:rPr>
        <w:t xml:space="preserve">1. </w:t>
      </w:r>
      <w:r>
        <w:rPr>
          <w:rFonts w:ascii="Gill Sans MT" w:hAnsi="Gill Sans MT" w:cs="GillSans-Light"/>
          <w:sz w:val="20"/>
          <w:szCs w:val="20"/>
        </w:rPr>
        <w:tab/>
      </w:r>
      <w:r w:rsidRPr="009F2A6F">
        <w:rPr>
          <w:rFonts w:ascii="Gill Sans MT" w:hAnsi="Gill Sans MT" w:cs="GillSans-Light"/>
          <w:sz w:val="20"/>
          <w:szCs w:val="20"/>
        </w:rPr>
        <w:t>Where an overarching procurement process exists (for example Common Use Contracts and Agency Panel arrangements) individual engagements are not</w:t>
      </w:r>
      <w:r>
        <w:rPr>
          <w:rFonts w:ascii="Gill Sans MT" w:hAnsi="Gill Sans MT" w:cs="GillSans-Light"/>
          <w:sz w:val="20"/>
          <w:szCs w:val="20"/>
        </w:rPr>
        <w:t xml:space="preserve"> </w:t>
      </w:r>
      <w:r w:rsidRPr="009F2A6F">
        <w:rPr>
          <w:rFonts w:ascii="Gill Sans MT" w:hAnsi="Gill Sans MT" w:cs="GillSans-Light"/>
          <w:sz w:val="20"/>
          <w:szCs w:val="20"/>
        </w:rPr>
        <w:t>reported.</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r w:rsidRPr="009F2A6F">
        <w:rPr>
          <w:rFonts w:ascii="Gill Sans MT" w:hAnsi="Gill Sans MT" w:cs="GillSans-Light"/>
          <w:sz w:val="20"/>
          <w:szCs w:val="20"/>
        </w:rPr>
        <w:t xml:space="preserve">2. </w:t>
      </w:r>
      <w:r>
        <w:rPr>
          <w:rFonts w:ascii="Gill Sans MT" w:hAnsi="Gill Sans MT" w:cs="GillSans-Light"/>
          <w:sz w:val="20"/>
          <w:szCs w:val="20"/>
        </w:rPr>
        <w:tab/>
      </w:r>
      <w:r w:rsidRPr="009F2A6F">
        <w:rPr>
          <w:rFonts w:ascii="Gill Sans MT" w:hAnsi="Gill Sans MT" w:cs="GillSans-Light"/>
          <w:sz w:val="20"/>
          <w:szCs w:val="20"/>
        </w:rPr>
        <w:t>A ‘0’ contract value signifies a contract for which a value cannot be estimated, being dependent on future requirements.</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proofErr w:type="gramStart"/>
      <w:r w:rsidRPr="009F2A6F">
        <w:rPr>
          <w:rFonts w:ascii="Gill Sans MT" w:hAnsi="Gill Sans MT" w:cs="GillSans-Light"/>
          <w:sz w:val="20"/>
          <w:szCs w:val="20"/>
        </w:rPr>
        <w:t xml:space="preserve">3. </w:t>
      </w:r>
      <w:r>
        <w:rPr>
          <w:rFonts w:ascii="Gill Sans MT" w:hAnsi="Gill Sans MT" w:cs="GillSans-Light"/>
          <w:sz w:val="20"/>
          <w:szCs w:val="20"/>
        </w:rPr>
        <w:tab/>
      </w:r>
      <w:r w:rsidRPr="009F2A6F">
        <w:rPr>
          <w:rFonts w:ascii="Gill Sans MT" w:hAnsi="Gill Sans MT" w:cs="GillSans-Light"/>
          <w:sz w:val="20"/>
          <w:szCs w:val="20"/>
        </w:rPr>
        <w:t>A ‘#’</w:t>
      </w:r>
      <w:proofErr w:type="gramEnd"/>
      <w:r w:rsidRPr="009F2A6F">
        <w:rPr>
          <w:rFonts w:ascii="Gill Sans MT" w:hAnsi="Gill Sans MT" w:cs="GillSans-Light"/>
          <w:sz w:val="20"/>
          <w:szCs w:val="20"/>
        </w:rPr>
        <w:t xml:space="preserve"> adjacent to a ‘Location’ denotes an organisation whose principal place of business is not in Tasmania but has a permanent office or presence in Tasmania and</w:t>
      </w:r>
      <w:r>
        <w:rPr>
          <w:rFonts w:ascii="Gill Sans MT" w:hAnsi="Gill Sans MT" w:cs="GillSans-Light"/>
          <w:sz w:val="20"/>
          <w:szCs w:val="20"/>
        </w:rPr>
        <w:t xml:space="preserve"> </w:t>
      </w:r>
      <w:r w:rsidRPr="009F2A6F">
        <w:rPr>
          <w:rFonts w:ascii="Gill Sans MT" w:hAnsi="Gill Sans MT" w:cs="GillSans-Light"/>
          <w:sz w:val="20"/>
          <w:szCs w:val="20"/>
        </w:rPr>
        <w:t>employs Tasmanian workers.</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r w:rsidRPr="009F2A6F">
        <w:rPr>
          <w:rFonts w:ascii="Gill Sans MT" w:hAnsi="Gill Sans MT" w:cs="GillSans-Light"/>
          <w:sz w:val="20"/>
          <w:szCs w:val="20"/>
        </w:rPr>
        <w:t xml:space="preserve">4. </w:t>
      </w:r>
      <w:r>
        <w:rPr>
          <w:rFonts w:ascii="Gill Sans MT" w:hAnsi="Gill Sans MT" w:cs="GillSans-Light"/>
          <w:sz w:val="20"/>
          <w:szCs w:val="20"/>
        </w:rPr>
        <w:tab/>
      </w:r>
      <w:r w:rsidRPr="009F2A6F">
        <w:rPr>
          <w:rFonts w:ascii="Gill Sans MT" w:hAnsi="Gill Sans MT" w:cs="GillSans-Light"/>
          <w:sz w:val="20"/>
          <w:szCs w:val="20"/>
        </w:rPr>
        <w:t>Where a commencement date is prior to 1 July 2015 or from 1 July 2016 onwards, the contractual arrangements for the procurement were finalised in 2015-16.</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r w:rsidRPr="009F2A6F">
        <w:rPr>
          <w:rFonts w:ascii="Gill Sans MT" w:hAnsi="Gill Sans MT" w:cs="GillSans-Light"/>
          <w:sz w:val="20"/>
          <w:szCs w:val="20"/>
        </w:rPr>
        <w:lastRenderedPageBreak/>
        <w:t>5.</w:t>
      </w:r>
      <w:r>
        <w:rPr>
          <w:rFonts w:ascii="Gill Sans MT" w:hAnsi="Gill Sans MT" w:cs="GillSans-Light"/>
          <w:sz w:val="20"/>
          <w:szCs w:val="20"/>
        </w:rPr>
        <w:tab/>
      </w:r>
      <w:r w:rsidRPr="009F2A6F">
        <w:rPr>
          <w:rFonts w:ascii="Gill Sans MT" w:hAnsi="Gill Sans MT" w:cs="GillSans-Light"/>
          <w:sz w:val="20"/>
          <w:szCs w:val="20"/>
        </w:rPr>
        <w:t>Contracts with a value of less than $50 000 reported above are those that form part of a combined procurement valued at $50 000 or over.</w:t>
      </w:r>
    </w:p>
    <w:p w:rsidR="009F2A6F" w:rsidRPr="009F2A6F" w:rsidRDefault="009F2A6F" w:rsidP="009F2A6F">
      <w:pPr>
        <w:tabs>
          <w:tab w:val="left" w:pos="567"/>
        </w:tabs>
        <w:autoSpaceDE w:val="0"/>
        <w:autoSpaceDN w:val="0"/>
        <w:adjustRightInd w:val="0"/>
        <w:spacing w:after="0" w:line="240" w:lineRule="auto"/>
        <w:ind w:left="567" w:hanging="567"/>
        <w:rPr>
          <w:rFonts w:ascii="Gill Sans MT" w:hAnsi="Gill Sans MT" w:cs="GillSans-Light"/>
          <w:sz w:val="20"/>
          <w:szCs w:val="20"/>
        </w:rPr>
      </w:pPr>
      <w:r w:rsidRPr="009F2A6F">
        <w:rPr>
          <w:rFonts w:ascii="Gill Sans MT" w:hAnsi="Gill Sans MT" w:cs="GillSans-Light"/>
          <w:sz w:val="20"/>
          <w:szCs w:val="20"/>
        </w:rPr>
        <w:t>6.</w:t>
      </w:r>
      <w:r>
        <w:rPr>
          <w:rFonts w:ascii="Gill Sans MT" w:hAnsi="Gill Sans MT" w:cs="GillSans-Light"/>
          <w:sz w:val="20"/>
          <w:szCs w:val="20"/>
        </w:rPr>
        <w:tab/>
      </w:r>
      <w:r w:rsidRPr="009F2A6F">
        <w:rPr>
          <w:rFonts w:ascii="Gill Sans MT" w:hAnsi="Gill Sans MT" w:cs="GillSans-Light"/>
          <w:sz w:val="20"/>
          <w:szCs w:val="20"/>
        </w:rPr>
        <w:t>In accordance with Treasurer’s Instruction 1111, the period of a contract for reporting purposes includes the value, or estimated value, of any possible option to</w:t>
      </w:r>
      <w:r>
        <w:rPr>
          <w:rFonts w:ascii="Gill Sans MT" w:hAnsi="Gill Sans MT" w:cs="GillSans-Light"/>
          <w:sz w:val="20"/>
          <w:szCs w:val="20"/>
        </w:rPr>
        <w:t xml:space="preserve"> </w:t>
      </w:r>
      <w:r w:rsidRPr="009F2A6F">
        <w:rPr>
          <w:rFonts w:ascii="Gill Sans MT" w:hAnsi="Gill Sans MT" w:cs="GillSans-Light"/>
          <w:sz w:val="20"/>
          <w:szCs w:val="20"/>
        </w:rPr>
        <w:t>extend. Where applicable, the principal period of the contract is identified as well as any option to extend; this does not signify that the option has been or will be</w:t>
      </w:r>
      <w:r>
        <w:rPr>
          <w:rFonts w:ascii="Gill Sans MT" w:hAnsi="Gill Sans MT" w:cs="GillSans-Light"/>
          <w:sz w:val="20"/>
          <w:szCs w:val="20"/>
        </w:rPr>
        <w:t xml:space="preserve"> </w:t>
      </w:r>
      <w:r w:rsidRPr="009F2A6F">
        <w:rPr>
          <w:rFonts w:ascii="Gill Sans MT" w:hAnsi="Gill Sans MT" w:cs="GillSans-Light"/>
          <w:sz w:val="20"/>
          <w:szCs w:val="20"/>
        </w:rPr>
        <w:t>exercised by the THS.</w:t>
      </w:r>
    </w:p>
    <w:p w:rsidR="009F2A6F" w:rsidRDefault="009F2A6F" w:rsidP="009F2A6F">
      <w:pPr>
        <w:pStyle w:val="BodyText"/>
        <w:tabs>
          <w:tab w:val="left" w:pos="567"/>
        </w:tabs>
        <w:ind w:left="567" w:hanging="567"/>
        <w:rPr>
          <w:sz w:val="20"/>
          <w:szCs w:val="20"/>
        </w:rPr>
      </w:pPr>
      <w:r w:rsidRPr="009F2A6F">
        <w:rPr>
          <w:sz w:val="20"/>
          <w:szCs w:val="20"/>
        </w:rPr>
        <w:t xml:space="preserve">7. </w:t>
      </w:r>
      <w:r>
        <w:rPr>
          <w:sz w:val="20"/>
          <w:szCs w:val="20"/>
        </w:rPr>
        <w:tab/>
      </w:r>
      <w:r w:rsidRPr="009F2A6F">
        <w:rPr>
          <w:sz w:val="20"/>
          <w:szCs w:val="20"/>
        </w:rPr>
        <w:t>All values exclude GST.</w:t>
      </w:r>
    </w:p>
    <w:p w:rsidR="009F2A6F" w:rsidRDefault="009F2A6F">
      <w:pPr>
        <w:rPr>
          <w:rFonts w:ascii="Gill Sans MT" w:eastAsia="GillSans-Light" w:hAnsi="Gill Sans MT" w:cs="GillSans-Light"/>
          <w:sz w:val="20"/>
          <w:szCs w:val="20"/>
          <w:lang w:val="en-US"/>
        </w:rPr>
      </w:pPr>
      <w:r>
        <w:rPr>
          <w:sz w:val="20"/>
          <w:szCs w:val="20"/>
        </w:rPr>
        <w:br w:type="page"/>
      </w:r>
    </w:p>
    <w:p w:rsidR="00C72B36" w:rsidRDefault="00C72B36" w:rsidP="00C72B36">
      <w:pPr>
        <w:pStyle w:val="Heading4"/>
      </w:pPr>
      <w:r>
        <w:lastRenderedPageBreak/>
        <w:t>Table 4 - Direct/limited submission sourcing</w:t>
      </w:r>
    </w:p>
    <w:p w:rsidR="00C72B36" w:rsidRPr="00C72B36" w:rsidRDefault="00C72B36" w:rsidP="00C72B36">
      <w:pPr>
        <w:pStyle w:val="BodyText"/>
      </w:pPr>
      <w:r w:rsidRPr="00C72B36">
        <w:t>Treasurer’s Instructions 1114 and 1217 provide heads of agencies with the discretion, where specified</w:t>
      </w:r>
    </w:p>
    <w:p w:rsidR="00C72B36" w:rsidRPr="00C72B36" w:rsidRDefault="00C72B36" w:rsidP="00C72B36">
      <w:pPr>
        <w:pStyle w:val="BodyText"/>
      </w:pPr>
      <w:proofErr w:type="gramStart"/>
      <w:r w:rsidRPr="00C72B36">
        <w:t>circumstances</w:t>
      </w:r>
      <w:proofErr w:type="gramEnd"/>
      <w:r w:rsidRPr="00C72B36">
        <w:t xml:space="preserve"> exist, to approve the direct sourcing, or seeking of limited submissions from a supplier or</w:t>
      </w:r>
    </w:p>
    <w:p w:rsidR="00C72B36" w:rsidRPr="00C72B36" w:rsidRDefault="00C72B36" w:rsidP="00C72B36">
      <w:pPr>
        <w:pStyle w:val="BodyText"/>
      </w:pPr>
      <w:proofErr w:type="gramStart"/>
      <w:r w:rsidRPr="00C72B36">
        <w:t>suppliers</w:t>
      </w:r>
      <w:proofErr w:type="gramEnd"/>
      <w:r w:rsidRPr="00C72B36">
        <w:t>, without the need to seek quotations or call for tenders. For the purpose of Instructions 1114 and</w:t>
      </w:r>
    </w:p>
    <w:p w:rsidR="00C72B36" w:rsidRPr="00C72B36" w:rsidRDefault="00C72B36" w:rsidP="00C72B36">
      <w:pPr>
        <w:pStyle w:val="BodyText"/>
      </w:pPr>
      <w:r w:rsidRPr="00C72B36">
        <w:t>1217 the Head of Agency for the THS is the Secretary of the Department of Health and Human Services.</w:t>
      </w:r>
    </w:p>
    <w:p w:rsidR="00C72B36" w:rsidRPr="00C72B36" w:rsidRDefault="00C72B36" w:rsidP="00C72B36">
      <w:pPr>
        <w:pStyle w:val="BodyText"/>
      </w:pPr>
      <w:r w:rsidRPr="00C72B36">
        <w:t>The following table provides details of contracts awarded by the THS in 2015-16 as a result of a process</w:t>
      </w:r>
    </w:p>
    <w:p w:rsidR="009F2A6F" w:rsidRDefault="00C72B36" w:rsidP="00C72B36">
      <w:pPr>
        <w:pStyle w:val="BodyText"/>
      </w:pPr>
      <w:proofErr w:type="gramStart"/>
      <w:r w:rsidRPr="00C72B36">
        <w:t>approved</w:t>
      </w:r>
      <w:proofErr w:type="gramEnd"/>
      <w:r w:rsidRPr="00C72B36">
        <w:t xml:space="preserve"> in accordance with Instructions 1114 and 1217.</w:t>
      </w:r>
    </w:p>
    <w:p w:rsidR="00C72B36" w:rsidRDefault="00C72B36" w:rsidP="00C72B36">
      <w:pPr>
        <w:pStyle w:val="BodyText"/>
      </w:pPr>
    </w:p>
    <w:tbl>
      <w:tblPr>
        <w:tblStyle w:val="TableGrid"/>
        <w:tblW w:w="0" w:type="auto"/>
        <w:tblLook w:val="04A0" w:firstRow="1" w:lastRow="0" w:firstColumn="1" w:lastColumn="0" w:noHBand="0" w:noVBand="1"/>
        <w:tblCaption w:val="Table 4: Direct/limited submission sourcing"/>
      </w:tblPr>
      <w:tblGrid>
        <w:gridCol w:w="2056"/>
        <w:gridCol w:w="2056"/>
        <w:gridCol w:w="4076"/>
        <w:gridCol w:w="1559"/>
      </w:tblGrid>
      <w:tr w:rsidR="001159AC" w:rsidRPr="00D17CA8" w:rsidTr="00D17CA8">
        <w:trPr>
          <w:tblHeader/>
        </w:trPr>
        <w:tc>
          <w:tcPr>
            <w:tcW w:w="2056" w:type="dxa"/>
          </w:tcPr>
          <w:p w:rsidR="001159AC" w:rsidRPr="00D17CA8" w:rsidRDefault="001159AC" w:rsidP="00796C11">
            <w:pPr>
              <w:pStyle w:val="BodyText"/>
              <w:rPr>
                <w:b/>
                <w:sz w:val="20"/>
                <w:szCs w:val="20"/>
              </w:rPr>
            </w:pPr>
            <w:r w:rsidRPr="00D17CA8">
              <w:rPr>
                <w:b/>
                <w:sz w:val="20"/>
                <w:szCs w:val="20"/>
              </w:rPr>
              <w:t>Contractor Name</w:t>
            </w:r>
          </w:p>
        </w:tc>
        <w:tc>
          <w:tcPr>
            <w:tcW w:w="2056" w:type="dxa"/>
          </w:tcPr>
          <w:p w:rsidR="001159AC" w:rsidRPr="00D17CA8" w:rsidRDefault="001159AC" w:rsidP="00796C11">
            <w:pPr>
              <w:pStyle w:val="BodyText"/>
              <w:rPr>
                <w:b/>
                <w:sz w:val="20"/>
                <w:szCs w:val="20"/>
              </w:rPr>
            </w:pPr>
            <w:r w:rsidRPr="00D17CA8">
              <w:rPr>
                <w:b/>
                <w:sz w:val="20"/>
                <w:szCs w:val="20"/>
              </w:rPr>
              <w:t>Contract Description</w:t>
            </w:r>
          </w:p>
        </w:tc>
        <w:tc>
          <w:tcPr>
            <w:tcW w:w="4076" w:type="dxa"/>
          </w:tcPr>
          <w:p w:rsidR="001159AC" w:rsidRPr="00D17CA8" w:rsidRDefault="001159AC" w:rsidP="00796C11">
            <w:pPr>
              <w:pStyle w:val="BodyText"/>
              <w:rPr>
                <w:b/>
                <w:sz w:val="20"/>
                <w:szCs w:val="20"/>
              </w:rPr>
            </w:pPr>
            <w:r w:rsidRPr="00D17CA8">
              <w:rPr>
                <w:b/>
                <w:sz w:val="20"/>
                <w:szCs w:val="20"/>
              </w:rPr>
              <w:t>Reasons for Approval</w:t>
            </w:r>
          </w:p>
        </w:tc>
        <w:tc>
          <w:tcPr>
            <w:tcW w:w="1559" w:type="dxa"/>
          </w:tcPr>
          <w:p w:rsidR="001159AC" w:rsidRPr="00D17CA8" w:rsidRDefault="001159AC" w:rsidP="00796C11">
            <w:pPr>
              <w:pStyle w:val="BodyText"/>
              <w:jc w:val="right"/>
              <w:rPr>
                <w:b/>
                <w:sz w:val="20"/>
                <w:szCs w:val="20"/>
              </w:rPr>
            </w:pPr>
            <w:r w:rsidRPr="00D17CA8">
              <w:rPr>
                <w:b/>
                <w:sz w:val="20"/>
                <w:szCs w:val="20"/>
              </w:rPr>
              <w:t>Total Value $</w:t>
            </w:r>
          </w:p>
        </w:tc>
      </w:tr>
      <w:tr w:rsidR="001159AC" w:rsidRPr="00BD5F88" w:rsidTr="001159AC">
        <w:tc>
          <w:tcPr>
            <w:tcW w:w="2056" w:type="dxa"/>
          </w:tcPr>
          <w:p w:rsidR="001159AC" w:rsidRPr="00BD5F88" w:rsidRDefault="001159AC" w:rsidP="00796C11">
            <w:pPr>
              <w:pStyle w:val="BodyText"/>
              <w:rPr>
                <w:sz w:val="20"/>
                <w:szCs w:val="20"/>
              </w:rPr>
            </w:pPr>
            <w:r w:rsidRPr="00BD5F88">
              <w:rPr>
                <w:sz w:val="20"/>
                <w:szCs w:val="20"/>
              </w:rPr>
              <w:t>AlphaXRT Ltd</w:t>
            </w:r>
          </w:p>
        </w:tc>
        <w:tc>
          <w:tcPr>
            <w:tcW w:w="2056" w:type="dxa"/>
          </w:tcPr>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North West</w:t>
            </w:r>
          </w:p>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Cancer Centre -</w:t>
            </w:r>
          </w:p>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Quality Assurance</w:t>
            </w:r>
          </w:p>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Systems for</w:t>
            </w:r>
          </w:p>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VMAT and IMRT</w:t>
            </w:r>
          </w:p>
          <w:p w:rsidR="001159AC" w:rsidRPr="00BD5F88" w:rsidRDefault="001159AC" w:rsidP="00C72B36">
            <w:pPr>
              <w:pStyle w:val="BodyText"/>
              <w:rPr>
                <w:sz w:val="20"/>
                <w:szCs w:val="20"/>
              </w:rPr>
            </w:pPr>
            <w:r w:rsidRPr="00BD5F88">
              <w:rPr>
                <w:sz w:val="20"/>
                <w:szCs w:val="20"/>
              </w:rPr>
              <w:t>Treatments</w:t>
            </w:r>
          </w:p>
        </w:tc>
        <w:tc>
          <w:tcPr>
            <w:tcW w:w="4076" w:type="dxa"/>
          </w:tcPr>
          <w:p w:rsidR="001159AC" w:rsidRPr="00BD5F88" w:rsidRDefault="001159AC" w:rsidP="00C72B36">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(i) Licencing and Installation - additional deliveries of goods or services by the original supplier or authorised representative that are intended either as replacement parts, extensions or continuing services for existing equipment, software, services or installations, where a</w:t>
            </w:r>
            <w:r w:rsidR="00BD5F88">
              <w:rPr>
                <w:rFonts w:ascii="Gill Sans MT" w:hAnsi="Gill Sans MT" w:cs="GillSans-Light"/>
                <w:sz w:val="20"/>
                <w:szCs w:val="20"/>
              </w:rPr>
              <w:t xml:space="preserve"> </w:t>
            </w:r>
            <w:r w:rsidRPr="00BD5F88">
              <w:rPr>
                <w:rFonts w:ascii="Gill Sans MT" w:hAnsi="Gill Sans MT" w:cs="GillSans-Light"/>
                <w:sz w:val="20"/>
                <w:szCs w:val="20"/>
              </w:rPr>
              <w:t xml:space="preserve">change of supplier would compel the agency to procure goods or services that do not meet requirements of interchangeability with existing equipment; and </w:t>
            </w:r>
          </w:p>
          <w:p w:rsidR="001159AC" w:rsidRPr="00BD5F88" w:rsidRDefault="001159AC" w:rsidP="001159AC">
            <w:pPr>
              <w:autoSpaceDE w:val="0"/>
              <w:autoSpaceDN w:val="0"/>
              <w:adjustRightInd w:val="0"/>
              <w:rPr>
                <w:rFonts w:ascii="Gill Sans MT" w:hAnsi="Gill Sans MT"/>
                <w:sz w:val="20"/>
                <w:szCs w:val="20"/>
              </w:rPr>
            </w:pPr>
            <w:r w:rsidRPr="00BD5F88">
              <w:rPr>
                <w:rFonts w:ascii="Gill Sans MT" w:hAnsi="Gill Sans MT" w:cs="GillSans-Light"/>
                <w:sz w:val="20"/>
                <w:szCs w:val="20"/>
              </w:rPr>
              <w:t>(ii) Maintenance Support Services - the goods or services can be supplied only by a particular supplier and no reasonable alternative or substitute goods or services exist for the protection of patents, copyrights, or other exclusive rights, or proprietary information.</w:t>
            </w:r>
          </w:p>
        </w:tc>
        <w:tc>
          <w:tcPr>
            <w:tcW w:w="1559" w:type="dxa"/>
          </w:tcPr>
          <w:p w:rsidR="001159AC" w:rsidRPr="00BD5F88" w:rsidRDefault="001159AC" w:rsidP="00796C11">
            <w:pPr>
              <w:pStyle w:val="BodyText"/>
              <w:jc w:val="right"/>
              <w:rPr>
                <w:sz w:val="20"/>
                <w:szCs w:val="20"/>
              </w:rPr>
            </w:pPr>
            <w:r w:rsidRPr="00BD5F88">
              <w:rPr>
                <w:sz w:val="20"/>
                <w:szCs w:val="20"/>
              </w:rPr>
              <w:t>197 080</w:t>
            </w: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r w:rsidRPr="00BD5F88">
              <w:rPr>
                <w:sz w:val="20"/>
                <w:szCs w:val="20"/>
              </w:rPr>
              <w:t>46 230</w:t>
            </w:r>
          </w:p>
          <w:p w:rsidR="001159AC" w:rsidRPr="00BD5F88" w:rsidRDefault="001159AC" w:rsidP="00796C11">
            <w:pPr>
              <w:pStyle w:val="BodyText"/>
              <w:jc w:val="right"/>
              <w:rPr>
                <w:sz w:val="20"/>
                <w:szCs w:val="20"/>
              </w:rPr>
            </w:pP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Boston Scientific</w:t>
            </w:r>
          </w:p>
          <w:p w:rsidR="001159AC" w:rsidRPr="00BD5F88" w:rsidRDefault="001159AC" w:rsidP="001159AC">
            <w:pPr>
              <w:pStyle w:val="BodyText"/>
              <w:rPr>
                <w:sz w:val="20"/>
                <w:szCs w:val="20"/>
              </w:rPr>
            </w:pPr>
            <w:r w:rsidRPr="00BD5F88">
              <w:rPr>
                <w:sz w:val="20"/>
                <w:szCs w:val="20"/>
              </w:rPr>
              <w:t>Pty 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LGH - SpyGlass™</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DS Direct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Visualisation</w:t>
            </w:r>
          </w:p>
          <w:p w:rsidR="001159AC" w:rsidRPr="00BD5F88" w:rsidRDefault="001159AC" w:rsidP="001159AC">
            <w:pPr>
              <w:pStyle w:val="BodyText"/>
              <w:rPr>
                <w:sz w:val="20"/>
                <w:szCs w:val="20"/>
              </w:rPr>
            </w:pPr>
            <w:r w:rsidRPr="00BD5F88">
              <w:rPr>
                <w:sz w:val="20"/>
                <w:szCs w:val="20"/>
              </w:rPr>
              <w:t>System</w:t>
            </w:r>
          </w:p>
        </w:tc>
        <w:tc>
          <w:tcPr>
            <w:tcW w:w="407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The goods or services can be supplied only by a</w:t>
            </w:r>
            <w:r w:rsidR="00BD5F88">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w:t>
            </w:r>
          </w:p>
          <w:p w:rsidR="001159AC" w:rsidRPr="00BD5F88" w:rsidRDefault="001159AC" w:rsidP="001159AC">
            <w:pPr>
              <w:autoSpaceDE w:val="0"/>
              <w:autoSpaceDN w:val="0"/>
              <w:adjustRightInd w:val="0"/>
              <w:rPr>
                <w:rFonts w:ascii="Gill Sans MT" w:hAnsi="Gill Sans MT"/>
                <w:sz w:val="20"/>
                <w:szCs w:val="20"/>
              </w:rPr>
            </w:pPr>
            <w:proofErr w:type="gramStart"/>
            <w:r w:rsidRPr="00BD5F88">
              <w:rPr>
                <w:rFonts w:ascii="Gill Sans MT" w:hAnsi="Gill Sans MT" w:cs="GillSans-Light"/>
                <w:sz w:val="20"/>
                <w:szCs w:val="20"/>
              </w:rPr>
              <w:t>substitute</w:t>
            </w:r>
            <w:proofErr w:type="gramEnd"/>
            <w:r w:rsidRPr="00BD5F88">
              <w:rPr>
                <w:rFonts w:ascii="Gill Sans MT" w:hAnsi="Gill Sans MT" w:cs="GillSans-Light"/>
                <w:sz w:val="20"/>
                <w:szCs w:val="20"/>
              </w:rPr>
              <w:t xml:space="preserve"> goods or services exist due to an absence of competition for technical reasons.</w:t>
            </w:r>
          </w:p>
        </w:tc>
        <w:tc>
          <w:tcPr>
            <w:tcW w:w="1559" w:type="dxa"/>
          </w:tcPr>
          <w:p w:rsidR="001159AC" w:rsidRPr="00BD5F88" w:rsidRDefault="001159AC" w:rsidP="00796C11">
            <w:pPr>
              <w:pStyle w:val="BodyText"/>
              <w:jc w:val="right"/>
              <w:rPr>
                <w:sz w:val="20"/>
                <w:szCs w:val="20"/>
              </w:rPr>
            </w:pPr>
            <w:r w:rsidRPr="00BD5F88">
              <w:rPr>
                <w:sz w:val="20"/>
                <w:szCs w:val="20"/>
              </w:rPr>
              <w:t>150 000</w:t>
            </w:r>
          </w:p>
        </w:tc>
      </w:tr>
      <w:tr w:rsidR="001159AC" w:rsidRPr="00BD5F88" w:rsidTr="001159AC">
        <w:tc>
          <w:tcPr>
            <w:tcW w:w="2056" w:type="dxa"/>
          </w:tcPr>
          <w:p w:rsidR="001159AC" w:rsidRPr="00BD5F88" w:rsidRDefault="001159AC" w:rsidP="00796C11">
            <w:pPr>
              <w:pStyle w:val="BodyText"/>
              <w:rPr>
                <w:sz w:val="20"/>
                <w:szCs w:val="20"/>
              </w:rPr>
            </w:pPr>
            <w:r w:rsidRPr="00BD5F88">
              <w:rPr>
                <w:sz w:val="20"/>
                <w:szCs w:val="20"/>
              </w:rPr>
              <w:t>Carl Zeiss Pty 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RHH - Metaphase</w:t>
            </w:r>
          </w:p>
          <w:p w:rsidR="001159AC" w:rsidRPr="00BD5F88" w:rsidRDefault="001159AC" w:rsidP="001159AC">
            <w:pPr>
              <w:pStyle w:val="BodyText"/>
              <w:rPr>
                <w:sz w:val="20"/>
                <w:szCs w:val="20"/>
              </w:rPr>
            </w:pPr>
            <w:r w:rsidRPr="00BD5F88">
              <w:rPr>
                <w:sz w:val="20"/>
                <w:szCs w:val="20"/>
              </w:rPr>
              <w:t>Slide Scanner</w:t>
            </w:r>
          </w:p>
        </w:tc>
        <w:tc>
          <w:tcPr>
            <w:tcW w:w="4076" w:type="dxa"/>
          </w:tcPr>
          <w:p w:rsidR="001159AC" w:rsidRPr="00BD5F88" w:rsidRDefault="001159AC" w:rsidP="00BD5F88">
            <w:pPr>
              <w:autoSpaceDE w:val="0"/>
              <w:autoSpaceDN w:val="0"/>
              <w:adjustRightInd w:val="0"/>
              <w:rPr>
                <w:rFonts w:ascii="Gill Sans MT" w:hAnsi="Gill Sans MT"/>
                <w:sz w:val="20"/>
                <w:szCs w:val="20"/>
              </w:rPr>
            </w:pPr>
            <w:r w:rsidRPr="00BD5F88">
              <w:rPr>
                <w:rFonts w:ascii="Gill Sans MT" w:hAnsi="Gill Sans MT" w:cs="GillSans-Light"/>
                <w:sz w:val="20"/>
                <w:szCs w:val="20"/>
              </w:rPr>
              <w:t>The goods or services can be supplied only by a</w:t>
            </w:r>
            <w:r w:rsidR="00BD5F88">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 substitute goods or services exist for the protection of patents, copyrights, or other exclusive rights, or proprietary information.</w:t>
            </w:r>
          </w:p>
        </w:tc>
        <w:tc>
          <w:tcPr>
            <w:tcW w:w="1559" w:type="dxa"/>
          </w:tcPr>
          <w:p w:rsidR="001159AC" w:rsidRPr="00BD5F88" w:rsidRDefault="001159AC" w:rsidP="00796C11">
            <w:pPr>
              <w:pStyle w:val="BodyText"/>
              <w:jc w:val="right"/>
              <w:rPr>
                <w:sz w:val="20"/>
                <w:szCs w:val="20"/>
              </w:rPr>
            </w:pPr>
            <w:r w:rsidRPr="00BD5F88">
              <w:rPr>
                <w:sz w:val="20"/>
                <w:szCs w:val="20"/>
              </w:rPr>
              <w:t>186 000</w:t>
            </w: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GE Healthcare</w:t>
            </w:r>
          </w:p>
          <w:p w:rsidR="001159AC" w:rsidRPr="00BD5F88" w:rsidRDefault="001159AC" w:rsidP="001159AC">
            <w:pPr>
              <w:pStyle w:val="BodyText"/>
              <w:rPr>
                <w:sz w:val="20"/>
                <w:szCs w:val="20"/>
              </w:rPr>
            </w:pPr>
            <w:r w:rsidRPr="00BD5F88">
              <w:rPr>
                <w:sz w:val="20"/>
                <w:szCs w:val="20"/>
              </w:rPr>
              <w:t>Australia Pty 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RHH - MRI Unit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 Maintenance</w:t>
            </w:r>
          </w:p>
          <w:p w:rsidR="001159AC" w:rsidRPr="00BD5F88" w:rsidRDefault="001159AC" w:rsidP="001159AC">
            <w:pPr>
              <w:pStyle w:val="BodyText"/>
              <w:rPr>
                <w:sz w:val="20"/>
                <w:szCs w:val="20"/>
              </w:rPr>
            </w:pPr>
            <w:r w:rsidRPr="00BD5F88">
              <w:rPr>
                <w:sz w:val="20"/>
                <w:szCs w:val="20"/>
              </w:rPr>
              <w:t>Service Agreement</w:t>
            </w:r>
          </w:p>
        </w:tc>
        <w:tc>
          <w:tcPr>
            <w:tcW w:w="4076" w:type="dxa"/>
          </w:tcPr>
          <w:p w:rsidR="001159AC" w:rsidRPr="00BD5F88" w:rsidRDefault="001159AC" w:rsidP="00BD5F88">
            <w:pPr>
              <w:autoSpaceDE w:val="0"/>
              <w:autoSpaceDN w:val="0"/>
              <w:adjustRightInd w:val="0"/>
              <w:rPr>
                <w:rFonts w:ascii="Gill Sans MT" w:hAnsi="Gill Sans MT"/>
                <w:sz w:val="20"/>
                <w:szCs w:val="20"/>
              </w:rPr>
            </w:pPr>
            <w:r w:rsidRPr="00BD5F88">
              <w:rPr>
                <w:rFonts w:ascii="Gill Sans MT" w:hAnsi="Gill Sans MT" w:cs="GillSans-Light"/>
                <w:sz w:val="20"/>
                <w:szCs w:val="20"/>
              </w:rPr>
              <w:t>The goods or services can be supplied only by a</w:t>
            </w:r>
            <w:r w:rsidR="00BD5F88">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 substitute goods or services exist due to an absence of competition for technical reasons.</w:t>
            </w:r>
          </w:p>
        </w:tc>
        <w:tc>
          <w:tcPr>
            <w:tcW w:w="1559" w:type="dxa"/>
          </w:tcPr>
          <w:p w:rsidR="001159AC" w:rsidRPr="00BD5F88" w:rsidRDefault="001159AC" w:rsidP="00796C11">
            <w:pPr>
              <w:pStyle w:val="BodyText"/>
              <w:jc w:val="right"/>
              <w:rPr>
                <w:sz w:val="20"/>
                <w:szCs w:val="20"/>
              </w:rPr>
            </w:pPr>
            <w:r w:rsidRPr="00BD5F88">
              <w:rPr>
                <w:sz w:val="20"/>
                <w:szCs w:val="20"/>
              </w:rPr>
              <w:t>536 370</w:t>
            </w:r>
          </w:p>
          <w:p w:rsidR="001159AC" w:rsidRPr="00BD5F88" w:rsidRDefault="001159AC" w:rsidP="001159AC">
            <w:pPr>
              <w:jc w:val="center"/>
              <w:rPr>
                <w:rFonts w:ascii="Gill Sans MT" w:hAnsi="Gill Sans MT"/>
                <w:lang w:val="en-US"/>
              </w:rPr>
            </w:pP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Healthcare Reform</w:t>
            </w:r>
          </w:p>
          <w:p w:rsidR="001159AC" w:rsidRPr="00BD5F88" w:rsidRDefault="001159AC" w:rsidP="001159AC">
            <w:pPr>
              <w:pStyle w:val="BodyText"/>
              <w:rPr>
                <w:sz w:val="20"/>
                <w:szCs w:val="20"/>
              </w:rPr>
            </w:pPr>
            <w:r w:rsidRPr="00BD5F88">
              <w:rPr>
                <w:sz w:val="20"/>
                <w:szCs w:val="20"/>
              </w:rPr>
              <w:t>Consulting</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LGH - Emergency</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Department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Access Block</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Capacity</w:t>
            </w:r>
          </w:p>
          <w:p w:rsidR="001159AC" w:rsidRPr="00BD5F88" w:rsidRDefault="001159AC" w:rsidP="001159AC">
            <w:pPr>
              <w:pStyle w:val="BodyText"/>
              <w:rPr>
                <w:sz w:val="20"/>
                <w:szCs w:val="20"/>
              </w:rPr>
            </w:pPr>
            <w:r w:rsidRPr="00BD5F88">
              <w:rPr>
                <w:sz w:val="20"/>
                <w:szCs w:val="20"/>
              </w:rPr>
              <w:t>Management</w:t>
            </w:r>
          </w:p>
        </w:tc>
        <w:tc>
          <w:tcPr>
            <w:tcW w:w="4076" w:type="dxa"/>
          </w:tcPr>
          <w:p w:rsidR="001159AC" w:rsidRPr="00BD5F88" w:rsidRDefault="001159AC" w:rsidP="001159AC">
            <w:pPr>
              <w:autoSpaceDE w:val="0"/>
              <w:autoSpaceDN w:val="0"/>
              <w:adjustRightInd w:val="0"/>
              <w:rPr>
                <w:rFonts w:ascii="Gill Sans MT" w:hAnsi="Gill Sans MT"/>
                <w:sz w:val="20"/>
                <w:szCs w:val="20"/>
              </w:rPr>
            </w:pPr>
            <w:r w:rsidRPr="00BD5F88">
              <w:rPr>
                <w:rFonts w:ascii="Gill Sans MT" w:hAnsi="Gill Sans MT" w:cs="GillSans-Light"/>
                <w:sz w:val="20"/>
                <w:szCs w:val="20"/>
              </w:rPr>
              <w:t>Exceptional circumstances exist that justify the use of a direct/limited submission sourcing process rather than a quotation or tender process as prescribed in Instructions 1106 and 1107.</w:t>
            </w:r>
          </w:p>
        </w:tc>
        <w:tc>
          <w:tcPr>
            <w:tcW w:w="1559" w:type="dxa"/>
          </w:tcPr>
          <w:p w:rsidR="001159AC" w:rsidRPr="00BD5F88" w:rsidRDefault="001159AC" w:rsidP="00796C11">
            <w:pPr>
              <w:pStyle w:val="BodyText"/>
              <w:jc w:val="right"/>
              <w:rPr>
                <w:sz w:val="20"/>
                <w:szCs w:val="20"/>
              </w:rPr>
            </w:pPr>
            <w:r w:rsidRPr="00BD5F88">
              <w:rPr>
                <w:sz w:val="20"/>
                <w:szCs w:val="20"/>
              </w:rPr>
              <w:t>92 420</w:t>
            </w:r>
          </w:p>
          <w:p w:rsidR="001159AC" w:rsidRPr="00BD5F88" w:rsidRDefault="001159AC" w:rsidP="001159AC">
            <w:pPr>
              <w:rPr>
                <w:rFonts w:ascii="Gill Sans MT" w:hAnsi="Gill Sans MT"/>
                <w:lang w:val="en-US"/>
              </w:rPr>
            </w:pPr>
          </w:p>
          <w:p w:rsidR="001159AC" w:rsidRPr="00BD5F88" w:rsidRDefault="001159AC" w:rsidP="001159AC">
            <w:pPr>
              <w:tabs>
                <w:tab w:val="left" w:pos="1275"/>
              </w:tabs>
              <w:rPr>
                <w:rFonts w:ascii="Gill Sans MT" w:hAnsi="Gill Sans MT"/>
                <w:lang w:val="en-US"/>
              </w:rPr>
            </w:pPr>
            <w:r w:rsidRPr="00BD5F88">
              <w:rPr>
                <w:rFonts w:ascii="Gill Sans MT" w:hAnsi="Gill Sans MT"/>
                <w:lang w:val="en-US"/>
              </w:rPr>
              <w:tab/>
            </w: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Honeywell Limited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RHH - Building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Management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System</w:t>
            </w:r>
          </w:p>
        </w:tc>
        <w:tc>
          <w:tcPr>
            <w:tcW w:w="407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Where, in response to a prior notice, invitation to participate or invitation to tender, no tenders were submitted; and the agency has not substantially modified the essential requirements of the procurement.</w:t>
            </w:r>
          </w:p>
        </w:tc>
        <w:tc>
          <w:tcPr>
            <w:tcW w:w="1559" w:type="dxa"/>
          </w:tcPr>
          <w:p w:rsidR="001159AC" w:rsidRPr="00BD5F88" w:rsidRDefault="001159AC" w:rsidP="00796C11">
            <w:pPr>
              <w:pStyle w:val="BodyText"/>
              <w:jc w:val="right"/>
              <w:rPr>
                <w:sz w:val="20"/>
                <w:szCs w:val="20"/>
              </w:rPr>
            </w:pPr>
            <w:r w:rsidRPr="00BD5F88">
              <w:rPr>
                <w:sz w:val="20"/>
                <w:szCs w:val="20"/>
              </w:rPr>
              <w:t>1 345 443</w:t>
            </w:r>
          </w:p>
          <w:p w:rsidR="001159AC" w:rsidRPr="00BD5F88" w:rsidRDefault="001159AC" w:rsidP="001159AC">
            <w:pPr>
              <w:pStyle w:val="BodyText"/>
              <w:jc w:val="center"/>
              <w:rPr>
                <w:sz w:val="20"/>
                <w:szCs w:val="20"/>
              </w:rPr>
            </w:pP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lastRenderedPageBreak/>
              <w:t>InSight Oceania Pty</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North West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Cancer Centre -</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Radiation Therapy</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Treatment Planning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System</w:t>
            </w:r>
          </w:p>
        </w:tc>
        <w:tc>
          <w:tcPr>
            <w:tcW w:w="407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(i) Licencing and Installation - additional deliveries of goods or services by the original supplier or authorised representative that are intended either as replacement parts, extensions or continuing services for existing equipment, software, services or installations, where a</w:t>
            </w:r>
            <w:r w:rsidR="00BD5F88">
              <w:rPr>
                <w:rFonts w:ascii="Gill Sans MT" w:hAnsi="Gill Sans MT" w:cs="GillSans-Light"/>
                <w:sz w:val="20"/>
                <w:szCs w:val="20"/>
              </w:rPr>
              <w:t xml:space="preserve"> </w:t>
            </w:r>
            <w:r w:rsidRPr="00BD5F88">
              <w:rPr>
                <w:rFonts w:ascii="Gill Sans MT" w:hAnsi="Gill Sans MT" w:cs="GillSans-Light"/>
                <w:sz w:val="20"/>
                <w:szCs w:val="20"/>
              </w:rPr>
              <w:t>change of supplier would compel the agency to procure goods or services that do not meet requirements of interchangeability with existing equipment; and</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(ii) Maintenance Support Services - the goods or services can be supplied only by a particular supplier and no reasonable alternative or substitute goods or services exist for the protection of patents, copyrights, or other</w:t>
            </w:r>
          </w:p>
          <w:p w:rsidR="001159AC" w:rsidRPr="00BD5F88" w:rsidRDefault="001159AC" w:rsidP="001159AC">
            <w:pPr>
              <w:autoSpaceDE w:val="0"/>
              <w:autoSpaceDN w:val="0"/>
              <w:adjustRightInd w:val="0"/>
              <w:rPr>
                <w:rFonts w:ascii="Gill Sans MT" w:hAnsi="Gill Sans MT" w:cs="GillSans-Light"/>
                <w:sz w:val="20"/>
                <w:szCs w:val="20"/>
              </w:rPr>
            </w:pPr>
            <w:proofErr w:type="gramStart"/>
            <w:r w:rsidRPr="00BD5F88">
              <w:rPr>
                <w:rFonts w:ascii="Gill Sans MT" w:hAnsi="Gill Sans MT" w:cs="GillSans-Light"/>
                <w:sz w:val="20"/>
                <w:szCs w:val="20"/>
              </w:rPr>
              <w:t>exclusive</w:t>
            </w:r>
            <w:proofErr w:type="gramEnd"/>
            <w:r w:rsidRPr="00BD5F88">
              <w:rPr>
                <w:rFonts w:ascii="Gill Sans MT" w:hAnsi="Gill Sans MT" w:cs="GillSans-Light"/>
                <w:sz w:val="20"/>
                <w:szCs w:val="20"/>
              </w:rPr>
              <w:t xml:space="preserve"> rights, or proprietary information.</w:t>
            </w:r>
          </w:p>
        </w:tc>
        <w:tc>
          <w:tcPr>
            <w:tcW w:w="1559" w:type="dxa"/>
          </w:tcPr>
          <w:p w:rsidR="001159AC" w:rsidRPr="00BD5F88" w:rsidRDefault="001159AC" w:rsidP="00796C11">
            <w:pPr>
              <w:pStyle w:val="BodyText"/>
              <w:jc w:val="right"/>
              <w:rPr>
                <w:sz w:val="20"/>
                <w:szCs w:val="20"/>
              </w:rPr>
            </w:pPr>
            <w:r w:rsidRPr="00BD5F88">
              <w:rPr>
                <w:sz w:val="20"/>
                <w:szCs w:val="20"/>
              </w:rPr>
              <w:t>279 000</w:t>
            </w: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p>
          <w:p w:rsidR="001159AC" w:rsidRPr="00BD5F88" w:rsidRDefault="001159AC" w:rsidP="00796C11">
            <w:pPr>
              <w:pStyle w:val="BodyText"/>
              <w:jc w:val="right"/>
              <w:rPr>
                <w:sz w:val="20"/>
                <w:szCs w:val="20"/>
              </w:rPr>
            </w:pPr>
            <w:r w:rsidRPr="00BD5F88">
              <w:rPr>
                <w:sz w:val="20"/>
                <w:szCs w:val="20"/>
              </w:rPr>
              <w:t>375 000</w:t>
            </w: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Olympus Australia</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Pty 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NWRH -</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Operating Theatre</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 Endoscopy</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Equipment</w:t>
            </w:r>
          </w:p>
        </w:tc>
        <w:tc>
          <w:tcPr>
            <w:tcW w:w="407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Additional deliveries of goods or services by the original supplier or authorised representative that are intended either as replacement parts, extensions or continuing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services for existing equipment, software, services or installations, where a change of supplier would compel the agency to procure goods or services that do not meet requirements of interchangeability with existing equipment</w:t>
            </w:r>
          </w:p>
        </w:tc>
        <w:tc>
          <w:tcPr>
            <w:tcW w:w="1559" w:type="dxa"/>
          </w:tcPr>
          <w:p w:rsidR="001159AC" w:rsidRPr="00BD5F88" w:rsidRDefault="001159AC" w:rsidP="00796C11">
            <w:pPr>
              <w:pStyle w:val="BodyText"/>
              <w:jc w:val="right"/>
              <w:rPr>
                <w:sz w:val="20"/>
                <w:szCs w:val="20"/>
              </w:rPr>
            </w:pPr>
            <w:r w:rsidRPr="00BD5F88">
              <w:rPr>
                <w:sz w:val="20"/>
                <w:szCs w:val="20"/>
              </w:rPr>
              <w:t>223 713</w:t>
            </w: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Philips Electronics</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Australia Ltd</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NWRH - Patient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Monitoring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Equipment</w:t>
            </w:r>
          </w:p>
        </w:tc>
        <w:tc>
          <w:tcPr>
            <w:tcW w:w="407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Additional deliveries of goods or services by the original supplier or authorised  representative that are intended either as replacement parts, extensions or continuing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services for existing equipment, software, services or installations, where a change of supplier would compel the agency to procure goods or services that do not meet requirements of interchangeability with existing equipment</w:t>
            </w:r>
          </w:p>
        </w:tc>
        <w:tc>
          <w:tcPr>
            <w:tcW w:w="1559" w:type="dxa"/>
          </w:tcPr>
          <w:p w:rsidR="001159AC" w:rsidRPr="00BD5F88" w:rsidRDefault="001159AC" w:rsidP="00796C11">
            <w:pPr>
              <w:pStyle w:val="BodyText"/>
              <w:jc w:val="right"/>
              <w:rPr>
                <w:sz w:val="20"/>
                <w:szCs w:val="20"/>
              </w:rPr>
            </w:pPr>
            <w:r w:rsidRPr="00BD5F88">
              <w:rPr>
                <w:sz w:val="20"/>
                <w:szCs w:val="20"/>
              </w:rPr>
              <w:t>75 048</w:t>
            </w:r>
          </w:p>
        </w:tc>
      </w:tr>
      <w:tr w:rsidR="001159AC" w:rsidRPr="00BD5F88" w:rsidTr="001159A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Siemens Ltd</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Healthcare Sector</w:t>
            </w:r>
          </w:p>
        </w:tc>
        <w:tc>
          <w:tcPr>
            <w:tcW w:w="2056" w:type="dxa"/>
          </w:tcPr>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RHH -</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Department of</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Medical Imaging</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 Refurbishment</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of two Ultrasound</w:t>
            </w:r>
          </w:p>
          <w:p w:rsidR="001159AC" w:rsidRPr="00BD5F88" w:rsidRDefault="001159AC" w:rsidP="001159AC">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Machines</w:t>
            </w:r>
          </w:p>
        </w:tc>
        <w:tc>
          <w:tcPr>
            <w:tcW w:w="4076" w:type="dxa"/>
          </w:tcPr>
          <w:p w:rsidR="001159AC" w:rsidRPr="00BD5F88" w:rsidRDefault="001159AC"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The goods or services can be supplied only by a</w:t>
            </w:r>
            <w:r w:rsidR="00BD5F88">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 substitute goods or services exist due to an absence of competition for technical reasons.</w:t>
            </w:r>
          </w:p>
        </w:tc>
        <w:tc>
          <w:tcPr>
            <w:tcW w:w="1559" w:type="dxa"/>
          </w:tcPr>
          <w:p w:rsidR="001159AC" w:rsidRPr="00BD5F88" w:rsidRDefault="001159AC" w:rsidP="00796C11">
            <w:pPr>
              <w:pStyle w:val="BodyText"/>
              <w:jc w:val="right"/>
              <w:rPr>
                <w:sz w:val="20"/>
                <w:szCs w:val="20"/>
              </w:rPr>
            </w:pPr>
            <w:r w:rsidRPr="00BD5F88">
              <w:rPr>
                <w:sz w:val="20"/>
                <w:szCs w:val="20"/>
              </w:rPr>
              <w:t>100 000</w:t>
            </w:r>
          </w:p>
        </w:tc>
      </w:tr>
      <w:tr w:rsidR="001159AC" w:rsidRPr="00BD5F88" w:rsidTr="001159A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Sultan Holdings Pty</w:t>
            </w:r>
          </w:p>
          <w:p w:rsidR="001159AC"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Ltd</w:t>
            </w:r>
          </w:p>
        </w:t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RHH - Provision of</w:t>
            </w:r>
          </w:p>
          <w:p w:rsidR="001159AC"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car parking spaces</w:t>
            </w:r>
          </w:p>
        </w:tc>
        <w:tc>
          <w:tcPr>
            <w:tcW w:w="4076" w:type="dxa"/>
          </w:tcPr>
          <w:p w:rsidR="001159AC"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The goods or services can be supplied only by a</w:t>
            </w:r>
            <w:r>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 substitute goods or services exist due to an absence of competition for technical reasons.</w:t>
            </w:r>
          </w:p>
        </w:tc>
        <w:tc>
          <w:tcPr>
            <w:tcW w:w="1559" w:type="dxa"/>
          </w:tcPr>
          <w:p w:rsidR="001159AC" w:rsidRPr="00BD5F88" w:rsidRDefault="00BD5F88" w:rsidP="00796C11">
            <w:pPr>
              <w:pStyle w:val="BodyText"/>
              <w:jc w:val="right"/>
              <w:rPr>
                <w:sz w:val="20"/>
                <w:szCs w:val="20"/>
              </w:rPr>
            </w:pPr>
            <w:r w:rsidRPr="00BD5F88">
              <w:rPr>
                <w:sz w:val="20"/>
                <w:szCs w:val="20"/>
              </w:rPr>
              <w:t>2 320 000</w:t>
            </w:r>
          </w:p>
        </w:tc>
      </w:tr>
      <w:tr w:rsidR="00BD5F88" w:rsidRPr="00BD5F88" w:rsidTr="001159A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Transearch Pty Ltd</w:t>
            </w:r>
          </w:p>
        </w:t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Tasmanian Health</w:t>
            </w:r>
          </w:p>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Service - Revenue</w:t>
            </w:r>
          </w:p>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Review</w:t>
            </w:r>
          </w:p>
        </w:tc>
        <w:tc>
          <w:tcPr>
            <w:tcW w:w="407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For reasons of extreme urgency brought about by events unforeseen by the agency, the goods or services could not be obtained in time using an open or selective tender</w:t>
            </w:r>
          </w:p>
        </w:tc>
        <w:tc>
          <w:tcPr>
            <w:tcW w:w="1559" w:type="dxa"/>
          </w:tcPr>
          <w:p w:rsidR="00BD5F88" w:rsidRPr="00BD5F88" w:rsidRDefault="00BD5F88" w:rsidP="00796C11">
            <w:pPr>
              <w:pStyle w:val="BodyText"/>
              <w:jc w:val="right"/>
              <w:rPr>
                <w:sz w:val="20"/>
                <w:szCs w:val="20"/>
              </w:rPr>
            </w:pPr>
            <w:r w:rsidRPr="00BD5F88">
              <w:rPr>
                <w:sz w:val="20"/>
                <w:szCs w:val="20"/>
              </w:rPr>
              <w:t>55 000</w:t>
            </w:r>
          </w:p>
        </w:tc>
      </w:tr>
      <w:tr w:rsidR="00BD5F88" w:rsidRPr="00BD5F88" w:rsidTr="001159A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Varian Medical</w:t>
            </w:r>
          </w:p>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Systems Australasia</w:t>
            </w:r>
          </w:p>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Pty Ltd</w:t>
            </w:r>
          </w:p>
        </w:tc>
        <w:tc>
          <w:tcPr>
            <w:tcW w:w="205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Equicare Active</w:t>
            </w:r>
          </w:p>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Patient Portal</w:t>
            </w:r>
          </w:p>
        </w:tc>
        <w:tc>
          <w:tcPr>
            <w:tcW w:w="4076" w:type="dxa"/>
          </w:tcPr>
          <w:p w:rsidR="00BD5F88" w:rsidRPr="00BD5F88" w:rsidRDefault="00BD5F88" w:rsidP="00BD5F88">
            <w:pPr>
              <w:autoSpaceDE w:val="0"/>
              <w:autoSpaceDN w:val="0"/>
              <w:adjustRightInd w:val="0"/>
              <w:rPr>
                <w:rFonts w:ascii="Gill Sans MT" w:hAnsi="Gill Sans MT" w:cs="GillSans-Light"/>
                <w:sz w:val="20"/>
                <w:szCs w:val="20"/>
              </w:rPr>
            </w:pPr>
            <w:r w:rsidRPr="00BD5F88">
              <w:rPr>
                <w:rFonts w:ascii="Gill Sans MT" w:hAnsi="Gill Sans MT" w:cs="GillSans-Light"/>
                <w:sz w:val="20"/>
                <w:szCs w:val="20"/>
              </w:rPr>
              <w:t>The goods or services can be supplied only by a</w:t>
            </w:r>
            <w:r>
              <w:rPr>
                <w:rFonts w:ascii="Gill Sans MT" w:hAnsi="Gill Sans MT" w:cs="GillSans-Light"/>
                <w:sz w:val="20"/>
                <w:szCs w:val="20"/>
              </w:rPr>
              <w:t xml:space="preserve"> </w:t>
            </w:r>
            <w:r w:rsidRPr="00BD5F88">
              <w:rPr>
                <w:rFonts w:ascii="Gill Sans MT" w:hAnsi="Gill Sans MT" w:cs="GillSans-Light"/>
                <w:sz w:val="20"/>
                <w:szCs w:val="20"/>
              </w:rPr>
              <w:t>particular supplier and no reasonable alternative or substitute goods or services exist for the protection of patents, copyrights, or other exclusive rights, or proprietary information.</w:t>
            </w:r>
          </w:p>
        </w:tc>
        <w:tc>
          <w:tcPr>
            <w:tcW w:w="1559" w:type="dxa"/>
          </w:tcPr>
          <w:p w:rsidR="00BD5F88" w:rsidRPr="00BD5F88" w:rsidRDefault="00BD5F88" w:rsidP="00796C11">
            <w:pPr>
              <w:pStyle w:val="BodyText"/>
              <w:jc w:val="right"/>
              <w:rPr>
                <w:sz w:val="20"/>
                <w:szCs w:val="20"/>
              </w:rPr>
            </w:pPr>
            <w:r w:rsidRPr="00BD5F88">
              <w:rPr>
                <w:sz w:val="20"/>
                <w:szCs w:val="20"/>
              </w:rPr>
              <w:t>173 933</w:t>
            </w:r>
          </w:p>
        </w:tc>
      </w:tr>
    </w:tbl>
    <w:p w:rsidR="00BD5F88" w:rsidRPr="00BD5F88" w:rsidRDefault="00BD5F88" w:rsidP="00BD5F88">
      <w:pPr>
        <w:autoSpaceDE w:val="0"/>
        <w:autoSpaceDN w:val="0"/>
        <w:adjustRightInd w:val="0"/>
        <w:spacing w:after="0" w:line="240" w:lineRule="auto"/>
        <w:rPr>
          <w:rFonts w:ascii="Gill Sans MT" w:hAnsi="Gill Sans MT" w:cs="GillSans-SemiBold"/>
          <w:b/>
          <w:bCs/>
          <w:sz w:val="20"/>
          <w:szCs w:val="20"/>
        </w:rPr>
      </w:pPr>
      <w:r w:rsidRPr="00BD5F88">
        <w:rPr>
          <w:rFonts w:ascii="Gill Sans MT" w:hAnsi="Gill Sans MT" w:cs="GillSans-SemiBold"/>
          <w:b/>
          <w:bCs/>
          <w:sz w:val="20"/>
          <w:szCs w:val="20"/>
        </w:rPr>
        <w:t>Notes:</w:t>
      </w:r>
    </w:p>
    <w:p w:rsidR="00BD5F88" w:rsidRPr="00BD5F88" w:rsidRDefault="00BD5F88" w:rsidP="00BD5F88">
      <w:pPr>
        <w:autoSpaceDE w:val="0"/>
        <w:autoSpaceDN w:val="0"/>
        <w:adjustRightInd w:val="0"/>
        <w:spacing w:after="0" w:line="240" w:lineRule="auto"/>
        <w:rPr>
          <w:rFonts w:ascii="Gill Sans MT" w:hAnsi="Gill Sans MT" w:cs="GillSans-Light"/>
          <w:sz w:val="20"/>
          <w:szCs w:val="20"/>
        </w:rPr>
      </w:pPr>
      <w:r w:rsidRPr="00BD5F88">
        <w:rPr>
          <w:rFonts w:ascii="Gill Sans MT" w:hAnsi="Gill Sans MT" w:cs="GillSans-Light"/>
          <w:sz w:val="20"/>
          <w:szCs w:val="20"/>
        </w:rPr>
        <w:t>1. The values in this table include the value, or estimated value, of any possible option to extend.</w:t>
      </w:r>
    </w:p>
    <w:p w:rsidR="00C72B36" w:rsidRDefault="00BD5F88" w:rsidP="00BD5F88">
      <w:pPr>
        <w:pStyle w:val="BodyText"/>
        <w:rPr>
          <w:sz w:val="20"/>
          <w:szCs w:val="20"/>
        </w:rPr>
      </w:pPr>
      <w:r w:rsidRPr="00BD5F88">
        <w:rPr>
          <w:sz w:val="20"/>
          <w:szCs w:val="20"/>
        </w:rPr>
        <w:lastRenderedPageBreak/>
        <w:t>2. All values exclude GST.</w:t>
      </w:r>
    </w:p>
    <w:p w:rsidR="00D17CA8" w:rsidRDefault="00D17CA8" w:rsidP="00D17CA8">
      <w:pPr>
        <w:pStyle w:val="Heading4"/>
      </w:pPr>
      <w:r>
        <w:t>Table 5 - Contracts Extensions</w:t>
      </w:r>
    </w:p>
    <w:p w:rsidR="00D17CA8" w:rsidRPr="00D17CA8" w:rsidRDefault="00D17CA8" w:rsidP="00D17CA8">
      <w:pPr>
        <w:pStyle w:val="BodyText"/>
      </w:pPr>
      <w:r w:rsidRPr="00D17CA8">
        <w:t>Treasurer’s Instruction 1115 provides heads of agencies with the discretion to approve the extension</w:t>
      </w:r>
      <w:r>
        <w:t xml:space="preserve"> </w:t>
      </w:r>
      <w:r w:rsidRPr="00D17CA8">
        <w:t>of contracts beyond existing provisions for a period of no longer than one year. For the purpose of</w:t>
      </w:r>
      <w:r>
        <w:t xml:space="preserve"> </w:t>
      </w:r>
      <w:r w:rsidRPr="00D17CA8">
        <w:t>Instruction 1115 the Head of Agency for the THS is the Secretary of the Department of Health and</w:t>
      </w:r>
      <w:r>
        <w:t xml:space="preserve"> </w:t>
      </w:r>
      <w:r w:rsidRPr="00D17CA8">
        <w:t>Human Services.</w:t>
      </w:r>
    </w:p>
    <w:p w:rsidR="00BD5F88" w:rsidRPr="00D17CA8" w:rsidRDefault="00D17CA8" w:rsidP="00D17CA8">
      <w:pPr>
        <w:pStyle w:val="BodyText"/>
      </w:pPr>
      <w:r w:rsidRPr="00D17CA8">
        <w:t>The following table provides details of contracts awarded by the THS in 2015-16 as a result of approval in</w:t>
      </w:r>
      <w:r>
        <w:t xml:space="preserve"> </w:t>
      </w:r>
      <w:r w:rsidRPr="00D17CA8">
        <w:t>accordance with Instruction 1115(2).</w:t>
      </w:r>
    </w:p>
    <w:tbl>
      <w:tblPr>
        <w:tblStyle w:val="TableGrid"/>
        <w:tblW w:w="0" w:type="auto"/>
        <w:tblLook w:val="04A0" w:firstRow="1" w:lastRow="0" w:firstColumn="1" w:lastColumn="0" w:noHBand="0" w:noVBand="1"/>
        <w:tblCaption w:val="Table 5: Contract Extensions"/>
      </w:tblPr>
      <w:tblGrid>
        <w:gridCol w:w="2056"/>
        <w:gridCol w:w="3722"/>
        <w:gridCol w:w="2410"/>
        <w:gridCol w:w="1559"/>
      </w:tblGrid>
      <w:tr w:rsidR="00D17CA8" w:rsidRPr="00D17CA8" w:rsidTr="00D17CA8">
        <w:trPr>
          <w:tblHeader/>
        </w:trPr>
        <w:tc>
          <w:tcPr>
            <w:tcW w:w="2056" w:type="dxa"/>
          </w:tcPr>
          <w:p w:rsidR="00D17CA8" w:rsidRPr="00D17CA8" w:rsidRDefault="00D17CA8" w:rsidP="00796C11">
            <w:pPr>
              <w:pStyle w:val="BodyText"/>
              <w:rPr>
                <w:b/>
                <w:sz w:val="20"/>
                <w:szCs w:val="20"/>
              </w:rPr>
            </w:pPr>
            <w:r w:rsidRPr="00D17CA8">
              <w:rPr>
                <w:b/>
                <w:sz w:val="20"/>
                <w:szCs w:val="20"/>
              </w:rPr>
              <w:t>Contractor Name</w:t>
            </w:r>
          </w:p>
        </w:tc>
        <w:tc>
          <w:tcPr>
            <w:tcW w:w="3722" w:type="dxa"/>
          </w:tcPr>
          <w:p w:rsidR="00D17CA8" w:rsidRPr="00D17CA8" w:rsidRDefault="00D17CA8" w:rsidP="00796C11">
            <w:pPr>
              <w:pStyle w:val="BodyText"/>
              <w:rPr>
                <w:b/>
                <w:sz w:val="20"/>
                <w:szCs w:val="20"/>
              </w:rPr>
            </w:pPr>
            <w:r w:rsidRPr="00D17CA8">
              <w:rPr>
                <w:b/>
                <w:sz w:val="20"/>
                <w:szCs w:val="20"/>
              </w:rPr>
              <w:t>Contract Description</w:t>
            </w:r>
          </w:p>
        </w:tc>
        <w:tc>
          <w:tcPr>
            <w:tcW w:w="2410" w:type="dxa"/>
          </w:tcPr>
          <w:p w:rsidR="00D17CA8" w:rsidRPr="00D17CA8" w:rsidRDefault="00D17CA8" w:rsidP="00796C11">
            <w:pPr>
              <w:pStyle w:val="BodyText"/>
              <w:rPr>
                <w:b/>
                <w:sz w:val="20"/>
                <w:szCs w:val="20"/>
              </w:rPr>
            </w:pPr>
            <w:r w:rsidRPr="00D17CA8">
              <w:rPr>
                <w:b/>
                <w:sz w:val="20"/>
                <w:szCs w:val="20"/>
              </w:rPr>
              <w:t>Period of Extension</w:t>
            </w:r>
          </w:p>
        </w:tc>
        <w:tc>
          <w:tcPr>
            <w:tcW w:w="1559" w:type="dxa"/>
          </w:tcPr>
          <w:p w:rsidR="00D17CA8" w:rsidRPr="00D17CA8" w:rsidRDefault="00D17CA8" w:rsidP="00796C11">
            <w:pPr>
              <w:pStyle w:val="BodyText"/>
              <w:jc w:val="right"/>
              <w:rPr>
                <w:b/>
                <w:sz w:val="20"/>
                <w:szCs w:val="20"/>
              </w:rPr>
            </w:pPr>
            <w:r w:rsidRPr="00D17CA8">
              <w:rPr>
                <w:b/>
                <w:sz w:val="20"/>
                <w:szCs w:val="20"/>
              </w:rPr>
              <w:t>Total Value $</w:t>
            </w:r>
          </w:p>
        </w:tc>
      </w:tr>
      <w:tr w:rsidR="00D17CA8" w:rsidRPr="00D17CA8" w:rsidTr="00D17CA8">
        <w:tc>
          <w:tcPr>
            <w:tcW w:w="2056" w:type="dxa"/>
          </w:tcPr>
          <w:p w:rsidR="00D17CA8" w:rsidRPr="00D17CA8" w:rsidRDefault="00D17CA8" w:rsidP="00796C11">
            <w:pPr>
              <w:pStyle w:val="BodyText"/>
              <w:rPr>
                <w:sz w:val="20"/>
                <w:szCs w:val="20"/>
              </w:rPr>
            </w:pPr>
            <w:r w:rsidRPr="00D17CA8">
              <w:rPr>
                <w:sz w:val="20"/>
                <w:szCs w:val="20"/>
              </w:rPr>
              <w:t>Baptcare Limited</w:t>
            </w:r>
          </w:p>
        </w:tc>
        <w:tc>
          <w:tcPr>
            <w:tcW w:w="3722" w:type="dxa"/>
          </w:tcPr>
          <w:p w:rsidR="00D17CA8" w:rsidRPr="00D17CA8" w:rsidRDefault="00D17CA8" w:rsidP="00D17CA8">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Transition Care Program - Flexible</w:t>
            </w:r>
          </w:p>
          <w:p w:rsidR="00D17CA8" w:rsidRPr="00D17CA8" w:rsidRDefault="00D17CA8" w:rsidP="00D17CA8">
            <w:pPr>
              <w:pStyle w:val="BodyText"/>
              <w:rPr>
                <w:sz w:val="20"/>
                <w:szCs w:val="20"/>
              </w:rPr>
            </w:pPr>
            <w:r w:rsidRPr="00D17CA8">
              <w:rPr>
                <w:sz w:val="20"/>
                <w:szCs w:val="20"/>
              </w:rPr>
              <w:t>Residential and Community Packages</w:t>
            </w:r>
          </w:p>
        </w:tc>
        <w:tc>
          <w:tcPr>
            <w:tcW w:w="2410" w:type="dxa"/>
          </w:tcPr>
          <w:p w:rsidR="00D17CA8" w:rsidRPr="00D17CA8" w:rsidRDefault="00D17CA8" w:rsidP="00796C11">
            <w:pPr>
              <w:autoSpaceDE w:val="0"/>
              <w:autoSpaceDN w:val="0"/>
              <w:adjustRightInd w:val="0"/>
              <w:rPr>
                <w:rFonts w:ascii="Gill Sans MT" w:hAnsi="Gill Sans MT"/>
                <w:sz w:val="20"/>
                <w:szCs w:val="20"/>
              </w:rPr>
            </w:pPr>
            <w:r w:rsidRPr="00D17CA8">
              <w:rPr>
                <w:rFonts w:ascii="Gill Sans MT" w:hAnsi="Gill Sans MT" w:cs="GillSans-Light"/>
                <w:sz w:val="20"/>
                <w:szCs w:val="20"/>
              </w:rPr>
              <w:t>01/07/2016 - 31/12/2016</w:t>
            </w:r>
          </w:p>
        </w:tc>
        <w:tc>
          <w:tcPr>
            <w:tcW w:w="1559" w:type="dxa"/>
          </w:tcPr>
          <w:p w:rsidR="00D17CA8" w:rsidRPr="00D17CA8" w:rsidRDefault="00D17CA8" w:rsidP="00796C11">
            <w:pPr>
              <w:pStyle w:val="BodyText"/>
              <w:jc w:val="right"/>
              <w:rPr>
                <w:sz w:val="20"/>
                <w:szCs w:val="20"/>
              </w:rPr>
            </w:pPr>
            <w:r w:rsidRPr="00D17CA8">
              <w:rPr>
                <w:sz w:val="20"/>
                <w:szCs w:val="20"/>
              </w:rPr>
              <w:t>357 292</w:t>
            </w:r>
          </w:p>
        </w:tc>
      </w:tr>
      <w:tr w:rsidR="00D17CA8" w:rsidRPr="00D17CA8" w:rsidTr="00D17CA8">
        <w:tc>
          <w:tcPr>
            <w:tcW w:w="2056" w:type="dxa"/>
          </w:tcPr>
          <w:p w:rsidR="00D17CA8" w:rsidRPr="00D17CA8" w:rsidRDefault="00D17CA8" w:rsidP="00796C11">
            <w:pPr>
              <w:pStyle w:val="BodyText"/>
              <w:rPr>
                <w:sz w:val="20"/>
                <w:szCs w:val="20"/>
              </w:rPr>
            </w:pPr>
            <w:r w:rsidRPr="00D17CA8">
              <w:rPr>
                <w:sz w:val="20"/>
                <w:szCs w:val="20"/>
              </w:rPr>
              <w:t>G4S Custodial Services Pty Ltd</w:t>
            </w:r>
          </w:p>
        </w:tc>
        <w:tc>
          <w:tcPr>
            <w:tcW w:w="3722" w:type="dxa"/>
          </w:tcPr>
          <w:p w:rsidR="00D17CA8" w:rsidRPr="00D17CA8" w:rsidRDefault="00D17CA8" w:rsidP="00D17CA8">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Provision of Security Services for</w:t>
            </w:r>
          </w:p>
          <w:p w:rsidR="00D17CA8" w:rsidRPr="00D17CA8" w:rsidRDefault="00D17CA8" w:rsidP="00D17CA8">
            <w:pPr>
              <w:pStyle w:val="BodyText"/>
              <w:rPr>
                <w:sz w:val="20"/>
                <w:szCs w:val="20"/>
              </w:rPr>
            </w:pPr>
            <w:r w:rsidRPr="00D17CA8">
              <w:rPr>
                <w:sz w:val="20"/>
                <w:szCs w:val="20"/>
              </w:rPr>
              <w:t>Wilfred Lopes Centre</w:t>
            </w:r>
          </w:p>
        </w:tc>
        <w:tc>
          <w:tcPr>
            <w:tcW w:w="2410" w:type="dxa"/>
          </w:tcPr>
          <w:p w:rsidR="00D17CA8" w:rsidRPr="00D17CA8" w:rsidRDefault="00D17CA8" w:rsidP="00796C11">
            <w:pPr>
              <w:autoSpaceDE w:val="0"/>
              <w:autoSpaceDN w:val="0"/>
              <w:adjustRightInd w:val="0"/>
              <w:rPr>
                <w:rFonts w:ascii="Gill Sans MT" w:hAnsi="Gill Sans MT"/>
                <w:sz w:val="20"/>
                <w:szCs w:val="20"/>
              </w:rPr>
            </w:pPr>
            <w:r w:rsidRPr="00D17CA8">
              <w:rPr>
                <w:rFonts w:ascii="Gill Sans MT" w:hAnsi="Gill Sans MT" w:cs="GillSans-Light"/>
                <w:sz w:val="20"/>
                <w:szCs w:val="20"/>
              </w:rPr>
              <w:t>01/06/2016 - 31/07/2016</w:t>
            </w:r>
          </w:p>
        </w:tc>
        <w:tc>
          <w:tcPr>
            <w:tcW w:w="1559" w:type="dxa"/>
          </w:tcPr>
          <w:p w:rsidR="00D17CA8" w:rsidRPr="00D17CA8" w:rsidRDefault="00D17CA8" w:rsidP="00796C11">
            <w:pPr>
              <w:pStyle w:val="BodyText"/>
              <w:jc w:val="right"/>
              <w:rPr>
                <w:sz w:val="20"/>
                <w:szCs w:val="20"/>
              </w:rPr>
            </w:pPr>
            <w:r w:rsidRPr="00D17CA8">
              <w:rPr>
                <w:sz w:val="20"/>
                <w:szCs w:val="20"/>
              </w:rPr>
              <w:t>216 000</w:t>
            </w:r>
          </w:p>
        </w:tc>
      </w:tr>
      <w:tr w:rsidR="00D17CA8" w:rsidRPr="00D17CA8" w:rsidTr="00D17CA8">
        <w:tc>
          <w:tcPr>
            <w:tcW w:w="2056" w:type="dxa"/>
          </w:tcPr>
          <w:p w:rsidR="00D17CA8" w:rsidRPr="00D17CA8" w:rsidRDefault="00D17CA8" w:rsidP="00796C11">
            <w:pPr>
              <w:pStyle w:val="BodyText"/>
              <w:rPr>
                <w:sz w:val="20"/>
                <w:szCs w:val="20"/>
              </w:rPr>
            </w:pPr>
            <w:r w:rsidRPr="00D17CA8">
              <w:rPr>
                <w:sz w:val="20"/>
                <w:szCs w:val="20"/>
              </w:rPr>
              <w:t>G4S Custodial Services Pty Ltd</w:t>
            </w:r>
          </w:p>
        </w:tc>
        <w:tc>
          <w:tcPr>
            <w:tcW w:w="3722" w:type="dxa"/>
          </w:tcPr>
          <w:p w:rsidR="00D17CA8" w:rsidRPr="00D17CA8" w:rsidRDefault="00D17CA8" w:rsidP="00D17CA8">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Provision of Security Services for</w:t>
            </w:r>
          </w:p>
          <w:p w:rsidR="00D17CA8" w:rsidRPr="00D17CA8" w:rsidRDefault="00D17CA8" w:rsidP="00D17CA8">
            <w:pPr>
              <w:pStyle w:val="BodyText"/>
              <w:rPr>
                <w:sz w:val="20"/>
                <w:szCs w:val="20"/>
              </w:rPr>
            </w:pPr>
            <w:r w:rsidRPr="00D17CA8">
              <w:rPr>
                <w:sz w:val="20"/>
                <w:szCs w:val="20"/>
              </w:rPr>
              <w:t>Wilfred Lopes Centre</w:t>
            </w:r>
          </w:p>
        </w:tc>
        <w:tc>
          <w:tcPr>
            <w:tcW w:w="2410" w:type="dxa"/>
          </w:tcPr>
          <w:p w:rsidR="00D17CA8" w:rsidRPr="00D17CA8" w:rsidRDefault="00D17CA8" w:rsidP="00796C11">
            <w:pPr>
              <w:autoSpaceDE w:val="0"/>
              <w:autoSpaceDN w:val="0"/>
              <w:adjustRightInd w:val="0"/>
              <w:rPr>
                <w:rFonts w:ascii="Gill Sans MT" w:hAnsi="Gill Sans MT"/>
                <w:sz w:val="20"/>
                <w:szCs w:val="20"/>
              </w:rPr>
            </w:pPr>
            <w:r w:rsidRPr="00D17CA8">
              <w:rPr>
                <w:rFonts w:ascii="Gill Sans MT" w:hAnsi="Gill Sans MT" w:cs="GillSans-Light"/>
                <w:sz w:val="20"/>
                <w:szCs w:val="20"/>
              </w:rPr>
              <w:t>19/03/2016 - 31/05/2016</w:t>
            </w:r>
          </w:p>
        </w:tc>
        <w:tc>
          <w:tcPr>
            <w:tcW w:w="1559" w:type="dxa"/>
          </w:tcPr>
          <w:p w:rsidR="00D17CA8" w:rsidRPr="00D17CA8" w:rsidRDefault="00D17CA8" w:rsidP="00796C11">
            <w:pPr>
              <w:pStyle w:val="BodyText"/>
              <w:jc w:val="right"/>
              <w:rPr>
                <w:sz w:val="20"/>
                <w:szCs w:val="20"/>
              </w:rPr>
            </w:pPr>
            <w:r w:rsidRPr="00D17CA8">
              <w:rPr>
                <w:sz w:val="20"/>
                <w:szCs w:val="20"/>
              </w:rPr>
              <w:t>216 000</w:t>
            </w:r>
          </w:p>
        </w:tc>
      </w:tr>
      <w:tr w:rsidR="00D17CA8" w:rsidRPr="00D17CA8" w:rsidTr="00D17CA8">
        <w:tc>
          <w:tcPr>
            <w:tcW w:w="2056" w:type="dxa"/>
          </w:tcPr>
          <w:p w:rsidR="00D17CA8" w:rsidRPr="00D17CA8" w:rsidRDefault="00D17CA8" w:rsidP="00796C11">
            <w:pPr>
              <w:pStyle w:val="BodyText"/>
              <w:rPr>
                <w:sz w:val="20"/>
                <w:szCs w:val="20"/>
              </w:rPr>
            </w:pPr>
            <w:r w:rsidRPr="00D17CA8">
              <w:rPr>
                <w:sz w:val="20"/>
                <w:szCs w:val="20"/>
              </w:rPr>
              <w:t>IBIS No.3 Pty Ltd</w:t>
            </w:r>
          </w:p>
        </w:tc>
        <w:tc>
          <w:tcPr>
            <w:tcW w:w="3722" w:type="dxa"/>
          </w:tcPr>
          <w:p w:rsidR="00D17CA8" w:rsidRPr="00D17CA8" w:rsidRDefault="00D17CA8" w:rsidP="00D17CA8">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Transition Care Program - Flexible</w:t>
            </w:r>
          </w:p>
          <w:p w:rsidR="00D17CA8" w:rsidRPr="00D17CA8" w:rsidRDefault="00D17CA8" w:rsidP="00D17CA8">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Residential and Community Packages</w:t>
            </w:r>
          </w:p>
        </w:tc>
        <w:tc>
          <w:tcPr>
            <w:tcW w:w="2410" w:type="dxa"/>
          </w:tcPr>
          <w:p w:rsidR="00D17CA8" w:rsidRPr="00D17CA8" w:rsidRDefault="00D17CA8" w:rsidP="00796C11">
            <w:pPr>
              <w:autoSpaceDE w:val="0"/>
              <w:autoSpaceDN w:val="0"/>
              <w:adjustRightInd w:val="0"/>
              <w:rPr>
                <w:rFonts w:ascii="Gill Sans MT" w:hAnsi="Gill Sans MT" w:cs="GillSans-Light"/>
                <w:sz w:val="20"/>
                <w:szCs w:val="20"/>
              </w:rPr>
            </w:pPr>
            <w:r w:rsidRPr="00D17CA8">
              <w:rPr>
                <w:rFonts w:ascii="Gill Sans MT" w:hAnsi="Gill Sans MT" w:cs="GillSans-Light"/>
                <w:sz w:val="20"/>
                <w:szCs w:val="20"/>
              </w:rPr>
              <w:t>01/07/2016 - 31/12/2016</w:t>
            </w:r>
          </w:p>
        </w:tc>
        <w:tc>
          <w:tcPr>
            <w:tcW w:w="1559" w:type="dxa"/>
          </w:tcPr>
          <w:p w:rsidR="00D17CA8" w:rsidRPr="00D17CA8" w:rsidRDefault="00D17CA8" w:rsidP="00796C11">
            <w:pPr>
              <w:pStyle w:val="BodyText"/>
              <w:jc w:val="right"/>
              <w:rPr>
                <w:sz w:val="20"/>
                <w:szCs w:val="20"/>
              </w:rPr>
            </w:pPr>
            <w:r w:rsidRPr="00D17CA8">
              <w:rPr>
                <w:sz w:val="20"/>
                <w:szCs w:val="20"/>
              </w:rPr>
              <w:t>194 886</w:t>
            </w:r>
          </w:p>
        </w:tc>
      </w:tr>
    </w:tbl>
    <w:p w:rsidR="00796C11" w:rsidRPr="00796C11" w:rsidRDefault="00796C11" w:rsidP="00796C11">
      <w:pPr>
        <w:pStyle w:val="BodyText"/>
        <w:rPr>
          <w:b/>
          <w:sz w:val="20"/>
          <w:szCs w:val="20"/>
        </w:rPr>
      </w:pPr>
      <w:r w:rsidRPr="00796C11">
        <w:rPr>
          <w:b/>
          <w:sz w:val="20"/>
          <w:szCs w:val="20"/>
        </w:rPr>
        <w:t>Note:</w:t>
      </w:r>
    </w:p>
    <w:p w:rsidR="00BD5F88" w:rsidRPr="00796C11" w:rsidRDefault="00796C11" w:rsidP="00796C11">
      <w:pPr>
        <w:pStyle w:val="BodyText"/>
        <w:numPr>
          <w:ilvl w:val="0"/>
          <w:numId w:val="39"/>
        </w:numPr>
        <w:rPr>
          <w:sz w:val="20"/>
          <w:szCs w:val="20"/>
        </w:rPr>
      </w:pPr>
      <w:r w:rsidRPr="00796C11">
        <w:rPr>
          <w:sz w:val="20"/>
          <w:szCs w:val="20"/>
        </w:rPr>
        <w:t>All values exclude GST.</w:t>
      </w:r>
    </w:p>
    <w:p w:rsidR="00796C11" w:rsidRPr="00796C11" w:rsidRDefault="00796C11" w:rsidP="00796C11">
      <w:pPr>
        <w:pStyle w:val="Heading4"/>
      </w:pPr>
      <w:r w:rsidRPr="00796C11">
        <w:t>Table 6 – Disaggregation Exemptions</w:t>
      </w:r>
    </w:p>
    <w:p w:rsidR="00796C11" w:rsidRPr="00796C11" w:rsidRDefault="00796C11" w:rsidP="00796C11">
      <w:pPr>
        <w:pStyle w:val="BodyText"/>
      </w:pPr>
      <w:r w:rsidRPr="00796C11">
        <w:t>Treasurer’s Instructions 1119(5) and 1225(5) provide heads of agencies with discretion to approve an</w:t>
      </w:r>
      <w:r>
        <w:t xml:space="preserve"> </w:t>
      </w:r>
      <w:r w:rsidRPr="00796C11">
        <w:t>exemption from the requirement to disaggregate substantial contracts where the benefits of aggregation</w:t>
      </w:r>
      <w:r>
        <w:t xml:space="preserve"> </w:t>
      </w:r>
      <w:r w:rsidRPr="00796C11">
        <w:t>clearly outweigh the potential negative impact on local SME suppliers/the local economy.</w:t>
      </w:r>
    </w:p>
    <w:p w:rsidR="00796C11" w:rsidRDefault="00796C11" w:rsidP="00796C11">
      <w:pPr>
        <w:pStyle w:val="BodyText"/>
      </w:pPr>
      <w:r w:rsidRPr="00796C11">
        <w:t>The following table provides details of contracts awarded by the THS in 2015-16 as a result of such an</w:t>
      </w:r>
      <w:r>
        <w:t xml:space="preserve"> </w:t>
      </w:r>
      <w:r w:rsidRPr="00796C11">
        <w:t>approval.</w:t>
      </w:r>
    </w:p>
    <w:tbl>
      <w:tblPr>
        <w:tblStyle w:val="TableGrid"/>
        <w:tblW w:w="0" w:type="auto"/>
        <w:tblLook w:val="04A0" w:firstRow="1" w:lastRow="0" w:firstColumn="1" w:lastColumn="0" w:noHBand="0" w:noVBand="1"/>
        <w:tblCaption w:val="Table 6: Disaggregation Exemptions"/>
      </w:tblPr>
      <w:tblGrid>
        <w:gridCol w:w="8330"/>
        <w:gridCol w:w="1951"/>
      </w:tblGrid>
      <w:tr w:rsidR="00796C11" w:rsidRPr="00A64CF2" w:rsidTr="00796C11">
        <w:trPr>
          <w:tblHeader/>
        </w:trPr>
        <w:tc>
          <w:tcPr>
            <w:tcW w:w="8330" w:type="dxa"/>
          </w:tcPr>
          <w:p w:rsidR="00796C11" w:rsidRPr="00A64CF2" w:rsidRDefault="00796C11" w:rsidP="00796C11">
            <w:pPr>
              <w:pStyle w:val="BodyText"/>
              <w:rPr>
                <w:b/>
                <w:sz w:val="20"/>
                <w:szCs w:val="20"/>
              </w:rPr>
            </w:pPr>
            <w:r w:rsidRPr="00A64CF2">
              <w:rPr>
                <w:b/>
                <w:sz w:val="20"/>
                <w:szCs w:val="20"/>
              </w:rPr>
              <w:t>Contract Description</w:t>
            </w:r>
          </w:p>
        </w:tc>
        <w:tc>
          <w:tcPr>
            <w:tcW w:w="1951" w:type="dxa"/>
          </w:tcPr>
          <w:p w:rsidR="00796C11" w:rsidRPr="00A64CF2" w:rsidRDefault="00796C11" w:rsidP="00796C11">
            <w:pPr>
              <w:pStyle w:val="BodyText"/>
              <w:jc w:val="right"/>
              <w:rPr>
                <w:b/>
                <w:sz w:val="20"/>
                <w:szCs w:val="20"/>
              </w:rPr>
            </w:pPr>
            <w:r w:rsidRPr="00A64CF2">
              <w:rPr>
                <w:b/>
                <w:sz w:val="20"/>
                <w:szCs w:val="20"/>
              </w:rPr>
              <w:t>Total Value $</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LGH - Fluoroscopic Imaging Equipment</w:t>
            </w:r>
          </w:p>
        </w:tc>
        <w:tc>
          <w:tcPr>
            <w:tcW w:w="1951" w:type="dxa"/>
          </w:tcPr>
          <w:p w:rsidR="00796C11" w:rsidRPr="00796C11" w:rsidRDefault="00796C11" w:rsidP="00796C11">
            <w:pPr>
              <w:pStyle w:val="BodyText"/>
              <w:jc w:val="right"/>
              <w:rPr>
                <w:sz w:val="20"/>
                <w:szCs w:val="20"/>
              </w:rPr>
            </w:pPr>
            <w:r w:rsidRPr="00796C11">
              <w:rPr>
                <w:sz w:val="20"/>
                <w:szCs w:val="20"/>
              </w:rPr>
              <w:t>1 249 330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NWRH - CT Simulator and Associated Equipment</w:t>
            </w:r>
          </w:p>
        </w:tc>
        <w:tc>
          <w:tcPr>
            <w:tcW w:w="1951" w:type="dxa"/>
          </w:tcPr>
          <w:p w:rsidR="00796C11" w:rsidRPr="00796C11" w:rsidRDefault="00796C11" w:rsidP="00796C11">
            <w:pPr>
              <w:pStyle w:val="BodyText"/>
              <w:jc w:val="right"/>
              <w:rPr>
                <w:sz w:val="20"/>
                <w:szCs w:val="20"/>
              </w:rPr>
            </w:pPr>
            <w:r w:rsidRPr="00796C11">
              <w:rPr>
                <w:sz w:val="20"/>
                <w:szCs w:val="20"/>
              </w:rPr>
              <w:t>1 414 013</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Patient Identification Bands</w:t>
            </w:r>
          </w:p>
        </w:tc>
        <w:tc>
          <w:tcPr>
            <w:tcW w:w="1951" w:type="dxa"/>
          </w:tcPr>
          <w:p w:rsidR="00796C11" w:rsidRPr="00796C11" w:rsidRDefault="00796C11" w:rsidP="00796C11">
            <w:pPr>
              <w:pStyle w:val="BodyText"/>
              <w:jc w:val="right"/>
              <w:rPr>
                <w:sz w:val="20"/>
                <w:szCs w:val="20"/>
              </w:rPr>
            </w:pPr>
            <w:r w:rsidRPr="00796C11">
              <w:rPr>
                <w:sz w:val="20"/>
                <w:szCs w:val="20"/>
              </w:rPr>
              <w:t>461 970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Provision of Pathology Services to BreastScreen Tasmania</w:t>
            </w:r>
          </w:p>
        </w:tc>
        <w:tc>
          <w:tcPr>
            <w:tcW w:w="1951" w:type="dxa"/>
          </w:tcPr>
          <w:p w:rsidR="00796C11" w:rsidRPr="00796C11" w:rsidRDefault="00796C11" w:rsidP="00796C11">
            <w:pPr>
              <w:pStyle w:val="BodyText"/>
              <w:jc w:val="right"/>
              <w:rPr>
                <w:sz w:val="20"/>
                <w:szCs w:val="20"/>
              </w:rPr>
            </w:pPr>
            <w:r w:rsidRPr="00796C11">
              <w:rPr>
                <w:sz w:val="20"/>
                <w:szCs w:val="20"/>
              </w:rPr>
              <w:t>930 000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RHH - Clinical Information System</w:t>
            </w:r>
          </w:p>
        </w:tc>
        <w:tc>
          <w:tcPr>
            <w:tcW w:w="1951" w:type="dxa"/>
          </w:tcPr>
          <w:p w:rsidR="00796C11" w:rsidRPr="00796C11" w:rsidRDefault="00796C11" w:rsidP="00796C11">
            <w:pPr>
              <w:pStyle w:val="BodyText"/>
              <w:jc w:val="right"/>
              <w:rPr>
                <w:sz w:val="20"/>
                <w:szCs w:val="20"/>
              </w:rPr>
            </w:pPr>
            <w:r w:rsidRPr="00796C11">
              <w:rPr>
                <w:sz w:val="20"/>
                <w:szCs w:val="20"/>
              </w:rPr>
              <w:t>2 319 590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RHH - Provision of Teleradiology Services</w:t>
            </w:r>
          </w:p>
        </w:tc>
        <w:tc>
          <w:tcPr>
            <w:tcW w:w="1951" w:type="dxa"/>
          </w:tcPr>
          <w:p w:rsidR="00796C11" w:rsidRPr="00796C11" w:rsidRDefault="00796C11" w:rsidP="00796C11">
            <w:pPr>
              <w:pStyle w:val="BodyText"/>
              <w:jc w:val="right"/>
              <w:rPr>
                <w:sz w:val="20"/>
                <w:szCs w:val="20"/>
              </w:rPr>
            </w:pPr>
            <w:r w:rsidRPr="00796C11">
              <w:rPr>
                <w:sz w:val="20"/>
                <w:szCs w:val="20"/>
              </w:rPr>
              <w:t>600 000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RHH - Two Monoplace Hyperbaric Chambers</w:t>
            </w:r>
          </w:p>
        </w:tc>
        <w:tc>
          <w:tcPr>
            <w:tcW w:w="1951" w:type="dxa"/>
          </w:tcPr>
          <w:p w:rsidR="00796C11" w:rsidRPr="00796C11" w:rsidRDefault="00796C11" w:rsidP="00796C11">
            <w:pPr>
              <w:pStyle w:val="BodyText"/>
              <w:jc w:val="right"/>
              <w:rPr>
                <w:sz w:val="20"/>
                <w:szCs w:val="20"/>
              </w:rPr>
            </w:pPr>
            <w:r w:rsidRPr="00796C11">
              <w:rPr>
                <w:sz w:val="20"/>
                <w:szCs w:val="20"/>
              </w:rPr>
              <w:t>575 961</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Rural Medical Services for St Helens, Flinders Island and Cape Barren Island</w:t>
            </w:r>
          </w:p>
        </w:tc>
        <w:tc>
          <w:tcPr>
            <w:tcW w:w="1951" w:type="dxa"/>
          </w:tcPr>
          <w:p w:rsidR="00796C11" w:rsidRPr="00796C11" w:rsidRDefault="00796C11" w:rsidP="00796C11">
            <w:pPr>
              <w:pStyle w:val="BodyText"/>
              <w:jc w:val="right"/>
              <w:rPr>
                <w:sz w:val="20"/>
                <w:szCs w:val="20"/>
              </w:rPr>
            </w:pPr>
            <w:r w:rsidRPr="00796C11">
              <w:rPr>
                <w:sz w:val="20"/>
                <w:szCs w:val="20"/>
              </w:rPr>
              <w:t>18 372 900</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Rural Medical Services for the Tasmanian West Coast and King Island</w:t>
            </w:r>
          </w:p>
        </w:tc>
        <w:tc>
          <w:tcPr>
            <w:tcW w:w="1951" w:type="dxa"/>
          </w:tcPr>
          <w:p w:rsidR="00796C11" w:rsidRPr="00796C11" w:rsidRDefault="00796C11" w:rsidP="00796C11">
            <w:pPr>
              <w:pStyle w:val="BodyText"/>
              <w:jc w:val="right"/>
              <w:rPr>
                <w:sz w:val="20"/>
                <w:szCs w:val="20"/>
              </w:rPr>
            </w:pPr>
            <w:r w:rsidRPr="00796C11">
              <w:rPr>
                <w:sz w:val="20"/>
                <w:szCs w:val="20"/>
              </w:rPr>
              <w:t>30 289 868</w:t>
            </w:r>
          </w:p>
        </w:tc>
      </w:tr>
      <w:tr w:rsidR="00796C11" w:rsidRPr="00796C11" w:rsidTr="00796C11">
        <w:tc>
          <w:tcPr>
            <w:tcW w:w="8330" w:type="dxa"/>
          </w:tcPr>
          <w:p w:rsidR="008E55FF" w:rsidRDefault="008E55FF" w:rsidP="00796C11">
            <w:pPr>
              <w:pStyle w:val="BodyText"/>
              <w:rPr>
                <w:sz w:val="20"/>
                <w:szCs w:val="20"/>
              </w:rPr>
            </w:pPr>
          </w:p>
          <w:p w:rsidR="00796C11" w:rsidRPr="00796C11" w:rsidRDefault="00796C11" w:rsidP="00796C11">
            <w:pPr>
              <w:pStyle w:val="BodyText"/>
              <w:rPr>
                <w:sz w:val="20"/>
                <w:szCs w:val="20"/>
              </w:rPr>
            </w:pPr>
            <w:r w:rsidRPr="00796C11">
              <w:rPr>
                <w:sz w:val="20"/>
                <w:szCs w:val="20"/>
              </w:rPr>
              <w:t>Supply of Nutritional Feeding Products and Equipment</w:t>
            </w:r>
          </w:p>
        </w:tc>
        <w:tc>
          <w:tcPr>
            <w:tcW w:w="1951" w:type="dxa"/>
          </w:tcPr>
          <w:p w:rsidR="00796C11" w:rsidRPr="00796C11" w:rsidRDefault="00796C11" w:rsidP="00796C11">
            <w:pPr>
              <w:pStyle w:val="BodyText"/>
              <w:jc w:val="right"/>
              <w:rPr>
                <w:sz w:val="20"/>
                <w:szCs w:val="20"/>
              </w:rPr>
            </w:pPr>
            <w:r w:rsidRPr="00796C11">
              <w:rPr>
                <w:sz w:val="20"/>
                <w:szCs w:val="20"/>
              </w:rPr>
              <w:t>5 498 876</w:t>
            </w:r>
          </w:p>
        </w:tc>
      </w:tr>
      <w:tr w:rsidR="00796C11" w:rsidRPr="00796C11" w:rsidTr="00796C11">
        <w:tc>
          <w:tcPr>
            <w:tcW w:w="8330" w:type="dxa"/>
          </w:tcPr>
          <w:p w:rsidR="00796C11" w:rsidRPr="00796C11" w:rsidRDefault="00796C11" w:rsidP="00796C11">
            <w:pPr>
              <w:pStyle w:val="BodyText"/>
              <w:rPr>
                <w:sz w:val="20"/>
                <w:szCs w:val="20"/>
              </w:rPr>
            </w:pPr>
            <w:r w:rsidRPr="00796C11">
              <w:rPr>
                <w:sz w:val="20"/>
                <w:szCs w:val="20"/>
              </w:rPr>
              <w:t>Transition Care Program - Flexible Residential Care Packages</w:t>
            </w:r>
          </w:p>
        </w:tc>
        <w:tc>
          <w:tcPr>
            <w:tcW w:w="1951" w:type="dxa"/>
          </w:tcPr>
          <w:p w:rsidR="00796C11" w:rsidRPr="00796C11" w:rsidRDefault="00796C11" w:rsidP="00796C11">
            <w:pPr>
              <w:pStyle w:val="BodyText"/>
              <w:jc w:val="right"/>
              <w:rPr>
                <w:sz w:val="20"/>
                <w:szCs w:val="20"/>
              </w:rPr>
            </w:pPr>
            <w:r w:rsidRPr="00796C11">
              <w:rPr>
                <w:sz w:val="20"/>
                <w:szCs w:val="20"/>
              </w:rPr>
              <w:t>4 263 492</w:t>
            </w:r>
          </w:p>
        </w:tc>
      </w:tr>
    </w:tbl>
    <w:p w:rsidR="00796C11" w:rsidRPr="00796C11" w:rsidRDefault="00796C11" w:rsidP="00796C11">
      <w:pPr>
        <w:autoSpaceDE w:val="0"/>
        <w:autoSpaceDN w:val="0"/>
        <w:adjustRightInd w:val="0"/>
        <w:spacing w:after="0" w:line="240" w:lineRule="auto"/>
        <w:rPr>
          <w:rFonts w:ascii="Gill Sans MT" w:hAnsi="Gill Sans MT" w:cs="GillSans-Light"/>
          <w:sz w:val="20"/>
          <w:szCs w:val="20"/>
        </w:rPr>
      </w:pPr>
      <w:r w:rsidRPr="00796C11">
        <w:rPr>
          <w:rFonts w:ascii="Gill Sans MT" w:hAnsi="Gill Sans MT" w:cs="GillSans-SemiBold"/>
          <w:b/>
          <w:bCs/>
          <w:sz w:val="20"/>
          <w:szCs w:val="20"/>
        </w:rPr>
        <w:t>Notes</w:t>
      </w:r>
      <w:r w:rsidRPr="00796C11">
        <w:rPr>
          <w:rFonts w:ascii="Gill Sans MT" w:hAnsi="Gill Sans MT" w:cs="GillSans-Light"/>
          <w:sz w:val="20"/>
          <w:szCs w:val="20"/>
        </w:rPr>
        <w:t>:</w:t>
      </w:r>
    </w:p>
    <w:p w:rsidR="00796C11" w:rsidRPr="00796C11" w:rsidRDefault="00796C11" w:rsidP="00796C11">
      <w:pPr>
        <w:autoSpaceDE w:val="0"/>
        <w:autoSpaceDN w:val="0"/>
        <w:adjustRightInd w:val="0"/>
        <w:spacing w:after="0" w:line="240" w:lineRule="auto"/>
        <w:rPr>
          <w:rFonts w:ascii="Gill Sans MT" w:hAnsi="Gill Sans MT" w:cs="GillSans-Light"/>
          <w:sz w:val="20"/>
          <w:szCs w:val="20"/>
        </w:rPr>
      </w:pPr>
      <w:r w:rsidRPr="00796C11">
        <w:rPr>
          <w:rFonts w:ascii="Gill Sans MT" w:hAnsi="Gill Sans MT" w:cs="GillSans-Light"/>
          <w:sz w:val="20"/>
          <w:szCs w:val="20"/>
        </w:rPr>
        <w:lastRenderedPageBreak/>
        <w:t>1. The values in this table include the aggregated value and the value, or estimated value, of any possible options to extend.</w:t>
      </w:r>
    </w:p>
    <w:p w:rsidR="00796C11" w:rsidRDefault="00796C11" w:rsidP="00796C11">
      <w:pPr>
        <w:pStyle w:val="BodyText"/>
        <w:rPr>
          <w:sz w:val="20"/>
          <w:szCs w:val="20"/>
        </w:rPr>
      </w:pPr>
      <w:r w:rsidRPr="00796C11">
        <w:rPr>
          <w:sz w:val="20"/>
          <w:szCs w:val="20"/>
        </w:rPr>
        <w:t>2. All values exclude GST.</w:t>
      </w:r>
    </w:p>
    <w:p w:rsidR="00A64CF2" w:rsidRDefault="00A64CF2" w:rsidP="00796C11">
      <w:pPr>
        <w:pStyle w:val="BodyText"/>
        <w:rPr>
          <w:sz w:val="20"/>
          <w:szCs w:val="20"/>
        </w:rPr>
      </w:pPr>
    </w:p>
    <w:p w:rsidR="00A64CF2" w:rsidRDefault="00A64CF2" w:rsidP="00A64CF2">
      <w:pPr>
        <w:pStyle w:val="Heading3"/>
      </w:pPr>
      <w:bookmarkStart w:id="40" w:name="_Toc472581980"/>
      <w:r>
        <w:t>Right to Information</w:t>
      </w:r>
      <w:bookmarkEnd w:id="40"/>
    </w:p>
    <w:tbl>
      <w:tblPr>
        <w:tblStyle w:val="TableGrid"/>
        <w:tblW w:w="0" w:type="auto"/>
        <w:tblLook w:val="04A0" w:firstRow="1" w:lastRow="0" w:firstColumn="1" w:lastColumn="0" w:noHBand="0" w:noVBand="1"/>
        <w:tblCaption w:val="Table: Right to Information number of requests"/>
      </w:tblPr>
      <w:tblGrid>
        <w:gridCol w:w="1101"/>
        <w:gridCol w:w="7512"/>
        <w:gridCol w:w="1668"/>
      </w:tblGrid>
      <w:tr w:rsidR="00A64CF2" w:rsidRPr="00A64CF2" w:rsidTr="00A64CF2">
        <w:trPr>
          <w:tblHeader/>
        </w:trPr>
        <w:tc>
          <w:tcPr>
            <w:tcW w:w="1101" w:type="dxa"/>
          </w:tcPr>
          <w:p w:rsidR="00A64CF2" w:rsidRPr="00A64CF2" w:rsidRDefault="00A64CF2" w:rsidP="00A64CF2">
            <w:pPr>
              <w:rPr>
                <w:rFonts w:ascii="Gill Sans MT" w:hAnsi="Gill Sans MT"/>
                <w:b/>
              </w:rPr>
            </w:pPr>
            <w:r w:rsidRPr="00A64CF2">
              <w:rPr>
                <w:rFonts w:ascii="Gill Sans MT" w:hAnsi="Gill Sans MT"/>
                <w:b/>
              </w:rPr>
              <w:t>Number</w:t>
            </w:r>
          </w:p>
        </w:tc>
        <w:tc>
          <w:tcPr>
            <w:tcW w:w="7512" w:type="dxa"/>
          </w:tcPr>
          <w:p w:rsidR="00A64CF2" w:rsidRPr="00A64CF2" w:rsidRDefault="00A64CF2" w:rsidP="00A64CF2">
            <w:pPr>
              <w:rPr>
                <w:rFonts w:ascii="Gill Sans MT" w:hAnsi="Gill Sans MT"/>
                <w:b/>
              </w:rPr>
            </w:pPr>
            <w:r w:rsidRPr="00A64CF2">
              <w:rPr>
                <w:rFonts w:ascii="Gill Sans MT" w:hAnsi="Gill Sans MT"/>
                <w:b/>
              </w:rPr>
              <w:t>Description</w:t>
            </w:r>
          </w:p>
        </w:tc>
        <w:tc>
          <w:tcPr>
            <w:tcW w:w="1668" w:type="dxa"/>
          </w:tcPr>
          <w:p w:rsidR="00A64CF2" w:rsidRPr="00A64CF2" w:rsidRDefault="00A64CF2" w:rsidP="00A64CF2">
            <w:pPr>
              <w:jc w:val="center"/>
              <w:rPr>
                <w:rFonts w:ascii="Gill Sans MT" w:hAnsi="Gill Sans MT"/>
                <w:b/>
              </w:rPr>
            </w:pPr>
            <w:r w:rsidRPr="00A64CF2">
              <w:rPr>
                <w:rFonts w:ascii="Gill Sans MT" w:hAnsi="Gill Sans MT"/>
                <w:b/>
              </w:rPr>
              <w:t>Value</w:t>
            </w:r>
          </w:p>
        </w:tc>
      </w:tr>
      <w:tr w:rsidR="00A64CF2" w:rsidRPr="00A64CF2" w:rsidTr="00A64CF2">
        <w:tc>
          <w:tcPr>
            <w:tcW w:w="1101" w:type="dxa"/>
          </w:tcPr>
          <w:p w:rsidR="00A64CF2" w:rsidRPr="00A64CF2" w:rsidRDefault="00A64CF2" w:rsidP="00A64CF2">
            <w:pPr>
              <w:rPr>
                <w:rFonts w:ascii="Gill Sans MT" w:hAnsi="Gill Sans MT"/>
              </w:rPr>
            </w:pPr>
            <w:r w:rsidRPr="00A64CF2">
              <w:rPr>
                <w:rFonts w:ascii="Gill Sans MT" w:hAnsi="Gill Sans MT"/>
              </w:rPr>
              <w:t>1.</w:t>
            </w:r>
          </w:p>
        </w:tc>
        <w:tc>
          <w:tcPr>
            <w:tcW w:w="7512" w:type="dxa"/>
          </w:tcPr>
          <w:p w:rsidR="00A64CF2" w:rsidRPr="00A64CF2" w:rsidRDefault="00A64CF2" w:rsidP="00A64CF2">
            <w:pPr>
              <w:rPr>
                <w:rFonts w:ascii="Gill Sans MT" w:hAnsi="Gill Sans MT"/>
              </w:rPr>
            </w:pPr>
            <w:r w:rsidRPr="00A64CF2">
              <w:rPr>
                <w:rFonts w:ascii="Gill Sans MT" w:hAnsi="Gill Sans MT" w:cs="GillSans-Light"/>
                <w:sz w:val="20"/>
                <w:szCs w:val="20"/>
              </w:rPr>
              <w:t>Number of determinations where the information applied for was provided in full.</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34</w:t>
            </w:r>
          </w:p>
        </w:tc>
      </w:tr>
      <w:tr w:rsidR="00A64CF2" w:rsidRPr="00A64CF2" w:rsidTr="00A64CF2">
        <w:tc>
          <w:tcPr>
            <w:tcW w:w="1101" w:type="dxa"/>
          </w:tcPr>
          <w:p w:rsidR="00A64CF2" w:rsidRPr="00A64CF2" w:rsidRDefault="00A64CF2" w:rsidP="00A64CF2">
            <w:pPr>
              <w:rPr>
                <w:rFonts w:ascii="Gill Sans MT" w:hAnsi="Gill Sans MT"/>
              </w:rPr>
            </w:pPr>
            <w:r w:rsidRPr="00A64CF2">
              <w:rPr>
                <w:rFonts w:ascii="Gill Sans MT" w:hAnsi="Gill Sans MT"/>
              </w:rPr>
              <w:t>2.</w:t>
            </w:r>
          </w:p>
        </w:tc>
        <w:tc>
          <w:tcPr>
            <w:tcW w:w="7512" w:type="dxa"/>
          </w:tcPr>
          <w:p w:rsidR="00A64CF2" w:rsidRPr="00A64CF2" w:rsidRDefault="00A64CF2" w:rsidP="00A64CF2">
            <w:pPr>
              <w:autoSpaceDE w:val="0"/>
              <w:autoSpaceDN w:val="0"/>
              <w:adjustRightInd w:val="0"/>
              <w:rPr>
                <w:rFonts w:ascii="Gill Sans MT" w:hAnsi="Gill Sans MT"/>
              </w:rPr>
            </w:pPr>
            <w:r w:rsidRPr="00A64CF2">
              <w:rPr>
                <w:rFonts w:ascii="Gill Sans MT" w:hAnsi="Gill Sans MT" w:cs="GillSans-Light"/>
                <w:sz w:val="20"/>
                <w:szCs w:val="20"/>
              </w:rPr>
              <w:t>Number of determinations where the information applied for was provided in part with the</w:t>
            </w:r>
            <w:r>
              <w:rPr>
                <w:rFonts w:ascii="Gill Sans MT" w:hAnsi="Gill Sans MT" w:cs="GillSans-Light"/>
                <w:sz w:val="20"/>
                <w:szCs w:val="20"/>
              </w:rPr>
              <w:t xml:space="preserve"> </w:t>
            </w:r>
            <w:r w:rsidRPr="00A64CF2">
              <w:rPr>
                <w:rFonts w:ascii="Gill Sans MT" w:hAnsi="Gill Sans MT" w:cs="GillSans-Light"/>
                <w:sz w:val="20"/>
                <w:szCs w:val="20"/>
              </w:rPr>
              <w:t>balance refused or claimed as exempt.</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7</w:t>
            </w:r>
          </w:p>
        </w:tc>
      </w:tr>
      <w:tr w:rsidR="00A64CF2" w:rsidRPr="00A64CF2" w:rsidTr="00A64CF2">
        <w:tc>
          <w:tcPr>
            <w:tcW w:w="1101" w:type="dxa"/>
          </w:tcPr>
          <w:p w:rsidR="00A64CF2" w:rsidRPr="00A64CF2" w:rsidRDefault="00A64CF2" w:rsidP="00A64CF2">
            <w:pPr>
              <w:rPr>
                <w:rFonts w:ascii="Gill Sans MT" w:hAnsi="Gill Sans MT"/>
              </w:rPr>
            </w:pPr>
            <w:r w:rsidRPr="00A64CF2">
              <w:rPr>
                <w:rFonts w:ascii="Gill Sans MT" w:hAnsi="Gill Sans MT"/>
              </w:rPr>
              <w:t>3.</w:t>
            </w:r>
          </w:p>
        </w:tc>
        <w:tc>
          <w:tcPr>
            <w:tcW w:w="7512" w:type="dxa"/>
          </w:tcPr>
          <w:p w:rsidR="00A64CF2" w:rsidRPr="00A64CF2" w:rsidRDefault="00A64CF2" w:rsidP="00A64CF2">
            <w:pPr>
              <w:rPr>
                <w:rFonts w:ascii="Gill Sans MT" w:hAnsi="Gill Sans MT"/>
              </w:rPr>
            </w:pPr>
            <w:r w:rsidRPr="00A64CF2">
              <w:rPr>
                <w:rFonts w:ascii="Gill Sans MT" w:hAnsi="Gill Sans MT" w:cs="GillSans-Light"/>
                <w:sz w:val="20"/>
                <w:szCs w:val="20"/>
              </w:rPr>
              <w:t>Number of determinations where all the information applied for was claimed as exempt.</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2</w:t>
            </w:r>
          </w:p>
        </w:tc>
      </w:tr>
      <w:tr w:rsidR="00A64CF2" w:rsidRPr="00A64CF2" w:rsidTr="00A64CF2">
        <w:tc>
          <w:tcPr>
            <w:tcW w:w="1101" w:type="dxa"/>
          </w:tcPr>
          <w:p w:rsidR="00A64CF2" w:rsidRPr="00A64CF2" w:rsidRDefault="00A64CF2" w:rsidP="00A64CF2">
            <w:pPr>
              <w:rPr>
                <w:rFonts w:ascii="Gill Sans MT" w:hAnsi="Gill Sans MT"/>
              </w:rPr>
            </w:pPr>
            <w:r w:rsidRPr="00A64CF2">
              <w:rPr>
                <w:rFonts w:ascii="Gill Sans MT" w:hAnsi="Gill Sans MT"/>
              </w:rPr>
              <w:t>4.</w:t>
            </w:r>
          </w:p>
        </w:tc>
        <w:tc>
          <w:tcPr>
            <w:tcW w:w="7512" w:type="dxa"/>
          </w:tcPr>
          <w:p w:rsidR="00A64CF2" w:rsidRPr="00A64CF2" w:rsidRDefault="00A64CF2" w:rsidP="00A64CF2">
            <w:pPr>
              <w:autoSpaceDE w:val="0"/>
              <w:autoSpaceDN w:val="0"/>
              <w:adjustRightInd w:val="0"/>
              <w:rPr>
                <w:rFonts w:ascii="Gill Sans MT" w:hAnsi="Gill Sans MT"/>
              </w:rPr>
            </w:pPr>
            <w:r w:rsidRPr="00A64CF2">
              <w:rPr>
                <w:rFonts w:ascii="Gill Sans MT" w:hAnsi="Gill Sans MT" w:cs="GillSans-Light"/>
                <w:sz w:val="20"/>
                <w:szCs w:val="20"/>
              </w:rPr>
              <w:t>Number of applications where the information applied for was not in the possession of the</w:t>
            </w:r>
            <w:r>
              <w:rPr>
                <w:rFonts w:ascii="Gill Sans MT" w:hAnsi="Gill Sans MT" w:cs="GillSans-Light"/>
                <w:sz w:val="20"/>
                <w:szCs w:val="20"/>
              </w:rPr>
              <w:t xml:space="preserve"> </w:t>
            </w:r>
            <w:r w:rsidRPr="00A64CF2">
              <w:rPr>
                <w:rFonts w:ascii="Gill Sans MT" w:hAnsi="Gill Sans MT" w:cs="GillSans-Light"/>
                <w:sz w:val="20"/>
                <w:szCs w:val="20"/>
              </w:rPr>
              <w:t>public authority or Minister</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2</w:t>
            </w:r>
          </w:p>
        </w:tc>
      </w:tr>
      <w:tr w:rsidR="00A64CF2" w:rsidRPr="00A64CF2" w:rsidTr="00A64CF2">
        <w:tc>
          <w:tcPr>
            <w:tcW w:w="1101" w:type="dxa"/>
          </w:tcPr>
          <w:p w:rsidR="00A64CF2" w:rsidRPr="00A64CF2" w:rsidRDefault="00A64CF2" w:rsidP="00A64CF2">
            <w:pPr>
              <w:rPr>
                <w:rFonts w:ascii="Gill Sans MT" w:hAnsi="Gill Sans MT"/>
              </w:rPr>
            </w:pPr>
            <w:r w:rsidRPr="00A64CF2">
              <w:rPr>
                <w:rFonts w:ascii="Gill Sans MT" w:hAnsi="Gill Sans MT"/>
              </w:rPr>
              <w:t>5.</w:t>
            </w:r>
          </w:p>
        </w:tc>
        <w:tc>
          <w:tcPr>
            <w:tcW w:w="7512" w:type="dxa"/>
          </w:tcPr>
          <w:p w:rsidR="00A64CF2" w:rsidRPr="00A64CF2" w:rsidRDefault="00A64CF2" w:rsidP="00A64CF2">
            <w:pPr>
              <w:autoSpaceDE w:val="0"/>
              <w:autoSpaceDN w:val="0"/>
              <w:adjustRightInd w:val="0"/>
              <w:rPr>
                <w:rFonts w:ascii="Gill Sans MT" w:hAnsi="Gill Sans MT" w:cs="GillSans-Light"/>
                <w:sz w:val="20"/>
                <w:szCs w:val="20"/>
              </w:rPr>
            </w:pPr>
            <w:r w:rsidRPr="00A64CF2">
              <w:rPr>
                <w:rFonts w:ascii="Gill Sans MT" w:hAnsi="Gill Sans MT" w:cs="GillSans-Light"/>
                <w:sz w:val="20"/>
                <w:szCs w:val="20"/>
              </w:rPr>
              <w:t>Number of applications where the information was not released as it was subject to an</w:t>
            </w:r>
          </w:p>
          <w:p w:rsidR="00A64CF2" w:rsidRPr="00A64CF2" w:rsidRDefault="00A64CF2" w:rsidP="00A64CF2">
            <w:pPr>
              <w:rPr>
                <w:rFonts w:ascii="Gill Sans MT" w:hAnsi="Gill Sans MT"/>
              </w:rPr>
            </w:pPr>
            <w:r w:rsidRPr="00A64CF2">
              <w:rPr>
                <w:rFonts w:ascii="Gill Sans MT" w:hAnsi="Gill Sans MT" w:cs="GillSans-Light"/>
                <w:sz w:val="20"/>
                <w:szCs w:val="20"/>
              </w:rPr>
              <w:t>external party review under section 44</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0</w:t>
            </w:r>
          </w:p>
        </w:tc>
      </w:tr>
    </w:tbl>
    <w:p w:rsidR="00A64CF2" w:rsidRDefault="00A64CF2" w:rsidP="00A64CF2"/>
    <w:p w:rsidR="00A64CF2" w:rsidRDefault="00A64CF2" w:rsidP="00A64CF2">
      <w:pPr>
        <w:pStyle w:val="Heading4"/>
      </w:pPr>
      <w:r>
        <w:t>Reasons for refusal</w:t>
      </w:r>
    </w:p>
    <w:tbl>
      <w:tblPr>
        <w:tblStyle w:val="TableGrid"/>
        <w:tblW w:w="0" w:type="auto"/>
        <w:tblLook w:val="04A0" w:firstRow="1" w:lastRow="0" w:firstColumn="1" w:lastColumn="0" w:noHBand="0" w:noVBand="1"/>
        <w:tblCaption w:val="Table: Right to Information - reasons for refusal"/>
      </w:tblPr>
      <w:tblGrid>
        <w:gridCol w:w="1101"/>
        <w:gridCol w:w="7512"/>
        <w:gridCol w:w="1668"/>
      </w:tblGrid>
      <w:tr w:rsidR="00A64CF2" w:rsidRPr="00A64CF2" w:rsidTr="00AF6C53">
        <w:trPr>
          <w:tblHeader/>
        </w:trPr>
        <w:tc>
          <w:tcPr>
            <w:tcW w:w="1101" w:type="dxa"/>
          </w:tcPr>
          <w:p w:rsidR="00A64CF2" w:rsidRPr="00A64CF2" w:rsidRDefault="00A64CF2" w:rsidP="00AF6C53">
            <w:pPr>
              <w:rPr>
                <w:rFonts w:ascii="Gill Sans MT" w:hAnsi="Gill Sans MT"/>
                <w:b/>
              </w:rPr>
            </w:pPr>
            <w:r w:rsidRPr="00A64CF2">
              <w:rPr>
                <w:rFonts w:ascii="Gill Sans MT" w:hAnsi="Gill Sans MT"/>
                <w:b/>
              </w:rPr>
              <w:t>Section</w:t>
            </w:r>
          </w:p>
        </w:tc>
        <w:tc>
          <w:tcPr>
            <w:tcW w:w="7512" w:type="dxa"/>
          </w:tcPr>
          <w:p w:rsidR="00A64CF2" w:rsidRPr="00A64CF2" w:rsidRDefault="00A64CF2" w:rsidP="00AF6C53">
            <w:pPr>
              <w:rPr>
                <w:rFonts w:ascii="Gill Sans MT" w:hAnsi="Gill Sans MT"/>
                <w:b/>
              </w:rPr>
            </w:pPr>
            <w:r w:rsidRPr="00A64CF2">
              <w:rPr>
                <w:rFonts w:ascii="Gill Sans MT" w:hAnsi="Gill Sans MT"/>
                <w:b/>
              </w:rPr>
              <w:t>Description</w:t>
            </w:r>
          </w:p>
        </w:tc>
        <w:tc>
          <w:tcPr>
            <w:tcW w:w="1668" w:type="dxa"/>
          </w:tcPr>
          <w:p w:rsidR="00A64CF2" w:rsidRPr="00A64CF2" w:rsidRDefault="00A64CF2" w:rsidP="00A64CF2">
            <w:pPr>
              <w:jc w:val="center"/>
              <w:rPr>
                <w:rFonts w:ascii="Gill Sans MT" w:hAnsi="Gill Sans MT"/>
                <w:b/>
              </w:rPr>
            </w:pPr>
            <w:r w:rsidRPr="00A64CF2">
              <w:rPr>
                <w:rFonts w:ascii="Gill Sans MT" w:hAnsi="Gill Sans MT"/>
                <w:b/>
              </w:rPr>
              <w:t>Value</w:t>
            </w:r>
          </w:p>
        </w:tc>
      </w:tr>
      <w:tr w:rsidR="00A64CF2" w:rsidRPr="00A64CF2" w:rsidTr="00AF6C53">
        <w:tc>
          <w:tcPr>
            <w:tcW w:w="1101" w:type="dxa"/>
          </w:tcPr>
          <w:p w:rsidR="00A64CF2" w:rsidRPr="00A64CF2" w:rsidRDefault="00A64CF2" w:rsidP="00A64CF2">
            <w:pPr>
              <w:autoSpaceDE w:val="0"/>
              <w:autoSpaceDN w:val="0"/>
              <w:adjustRightInd w:val="0"/>
              <w:rPr>
                <w:rFonts w:ascii="Gill Sans MT" w:hAnsi="Gill Sans MT" w:cs="GillSans-Light"/>
                <w:sz w:val="20"/>
                <w:szCs w:val="20"/>
              </w:rPr>
            </w:pPr>
            <w:r w:rsidRPr="00A64CF2">
              <w:rPr>
                <w:rFonts w:ascii="Gill Sans MT" w:hAnsi="Gill Sans MT" w:cs="GillSans-Light"/>
                <w:sz w:val="20"/>
                <w:szCs w:val="20"/>
              </w:rPr>
              <w:t>s.5, s.11,</w:t>
            </w:r>
          </w:p>
          <w:p w:rsidR="00A64CF2" w:rsidRPr="00A64CF2" w:rsidRDefault="00A64CF2" w:rsidP="00A64CF2">
            <w:pPr>
              <w:rPr>
                <w:rFonts w:ascii="Gill Sans MT" w:hAnsi="Gill Sans MT"/>
              </w:rPr>
            </w:pPr>
            <w:r w:rsidRPr="00A64CF2">
              <w:rPr>
                <w:rFonts w:ascii="Gill Sans MT" w:hAnsi="Gill Sans MT" w:cs="GillSans-Light"/>
                <w:sz w:val="20"/>
                <w:szCs w:val="20"/>
              </w:rPr>
              <w:t>s.17</w:t>
            </w:r>
          </w:p>
        </w:tc>
        <w:tc>
          <w:tcPr>
            <w:tcW w:w="7512" w:type="dxa"/>
          </w:tcPr>
          <w:p w:rsidR="00A64CF2" w:rsidRPr="00A64CF2" w:rsidRDefault="00A64CF2" w:rsidP="00A64CF2">
            <w:pPr>
              <w:autoSpaceDE w:val="0"/>
              <w:autoSpaceDN w:val="0"/>
              <w:adjustRightInd w:val="0"/>
              <w:rPr>
                <w:rFonts w:ascii="Gill Sans MT" w:hAnsi="Gill Sans MT"/>
              </w:rPr>
            </w:pPr>
            <w:r w:rsidRPr="00A64CF2">
              <w:rPr>
                <w:rFonts w:ascii="Gill Sans MT" w:hAnsi="Gill Sans MT" w:cs="GillSans-Light"/>
                <w:sz w:val="20"/>
                <w:szCs w:val="20"/>
              </w:rPr>
              <w:t>Refusal where information requested was not within the scope of the Act (s.5 – Not official business; s.11 – available at Archives Office and s.17 – Deferred).</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0</w:t>
            </w:r>
          </w:p>
        </w:tc>
      </w:tr>
      <w:tr w:rsidR="00A64CF2" w:rsidRPr="00A64CF2" w:rsidTr="00AF6C53">
        <w:tc>
          <w:tcPr>
            <w:tcW w:w="1101" w:type="dxa"/>
          </w:tcPr>
          <w:p w:rsidR="00A64CF2" w:rsidRPr="00A64CF2" w:rsidRDefault="00A64CF2" w:rsidP="00AF6C53">
            <w:pPr>
              <w:rPr>
                <w:rFonts w:ascii="Gill Sans MT" w:hAnsi="Gill Sans MT"/>
              </w:rPr>
            </w:pPr>
            <w:r w:rsidRPr="00A64CF2">
              <w:rPr>
                <w:rFonts w:ascii="Gill Sans MT" w:hAnsi="Gill Sans MT" w:cs="GillSans-Light"/>
                <w:sz w:val="20"/>
                <w:szCs w:val="20"/>
              </w:rPr>
              <w:t>s.9, s.12</w:t>
            </w:r>
          </w:p>
        </w:tc>
        <w:tc>
          <w:tcPr>
            <w:tcW w:w="7512" w:type="dxa"/>
          </w:tcPr>
          <w:p w:rsidR="00A64CF2" w:rsidRPr="00A64CF2" w:rsidRDefault="00A64CF2" w:rsidP="00A64CF2">
            <w:pPr>
              <w:autoSpaceDE w:val="0"/>
              <w:autoSpaceDN w:val="0"/>
              <w:adjustRightInd w:val="0"/>
              <w:rPr>
                <w:rFonts w:ascii="Gill Sans MT" w:hAnsi="Gill Sans MT"/>
              </w:rPr>
            </w:pPr>
            <w:r w:rsidRPr="00A64CF2">
              <w:rPr>
                <w:rFonts w:ascii="Gill Sans MT" w:hAnsi="Gill Sans MT" w:cs="GillSans-Light"/>
                <w:sz w:val="20"/>
                <w:szCs w:val="20"/>
              </w:rPr>
              <w:t>Refusal where information is otherwise available or will become otherwise available in the</w:t>
            </w:r>
            <w:r>
              <w:rPr>
                <w:rFonts w:ascii="Gill Sans MT" w:hAnsi="Gill Sans MT" w:cs="GillSans-Light"/>
                <w:sz w:val="20"/>
                <w:szCs w:val="20"/>
              </w:rPr>
              <w:t xml:space="preserve"> </w:t>
            </w:r>
            <w:r w:rsidRPr="00A64CF2">
              <w:rPr>
                <w:rFonts w:ascii="Gill Sans MT" w:hAnsi="Gill Sans MT" w:cs="GillSans-Light"/>
                <w:sz w:val="20"/>
                <w:szCs w:val="20"/>
              </w:rPr>
              <w:t>next 12 months</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3</w:t>
            </w:r>
          </w:p>
        </w:tc>
      </w:tr>
      <w:tr w:rsidR="00A64CF2" w:rsidRPr="00A64CF2" w:rsidTr="00AF6C53">
        <w:tc>
          <w:tcPr>
            <w:tcW w:w="1101" w:type="dxa"/>
          </w:tcPr>
          <w:p w:rsidR="00A64CF2" w:rsidRPr="00A64CF2" w:rsidRDefault="00A64CF2" w:rsidP="00AF6C53">
            <w:pPr>
              <w:rPr>
                <w:rFonts w:ascii="Gill Sans MT" w:hAnsi="Gill Sans MT"/>
              </w:rPr>
            </w:pPr>
            <w:r w:rsidRPr="00A64CF2">
              <w:rPr>
                <w:rFonts w:ascii="Gill Sans MT" w:hAnsi="Gill Sans MT" w:cs="GillSans-Light"/>
                <w:sz w:val="20"/>
                <w:szCs w:val="20"/>
              </w:rPr>
              <w:t>s.10, s.19</w:t>
            </w:r>
          </w:p>
        </w:tc>
        <w:tc>
          <w:tcPr>
            <w:tcW w:w="7512" w:type="dxa"/>
          </w:tcPr>
          <w:p w:rsidR="00A64CF2" w:rsidRPr="00A64CF2" w:rsidRDefault="00A64CF2" w:rsidP="00AF6C53">
            <w:pPr>
              <w:rPr>
                <w:rFonts w:ascii="Gill Sans MT" w:hAnsi="Gill Sans MT"/>
              </w:rPr>
            </w:pPr>
            <w:r w:rsidRPr="00A64CF2">
              <w:rPr>
                <w:rFonts w:ascii="Gill Sans MT" w:hAnsi="Gill Sans MT" w:cs="GillSans-Light"/>
                <w:sz w:val="20"/>
                <w:szCs w:val="20"/>
              </w:rPr>
              <w:t>Refusal where resources of public authority unreasonably diverted</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0</w:t>
            </w:r>
          </w:p>
        </w:tc>
      </w:tr>
      <w:tr w:rsidR="00A64CF2" w:rsidRPr="00A64CF2" w:rsidTr="00AF6C53">
        <w:tc>
          <w:tcPr>
            <w:tcW w:w="1101" w:type="dxa"/>
          </w:tcPr>
          <w:p w:rsidR="00A64CF2" w:rsidRPr="00A64CF2" w:rsidRDefault="00A64CF2" w:rsidP="00AF6C53">
            <w:pPr>
              <w:rPr>
                <w:rFonts w:ascii="Gill Sans MT" w:hAnsi="Gill Sans MT"/>
              </w:rPr>
            </w:pPr>
            <w:r w:rsidRPr="00A64CF2">
              <w:rPr>
                <w:rFonts w:ascii="Gill Sans MT" w:hAnsi="Gill Sans MT" w:cs="GillSans-Light"/>
                <w:sz w:val="20"/>
                <w:szCs w:val="20"/>
              </w:rPr>
              <w:t>s.20</w:t>
            </w:r>
          </w:p>
        </w:tc>
        <w:tc>
          <w:tcPr>
            <w:tcW w:w="7512" w:type="dxa"/>
          </w:tcPr>
          <w:p w:rsidR="00A64CF2" w:rsidRPr="00A64CF2" w:rsidRDefault="00A64CF2" w:rsidP="00AF6C53">
            <w:pPr>
              <w:autoSpaceDE w:val="0"/>
              <w:autoSpaceDN w:val="0"/>
              <w:adjustRightInd w:val="0"/>
              <w:rPr>
                <w:rFonts w:ascii="Gill Sans MT" w:hAnsi="Gill Sans MT"/>
              </w:rPr>
            </w:pPr>
            <w:r w:rsidRPr="00A64CF2">
              <w:rPr>
                <w:rFonts w:ascii="Gill Sans MT" w:hAnsi="Gill Sans MT" w:cs="GillSans-Light"/>
                <w:sz w:val="20"/>
                <w:szCs w:val="20"/>
              </w:rPr>
              <w:t>Refusal where application repeated; or Vexatious; or Lacking in definition after negotiation</w:t>
            </w:r>
          </w:p>
        </w:tc>
        <w:tc>
          <w:tcPr>
            <w:tcW w:w="1668" w:type="dxa"/>
          </w:tcPr>
          <w:p w:rsidR="00A64CF2" w:rsidRPr="00A64CF2" w:rsidRDefault="00A64CF2" w:rsidP="00A64CF2">
            <w:pPr>
              <w:jc w:val="center"/>
              <w:rPr>
                <w:rFonts w:ascii="Gill Sans MT" w:hAnsi="Gill Sans MT"/>
              </w:rPr>
            </w:pPr>
            <w:r w:rsidRPr="00A64CF2">
              <w:rPr>
                <w:rFonts w:ascii="Gill Sans MT" w:hAnsi="Gill Sans MT"/>
              </w:rPr>
              <w:t>1</w:t>
            </w:r>
          </w:p>
        </w:tc>
      </w:tr>
    </w:tbl>
    <w:p w:rsidR="00A64CF2" w:rsidRDefault="00A64CF2" w:rsidP="00A64CF2"/>
    <w:p w:rsidR="00A64CF2" w:rsidRDefault="00A64CF2" w:rsidP="008E55FF">
      <w:pPr>
        <w:pStyle w:val="Heading4"/>
      </w:pPr>
      <w:proofErr w:type="gramStart"/>
      <w:r>
        <w:t>Number of times where the following sections were invoked as reasons for exempting information from disclosure.</w:t>
      </w:r>
      <w:proofErr w:type="gramEnd"/>
    </w:p>
    <w:tbl>
      <w:tblPr>
        <w:tblStyle w:val="TableGrid"/>
        <w:tblW w:w="0" w:type="auto"/>
        <w:tblLook w:val="04A0" w:firstRow="1" w:lastRow="0" w:firstColumn="1" w:lastColumn="0" w:noHBand="0" w:noVBand="1"/>
        <w:tblCaption w:val="Table: Right to Information -  Exemptions"/>
        <w:tblDescription w:val="Number of times where the following sections were invoked as reasons for exempting information from disclosure."/>
      </w:tblPr>
      <w:tblGrid>
        <w:gridCol w:w="1101"/>
        <w:gridCol w:w="7512"/>
        <w:gridCol w:w="1668"/>
      </w:tblGrid>
      <w:tr w:rsidR="00A64CF2" w:rsidRPr="008E55FF" w:rsidTr="00AF6C53">
        <w:trPr>
          <w:tblHeader/>
        </w:trPr>
        <w:tc>
          <w:tcPr>
            <w:tcW w:w="1101" w:type="dxa"/>
          </w:tcPr>
          <w:p w:rsidR="00A64CF2" w:rsidRPr="008E55FF" w:rsidRDefault="00A64CF2" w:rsidP="00AF6C53">
            <w:pPr>
              <w:rPr>
                <w:rFonts w:ascii="Gill Sans MT" w:hAnsi="Gill Sans MT"/>
                <w:b/>
              </w:rPr>
            </w:pPr>
            <w:r w:rsidRPr="008E55FF">
              <w:rPr>
                <w:rFonts w:ascii="Gill Sans MT" w:hAnsi="Gill Sans MT"/>
                <w:b/>
              </w:rPr>
              <w:t>Section</w:t>
            </w:r>
          </w:p>
        </w:tc>
        <w:tc>
          <w:tcPr>
            <w:tcW w:w="7512" w:type="dxa"/>
          </w:tcPr>
          <w:p w:rsidR="00A64CF2" w:rsidRPr="008E55FF" w:rsidRDefault="00A64CF2" w:rsidP="00AF6C53">
            <w:pPr>
              <w:rPr>
                <w:rFonts w:ascii="Gill Sans MT" w:hAnsi="Gill Sans MT"/>
                <w:b/>
              </w:rPr>
            </w:pPr>
            <w:r w:rsidRPr="008E55FF">
              <w:rPr>
                <w:rFonts w:ascii="Gill Sans MT" w:hAnsi="Gill Sans MT"/>
                <w:b/>
              </w:rPr>
              <w:t>Description</w:t>
            </w:r>
          </w:p>
        </w:tc>
        <w:tc>
          <w:tcPr>
            <w:tcW w:w="1668" w:type="dxa"/>
          </w:tcPr>
          <w:p w:rsidR="00A64CF2" w:rsidRPr="008E55FF" w:rsidRDefault="00A64CF2" w:rsidP="00AF6C53">
            <w:pPr>
              <w:jc w:val="center"/>
              <w:rPr>
                <w:rFonts w:ascii="Gill Sans MT" w:hAnsi="Gill Sans MT"/>
                <w:b/>
              </w:rPr>
            </w:pPr>
            <w:r w:rsidRPr="008E55FF">
              <w:rPr>
                <w:rFonts w:ascii="Gill Sans MT" w:hAnsi="Gill Sans MT"/>
                <w:b/>
              </w:rPr>
              <w:t>Value</w:t>
            </w:r>
          </w:p>
        </w:tc>
      </w:tr>
      <w:tr w:rsidR="00A64CF2" w:rsidRPr="008E55FF" w:rsidTr="00AF6C53">
        <w:tc>
          <w:tcPr>
            <w:tcW w:w="1101" w:type="dxa"/>
          </w:tcPr>
          <w:p w:rsidR="00A64CF2" w:rsidRPr="008E55FF" w:rsidRDefault="008E55FF" w:rsidP="00AF6C53">
            <w:pPr>
              <w:rPr>
                <w:rFonts w:ascii="Gill Sans MT" w:hAnsi="Gill Sans MT"/>
              </w:rPr>
            </w:pPr>
            <w:r w:rsidRPr="008E55FF">
              <w:rPr>
                <w:rFonts w:ascii="Gill Sans MT" w:hAnsi="Gill Sans MT"/>
              </w:rPr>
              <w:t>s.25</w:t>
            </w:r>
          </w:p>
        </w:tc>
        <w:tc>
          <w:tcPr>
            <w:tcW w:w="7512" w:type="dxa"/>
          </w:tcPr>
          <w:p w:rsidR="00A64CF2"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Executive Council Information</w:t>
            </w:r>
          </w:p>
        </w:tc>
        <w:tc>
          <w:tcPr>
            <w:tcW w:w="1668" w:type="dxa"/>
          </w:tcPr>
          <w:p w:rsidR="00A64CF2" w:rsidRPr="008E55FF" w:rsidRDefault="008E55FF" w:rsidP="00AF6C53">
            <w:pPr>
              <w:jc w:val="center"/>
              <w:rPr>
                <w:rFonts w:ascii="Gill Sans MT" w:hAnsi="Gill Sans MT"/>
              </w:rPr>
            </w:pPr>
            <w:r w:rsidRPr="008E55FF">
              <w:rPr>
                <w:rFonts w:ascii="Gill Sans MT" w:hAnsi="Gill Sans MT"/>
              </w:rPr>
              <w:t>0</w:t>
            </w:r>
          </w:p>
        </w:tc>
      </w:tr>
      <w:tr w:rsidR="00A64CF2" w:rsidRPr="008E55FF" w:rsidTr="00AF6C53">
        <w:tc>
          <w:tcPr>
            <w:tcW w:w="1101" w:type="dxa"/>
          </w:tcPr>
          <w:p w:rsidR="00A64CF2" w:rsidRPr="008E55FF" w:rsidRDefault="008E55FF" w:rsidP="00AF6C53">
            <w:pPr>
              <w:rPr>
                <w:rFonts w:ascii="Gill Sans MT" w:hAnsi="Gill Sans MT"/>
              </w:rPr>
            </w:pPr>
            <w:r w:rsidRPr="008E55FF">
              <w:rPr>
                <w:rFonts w:ascii="Gill Sans MT" w:hAnsi="Gill Sans MT"/>
              </w:rPr>
              <w:t>s.26</w:t>
            </w:r>
          </w:p>
        </w:tc>
        <w:tc>
          <w:tcPr>
            <w:tcW w:w="7512" w:type="dxa"/>
          </w:tcPr>
          <w:p w:rsidR="00A64CF2"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Cabinet Information</w:t>
            </w:r>
          </w:p>
        </w:tc>
        <w:tc>
          <w:tcPr>
            <w:tcW w:w="1668" w:type="dxa"/>
          </w:tcPr>
          <w:p w:rsidR="00A64CF2" w:rsidRPr="008E55FF" w:rsidRDefault="008E55FF" w:rsidP="00AF6C53">
            <w:pPr>
              <w:jc w:val="center"/>
              <w:rPr>
                <w:rFonts w:ascii="Gill Sans MT" w:hAnsi="Gill Sans MT"/>
              </w:rPr>
            </w:pPr>
            <w:r w:rsidRPr="008E55FF">
              <w:rPr>
                <w:rFonts w:ascii="Gill Sans MT" w:hAnsi="Gill Sans MT"/>
              </w:rPr>
              <w:t>1</w:t>
            </w:r>
          </w:p>
        </w:tc>
      </w:tr>
      <w:tr w:rsidR="00A64CF2" w:rsidRPr="008E55FF" w:rsidTr="00AF6C53">
        <w:tc>
          <w:tcPr>
            <w:tcW w:w="1101" w:type="dxa"/>
          </w:tcPr>
          <w:p w:rsidR="00A64CF2" w:rsidRPr="008E55FF" w:rsidRDefault="008E55FF" w:rsidP="00AF6C53">
            <w:pPr>
              <w:rPr>
                <w:rFonts w:ascii="Gill Sans MT" w:hAnsi="Gill Sans MT"/>
              </w:rPr>
            </w:pPr>
            <w:r w:rsidRPr="008E55FF">
              <w:rPr>
                <w:rFonts w:ascii="Gill Sans MT" w:hAnsi="Gill Sans MT"/>
              </w:rPr>
              <w:t>s.27</w:t>
            </w:r>
          </w:p>
        </w:tc>
        <w:tc>
          <w:tcPr>
            <w:tcW w:w="7512" w:type="dxa"/>
          </w:tcPr>
          <w:p w:rsidR="00A64CF2" w:rsidRPr="008E55FF" w:rsidRDefault="008E55FF" w:rsidP="00AF6C53">
            <w:pPr>
              <w:rPr>
                <w:rFonts w:ascii="Gill Sans MT" w:hAnsi="Gill Sans MT"/>
              </w:rPr>
            </w:pPr>
            <w:r w:rsidRPr="008E55FF">
              <w:rPr>
                <w:rFonts w:ascii="Gill Sans MT" w:hAnsi="Gill Sans MT" w:cs="GillSans-Light"/>
                <w:sz w:val="20"/>
                <w:szCs w:val="20"/>
              </w:rPr>
              <w:t>Internal briefing information of a Minister</w:t>
            </w:r>
          </w:p>
        </w:tc>
        <w:tc>
          <w:tcPr>
            <w:tcW w:w="1668" w:type="dxa"/>
          </w:tcPr>
          <w:p w:rsidR="00A64CF2" w:rsidRPr="008E55FF" w:rsidRDefault="008E55FF" w:rsidP="00AF6C53">
            <w:pPr>
              <w:jc w:val="center"/>
              <w:rPr>
                <w:rFonts w:ascii="Gill Sans MT" w:hAnsi="Gill Sans MT"/>
              </w:rPr>
            </w:pPr>
            <w:r w:rsidRPr="008E55FF">
              <w:rPr>
                <w:rFonts w:ascii="Gill Sans MT" w:hAnsi="Gill Sans MT"/>
              </w:rPr>
              <w:t>2</w:t>
            </w:r>
          </w:p>
        </w:tc>
      </w:tr>
      <w:tr w:rsidR="00A64CF2" w:rsidRPr="008E55FF" w:rsidTr="00AF6C53">
        <w:tc>
          <w:tcPr>
            <w:tcW w:w="1101" w:type="dxa"/>
          </w:tcPr>
          <w:p w:rsidR="00A64CF2" w:rsidRPr="008E55FF" w:rsidRDefault="008E55FF" w:rsidP="00AF6C53">
            <w:pPr>
              <w:rPr>
                <w:rFonts w:ascii="Gill Sans MT" w:hAnsi="Gill Sans MT"/>
              </w:rPr>
            </w:pPr>
            <w:r w:rsidRPr="008E55FF">
              <w:rPr>
                <w:rFonts w:ascii="Gill Sans MT" w:hAnsi="Gill Sans MT"/>
              </w:rPr>
              <w:t>s.28</w:t>
            </w:r>
          </w:p>
        </w:tc>
        <w:tc>
          <w:tcPr>
            <w:tcW w:w="7512" w:type="dxa"/>
          </w:tcPr>
          <w:p w:rsidR="00A64CF2"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not relating to official business</w:t>
            </w:r>
          </w:p>
        </w:tc>
        <w:tc>
          <w:tcPr>
            <w:tcW w:w="1668" w:type="dxa"/>
          </w:tcPr>
          <w:p w:rsidR="00A64CF2"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s.29</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affecting national or state security, defence or international relations</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s.30</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relating to the enforcement of the law</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1</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s.31</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Legal professional privilege</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s.32</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relating to closed meetings of council</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s.34</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communicated by other jurisdictions</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s.35</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Internal deliberative information</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s.36</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Personal information of a person other than the applicant</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3</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s.37</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relating to the business affairs of a third party</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s.38</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relating to the business affairs of a public authority</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s.39</w:t>
            </w:r>
          </w:p>
        </w:tc>
        <w:tc>
          <w:tcPr>
            <w:tcW w:w="7512" w:type="dxa"/>
          </w:tcPr>
          <w:p w:rsidR="008E55FF" w:rsidRPr="008E55FF" w:rsidRDefault="008E55FF" w:rsidP="008E55FF">
            <w:pPr>
              <w:autoSpaceDE w:val="0"/>
              <w:autoSpaceDN w:val="0"/>
              <w:adjustRightInd w:val="0"/>
              <w:rPr>
                <w:rFonts w:ascii="Gill Sans MT" w:hAnsi="Gill Sans MT"/>
              </w:rPr>
            </w:pPr>
            <w:r w:rsidRPr="008E55FF">
              <w:rPr>
                <w:rFonts w:ascii="Gill Sans MT" w:hAnsi="Gill Sans MT" w:cs="GillSans-Light"/>
                <w:sz w:val="20"/>
                <w:szCs w:val="20"/>
              </w:rPr>
              <w:t>Information obtained in confidence</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s.40</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on procedures and criteria used in certain negotiations of public authority</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s.41</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likely to affect the State economy</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s.42</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Information likely to affect cultural, heritage and natural resources of the State</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bl>
    <w:p w:rsidR="00A64CF2" w:rsidRDefault="008E55FF" w:rsidP="008E55FF">
      <w:pPr>
        <w:pStyle w:val="Heading4"/>
      </w:pPr>
      <w:r>
        <w:t>Number of requests determined within the following timeframes</w:t>
      </w:r>
    </w:p>
    <w:tbl>
      <w:tblPr>
        <w:tblStyle w:val="TableGrid"/>
        <w:tblW w:w="0" w:type="auto"/>
        <w:tblLook w:val="04A0" w:firstRow="1" w:lastRow="0" w:firstColumn="1" w:lastColumn="0" w:noHBand="0" w:noVBand="1"/>
        <w:tblCaption w:val="Table: Right to Information -number of requests determined within the following timeframes"/>
      </w:tblPr>
      <w:tblGrid>
        <w:gridCol w:w="1101"/>
        <w:gridCol w:w="7512"/>
        <w:gridCol w:w="1668"/>
      </w:tblGrid>
      <w:tr w:rsidR="008E55FF" w:rsidRPr="008E55FF" w:rsidTr="00AF6C53">
        <w:trPr>
          <w:tblHeader/>
        </w:trPr>
        <w:tc>
          <w:tcPr>
            <w:tcW w:w="1101" w:type="dxa"/>
          </w:tcPr>
          <w:p w:rsidR="008E55FF" w:rsidRPr="008E55FF" w:rsidRDefault="008E55FF" w:rsidP="00AF6C53">
            <w:pPr>
              <w:rPr>
                <w:rFonts w:ascii="Gill Sans MT" w:hAnsi="Gill Sans MT"/>
                <w:b/>
              </w:rPr>
            </w:pPr>
            <w:r w:rsidRPr="008E55FF">
              <w:rPr>
                <w:rFonts w:ascii="Gill Sans MT" w:hAnsi="Gill Sans MT"/>
                <w:b/>
              </w:rPr>
              <w:t>Item</w:t>
            </w:r>
          </w:p>
        </w:tc>
        <w:tc>
          <w:tcPr>
            <w:tcW w:w="7512" w:type="dxa"/>
          </w:tcPr>
          <w:p w:rsidR="008E55FF" w:rsidRPr="008E55FF" w:rsidRDefault="008E55FF" w:rsidP="00AF6C53">
            <w:pPr>
              <w:rPr>
                <w:rFonts w:ascii="Gill Sans MT" w:hAnsi="Gill Sans MT"/>
                <w:b/>
              </w:rPr>
            </w:pPr>
            <w:r w:rsidRPr="008E55FF">
              <w:rPr>
                <w:rFonts w:ascii="Gill Sans MT" w:hAnsi="Gill Sans MT"/>
                <w:b/>
              </w:rPr>
              <w:t>Description</w:t>
            </w:r>
          </w:p>
        </w:tc>
        <w:tc>
          <w:tcPr>
            <w:tcW w:w="1668" w:type="dxa"/>
          </w:tcPr>
          <w:p w:rsidR="008E55FF" w:rsidRPr="008E55FF" w:rsidRDefault="008E55FF" w:rsidP="00AF6C53">
            <w:pPr>
              <w:jc w:val="center"/>
              <w:rPr>
                <w:rFonts w:ascii="Gill Sans MT" w:hAnsi="Gill Sans MT"/>
                <w:b/>
              </w:rPr>
            </w:pPr>
            <w:r w:rsidRPr="008E55FF">
              <w:rPr>
                <w:rFonts w:ascii="Gill Sans MT" w:hAnsi="Gill Sans MT"/>
                <w:b/>
              </w:rPr>
              <w:t>Value</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1.</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1 – 20 working days of the application being accepted.</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18</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2.</w:t>
            </w:r>
          </w:p>
        </w:tc>
        <w:tc>
          <w:tcPr>
            <w:tcW w:w="7512" w:type="dxa"/>
          </w:tcPr>
          <w:p w:rsidR="008E55FF" w:rsidRPr="008E55FF" w:rsidRDefault="008E55FF" w:rsidP="00AF6C53">
            <w:pPr>
              <w:autoSpaceDE w:val="0"/>
              <w:autoSpaceDN w:val="0"/>
              <w:adjustRightInd w:val="0"/>
              <w:rPr>
                <w:rFonts w:ascii="Gill Sans MT" w:hAnsi="Gill Sans MT"/>
              </w:rPr>
            </w:pPr>
            <w:r w:rsidRPr="008E55FF">
              <w:rPr>
                <w:rFonts w:ascii="Gill Sans MT" w:hAnsi="Gill Sans MT" w:cs="GillSans-Light"/>
                <w:sz w:val="20"/>
                <w:szCs w:val="20"/>
              </w:rPr>
              <w:t>More than 20 working days of the application being accepted.</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27</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3.</w:t>
            </w:r>
          </w:p>
        </w:tc>
        <w:tc>
          <w:tcPr>
            <w:tcW w:w="7512" w:type="dxa"/>
          </w:tcPr>
          <w:p w:rsidR="008E55FF" w:rsidRPr="008E55FF" w:rsidRDefault="008E55FF" w:rsidP="008E55FF">
            <w:pPr>
              <w:autoSpaceDE w:val="0"/>
              <w:autoSpaceDN w:val="0"/>
              <w:adjustRightInd w:val="0"/>
              <w:rPr>
                <w:rFonts w:ascii="Gill Sans MT" w:hAnsi="Gill Sans MT" w:cs="GillSans-Light"/>
                <w:sz w:val="20"/>
                <w:szCs w:val="20"/>
              </w:rPr>
            </w:pPr>
            <w:r w:rsidRPr="008E55FF">
              <w:rPr>
                <w:rFonts w:ascii="Gill Sans MT" w:hAnsi="Gill Sans MT" w:cs="GillSans-Light"/>
                <w:sz w:val="20"/>
                <w:szCs w:val="20"/>
              </w:rPr>
              <w:t>Number of requests which took more than 20 working days to decide that involved an</w:t>
            </w:r>
          </w:p>
          <w:p w:rsidR="008E55FF" w:rsidRPr="008E55FF" w:rsidRDefault="008E55FF" w:rsidP="008E55FF">
            <w:pPr>
              <w:rPr>
                <w:rFonts w:ascii="Gill Sans MT" w:hAnsi="Gill Sans MT"/>
              </w:rPr>
            </w:pPr>
            <w:proofErr w:type="gramStart"/>
            <w:r w:rsidRPr="008E55FF">
              <w:rPr>
                <w:rFonts w:ascii="Gill Sans MT" w:hAnsi="Gill Sans MT" w:cs="GillSans-Light"/>
                <w:sz w:val="20"/>
                <w:szCs w:val="20"/>
              </w:rPr>
              <w:t>extension</w:t>
            </w:r>
            <w:proofErr w:type="gramEnd"/>
            <w:r w:rsidRPr="008E55FF">
              <w:rPr>
                <w:rFonts w:ascii="Gill Sans MT" w:hAnsi="Gill Sans MT" w:cs="GillSans-Light"/>
                <w:sz w:val="20"/>
                <w:szCs w:val="20"/>
              </w:rPr>
              <w:t xml:space="preserve"> negotiated under s.15(4)(a).</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3</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t>4.</w:t>
            </w:r>
          </w:p>
        </w:tc>
        <w:tc>
          <w:tcPr>
            <w:tcW w:w="7512" w:type="dxa"/>
          </w:tcPr>
          <w:p w:rsidR="008E55FF" w:rsidRPr="008E55FF" w:rsidRDefault="008E55FF" w:rsidP="008E55FF">
            <w:pPr>
              <w:autoSpaceDE w:val="0"/>
              <w:autoSpaceDN w:val="0"/>
              <w:adjustRightInd w:val="0"/>
              <w:rPr>
                <w:rFonts w:ascii="Gill Sans MT" w:hAnsi="Gill Sans MT" w:cs="GillSans-Light"/>
                <w:sz w:val="20"/>
                <w:szCs w:val="20"/>
              </w:rPr>
            </w:pPr>
            <w:r w:rsidRPr="008E55FF">
              <w:rPr>
                <w:rFonts w:ascii="Gill Sans MT" w:hAnsi="Gill Sans MT" w:cs="GillSans-Light"/>
                <w:sz w:val="20"/>
                <w:szCs w:val="20"/>
              </w:rPr>
              <w:t>Number of requests which took more than 20 working days to decide that involved an</w:t>
            </w:r>
          </w:p>
          <w:p w:rsidR="008E55FF" w:rsidRPr="008E55FF" w:rsidRDefault="008E55FF" w:rsidP="008E55FF">
            <w:pPr>
              <w:autoSpaceDE w:val="0"/>
              <w:autoSpaceDN w:val="0"/>
              <w:adjustRightInd w:val="0"/>
              <w:rPr>
                <w:rFonts w:ascii="Gill Sans MT" w:hAnsi="Gill Sans MT"/>
              </w:rPr>
            </w:pPr>
            <w:proofErr w:type="gramStart"/>
            <w:r w:rsidRPr="008E55FF">
              <w:rPr>
                <w:rFonts w:ascii="Gill Sans MT" w:hAnsi="Gill Sans MT" w:cs="GillSans-Light"/>
                <w:sz w:val="20"/>
                <w:szCs w:val="20"/>
              </w:rPr>
              <w:lastRenderedPageBreak/>
              <w:t>extension</w:t>
            </w:r>
            <w:proofErr w:type="gramEnd"/>
            <w:r w:rsidRPr="008E55FF">
              <w:rPr>
                <w:rFonts w:ascii="Gill Sans MT" w:hAnsi="Gill Sans MT" w:cs="GillSans-Light"/>
                <w:sz w:val="20"/>
                <w:szCs w:val="20"/>
              </w:rPr>
              <w:t xml:space="preserve"> gained through an application to the Ombudsman under s.15(4)(b).</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lastRenderedPageBreak/>
              <w:t>0</w:t>
            </w:r>
          </w:p>
        </w:tc>
      </w:tr>
      <w:tr w:rsidR="008E55FF" w:rsidRPr="008E55FF" w:rsidTr="00AF6C53">
        <w:tc>
          <w:tcPr>
            <w:tcW w:w="1101" w:type="dxa"/>
          </w:tcPr>
          <w:p w:rsidR="008E55FF" w:rsidRPr="008E55FF" w:rsidRDefault="008E55FF" w:rsidP="00AF6C53">
            <w:pPr>
              <w:rPr>
                <w:rFonts w:ascii="Gill Sans MT" w:hAnsi="Gill Sans MT"/>
              </w:rPr>
            </w:pPr>
            <w:r w:rsidRPr="008E55FF">
              <w:rPr>
                <w:rFonts w:ascii="Gill Sans MT" w:hAnsi="Gill Sans MT"/>
              </w:rPr>
              <w:lastRenderedPageBreak/>
              <w:t>5.</w:t>
            </w:r>
          </w:p>
        </w:tc>
        <w:tc>
          <w:tcPr>
            <w:tcW w:w="7512" w:type="dxa"/>
          </w:tcPr>
          <w:p w:rsidR="008E55FF" w:rsidRPr="008E55FF" w:rsidRDefault="008E55FF" w:rsidP="008E55FF">
            <w:pPr>
              <w:autoSpaceDE w:val="0"/>
              <w:autoSpaceDN w:val="0"/>
              <w:adjustRightInd w:val="0"/>
              <w:rPr>
                <w:rFonts w:ascii="Gill Sans MT" w:hAnsi="Gill Sans MT" w:cs="GillSans-Light"/>
                <w:sz w:val="20"/>
                <w:szCs w:val="20"/>
              </w:rPr>
            </w:pPr>
            <w:r w:rsidRPr="008E55FF">
              <w:rPr>
                <w:rFonts w:ascii="Gill Sans MT" w:hAnsi="Gill Sans MT" w:cs="GillSans-Light"/>
                <w:sz w:val="20"/>
                <w:szCs w:val="20"/>
              </w:rPr>
              <w:t>Number of requests which took more than 20 working days to decide that involved</w:t>
            </w:r>
          </w:p>
          <w:p w:rsidR="008E55FF" w:rsidRPr="008E55FF" w:rsidRDefault="008E55FF" w:rsidP="008E55FF">
            <w:pPr>
              <w:autoSpaceDE w:val="0"/>
              <w:autoSpaceDN w:val="0"/>
              <w:adjustRightInd w:val="0"/>
              <w:rPr>
                <w:rFonts w:ascii="Gill Sans MT" w:hAnsi="Gill Sans MT"/>
              </w:rPr>
            </w:pPr>
            <w:r w:rsidRPr="008E55FF">
              <w:rPr>
                <w:rFonts w:ascii="Gill Sans MT" w:hAnsi="Gill Sans MT" w:cs="GillSans-Light"/>
                <w:sz w:val="20"/>
                <w:szCs w:val="20"/>
              </w:rPr>
              <w:t>consultation with a third party under s.15(5)</w:t>
            </w:r>
          </w:p>
        </w:tc>
        <w:tc>
          <w:tcPr>
            <w:tcW w:w="1668" w:type="dxa"/>
          </w:tcPr>
          <w:p w:rsidR="008E55FF" w:rsidRPr="008E55FF" w:rsidRDefault="008E55FF" w:rsidP="00AF6C53">
            <w:pPr>
              <w:jc w:val="center"/>
              <w:rPr>
                <w:rFonts w:ascii="Gill Sans MT" w:hAnsi="Gill Sans MT"/>
              </w:rPr>
            </w:pPr>
            <w:r w:rsidRPr="008E55FF">
              <w:rPr>
                <w:rFonts w:ascii="Gill Sans MT" w:hAnsi="Gill Sans MT"/>
              </w:rPr>
              <w:t>0</w:t>
            </w:r>
          </w:p>
        </w:tc>
      </w:tr>
    </w:tbl>
    <w:p w:rsidR="008E55FF" w:rsidRDefault="008E55FF" w:rsidP="00A64CF2"/>
    <w:p w:rsidR="008E55FF" w:rsidRDefault="008E55FF" w:rsidP="00D53595">
      <w:pPr>
        <w:pStyle w:val="Heading4"/>
      </w:pPr>
      <w:r>
        <w:t>Reviews</w:t>
      </w:r>
    </w:p>
    <w:tbl>
      <w:tblPr>
        <w:tblStyle w:val="TableGrid"/>
        <w:tblW w:w="10314" w:type="dxa"/>
        <w:tblLook w:val="04A0" w:firstRow="1" w:lastRow="0" w:firstColumn="1" w:lastColumn="0" w:noHBand="0" w:noVBand="1"/>
        <w:tblCaption w:val="Table: Right to Information -number of requests determined within the following timeframes"/>
      </w:tblPr>
      <w:tblGrid>
        <w:gridCol w:w="8613"/>
        <w:gridCol w:w="1701"/>
      </w:tblGrid>
      <w:tr w:rsidR="008E55FF" w:rsidRPr="00D53595" w:rsidTr="008E55FF">
        <w:trPr>
          <w:tblHeader/>
        </w:trPr>
        <w:tc>
          <w:tcPr>
            <w:tcW w:w="8613" w:type="dxa"/>
          </w:tcPr>
          <w:p w:rsidR="008E55FF" w:rsidRPr="00D53595" w:rsidRDefault="008E55FF" w:rsidP="00AF6C53">
            <w:pPr>
              <w:rPr>
                <w:rFonts w:ascii="Gill Sans MT" w:hAnsi="Gill Sans MT"/>
                <w:b/>
              </w:rPr>
            </w:pPr>
            <w:r w:rsidRPr="00D53595">
              <w:rPr>
                <w:rFonts w:ascii="Gill Sans MT" w:hAnsi="Gill Sans MT"/>
                <w:b/>
              </w:rPr>
              <w:t>Description</w:t>
            </w:r>
          </w:p>
        </w:tc>
        <w:tc>
          <w:tcPr>
            <w:tcW w:w="1701" w:type="dxa"/>
          </w:tcPr>
          <w:p w:rsidR="008E55FF" w:rsidRPr="00D53595" w:rsidRDefault="008E55FF" w:rsidP="00AF6C53">
            <w:pPr>
              <w:jc w:val="center"/>
              <w:rPr>
                <w:rFonts w:ascii="Gill Sans MT" w:hAnsi="Gill Sans MT"/>
                <w:b/>
              </w:rPr>
            </w:pPr>
            <w:r w:rsidRPr="00D53595">
              <w:rPr>
                <w:rFonts w:ascii="Gill Sans MT" w:hAnsi="Gill Sans MT"/>
                <w:b/>
              </w:rPr>
              <w:t>Value</w:t>
            </w:r>
          </w:p>
        </w:tc>
      </w:tr>
      <w:tr w:rsidR="008E55FF" w:rsidRPr="00D53595" w:rsidTr="008E55FF">
        <w:tc>
          <w:tcPr>
            <w:tcW w:w="8613" w:type="dxa"/>
          </w:tcPr>
          <w:p w:rsidR="008E55FF" w:rsidRPr="00D53595" w:rsidRDefault="008E55FF" w:rsidP="00AF6C53">
            <w:pPr>
              <w:autoSpaceDE w:val="0"/>
              <w:autoSpaceDN w:val="0"/>
              <w:adjustRightInd w:val="0"/>
              <w:rPr>
                <w:rFonts w:ascii="Gill Sans MT" w:hAnsi="Gill Sans MT"/>
              </w:rPr>
            </w:pPr>
            <w:r w:rsidRPr="00D53595">
              <w:rPr>
                <w:rFonts w:ascii="Gill Sans MT" w:hAnsi="Gill Sans MT" w:cs="GillSans-Light"/>
                <w:sz w:val="20"/>
                <w:szCs w:val="20"/>
              </w:rPr>
              <w:t>Number of internal reviews were requested in this financial year</w:t>
            </w:r>
          </w:p>
        </w:tc>
        <w:tc>
          <w:tcPr>
            <w:tcW w:w="1701" w:type="dxa"/>
          </w:tcPr>
          <w:p w:rsidR="008E55FF" w:rsidRPr="00D53595" w:rsidRDefault="00D53595" w:rsidP="00AF6C53">
            <w:pPr>
              <w:jc w:val="center"/>
              <w:rPr>
                <w:rFonts w:ascii="Gill Sans MT" w:hAnsi="Gill Sans MT"/>
              </w:rPr>
            </w:pPr>
            <w:r w:rsidRPr="00D53595">
              <w:rPr>
                <w:rFonts w:ascii="Gill Sans MT" w:hAnsi="Gill Sans MT"/>
              </w:rPr>
              <w:t>2</w:t>
            </w:r>
          </w:p>
        </w:tc>
      </w:tr>
      <w:tr w:rsidR="008E55FF" w:rsidRPr="00D53595" w:rsidTr="008E55FF">
        <w:tc>
          <w:tcPr>
            <w:tcW w:w="8613" w:type="dxa"/>
          </w:tcPr>
          <w:p w:rsidR="008E55FF" w:rsidRPr="00D53595" w:rsidRDefault="008E55FF" w:rsidP="00AF6C53">
            <w:pPr>
              <w:autoSpaceDE w:val="0"/>
              <w:autoSpaceDN w:val="0"/>
              <w:adjustRightInd w:val="0"/>
              <w:rPr>
                <w:rFonts w:ascii="Gill Sans MT" w:hAnsi="Gill Sans MT"/>
              </w:rPr>
            </w:pPr>
            <w:r w:rsidRPr="00D53595">
              <w:rPr>
                <w:rFonts w:ascii="Gill Sans MT" w:hAnsi="Gill Sans MT" w:cs="GillSans-Light"/>
                <w:sz w:val="20"/>
                <w:szCs w:val="20"/>
              </w:rPr>
              <w:t>Number of internal reviews were determined in this financial year</w:t>
            </w:r>
          </w:p>
        </w:tc>
        <w:tc>
          <w:tcPr>
            <w:tcW w:w="1701" w:type="dxa"/>
          </w:tcPr>
          <w:p w:rsidR="008E55FF" w:rsidRPr="00D53595" w:rsidRDefault="00D53595" w:rsidP="00AF6C53">
            <w:pPr>
              <w:jc w:val="center"/>
              <w:rPr>
                <w:rFonts w:ascii="Gill Sans MT" w:hAnsi="Gill Sans MT"/>
              </w:rPr>
            </w:pPr>
            <w:r w:rsidRPr="00D53595">
              <w:rPr>
                <w:rFonts w:ascii="Gill Sans MT" w:hAnsi="Gill Sans MT"/>
              </w:rPr>
              <w:t>2</w:t>
            </w:r>
          </w:p>
        </w:tc>
      </w:tr>
      <w:tr w:rsidR="008E55FF" w:rsidRPr="00D53595" w:rsidTr="008E55FF">
        <w:tc>
          <w:tcPr>
            <w:tcW w:w="8613" w:type="dxa"/>
          </w:tcPr>
          <w:p w:rsidR="008E55FF" w:rsidRPr="00D53595" w:rsidRDefault="008E55FF" w:rsidP="00AF6C53">
            <w:pPr>
              <w:rPr>
                <w:rFonts w:ascii="Gill Sans MT" w:hAnsi="Gill Sans MT"/>
              </w:rPr>
            </w:pPr>
            <w:r w:rsidRPr="00D53595">
              <w:rPr>
                <w:rFonts w:ascii="Gill Sans MT" w:hAnsi="Gill Sans MT" w:cs="GillSans-Light"/>
                <w:sz w:val="20"/>
                <w:szCs w:val="20"/>
              </w:rPr>
              <w:t>Number where the original decision upheld in full</w:t>
            </w:r>
          </w:p>
        </w:tc>
        <w:tc>
          <w:tcPr>
            <w:tcW w:w="1701" w:type="dxa"/>
          </w:tcPr>
          <w:p w:rsidR="008E55FF" w:rsidRPr="00D53595" w:rsidRDefault="00D53595" w:rsidP="00AF6C53">
            <w:pPr>
              <w:jc w:val="center"/>
              <w:rPr>
                <w:rFonts w:ascii="Gill Sans MT" w:hAnsi="Gill Sans MT"/>
              </w:rPr>
            </w:pPr>
            <w:r w:rsidRPr="00D53595">
              <w:rPr>
                <w:rFonts w:ascii="Gill Sans MT" w:hAnsi="Gill Sans MT"/>
              </w:rPr>
              <w:t>1</w:t>
            </w:r>
          </w:p>
        </w:tc>
      </w:tr>
      <w:tr w:rsidR="008E55FF" w:rsidRPr="00D53595" w:rsidTr="008E55FF">
        <w:tc>
          <w:tcPr>
            <w:tcW w:w="8613" w:type="dxa"/>
          </w:tcPr>
          <w:p w:rsidR="008E55FF" w:rsidRPr="00D53595" w:rsidRDefault="008E55FF" w:rsidP="00AF6C53">
            <w:pPr>
              <w:autoSpaceDE w:val="0"/>
              <w:autoSpaceDN w:val="0"/>
              <w:adjustRightInd w:val="0"/>
              <w:rPr>
                <w:rFonts w:ascii="Gill Sans MT" w:hAnsi="Gill Sans MT"/>
              </w:rPr>
            </w:pPr>
            <w:r w:rsidRPr="00D53595">
              <w:rPr>
                <w:rFonts w:ascii="Gill Sans MT" w:hAnsi="Gill Sans MT" w:cs="GillSans-Light"/>
                <w:sz w:val="20"/>
                <w:szCs w:val="20"/>
              </w:rPr>
              <w:t>Number where the original decision upheld in part</w:t>
            </w:r>
          </w:p>
        </w:tc>
        <w:tc>
          <w:tcPr>
            <w:tcW w:w="1701" w:type="dxa"/>
          </w:tcPr>
          <w:p w:rsidR="008E55FF" w:rsidRPr="00D53595" w:rsidRDefault="00D53595" w:rsidP="00AF6C53">
            <w:pPr>
              <w:jc w:val="center"/>
              <w:rPr>
                <w:rFonts w:ascii="Gill Sans MT" w:hAnsi="Gill Sans MT"/>
              </w:rPr>
            </w:pPr>
            <w:r w:rsidRPr="00D53595">
              <w:rPr>
                <w:rFonts w:ascii="Gill Sans MT" w:hAnsi="Gill Sans MT"/>
              </w:rPr>
              <w:t>1</w:t>
            </w:r>
          </w:p>
        </w:tc>
      </w:tr>
      <w:tr w:rsidR="008E55FF" w:rsidRPr="00D53595" w:rsidTr="008E55FF">
        <w:tc>
          <w:tcPr>
            <w:tcW w:w="8613" w:type="dxa"/>
          </w:tcPr>
          <w:p w:rsidR="008E55FF" w:rsidRPr="00D53595" w:rsidRDefault="008E55FF" w:rsidP="008E55FF">
            <w:pPr>
              <w:tabs>
                <w:tab w:val="left" w:pos="1290"/>
              </w:tabs>
              <w:autoSpaceDE w:val="0"/>
              <w:autoSpaceDN w:val="0"/>
              <w:adjustRightInd w:val="0"/>
              <w:rPr>
                <w:rFonts w:ascii="Gill Sans MT" w:hAnsi="Gill Sans MT"/>
              </w:rPr>
            </w:pPr>
            <w:r w:rsidRPr="00D53595">
              <w:rPr>
                <w:rFonts w:ascii="Gill Sans MT" w:hAnsi="Gill Sans MT" w:cs="GillSans-Light"/>
                <w:sz w:val="20"/>
                <w:szCs w:val="20"/>
              </w:rPr>
              <w:t>Number where the original decision reversed in full</w:t>
            </w:r>
          </w:p>
        </w:tc>
        <w:tc>
          <w:tcPr>
            <w:tcW w:w="1701" w:type="dxa"/>
          </w:tcPr>
          <w:p w:rsidR="008E55FF" w:rsidRPr="00D53595" w:rsidRDefault="00D53595" w:rsidP="00AF6C53">
            <w:pPr>
              <w:jc w:val="center"/>
              <w:rPr>
                <w:rFonts w:ascii="Gill Sans MT" w:hAnsi="Gill Sans MT"/>
              </w:rPr>
            </w:pPr>
            <w:r w:rsidRPr="00D53595">
              <w:rPr>
                <w:rFonts w:ascii="Gill Sans MT" w:hAnsi="Gill Sans MT"/>
              </w:rPr>
              <w:t>0</w:t>
            </w:r>
          </w:p>
        </w:tc>
      </w:tr>
    </w:tbl>
    <w:p w:rsidR="008E55FF" w:rsidRDefault="008E55FF" w:rsidP="00A64CF2"/>
    <w:p w:rsidR="00D53595" w:rsidRDefault="00D53595" w:rsidP="00D53595">
      <w:pPr>
        <w:pStyle w:val="Heading4"/>
      </w:pPr>
      <w:r>
        <w:t>External Reviews (reviews by the Ombudsman)</w:t>
      </w:r>
    </w:p>
    <w:tbl>
      <w:tblPr>
        <w:tblStyle w:val="TableGrid"/>
        <w:tblW w:w="10314" w:type="dxa"/>
        <w:tblLook w:val="04A0" w:firstRow="1" w:lastRow="0" w:firstColumn="1" w:lastColumn="0" w:noHBand="0" w:noVBand="1"/>
        <w:tblCaption w:val="Table: Right to Information -number of requests determined within the following timeframes"/>
      </w:tblPr>
      <w:tblGrid>
        <w:gridCol w:w="8613"/>
        <w:gridCol w:w="1701"/>
      </w:tblGrid>
      <w:tr w:rsidR="00D53595" w:rsidRPr="00D53595" w:rsidTr="00AF6C53">
        <w:trPr>
          <w:tblHeader/>
        </w:trPr>
        <w:tc>
          <w:tcPr>
            <w:tcW w:w="8613" w:type="dxa"/>
          </w:tcPr>
          <w:p w:rsidR="00D53595" w:rsidRPr="00D53595" w:rsidRDefault="00D53595" w:rsidP="00AF6C53">
            <w:pPr>
              <w:rPr>
                <w:rFonts w:ascii="Gill Sans MT" w:hAnsi="Gill Sans MT"/>
                <w:b/>
              </w:rPr>
            </w:pPr>
            <w:r w:rsidRPr="00D53595">
              <w:rPr>
                <w:rFonts w:ascii="Gill Sans MT" w:hAnsi="Gill Sans MT"/>
                <w:b/>
              </w:rPr>
              <w:t>Description</w:t>
            </w:r>
          </w:p>
        </w:tc>
        <w:tc>
          <w:tcPr>
            <w:tcW w:w="1701" w:type="dxa"/>
          </w:tcPr>
          <w:p w:rsidR="00D53595" w:rsidRPr="00D53595" w:rsidRDefault="00D53595" w:rsidP="00AF6C53">
            <w:pPr>
              <w:jc w:val="center"/>
              <w:rPr>
                <w:rFonts w:ascii="Gill Sans MT" w:hAnsi="Gill Sans MT"/>
                <w:b/>
              </w:rPr>
            </w:pPr>
            <w:r w:rsidRPr="00D53595">
              <w:rPr>
                <w:rFonts w:ascii="Gill Sans MT" w:hAnsi="Gill Sans MT"/>
                <w:b/>
              </w:rPr>
              <w:t>Value</w:t>
            </w:r>
          </w:p>
        </w:tc>
      </w:tr>
      <w:tr w:rsidR="00D53595" w:rsidRPr="00D53595" w:rsidTr="00AF6C53">
        <w:tc>
          <w:tcPr>
            <w:tcW w:w="8613" w:type="dxa"/>
          </w:tcPr>
          <w:p w:rsidR="00D53595" w:rsidRPr="00D53595" w:rsidRDefault="00D53595" w:rsidP="00AF6C53">
            <w:pPr>
              <w:autoSpaceDE w:val="0"/>
              <w:autoSpaceDN w:val="0"/>
              <w:adjustRightInd w:val="0"/>
              <w:rPr>
                <w:rFonts w:ascii="Gill Sans MT" w:hAnsi="Gill Sans MT"/>
              </w:rPr>
            </w:pPr>
            <w:proofErr w:type="gramStart"/>
            <w:r w:rsidRPr="00D53595">
              <w:rPr>
                <w:rFonts w:ascii="Gill Sans MT" w:hAnsi="Gill Sans MT" w:cs="GillSans-Light"/>
                <w:sz w:val="20"/>
                <w:szCs w:val="20"/>
              </w:rPr>
              <w:t>Number of external reviews were</w:t>
            </w:r>
            <w:proofErr w:type="gramEnd"/>
            <w:r w:rsidRPr="00D53595">
              <w:rPr>
                <w:rFonts w:ascii="Gill Sans MT" w:hAnsi="Gill Sans MT" w:cs="GillSans-Light"/>
                <w:sz w:val="20"/>
                <w:szCs w:val="20"/>
              </w:rPr>
              <w:t xml:space="preserve"> requested in this financial year?</w:t>
            </w:r>
          </w:p>
        </w:tc>
        <w:tc>
          <w:tcPr>
            <w:tcW w:w="1701" w:type="dxa"/>
          </w:tcPr>
          <w:p w:rsidR="00D53595" w:rsidRPr="00D53595" w:rsidRDefault="00D53595" w:rsidP="00AF6C53">
            <w:pPr>
              <w:jc w:val="center"/>
              <w:rPr>
                <w:rFonts w:ascii="Gill Sans MT" w:hAnsi="Gill Sans MT"/>
              </w:rPr>
            </w:pPr>
            <w:r w:rsidRPr="00D53595">
              <w:rPr>
                <w:rFonts w:ascii="Gill Sans MT" w:hAnsi="Gill Sans MT"/>
              </w:rPr>
              <w:t>2</w:t>
            </w:r>
          </w:p>
        </w:tc>
      </w:tr>
      <w:tr w:rsidR="00D53595" w:rsidRPr="00D53595" w:rsidTr="00AF6C53">
        <w:tc>
          <w:tcPr>
            <w:tcW w:w="8613" w:type="dxa"/>
          </w:tcPr>
          <w:p w:rsidR="00D53595" w:rsidRPr="00D53595" w:rsidRDefault="00D53595" w:rsidP="00AF6C53">
            <w:pPr>
              <w:autoSpaceDE w:val="0"/>
              <w:autoSpaceDN w:val="0"/>
              <w:adjustRightInd w:val="0"/>
              <w:rPr>
                <w:rFonts w:ascii="Gill Sans MT" w:hAnsi="Gill Sans MT"/>
              </w:rPr>
            </w:pPr>
            <w:proofErr w:type="gramStart"/>
            <w:r w:rsidRPr="00D53595">
              <w:rPr>
                <w:rFonts w:ascii="Gill Sans MT" w:hAnsi="Gill Sans MT" w:cs="GillSans-Light"/>
                <w:sz w:val="20"/>
                <w:szCs w:val="20"/>
              </w:rPr>
              <w:t>Number of external reviews were</w:t>
            </w:r>
            <w:proofErr w:type="gramEnd"/>
            <w:r w:rsidRPr="00D53595">
              <w:rPr>
                <w:rFonts w:ascii="Gill Sans MT" w:hAnsi="Gill Sans MT" w:cs="GillSans-Light"/>
                <w:sz w:val="20"/>
                <w:szCs w:val="20"/>
              </w:rPr>
              <w:t xml:space="preserve"> determined in this financial year?</w:t>
            </w:r>
          </w:p>
        </w:tc>
        <w:tc>
          <w:tcPr>
            <w:tcW w:w="1701" w:type="dxa"/>
          </w:tcPr>
          <w:p w:rsidR="00D53595" w:rsidRPr="00D53595" w:rsidRDefault="00D53595" w:rsidP="00AF6C53">
            <w:pPr>
              <w:jc w:val="center"/>
              <w:rPr>
                <w:rFonts w:ascii="Gill Sans MT" w:hAnsi="Gill Sans MT"/>
              </w:rPr>
            </w:pPr>
            <w:r w:rsidRPr="00D53595">
              <w:rPr>
                <w:rFonts w:ascii="Gill Sans MT" w:hAnsi="Gill Sans MT"/>
              </w:rPr>
              <w:t>0</w:t>
            </w:r>
          </w:p>
        </w:tc>
      </w:tr>
      <w:tr w:rsidR="00D53595" w:rsidRPr="00D53595" w:rsidTr="00AF6C53">
        <w:tc>
          <w:tcPr>
            <w:tcW w:w="8613" w:type="dxa"/>
          </w:tcPr>
          <w:p w:rsidR="00D53595" w:rsidRPr="00D53595" w:rsidRDefault="00D53595" w:rsidP="00AF6C53">
            <w:pPr>
              <w:rPr>
                <w:rFonts w:ascii="Gill Sans MT" w:hAnsi="Gill Sans MT"/>
              </w:rPr>
            </w:pPr>
            <w:r w:rsidRPr="00D53595">
              <w:rPr>
                <w:rFonts w:ascii="Gill Sans MT" w:hAnsi="Gill Sans MT" w:cs="GillSans-Light"/>
                <w:sz w:val="20"/>
                <w:szCs w:val="20"/>
              </w:rPr>
              <w:t>Number where the original decision upheld in full?</w:t>
            </w:r>
          </w:p>
        </w:tc>
        <w:tc>
          <w:tcPr>
            <w:tcW w:w="1701" w:type="dxa"/>
          </w:tcPr>
          <w:p w:rsidR="00D53595" w:rsidRPr="00D53595" w:rsidRDefault="00D53595" w:rsidP="00AF6C53">
            <w:pPr>
              <w:jc w:val="center"/>
              <w:rPr>
                <w:rFonts w:ascii="Gill Sans MT" w:hAnsi="Gill Sans MT"/>
              </w:rPr>
            </w:pPr>
            <w:r w:rsidRPr="00D53595">
              <w:rPr>
                <w:rFonts w:ascii="Gill Sans MT" w:hAnsi="Gill Sans MT"/>
              </w:rPr>
              <w:t>-</w:t>
            </w:r>
          </w:p>
        </w:tc>
      </w:tr>
      <w:tr w:rsidR="00D53595" w:rsidRPr="00D53595" w:rsidTr="00AF6C53">
        <w:tc>
          <w:tcPr>
            <w:tcW w:w="8613" w:type="dxa"/>
          </w:tcPr>
          <w:p w:rsidR="00D53595" w:rsidRPr="00D53595" w:rsidRDefault="00D53595" w:rsidP="00D53595">
            <w:pPr>
              <w:tabs>
                <w:tab w:val="left" w:pos="3300"/>
              </w:tabs>
              <w:autoSpaceDE w:val="0"/>
              <w:autoSpaceDN w:val="0"/>
              <w:adjustRightInd w:val="0"/>
              <w:rPr>
                <w:rFonts w:ascii="Gill Sans MT" w:hAnsi="Gill Sans MT"/>
              </w:rPr>
            </w:pPr>
            <w:r w:rsidRPr="00D53595">
              <w:rPr>
                <w:rFonts w:ascii="Gill Sans MT" w:hAnsi="Gill Sans MT" w:cs="GillSans-Light"/>
                <w:sz w:val="20"/>
                <w:szCs w:val="20"/>
              </w:rPr>
              <w:t>Number where the original decision upheld in part?</w:t>
            </w:r>
            <w:r w:rsidRPr="00D53595">
              <w:rPr>
                <w:rFonts w:ascii="Gill Sans MT" w:hAnsi="Gill Sans MT"/>
              </w:rPr>
              <w:tab/>
            </w:r>
          </w:p>
        </w:tc>
        <w:tc>
          <w:tcPr>
            <w:tcW w:w="1701" w:type="dxa"/>
          </w:tcPr>
          <w:p w:rsidR="00D53595" w:rsidRPr="00D53595" w:rsidRDefault="00D53595" w:rsidP="00AF6C53">
            <w:pPr>
              <w:jc w:val="center"/>
              <w:rPr>
                <w:rFonts w:ascii="Gill Sans MT" w:hAnsi="Gill Sans MT"/>
              </w:rPr>
            </w:pPr>
            <w:r w:rsidRPr="00D53595">
              <w:rPr>
                <w:rFonts w:ascii="Gill Sans MT" w:hAnsi="Gill Sans MT"/>
              </w:rPr>
              <w:t>-</w:t>
            </w:r>
          </w:p>
        </w:tc>
      </w:tr>
      <w:tr w:rsidR="00D53595" w:rsidRPr="00D53595" w:rsidTr="00AF6C53">
        <w:tc>
          <w:tcPr>
            <w:tcW w:w="8613" w:type="dxa"/>
          </w:tcPr>
          <w:p w:rsidR="00D53595" w:rsidRPr="00D53595" w:rsidRDefault="00D53595" w:rsidP="00AF6C53">
            <w:pPr>
              <w:tabs>
                <w:tab w:val="left" w:pos="1290"/>
              </w:tabs>
              <w:autoSpaceDE w:val="0"/>
              <w:autoSpaceDN w:val="0"/>
              <w:adjustRightInd w:val="0"/>
              <w:rPr>
                <w:rFonts w:ascii="Gill Sans MT" w:hAnsi="Gill Sans MT"/>
              </w:rPr>
            </w:pPr>
            <w:r w:rsidRPr="00D53595">
              <w:rPr>
                <w:rFonts w:ascii="Gill Sans MT" w:hAnsi="Gill Sans MT" w:cs="GillSans-Light"/>
                <w:sz w:val="20"/>
                <w:szCs w:val="20"/>
              </w:rPr>
              <w:t>Number where the original decision reversed in full?</w:t>
            </w:r>
          </w:p>
        </w:tc>
        <w:tc>
          <w:tcPr>
            <w:tcW w:w="1701" w:type="dxa"/>
          </w:tcPr>
          <w:p w:rsidR="00D53595" w:rsidRPr="00D53595" w:rsidRDefault="00D53595" w:rsidP="00AF6C53">
            <w:pPr>
              <w:jc w:val="center"/>
              <w:rPr>
                <w:rFonts w:ascii="Gill Sans MT" w:hAnsi="Gill Sans MT"/>
              </w:rPr>
            </w:pPr>
            <w:r w:rsidRPr="00D53595">
              <w:rPr>
                <w:rFonts w:ascii="Gill Sans MT" w:hAnsi="Gill Sans MT"/>
              </w:rPr>
              <w:t>-</w:t>
            </w:r>
          </w:p>
        </w:tc>
      </w:tr>
    </w:tbl>
    <w:p w:rsidR="00D34FCB" w:rsidRDefault="00D34FCB" w:rsidP="00A64CF2"/>
    <w:p w:rsidR="00D34FCB" w:rsidRDefault="00D34FCB">
      <w:r>
        <w:br w:type="page"/>
      </w:r>
    </w:p>
    <w:p w:rsidR="00D53595" w:rsidRDefault="00D34FCB" w:rsidP="00A64CF2">
      <w:r>
        <w:lastRenderedPageBreak/>
        <w:t>Ministerial Directions and Performance Escalations</w:t>
      </w:r>
    </w:p>
    <w:p w:rsidR="00D34FCB" w:rsidRDefault="00D34FCB" w:rsidP="00A64CF2">
      <w:r>
        <w:t>Register of Ministerial Directions from 1 July 2015</w:t>
      </w:r>
    </w:p>
    <w:tbl>
      <w:tblPr>
        <w:tblStyle w:val="TableGrid"/>
        <w:tblW w:w="0" w:type="auto"/>
        <w:tblLook w:val="04A0" w:firstRow="1" w:lastRow="0" w:firstColumn="1" w:lastColumn="0" w:noHBand="0" w:noVBand="1"/>
        <w:tblCaption w:val="Table: Register of Ministerial Directions from 1 July 2015"/>
      </w:tblPr>
      <w:tblGrid>
        <w:gridCol w:w="2570"/>
        <w:gridCol w:w="2570"/>
        <w:gridCol w:w="2570"/>
        <w:gridCol w:w="2571"/>
      </w:tblGrid>
      <w:tr w:rsidR="00D34FCB" w:rsidRPr="00D34FCB" w:rsidTr="00222594">
        <w:trPr>
          <w:tblHeader/>
        </w:trPr>
        <w:tc>
          <w:tcPr>
            <w:tcW w:w="2570" w:type="dxa"/>
          </w:tcPr>
          <w:p w:rsidR="00D34FCB" w:rsidRPr="00D34FCB" w:rsidRDefault="00D34FCB" w:rsidP="00A64CF2">
            <w:pPr>
              <w:rPr>
                <w:rFonts w:ascii="Gill Sans MT" w:hAnsi="Gill Sans MT"/>
                <w:b/>
              </w:rPr>
            </w:pPr>
            <w:r w:rsidRPr="00D34FCB">
              <w:rPr>
                <w:rFonts w:ascii="Gill Sans MT" w:hAnsi="Gill Sans MT"/>
                <w:b/>
              </w:rPr>
              <w:t>Date Signed by Minister</w:t>
            </w:r>
          </w:p>
        </w:tc>
        <w:tc>
          <w:tcPr>
            <w:tcW w:w="2570" w:type="dxa"/>
          </w:tcPr>
          <w:p w:rsidR="00D34FCB" w:rsidRPr="00D34FCB" w:rsidRDefault="00D34FCB" w:rsidP="00A64CF2">
            <w:pPr>
              <w:rPr>
                <w:rFonts w:ascii="Gill Sans MT" w:hAnsi="Gill Sans MT"/>
                <w:b/>
              </w:rPr>
            </w:pPr>
            <w:r w:rsidRPr="00D34FCB">
              <w:rPr>
                <w:rFonts w:ascii="Gill Sans MT" w:hAnsi="Gill Sans MT"/>
                <w:b/>
              </w:rPr>
              <w:t>Date Received by THS</w:t>
            </w:r>
          </w:p>
        </w:tc>
        <w:tc>
          <w:tcPr>
            <w:tcW w:w="2570" w:type="dxa"/>
          </w:tcPr>
          <w:p w:rsidR="00D34FCB" w:rsidRPr="00D34FCB" w:rsidRDefault="00D34FCB" w:rsidP="00A64CF2">
            <w:pPr>
              <w:rPr>
                <w:rFonts w:ascii="Gill Sans MT" w:hAnsi="Gill Sans MT"/>
                <w:b/>
              </w:rPr>
            </w:pPr>
            <w:r w:rsidRPr="00D34FCB">
              <w:rPr>
                <w:rFonts w:ascii="Gill Sans MT" w:hAnsi="Gill Sans MT"/>
                <w:b/>
              </w:rPr>
              <w:t>Title</w:t>
            </w:r>
          </w:p>
        </w:tc>
        <w:tc>
          <w:tcPr>
            <w:tcW w:w="2571" w:type="dxa"/>
          </w:tcPr>
          <w:p w:rsidR="00D34FCB" w:rsidRPr="00D34FCB" w:rsidRDefault="00D34FCB" w:rsidP="00A64CF2">
            <w:pPr>
              <w:rPr>
                <w:rFonts w:ascii="Gill Sans MT" w:hAnsi="Gill Sans MT"/>
                <w:b/>
              </w:rPr>
            </w:pPr>
            <w:r w:rsidRPr="00D34FCB">
              <w:rPr>
                <w:rFonts w:ascii="Gill Sans MT" w:hAnsi="Gill Sans MT"/>
                <w:b/>
              </w:rPr>
              <w:t>Details</w:t>
            </w:r>
          </w:p>
        </w:tc>
      </w:tr>
      <w:tr w:rsidR="00D34FCB" w:rsidRPr="00D34FCB" w:rsidTr="00D34FCB">
        <w:tc>
          <w:tcPr>
            <w:tcW w:w="2570"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10 November</w:t>
            </w:r>
          </w:p>
          <w:p w:rsidR="00D34FCB" w:rsidRPr="00D34FCB" w:rsidRDefault="00D34FCB" w:rsidP="00D34FCB">
            <w:pPr>
              <w:rPr>
                <w:rFonts w:ascii="Gill Sans MT" w:hAnsi="Gill Sans MT"/>
              </w:rPr>
            </w:pPr>
            <w:r w:rsidRPr="00D34FCB">
              <w:rPr>
                <w:rFonts w:ascii="Gill Sans MT" w:hAnsi="Gill Sans MT" w:cs="GillSans-Light"/>
                <w:sz w:val="20"/>
                <w:szCs w:val="20"/>
              </w:rPr>
              <w:t>2015</w:t>
            </w:r>
          </w:p>
        </w:tc>
        <w:tc>
          <w:tcPr>
            <w:tcW w:w="2570" w:type="dxa"/>
          </w:tcPr>
          <w:p w:rsidR="00D34FCB" w:rsidRPr="00D34FCB" w:rsidRDefault="00D34FCB" w:rsidP="00A64CF2">
            <w:pPr>
              <w:rPr>
                <w:rFonts w:ascii="Gill Sans MT" w:hAnsi="Gill Sans MT"/>
              </w:rPr>
            </w:pPr>
            <w:r w:rsidRPr="00D34FCB">
              <w:rPr>
                <w:rFonts w:ascii="Gill Sans MT" w:hAnsi="Gill Sans MT" w:cs="GillSans-Light"/>
                <w:sz w:val="20"/>
                <w:szCs w:val="20"/>
              </w:rPr>
              <w:t>12 November 2015</w:t>
            </w:r>
          </w:p>
        </w:tc>
        <w:tc>
          <w:tcPr>
            <w:tcW w:w="2570"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Financial Recovery</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Appointment of a Financial</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Recovery Team</w:t>
            </w:r>
            <w:r>
              <w:rPr>
                <w:rFonts w:ascii="Gill Sans MT" w:hAnsi="Gill Sans MT" w:cs="GillSans-Light"/>
                <w:sz w:val="20"/>
                <w:szCs w:val="20"/>
              </w:rPr>
              <w:t xml:space="preserve"> </w:t>
            </w:r>
            <w:r w:rsidRPr="00D34FCB">
              <w:rPr>
                <w:rFonts w:ascii="Gill Sans MT" w:hAnsi="Gill Sans MT" w:cs="GillSans-Light"/>
                <w:sz w:val="20"/>
                <w:szCs w:val="20"/>
              </w:rPr>
              <w:t>Actions included:</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 appointing a Financial Recovery</w:t>
            </w:r>
            <w:r>
              <w:rPr>
                <w:rFonts w:ascii="Gill Sans MT" w:hAnsi="Gill Sans MT" w:cs="GillSans-Light"/>
                <w:sz w:val="20"/>
                <w:szCs w:val="20"/>
              </w:rPr>
              <w:t xml:space="preserve"> </w:t>
            </w:r>
            <w:r w:rsidRPr="00D34FCB">
              <w:rPr>
                <w:rFonts w:ascii="Gill Sans MT" w:hAnsi="Gill Sans MT" w:cs="GillSans-Light"/>
                <w:sz w:val="20"/>
                <w:szCs w:val="20"/>
              </w:rPr>
              <w:t>Team (FRT) to prepare a new</w:t>
            </w:r>
            <w:r>
              <w:rPr>
                <w:rFonts w:ascii="Gill Sans MT" w:hAnsi="Gill Sans MT" w:cs="GillSans-Light"/>
                <w:sz w:val="20"/>
                <w:szCs w:val="20"/>
              </w:rPr>
              <w:t xml:space="preserve"> </w:t>
            </w:r>
            <w:r w:rsidRPr="00D34FCB">
              <w:rPr>
                <w:rFonts w:ascii="Gill Sans MT" w:hAnsi="Gill Sans MT" w:cs="GillSans-Light"/>
                <w:sz w:val="20"/>
                <w:szCs w:val="20"/>
              </w:rPr>
              <w:t>Financial Recovery Plan (FRP) with</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 xml:space="preserve">a focus on FTEs and </w:t>
            </w:r>
            <w:r>
              <w:rPr>
                <w:rFonts w:ascii="Gill Sans MT" w:hAnsi="Gill Sans MT" w:cs="GillSans-Light"/>
                <w:sz w:val="20"/>
                <w:szCs w:val="20"/>
              </w:rPr>
              <w:t xml:space="preserve"> a</w:t>
            </w:r>
            <w:r w:rsidRPr="00D34FCB">
              <w:rPr>
                <w:rFonts w:ascii="Gill Sans MT" w:hAnsi="Gill Sans MT" w:cs="GillSans-Light"/>
                <w:sz w:val="20"/>
                <w:szCs w:val="20"/>
              </w:rPr>
              <w:t>chievement</w:t>
            </w:r>
            <w:r>
              <w:rPr>
                <w:rFonts w:ascii="Gill Sans MT" w:hAnsi="Gill Sans MT" w:cs="GillSans-Light"/>
                <w:sz w:val="20"/>
                <w:szCs w:val="20"/>
              </w:rPr>
              <w:t xml:space="preserve"> </w:t>
            </w:r>
            <w:r w:rsidRPr="00D34FCB">
              <w:rPr>
                <w:rFonts w:ascii="Gill Sans MT" w:hAnsi="Gill Sans MT" w:cs="GillSans-Light"/>
                <w:sz w:val="20"/>
                <w:szCs w:val="20"/>
              </w:rPr>
              <w:t>of critical elective surgery targets</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 strengthening vacancy control</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 developing a statewide medical</w:t>
            </w:r>
            <w:r>
              <w:rPr>
                <w:rFonts w:ascii="Gill Sans MT" w:hAnsi="Gill Sans MT" w:cs="GillSans-Light"/>
                <w:sz w:val="20"/>
                <w:szCs w:val="20"/>
              </w:rPr>
              <w:t xml:space="preserve"> </w:t>
            </w:r>
            <w:r w:rsidRPr="00D34FCB">
              <w:rPr>
                <w:rFonts w:ascii="Gill Sans MT" w:hAnsi="Gill Sans MT" w:cs="GillSans-Light"/>
                <w:sz w:val="20"/>
                <w:szCs w:val="20"/>
              </w:rPr>
              <w:t>workforce and locum reduction</w:t>
            </w:r>
            <w:r>
              <w:rPr>
                <w:rFonts w:ascii="Gill Sans MT" w:hAnsi="Gill Sans MT" w:cs="GillSans-Light"/>
                <w:sz w:val="20"/>
                <w:szCs w:val="20"/>
              </w:rPr>
              <w:t xml:space="preserve"> </w:t>
            </w:r>
            <w:r w:rsidRPr="00D34FCB">
              <w:rPr>
                <w:rFonts w:ascii="Gill Sans MT" w:hAnsi="Gill Sans MT" w:cs="GillSans-Light"/>
                <w:sz w:val="20"/>
                <w:szCs w:val="20"/>
              </w:rPr>
              <w:t>plan</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 commencing a Workplace</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Renewal Incentive Program and</w:t>
            </w:r>
            <w:r>
              <w:rPr>
                <w:rFonts w:ascii="Gill Sans MT" w:hAnsi="Gill Sans MT" w:cs="GillSans-Light"/>
                <w:sz w:val="20"/>
                <w:szCs w:val="20"/>
              </w:rPr>
              <w:t xml:space="preserve"> </w:t>
            </w:r>
            <w:r w:rsidRPr="00D34FCB">
              <w:rPr>
                <w:rFonts w:ascii="Gill Sans MT" w:hAnsi="Gill Sans MT" w:cs="GillSans-Light"/>
                <w:sz w:val="20"/>
                <w:szCs w:val="20"/>
              </w:rPr>
              <w:t>Targeted Negotiated Voluntary</w:t>
            </w:r>
            <w:r>
              <w:rPr>
                <w:rFonts w:ascii="Gill Sans MT" w:hAnsi="Gill Sans MT" w:cs="GillSans-Light"/>
                <w:sz w:val="20"/>
                <w:szCs w:val="20"/>
              </w:rPr>
              <w:t xml:space="preserve"> </w:t>
            </w:r>
            <w:r w:rsidRPr="00D34FCB">
              <w:rPr>
                <w:rFonts w:ascii="Gill Sans MT" w:hAnsi="Gill Sans MT" w:cs="GillSans-Light"/>
                <w:sz w:val="20"/>
                <w:szCs w:val="20"/>
              </w:rPr>
              <w:t>Redundancy program, and</w:t>
            </w:r>
          </w:p>
          <w:p w:rsidR="00D34FCB" w:rsidRPr="00D34FCB" w:rsidRDefault="00D34FCB" w:rsidP="00D34FCB">
            <w:pPr>
              <w:autoSpaceDE w:val="0"/>
              <w:autoSpaceDN w:val="0"/>
              <w:adjustRightInd w:val="0"/>
              <w:rPr>
                <w:rFonts w:ascii="Gill Sans MT" w:hAnsi="Gill Sans MT"/>
              </w:rPr>
            </w:pPr>
            <w:r w:rsidRPr="00D34FCB">
              <w:rPr>
                <w:rFonts w:ascii="Gill Sans MT" w:hAnsi="Gill Sans MT" w:cs="GillSans-Light"/>
                <w:sz w:val="20"/>
                <w:szCs w:val="20"/>
              </w:rPr>
              <w:t>• implementing an appropriate</w:t>
            </w:r>
            <w:r>
              <w:rPr>
                <w:rFonts w:ascii="Gill Sans MT" w:hAnsi="Gill Sans MT" w:cs="GillSans-Light"/>
                <w:sz w:val="20"/>
                <w:szCs w:val="20"/>
              </w:rPr>
              <w:t xml:space="preserve"> </w:t>
            </w:r>
            <w:r w:rsidRPr="00D34FCB">
              <w:rPr>
                <w:rFonts w:ascii="Gill Sans MT" w:hAnsi="Gill Sans MT" w:cs="GillSans-Light"/>
                <w:sz w:val="20"/>
                <w:szCs w:val="20"/>
              </w:rPr>
              <w:t>executive structure.</w:t>
            </w:r>
          </w:p>
        </w:tc>
        <w:tc>
          <w:tcPr>
            <w:tcW w:w="2571"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Governing Council to</w:t>
            </w:r>
          </w:p>
          <w:p w:rsidR="00D34FCB" w:rsidRPr="00D34FCB" w:rsidRDefault="00D34FCB" w:rsidP="00D34FCB">
            <w:pPr>
              <w:autoSpaceDE w:val="0"/>
              <w:autoSpaceDN w:val="0"/>
              <w:adjustRightInd w:val="0"/>
              <w:rPr>
                <w:rFonts w:ascii="Gill Sans MT" w:hAnsi="Gill Sans MT"/>
              </w:rPr>
            </w:pPr>
            <w:proofErr w:type="gramStart"/>
            <w:r w:rsidRPr="00D34FCB">
              <w:rPr>
                <w:rFonts w:ascii="Gill Sans MT" w:hAnsi="Gill Sans MT" w:cs="GillSans-Light"/>
                <w:sz w:val="20"/>
                <w:szCs w:val="20"/>
              </w:rPr>
              <w:t>implement</w:t>
            </w:r>
            <w:proofErr w:type="gramEnd"/>
            <w:r w:rsidRPr="00D34FCB">
              <w:rPr>
                <w:rFonts w:ascii="Gill Sans MT" w:hAnsi="Gill Sans MT" w:cs="GillSans-Light"/>
                <w:sz w:val="20"/>
                <w:szCs w:val="20"/>
              </w:rPr>
              <w:t xml:space="preserve"> the 6 actions. THS</w:t>
            </w:r>
            <w:r>
              <w:rPr>
                <w:rFonts w:ascii="Gill Sans MT" w:hAnsi="Gill Sans MT" w:cs="GillSans-Light"/>
                <w:sz w:val="20"/>
                <w:szCs w:val="20"/>
              </w:rPr>
              <w:t xml:space="preserve"> </w:t>
            </w:r>
            <w:r w:rsidRPr="00D34FCB">
              <w:rPr>
                <w:rFonts w:ascii="Gill Sans MT" w:hAnsi="Gill Sans MT" w:cs="GillSans-Light"/>
                <w:sz w:val="20"/>
                <w:szCs w:val="20"/>
              </w:rPr>
              <w:t>to submit a Performance</w:t>
            </w:r>
            <w:r>
              <w:rPr>
                <w:rFonts w:ascii="Gill Sans MT" w:hAnsi="Gill Sans MT" w:cs="GillSans-Light"/>
                <w:sz w:val="20"/>
                <w:szCs w:val="20"/>
              </w:rPr>
              <w:t xml:space="preserve"> </w:t>
            </w:r>
            <w:r w:rsidRPr="00D34FCB">
              <w:rPr>
                <w:rFonts w:ascii="Gill Sans MT" w:hAnsi="Gill Sans MT" w:cs="GillSans-Light"/>
                <w:sz w:val="20"/>
                <w:szCs w:val="20"/>
              </w:rPr>
              <w:t>Improvement Plan and</w:t>
            </w:r>
            <w:r>
              <w:rPr>
                <w:rFonts w:ascii="Gill Sans MT" w:hAnsi="Gill Sans MT" w:cs="GillSans-Light"/>
                <w:sz w:val="20"/>
                <w:szCs w:val="20"/>
              </w:rPr>
              <w:t xml:space="preserve"> </w:t>
            </w:r>
            <w:r w:rsidRPr="00D34FCB">
              <w:rPr>
                <w:rFonts w:ascii="Gill Sans MT" w:hAnsi="Gill Sans MT" w:cs="GillSans-Light"/>
                <w:sz w:val="20"/>
                <w:szCs w:val="20"/>
              </w:rPr>
              <w:t>regularly meet with DHHS to</w:t>
            </w:r>
            <w:r>
              <w:rPr>
                <w:rFonts w:ascii="Gill Sans MT" w:hAnsi="Gill Sans MT" w:cs="GillSans-Light"/>
                <w:sz w:val="20"/>
                <w:szCs w:val="20"/>
              </w:rPr>
              <w:t xml:space="preserve"> </w:t>
            </w:r>
            <w:r w:rsidRPr="00D34FCB">
              <w:rPr>
                <w:rFonts w:ascii="Gill Sans MT" w:hAnsi="Gill Sans MT" w:cs="GillSans-Light"/>
                <w:sz w:val="20"/>
                <w:szCs w:val="20"/>
              </w:rPr>
              <w:t>monitor progress</w:t>
            </w:r>
          </w:p>
        </w:tc>
      </w:tr>
      <w:tr w:rsidR="00D34FCB" w:rsidRPr="00D34FCB" w:rsidTr="00D34FCB">
        <w:tc>
          <w:tcPr>
            <w:tcW w:w="2570" w:type="dxa"/>
          </w:tcPr>
          <w:p w:rsidR="00D34FCB" w:rsidRPr="00D34FCB" w:rsidRDefault="00D34FCB" w:rsidP="00A64CF2">
            <w:pPr>
              <w:rPr>
                <w:rFonts w:ascii="Gill Sans MT" w:hAnsi="Gill Sans MT"/>
              </w:rPr>
            </w:pPr>
            <w:r w:rsidRPr="00D34FCB">
              <w:rPr>
                <w:rFonts w:ascii="Gill Sans MT" w:hAnsi="Gill Sans MT" w:cs="GillSans-Light"/>
                <w:sz w:val="20"/>
                <w:szCs w:val="20"/>
              </w:rPr>
              <w:t>9 December 2015</w:t>
            </w:r>
          </w:p>
        </w:tc>
        <w:tc>
          <w:tcPr>
            <w:tcW w:w="2570" w:type="dxa"/>
          </w:tcPr>
          <w:p w:rsidR="00D34FCB" w:rsidRPr="00D34FCB" w:rsidRDefault="00D34FCB" w:rsidP="00A64CF2">
            <w:pPr>
              <w:rPr>
                <w:rFonts w:ascii="Gill Sans MT" w:hAnsi="Gill Sans MT"/>
              </w:rPr>
            </w:pPr>
            <w:r w:rsidRPr="00D34FCB">
              <w:rPr>
                <w:rFonts w:ascii="Gill Sans MT" w:hAnsi="Gill Sans MT" w:cs="GillSans-Light"/>
                <w:sz w:val="20"/>
                <w:szCs w:val="20"/>
              </w:rPr>
              <w:t>11 December 2015</w:t>
            </w:r>
          </w:p>
        </w:tc>
        <w:tc>
          <w:tcPr>
            <w:tcW w:w="2570"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Emergency Services Management</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Minister to convene an Emergency</w:t>
            </w:r>
            <w:r>
              <w:rPr>
                <w:rFonts w:ascii="Gill Sans MT" w:hAnsi="Gill Sans MT" w:cs="GillSans-Light"/>
                <w:sz w:val="20"/>
                <w:szCs w:val="20"/>
              </w:rPr>
              <w:t xml:space="preserve"> </w:t>
            </w:r>
            <w:r w:rsidRPr="00D34FCB">
              <w:rPr>
                <w:rFonts w:ascii="Gill Sans MT" w:hAnsi="Gill Sans MT" w:cs="GillSans-Light"/>
                <w:sz w:val="20"/>
                <w:szCs w:val="20"/>
              </w:rPr>
              <w:t>Services Management Committee</w:t>
            </w:r>
          </w:p>
          <w:p w:rsidR="00D34FCB" w:rsidRPr="00D34FCB" w:rsidRDefault="00D34FCB" w:rsidP="00D34FCB">
            <w:pPr>
              <w:autoSpaceDE w:val="0"/>
              <w:autoSpaceDN w:val="0"/>
              <w:adjustRightInd w:val="0"/>
              <w:rPr>
                <w:rFonts w:ascii="Gill Sans MT" w:hAnsi="Gill Sans MT"/>
              </w:rPr>
            </w:pPr>
            <w:r w:rsidRPr="00D34FCB">
              <w:rPr>
                <w:rFonts w:ascii="Gill Sans MT" w:hAnsi="Gill Sans MT" w:cs="GillSans-Light"/>
                <w:sz w:val="20"/>
                <w:szCs w:val="20"/>
              </w:rPr>
              <w:t>(ESMC), co-chaired by the DHHS</w:t>
            </w:r>
            <w:r>
              <w:rPr>
                <w:rFonts w:ascii="Gill Sans MT" w:hAnsi="Gill Sans MT" w:cs="GillSans-Light"/>
                <w:sz w:val="20"/>
                <w:szCs w:val="20"/>
              </w:rPr>
              <w:t xml:space="preserve"> </w:t>
            </w:r>
            <w:r w:rsidRPr="00D34FCB">
              <w:rPr>
                <w:rFonts w:ascii="Gill Sans MT" w:hAnsi="Gill Sans MT" w:cs="GillSans-Light"/>
                <w:sz w:val="20"/>
                <w:szCs w:val="20"/>
              </w:rPr>
              <w:t>Secretary and the THS CEO.</w:t>
            </w:r>
          </w:p>
        </w:tc>
        <w:tc>
          <w:tcPr>
            <w:tcW w:w="2571"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The Committee was tasked</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with providing advice to the</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Minister on issues affecting</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consumer access to (and</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delivery of) public hospital</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emergency care, to oversee</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implementation of both</w:t>
            </w:r>
          </w:p>
          <w:p w:rsidR="00D34FCB" w:rsidRPr="00D34FCB" w:rsidRDefault="00D34FCB" w:rsidP="00D34FCB">
            <w:pPr>
              <w:autoSpaceDE w:val="0"/>
              <w:autoSpaceDN w:val="0"/>
              <w:adjustRightInd w:val="0"/>
              <w:rPr>
                <w:rFonts w:ascii="Gill Sans MT" w:hAnsi="Gill Sans MT"/>
              </w:rPr>
            </w:pPr>
            <w:proofErr w:type="gramStart"/>
            <w:r w:rsidRPr="00D34FCB">
              <w:rPr>
                <w:rFonts w:ascii="Gill Sans MT" w:hAnsi="Gill Sans MT" w:cs="GillSans-Light"/>
                <w:sz w:val="20"/>
                <w:szCs w:val="20"/>
              </w:rPr>
              <w:t>specific</w:t>
            </w:r>
            <w:proofErr w:type="gramEnd"/>
            <w:r w:rsidRPr="00D34FCB">
              <w:rPr>
                <w:rFonts w:ascii="Gill Sans MT" w:hAnsi="Gill Sans MT" w:cs="GillSans-Light"/>
                <w:sz w:val="20"/>
                <w:szCs w:val="20"/>
              </w:rPr>
              <w:t xml:space="preserve"> immediate actions and</w:t>
            </w:r>
            <w:r>
              <w:rPr>
                <w:rFonts w:ascii="Gill Sans MT" w:hAnsi="Gill Sans MT" w:cs="GillSans-Light"/>
                <w:sz w:val="20"/>
                <w:szCs w:val="20"/>
              </w:rPr>
              <w:t xml:space="preserve"> </w:t>
            </w:r>
            <w:r w:rsidRPr="00D34FCB">
              <w:rPr>
                <w:rFonts w:ascii="Gill Sans MT" w:hAnsi="Gill Sans MT" w:cs="GillSans-Light"/>
                <w:sz w:val="20"/>
                <w:szCs w:val="20"/>
              </w:rPr>
              <w:t>to commission a wider review</w:t>
            </w:r>
            <w:r>
              <w:rPr>
                <w:rFonts w:ascii="Gill Sans MT" w:hAnsi="Gill Sans MT" w:cs="GillSans-Light"/>
                <w:sz w:val="20"/>
                <w:szCs w:val="20"/>
              </w:rPr>
              <w:t xml:space="preserve"> </w:t>
            </w:r>
            <w:r w:rsidRPr="00D34FCB">
              <w:rPr>
                <w:rFonts w:ascii="Gill Sans MT" w:hAnsi="Gill Sans MT" w:cs="GillSans-Light"/>
                <w:sz w:val="20"/>
                <w:szCs w:val="20"/>
              </w:rPr>
              <w:t>into patient flow through all</w:t>
            </w:r>
            <w:r>
              <w:rPr>
                <w:rFonts w:ascii="Gill Sans MT" w:hAnsi="Gill Sans MT" w:cs="GillSans-Light"/>
                <w:sz w:val="20"/>
                <w:szCs w:val="20"/>
              </w:rPr>
              <w:t xml:space="preserve"> </w:t>
            </w:r>
            <w:r w:rsidRPr="00D34FCB">
              <w:rPr>
                <w:rFonts w:ascii="Gill Sans MT" w:hAnsi="Gill Sans MT" w:cs="GillSans-Light"/>
                <w:sz w:val="20"/>
                <w:szCs w:val="20"/>
              </w:rPr>
              <w:t>our major hospitals.</w:t>
            </w:r>
          </w:p>
        </w:tc>
      </w:tr>
      <w:tr w:rsidR="00D34FCB" w:rsidRPr="00D34FCB" w:rsidTr="00D34FCB">
        <w:tc>
          <w:tcPr>
            <w:tcW w:w="2570" w:type="dxa"/>
          </w:tcPr>
          <w:p w:rsidR="00D34FCB" w:rsidRPr="00D34FCB" w:rsidRDefault="00D34FCB" w:rsidP="00A64CF2">
            <w:pPr>
              <w:rPr>
                <w:rFonts w:ascii="Gill Sans MT" w:hAnsi="Gill Sans MT"/>
              </w:rPr>
            </w:pPr>
            <w:r w:rsidRPr="00D34FCB">
              <w:rPr>
                <w:rFonts w:ascii="Gill Sans MT" w:hAnsi="Gill Sans MT" w:cs="GillSans-Light"/>
                <w:sz w:val="20"/>
                <w:szCs w:val="20"/>
              </w:rPr>
              <w:t>14 December 2015</w:t>
            </w:r>
          </w:p>
        </w:tc>
        <w:tc>
          <w:tcPr>
            <w:tcW w:w="2570" w:type="dxa"/>
          </w:tcPr>
          <w:p w:rsidR="00D34FCB" w:rsidRPr="00D34FCB" w:rsidRDefault="00D34FCB" w:rsidP="00A64CF2">
            <w:pPr>
              <w:rPr>
                <w:rFonts w:ascii="Gill Sans MT" w:hAnsi="Gill Sans MT"/>
              </w:rPr>
            </w:pPr>
            <w:r w:rsidRPr="00D34FCB">
              <w:rPr>
                <w:rFonts w:ascii="Gill Sans MT" w:hAnsi="Gill Sans MT" w:cs="GillSans-Light"/>
                <w:sz w:val="20"/>
                <w:szCs w:val="20"/>
              </w:rPr>
              <w:t>16 December 2015</w:t>
            </w:r>
          </w:p>
        </w:tc>
        <w:tc>
          <w:tcPr>
            <w:tcW w:w="2570"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Service Agreement KPI</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Level one Performance Escalation</w:t>
            </w:r>
            <w:r>
              <w:rPr>
                <w:rFonts w:ascii="Gill Sans MT" w:hAnsi="Gill Sans MT" w:cs="GillSans-Light"/>
                <w:sz w:val="20"/>
                <w:szCs w:val="20"/>
              </w:rPr>
              <w:t xml:space="preserve"> </w:t>
            </w:r>
            <w:r w:rsidRPr="00D34FCB">
              <w:rPr>
                <w:rFonts w:ascii="Gill Sans MT" w:hAnsi="Gill Sans MT" w:cs="GillSans-Light"/>
                <w:sz w:val="20"/>
                <w:szCs w:val="20"/>
              </w:rPr>
              <w:t>– Service Agreement KPI – time</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until admitted patients (90</w:t>
            </w:r>
          </w:p>
          <w:p w:rsidR="00D34FCB" w:rsidRPr="00D34FCB" w:rsidRDefault="00D34FCB" w:rsidP="00D34FCB">
            <w:pPr>
              <w:autoSpaceDE w:val="0"/>
              <w:autoSpaceDN w:val="0"/>
              <w:adjustRightInd w:val="0"/>
              <w:rPr>
                <w:rFonts w:ascii="Gill Sans MT" w:hAnsi="Gill Sans MT"/>
              </w:rPr>
            </w:pPr>
            <w:r w:rsidRPr="00D34FCB">
              <w:rPr>
                <w:rFonts w:ascii="Gill Sans MT" w:hAnsi="Gill Sans MT" w:cs="GillSans-Light"/>
                <w:sz w:val="20"/>
                <w:szCs w:val="20"/>
              </w:rPr>
              <w:t>percent) departed the emergency</w:t>
            </w:r>
            <w:r>
              <w:rPr>
                <w:rFonts w:ascii="Gill Sans MT" w:hAnsi="Gill Sans MT" w:cs="GillSans-Light"/>
                <w:sz w:val="20"/>
                <w:szCs w:val="20"/>
              </w:rPr>
              <w:t xml:space="preserve"> </w:t>
            </w:r>
            <w:r w:rsidRPr="00D34FCB">
              <w:rPr>
                <w:rFonts w:ascii="Gill Sans MT" w:hAnsi="Gill Sans MT" w:cs="GillSans-Light"/>
                <w:sz w:val="20"/>
                <w:szCs w:val="20"/>
              </w:rPr>
              <w:t>department</w:t>
            </w:r>
          </w:p>
        </w:tc>
        <w:tc>
          <w:tcPr>
            <w:tcW w:w="2571" w:type="dxa"/>
          </w:tcPr>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All four major hospitals</w:t>
            </w:r>
          </w:p>
          <w:p w:rsidR="00D34FCB" w:rsidRPr="00D34FCB" w:rsidRDefault="00D34FCB" w:rsidP="00D34FCB">
            <w:pPr>
              <w:autoSpaceDE w:val="0"/>
              <w:autoSpaceDN w:val="0"/>
              <w:adjustRightInd w:val="0"/>
              <w:rPr>
                <w:rFonts w:ascii="Gill Sans MT" w:hAnsi="Gill Sans MT" w:cs="GillSans-Light"/>
                <w:sz w:val="20"/>
                <w:szCs w:val="20"/>
              </w:rPr>
            </w:pPr>
            <w:r w:rsidRPr="00D34FCB">
              <w:rPr>
                <w:rFonts w:ascii="Gill Sans MT" w:hAnsi="Gill Sans MT" w:cs="GillSans-Light"/>
                <w:sz w:val="20"/>
                <w:szCs w:val="20"/>
              </w:rPr>
              <w:t>to submit Performance</w:t>
            </w:r>
          </w:p>
          <w:p w:rsidR="00D34FCB" w:rsidRPr="00D34FCB" w:rsidRDefault="00D34FCB" w:rsidP="00D34FCB">
            <w:pPr>
              <w:autoSpaceDE w:val="0"/>
              <w:autoSpaceDN w:val="0"/>
              <w:adjustRightInd w:val="0"/>
              <w:rPr>
                <w:rFonts w:ascii="Gill Sans MT" w:hAnsi="Gill Sans MT"/>
              </w:rPr>
            </w:pPr>
            <w:r w:rsidRPr="00D34FCB">
              <w:rPr>
                <w:rFonts w:ascii="Gill Sans MT" w:hAnsi="Gill Sans MT" w:cs="GillSans-Light"/>
                <w:sz w:val="20"/>
                <w:szCs w:val="20"/>
              </w:rPr>
              <w:t>Improvement Plans to achieve</w:t>
            </w:r>
            <w:r>
              <w:rPr>
                <w:rFonts w:ascii="Gill Sans MT" w:hAnsi="Gill Sans MT" w:cs="GillSans-Light"/>
                <w:sz w:val="20"/>
                <w:szCs w:val="20"/>
              </w:rPr>
              <w:t xml:space="preserve"> </w:t>
            </w:r>
            <w:r w:rsidRPr="00D34FCB">
              <w:rPr>
                <w:rFonts w:ascii="Gill Sans MT" w:hAnsi="Gill Sans MT" w:cs="GillSans-Light"/>
                <w:sz w:val="20"/>
                <w:szCs w:val="20"/>
              </w:rPr>
              <w:t>the 8 hour target as specified</w:t>
            </w:r>
            <w:r>
              <w:rPr>
                <w:rFonts w:ascii="Gill Sans MT" w:hAnsi="Gill Sans MT" w:cs="GillSans-Light"/>
                <w:sz w:val="20"/>
                <w:szCs w:val="20"/>
              </w:rPr>
              <w:t xml:space="preserve"> </w:t>
            </w:r>
            <w:r w:rsidRPr="00D34FCB">
              <w:rPr>
                <w:rFonts w:ascii="Gill Sans MT" w:hAnsi="Gill Sans MT" w:cs="GillSans-Light"/>
                <w:sz w:val="20"/>
                <w:szCs w:val="20"/>
              </w:rPr>
              <w:t>in the Service Agreement.</w:t>
            </w:r>
          </w:p>
        </w:tc>
      </w:tr>
    </w:tbl>
    <w:p w:rsidR="00D34FCB" w:rsidRDefault="00D34FCB" w:rsidP="00A64CF2"/>
    <w:p w:rsidR="00D34FCB" w:rsidRDefault="00D34FCB">
      <w:r>
        <w:br w:type="page"/>
      </w:r>
    </w:p>
    <w:p w:rsidR="00D34FCB" w:rsidRDefault="00D34FCB" w:rsidP="00D34FCB">
      <w:pPr>
        <w:pStyle w:val="Heading3"/>
      </w:pPr>
      <w:bookmarkStart w:id="41" w:name="_Toc472581981"/>
      <w:r>
        <w:lastRenderedPageBreak/>
        <w:t>Publications</w:t>
      </w:r>
      <w:bookmarkEnd w:id="41"/>
    </w:p>
    <w:p w:rsidR="00D34FCB" w:rsidRDefault="00D34FCB" w:rsidP="00D34FCB">
      <w:pPr>
        <w:pStyle w:val="Heading4"/>
      </w:pPr>
      <w:r>
        <w:t>Journal Articles, Books and Book Chapters by THS-N Staff 2015-16</w:t>
      </w:r>
    </w:p>
    <w:tbl>
      <w:tblPr>
        <w:tblStyle w:val="TableGrid"/>
        <w:tblW w:w="0" w:type="auto"/>
        <w:tblLook w:val="04A0" w:firstRow="1" w:lastRow="0" w:firstColumn="1" w:lastColumn="0" w:noHBand="0" w:noVBand="1"/>
        <w:tblCaption w:val="Publications"/>
        <w:tblDescription w:val="Journal Articles, Books and Book Chapters by THS-N 2015-2016"/>
      </w:tblPr>
      <w:tblGrid>
        <w:gridCol w:w="2437"/>
        <w:gridCol w:w="1037"/>
        <w:gridCol w:w="3843"/>
        <w:gridCol w:w="2964"/>
      </w:tblGrid>
      <w:tr w:rsidR="00D34FCB" w:rsidRPr="00AF6C53" w:rsidTr="00D34FCB">
        <w:trPr>
          <w:tblHeader/>
        </w:trPr>
        <w:tc>
          <w:tcPr>
            <w:tcW w:w="2570" w:type="dxa"/>
          </w:tcPr>
          <w:p w:rsidR="00D34FCB" w:rsidRPr="00AF6C53" w:rsidRDefault="00D34FCB" w:rsidP="00AF6C53">
            <w:pPr>
              <w:rPr>
                <w:rFonts w:ascii="Gill Sans MT" w:hAnsi="Gill Sans MT"/>
                <w:b/>
              </w:rPr>
            </w:pPr>
            <w:r w:rsidRPr="00AF6C53">
              <w:rPr>
                <w:rFonts w:ascii="Gill Sans MT" w:hAnsi="Gill Sans MT"/>
                <w:b/>
              </w:rPr>
              <w:t>Author, Unit or Area</w:t>
            </w:r>
          </w:p>
        </w:tc>
        <w:tc>
          <w:tcPr>
            <w:tcW w:w="1082" w:type="dxa"/>
          </w:tcPr>
          <w:p w:rsidR="00D34FCB" w:rsidRPr="00AF6C53" w:rsidRDefault="00D34FCB" w:rsidP="00AF6C53">
            <w:pPr>
              <w:rPr>
                <w:rFonts w:ascii="Gill Sans MT" w:hAnsi="Gill Sans MT"/>
                <w:b/>
              </w:rPr>
            </w:pPr>
            <w:r w:rsidRPr="00AF6C53">
              <w:rPr>
                <w:rFonts w:ascii="Gill Sans MT" w:hAnsi="Gill Sans MT"/>
                <w:b/>
              </w:rPr>
              <w:t>Year</w:t>
            </w:r>
          </w:p>
        </w:tc>
        <w:tc>
          <w:tcPr>
            <w:tcW w:w="4111" w:type="dxa"/>
          </w:tcPr>
          <w:p w:rsidR="00D34FCB" w:rsidRPr="00AF6C53" w:rsidRDefault="00D34FCB" w:rsidP="00AF6C53">
            <w:pPr>
              <w:rPr>
                <w:rFonts w:ascii="Gill Sans MT" w:hAnsi="Gill Sans MT"/>
                <w:b/>
              </w:rPr>
            </w:pPr>
            <w:r w:rsidRPr="00AF6C53">
              <w:rPr>
                <w:rFonts w:ascii="Gill Sans MT" w:hAnsi="Gill Sans MT"/>
                <w:b/>
              </w:rPr>
              <w:t>Title</w:t>
            </w:r>
          </w:p>
        </w:tc>
        <w:tc>
          <w:tcPr>
            <w:tcW w:w="2518" w:type="dxa"/>
          </w:tcPr>
          <w:p w:rsidR="00D34FCB" w:rsidRPr="00AF6C53" w:rsidRDefault="00D34FCB" w:rsidP="00AF6C53">
            <w:pPr>
              <w:rPr>
                <w:rFonts w:ascii="Gill Sans MT" w:hAnsi="Gill Sans MT"/>
                <w:b/>
              </w:rPr>
            </w:pPr>
            <w:r w:rsidRPr="00AF6C53">
              <w:rPr>
                <w:rFonts w:ascii="Gill Sans MT" w:hAnsi="Gill Sans MT"/>
                <w:b/>
              </w:rPr>
              <w:t>Publication</w:t>
            </w:r>
          </w:p>
        </w:tc>
      </w:tr>
      <w:tr w:rsidR="00D34FCB" w:rsidRPr="00AF6C53" w:rsidTr="00D34FCB">
        <w:tc>
          <w:tcPr>
            <w:tcW w:w="2570"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Aitken, J,</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Zalucki, N,</w:t>
            </w:r>
          </w:p>
          <w:p w:rsidR="00D34FCB" w:rsidRPr="00AF6C53" w:rsidRDefault="00D34FCB" w:rsidP="00D34FCB">
            <w:pPr>
              <w:rPr>
                <w:rFonts w:ascii="Gill Sans MT" w:hAnsi="Gill Sans MT"/>
              </w:rPr>
            </w:pPr>
            <w:r w:rsidRPr="00AF6C53">
              <w:rPr>
                <w:rFonts w:ascii="Gill Sans MT" w:hAnsi="Gill Sans MT" w:cs="GillSans-Light"/>
                <w:sz w:val="20"/>
                <w:szCs w:val="20"/>
              </w:rPr>
              <w:t>Hardikar ,A</w:t>
            </w:r>
          </w:p>
        </w:tc>
        <w:tc>
          <w:tcPr>
            <w:tcW w:w="1082" w:type="dxa"/>
          </w:tcPr>
          <w:p w:rsidR="00D34FCB" w:rsidRPr="00AF6C53" w:rsidRDefault="00D34FCB" w:rsidP="00AF6C53">
            <w:pPr>
              <w:rPr>
                <w:rFonts w:ascii="Gill Sans MT" w:hAnsi="Gill Sans MT"/>
              </w:rPr>
            </w:pPr>
            <w:r w:rsidRPr="00AF6C53">
              <w:rPr>
                <w:rFonts w:ascii="Gill Sans MT" w:hAnsi="Gill Sans MT" w:cs="GillSans-Light"/>
                <w:sz w:val="20"/>
                <w:szCs w:val="20"/>
              </w:rPr>
              <w:t>2015</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Clinical management and rehabilitation of</w:t>
            </w:r>
          </w:p>
          <w:p w:rsidR="00D34FCB" w:rsidRPr="00AF6C53" w:rsidRDefault="00D34FCB" w:rsidP="00D34FCB">
            <w:pPr>
              <w:autoSpaceDE w:val="0"/>
              <w:autoSpaceDN w:val="0"/>
              <w:adjustRightInd w:val="0"/>
              <w:rPr>
                <w:rFonts w:ascii="Gill Sans MT" w:hAnsi="Gill Sans MT"/>
              </w:rPr>
            </w:pPr>
            <w:r w:rsidRPr="00AF6C53">
              <w:rPr>
                <w:rFonts w:ascii="Gill Sans MT" w:hAnsi="Gill Sans MT" w:cs="GillSans-Light"/>
                <w:sz w:val="20"/>
                <w:szCs w:val="20"/>
              </w:rPr>
              <w:t>persistent sternal instability</w:t>
            </w:r>
          </w:p>
        </w:tc>
        <w:tc>
          <w:tcPr>
            <w:tcW w:w="2518" w:type="dxa"/>
          </w:tcPr>
          <w:p w:rsidR="00D34FCB" w:rsidRPr="00AF6C53" w:rsidRDefault="00D34FCB" w:rsidP="00AF6C53">
            <w:pPr>
              <w:autoSpaceDE w:val="0"/>
              <w:autoSpaceDN w:val="0"/>
              <w:adjustRightInd w:val="0"/>
              <w:rPr>
                <w:rFonts w:ascii="Gill Sans MT" w:hAnsi="Gill Sans MT"/>
              </w:rPr>
            </w:pPr>
            <w:r w:rsidRPr="00AF6C53">
              <w:rPr>
                <w:rFonts w:ascii="Gill Sans MT" w:hAnsi="Gill Sans MT" w:cs="GillSans-Light"/>
                <w:sz w:val="20"/>
                <w:szCs w:val="20"/>
              </w:rPr>
              <w:t>International Journal of Therapy and</w:t>
            </w:r>
            <w:r w:rsidR="00AF6C53">
              <w:rPr>
                <w:rFonts w:ascii="Gill Sans MT" w:hAnsi="Gill Sans MT" w:cs="GillSans-Light"/>
                <w:sz w:val="20"/>
                <w:szCs w:val="20"/>
              </w:rPr>
              <w:t xml:space="preserve"> </w:t>
            </w:r>
            <w:r w:rsidRPr="00AF6C53">
              <w:rPr>
                <w:rFonts w:ascii="Gill Sans MT" w:hAnsi="Gill Sans MT" w:cs="GillSans-Light"/>
                <w:sz w:val="20"/>
                <w:szCs w:val="20"/>
              </w:rPr>
              <w:t>Rehabilitation; 2015; 22(9):443-445</w:t>
            </w:r>
          </w:p>
        </w:tc>
      </w:tr>
      <w:tr w:rsidR="00D34FCB" w:rsidRPr="00AF6C53" w:rsidTr="00D34FCB">
        <w:tc>
          <w:tcPr>
            <w:tcW w:w="2570" w:type="dxa"/>
          </w:tcPr>
          <w:p w:rsidR="00D34FCB" w:rsidRPr="00AF6C53" w:rsidRDefault="00D34FCB" w:rsidP="00AF6C53">
            <w:pPr>
              <w:rPr>
                <w:rFonts w:ascii="Gill Sans MT" w:hAnsi="Gill Sans MT"/>
              </w:rPr>
            </w:pPr>
            <w:r w:rsidRPr="00AF6C53">
              <w:rPr>
                <w:rFonts w:ascii="Gill Sans MT" w:hAnsi="Gill Sans MT" w:cs="GillSans-Light"/>
                <w:sz w:val="20"/>
                <w:szCs w:val="20"/>
              </w:rPr>
              <w:t>Boden, I</w:t>
            </w:r>
          </w:p>
        </w:tc>
        <w:tc>
          <w:tcPr>
            <w:tcW w:w="1082" w:type="dxa"/>
          </w:tcPr>
          <w:p w:rsidR="00D34FCB" w:rsidRPr="00AF6C53" w:rsidRDefault="00D34FCB" w:rsidP="00AF6C53">
            <w:pPr>
              <w:rPr>
                <w:rFonts w:ascii="Gill Sans MT" w:hAnsi="Gill Sans MT"/>
              </w:rPr>
            </w:pPr>
            <w:r w:rsidRPr="00AF6C53">
              <w:rPr>
                <w:rFonts w:ascii="Gill Sans MT" w:hAnsi="Gill Sans MT"/>
              </w:rPr>
              <w:t>2015</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LIPPSMAck POP (Lung Infection</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Prevention Post Surgery – Major Abdominal</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 with Pre-Operative Physiotherapy)</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trial: study protocol for a multi-centre</w:t>
            </w:r>
          </w:p>
          <w:p w:rsidR="00D34FCB" w:rsidRPr="00AF6C53" w:rsidRDefault="00D34FCB" w:rsidP="00D34FCB">
            <w:pPr>
              <w:autoSpaceDE w:val="0"/>
              <w:autoSpaceDN w:val="0"/>
              <w:adjustRightInd w:val="0"/>
              <w:rPr>
                <w:rFonts w:ascii="Gill Sans MT" w:hAnsi="Gill Sans MT"/>
              </w:rPr>
            </w:pPr>
            <w:r w:rsidRPr="00AF6C53">
              <w:rPr>
                <w:rFonts w:ascii="Gill Sans MT" w:hAnsi="Gill Sans MT" w:cs="GillSans-Light"/>
                <w:sz w:val="20"/>
                <w:szCs w:val="20"/>
              </w:rPr>
              <w:t>randomised controlled trial</w:t>
            </w:r>
          </w:p>
        </w:tc>
        <w:tc>
          <w:tcPr>
            <w:tcW w:w="2518" w:type="dxa"/>
          </w:tcPr>
          <w:p w:rsidR="00D34FCB" w:rsidRPr="00AF6C53" w:rsidRDefault="00D34FCB" w:rsidP="00AF6C53">
            <w:pPr>
              <w:autoSpaceDE w:val="0"/>
              <w:autoSpaceDN w:val="0"/>
              <w:adjustRightInd w:val="0"/>
              <w:rPr>
                <w:rFonts w:ascii="Gill Sans MT" w:hAnsi="Gill Sans MT"/>
              </w:rPr>
            </w:pPr>
            <w:r w:rsidRPr="00AF6C53">
              <w:rPr>
                <w:rFonts w:ascii="Gill Sans MT" w:hAnsi="Gill Sans MT" w:cs="GillSans-Light"/>
                <w:sz w:val="20"/>
                <w:szCs w:val="20"/>
              </w:rPr>
              <w:t>Trials; 2015; 16:573</w:t>
            </w:r>
          </w:p>
        </w:tc>
      </w:tr>
      <w:tr w:rsidR="00D34FCB" w:rsidRPr="00AF6C53" w:rsidTr="00D34FCB">
        <w:tc>
          <w:tcPr>
            <w:tcW w:w="2570" w:type="dxa"/>
          </w:tcPr>
          <w:p w:rsidR="00D34FCB" w:rsidRPr="00AF6C53" w:rsidRDefault="00D34FCB" w:rsidP="00AF6C53">
            <w:pPr>
              <w:rPr>
                <w:rFonts w:ascii="Gill Sans MT" w:hAnsi="Gill Sans MT"/>
              </w:rPr>
            </w:pPr>
            <w:r w:rsidRPr="00AF6C53">
              <w:rPr>
                <w:rFonts w:ascii="Gill Sans MT" w:hAnsi="Gill Sans MT" w:cs="GillSans-Light"/>
                <w:sz w:val="20"/>
                <w:szCs w:val="20"/>
              </w:rPr>
              <w:t>Boden, I</w:t>
            </w:r>
          </w:p>
        </w:tc>
        <w:tc>
          <w:tcPr>
            <w:tcW w:w="1082" w:type="dxa"/>
          </w:tcPr>
          <w:p w:rsidR="00D34FCB" w:rsidRPr="00AF6C53" w:rsidRDefault="00D34FCB" w:rsidP="00AF6C53">
            <w:pPr>
              <w:rPr>
                <w:rFonts w:ascii="Gill Sans MT" w:hAnsi="Gill Sans MT"/>
              </w:rPr>
            </w:pPr>
            <w:r w:rsidRPr="00AF6C53">
              <w:rPr>
                <w:rFonts w:ascii="Gill Sans MT" w:hAnsi="Gill Sans MT"/>
              </w:rPr>
              <w:t>2016</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physiotherapy management of patients</w:t>
            </w:r>
          </w:p>
          <w:p w:rsidR="00D34FCB" w:rsidRPr="00AF6C53" w:rsidRDefault="00D34FCB" w:rsidP="00D34FCB">
            <w:pPr>
              <w:autoSpaceDE w:val="0"/>
              <w:autoSpaceDN w:val="0"/>
              <w:adjustRightInd w:val="0"/>
              <w:rPr>
                <w:rFonts w:ascii="Gill Sans MT" w:hAnsi="Gill Sans MT"/>
              </w:rPr>
            </w:pPr>
            <w:r w:rsidRPr="00AF6C53">
              <w:rPr>
                <w:rFonts w:ascii="Gill Sans MT" w:hAnsi="Gill Sans MT" w:cs="GillSans-Light"/>
                <w:sz w:val="20"/>
                <w:szCs w:val="20"/>
              </w:rPr>
              <w:t>undergoing abdominal surgery</w:t>
            </w:r>
          </w:p>
        </w:tc>
        <w:tc>
          <w:tcPr>
            <w:tcW w:w="2518"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New Zealand Journal of Physiotherapy;</w:t>
            </w:r>
          </w:p>
          <w:p w:rsidR="00D34FCB" w:rsidRPr="00AF6C53" w:rsidRDefault="00D34FCB" w:rsidP="00D34FCB">
            <w:pPr>
              <w:autoSpaceDE w:val="0"/>
              <w:autoSpaceDN w:val="0"/>
              <w:adjustRightInd w:val="0"/>
              <w:rPr>
                <w:rFonts w:ascii="Gill Sans MT" w:hAnsi="Gill Sans MT"/>
              </w:rPr>
            </w:pPr>
            <w:r w:rsidRPr="00AF6C53">
              <w:rPr>
                <w:rFonts w:ascii="Gill Sans MT" w:hAnsi="Gill Sans MT" w:cs="GillSans-Light"/>
                <w:sz w:val="20"/>
                <w:szCs w:val="20"/>
              </w:rPr>
              <w:t>2016; 44(1): 33-49</w:t>
            </w:r>
          </w:p>
        </w:tc>
      </w:tr>
      <w:tr w:rsidR="00D34FCB" w:rsidRPr="00AF6C53" w:rsidTr="00D34FCB">
        <w:tc>
          <w:tcPr>
            <w:tcW w:w="2570" w:type="dxa"/>
          </w:tcPr>
          <w:p w:rsidR="00D34FCB" w:rsidRPr="00AF6C53" w:rsidRDefault="00D34FCB" w:rsidP="00AF6C53">
            <w:pPr>
              <w:rPr>
                <w:rFonts w:ascii="Gill Sans MT" w:hAnsi="Gill Sans MT" w:cs="GillSans-Light"/>
                <w:sz w:val="20"/>
                <w:szCs w:val="20"/>
              </w:rPr>
            </w:pPr>
            <w:r w:rsidRPr="00AF6C53">
              <w:rPr>
                <w:rFonts w:ascii="Gill Sans MT" w:hAnsi="Gill Sans MT" w:cs="GillSans-Light"/>
                <w:sz w:val="20"/>
                <w:szCs w:val="20"/>
              </w:rPr>
              <w:t>Brain, MJ</w:t>
            </w:r>
          </w:p>
        </w:tc>
        <w:tc>
          <w:tcPr>
            <w:tcW w:w="1082" w:type="dxa"/>
          </w:tcPr>
          <w:p w:rsidR="00D34FCB" w:rsidRPr="00AF6C53" w:rsidRDefault="00D34FCB" w:rsidP="00AF6C53">
            <w:pPr>
              <w:rPr>
                <w:rFonts w:ascii="Gill Sans MT" w:hAnsi="Gill Sans MT"/>
              </w:rPr>
            </w:pPr>
            <w:r w:rsidRPr="00AF6C53">
              <w:rPr>
                <w:rFonts w:ascii="Gill Sans MT" w:hAnsi="Gill Sans MT"/>
              </w:rPr>
              <w:t>2016</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Physiology of extracorporeal life support</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(ECLS) (chapter in a book)</w:t>
            </w:r>
          </w:p>
        </w:tc>
        <w:tc>
          <w:tcPr>
            <w:tcW w:w="2518"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 Gregory A. Schmidt (ed), Extracorporeal</w:t>
            </w:r>
            <w:r w:rsidR="00AF6C53">
              <w:rPr>
                <w:rFonts w:ascii="Gill Sans MT" w:hAnsi="Gill Sans MT" w:cs="GillSans-Light"/>
                <w:sz w:val="20"/>
                <w:szCs w:val="20"/>
              </w:rPr>
              <w:t xml:space="preserve"> </w:t>
            </w:r>
            <w:r w:rsidRPr="00AF6C53">
              <w:rPr>
                <w:rFonts w:ascii="Gill Sans MT" w:hAnsi="Gill Sans MT" w:cs="GillSans-Light"/>
                <w:sz w:val="20"/>
                <w:szCs w:val="20"/>
              </w:rPr>
              <w:t>life support for adults (pp. 1-60), 2016; New</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York: Springer</w:t>
            </w:r>
          </w:p>
        </w:tc>
      </w:tr>
      <w:tr w:rsidR="00D34FCB" w:rsidRPr="00AF6C53" w:rsidTr="00D34FCB">
        <w:tc>
          <w:tcPr>
            <w:tcW w:w="2570" w:type="dxa"/>
          </w:tcPr>
          <w:p w:rsidR="00D34FCB" w:rsidRPr="00AF6C53" w:rsidRDefault="00D34FCB" w:rsidP="00AF6C53">
            <w:pPr>
              <w:rPr>
                <w:rFonts w:ascii="Gill Sans MT" w:hAnsi="Gill Sans MT" w:cs="GillSans-Light"/>
                <w:sz w:val="20"/>
                <w:szCs w:val="20"/>
              </w:rPr>
            </w:pPr>
            <w:r w:rsidRPr="00AF6C53">
              <w:rPr>
                <w:rFonts w:ascii="Gill Sans MT" w:hAnsi="Gill Sans MT" w:cs="GillSans-Light"/>
                <w:sz w:val="20"/>
                <w:szCs w:val="20"/>
              </w:rPr>
              <w:t>Cannell, J</w:t>
            </w:r>
          </w:p>
        </w:tc>
        <w:tc>
          <w:tcPr>
            <w:tcW w:w="1082" w:type="dxa"/>
          </w:tcPr>
          <w:p w:rsidR="00D34FCB" w:rsidRPr="00AF6C53" w:rsidRDefault="00D34FCB" w:rsidP="00AF6C53">
            <w:pPr>
              <w:rPr>
                <w:rFonts w:ascii="Gill Sans MT" w:hAnsi="Gill Sans MT"/>
              </w:rPr>
            </w:pPr>
            <w:r w:rsidRPr="00AF6C53">
              <w:rPr>
                <w:rFonts w:ascii="Gill Sans MT" w:hAnsi="Gill Sans MT" w:cs="GillSans-Light"/>
                <w:sz w:val="20"/>
                <w:szCs w:val="20"/>
              </w:rPr>
              <w:t>2015</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Implementation of an iteratively developed</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stoke specific rehabilitation system:</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Perceptions from clinicians and the health</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service</w:t>
            </w:r>
          </w:p>
        </w:tc>
        <w:tc>
          <w:tcPr>
            <w:tcW w:w="2518" w:type="dxa"/>
          </w:tcPr>
          <w:p w:rsidR="00D34FCB" w:rsidRPr="00AF6C53" w:rsidRDefault="00D34FCB"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International Journal of Stroke; 2015;</w:t>
            </w:r>
            <w:r w:rsidR="00AF6C53">
              <w:rPr>
                <w:rFonts w:ascii="Gill Sans MT" w:hAnsi="Gill Sans MT" w:cs="GillSans-Light"/>
                <w:sz w:val="20"/>
                <w:szCs w:val="20"/>
              </w:rPr>
              <w:t xml:space="preserve"> </w:t>
            </w:r>
            <w:r w:rsidRPr="00AF6C53">
              <w:rPr>
                <w:rFonts w:ascii="Gill Sans MT" w:hAnsi="Gill Sans MT" w:cs="GillSans-Light"/>
                <w:sz w:val="20"/>
                <w:szCs w:val="20"/>
              </w:rPr>
              <w:t>10(suppl 3): 34</w:t>
            </w:r>
          </w:p>
        </w:tc>
      </w:tr>
      <w:tr w:rsidR="00D34FCB" w:rsidRPr="00AF6C53" w:rsidTr="00D34FCB">
        <w:tc>
          <w:tcPr>
            <w:tcW w:w="2570" w:type="dxa"/>
          </w:tcPr>
          <w:p w:rsidR="00D34FCB" w:rsidRPr="00AF6C53" w:rsidRDefault="00D34FCB" w:rsidP="00AF6C53">
            <w:pPr>
              <w:rPr>
                <w:rFonts w:ascii="Gill Sans MT" w:hAnsi="Gill Sans MT" w:cs="GillSans-Light"/>
                <w:sz w:val="20"/>
                <w:szCs w:val="20"/>
              </w:rPr>
            </w:pPr>
            <w:r w:rsidRPr="00AF6C53">
              <w:rPr>
                <w:rFonts w:ascii="Gill Sans MT" w:hAnsi="Gill Sans MT" w:cs="GillSans-Light"/>
                <w:sz w:val="20"/>
                <w:szCs w:val="20"/>
              </w:rPr>
              <w:t>Cannell, J</w:t>
            </w:r>
          </w:p>
        </w:tc>
        <w:tc>
          <w:tcPr>
            <w:tcW w:w="1082" w:type="dxa"/>
          </w:tcPr>
          <w:p w:rsidR="00D34FCB" w:rsidRPr="00AF6C53" w:rsidRDefault="00D34FCB"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Accuracy, validity and reliability of an</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electronic visual analog scale for pain on a</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touch screen tablet in healthy older adults:</w:t>
            </w:r>
          </w:p>
          <w:p w:rsidR="00D34FCB" w:rsidRPr="00AF6C53" w:rsidRDefault="00D34FCB"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clinical trial</w:t>
            </w:r>
          </w:p>
        </w:tc>
        <w:tc>
          <w:tcPr>
            <w:tcW w:w="2518" w:type="dxa"/>
          </w:tcPr>
          <w:p w:rsidR="00D34FCB" w:rsidRPr="00AF6C53" w:rsidRDefault="00D34FCB"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Interactive Journal of Medical Research;</w:t>
            </w:r>
            <w:r w:rsidR="00AF6C53">
              <w:rPr>
                <w:rFonts w:ascii="Gill Sans MT" w:hAnsi="Gill Sans MT" w:cs="GillSans-Light"/>
                <w:sz w:val="20"/>
                <w:szCs w:val="20"/>
              </w:rPr>
              <w:t xml:space="preserve"> </w:t>
            </w:r>
            <w:r w:rsidRPr="00AF6C53">
              <w:rPr>
                <w:rFonts w:ascii="Gill Sans MT" w:hAnsi="Gill Sans MT" w:cs="GillSans-Light"/>
                <w:sz w:val="20"/>
                <w:szCs w:val="20"/>
              </w:rPr>
              <w:t>2016; 5(1): e3</w:t>
            </w:r>
          </w:p>
        </w:tc>
      </w:tr>
      <w:tr w:rsidR="00D34FCB"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Cannell, J,</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Jovic, 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Rathjen, A,</w:t>
            </w:r>
          </w:p>
          <w:p w:rsidR="00D34FCB" w:rsidRPr="00AF6C53" w:rsidRDefault="00DC0775" w:rsidP="00DC0775">
            <w:pPr>
              <w:rPr>
                <w:rFonts w:ascii="Gill Sans MT" w:hAnsi="Gill Sans MT" w:cs="GillSans-Light"/>
                <w:sz w:val="20"/>
                <w:szCs w:val="20"/>
              </w:rPr>
            </w:pPr>
            <w:r w:rsidRPr="00AF6C53">
              <w:rPr>
                <w:rFonts w:ascii="Gill Sans MT" w:hAnsi="Gill Sans MT" w:cs="GillSans-Light"/>
                <w:sz w:val="20"/>
                <w:szCs w:val="20"/>
              </w:rPr>
              <w:t>Lane, K</w:t>
            </w:r>
          </w:p>
        </w:tc>
        <w:tc>
          <w:tcPr>
            <w:tcW w:w="1082" w:type="dxa"/>
          </w:tcPr>
          <w:p w:rsidR="00D34FCB"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‘FIND Technology”: investigating the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feasibility, efficacy and safety of controller-free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interactive digital rehabilitation technology</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 an impatient stroke population: study</w:t>
            </w:r>
          </w:p>
          <w:p w:rsidR="00D34FCB"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protocol for a randomized controlled trial</w:t>
            </w:r>
          </w:p>
        </w:tc>
        <w:tc>
          <w:tcPr>
            <w:tcW w:w="2518" w:type="dxa"/>
          </w:tcPr>
          <w:p w:rsidR="00D34FCB" w:rsidRPr="00AF6C53" w:rsidRDefault="00DC0775" w:rsidP="00D34FCB">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Trials; 2016; 17:203</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Cetti, R</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impact of extended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thromboprophylaxis on the risk of venous</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thromboembolism after open radical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prostatectomy</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BJU International, 2016; 117(suppl 3):</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Abstract 162 from Urological Society of</w:t>
            </w:r>
            <w:r w:rsidR="00AF6C53">
              <w:rPr>
                <w:rFonts w:ascii="Gill Sans MT" w:hAnsi="Gill Sans MT" w:cs="GillSans-Light"/>
                <w:sz w:val="20"/>
                <w:szCs w:val="20"/>
              </w:rPr>
              <w:t xml:space="preserve"> </w:t>
            </w:r>
            <w:r w:rsidRPr="00AF6C53">
              <w:rPr>
                <w:rFonts w:ascii="Gill Sans MT" w:hAnsi="Gill Sans MT" w:cs="GillSans-Light"/>
                <w:sz w:val="20"/>
                <w:szCs w:val="20"/>
              </w:rPr>
              <w:t>Australia and New Zealand 69th Annual</w:t>
            </w:r>
          </w:p>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Scientific Meeting “Bringing out the best”,</w:t>
            </w:r>
            <w:r w:rsidR="00AF6C53">
              <w:rPr>
                <w:rFonts w:ascii="Gill Sans MT" w:hAnsi="Gill Sans MT" w:cs="GillSans-Light"/>
                <w:sz w:val="20"/>
                <w:szCs w:val="20"/>
              </w:rPr>
              <w:t xml:space="preserve"> </w:t>
            </w:r>
            <w:r w:rsidRPr="00AF6C53">
              <w:rPr>
                <w:rFonts w:ascii="Gill Sans MT" w:hAnsi="Gill Sans MT" w:cs="GillSans-Light"/>
                <w:sz w:val="20"/>
                <w:szCs w:val="20"/>
              </w:rPr>
              <w:t>April 16-19, 2016, Gold Coast, Queensland</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Clarke, P</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Male baldness</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Australian Family Physician; 2016; 45(4):</w:t>
            </w:r>
            <w:r w:rsidR="00AF6C53">
              <w:rPr>
                <w:rFonts w:ascii="Gill Sans MT" w:hAnsi="Gill Sans MT" w:cs="GillSans-Light"/>
                <w:sz w:val="20"/>
                <w:szCs w:val="20"/>
              </w:rPr>
              <w:t xml:space="preserve"> </w:t>
            </w:r>
            <w:r w:rsidRPr="00AF6C53">
              <w:rPr>
                <w:rFonts w:ascii="Gill Sans MT" w:hAnsi="Gill Sans MT" w:cs="GillSans-Light"/>
                <w:sz w:val="20"/>
                <w:szCs w:val="20"/>
              </w:rPr>
              <w:t>186-188</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Crisp, 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Virik, K</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cost-benefit of prophylactic</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biosimilar filgrastim in TC breast cancer</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chemotherapy</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w:t>
            </w:r>
            <w:r w:rsidR="00AF6C53">
              <w:rPr>
                <w:rFonts w:ascii="Gill Sans MT" w:hAnsi="Gill Sans MT" w:cs="GillSans-Light"/>
                <w:sz w:val="20"/>
                <w:szCs w:val="20"/>
              </w:rPr>
              <w:t xml:space="preserve"> </w:t>
            </w:r>
            <w:r w:rsidRPr="00AF6C53">
              <w:rPr>
                <w:rFonts w:ascii="Gill Sans MT" w:hAnsi="Gill Sans MT" w:cs="GillSans-Light"/>
                <w:sz w:val="20"/>
                <w:szCs w:val="20"/>
              </w:rPr>
              <w:t>2015; 11(suppl 4): 154. Poster presented</w:t>
            </w:r>
            <w:r w:rsidR="00AF6C53">
              <w:rPr>
                <w:rFonts w:ascii="Gill Sans MT" w:hAnsi="Gill Sans MT" w:cs="GillSans-Light"/>
                <w:sz w:val="20"/>
                <w:szCs w:val="20"/>
              </w:rPr>
              <w:t xml:space="preserve"> </w:t>
            </w:r>
            <w:r w:rsidRPr="00AF6C53">
              <w:rPr>
                <w:rFonts w:ascii="Gill Sans MT" w:hAnsi="Gill Sans MT" w:cs="GillSans-Light"/>
                <w:sz w:val="20"/>
                <w:szCs w:val="20"/>
              </w:rPr>
              <w:t>at COSA’s 42nd Annual Scientific</w:t>
            </w:r>
            <w:r w:rsidR="00AF6C53">
              <w:rPr>
                <w:rFonts w:ascii="Gill Sans MT" w:hAnsi="Gill Sans MT" w:cs="GillSans-Light"/>
                <w:sz w:val="20"/>
                <w:szCs w:val="20"/>
              </w:rPr>
              <w:t xml:space="preserve"> </w:t>
            </w:r>
            <w:r w:rsidRPr="00AF6C53">
              <w:rPr>
                <w:rFonts w:ascii="Gill Sans MT" w:hAnsi="Gill Sans MT" w:cs="GillSans-Light"/>
                <w:sz w:val="20"/>
                <w:szCs w:val="20"/>
              </w:rPr>
              <w:t>Meeting “Rare Cancers: Common Goals”,</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November 17-19, 2015, Hobart</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Dennis, A</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Obstetric and perinatal morbidity in</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northern Tasmanian aboriginal population: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retrospective cohort study</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Clinical and Diagnostic Research;</w:t>
            </w:r>
            <w:r w:rsidR="00AF6C53">
              <w:rPr>
                <w:rFonts w:ascii="Gill Sans MT" w:hAnsi="Gill Sans MT" w:cs="GillSans-Light"/>
                <w:sz w:val="20"/>
                <w:szCs w:val="20"/>
              </w:rPr>
              <w:t xml:space="preserve"> </w:t>
            </w:r>
            <w:r w:rsidRPr="00AF6C53">
              <w:rPr>
                <w:rFonts w:ascii="Gill Sans MT" w:hAnsi="Gill Sans MT" w:cs="GillSans-Light"/>
                <w:sz w:val="20"/>
                <w:szCs w:val="20"/>
              </w:rPr>
              <w:t>2016, 10(5): 6-9</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Frohmader, T</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Patient perceptions of nurse mentors</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facilitating the Aussie Heart Guide: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home-based cardiac rehabilitation</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programme for rural patients</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Nursing Open, 2015;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October 4</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Gillams, K,</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Brough, S</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Evaluation of pathological findings in radical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cystectomy for bladder malignancy in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region of Australia) 2000-2015</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BJU International, 2016; 117(suppl 3):</w:t>
            </w:r>
            <w:r w:rsidR="00AF6C53">
              <w:rPr>
                <w:rFonts w:ascii="Gill Sans MT" w:hAnsi="Gill Sans MT" w:cs="GillSans-Light"/>
                <w:sz w:val="20"/>
                <w:szCs w:val="20"/>
              </w:rPr>
              <w:t xml:space="preserve"> </w:t>
            </w:r>
            <w:r w:rsidRPr="00AF6C53">
              <w:rPr>
                <w:rFonts w:ascii="Gill Sans MT" w:hAnsi="Gill Sans MT" w:cs="GillSans-Light"/>
                <w:sz w:val="20"/>
                <w:szCs w:val="20"/>
              </w:rPr>
              <w:t>Abstract 162 from Urological Society of</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 and New Zealand 69th Annual</w:t>
            </w:r>
            <w:r w:rsidR="00AF6C53">
              <w:rPr>
                <w:rFonts w:ascii="Gill Sans MT" w:hAnsi="Gill Sans MT" w:cs="GillSans-Light"/>
                <w:sz w:val="20"/>
                <w:szCs w:val="20"/>
              </w:rPr>
              <w:t xml:space="preserve"> </w:t>
            </w:r>
            <w:r w:rsidRPr="00AF6C53">
              <w:rPr>
                <w:rFonts w:ascii="Gill Sans MT" w:hAnsi="Gill Sans MT" w:cs="GillSans-Light"/>
                <w:sz w:val="20"/>
                <w:szCs w:val="20"/>
              </w:rPr>
              <w:t xml:space="preserve">Scientific Meeting </w:t>
            </w:r>
            <w:r w:rsidRPr="00AF6C53">
              <w:rPr>
                <w:rFonts w:ascii="Gill Sans MT" w:hAnsi="Gill Sans MT" w:cs="GillSans-Light"/>
                <w:sz w:val="20"/>
                <w:szCs w:val="20"/>
              </w:rPr>
              <w:lastRenderedPageBreak/>
              <w:t>“Bringing out the best”,</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April 16-19, 2016, Gold Coast, Queensland</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Gurusinghe, N</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Multidisciplinary operating room simulationbased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team training to reduce treatment</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errors: a feasibility study in New Zealand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hospitals</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New Zealand Medical Journal; 2015;</w:t>
            </w:r>
            <w:r w:rsidR="00AF6C53">
              <w:rPr>
                <w:rFonts w:ascii="Gill Sans MT" w:hAnsi="Gill Sans MT" w:cs="GillSans-Light"/>
                <w:sz w:val="20"/>
                <w:szCs w:val="20"/>
              </w:rPr>
              <w:t xml:space="preserve"> </w:t>
            </w:r>
            <w:r w:rsidRPr="00AF6C53">
              <w:rPr>
                <w:rFonts w:ascii="Gill Sans MT" w:hAnsi="Gill Sans MT" w:cs="GillSans-Light"/>
                <w:sz w:val="20"/>
                <w:szCs w:val="20"/>
              </w:rPr>
              <w:t>128(1418):40-51</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Hannan, T</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Solving a health information management</w:t>
            </w:r>
          </w:p>
          <w:p w:rsidR="00DC0775" w:rsidRPr="00AF6C53" w:rsidRDefault="00DC0775" w:rsidP="00DC0775">
            <w:pPr>
              <w:autoSpaceDE w:val="0"/>
              <w:autoSpaceDN w:val="0"/>
              <w:adjustRightInd w:val="0"/>
              <w:rPr>
                <w:rFonts w:ascii="Gill Sans MT" w:hAnsi="Gill Sans MT" w:cs="GillSans-Light"/>
                <w:sz w:val="20"/>
                <w:szCs w:val="20"/>
              </w:rPr>
            </w:pPr>
            <w:proofErr w:type="gramStart"/>
            <w:r w:rsidRPr="00AF6C53">
              <w:rPr>
                <w:rFonts w:ascii="Gill Sans MT" w:hAnsi="Gill Sans MT" w:cs="GillSans-Light"/>
                <w:sz w:val="20"/>
                <w:szCs w:val="20"/>
              </w:rPr>
              <w:t>problem</w:t>
            </w:r>
            <w:proofErr w:type="gramEnd"/>
            <w:r w:rsidRPr="00AF6C53">
              <w:rPr>
                <w:rFonts w:ascii="Gill Sans MT" w:hAnsi="Gill Sans MT" w:cs="GillSans-Light"/>
                <w:sz w:val="20"/>
                <w:szCs w:val="20"/>
              </w:rPr>
              <w:t>. An international success story</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World Hospitals and Health Services; 2015;</w:t>
            </w:r>
            <w:r w:rsidR="00AF6C53">
              <w:rPr>
                <w:rFonts w:ascii="Gill Sans MT" w:hAnsi="Gill Sans MT" w:cs="GillSans-Light"/>
                <w:sz w:val="20"/>
                <w:szCs w:val="20"/>
              </w:rPr>
              <w:t xml:space="preserve"> </w:t>
            </w:r>
            <w:r w:rsidRPr="00AF6C53">
              <w:rPr>
                <w:rFonts w:ascii="Gill Sans MT" w:hAnsi="Gill Sans MT" w:cs="GillSans-Light"/>
                <w:sz w:val="20"/>
                <w:szCs w:val="20"/>
              </w:rPr>
              <w:t>51(2):32-35</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Hughes, R,</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Khalafallah,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Aras, D</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Perioperative iron deficiency anaemia –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review with a regional flavour</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 Richard Riley (ed) Australasian</w:t>
            </w:r>
          </w:p>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Anaesthesia 2015 (pp. 35-43), 2015;</w:t>
            </w:r>
            <w:r w:rsidR="00AF6C53">
              <w:rPr>
                <w:rFonts w:ascii="Gill Sans MT" w:hAnsi="Gill Sans MT" w:cs="GillSans-Light"/>
                <w:sz w:val="20"/>
                <w:szCs w:val="20"/>
              </w:rPr>
              <w:t xml:space="preserve"> </w:t>
            </w:r>
            <w:r w:rsidRPr="00AF6C53">
              <w:rPr>
                <w:rFonts w:ascii="Gill Sans MT" w:hAnsi="Gill Sans MT" w:cs="GillSans-Light"/>
                <w:sz w:val="20"/>
                <w:szCs w:val="20"/>
              </w:rPr>
              <w:t>Melbourne: Australian and New Zealand</w:t>
            </w:r>
            <w:r w:rsidR="00AF6C53">
              <w:rPr>
                <w:rFonts w:ascii="Gill Sans MT" w:hAnsi="Gill Sans MT" w:cs="GillSans-Light"/>
                <w:sz w:val="20"/>
                <w:szCs w:val="20"/>
              </w:rPr>
              <w:t xml:space="preserve"> </w:t>
            </w:r>
            <w:r w:rsidRPr="00AF6C53">
              <w:rPr>
                <w:rFonts w:ascii="Gill Sans MT" w:hAnsi="Gill Sans MT" w:cs="GillSans-Light"/>
                <w:sz w:val="20"/>
                <w:szCs w:val="20"/>
              </w:rPr>
              <w:t>College of Anaesthetists</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Khalafallah, A</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Changes to fibrinolysis in patients with</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systemic lupus erythematosus are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associated with endothelial cell damage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and inflammation, but not antiphospholipid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antibodies</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Blood Coagulation and Fibrinolysis;</w:t>
            </w:r>
            <w:r w:rsidR="00AF6C53">
              <w:rPr>
                <w:rFonts w:ascii="Gill Sans MT" w:hAnsi="Gill Sans MT" w:cs="GillSans-Light"/>
                <w:sz w:val="20"/>
                <w:szCs w:val="20"/>
              </w:rPr>
              <w:t xml:space="preserve"> </w:t>
            </w:r>
            <w:r w:rsidRPr="00AF6C53">
              <w:rPr>
                <w:rFonts w:ascii="Gill Sans MT" w:hAnsi="Gill Sans MT" w:cs="GillSans-Light"/>
                <w:sz w:val="20"/>
                <w:szCs w:val="20"/>
              </w:rPr>
              <w:t>published online May 10</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Khalafallah,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Chuang,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Kwok, C,</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Yan, C,</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Pavlov, T,</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Falloon, P,</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Dennis, A</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Time to abandon the oral iron mine,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intravenous iron is the gem</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Poster presented at the 41st (The Society</w:t>
            </w:r>
            <w:r w:rsidR="00AF6C53">
              <w:rPr>
                <w:rFonts w:ascii="Gill Sans MT" w:hAnsi="Gill Sans MT" w:cs="GillSans-Light"/>
                <w:sz w:val="20"/>
                <w:szCs w:val="20"/>
              </w:rPr>
              <w:t xml:space="preserve"> </w:t>
            </w:r>
            <w:r w:rsidRPr="00AF6C53">
              <w:rPr>
                <w:rFonts w:ascii="Gill Sans MT" w:hAnsi="Gill Sans MT" w:cs="GillSans-Light"/>
                <w:sz w:val="20"/>
                <w:szCs w:val="20"/>
              </w:rPr>
              <w:t>of Hospital Pharmacists of Australia)SHPA</w:t>
            </w:r>
          </w:p>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National Conference “Hidden Gems Come</w:t>
            </w:r>
            <w:r w:rsidR="00AF6C53">
              <w:rPr>
                <w:rFonts w:ascii="Gill Sans MT" w:hAnsi="Gill Sans MT" w:cs="GillSans-Light"/>
                <w:sz w:val="20"/>
                <w:szCs w:val="20"/>
              </w:rPr>
              <w:t xml:space="preserve"> </w:t>
            </w:r>
            <w:r w:rsidRPr="00AF6C53">
              <w:rPr>
                <w:rFonts w:ascii="Gill Sans MT" w:hAnsi="Gill Sans MT" w:cs="GillSans-Light"/>
                <w:sz w:val="20"/>
                <w:szCs w:val="20"/>
              </w:rPr>
              <w:t>Explore”, December 3-6, 2015, Melbourne</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Khalafallah,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Phuah, 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Al Barzan,A,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Nikakis, I,</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Radford, A,</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Clarkson, W,</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Trevett, C,</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Brain, T,</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Corbould, A</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Glycosylated haemoglobin for screening and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diagnosis of gestational diabetes mellitus</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Open; 2016; published online April 4</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Keung, C</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management of gastro-oesophageal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reflux disease</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Australian Prescriber; 2016; 39(1): 6-10</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Kinghorn, V</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What does it take to develop a website for</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clinical dietitians to enhance learning of the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nutrition care process</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Nutrition &amp; Dietetics; 2016; 73(suppl 1):</w:t>
            </w:r>
            <w:r w:rsidR="00AF6C53">
              <w:rPr>
                <w:rFonts w:ascii="Gill Sans MT" w:hAnsi="Gill Sans MT" w:cs="GillSans-Light"/>
                <w:sz w:val="20"/>
                <w:szCs w:val="20"/>
              </w:rPr>
              <w:t xml:space="preserve"> </w:t>
            </w:r>
            <w:r w:rsidRPr="00AF6C53">
              <w:rPr>
                <w:rFonts w:ascii="Gill Sans MT" w:hAnsi="Gill Sans MT" w:cs="GillSans-Light"/>
                <w:sz w:val="20"/>
                <w:szCs w:val="20"/>
              </w:rPr>
              <w:t>71. Poster abstract 346 from Dietitians</w:t>
            </w:r>
            <w:r w:rsidR="00AF6C53">
              <w:rPr>
                <w:rFonts w:ascii="Gill Sans MT" w:hAnsi="Gill Sans MT" w:cs="GillSans-Light"/>
                <w:sz w:val="20"/>
                <w:szCs w:val="20"/>
              </w:rPr>
              <w:t xml:space="preserve"> </w:t>
            </w:r>
            <w:r w:rsidRPr="00AF6C53">
              <w:rPr>
                <w:rFonts w:ascii="Gill Sans MT" w:hAnsi="Gill Sans MT" w:cs="GillSans-Light"/>
                <w:sz w:val="20"/>
                <w:szCs w:val="20"/>
              </w:rPr>
              <w:t>Association of Australia 33rd National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Conference, May 19-21, 2016, Melbourne</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Lemon, G</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Trust and the dilemma of suicide risk</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assessment in non-government mental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health services</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Australian Social Work; 2016; 69(2): 145-157</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 L</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Incidence of geriatric hip fractures in</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Tasmania 2011-2012</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Australian Journal of Rural Health; 2015;</w:t>
            </w:r>
            <w:r w:rsidR="00AF6C53">
              <w:rPr>
                <w:rFonts w:ascii="Gill Sans MT" w:hAnsi="Gill Sans MT" w:cs="GillSans-Light"/>
                <w:sz w:val="20"/>
                <w:szCs w:val="20"/>
              </w:rPr>
              <w:t xml:space="preserve"> </w:t>
            </w:r>
            <w:r w:rsidRPr="00AF6C53">
              <w:rPr>
                <w:rFonts w:ascii="Gill Sans MT" w:hAnsi="Gill Sans MT" w:cs="GillSans-Light"/>
                <w:sz w:val="20"/>
                <w:szCs w:val="20"/>
              </w:rPr>
              <w:t>23(4):247-8</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Lim, K</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Modified TIME-H: a simplified scoring</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system for chronic wound management</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Wound Care; 2015; 24(9): 415-</w:t>
            </w:r>
            <w:r w:rsidR="00AF6C53">
              <w:rPr>
                <w:rFonts w:ascii="Gill Sans MT" w:hAnsi="Gill Sans MT" w:cs="GillSans-Light"/>
                <w:sz w:val="20"/>
                <w:szCs w:val="20"/>
              </w:rPr>
              <w:t xml:space="preserve"> </w:t>
            </w:r>
            <w:r w:rsidRPr="00AF6C53">
              <w:rPr>
                <w:rFonts w:ascii="Gill Sans MT" w:hAnsi="Gill Sans MT" w:cs="GillSans-Light"/>
                <w:sz w:val="20"/>
                <w:szCs w:val="20"/>
              </w:rPr>
              <w:t>419</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Lim, K</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Central venous catheter associated blood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stream infection in neonatal intensive care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unit – prediction and prevention</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Paediatrics and Child Health;</w:t>
            </w:r>
            <w:r w:rsidR="00AF6C53">
              <w:rPr>
                <w:rFonts w:ascii="Gill Sans MT" w:hAnsi="Gill Sans MT" w:cs="GillSans-Light"/>
                <w:sz w:val="20"/>
                <w:szCs w:val="20"/>
              </w:rPr>
              <w:t xml:space="preserve"> </w:t>
            </w:r>
            <w:r w:rsidRPr="00AF6C53">
              <w:rPr>
                <w:rFonts w:ascii="Gill Sans MT" w:hAnsi="Gill Sans MT" w:cs="GillSans-Light"/>
                <w:sz w:val="20"/>
                <w:szCs w:val="20"/>
              </w:rPr>
              <w:t>2016; 52(suppl 1): 3-4 Abstract for the</w:t>
            </w:r>
            <w:r w:rsidR="00AF6C53">
              <w:rPr>
                <w:rFonts w:ascii="Gill Sans MT" w:hAnsi="Gill Sans MT" w:cs="GillSans-Light"/>
                <w:sz w:val="20"/>
                <w:szCs w:val="20"/>
              </w:rPr>
              <w:t xml:space="preserve"> </w:t>
            </w:r>
            <w:r w:rsidRPr="00AF6C53">
              <w:rPr>
                <w:rFonts w:ascii="Gill Sans MT" w:hAnsi="Gill Sans MT" w:cs="GillSans-Light"/>
                <w:sz w:val="20"/>
                <w:szCs w:val="20"/>
              </w:rPr>
              <w:t>RACP Congress 2016 “Evolve, Educate,</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Engage”, May 16-18, 2016, Adelaide</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Markos, J</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Cohort Profile: The Tasmanian Longitudinal</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Health STUDY (TAHS)</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International Journal of Epidemiology; 2016;</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published online June 6</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Markos, J</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Mother’s smoking and complex lung</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function of offspring in middle age: a cohort</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study from childhood</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Respirology; 2016; published online March</w:t>
            </w:r>
            <w:r w:rsidR="00AF6C53">
              <w:rPr>
                <w:rFonts w:ascii="Gill Sans MT" w:hAnsi="Gill Sans MT" w:cs="GillSans-Light"/>
                <w:sz w:val="20"/>
                <w:szCs w:val="20"/>
              </w:rPr>
              <w:t xml:space="preserve"> </w:t>
            </w:r>
            <w:r w:rsidRPr="00AF6C53">
              <w:rPr>
                <w:rFonts w:ascii="Gill Sans MT" w:hAnsi="Gill Sans MT" w:cs="GillSans-Light"/>
                <w:sz w:val="20"/>
                <w:szCs w:val="20"/>
              </w:rPr>
              <w:t>11</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Massey, C</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foot-health of adult diabetics in</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regional Australia: baseline findings from an</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epidemiological study</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Foot and Ankle Research; 2015;</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8(suppl 2): O32</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McTaggart, D</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long term follow-up study of carriers of</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hypertrophic cardiomyopathy mutations</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Heart, Lung and Circulation; 2016; published</w:t>
            </w:r>
            <w:r w:rsidR="00AF6C53">
              <w:rPr>
                <w:rFonts w:ascii="Gill Sans MT" w:hAnsi="Gill Sans MT" w:cs="GillSans-Light"/>
                <w:sz w:val="20"/>
                <w:szCs w:val="20"/>
              </w:rPr>
              <w:t xml:space="preserve"> </w:t>
            </w:r>
            <w:r w:rsidRPr="00AF6C53">
              <w:rPr>
                <w:rFonts w:ascii="Gill Sans MT" w:hAnsi="Gill Sans MT" w:cs="GillSans-Light"/>
                <w:sz w:val="20"/>
                <w:szCs w:val="20"/>
              </w:rPr>
              <w:t>online May 20</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Minchin, A</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Early intervention for children with autism:</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 Australian rural hub and spokes model</w:t>
            </w:r>
          </w:p>
        </w:tc>
        <w:tc>
          <w:tcPr>
            <w:tcW w:w="2518"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Research and Practice in Intellectual</w:t>
            </w:r>
            <w:r w:rsidR="00AF6C53">
              <w:rPr>
                <w:rFonts w:ascii="Gill Sans MT" w:hAnsi="Gill Sans MT" w:cs="GillSans-Light"/>
                <w:sz w:val="20"/>
                <w:szCs w:val="20"/>
              </w:rPr>
              <w:t xml:space="preserve"> </w:t>
            </w:r>
            <w:r w:rsidRPr="00AF6C53">
              <w:rPr>
                <w:rFonts w:ascii="Gill Sans MT" w:hAnsi="Gill Sans MT" w:cs="GillSans-Light"/>
                <w:sz w:val="20"/>
                <w:szCs w:val="20"/>
              </w:rPr>
              <w:t>Developmental Disabilities; 2016; published</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online March 23</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Acute myeloid leukaemia with t(8;21)</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(q22;q22.3) and loss of the X chromosome</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Case Reports; 2015;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August 6</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Two diagnoses from bone marrow biopsy:</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multiple myeloma and Paget’s disease of</w:t>
            </w:r>
          </w:p>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bone</w:t>
            </w:r>
          </w:p>
        </w:tc>
        <w:tc>
          <w:tcPr>
            <w:tcW w:w="2518" w:type="dxa"/>
          </w:tcPr>
          <w:p w:rsidR="00DC0775" w:rsidRPr="00AF6C53" w:rsidRDefault="00DC0775"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Case Reports; 2016;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February 24</w:t>
            </w:r>
          </w:p>
        </w:tc>
      </w:tr>
      <w:tr w:rsidR="00DC0775" w:rsidRPr="00AF6C53" w:rsidTr="00D34FCB">
        <w:tc>
          <w:tcPr>
            <w:tcW w:w="2570"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tc>
        <w:tc>
          <w:tcPr>
            <w:tcW w:w="1082" w:type="dxa"/>
          </w:tcPr>
          <w:p w:rsidR="00DC0775" w:rsidRPr="00AF6C53" w:rsidRDefault="00DC0775"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DC0775" w:rsidRPr="00AF6C53" w:rsidRDefault="00DC0775"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Hereditary haemochromatosis</w:t>
            </w:r>
          </w:p>
        </w:tc>
        <w:tc>
          <w:tcPr>
            <w:tcW w:w="2518" w:type="dxa"/>
          </w:tcPr>
          <w:p w:rsidR="00DC0775" w:rsidRPr="00AF6C53" w:rsidRDefault="007351BA" w:rsidP="00DC0775">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2016; published online June 30</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Tan, J,</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Kalpurath, KK</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Non- Hodgkin lymphoma manifesting as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massive malignant chylothorax: successful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management with chemotherapy and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ambulatory drainages using indwelling pleural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catheter</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Internal Medicine Journal; 2015; 45(9):980-</w:t>
            </w:r>
            <w:r w:rsidR="00AF6C53">
              <w:rPr>
                <w:rFonts w:ascii="Gill Sans MT" w:hAnsi="Gill Sans MT" w:cs="GillSans-Light"/>
                <w:sz w:val="20"/>
                <w:szCs w:val="20"/>
              </w:rPr>
              <w:t xml:space="preserve"> </w:t>
            </w:r>
            <w:r w:rsidRPr="00AF6C53">
              <w:rPr>
                <w:rFonts w:ascii="Gill Sans MT" w:hAnsi="Gill Sans MT" w:cs="GillSans-Light"/>
                <w:sz w:val="20"/>
                <w:szCs w:val="20"/>
              </w:rPr>
              <w:t>983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McEwen, F,</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Connelley, G</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Leucapheresis for management of</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retinopathy in chronic myeloid leukaemia</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Case Reports; 2015;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December 1</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Sharma, S</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Atypical presentation of therapy-related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acute promyelocytic leukemia with marrow</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fibrosis</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Pathology; 2016; 48(3): 286-8</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Mohamed, M,</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Mahmud, A</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pregnant woman with anaemia and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Thrombocytopenia</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BMJ; 2016; published online June 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Molnar,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Creative disruption in medicine &amp;</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Healthcare</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Hershey, Pennsylvania; IGI Publishing ISBN</w:t>
            </w:r>
            <w:r w:rsidR="00AF6C53">
              <w:rPr>
                <w:rFonts w:ascii="Gill Sans MT" w:hAnsi="Gill Sans MT" w:cs="GillSans-Light"/>
                <w:sz w:val="20"/>
                <w:szCs w:val="20"/>
              </w:rPr>
              <w:t xml:space="preserve"> </w:t>
            </w:r>
            <w:r w:rsidRPr="00AF6C53">
              <w:rPr>
                <w:rFonts w:ascii="Gill Sans MT" w:hAnsi="Gill Sans MT" w:cs="GillSans-Light"/>
                <w:sz w:val="20"/>
                <w:szCs w:val="20"/>
              </w:rPr>
              <w:t>9780646948393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Monahan,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Limitations of the vastus lateralis muscle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 a substitute for lost abductor muscle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function: an anatomical study</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Journal of Arthroplasty; published</w:t>
            </w:r>
            <w:r w:rsidR="00AF6C53">
              <w:rPr>
                <w:rFonts w:ascii="Gill Sans MT" w:hAnsi="Gill Sans MT" w:cs="GillSans-Light"/>
                <w:sz w:val="20"/>
                <w:szCs w:val="20"/>
              </w:rPr>
              <w:t xml:space="preserve"> </w:t>
            </w:r>
            <w:r w:rsidRPr="00AF6C53">
              <w:rPr>
                <w:rFonts w:ascii="Gill Sans MT" w:hAnsi="Gill Sans MT" w:cs="GillSans-Light"/>
                <w:sz w:val="20"/>
                <w:szCs w:val="20"/>
              </w:rPr>
              <w:t>online July 17</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Monsour, M</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Profiles of dyadic adjustment for advanced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prostate cancer to inform couple-based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intervention</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Psychology &amp; Health; 2015; 30(11):1259-1273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Monsour, M,</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Jensen, 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Brough, 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Cetti,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Utility of intra-operative ureteral frozen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section analysis</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BJU International, 2016; 117(suppl 3):</w:t>
            </w:r>
            <w:r w:rsidR="00AF6C53">
              <w:rPr>
                <w:rFonts w:ascii="Gill Sans MT" w:hAnsi="Gill Sans MT" w:cs="GillSans-Light"/>
                <w:sz w:val="20"/>
                <w:szCs w:val="20"/>
              </w:rPr>
              <w:t xml:space="preserve"> </w:t>
            </w:r>
            <w:r w:rsidRPr="00AF6C53">
              <w:rPr>
                <w:rFonts w:ascii="Gill Sans MT" w:hAnsi="Gill Sans MT" w:cs="GillSans-Light"/>
                <w:sz w:val="20"/>
                <w:szCs w:val="20"/>
              </w:rPr>
              <w:t>Abstract 162 from Urological Society of</w:t>
            </w:r>
            <w:r w:rsidR="00AF6C53">
              <w:rPr>
                <w:rFonts w:ascii="Gill Sans MT" w:hAnsi="Gill Sans MT" w:cs="GillSans-Light"/>
                <w:sz w:val="20"/>
                <w:szCs w:val="20"/>
              </w:rPr>
              <w:t xml:space="preserve"> </w:t>
            </w:r>
            <w:r w:rsidRPr="00AF6C53">
              <w:rPr>
                <w:rFonts w:ascii="Gill Sans MT" w:hAnsi="Gill Sans MT" w:cs="GillSans-Light"/>
                <w:sz w:val="20"/>
                <w:szCs w:val="20"/>
              </w:rPr>
              <w:t>Australia and New Zealand 69th Annual</w:t>
            </w:r>
          </w:p>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Scientific Meeting “Bringing out the best”,</w:t>
            </w:r>
            <w:r w:rsidR="00AF6C53">
              <w:rPr>
                <w:rFonts w:ascii="Gill Sans MT" w:hAnsi="Gill Sans MT" w:cs="GillSans-Light"/>
                <w:sz w:val="20"/>
                <w:szCs w:val="20"/>
              </w:rPr>
              <w:t xml:space="preserve"> </w:t>
            </w:r>
            <w:r w:rsidRPr="00AF6C53">
              <w:rPr>
                <w:rFonts w:ascii="Gill Sans MT" w:hAnsi="Gill Sans MT" w:cs="GillSans-Light"/>
                <w:sz w:val="20"/>
                <w:szCs w:val="20"/>
              </w:rPr>
              <w:t>April 16-19, 2016, Gold Coast, Queensland</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Mulford, J</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Short-term outcomes of local infiltration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anaesthetic in total knee arthroplasty:</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randomized controlled double-blind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controlled trial</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ANZ Journal of Surgery;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December 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Mulford, J,</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Mackay, 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Babazadeh, S</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Three dimensional printing in orthopaedic</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surgery: a review of current and future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applications</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Orthopaedic Journal of Sports</w:t>
            </w:r>
            <w:r w:rsidR="00AF6C53">
              <w:rPr>
                <w:rFonts w:ascii="Gill Sans MT" w:hAnsi="Gill Sans MT" w:cs="GillSans-Light"/>
                <w:sz w:val="20"/>
                <w:szCs w:val="20"/>
              </w:rPr>
              <w:t xml:space="preserve"> </w:t>
            </w:r>
            <w:r w:rsidRPr="00AF6C53">
              <w:rPr>
                <w:rFonts w:ascii="Gill Sans MT" w:hAnsi="Gill Sans MT" w:cs="GillSans-Light"/>
                <w:sz w:val="20"/>
                <w:szCs w:val="20"/>
              </w:rPr>
              <w:t>Medicine; 2016; 4(2 suppl 1)</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Mulford, J,</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Mackay, 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Babazadeh, S</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Three dimensional printing in orthopaedic</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surgery: a review of current and future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applications</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ANZ Journal of Surgery; 2016; published</w:t>
            </w:r>
            <w:r w:rsidR="00AF6C53">
              <w:rPr>
                <w:rFonts w:ascii="Gill Sans MT" w:hAnsi="Gill Sans MT" w:cs="GillSans-Light"/>
                <w:sz w:val="20"/>
                <w:szCs w:val="20"/>
              </w:rPr>
              <w:t xml:space="preserve"> </w:t>
            </w:r>
            <w:r w:rsidRPr="00AF6C53">
              <w:rPr>
                <w:rFonts w:ascii="Gill Sans MT" w:hAnsi="Gill Sans MT" w:cs="GillSans-Light"/>
                <w:sz w:val="20"/>
                <w:szCs w:val="20"/>
              </w:rPr>
              <w:t>online April 12</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Noor, WD</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Epithelial mesenchymal transition in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smokers: large versus small airways and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relation to airflow obstruction</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International Journal of COPD; 2015;</w:t>
            </w:r>
            <w:r w:rsidR="00AF6C53">
              <w:rPr>
                <w:rFonts w:ascii="Gill Sans MT" w:hAnsi="Gill Sans MT" w:cs="GillSans-Light"/>
                <w:sz w:val="20"/>
                <w:szCs w:val="20"/>
              </w:rPr>
              <w:t xml:space="preserve"> </w:t>
            </w:r>
            <w:r w:rsidRPr="00AF6C53">
              <w:rPr>
                <w:rFonts w:ascii="Gill Sans MT" w:hAnsi="Gill Sans MT" w:cs="GillSans-Light"/>
                <w:sz w:val="20"/>
                <w:szCs w:val="20"/>
              </w:rPr>
              <w:t>published online August 4</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Pande, G</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Liver resection (chapter in a book)</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 P. K. Mishra (ed), Textbook of Surgical</w:t>
            </w:r>
            <w:r w:rsidR="00AF6C53">
              <w:rPr>
                <w:rFonts w:ascii="Gill Sans MT" w:hAnsi="Gill Sans MT" w:cs="GillSans-Light"/>
                <w:sz w:val="20"/>
                <w:szCs w:val="20"/>
              </w:rPr>
              <w:t xml:space="preserve"> </w:t>
            </w:r>
            <w:r w:rsidRPr="00AF6C53">
              <w:rPr>
                <w:rFonts w:ascii="Gill Sans MT" w:hAnsi="Gill Sans MT" w:cs="GillSans-Light"/>
                <w:sz w:val="20"/>
                <w:szCs w:val="20"/>
              </w:rPr>
              <w:t>Gastroenterology (pp. 852-877), 2016; New</w:t>
            </w:r>
            <w:r w:rsidR="00AF6C53">
              <w:rPr>
                <w:rFonts w:ascii="Gill Sans MT" w:hAnsi="Gill Sans MT" w:cs="GillSans-Light"/>
                <w:sz w:val="20"/>
                <w:szCs w:val="20"/>
              </w:rPr>
              <w:t xml:space="preserve"> </w:t>
            </w:r>
            <w:r w:rsidRPr="00AF6C53">
              <w:rPr>
                <w:rFonts w:ascii="Gill Sans MT" w:hAnsi="Gill Sans MT" w:cs="GillSans-Light"/>
                <w:sz w:val="20"/>
                <w:szCs w:val="20"/>
              </w:rPr>
              <w:t>Delhi: Jaypee Brothers Medical Publishers</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Parameswaran, 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Herman, B</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case of haemorrhagic pericardial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tamponade in an adolescent</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AMSRJ: American Medical Students</w:t>
            </w:r>
            <w:r w:rsidR="00AF6C53">
              <w:rPr>
                <w:rFonts w:ascii="Gill Sans MT" w:hAnsi="Gill Sans MT" w:cs="GillSans-Light"/>
                <w:sz w:val="20"/>
                <w:szCs w:val="20"/>
              </w:rPr>
              <w:t xml:space="preserve"> </w:t>
            </w:r>
            <w:r w:rsidRPr="00AF6C53">
              <w:rPr>
                <w:rFonts w:ascii="Gill Sans MT" w:hAnsi="Gill Sans MT" w:cs="GillSans-Light"/>
                <w:sz w:val="20"/>
                <w:szCs w:val="20"/>
              </w:rPr>
              <w:t>Research Journal; 2015; 6(2):51-53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Power, J</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Use and impact of selective internal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radiation therapy (SIRT) in routine care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patients with metastatic colorectal cancer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(mCRC)</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Clinical Oncology; 2016; 34(4_</w:t>
            </w:r>
            <w:r w:rsidR="00AF6C53">
              <w:rPr>
                <w:rFonts w:ascii="Gill Sans MT" w:hAnsi="Gill Sans MT" w:cs="GillSans-Light"/>
                <w:sz w:val="20"/>
                <w:szCs w:val="20"/>
              </w:rPr>
              <w:t xml:space="preserve"> </w:t>
            </w:r>
            <w:r w:rsidRPr="00AF6C53">
              <w:rPr>
                <w:rFonts w:ascii="Gill Sans MT" w:hAnsi="Gill Sans MT" w:cs="GillSans-Light"/>
                <w:sz w:val="20"/>
                <w:szCs w:val="20"/>
              </w:rPr>
              <w:t>February 1suppl)</w:t>
            </w:r>
            <w:proofErr w:type="gramStart"/>
            <w:r w:rsidRPr="00AF6C53">
              <w:rPr>
                <w:rFonts w:ascii="Gill Sans MT" w:hAnsi="Gill Sans MT" w:cs="GillSans-Light"/>
                <w:sz w:val="20"/>
                <w:szCs w:val="20"/>
              </w:rPr>
              <w:t>:abstract</w:t>
            </w:r>
            <w:proofErr w:type="gramEnd"/>
            <w:r w:rsidRPr="00AF6C53">
              <w:rPr>
                <w:rFonts w:ascii="Gill Sans MT" w:hAnsi="Gill Sans MT" w:cs="GillSans-Light"/>
                <w:sz w:val="20"/>
                <w:szCs w:val="20"/>
              </w:rPr>
              <w:t xml:space="preserve"> 742. Presented</w:t>
            </w:r>
          </w:p>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at Gastrointestinal Cancers Symposium,</w:t>
            </w:r>
            <w:r w:rsidR="00AF6C53">
              <w:rPr>
                <w:rFonts w:ascii="Gill Sans MT" w:hAnsi="Gill Sans MT" w:cs="GillSans-Light"/>
                <w:sz w:val="20"/>
                <w:szCs w:val="20"/>
              </w:rPr>
              <w:t xml:space="preserve"> </w:t>
            </w:r>
            <w:r w:rsidRPr="00AF6C53">
              <w:rPr>
                <w:rFonts w:ascii="Gill Sans MT" w:hAnsi="Gill Sans MT" w:cs="GillSans-Light"/>
                <w:sz w:val="20"/>
                <w:szCs w:val="20"/>
              </w:rPr>
              <w:t>January 21-23, 2016, San Francisco</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Raj,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Symptoms and their recognition in with</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quality of life</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Nephrology; 2016;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February 18)</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Ranasinghe,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WKB</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Beware the stone in the duplex: use of</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CT intravenous pyelogram (CT IVP) in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detecting calculi in duplex ureteric systems</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Clinical Urology; 2015; published</w:t>
            </w:r>
            <w:r w:rsidR="00AF6C53">
              <w:rPr>
                <w:rFonts w:ascii="Gill Sans MT" w:hAnsi="Gill Sans MT" w:cs="GillSans-Light"/>
                <w:sz w:val="20"/>
                <w:szCs w:val="20"/>
              </w:rPr>
              <w:t xml:space="preserve"> </w:t>
            </w:r>
            <w:r w:rsidRPr="00AF6C53">
              <w:rPr>
                <w:rFonts w:ascii="Gill Sans MT" w:hAnsi="Gill Sans MT" w:cs="GillSans-Light"/>
                <w:sz w:val="20"/>
                <w:szCs w:val="20"/>
              </w:rPr>
              <w:t>online August 3</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Ranasinghe,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WKB</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Trends in incidence and survival for upper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tract urothelial cancer (UTUC) in the state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of Victoria – Australia</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BJU International; 2015; published online</w:t>
            </w:r>
            <w:r w:rsidR="00AF6C53">
              <w:rPr>
                <w:rFonts w:ascii="Gill Sans MT" w:hAnsi="Gill Sans MT" w:cs="GillSans-Light"/>
                <w:sz w:val="20"/>
                <w:szCs w:val="20"/>
              </w:rPr>
              <w:t xml:space="preserve"> </w:t>
            </w:r>
            <w:r w:rsidRPr="00AF6C53">
              <w:rPr>
                <w:rFonts w:ascii="Gill Sans MT" w:hAnsi="Gill Sans MT" w:cs="GillSans-Light"/>
                <w:sz w:val="20"/>
                <w:szCs w:val="20"/>
              </w:rPr>
              <w:t>October 21</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Ranasinghe,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WK, Cetti,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Intravesical Bacillus Calmette-Guerin for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nonmuscle invasive urothelial carcinoma of</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bladder – patterns of use, and impact</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on outcomes</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w:t>
            </w:r>
            <w:r w:rsidR="00AF6C53">
              <w:rPr>
                <w:rFonts w:ascii="Gill Sans MT" w:hAnsi="Gill Sans MT" w:cs="GillSans-Light"/>
                <w:sz w:val="20"/>
                <w:szCs w:val="20"/>
              </w:rPr>
              <w:t xml:space="preserve"> </w:t>
            </w:r>
            <w:r w:rsidRPr="00AF6C53">
              <w:rPr>
                <w:rFonts w:ascii="Gill Sans MT" w:hAnsi="Gill Sans MT" w:cs="GillSans-Light"/>
                <w:sz w:val="20"/>
                <w:szCs w:val="20"/>
              </w:rPr>
              <w:t>2015; 11(suppl 2):40</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Ranasinghe,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WK, Cetti, R</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Visual detection of recurrences post Bacillus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Calmette-Guerin (BCG) for high risk nonmuscle-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invasive bladder cancer (NMIBC):</w:t>
            </w:r>
          </w:p>
          <w:p w:rsidR="007351BA" w:rsidRPr="00AF6C53" w:rsidRDefault="007351BA" w:rsidP="007351BA">
            <w:pPr>
              <w:autoSpaceDE w:val="0"/>
              <w:autoSpaceDN w:val="0"/>
              <w:adjustRightInd w:val="0"/>
              <w:rPr>
                <w:rFonts w:ascii="Gill Sans MT" w:hAnsi="Gill Sans MT" w:cs="GillSans-Light"/>
                <w:sz w:val="20"/>
                <w:szCs w:val="20"/>
              </w:rPr>
            </w:pPr>
            <w:proofErr w:type="gramStart"/>
            <w:r w:rsidRPr="00AF6C53">
              <w:rPr>
                <w:rFonts w:ascii="Gill Sans MT" w:hAnsi="Gill Sans MT" w:cs="GillSans-Light"/>
                <w:sz w:val="20"/>
                <w:szCs w:val="20"/>
              </w:rPr>
              <w:t>are</w:t>
            </w:r>
            <w:proofErr w:type="gramEnd"/>
            <w:r w:rsidRPr="00AF6C53">
              <w:rPr>
                <w:rFonts w:ascii="Gill Sans MT" w:hAnsi="Gill Sans MT" w:cs="GillSans-Light"/>
                <w:sz w:val="20"/>
                <w:szCs w:val="20"/>
              </w:rPr>
              <w:t xml:space="preserve"> we adhering to the guidelines?</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w:t>
            </w:r>
            <w:r w:rsidR="00AF6C53">
              <w:rPr>
                <w:rFonts w:ascii="Gill Sans MT" w:hAnsi="Gill Sans MT" w:cs="GillSans-Light"/>
                <w:sz w:val="20"/>
                <w:szCs w:val="20"/>
              </w:rPr>
              <w:t xml:space="preserve"> </w:t>
            </w:r>
            <w:r w:rsidRPr="00AF6C53">
              <w:rPr>
                <w:rFonts w:ascii="Gill Sans MT" w:hAnsi="Gill Sans MT" w:cs="GillSans-Light"/>
                <w:sz w:val="20"/>
                <w:szCs w:val="20"/>
              </w:rPr>
              <w:t>2015; 11(suppl 2):42</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Ranasinghe,</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WKB</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Prostate cancer screening in Primary Health</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Care: The current state of affairs - Beyond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Abstract</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http://www.urotoday.com/recent-abstracts/urologic-oncology/prostate-cancer/86060-</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prostate-cancer-screening-in-primary-healthcare-</w:t>
            </w:r>
          </w:p>
          <w:p w:rsidR="007351BA" w:rsidRPr="00AF6C53" w:rsidRDefault="007351BA" w:rsidP="007351BA">
            <w:pPr>
              <w:autoSpaceDE w:val="0"/>
              <w:autoSpaceDN w:val="0"/>
              <w:adjustRightInd w:val="0"/>
              <w:rPr>
                <w:rFonts w:ascii="Gill Sans MT" w:hAnsi="Gill Sans MT" w:cs="GillSans-Light"/>
                <w:sz w:val="20"/>
                <w:szCs w:val="20"/>
              </w:rPr>
            </w:pPr>
            <w:proofErr w:type="gramStart"/>
            <w:r w:rsidRPr="00AF6C53">
              <w:rPr>
                <w:rFonts w:ascii="Gill Sans MT" w:hAnsi="Gill Sans MT" w:cs="GillSans-Light"/>
                <w:sz w:val="20"/>
                <w:szCs w:val="20"/>
              </w:rPr>
              <w:t>the-current-state-of-affairs-beyond-theabstract</w:t>
            </w:r>
            <w:proofErr w:type="gramEnd"/>
            <w:r w:rsidRPr="00AF6C53">
              <w:rPr>
                <w:rFonts w:ascii="Gill Sans MT" w:hAnsi="Gill Sans MT" w:cs="GillSans-Light"/>
                <w:sz w:val="20"/>
                <w:szCs w:val="20"/>
              </w:rPr>
              <w:t>.</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html; 2016; published online February 1</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Rooney, K</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Enhancing international medical graduates’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communication: the contribution of applied</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linguistics</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Medical Education; 2015; 49(8):828-837</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Rooney, K</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 web-based nutrition competency</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implementation toolkit for entry-level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medical courses</w:t>
            </w:r>
          </w:p>
        </w:tc>
        <w:tc>
          <w:tcPr>
            <w:tcW w:w="2518"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Sydney, NSW; Office for Learning and</w:t>
            </w:r>
            <w:r w:rsidR="00AF6C53">
              <w:rPr>
                <w:rFonts w:ascii="Gill Sans MT" w:hAnsi="Gill Sans MT" w:cs="GillSans-Light"/>
                <w:sz w:val="20"/>
                <w:szCs w:val="20"/>
              </w:rPr>
              <w:t xml:space="preserve"> </w:t>
            </w:r>
            <w:r w:rsidRPr="00AF6C53">
              <w:rPr>
                <w:rFonts w:ascii="Gill Sans MT" w:hAnsi="Gill Sans MT" w:cs="GillSans-Light"/>
                <w:sz w:val="20"/>
                <w:szCs w:val="20"/>
              </w:rPr>
              <w:t>Teaching, Department of Education, ISBN</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9781760286026</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Anne Jong</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Severity and duration of pain after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colonoscopy and gastroscopy: a cohort</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study</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Clinical Nursing 2015; (published</w:t>
            </w:r>
            <w:r w:rsidR="00AF6C53">
              <w:rPr>
                <w:rFonts w:ascii="Gill Sans MT" w:hAnsi="Gill Sans MT" w:cs="GillSans-Light"/>
                <w:sz w:val="20"/>
                <w:szCs w:val="20"/>
              </w:rPr>
              <w:t xml:space="preserve"> </w:t>
            </w:r>
            <w:r w:rsidRPr="00AF6C53">
              <w:rPr>
                <w:rFonts w:ascii="Gill Sans MT" w:hAnsi="Gill Sans MT" w:cs="GillSans-Light"/>
                <w:sz w:val="20"/>
                <w:szCs w:val="20"/>
              </w:rPr>
              <w:t>online May 6)</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James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Robert-</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Thomson</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 immunosuppressed man with an aortic</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rupture secondary to Salmonella aortitis</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successfully treated with endovascular</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aortic repair</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Annals of Vascular Surgery 2015; 29 (4) 839e8</w:t>
            </w:r>
            <w:r w:rsidR="00AF6C53">
              <w:rPr>
                <w:rFonts w:ascii="Gill Sans MT" w:hAnsi="Gill Sans MT" w:cs="GillSans-Light"/>
                <w:sz w:val="20"/>
                <w:szCs w:val="20"/>
              </w:rPr>
              <w:t xml:space="preserve"> </w:t>
            </w:r>
            <w:r w:rsidRPr="00AF6C53">
              <w:rPr>
                <w:rFonts w:ascii="Gill Sans MT" w:hAnsi="Gill Sans MT" w:cs="GillSans-Light"/>
                <w:sz w:val="20"/>
                <w:szCs w:val="20"/>
              </w:rPr>
              <w:t>– e8</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Yi Chao</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Foong -</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Intern</w:t>
            </w:r>
          </w:p>
        </w:tc>
        <w:tc>
          <w:tcPr>
            <w:tcW w:w="1082" w:type="dxa"/>
          </w:tcPr>
          <w:p w:rsidR="007351BA" w:rsidRPr="00AF6C53" w:rsidRDefault="007351BA"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Mobile phones as a potential vehicle of</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infection in a hospital setting</w:t>
            </w:r>
          </w:p>
        </w:tc>
        <w:tc>
          <w:tcPr>
            <w:tcW w:w="2518" w:type="dxa"/>
          </w:tcPr>
          <w:p w:rsidR="007351BA" w:rsidRPr="00AF6C53" w:rsidRDefault="007351BA"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Occupational and Environmental</w:t>
            </w:r>
            <w:r w:rsidR="00AF6C53">
              <w:rPr>
                <w:rFonts w:ascii="Gill Sans MT" w:hAnsi="Gill Sans MT" w:cs="GillSans-Light"/>
                <w:sz w:val="20"/>
                <w:szCs w:val="20"/>
              </w:rPr>
              <w:t xml:space="preserve"> </w:t>
            </w:r>
            <w:r w:rsidRPr="00AF6C53">
              <w:rPr>
                <w:rFonts w:ascii="Gill Sans MT" w:hAnsi="Gill Sans MT" w:cs="GillSans-Light"/>
                <w:sz w:val="20"/>
                <w:szCs w:val="20"/>
              </w:rPr>
              <w:t>Hygiene 2015; (published online June 17)</w:t>
            </w:r>
          </w:p>
        </w:tc>
      </w:tr>
      <w:tr w:rsidR="007351BA" w:rsidRPr="00AF6C53" w:rsidTr="00D34FCB">
        <w:tc>
          <w:tcPr>
            <w:tcW w:w="2570" w:type="dxa"/>
          </w:tcPr>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Prof Michael</w:t>
            </w:r>
          </w:p>
          <w:p w:rsidR="007351BA" w:rsidRPr="00AF6C53" w:rsidRDefault="007351BA" w:rsidP="007351BA">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Buist et al</w:t>
            </w:r>
          </w:p>
        </w:tc>
        <w:tc>
          <w:tcPr>
            <w:tcW w:w="1082" w:type="dxa"/>
          </w:tcPr>
          <w:p w:rsidR="007351BA"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Getting more efficient Rapid Response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System (RRS) utilization by the use of a</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general ward based deteriorating patient</w:t>
            </w:r>
          </w:p>
          <w:p w:rsidR="007351BA"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contract</w:t>
            </w:r>
          </w:p>
        </w:tc>
        <w:tc>
          <w:tcPr>
            <w:tcW w:w="2518" w:type="dxa"/>
          </w:tcPr>
          <w:p w:rsidR="007351BA"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Safety in Health 2015; 1:8 (Published 8 July</w:t>
            </w:r>
            <w:r>
              <w:rPr>
                <w:rFonts w:ascii="Gill Sans MT" w:hAnsi="Gill Sans MT" w:cs="GillSans-Light"/>
                <w:sz w:val="20"/>
                <w:szCs w:val="20"/>
              </w:rPr>
              <w:t xml:space="preserve"> </w:t>
            </w:r>
            <w:r w:rsidRPr="00AF6C53">
              <w:rPr>
                <w:rFonts w:ascii="Gill Sans MT" w:hAnsi="Gill Sans MT" w:cs="GillSans-Light"/>
                <w:sz w:val="20"/>
                <w:szCs w:val="20"/>
              </w:rPr>
              <w:t>2015)</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Dr Jarrad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Wilson et al</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Never underestimate inflammatory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bowel disease: High prevalence rates and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confirmation of high incidence rates in</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Gastroenterology and Hepatology</w:t>
            </w:r>
            <w:r>
              <w:rPr>
                <w:rFonts w:ascii="Gill Sans MT" w:hAnsi="Gill Sans MT" w:cs="GillSans-Light"/>
                <w:sz w:val="20"/>
                <w:szCs w:val="20"/>
              </w:rPr>
              <w:t xml:space="preserve"> </w:t>
            </w:r>
            <w:r w:rsidRPr="00AF6C53">
              <w:rPr>
                <w:rFonts w:ascii="Gill Sans MT" w:hAnsi="Gill Sans MT" w:cs="GillSans-Light"/>
                <w:sz w:val="20"/>
                <w:szCs w:val="20"/>
              </w:rPr>
              <w:t>2015; (Published online July 29)</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Deborah</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Wilson et al</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Regional universities and rural clinical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schools contribute to rural medical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workforce, a cohort study of 2002 to 2013</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graduates</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Rural and Remote Health 2015; 15 (3): 3219</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Leah Spencer</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Recruiting the next generation of rural</w:t>
            </w:r>
          </w:p>
          <w:p w:rsidR="00AF6C53" w:rsidRPr="00AF6C53" w:rsidRDefault="00AF6C53" w:rsidP="00AF6C53">
            <w:pPr>
              <w:autoSpaceDE w:val="0"/>
              <w:autoSpaceDN w:val="0"/>
              <w:adjustRightInd w:val="0"/>
              <w:rPr>
                <w:rFonts w:ascii="Gill Sans MT" w:hAnsi="Gill Sans MT" w:cs="GillSans-Light"/>
                <w:sz w:val="20"/>
                <w:szCs w:val="20"/>
              </w:rPr>
            </w:pPr>
            <w:proofErr w:type="gramStart"/>
            <w:r w:rsidRPr="00AF6C53">
              <w:rPr>
                <w:rFonts w:ascii="Gill Sans MT" w:hAnsi="Gill Sans MT" w:cs="GillSans-Light"/>
                <w:sz w:val="20"/>
                <w:szCs w:val="20"/>
              </w:rPr>
              <w:t>doctors</w:t>
            </w:r>
            <w:proofErr w:type="gramEnd"/>
            <w:r w:rsidRPr="00AF6C53">
              <w:rPr>
                <w:rFonts w:ascii="Gill Sans MT" w:hAnsi="Gill Sans MT" w:cs="GillSans-Light"/>
                <w:sz w:val="20"/>
                <w:szCs w:val="20"/>
              </w:rPr>
              <w:t xml:space="preserve"> should start in schools.</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RACGP Conference for General Practice,</w:t>
            </w:r>
            <w:r>
              <w:rPr>
                <w:rFonts w:ascii="Gill Sans MT" w:hAnsi="Gill Sans MT" w:cs="GillSans-Light"/>
                <w:sz w:val="20"/>
                <w:szCs w:val="20"/>
              </w:rPr>
              <w:t xml:space="preserve"> </w:t>
            </w:r>
            <w:r w:rsidRPr="00AF6C53">
              <w:rPr>
                <w:rFonts w:ascii="Gill Sans MT" w:hAnsi="Gill Sans MT" w:cs="GillSans-Light"/>
                <w:sz w:val="20"/>
                <w:szCs w:val="20"/>
              </w:rPr>
              <w:t>Melbourne 21-23 September</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Trish</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Banks</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Sheryl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Sim</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Unmet needs of newly diagnosed cancer</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patients in North West Tasmania</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 2015;</w:t>
            </w:r>
            <w:r>
              <w:rPr>
                <w:rFonts w:ascii="Gill Sans MT" w:hAnsi="Gill Sans MT" w:cs="GillSans-Light"/>
                <w:sz w:val="20"/>
                <w:szCs w:val="20"/>
              </w:rPr>
              <w:t xml:space="preserve"> </w:t>
            </w:r>
            <w:r w:rsidRPr="00AF6C53">
              <w:rPr>
                <w:rFonts w:ascii="Gill Sans MT" w:hAnsi="Gill Sans MT" w:cs="GillSans-Light"/>
                <w:sz w:val="20"/>
                <w:szCs w:val="20"/>
              </w:rPr>
              <w:t>11 (suppl 3);50 Abstract from The Medical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Oncology Group of Australia 2015 ASM</w:t>
            </w:r>
            <w:r>
              <w:rPr>
                <w:rFonts w:ascii="Gill Sans MT" w:hAnsi="Gill Sans MT" w:cs="GillSans-Light"/>
                <w:sz w:val="20"/>
                <w:szCs w:val="20"/>
              </w:rPr>
              <w:t xml:space="preserve"> </w:t>
            </w:r>
            <w:r w:rsidRPr="00AF6C53">
              <w:rPr>
                <w:rFonts w:ascii="Gill Sans MT" w:hAnsi="Gill Sans MT" w:cs="GillSans-Light"/>
                <w:sz w:val="20"/>
                <w:szCs w:val="20"/>
              </w:rPr>
              <w:t>Pathays on Medical Oncology – The Path Less</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Travelled, August 5-7 2015, Hobart</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Sanjay Dutta</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 Med V</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Student</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Sheryl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Sim</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Compliance with guidelines for the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management of febrile neutropenia</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 2015;</w:t>
            </w:r>
            <w:r>
              <w:rPr>
                <w:rFonts w:ascii="Gill Sans MT" w:hAnsi="Gill Sans MT" w:cs="GillSans-Light"/>
                <w:sz w:val="20"/>
                <w:szCs w:val="20"/>
              </w:rPr>
              <w:t xml:space="preserve"> </w:t>
            </w:r>
            <w:r w:rsidRPr="00AF6C53">
              <w:rPr>
                <w:rFonts w:ascii="Gill Sans MT" w:hAnsi="Gill Sans MT" w:cs="GillSans-Light"/>
                <w:sz w:val="20"/>
                <w:szCs w:val="20"/>
              </w:rPr>
              <w:t>11 (suppl 3): 53 Abstract from The Medical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Oncology Group of Australia 2015 ASM</w:t>
            </w:r>
            <w:r>
              <w:rPr>
                <w:rFonts w:ascii="Gill Sans MT" w:hAnsi="Gill Sans MT" w:cs="GillSans-Light"/>
                <w:sz w:val="20"/>
                <w:szCs w:val="20"/>
              </w:rPr>
              <w:t xml:space="preserve"> </w:t>
            </w:r>
            <w:r w:rsidRPr="00AF6C53">
              <w:rPr>
                <w:rFonts w:ascii="Gill Sans MT" w:hAnsi="Gill Sans MT" w:cs="GillSans-Light"/>
                <w:sz w:val="20"/>
                <w:szCs w:val="20"/>
              </w:rPr>
              <w:t>Pathays on Medical Oncology – The Path Less</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Travelled, August 5-7 2015, Hobart</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Mr Andrew</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Chappell</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The foot-health of adult diabetics in</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regional Australia: baseline findings from</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an epidemiological study</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Journal of Foot and Ankle Research, 2015; 8</w:t>
            </w:r>
            <w:r>
              <w:rPr>
                <w:rFonts w:ascii="Gill Sans MT" w:hAnsi="Gill Sans MT" w:cs="GillSans-Light"/>
                <w:sz w:val="20"/>
                <w:szCs w:val="20"/>
              </w:rPr>
              <w:t xml:space="preserve"> </w:t>
            </w:r>
            <w:r w:rsidRPr="00AF6C53">
              <w:rPr>
                <w:rFonts w:ascii="Gill Sans MT" w:hAnsi="Gill Sans MT" w:cs="GillSans-Light"/>
                <w:sz w:val="20"/>
                <w:szCs w:val="20"/>
              </w:rPr>
              <w:t>(suppl 2): O32 Abstract from the Australian</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Podiatry Conference, May 6-8 2015,</w:t>
            </w:r>
            <w:r>
              <w:rPr>
                <w:rFonts w:ascii="Gill Sans MT" w:hAnsi="Gill Sans MT" w:cs="GillSans-Light"/>
                <w:sz w:val="20"/>
                <w:szCs w:val="20"/>
              </w:rPr>
              <w:t xml:space="preserve"> </w:t>
            </w:r>
            <w:r w:rsidRPr="00AF6C53">
              <w:rPr>
                <w:rFonts w:ascii="Gill Sans MT" w:hAnsi="Gill Sans MT" w:cs="GillSans-Light"/>
                <w:sz w:val="20"/>
                <w:szCs w:val="20"/>
              </w:rPr>
              <w:t>Queensland</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Sheryl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Sim</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Evaluating a direct access colonoscopy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program for suspected colorectal cancer</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Asia-Pacific Journal of Clinical Oncology</w:t>
            </w:r>
            <w:r>
              <w:rPr>
                <w:rFonts w:ascii="Gill Sans MT" w:hAnsi="Gill Sans MT" w:cs="GillSans-Light"/>
                <w:sz w:val="20"/>
                <w:szCs w:val="20"/>
              </w:rPr>
              <w:t xml:space="preserve"> </w:t>
            </w:r>
            <w:r w:rsidRPr="00AF6C53">
              <w:rPr>
                <w:rFonts w:ascii="Gill Sans MT" w:hAnsi="Gill Sans MT" w:cs="GillSans-Light"/>
                <w:sz w:val="20"/>
                <w:szCs w:val="20"/>
              </w:rPr>
              <w:t>2015; 11 (suppl 4): 164. Abstract of poster</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presentation at COSA’s 42nd Annual Scientific</w:t>
            </w:r>
            <w:r>
              <w:rPr>
                <w:rFonts w:ascii="Gill Sans MT" w:hAnsi="Gill Sans MT" w:cs="GillSans-Light"/>
                <w:sz w:val="20"/>
                <w:szCs w:val="20"/>
              </w:rPr>
              <w:t xml:space="preserve"> </w:t>
            </w:r>
            <w:r w:rsidRPr="00AF6C53">
              <w:rPr>
                <w:rFonts w:ascii="Gill Sans MT" w:hAnsi="Gill Sans MT" w:cs="GillSans-Light"/>
                <w:sz w:val="20"/>
                <w:szCs w:val="20"/>
              </w:rPr>
              <w:t>Meeting ‘Rare Cancers: Common Goals’,</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November 17-19, 2015. Hobart</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Assoc Prof</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Heinrich</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Weber</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Clinical features and lung function in HIVinfected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children with chronic lung disease</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South African Journal of Child Health, 2015;</w:t>
            </w:r>
            <w:r>
              <w:rPr>
                <w:rFonts w:ascii="Gill Sans MT" w:hAnsi="Gill Sans MT" w:cs="GillSans-Light"/>
                <w:sz w:val="20"/>
                <w:szCs w:val="20"/>
              </w:rPr>
              <w:t xml:space="preserve"> </w:t>
            </w:r>
            <w:r w:rsidRPr="00AF6C53">
              <w:rPr>
                <w:rFonts w:ascii="Gill Sans MT" w:hAnsi="Gill Sans MT" w:cs="GillSans-Light"/>
                <w:sz w:val="20"/>
                <w:szCs w:val="20"/>
              </w:rPr>
              <w:t>9(3): 72-75</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Ms Denise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Parry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Marielle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Ruigrok</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Low-acuity presentations to regional</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emergency departments: What is the</w:t>
            </w:r>
          </w:p>
          <w:p w:rsidR="00AF6C53" w:rsidRPr="00AF6C53" w:rsidRDefault="00AF6C53" w:rsidP="00AF6C53">
            <w:pPr>
              <w:autoSpaceDE w:val="0"/>
              <w:autoSpaceDN w:val="0"/>
              <w:adjustRightInd w:val="0"/>
              <w:rPr>
                <w:rFonts w:ascii="Gill Sans MT" w:hAnsi="Gill Sans MT" w:cs="GillSans-Light"/>
                <w:sz w:val="20"/>
                <w:szCs w:val="20"/>
              </w:rPr>
            </w:pPr>
            <w:proofErr w:type="gramStart"/>
            <w:r w:rsidRPr="00AF6C53">
              <w:rPr>
                <w:rFonts w:ascii="Gill Sans MT" w:hAnsi="Gill Sans MT" w:cs="GillSans-Light"/>
                <w:sz w:val="20"/>
                <w:szCs w:val="20"/>
              </w:rPr>
              <w:t>issue</w:t>
            </w:r>
            <w:proofErr w:type="gramEnd"/>
            <w:r w:rsidRPr="00AF6C53">
              <w:rPr>
                <w:rFonts w:ascii="Gill Sans MT" w:hAnsi="Gill Sans MT" w:cs="GillSans-Light"/>
                <w:sz w:val="20"/>
                <w:szCs w:val="20"/>
              </w:rPr>
              <w:t>?</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Emergency Medicine Australasia, 2015;</w:t>
            </w:r>
            <w:r>
              <w:rPr>
                <w:rFonts w:ascii="Gill Sans MT" w:hAnsi="Gill Sans MT" w:cs="GillSans-Light"/>
                <w:sz w:val="20"/>
                <w:szCs w:val="20"/>
              </w:rPr>
              <w:t xml:space="preserve"> </w:t>
            </w:r>
            <w:r w:rsidRPr="00AF6C53">
              <w:rPr>
                <w:rFonts w:ascii="Gill Sans MT" w:hAnsi="Gill Sans MT" w:cs="GillSans-Light"/>
                <w:sz w:val="20"/>
                <w:szCs w:val="20"/>
              </w:rPr>
              <w:t>(published online December 28)</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Thiru</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Thirukkumaran</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2015</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Childhood bereavement: a case based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discussion and review of existing research</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evidence on the effectiveness and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shortcomings of current bereavement</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services in the UK</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Brunei Darussalam Journal of Health, 2015; 6(1):</w:t>
            </w:r>
            <w:r>
              <w:rPr>
                <w:rFonts w:ascii="Gill Sans MT" w:hAnsi="Gill Sans MT" w:cs="GillSans-Light"/>
                <w:sz w:val="20"/>
                <w:szCs w:val="20"/>
              </w:rPr>
              <w:t xml:space="preserve"> </w:t>
            </w:r>
            <w:r w:rsidRPr="00AF6C53">
              <w:rPr>
                <w:rFonts w:ascii="Gill Sans MT" w:hAnsi="Gill Sans MT" w:cs="GillSans-Light"/>
                <w:sz w:val="20"/>
                <w:szCs w:val="20"/>
              </w:rPr>
              <w:t>28-34</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Mrs Giuliana</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Murfet</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Diabetes Nurse Practitioner: converting</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practice into value</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Australian Nursing and Midwifery Journal, 2016;</w:t>
            </w:r>
            <w:r>
              <w:rPr>
                <w:rFonts w:ascii="Gill Sans MT" w:hAnsi="Gill Sans MT" w:cs="GillSans-Light"/>
                <w:sz w:val="20"/>
                <w:szCs w:val="20"/>
              </w:rPr>
              <w:t xml:space="preserve"> </w:t>
            </w:r>
            <w:r w:rsidRPr="00AF6C53">
              <w:rPr>
                <w:rFonts w:ascii="Gill Sans MT" w:hAnsi="Gill Sans MT" w:cs="GillSans-Light"/>
                <w:sz w:val="20"/>
                <w:szCs w:val="20"/>
              </w:rPr>
              <w:t>23(9): 41</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Wei How</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Lim</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Cerebral palsy: causes, pathways, and the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role of genetic variants</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American Journal of Obstetrics and</w:t>
            </w:r>
            <w:r>
              <w:rPr>
                <w:rFonts w:ascii="Gill Sans MT" w:hAnsi="Gill Sans MT" w:cs="GillSans-Light"/>
                <w:sz w:val="20"/>
                <w:szCs w:val="20"/>
              </w:rPr>
              <w:t xml:space="preserve"> </w:t>
            </w:r>
            <w:r w:rsidRPr="00AF6C53">
              <w:rPr>
                <w:rFonts w:ascii="Gill Sans MT" w:hAnsi="Gill Sans MT" w:cs="GillSans-Light"/>
                <w:sz w:val="20"/>
                <w:szCs w:val="20"/>
              </w:rPr>
              <w:t>Gynecology, 2016; 214(5): 670-71</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Wei How</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Lim</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Conservative management of morbidly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adherent placenta</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American Journal of Obstetrics and</w:t>
            </w:r>
            <w:r>
              <w:rPr>
                <w:rFonts w:ascii="Gill Sans MT" w:hAnsi="Gill Sans MT" w:cs="GillSans-Light"/>
                <w:sz w:val="20"/>
                <w:szCs w:val="20"/>
              </w:rPr>
              <w:t xml:space="preserve"> </w:t>
            </w:r>
            <w:r w:rsidRPr="00AF6C53">
              <w:rPr>
                <w:rFonts w:ascii="Gill Sans MT" w:hAnsi="Gill Sans MT" w:cs="GillSans-Light"/>
                <w:sz w:val="20"/>
                <w:szCs w:val="20"/>
              </w:rPr>
              <w:t>Gynecology, 2016; (published online April 16)</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lastRenderedPageBreak/>
              <w:t>Dr Jarrad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Wilson</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Relations between symptom severity,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illness perceptions, visceral sensitivity,</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coping strategies and well-being in irritable</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bowel syndrome guided by the common</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sense model of illness</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Psychology, Health &amp; Medicine, 2016;</w:t>
            </w:r>
            <w:r>
              <w:rPr>
                <w:rFonts w:ascii="Gill Sans MT" w:hAnsi="Gill Sans MT" w:cs="GillSans-Light"/>
                <w:sz w:val="20"/>
                <w:szCs w:val="20"/>
              </w:rPr>
              <w:t xml:space="preserve"> </w:t>
            </w:r>
            <w:r w:rsidRPr="00AF6C53">
              <w:rPr>
                <w:rFonts w:ascii="Gill Sans MT" w:hAnsi="Gill Sans MT" w:cs="GillSans-Light"/>
                <w:sz w:val="20"/>
                <w:szCs w:val="20"/>
              </w:rPr>
              <w:t>(Published online April 4)</w:t>
            </w:r>
          </w:p>
        </w:tc>
      </w:tr>
      <w:tr w:rsidR="00AF6C53" w:rsidRPr="00AF6C53" w:rsidTr="00D34FCB">
        <w:tc>
          <w:tcPr>
            <w:tcW w:w="2570"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Dr Jarrad</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Wilson</w:t>
            </w:r>
          </w:p>
        </w:tc>
        <w:tc>
          <w:tcPr>
            <w:tcW w:w="1082" w:type="dxa"/>
          </w:tcPr>
          <w:p w:rsidR="00AF6C53" w:rsidRPr="00AF6C53" w:rsidRDefault="00AF6C53" w:rsidP="00AF6C53">
            <w:pPr>
              <w:rPr>
                <w:rFonts w:ascii="Gill Sans MT" w:hAnsi="Gill Sans MT" w:cs="GillSans-Light"/>
                <w:sz w:val="20"/>
                <w:szCs w:val="20"/>
              </w:rPr>
            </w:pPr>
            <w:r w:rsidRPr="00AF6C53">
              <w:rPr>
                <w:rFonts w:ascii="Gill Sans MT" w:hAnsi="Gill Sans MT" w:cs="GillSans-Light"/>
                <w:sz w:val="20"/>
                <w:szCs w:val="20"/>
              </w:rPr>
              <w:t>2016</w:t>
            </w:r>
          </w:p>
        </w:tc>
        <w:tc>
          <w:tcPr>
            <w:tcW w:w="4111"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Influence of food and lifestyle on the risk</w:t>
            </w:r>
          </w:p>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of developing Inflammatory Bowel Disease</w:t>
            </w:r>
          </w:p>
        </w:tc>
        <w:tc>
          <w:tcPr>
            <w:tcW w:w="2518" w:type="dxa"/>
          </w:tcPr>
          <w:p w:rsidR="00AF6C53" w:rsidRPr="00AF6C53" w:rsidRDefault="00AF6C53" w:rsidP="00AF6C53">
            <w:pPr>
              <w:autoSpaceDE w:val="0"/>
              <w:autoSpaceDN w:val="0"/>
              <w:adjustRightInd w:val="0"/>
              <w:rPr>
                <w:rFonts w:ascii="Gill Sans MT" w:hAnsi="Gill Sans MT" w:cs="GillSans-Light"/>
                <w:sz w:val="20"/>
                <w:szCs w:val="20"/>
              </w:rPr>
            </w:pPr>
            <w:r w:rsidRPr="00AF6C53">
              <w:rPr>
                <w:rFonts w:ascii="Gill Sans MT" w:hAnsi="Gill Sans MT" w:cs="GillSans-Light"/>
                <w:sz w:val="20"/>
                <w:szCs w:val="20"/>
              </w:rPr>
              <w:t>Internal Medicine Journal, 2016; (Published</w:t>
            </w:r>
            <w:r>
              <w:rPr>
                <w:rFonts w:ascii="Gill Sans MT" w:hAnsi="Gill Sans MT" w:cs="GillSans-Light"/>
                <w:sz w:val="20"/>
                <w:szCs w:val="20"/>
              </w:rPr>
              <w:t xml:space="preserve"> </w:t>
            </w:r>
            <w:r w:rsidRPr="00AF6C53">
              <w:rPr>
                <w:rFonts w:ascii="Gill Sans MT" w:hAnsi="Gill Sans MT" w:cs="GillSans-Light"/>
                <w:sz w:val="20"/>
                <w:szCs w:val="20"/>
              </w:rPr>
              <w:t>online April 5)</w:t>
            </w:r>
          </w:p>
        </w:tc>
      </w:tr>
    </w:tbl>
    <w:p w:rsidR="00D34FCB" w:rsidRDefault="00D34FCB" w:rsidP="00D34FCB"/>
    <w:p w:rsidR="00AF6C53" w:rsidRDefault="00AF6C53" w:rsidP="00D34FCB">
      <w:r>
        <w:t>Journal Articles, Books and Book Chapters by THS-South</w:t>
      </w:r>
    </w:p>
    <w:tbl>
      <w:tblPr>
        <w:tblStyle w:val="TableGrid"/>
        <w:tblW w:w="0" w:type="auto"/>
        <w:tblLook w:val="04A0" w:firstRow="1" w:lastRow="0" w:firstColumn="1" w:lastColumn="0" w:noHBand="0" w:noVBand="1"/>
        <w:tblCaption w:val="Publications"/>
        <w:tblDescription w:val="Journal Articles, Books and Book Chapters by THS-South"/>
      </w:tblPr>
      <w:tblGrid>
        <w:gridCol w:w="2570"/>
        <w:gridCol w:w="1082"/>
        <w:gridCol w:w="4111"/>
        <w:gridCol w:w="2518"/>
      </w:tblGrid>
      <w:tr w:rsidR="00AF6C53" w:rsidRPr="007F3F86" w:rsidTr="00AF6C53">
        <w:trPr>
          <w:tblHeader/>
        </w:trPr>
        <w:tc>
          <w:tcPr>
            <w:tcW w:w="2570" w:type="dxa"/>
          </w:tcPr>
          <w:p w:rsidR="00AF6C53" w:rsidRPr="007F3F86" w:rsidRDefault="00AF6C53" w:rsidP="00AF6C53">
            <w:pPr>
              <w:rPr>
                <w:rFonts w:ascii="Gill Sans MT" w:hAnsi="Gill Sans MT"/>
                <w:b/>
              </w:rPr>
            </w:pPr>
            <w:r w:rsidRPr="007F3F86">
              <w:rPr>
                <w:rFonts w:ascii="Gill Sans MT" w:hAnsi="Gill Sans MT"/>
                <w:b/>
              </w:rPr>
              <w:t>Author, Unit or Area</w:t>
            </w:r>
          </w:p>
        </w:tc>
        <w:tc>
          <w:tcPr>
            <w:tcW w:w="1082" w:type="dxa"/>
          </w:tcPr>
          <w:p w:rsidR="00AF6C53" w:rsidRPr="007F3F86" w:rsidRDefault="00AF6C53" w:rsidP="00AF6C53">
            <w:pPr>
              <w:rPr>
                <w:rFonts w:ascii="Gill Sans MT" w:hAnsi="Gill Sans MT"/>
                <w:b/>
              </w:rPr>
            </w:pPr>
            <w:r w:rsidRPr="007F3F86">
              <w:rPr>
                <w:rFonts w:ascii="Gill Sans MT" w:hAnsi="Gill Sans MT"/>
                <w:b/>
              </w:rPr>
              <w:t>Year</w:t>
            </w:r>
          </w:p>
        </w:tc>
        <w:tc>
          <w:tcPr>
            <w:tcW w:w="4111" w:type="dxa"/>
          </w:tcPr>
          <w:p w:rsidR="00AF6C53" w:rsidRPr="007F3F86" w:rsidRDefault="00AF6C53" w:rsidP="00AF6C53">
            <w:pPr>
              <w:rPr>
                <w:rFonts w:ascii="Gill Sans MT" w:hAnsi="Gill Sans MT"/>
                <w:b/>
              </w:rPr>
            </w:pPr>
            <w:r w:rsidRPr="007F3F86">
              <w:rPr>
                <w:rFonts w:ascii="Gill Sans MT" w:hAnsi="Gill Sans MT"/>
                <w:b/>
              </w:rPr>
              <w:t>Title</w:t>
            </w:r>
          </w:p>
        </w:tc>
        <w:tc>
          <w:tcPr>
            <w:tcW w:w="2518" w:type="dxa"/>
          </w:tcPr>
          <w:p w:rsidR="00AF6C53" w:rsidRPr="007F3F86" w:rsidRDefault="00AF6C53" w:rsidP="00AF6C53">
            <w:pPr>
              <w:rPr>
                <w:rFonts w:ascii="Gill Sans MT" w:hAnsi="Gill Sans MT"/>
                <w:b/>
              </w:rPr>
            </w:pPr>
            <w:r w:rsidRPr="007F3F86">
              <w:rPr>
                <w:rFonts w:ascii="Gill Sans MT" w:hAnsi="Gill Sans MT"/>
                <w:b/>
              </w:rPr>
              <w:t>Publication</w:t>
            </w:r>
          </w:p>
        </w:tc>
      </w:tr>
      <w:tr w:rsidR="00AF6C53" w:rsidRPr="007F3F86" w:rsidTr="00AF6C53">
        <w:tc>
          <w:tcPr>
            <w:tcW w:w="2570" w:type="dxa"/>
          </w:tcPr>
          <w:p w:rsidR="00895556" w:rsidRPr="007F3F86" w:rsidRDefault="00895556" w:rsidP="00895556">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Ambrose M, Malley RC, Warren SJ, Beggs SA, Swallow OF,</w:t>
            </w:r>
          </w:p>
          <w:p w:rsidR="00AF6C53" w:rsidRPr="007F3F86" w:rsidRDefault="00895556" w:rsidP="00895556">
            <w:pPr>
              <w:rPr>
                <w:rFonts w:ascii="Gill Sans MT" w:hAnsi="Gill Sans MT"/>
              </w:rPr>
            </w:pPr>
            <w:r w:rsidRPr="007F3F86">
              <w:rPr>
                <w:rFonts w:ascii="Gill Sans MT" w:hAnsi="Gill Sans MT" w:cs="GillSans-Light"/>
                <w:sz w:val="20"/>
                <w:szCs w:val="20"/>
              </w:rPr>
              <w:t>McEwan B, Stock D, Roddam LF</w:t>
            </w:r>
          </w:p>
        </w:tc>
        <w:tc>
          <w:tcPr>
            <w:tcW w:w="1082" w:type="dxa"/>
          </w:tcPr>
          <w:p w:rsidR="00AF6C53" w:rsidRPr="007F3F86" w:rsidRDefault="00895556" w:rsidP="00AF6C53">
            <w:pPr>
              <w:rPr>
                <w:rFonts w:ascii="Gill Sans MT" w:hAnsi="Gill Sans MT"/>
              </w:rPr>
            </w:pPr>
            <w:r w:rsidRPr="007F3F86">
              <w:rPr>
                <w:rFonts w:ascii="Gill Sans MT" w:hAnsi="Gill Sans MT"/>
              </w:rPr>
              <w:t>2016</w:t>
            </w:r>
          </w:p>
        </w:tc>
        <w:tc>
          <w:tcPr>
            <w:tcW w:w="4111" w:type="dxa"/>
          </w:tcPr>
          <w:p w:rsidR="00AF6C53" w:rsidRPr="007F3F86" w:rsidRDefault="00895556" w:rsidP="00895556">
            <w:pPr>
              <w:autoSpaceDE w:val="0"/>
              <w:autoSpaceDN w:val="0"/>
              <w:adjustRightInd w:val="0"/>
              <w:rPr>
                <w:rFonts w:ascii="Gill Sans MT" w:hAnsi="Gill Sans MT"/>
              </w:rPr>
            </w:pPr>
            <w:r w:rsidRPr="007F3F86">
              <w:rPr>
                <w:rFonts w:ascii="Gill Sans MT" w:hAnsi="Gill Sans MT" w:cs="GillSans-Light"/>
                <w:sz w:val="20"/>
                <w:szCs w:val="20"/>
              </w:rPr>
              <w:t>Pandoraea pnomenusa Isolated from an Australian Patient with Cystic Fibrosis.</w:t>
            </w:r>
          </w:p>
        </w:tc>
        <w:tc>
          <w:tcPr>
            <w:tcW w:w="2518" w:type="dxa"/>
          </w:tcPr>
          <w:p w:rsidR="00895556" w:rsidRPr="007F3F86" w:rsidRDefault="00895556" w:rsidP="00895556">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Frontiers In Microbiology [Front</w:t>
            </w:r>
            <w:r w:rsidR="00AC5E4B" w:rsidRPr="007F3F86">
              <w:rPr>
                <w:rFonts w:ascii="Gill Sans MT" w:hAnsi="Gill Sans MT" w:cs="GillSans-Light"/>
                <w:sz w:val="20"/>
                <w:szCs w:val="20"/>
              </w:rPr>
              <w:t xml:space="preserve"> </w:t>
            </w:r>
            <w:r w:rsidRPr="007F3F86">
              <w:rPr>
                <w:rFonts w:ascii="Gill Sans MT" w:hAnsi="Gill Sans MT" w:cs="GillSans-Light"/>
                <w:sz w:val="20"/>
                <w:szCs w:val="20"/>
              </w:rPr>
              <w:t>Microbiol] 2016 May 11; Vol. 7, pp.</w:t>
            </w:r>
            <w:r w:rsidR="00AC5E4B" w:rsidRPr="007F3F86">
              <w:rPr>
                <w:rFonts w:ascii="Gill Sans MT" w:hAnsi="Gill Sans MT" w:cs="GillSans-Light"/>
                <w:sz w:val="20"/>
                <w:szCs w:val="20"/>
              </w:rPr>
              <w:t xml:space="preserve"> </w:t>
            </w:r>
            <w:r w:rsidRPr="007F3F86">
              <w:rPr>
                <w:rFonts w:ascii="Gill Sans MT" w:hAnsi="Gill Sans MT" w:cs="GillSans-Light"/>
                <w:sz w:val="20"/>
                <w:szCs w:val="20"/>
              </w:rPr>
              <w:t>692. Date of Electronic Publication:</w:t>
            </w:r>
          </w:p>
          <w:p w:rsidR="00AF6C53" w:rsidRPr="007F3F86" w:rsidRDefault="00895556" w:rsidP="00895556">
            <w:pPr>
              <w:autoSpaceDE w:val="0"/>
              <w:autoSpaceDN w:val="0"/>
              <w:adjustRightInd w:val="0"/>
              <w:rPr>
                <w:rFonts w:ascii="Gill Sans MT" w:hAnsi="Gill Sans MT"/>
              </w:rPr>
            </w:pPr>
            <w:r w:rsidRPr="007F3F86">
              <w:rPr>
                <w:rFonts w:ascii="Gill Sans MT" w:hAnsi="Gill Sans MT" w:cs="GillSans-Light"/>
                <w:sz w:val="20"/>
                <w:szCs w:val="20"/>
              </w:rPr>
              <w:t>20160511 (Print Publication: 2016).</w:t>
            </w:r>
          </w:p>
        </w:tc>
      </w:tr>
      <w:tr w:rsidR="00AF6C53" w:rsidRPr="007F3F86" w:rsidTr="00AF6C53">
        <w:tc>
          <w:tcPr>
            <w:tcW w:w="2570" w:type="dxa"/>
          </w:tcPr>
          <w:p w:rsidR="00AF6C53" w:rsidRPr="007F3F86" w:rsidRDefault="00AC5E4B" w:rsidP="00AC5E4B">
            <w:pPr>
              <w:autoSpaceDE w:val="0"/>
              <w:autoSpaceDN w:val="0"/>
              <w:adjustRightInd w:val="0"/>
              <w:rPr>
                <w:rFonts w:ascii="Gill Sans MT" w:hAnsi="Gill Sans MT"/>
              </w:rPr>
            </w:pPr>
            <w:r w:rsidRPr="007F3F86">
              <w:rPr>
                <w:rFonts w:ascii="Gill Sans MT" w:hAnsi="Gill Sans MT" w:cs="GillSans-Light"/>
                <w:sz w:val="20"/>
                <w:szCs w:val="20"/>
              </w:rPr>
              <w:t>Antony B, Venn A, Cicuttini F, March L, Blizzard L, Dwyer T, Halliday A, Cross M, Jones G, Ding C</w:t>
            </w:r>
          </w:p>
        </w:tc>
        <w:tc>
          <w:tcPr>
            <w:tcW w:w="1082" w:type="dxa"/>
          </w:tcPr>
          <w:p w:rsidR="00AF6C53" w:rsidRPr="007F3F86" w:rsidRDefault="00AC5E4B" w:rsidP="00AF6C53">
            <w:pPr>
              <w:rPr>
                <w:rFonts w:ascii="Gill Sans MT" w:hAnsi="Gill Sans MT"/>
              </w:rPr>
            </w:pPr>
            <w:r w:rsidRPr="007F3F86">
              <w:rPr>
                <w:rFonts w:ascii="Gill Sans MT" w:hAnsi="Gill Sans MT"/>
              </w:rPr>
              <w:t>2016</w:t>
            </w:r>
          </w:p>
        </w:tc>
        <w:tc>
          <w:tcPr>
            <w:tcW w:w="4111" w:type="dxa"/>
          </w:tcPr>
          <w:p w:rsidR="00AF6C53" w:rsidRPr="007F3F86" w:rsidRDefault="00AC5E4B" w:rsidP="00AC5E4B">
            <w:pPr>
              <w:autoSpaceDE w:val="0"/>
              <w:autoSpaceDN w:val="0"/>
              <w:adjustRightInd w:val="0"/>
              <w:rPr>
                <w:rFonts w:ascii="Gill Sans MT" w:hAnsi="Gill Sans MT"/>
              </w:rPr>
            </w:pPr>
            <w:r w:rsidRPr="007F3F86">
              <w:rPr>
                <w:rFonts w:ascii="Gill Sans MT" w:hAnsi="Gill Sans MT" w:cs="GillSans-Light"/>
                <w:sz w:val="20"/>
                <w:szCs w:val="20"/>
              </w:rPr>
              <w:t>Correlates of knee bone marrow lesions in younger adults.</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Arthritis Research &amp; Therapy [Arthritis Res Ther] 2016 Jan 26;</w:t>
            </w:r>
          </w:p>
          <w:p w:rsidR="00AF6C53" w:rsidRPr="007F3F86" w:rsidRDefault="00AC5E4B" w:rsidP="00AC5E4B">
            <w:pPr>
              <w:autoSpaceDE w:val="0"/>
              <w:autoSpaceDN w:val="0"/>
              <w:adjustRightInd w:val="0"/>
              <w:rPr>
                <w:rFonts w:ascii="Gill Sans MT" w:hAnsi="Gill Sans MT"/>
              </w:rPr>
            </w:pPr>
            <w:r w:rsidRPr="007F3F86">
              <w:rPr>
                <w:rFonts w:ascii="Gill Sans MT" w:hAnsi="Gill Sans MT" w:cs="GillSans-Light"/>
                <w:sz w:val="20"/>
                <w:szCs w:val="20"/>
              </w:rPr>
              <w:t>Vol. 18, pp. 31. Date of Electronic Publication: 2016 Jan 26.</w:t>
            </w:r>
          </w:p>
        </w:tc>
      </w:tr>
      <w:tr w:rsidR="00AF6C53" w:rsidRPr="007F3F86" w:rsidTr="00AF6C53">
        <w:tc>
          <w:tcPr>
            <w:tcW w:w="2570" w:type="dxa"/>
          </w:tcPr>
          <w:p w:rsidR="00AF6C53" w:rsidRPr="007F3F86" w:rsidRDefault="00AC5E4B" w:rsidP="00AF6C53">
            <w:pPr>
              <w:rPr>
                <w:rFonts w:ascii="Gill Sans MT" w:hAnsi="Gill Sans MT"/>
              </w:rPr>
            </w:pPr>
            <w:r w:rsidRPr="007F3F86">
              <w:rPr>
                <w:rFonts w:ascii="Gill Sans MT" w:hAnsi="Gill Sans MT" w:cs="GillSans-Light"/>
                <w:sz w:val="20"/>
                <w:szCs w:val="20"/>
              </w:rPr>
              <w:t>Awad R, Nott L</w:t>
            </w:r>
          </w:p>
        </w:tc>
        <w:tc>
          <w:tcPr>
            <w:tcW w:w="1082" w:type="dxa"/>
          </w:tcPr>
          <w:p w:rsidR="00AF6C53" w:rsidRPr="007F3F86" w:rsidRDefault="00AC5E4B" w:rsidP="00AF6C53">
            <w:pPr>
              <w:rPr>
                <w:rFonts w:ascii="Gill Sans MT" w:hAnsi="Gill Sans MT"/>
              </w:rPr>
            </w:pPr>
            <w:r w:rsidRPr="007F3F86">
              <w:rPr>
                <w:rFonts w:ascii="Gill Sans MT" w:hAnsi="Gill Sans MT"/>
              </w:rPr>
              <w:t>2016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Radiation recall pneumonitis induced by erlotinib after palliative thoracic radiotherapy</w:t>
            </w:r>
          </w:p>
          <w:p w:rsidR="00AF6C53" w:rsidRPr="007F3F86" w:rsidRDefault="00AC5E4B" w:rsidP="00AC5E4B">
            <w:pPr>
              <w:autoSpaceDE w:val="0"/>
              <w:autoSpaceDN w:val="0"/>
              <w:adjustRightInd w:val="0"/>
              <w:rPr>
                <w:rFonts w:ascii="Gill Sans MT" w:hAnsi="Gill Sans MT"/>
              </w:rPr>
            </w:pPr>
            <w:proofErr w:type="gramStart"/>
            <w:r w:rsidRPr="007F3F86">
              <w:rPr>
                <w:rFonts w:ascii="Gill Sans MT" w:hAnsi="Gill Sans MT" w:cs="GillSans-Light"/>
                <w:sz w:val="20"/>
                <w:szCs w:val="20"/>
              </w:rPr>
              <w:t>for</w:t>
            </w:r>
            <w:proofErr w:type="gramEnd"/>
            <w:r w:rsidRPr="007F3F86">
              <w:rPr>
                <w:rFonts w:ascii="Gill Sans MT" w:hAnsi="Gill Sans MT" w:cs="GillSans-Light"/>
                <w:sz w:val="20"/>
                <w:szCs w:val="20"/>
              </w:rPr>
              <w:t xml:space="preserve"> lung cancer: Case report and literature review.</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Asia-Pacific Journal Of Clinical Oncology [Asia Pac J Clin Oncol] 2016</w:t>
            </w:r>
          </w:p>
          <w:p w:rsidR="00AF6C53" w:rsidRPr="007F3F86" w:rsidRDefault="00AC5E4B" w:rsidP="00AC5E4B">
            <w:pPr>
              <w:autoSpaceDE w:val="0"/>
              <w:autoSpaceDN w:val="0"/>
              <w:adjustRightInd w:val="0"/>
              <w:rPr>
                <w:rFonts w:ascii="Gill Sans MT" w:hAnsi="Gill Sans MT"/>
              </w:rPr>
            </w:pPr>
            <w:r w:rsidRPr="007F3F86">
              <w:rPr>
                <w:rFonts w:ascii="Gill Sans MT" w:hAnsi="Gill Sans MT" w:cs="GillSans-Light"/>
                <w:sz w:val="20"/>
                <w:szCs w:val="20"/>
              </w:rPr>
              <w:t>Mar; Vol. 12 (1), pp. 91-5. Date of Electronic Publication: 2016 Feb 05.</w:t>
            </w:r>
          </w:p>
        </w:tc>
      </w:tr>
      <w:tr w:rsidR="00AF6C53"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Baines CR, McGuiness W,</w:t>
            </w:r>
          </w:p>
          <w:p w:rsidR="00AF6C53" w:rsidRPr="007F3F86" w:rsidRDefault="00AC5E4B" w:rsidP="00AC5E4B">
            <w:pPr>
              <w:rPr>
                <w:rFonts w:ascii="Gill Sans MT" w:hAnsi="Gill Sans MT" w:cs="GillSans-Light"/>
                <w:sz w:val="20"/>
                <w:szCs w:val="20"/>
              </w:rPr>
            </w:pPr>
            <w:r w:rsidRPr="007F3F86">
              <w:rPr>
                <w:rFonts w:ascii="Gill Sans MT" w:hAnsi="Gill Sans MT" w:cs="GillSans-Light"/>
                <w:sz w:val="20"/>
                <w:szCs w:val="20"/>
              </w:rPr>
              <w:t>O’Rourke GA,</w:t>
            </w:r>
          </w:p>
        </w:tc>
        <w:tc>
          <w:tcPr>
            <w:tcW w:w="1082" w:type="dxa"/>
          </w:tcPr>
          <w:p w:rsidR="00AF6C53" w:rsidRPr="007F3F86" w:rsidRDefault="00AC5E4B" w:rsidP="00AF6C53">
            <w:pPr>
              <w:rPr>
                <w:rFonts w:ascii="Gill Sans MT" w:hAnsi="Gill Sans MT"/>
              </w:rPr>
            </w:pPr>
            <w:r w:rsidRPr="007F3F86">
              <w:rPr>
                <w:rFonts w:ascii="Gill Sans MT" w:hAnsi="Gill Sans MT"/>
              </w:rPr>
              <w:t>2016</w:t>
            </w:r>
          </w:p>
        </w:tc>
        <w:tc>
          <w:tcPr>
            <w:tcW w:w="4111" w:type="dxa"/>
          </w:tcPr>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 integrative review of skin assessment tools used to evaluate skin injury related to external beam radiation therapy.</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Nursing [J Clin Nurs] 2016 Jun 20. Date of Electronic</w:t>
            </w:r>
          </w:p>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Jun 20.</w:t>
            </w:r>
          </w:p>
        </w:tc>
      </w:tr>
      <w:tr w:rsidR="00AF6C53" w:rsidRPr="007F3F86" w:rsidTr="00AF6C53">
        <w:tc>
          <w:tcPr>
            <w:tcW w:w="2570" w:type="dxa"/>
          </w:tcPr>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Bereznicki BJ, Beggs S, Duff C, Bereznicki L</w:t>
            </w:r>
          </w:p>
        </w:tc>
        <w:tc>
          <w:tcPr>
            <w:tcW w:w="1082" w:type="dxa"/>
          </w:tcPr>
          <w:p w:rsidR="00AF6C53" w:rsidRPr="007F3F86" w:rsidRDefault="00AC5E4B" w:rsidP="00AF6C53">
            <w:pPr>
              <w:rPr>
                <w:rFonts w:ascii="Gill Sans MT" w:hAnsi="Gill Sans MT"/>
              </w:rPr>
            </w:pPr>
            <w:r w:rsidRPr="007F3F86">
              <w:rPr>
                <w:rFonts w:ascii="Gill Sans MT" w:hAnsi="Gill Sans MT"/>
              </w:rPr>
              <w:t>2016</w:t>
            </w:r>
          </w:p>
        </w:tc>
        <w:tc>
          <w:tcPr>
            <w:tcW w:w="4111" w:type="dxa"/>
          </w:tcPr>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Adherence to management guidelines for childhood asthma in Australia.</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Australian Family Physician (AUST FAM  HYSICIAN), Dec2015; 44(12):</w:t>
            </w:r>
          </w:p>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933-938. (6p)</w:t>
            </w:r>
          </w:p>
        </w:tc>
      </w:tr>
      <w:tr w:rsidR="00AF6C53"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Bonar R, Favaloro EJ,</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Mohammed S, Ahuja M, Pasalic</w:t>
            </w:r>
          </w:p>
          <w:p w:rsidR="00AF6C53" w:rsidRPr="007F3F86" w:rsidRDefault="00AC5E4B" w:rsidP="00AC5E4B">
            <w:pPr>
              <w:rPr>
                <w:rFonts w:ascii="Gill Sans MT" w:hAnsi="Gill Sans MT" w:cs="GillSans-Light"/>
                <w:sz w:val="20"/>
                <w:szCs w:val="20"/>
              </w:rPr>
            </w:pPr>
            <w:r w:rsidRPr="007F3F86">
              <w:rPr>
                <w:rFonts w:ascii="Gill Sans MT" w:hAnsi="Gill Sans MT" w:cs="GillSans-Light"/>
                <w:sz w:val="20"/>
                <w:szCs w:val="20"/>
              </w:rPr>
              <w:t>L, Sioufi J, Marsden K</w:t>
            </w:r>
          </w:p>
        </w:tc>
        <w:tc>
          <w:tcPr>
            <w:tcW w:w="1082" w:type="dxa"/>
          </w:tcPr>
          <w:p w:rsidR="00AF6C53"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effect of the direct factor Xa inhibitors apixaban and rivaroxaban on haemostasis tests: a comprehensive assessment using in vitro and</w:t>
            </w:r>
          </w:p>
          <w:p w:rsidR="00AF6C53" w:rsidRPr="007F3F86" w:rsidRDefault="00AC5E4B" w:rsidP="00AC5E4B">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ex</w:t>
            </w:r>
            <w:proofErr w:type="gramEnd"/>
            <w:r w:rsidRPr="007F3F86">
              <w:rPr>
                <w:rFonts w:ascii="Gill Sans MT" w:hAnsi="Gill Sans MT" w:cs="GillSans-Light"/>
                <w:sz w:val="20"/>
                <w:szCs w:val="20"/>
              </w:rPr>
              <w:t xml:space="preserve"> vivo samples.</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Pathology [Pathology] 2016 Jan; Vol. 48 (1), pp. 60-71. Date of Electronic</w:t>
            </w:r>
          </w:p>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Dec 17.</w:t>
            </w:r>
          </w:p>
        </w:tc>
      </w:tr>
      <w:tr w:rsidR="00AF6C53" w:rsidRPr="007F3F86" w:rsidTr="00AF6C53">
        <w:tc>
          <w:tcPr>
            <w:tcW w:w="2570" w:type="dxa"/>
          </w:tcPr>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Byrns G, Foong YC, Green M, Zargari A, Siddique R, Tan V, Brain T, Ogden K</w:t>
            </w:r>
          </w:p>
        </w:tc>
        <w:tc>
          <w:tcPr>
            <w:tcW w:w="1082" w:type="dxa"/>
          </w:tcPr>
          <w:p w:rsidR="00AF6C53"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Mobile Phones as a Potential Vehicle of Infection in a Hospital Setting.</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Occupational &amp;</w:t>
            </w:r>
          </w:p>
          <w:p w:rsidR="00AF6C53"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Environmental Hygiene (J OCCUP ENVIRON HYG), Oct2015; 12(10): D232-D235. (0p)</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Cleland H, Greenwood JE,</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Wood FM, Read DJ, She RW,</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Maitz P, Castley A, Vandervord</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JG, Simcock J, Adams CD,</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Gabbe BJ</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The Burns Registry of Australia and New Zealand: progressing the evidence basefor </w:t>
            </w:r>
            <w:proofErr w:type="gramStart"/>
            <w:r w:rsidRPr="007F3F86">
              <w:rPr>
                <w:rFonts w:ascii="Gill Sans MT" w:hAnsi="Gill Sans MT" w:cs="GillSans-Light"/>
                <w:sz w:val="20"/>
                <w:szCs w:val="20"/>
              </w:rPr>
              <w:t>burn  care</w:t>
            </w:r>
            <w:proofErr w:type="gramEnd"/>
            <w:r w:rsidRPr="007F3F86">
              <w:rPr>
                <w:rFonts w:ascii="Gill Sans MT" w:hAnsi="Gill Sans MT" w:cs="GillSans-Light"/>
                <w:sz w:val="20"/>
                <w:szCs w:val="20"/>
              </w:rPr>
              <w:t>.</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Medical Journal of Australia (MED J AUST), 3/21/2016; 204(5): 195.e1-195. e7. (7p)</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Conduit C, Harle R, Jones DL</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Non-ketotic hyperglycaemia causing occipital</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seizures and persistent microhaemorrhages:</w:t>
            </w:r>
          </w:p>
          <w:p w:rsidR="00AC5E4B" w:rsidRPr="007F3F86" w:rsidRDefault="00AC5E4B" w:rsidP="00AC5E4B">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mechanisms</w:t>
            </w:r>
            <w:proofErr w:type="gramEnd"/>
            <w:r w:rsidRPr="007F3F86">
              <w:rPr>
                <w:rFonts w:ascii="Gill Sans MT" w:hAnsi="Gill Sans MT" w:cs="GillSans-Light"/>
                <w:sz w:val="20"/>
                <w:szCs w:val="20"/>
              </w:rPr>
              <w:t xml:space="preserve"> of focal deficits in hyperglycaemia.</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Internal Medicine Journal [Intern Med J] 2016 May; Vol. 46 (5), pp. 634-5.</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Cooper PD, Smart DR</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Hyperbaric oxygen therapy for osteoradionecrosis.</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Diving And Hyperbaric Medicine [Diving Hyperb Med] 2016 Mar; Vol. 46 (1), </w:t>
            </w:r>
            <w:r w:rsidRPr="007F3F86">
              <w:rPr>
                <w:rFonts w:ascii="Gill Sans MT" w:hAnsi="Gill Sans MT" w:cs="GillSans-Light"/>
                <w:sz w:val="20"/>
                <w:szCs w:val="20"/>
              </w:rPr>
              <w:lastRenderedPageBreak/>
              <w:t>pp. 56-7.</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Courtney-Pratt H, Ford K,</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Marlow A</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Evaluating, understanding and improving the quality of clinical placements for undergraduate nurses: A practice development approach.</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Nurse Education In Practice [Nurse Educ Pract] 2015 Nov; Vol. 15 (6), pp.</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512-6. Date of Electronic Publication: 2015 Jul 26.</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Dargaville P</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CPAP, Surfactant, or Both for the Preterm Infant: Resolving the Dilemma.</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 JAMA Pediatrics; (Chicago, Illinois)</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Aug2015; v.169 n.8, 715-717. (3p)</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Dargaville PA</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2106</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Inflammation in meconium aspiration syndrome-One of many heads of the hydra.</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Pediatric Pulmonology [Pediatr Pulmonol] 2016 Jun; Vol. 51 (6), pp.</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555-6. Date of Electronic Publication: 2016 Jan 15.</w:t>
            </w:r>
          </w:p>
        </w:tc>
      </w:tr>
      <w:tr w:rsidR="00AC5E4B" w:rsidRPr="007F3F86" w:rsidTr="00AF6C53">
        <w:tc>
          <w:tcPr>
            <w:tcW w:w="2570"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Dargaville PA, Lavizzari A,</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Padoin P, Black D, Zonneveld E,</w:t>
            </w:r>
            <w:r w:rsidR="00352FB9" w:rsidRPr="007F3F86">
              <w:rPr>
                <w:rFonts w:ascii="Gill Sans MT" w:hAnsi="Gill Sans MT" w:cs="GillSans-Light"/>
                <w:sz w:val="20"/>
                <w:szCs w:val="20"/>
              </w:rPr>
              <w:t xml:space="preserve"> </w:t>
            </w:r>
            <w:r w:rsidRPr="007F3F86">
              <w:rPr>
                <w:rFonts w:ascii="Gill Sans MT" w:hAnsi="Gill Sans MT" w:cs="GillSans-Light"/>
                <w:sz w:val="20"/>
                <w:szCs w:val="20"/>
              </w:rPr>
              <w:t>Perkins E, Sourial M, Rajapaksa</w:t>
            </w:r>
          </w:p>
          <w:p w:rsidR="00AC5E4B" w:rsidRPr="007F3F86" w:rsidRDefault="00AC5E4B"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AE, Davis PG, Hooper SB, Moss</w:t>
            </w:r>
            <w:r w:rsidR="00352FB9" w:rsidRPr="007F3F86">
              <w:rPr>
                <w:rFonts w:ascii="Gill Sans MT" w:hAnsi="Gill Sans MT" w:cs="GillSans-Light"/>
                <w:sz w:val="20"/>
                <w:szCs w:val="20"/>
              </w:rPr>
              <w:t xml:space="preserve"> </w:t>
            </w:r>
            <w:r w:rsidRPr="007F3F86">
              <w:rPr>
                <w:rFonts w:ascii="Gill Sans MT" w:hAnsi="Gill Sans MT" w:cs="GillSans-Light"/>
                <w:sz w:val="20"/>
                <w:szCs w:val="20"/>
              </w:rPr>
              <w:t>TJ, Polglase GR, Tingay DG</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 authentic animal model of the very preterm infant on nasal continuous positive airway pressure.</w:t>
            </w:r>
          </w:p>
        </w:tc>
        <w:tc>
          <w:tcPr>
            <w:tcW w:w="2518"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Intensive Care Medicine Experimental</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[Intensive Care Med Exp] 2015 Dec; Vol. 3 (1), pp. 51. Date of Electronic</w:t>
            </w:r>
          </w:p>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Apr 29.</w:t>
            </w:r>
          </w:p>
        </w:tc>
      </w:tr>
      <w:tr w:rsidR="00AC5E4B" w:rsidRPr="007F3F86" w:rsidTr="00AF6C53">
        <w:tc>
          <w:tcPr>
            <w:tcW w:w="2570" w:type="dxa"/>
          </w:tcPr>
          <w:p w:rsidR="00AC5E4B" w:rsidRPr="007F3F86" w:rsidRDefault="00AC5E4B"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Davies N, Murphy DG, van Rij S,</w:t>
            </w:r>
            <w:r w:rsidR="00352FB9" w:rsidRPr="007F3F86">
              <w:rPr>
                <w:rFonts w:ascii="Gill Sans MT" w:hAnsi="Gill Sans MT" w:cs="GillSans-Light"/>
                <w:sz w:val="20"/>
                <w:szCs w:val="20"/>
              </w:rPr>
              <w:t xml:space="preserve"> </w:t>
            </w:r>
            <w:r w:rsidRPr="007F3F86">
              <w:rPr>
                <w:rFonts w:ascii="Gill Sans MT" w:hAnsi="Gill Sans MT" w:cs="GillSans-Light"/>
                <w:sz w:val="20"/>
                <w:szCs w:val="20"/>
              </w:rPr>
              <w:t>Woo HH, Lawrentschuk N,</w:t>
            </w:r>
          </w:p>
        </w:tc>
        <w:tc>
          <w:tcPr>
            <w:tcW w:w="1082" w:type="dxa"/>
          </w:tcPr>
          <w:p w:rsidR="00AC5E4B" w:rsidRPr="007F3F86" w:rsidRDefault="00AC5E4B"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AC5E4B" w:rsidRPr="007F3F86" w:rsidRDefault="00AC5E4B" w:rsidP="00AC5E4B">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Online and social media presence of Australian and New Zealand urologists.</w:t>
            </w:r>
          </w:p>
        </w:tc>
        <w:tc>
          <w:tcPr>
            <w:tcW w:w="2518" w:type="dxa"/>
          </w:tcPr>
          <w:p w:rsidR="00AC5E4B" w:rsidRPr="007F3F86" w:rsidRDefault="00AC5E4B"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BJU International [BJU Int] 2015</w:t>
            </w:r>
            <w:r w:rsidR="00352FB9" w:rsidRPr="007F3F86">
              <w:rPr>
                <w:rFonts w:ascii="Gill Sans MT" w:hAnsi="Gill Sans MT" w:cs="GillSans-Light"/>
                <w:sz w:val="20"/>
                <w:szCs w:val="20"/>
              </w:rPr>
              <w:t xml:space="preserve"> </w:t>
            </w:r>
            <w:r w:rsidRPr="007F3F86">
              <w:rPr>
                <w:rFonts w:ascii="Gill Sans MT" w:hAnsi="Gill Sans MT" w:cs="GillSans-Light"/>
                <w:sz w:val="20"/>
                <w:szCs w:val="20"/>
              </w:rPr>
              <w:t>Dec; Vol. 116 (6), pp. 984-9. Date of</w:t>
            </w:r>
            <w:r w:rsidR="00352FB9" w:rsidRPr="007F3F86">
              <w:rPr>
                <w:rFonts w:ascii="Gill Sans MT" w:hAnsi="Gill Sans MT" w:cs="GillSans-Light"/>
                <w:sz w:val="20"/>
                <w:szCs w:val="20"/>
              </w:rPr>
              <w:t xml:space="preserve"> </w:t>
            </w:r>
            <w:r w:rsidRPr="007F3F86">
              <w:rPr>
                <w:rFonts w:ascii="Gill Sans MT" w:hAnsi="Gill Sans MT" w:cs="GillSans-Light"/>
                <w:sz w:val="20"/>
                <w:szCs w:val="20"/>
              </w:rPr>
              <w:t>Electronic Publication: 2015 Jun 15.</w:t>
            </w:r>
          </w:p>
        </w:tc>
      </w:tr>
      <w:tr w:rsidR="00352FB9" w:rsidRPr="007F3F86" w:rsidTr="00AF6C53">
        <w:tc>
          <w:tcPr>
            <w:tcW w:w="2570" w:type="dxa"/>
          </w:tcPr>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Davies N, Papa N, Ischia J,</w:t>
            </w:r>
          </w:p>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Bolton D, Lawrentschuk N,</w:t>
            </w:r>
          </w:p>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Peter MacCallum</w:t>
            </w:r>
          </w:p>
        </w:tc>
        <w:tc>
          <w:tcPr>
            <w:tcW w:w="1082" w:type="dxa"/>
          </w:tcPr>
          <w:p w:rsidR="00352FB9" w:rsidRPr="007F3F86" w:rsidRDefault="00352FB9"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Consistency of written postoperative</w:t>
            </w:r>
            <w:r w:rsidR="00D30FDA" w:rsidRPr="007F3F86">
              <w:rPr>
                <w:rFonts w:ascii="Gill Sans MT" w:hAnsi="Gill Sans MT" w:cs="GillSans-Light"/>
                <w:sz w:val="20"/>
                <w:szCs w:val="20"/>
              </w:rPr>
              <w:t xml:space="preserve"> </w:t>
            </w:r>
            <w:r w:rsidRPr="007F3F86">
              <w:rPr>
                <w:rFonts w:ascii="Gill Sans MT" w:hAnsi="Gill Sans MT" w:cs="GillSans-Light"/>
                <w:sz w:val="20"/>
                <w:szCs w:val="20"/>
              </w:rPr>
              <w:t>patient informationfor common urological</w:t>
            </w:r>
          </w:p>
          <w:p w:rsidR="00352FB9" w:rsidRPr="007F3F86" w:rsidRDefault="00352FB9" w:rsidP="00352FB9">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procedures</w:t>
            </w:r>
            <w:proofErr w:type="gramEnd"/>
            <w:r w:rsidRPr="007F3F86">
              <w:rPr>
                <w:rFonts w:ascii="Gill Sans MT" w:hAnsi="Gill Sans MT" w:cs="GillSans-Light"/>
                <w:sz w:val="20"/>
                <w:szCs w:val="20"/>
              </w:rPr>
              <w:t>.</w:t>
            </w:r>
          </w:p>
        </w:tc>
        <w:tc>
          <w:tcPr>
            <w:tcW w:w="2518" w:type="dxa"/>
          </w:tcPr>
          <w:p w:rsidR="00352FB9" w:rsidRPr="007F3F86" w:rsidRDefault="00352FB9"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w:t>
            </w:r>
            <w:r w:rsidR="00D30FDA" w:rsidRPr="007F3F86">
              <w:rPr>
                <w:rFonts w:ascii="Gill Sans MT" w:hAnsi="Gill Sans MT" w:cs="GillSans-Light"/>
                <w:sz w:val="20"/>
                <w:szCs w:val="20"/>
              </w:rPr>
              <w:t xml:space="preserve"> </w:t>
            </w:r>
            <w:r w:rsidRPr="007F3F86">
              <w:rPr>
                <w:rFonts w:ascii="Gill Sans MT" w:hAnsi="Gill Sans MT" w:cs="GillSans-Light"/>
                <w:sz w:val="20"/>
                <w:szCs w:val="20"/>
              </w:rPr>
              <w:t>2015 Dec; Vol. 85 (12), pp. 941-5. Date</w:t>
            </w:r>
            <w:r w:rsidR="00D30FDA" w:rsidRPr="007F3F86">
              <w:rPr>
                <w:rFonts w:ascii="Gill Sans MT" w:hAnsi="Gill Sans MT" w:cs="GillSans-Light"/>
                <w:sz w:val="20"/>
                <w:szCs w:val="20"/>
              </w:rPr>
              <w:t xml:space="preserve"> </w:t>
            </w:r>
            <w:r w:rsidRPr="007F3F86">
              <w:rPr>
                <w:rFonts w:ascii="Gill Sans MT" w:hAnsi="Gill Sans MT" w:cs="GillSans-Light"/>
                <w:sz w:val="20"/>
                <w:szCs w:val="20"/>
              </w:rPr>
              <w:t>of Electronic Publication: 2015 Apr 19.</w:t>
            </w:r>
          </w:p>
        </w:tc>
      </w:tr>
      <w:tr w:rsidR="00352FB9" w:rsidRPr="007F3F86" w:rsidTr="00AF6C53">
        <w:tc>
          <w:tcPr>
            <w:tcW w:w="2570" w:type="dxa"/>
          </w:tcPr>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Dhara SS, McGlone DJ,</w:t>
            </w:r>
          </w:p>
          <w:p w:rsidR="00352FB9" w:rsidRPr="007F3F86" w:rsidRDefault="00352FB9" w:rsidP="00352FB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Skinner MW</w:t>
            </w:r>
          </w:p>
        </w:tc>
        <w:tc>
          <w:tcPr>
            <w:tcW w:w="1082" w:type="dxa"/>
          </w:tcPr>
          <w:p w:rsidR="00352FB9" w:rsidRPr="007F3F86" w:rsidRDefault="00352FB9"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352FB9"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Development of a new system for guidewire-assisted tracheal intubation: manikin and cadaver evaluation.</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Anaesthesia [Anaesthesia] 2016 Jan; Vol. 71 (1), pp. 44-9. Date of Electronic</w:t>
            </w:r>
          </w:p>
          <w:p w:rsidR="00352FB9"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Nov 12.</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Diedrich CR, O’Hern J,</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Wilkinson RJ</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HIV-1 and the Mycobacterium tuberculosis granuloma: A systematic review and metaanalysis.</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Tuberculosis (Edinburgh, Scotland) [Tuberculosis (Edinb)] 2016 May;</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Vol. 98, pp. 62-76. Date of Electronic Publication: 2016 Mar 10.</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El-Ansary D, Aitken J, Zalucki N,</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Hardikar A</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Clinical management and rehabilitation of persistent sternal instability.</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International Journal of Therapy &amp; Rehabilitation (INT J THER REHABIL),</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Sep2015; 22(9): 443-445. (3p)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Elliott KJ, Scott JL, Monsour M,</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Nuwayhid F</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Profiles of dyadic adjustment for advanced prostate cancer to inform couple-based</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intervention</w:t>
            </w:r>
            <w:proofErr w:type="gramEnd"/>
            <w:r w:rsidRPr="007F3F86">
              <w:rPr>
                <w:rFonts w:ascii="Gill Sans MT" w:hAnsi="Gill Sans MT" w:cs="GillSans-Light"/>
                <w:sz w:val="20"/>
                <w:szCs w:val="20"/>
              </w:rPr>
              <w:t>.</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Psychology &amp; Health (PSYCHOL HEALTH), Nov2015; 30(11): 1259-</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1273. (15p)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Fathabadi OS, Gale T, Wheeler</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 Plottier G, Owen LS,</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Olivier JC, Dargaville PA</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Hypoxic events and concomitant factors in</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preterm</w:t>
            </w:r>
            <w:proofErr w:type="gramEnd"/>
            <w:r w:rsidRPr="007F3F86">
              <w:rPr>
                <w:rFonts w:ascii="Gill Sans MT" w:hAnsi="Gill Sans MT" w:cs="GillSans-Light"/>
                <w:sz w:val="20"/>
                <w:szCs w:val="20"/>
              </w:rPr>
              <w:t xml:space="preserve"> infants on noninvasive ventilation.</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Monitoring And</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Computing [J Clin Monit Comput] 2016 Feb 20. Date of Electronic Publication: 2016 Feb 20.</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Fonseca R, Galligan J, Neilson S,</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Quan H, Makoto S, Kazuaki N,</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TH</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Appropriate Use of Transthoracic Echocardiography and Impact in Heart Failure Survival. </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Hand Therapy (J HAND THER), Apr/Jun2016; 29(2): B57-B57. (1/3p)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Ford K, Courtney-Pratt H,</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Marlow A, Cooper J, Williams D,</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Mason R</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Quality clinical placements: The perspectives of</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undergraduate</w:t>
            </w:r>
            <w:proofErr w:type="gramEnd"/>
            <w:r w:rsidRPr="007F3F86">
              <w:rPr>
                <w:rFonts w:ascii="Gill Sans MT" w:hAnsi="Gill Sans MT" w:cs="GillSans-Light"/>
                <w:sz w:val="20"/>
                <w:szCs w:val="20"/>
              </w:rPr>
              <w:t xml:space="preserve"> nursing students and their  supervising nurses.</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Nurse Education Today [Nurse Educ Today] 2016 Feb; Vol. 37, pp. 97-102.</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Date of Electronic Publication: 2015 Dec 03.</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Gabbe B, Cleland H, Watterson</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 Schrale R, McRae S, Parker C,</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Taggart S, Edgar D</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Long term outcomes data for the Burns Registry of Australia and New Zealand: Is it feasible?</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Burns (03054179) (BURNS), Dec2015;</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41(8): 1732-1740. (9p)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Galligan A, Greenaway T</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Novel approaches to the treatment of hyperglycaemia in type 2 diabetes mellitus.</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Internal Medicine Journal (INTERN MED J), May2016; 46(5): 540-549.</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(10p)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Ghimire S, Castelino RL,</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Lioufas NM, Peterson GM,</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Zaidi ST,</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Nonadherence to Medication Therapy in Haemodialysis Patients: A Systematic Review.</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Plos One [PLoS One] 2015 Dec 04; Vol. 10 (12), pp. e0144119. Date of</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20151204 (Print Publication: 2015).</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Gollapalli RB, Naiman AN,</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Merry D</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Cervical necrotizing fasciitis as a complication of acute epiglottitis managed with minimally aggressive surgical intervention: Case report.</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Ear, Nose, &amp; Throat Journal [Ear Nose Throat J] 2015 Jul; Vol. 94 (7), pp. E5-7.</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Gupta R, Nyakunu RP, Kippax JR</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Is the emergency department management of ENT foreign bodies successful? A tertiary</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care</w:t>
            </w:r>
            <w:proofErr w:type="gramEnd"/>
            <w:r w:rsidRPr="007F3F86">
              <w:rPr>
                <w:rFonts w:ascii="Gill Sans MT" w:hAnsi="Gill Sans MT" w:cs="GillSans-Light"/>
                <w:sz w:val="20"/>
                <w:szCs w:val="20"/>
              </w:rPr>
              <w:t xml:space="preserve"> hospital experience in Australia.</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ENT: Ear, Nose &amp; Throat Journal (ENT EAR NOSE THROAT J), Mar2016;</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95(3): 113-116. (5p)</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Hamilton S, Tran V, Jamieson J</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Compassion fatigue in emergency medicine: The cost of caring.</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Emergency Medicine Australasia: EMA</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 Med Australas] 2016 Feb; Vol. 28 (1), pp. 100-3. Date of Electronic</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Jan 17.</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Han W, Aitken D, Zhu Z,</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Halliday A, Wang X, Antony B,</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Cicuttini F, Jones G, Ding C</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Signal intensity alteration in the infrapatellar fat pad at baseline for the prediction of knee symptoms and structure in older adults: a cohort study.</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Annals Of The Rheumatic Diseases [Ann Rheum Dis] 2015 Nov 26. Date of Electronic Publication: 2015 Nov 26.</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Hyun K, Brieger D, Chow CK,</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Ilton M, Amos D, Alford K,</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Roberts-Thomson P, Santo K,</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Atkins ER, Redfern J</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Impact of medical consultation frequency on risk factors and medications 6 months after</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acute</w:t>
            </w:r>
            <w:proofErr w:type="gramEnd"/>
            <w:r w:rsidRPr="007F3F86">
              <w:rPr>
                <w:rFonts w:ascii="Gill Sans MT" w:hAnsi="Gill Sans MT" w:cs="GillSans-Light"/>
                <w:sz w:val="20"/>
                <w:szCs w:val="20"/>
              </w:rPr>
              <w:t xml:space="preserve"> coronary syndrome.</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 Health Research &amp; Practice [Public Health Res Pract] 2016 Jan 28; Vol. 26 (1), pp. e2611606. Date of</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2016 Jan 28.</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Jamieson J, Tran V, Mackenzie S</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Gender equality in emergency medicine: Ignorance isn’t bliss.</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Emergency Medicine Australasia: EMA</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 Med Australas] 2016 Jun; Vol. 28 (3), pp. 341-3. Date of Electronic</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May 10.</w:t>
            </w:r>
          </w:p>
        </w:tc>
      </w:tr>
      <w:tr w:rsidR="00D30FDA" w:rsidRPr="007F3F86" w:rsidTr="00AF6C53">
        <w:tc>
          <w:tcPr>
            <w:tcW w:w="2570"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Jeffs L</w:t>
            </w:r>
          </w:p>
        </w:tc>
        <w:tc>
          <w:tcPr>
            <w:tcW w:w="1082" w:type="dxa"/>
          </w:tcPr>
          <w:p w:rsidR="00D30FDA" w:rsidRPr="007F3F86" w:rsidRDefault="00D30FDA"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Response to Wiwanitkit et al. comment on the report: ‘A randomised trial investigating</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safety and efficacy of influenza vaccination</w:t>
            </w:r>
          </w:p>
          <w:p w:rsidR="00D30FDA" w:rsidRPr="007F3F86" w:rsidRDefault="00D30FDA" w:rsidP="00D30FDA">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in</w:t>
            </w:r>
            <w:proofErr w:type="gramEnd"/>
            <w:r w:rsidRPr="007F3F86">
              <w:rPr>
                <w:rFonts w:ascii="Gill Sans MT" w:hAnsi="Gill Sans MT" w:cs="GillSans-Light"/>
                <w:sz w:val="20"/>
                <w:szCs w:val="20"/>
              </w:rPr>
              <w:t xml:space="preserve"> patients with ANCAassociated vasculitis’.</w:t>
            </w:r>
          </w:p>
        </w:tc>
        <w:tc>
          <w:tcPr>
            <w:tcW w:w="2518" w:type="dxa"/>
          </w:tcPr>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Nephrology (Carlton, Vic.)</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[Nephrology (Carlton)] 2015 Aug; Vol.</w:t>
            </w:r>
          </w:p>
          <w:p w:rsidR="00D30FDA" w:rsidRPr="007F3F86" w:rsidRDefault="00D30FDA" w:rsidP="00D30FDA">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 (8), pp. 584.</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Jeffs LS, Nitschke J, Tervaert JW,</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Peh CA, Hurtado PR</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Viral RNA in the influenza vaccine may have contributed to the development of ANCA-associated vasculitis in a patient following</w:t>
            </w:r>
          </w:p>
          <w:p w:rsidR="009C4ADF" w:rsidRPr="007F3F86" w:rsidRDefault="009C4ADF" w:rsidP="009C4AD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immunisation</w:t>
            </w:r>
            <w:proofErr w:type="gramEnd"/>
            <w:r w:rsidRPr="007F3F86">
              <w:rPr>
                <w:rFonts w:ascii="Gill Sans MT" w:hAnsi="Gill Sans MT" w:cs="GillSans-Light"/>
                <w:sz w:val="20"/>
                <w:szCs w:val="20"/>
              </w:rPr>
              <w:t>.</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Clinical Rheumatology [Clin Rheumatol] 2016 Apr; Vol. 35 (4), pp. 943-51. Date of Electronic Publication: 2015 Sep 12.</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Jones N</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Tune-in and Time-out: Toward Surgeon-Led</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Prevention of “Never” Events.</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Journal Of Patient Safety [J Patient Saf] 2016 Jan 11. </w:t>
            </w:r>
            <w:r w:rsidRPr="007F3F86">
              <w:rPr>
                <w:rFonts w:ascii="Gill Sans MT" w:hAnsi="Gill Sans MT" w:cs="GillSans-Light"/>
                <w:sz w:val="20"/>
                <w:szCs w:val="20"/>
              </w:rPr>
              <w:lastRenderedPageBreak/>
              <w:t>Date of Electronic</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Jan 11.</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Karakiewicz PI, Nott L, Joshi A,</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Kannourakis G, Tarazi J, Alam M</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Evaluation of response from axitinib per  Response Evaluation Criteria in Solid</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Tumors versus Choi criteria in previously treated patients with metastatic renal cell</w:t>
            </w:r>
          </w:p>
          <w:p w:rsidR="009C4ADF" w:rsidRPr="007F3F86" w:rsidRDefault="009C4ADF" w:rsidP="009C4AD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carcinoma</w:t>
            </w:r>
            <w:proofErr w:type="gramEnd"/>
            <w:r w:rsidRPr="007F3F86">
              <w:rPr>
                <w:rFonts w:ascii="Gill Sans MT" w:hAnsi="Gill Sans MT" w:cs="GillSans-Light"/>
                <w:sz w:val="20"/>
                <w:szCs w:val="20"/>
              </w:rPr>
              <w:t>.</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Oncotargets And Therapy [Onco Targets Ther] 2016 May 12; Vol. 9, pp. 2855-63. Date of Electronic</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20160512 (Print Publication: 2016).</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Khalafallah A, Phuah E, Al-</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Barazan AM, Nikakis I, Radford</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Clarkson W, Trevett C, Brain</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 Gebski V, Corbould A</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Glycosylated haemoglobin for screening and diagnosis of gestational diabetes mellitus.</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BMJ Open [BMJ Open] 2016 Apr 04; Vol. 6 (4), pp. e011059. Date of</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2016 Apr 04.</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Khan FS, Ali I, Afridi UK, Ishtiaq M, Mehmood R</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Epigenetic mechanisms regulating the  development of hepatocellular carcinoma and</w:t>
            </w:r>
          </w:p>
          <w:p w:rsidR="009C4ADF" w:rsidRPr="007F3F86" w:rsidRDefault="009C4ADF" w:rsidP="009C4AD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their</w:t>
            </w:r>
            <w:proofErr w:type="gramEnd"/>
            <w:r w:rsidRPr="007F3F86">
              <w:rPr>
                <w:rFonts w:ascii="Gill Sans MT" w:hAnsi="Gill Sans MT" w:cs="GillSans-Light"/>
                <w:sz w:val="20"/>
                <w:szCs w:val="20"/>
              </w:rPr>
              <w:t xml:space="preserve"> promise for therapeutics.</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Hepatology International [Hepatol Int] 2016 Jun 7. Date of Electronic</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Jun 7.</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Knowles SR, Austin DW,</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Sivanesan S, Tye-Din J, Leung C,</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Wilson J, Castle D, Kamm MA,</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Macrae F, Hebbard G</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Relations between symptom severity, illness perceptions, visceral sensitivity, coping</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strategies and well-being in irritable bowel syndrome guided by the common sense</w:t>
            </w:r>
          </w:p>
          <w:p w:rsidR="009C4ADF" w:rsidRPr="007F3F86" w:rsidRDefault="009C4ADF" w:rsidP="009C4AD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model</w:t>
            </w:r>
            <w:proofErr w:type="gramEnd"/>
            <w:r w:rsidRPr="007F3F86">
              <w:rPr>
                <w:rFonts w:ascii="Gill Sans MT" w:hAnsi="Gill Sans MT" w:cs="GillSans-Light"/>
                <w:sz w:val="20"/>
                <w:szCs w:val="20"/>
              </w:rPr>
              <w:t xml:space="preserve"> of illness.</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Psychology, Health &amp; Medicine [Psychol Health Med] 2016 Apr 4, pp.</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1-11. Date of Electronic Publication: 2016 Apr 4.</w:t>
            </w:r>
          </w:p>
        </w:tc>
      </w:tr>
      <w:tr w:rsidR="009C4ADF" w:rsidRPr="007F3F86" w:rsidTr="00AF6C53">
        <w:tc>
          <w:tcPr>
            <w:tcW w:w="2570"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Koehler AV, Spratt DM, Norton</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 Warren S, McEwan B, Urkude</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 Murthy S, Robertson T,</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McCallum N, Bradbury RS,</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Gasser RB</w:t>
            </w:r>
          </w:p>
        </w:tc>
        <w:tc>
          <w:tcPr>
            <w:tcW w:w="1082" w:type="dxa"/>
          </w:tcPr>
          <w:p w:rsidR="009C4ADF" w:rsidRPr="007F3F86" w:rsidRDefault="009C4AD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More parasitic myositis cases in humans in Australia, and the definition of genetic markers for the causative agents as a basis for molecular</w:t>
            </w:r>
          </w:p>
          <w:p w:rsidR="009C4ADF" w:rsidRPr="007F3F86" w:rsidRDefault="009C4ADF" w:rsidP="009C4AD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diagnosis</w:t>
            </w:r>
            <w:proofErr w:type="gramEnd"/>
            <w:r w:rsidRPr="007F3F86">
              <w:rPr>
                <w:rFonts w:ascii="Gill Sans MT" w:hAnsi="Gill Sans MT" w:cs="GillSans-Light"/>
                <w:sz w:val="20"/>
                <w:szCs w:val="20"/>
              </w:rPr>
              <w:t>.</w:t>
            </w:r>
          </w:p>
        </w:tc>
        <w:tc>
          <w:tcPr>
            <w:tcW w:w="2518" w:type="dxa"/>
          </w:tcPr>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Infection, Genetics And Evolution:</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Molecular Epidemiology</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And Evolutionary Genetics In</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Infectious Diseases [Infect Genet</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Evol] 2016 Jun 13. Date of Electronic</w:t>
            </w:r>
          </w:p>
          <w:p w:rsidR="009C4ADF" w:rsidRPr="007F3F86" w:rsidRDefault="009C4ADF" w:rsidP="009C4AD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Jun 13.</w:t>
            </w:r>
          </w:p>
        </w:tc>
      </w:tr>
      <w:tr w:rsidR="008642F5" w:rsidRPr="007F3F86" w:rsidTr="00AF6C53">
        <w:tc>
          <w:tcPr>
            <w:tcW w:w="2570"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Kuzminov A, Palmer AJ,</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Wilkinson S, Khatsiev B, Venn AJ</w:t>
            </w:r>
          </w:p>
        </w:tc>
        <w:tc>
          <w:tcPr>
            <w:tcW w:w="1082" w:type="dxa"/>
          </w:tcPr>
          <w:p w:rsidR="008642F5" w:rsidRPr="007F3F86" w:rsidRDefault="008642F5"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Re-operations after Secondary Bariatric Surgery: a Systematic Review.</w:t>
            </w:r>
          </w:p>
        </w:tc>
        <w:tc>
          <w:tcPr>
            <w:tcW w:w="2518"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Obesity Surgery [Obes Surg] 2016 Jun 8. Date of Electronic Publication: 2016</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Jun 8.</w:t>
            </w:r>
          </w:p>
        </w:tc>
      </w:tr>
      <w:tr w:rsidR="008642F5" w:rsidRPr="007F3F86" w:rsidTr="00AF6C53">
        <w:tc>
          <w:tcPr>
            <w:tcW w:w="2570"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Lee AY, Hudspeth AR</w:t>
            </w:r>
          </w:p>
        </w:tc>
        <w:tc>
          <w:tcPr>
            <w:tcW w:w="1082" w:type="dxa"/>
          </w:tcPr>
          <w:p w:rsidR="008642F5" w:rsidRPr="007F3F86" w:rsidRDefault="008642F5"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Evaluation of antinuclear antibody (ANA) in ANAassociated connective tissue diseases.</w:t>
            </w:r>
          </w:p>
        </w:tc>
        <w:tc>
          <w:tcPr>
            <w:tcW w:w="2518"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Pathology [J Clin</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Pathol] 2015 Oct; Vol. 68 (10), pp. 853-4. Date of Electronic Publication:</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2015 Jun 10.</w:t>
            </w:r>
          </w:p>
        </w:tc>
      </w:tr>
      <w:tr w:rsidR="008642F5" w:rsidRPr="007F3F86" w:rsidTr="00AF6C53">
        <w:tc>
          <w:tcPr>
            <w:tcW w:w="2570"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Lim A, Samarage A, Lim BH</w:t>
            </w:r>
          </w:p>
        </w:tc>
        <w:tc>
          <w:tcPr>
            <w:tcW w:w="1082" w:type="dxa"/>
          </w:tcPr>
          <w:p w:rsidR="008642F5" w:rsidRPr="007F3F86" w:rsidRDefault="008642F5"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642F5" w:rsidRPr="007F3F86" w:rsidRDefault="008642F5"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Venous thromboembolism in</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pregnancy.</w:t>
            </w:r>
          </w:p>
        </w:tc>
        <w:tc>
          <w:tcPr>
            <w:tcW w:w="2518"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Obstetrics, Gynaecology &amp;</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Reproductive Medicine (OBSTET</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GYNAECOL REPROD MED),</w:t>
            </w:r>
          </w:p>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May2016; 26(5): 133-139. (7p)</w:t>
            </w:r>
          </w:p>
        </w:tc>
      </w:tr>
      <w:tr w:rsidR="008642F5" w:rsidRPr="007F3F86" w:rsidTr="00AF6C53">
        <w:tc>
          <w:tcPr>
            <w:tcW w:w="2570" w:type="dxa"/>
          </w:tcPr>
          <w:p w:rsidR="008642F5" w:rsidRPr="007F3F86" w:rsidRDefault="008642F5" w:rsidP="008642F5">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Lim K, Free B, Sinha S</w:t>
            </w:r>
          </w:p>
        </w:tc>
        <w:tc>
          <w:tcPr>
            <w:tcW w:w="1082" w:type="dxa"/>
          </w:tcPr>
          <w:p w:rsidR="008642F5" w:rsidRPr="007F3F86" w:rsidRDefault="008642F5"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642F5" w:rsidRPr="007F3F86" w:rsidRDefault="008642F5"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Modified TIME-H: a simplified</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scoring system for chronic</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wound management.</w:t>
            </w:r>
          </w:p>
        </w:tc>
        <w:tc>
          <w:tcPr>
            <w:tcW w:w="2518" w:type="dxa"/>
          </w:tcPr>
          <w:p w:rsidR="008642F5" w:rsidRPr="007F3F86" w:rsidRDefault="008642F5"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Wound Care [J Wound</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Care] 2015 Sep; Vol. 24 (9), pp. 415-9.</w:t>
            </w:r>
          </w:p>
        </w:tc>
      </w:tr>
      <w:tr w:rsidR="008642F5" w:rsidRPr="007F3F86" w:rsidTr="00AF6C53">
        <w:tc>
          <w:tcPr>
            <w:tcW w:w="2570" w:type="dxa"/>
          </w:tcPr>
          <w:p w:rsidR="008642F5" w:rsidRPr="007F3F86" w:rsidRDefault="008642F5"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Lim K, Wheeler KI, Jackson HD,</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Sadeghi Fathabadi O, Gale TJ,</w:t>
            </w:r>
            <w:r w:rsidR="00E42BC3" w:rsidRPr="007F3F86">
              <w:rPr>
                <w:rFonts w:ascii="Gill Sans MT" w:hAnsi="Gill Sans MT" w:cs="GillSans-Light"/>
                <w:sz w:val="20"/>
                <w:szCs w:val="20"/>
              </w:rPr>
              <w:t xml:space="preserve"> </w:t>
            </w:r>
            <w:r w:rsidRPr="007F3F86">
              <w:rPr>
                <w:rFonts w:ascii="Gill Sans MT" w:hAnsi="Gill Sans MT" w:cs="GillSans-Light"/>
                <w:sz w:val="20"/>
                <w:szCs w:val="20"/>
              </w:rPr>
              <w:t>Dargaville PA</w:t>
            </w:r>
          </w:p>
        </w:tc>
        <w:tc>
          <w:tcPr>
            <w:tcW w:w="1082" w:type="dxa"/>
          </w:tcPr>
          <w:p w:rsidR="008642F5" w:rsidRPr="007F3F86" w:rsidRDefault="008642F5"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642F5"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Lost without trace: oximetry signal dropout in preterm infants.</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Archives Of Disease In Childhood.</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Fetal And Neonatal Edition [Arch Dis Child Fetal Neonatal Ed] 2015</w:t>
            </w:r>
          </w:p>
          <w:p w:rsidR="008642F5"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Sep; Vol. 100 (5), pp. F436-</w:t>
            </w:r>
            <w:r w:rsidRPr="007F3F86">
              <w:rPr>
                <w:rFonts w:ascii="Gill Sans MT" w:hAnsi="Gill Sans MT" w:cs="GillSans-Light"/>
                <w:sz w:val="20"/>
                <w:szCs w:val="20"/>
              </w:rPr>
              <w:lastRenderedPageBreak/>
              <w:t>8. Date of Electronic Publication: 2015 Jun 08.</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Lippmann J, Lawrence C, Fock A, Wodak T, Jamieson S, Harris R, Walker D</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Provisional report on divingrelated fatalities in Australian waters 2010.</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Diving And Hyperbaric Medicine [Diving Hyperb Med] 2015 Sep; Vol.</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45 (3), pp. 154-75.</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Loveluck M, Liu DS, Froelich J,</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Yellapu S</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Fishbone perforation causing duodenocaval fistula and caval thrombus.</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2015 Dec; Vol. 85 (12), pp. 986-7. Date of Electronic Publication: 2014 Apr 16.</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Mahmood MQ, Sohal SS, Shukla SD, Ward C, Hardikar A, Noor WD, Muller HK, Knight DA,</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Walters EH</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Epithelial mesenchymal transition in smokers:</w:t>
            </w:r>
          </w:p>
          <w:p w:rsidR="00E42BC3" w:rsidRPr="007F3F86" w:rsidRDefault="00E42BC3" w:rsidP="00E42BC3">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large</w:t>
            </w:r>
            <w:proofErr w:type="gramEnd"/>
            <w:r w:rsidRPr="007F3F86">
              <w:rPr>
                <w:rFonts w:ascii="Gill Sans MT" w:hAnsi="Gill Sans MT" w:cs="GillSans-Light"/>
                <w:sz w:val="20"/>
                <w:szCs w:val="20"/>
              </w:rPr>
              <w:t xml:space="preserve"> versus small airways and relation to airflow obstruction.</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International Journal Of Chronic Obstructive Pulmonary Disease [Int</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 Chron Obstruct Pulmon Dis] 2015 Aug 04; Vol. 10, pp. 1515-24. Date of</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20150804 (Print</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Martin WG, Galligan J, Simpson S Jr, Greenaway T, Burgess J</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Admission blood glucose predicts mortality and length of stay in patients admitted through the emergency department.</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Internal Medicine Journal [Intern Med J] 2015 Sep; Vol. 45 (9), pp. 916-24.</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Maung H, Buxey K, Cernelc J, Evans T</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Multifocal abdominal splenosis.</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2015 Dec 21. Date of Electronic</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Dec 21.</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Maung H, Buxey KN, Studd C, Ket S</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Acute gastric dilation in a bulimic patient.</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Gastrointestinal Endoscopy</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[Gastrointest Endosc] 2016 Mar 11. Date of Electronic Publication: 2016 Mar 11.</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McArdle DJ, McArdle JP</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2106</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Tick Bite Reaction: Caught in the Act.</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International Journal Of Surgical Pathology [Int J Surg Pathol] 2016 Jun; Vol. 24 (4), pp. 334-5. Date of</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2016 Feb 03.</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Messmer AA, Potts JM,</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Orlikowski CE</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2106</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prospective observational study of maternal oxygenation during remifentanil patientcontrolled analgesia use in labour.</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Anaesthesia [Anaesthesia] 2016 Feb; Vol. 71 (2), pp. 171-6. Date of</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 Nov 30.</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Meumann EM, Mitchell BG,</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McGregor A, McBryde E,</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Cooley L</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Urinary Escherichia coli antimicrobial susceptibility profiles and their relationship</w:t>
            </w:r>
          </w:p>
          <w:p w:rsidR="00E42BC3" w:rsidRPr="007F3F86" w:rsidRDefault="00E42BC3" w:rsidP="00E42BC3">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with</w:t>
            </w:r>
            <w:proofErr w:type="gramEnd"/>
            <w:r w:rsidRPr="007F3F86">
              <w:rPr>
                <w:rFonts w:ascii="Gill Sans MT" w:hAnsi="Gill Sans MT" w:cs="GillSans-Light"/>
                <w:sz w:val="20"/>
                <w:szCs w:val="20"/>
              </w:rPr>
              <w:t xml:space="preserve"> community antibiotic use in Tasmania, Australia.</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International Journal Of Antimicrobial Agents [Int J Antimicrob Agents] 2015</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Oct; Vol. 46 (4), pp. 389-93. Date of Electronic Publication: 2015 Jun 29.</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Mitchell E, Jones G</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Subcutaneous tocilizumab for the treatment of rheumatoid arthritis.</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Expert Review Of Clinical</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Immunology [Expert Rev Clin Immunol] 2016; Vol. 12 (2), pp. 103-14.</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Date of Electronic Publication: 2016 Jan 28.</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Mohamed M, Dun K</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Acute myeloid leukaemia with </w:t>
            </w:r>
            <w:proofErr w:type="gramStart"/>
            <w:r w:rsidRPr="007F3F86">
              <w:rPr>
                <w:rFonts w:ascii="Gill Sans MT" w:hAnsi="Gill Sans MT" w:cs="GillSans-Light"/>
                <w:sz w:val="20"/>
                <w:szCs w:val="20"/>
              </w:rPr>
              <w:t>t(</w:t>
            </w:r>
            <w:proofErr w:type="gramEnd"/>
            <w:r w:rsidRPr="007F3F86">
              <w:rPr>
                <w:rFonts w:ascii="Gill Sans MT" w:hAnsi="Gill Sans MT" w:cs="GillSans-Light"/>
                <w:sz w:val="20"/>
                <w:szCs w:val="20"/>
              </w:rPr>
              <w:t>8;21)(q22;q22.3) and loss of the X chromosome.</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BMJ Case Reports [BMJ Case Rep] 2015 Aug 06; Vol. 2015. Date of</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 Aug 06.</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Munday E, Walker S</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Mortality outcomes of ruptured abdominal aortic aneurysms and rural presentation.</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Vascular [Vascular] 2015 Jul 31. Date of Electronic </w:t>
            </w:r>
            <w:r w:rsidRPr="007F3F86">
              <w:rPr>
                <w:rFonts w:ascii="Gill Sans MT" w:hAnsi="Gill Sans MT" w:cs="GillSans-Light"/>
                <w:sz w:val="20"/>
                <w:szCs w:val="20"/>
              </w:rPr>
              <w:lastRenderedPageBreak/>
              <w:t>Publication: 2015 Jul 31.</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Niewiadomski O, Studd C,</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Hair C, Wilson J, Ding NS,</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Heerasing N, Ting A, McNeill J, Knight R, Santamaria J, Prewett</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 Dabkowski P, Dowling D,</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Alexander S, Allen B, Popp B, Connell W, Desmond P, Bell S</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Prospective population-based cohort of inflammatory bowel disease in the biologics era:</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Disease course and predictors of severity.</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Gastroenterology And Hepatology [J Gastroenterol Hepatol]</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2015 Sep; Vol. 30 (9), pp. 1346-53.</w:t>
            </w:r>
          </w:p>
        </w:tc>
      </w:tr>
      <w:tr w:rsidR="00E42BC3" w:rsidRPr="007F3F86" w:rsidTr="00AF6C53">
        <w:tc>
          <w:tcPr>
            <w:tcW w:w="2570"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Niewiadomski O, Studd C, Hair C, Wilson J, McNeill J, Knight R, Prewett E, Dabkowski P, Dowling D, Alexander S, Allen</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 Tacey M, Connell W,</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Desmond P, Bell S</w:t>
            </w:r>
          </w:p>
        </w:tc>
        <w:tc>
          <w:tcPr>
            <w:tcW w:w="1082" w:type="dxa"/>
          </w:tcPr>
          <w:p w:rsidR="00E42BC3" w:rsidRPr="007F3F86" w:rsidRDefault="00E42BC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Health Care Cost Analysis in a Population-based Inception Cohort of Inflammatory</w:t>
            </w:r>
          </w:p>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Bowel Disease Patients in the First Year of Diagnosis.</w:t>
            </w:r>
          </w:p>
        </w:tc>
        <w:tc>
          <w:tcPr>
            <w:tcW w:w="2518" w:type="dxa"/>
          </w:tcPr>
          <w:p w:rsidR="00E42BC3" w:rsidRPr="007F3F86" w:rsidRDefault="00E42BC3" w:rsidP="00E42BC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Crohn’s &amp; Colitis [J Crohns Colitis] 2015 Nov; Vol. 9 (11), pp.</w:t>
            </w:r>
          </w:p>
          <w:p w:rsidR="00E42BC3" w:rsidRPr="007F3F86" w:rsidRDefault="00E42BC3"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988-96. Date of Electronic Publication:</w:t>
            </w:r>
            <w:r w:rsidR="008E7AA4" w:rsidRPr="007F3F86">
              <w:rPr>
                <w:rFonts w:ascii="Gill Sans MT" w:hAnsi="Gill Sans MT" w:cs="GillSans-Light"/>
                <w:sz w:val="20"/>
                <w:szCs w:val="20"/>
              </w:rPr>
              <w:t xml:space="preserve"> </w:t>
            </w:r>
            <w:r w:rsidRPr="007F3F86">
              <w:rPr>
                <w:rFonts w:ascii="Gill Sans MT" w:hAnsi="Gill Sans MT" w:cs="GillSans-Light"/>
                <w:sz w:val="20"/>
                <w:szCs w:val="20"/>
              </w:rPr>
              <w:t>2015 Jun 30.</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Niewiadomski O, Studd C,</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Wilson J, Williams J, Hair C, Knight R, Prewett E, Dabkowski P, Alexander S, Allen B, Dowling D, Connell W, Desmond P,</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Bell S</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Influence of food and lifestyle on the risk of developing inflammatory bowel disease.</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Internal Medicine Journal (INTERN MED J), Jun2016; 46(6): 669-676. (1p)</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Nolan MT, Marwick T, Russell D</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2106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Association between mediastinal radiotherapy and long-term heart failure: A systematic review and metaanalysis</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American College of Cardiology (JACC) (J AM COLL</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CARDIOL), Apr2016 Supplement; 67(13S): 1514-1514. (1p)</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Padgett CR, Summers MJ,</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Vickers JC, McCormack GH,</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Skilbeck CE</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Exploring the effect of the apolipoprotein E (APOE) gene on executive function, working memory, and processing speed during the early recovery period following traumatic </w:t>
            </w:r>
            <w:proofErr w:type="gramStart"/>
            <w:r w:rsidRPr="007F3F86">
              <w:rPr>
                <w:rFonts w:ascii="Gill Sans MT" w:hAnsi="Gill Sans MT" w:cs="GillSans-Light"/>
                <w:sz w:val="20"/>
                <w:szCs w:val="20"/>
              </w:rPr>
              <w:t>brain  injury</w:t>
            </w:r>
            <w:proofErr w:type="gramEnd"/>
            <w:r w:rsidRPr="007F3F86">
              <w:rPr>
                <w:rFonts w:ascii="Gill Sans MT" w:hAnsi="Gill Sans MT" w:cs="GillSans-Light"/>
                <w:sz w:val="20"/>
                <w:szCs w:val="20"/>
              </w:rPr>
              <w:t>.</w:t>
            </w:r>
          </w:p>
          <w:p w:rsidR="008E7AA4" w:rsidRPr="007F3F86" w:rsidRDefault="008E7AA4" w:rsidP="008E7AA4">
            <w:pPr>
              <w:tabs>
                <w:tab w:val="left" w:pos="1005"/>
              </w:tabs>
              <w:rPr>
                <w:rFonts w:ascii="Gill Sans MT" w:hAnsi="Gill Sans MT" w:cs="GillSans-Light"/>
                <w:sz w:val="20"/>
                <w:szCs w:val="20"/>
              </w:rPr>
            </w:pPr>
            <w:r w:rsidRPr="007F3F86">
              <w:rPr>
                <w:rFonts w:ascii="Gill Sans MT" w:hAnsi="Gill Sans MT" w:cs="GillSans-Light"/>
                <w:sz w:val="20"/>
                <w:szCs w:val="20"/>
              </w:rPr>
              <w:tab/>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And Experimental</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Neuropsychology [J Clin Exp Neuropsychol] 2016; Vol. 38 (5), pp. 551-60. Date of Electronic Publication: 2016 Feb 22.</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Parakh S, Wong HL, Rai R, Ali S, Field K, Shapiro J, Wong R, Nott L, Gibbs P, Yip D</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Patterns of care and outcomes for elderly patients with metastatic colorectal cancer in Australia.</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Geriatric Oncology [J Geriatr Oncol] 2015 Sep; Vol. 6 (5), pp. 387-94. Date of Electronic</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Jul 17.</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Parikh HG, Miller A, Chapman M, Moran JL, Peake SL</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Calorie delivery and clinical</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outcomes in the critically ill: a</w:t>
            </w:r>
          </w:p>
          <w:p w:rsidR="008E7AA4" w:rsidRPr="007F3F86" w:rsidRDefault="008E7AA4" w:rsidP="008E7AA4">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systematic</w:t>
            </w:r>
            <w:proofErr w:type="gramEnd"/>
            <w:r w:rsidRPr="007F3F86">
              <w:rPr>
                <w:rFonts w:ascii="Gill Sans MT" w:hAnsi="Gill Sans MT" w:cs="GillSans-Light"/>
                <w:sz w:val="20"/>
                <w:szCs w:val="20"/>
              </w:rPr>
              <w:t xml:space="preserve"> review and metaanalysis.</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Critical Care And Resuscitation: Journal Of The Australasian Academy</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Of Critical Care Medicine [Crit Care Resusc] 2016 Mar; Vol. 18 (1), pp. 17-24.</w:t>
            </w:r>
          </w:p>
        </w:tc>
      </w:tr>
      <w:tr w:rsidR="008E7AA4" w:rsidRPr="007F3F86" w:rsidTr="008E7AA4">
        <w:trPr>
          <w:trHeight w:val="1000"/>
        </w:trPr>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Patel RP, Wanandy T, Zani R,Jose MD, Shastri M, Zaidi STR</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Stability of trimethoprim in newly formulated liquid dosage form.</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Pharmacy Practice &amp; Research (J PHARM PRACT RES),</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Mar2016; 46(1): 10-14. (5p)</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Poulgrain KM, Tollesson G</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rare complication of Epistats.</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Neuroscience:</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Official Journal Of The Neurosurgical Society Of Australasia [J Clin</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Neurosci] 2015 Sep; Vol. 22 (9), pp. 1510-3. Date of Electronic Publication:</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2015 May 27.</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Pye RJ, Pemberton D, Tovar C, Tubio JM, Dun KA, Fox S, Darby J, Hayes D, Knowles GW, Kreiss</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Siddle HV, Swift K, Lyons AB, Murchison EP, Woods GM</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second transmissible cancer in Tasmanian devils.</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Proceedings Of The National Academy Of Sciences Of The United</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States Of America [Proc Natl Acad Sci U S A] 2016 Jan 12; Vol. 113 (2), pp.</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374-9. Date of Electronic Publication: 2015 Dec 28.</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Ramdas S, Yousaf F, Shastri</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MD, Wanandy T, Zaidi STR,</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Khandagale M, Jose M, Patel RP</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Stability of daptomycin in peritoneal dialysis</w:t>
            </w:r>
          </w:p>
          <w:p w:rsidR="008E7AA4" w:rsidRPr="007F3F86" w:rsidRDefault="008E7AA4" w:rsidP="008E7AA4">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solutions</w:t>
            </w:r>
            <w:proofErr w:type="gramEnd"/>
            <w:r w:rsidRPr="007F3F86">
              <w:rPr>
                <w:rFonts w:ascii="Gill Sans MT" w:hAnsi="Gill Sans MT" w:cs="GillSans-Light"/>
                <w:sz w:val="20"/>
                <w:szCs w:val="20"/>
              </w:rPr>
              <w:t xml:space="preserve"> packaged in dualcompartment infusion bags.</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European Journal of Hospital Pharmacy: Science &amp; Practice (EUR J</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HOSP PHARM SCI PRACT), Jan2016;</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23(1): 57-60. (4p)</w:t>
            </w:r>
          </w:p>
          <w:p w:rsidR="008E7AA4" w:rsidRPr="007F3F86" w:rsidRDefault="008E7AA4" w:rsidP="008E7AA4">
            <w:pPr>
              <w:jc w:val="center"/>
              <w:rPr>
                <w:rFonts w:ascii="Gill Sans MT" w:hAnsi="Gill Sans MT" w:cs="GillSans-Light"/>
                <w:sz w:val="20"/>
                <w:szCs w:val="20"/>
              </w:rPr>
            </w:pP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Robson S, Daniels B, Rawlings L</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Bariatric surgery for women </w:t>
            </w:r>
            <w:proofErr w:type="gramStart"/>
            <w:r w:rsidRPr="007F3F86">
              <w:rPr>
                <w:rFonts w:ascii="Gill Sans MT" w:hAnsi="Gill Sans MT" w:cs="GillSans-Light"/>
                <w:sz w:val="20"/>
                <w:szCs w:val="20"/>
              </w:rPr>
              <w:t>of  reproductive</w:t>
            </w:r>
            <w:proofErr w:type="gramEnd"/>
            <w:r w:rsidRPr="007F3F86">
              <w:rPr>
                <w:rFonts w:ascii="Gill Sans MT" w:hAnsi="Gill Sans MT" w:cs="GillSans-Light"/>
                <w:sz w:val="20"/>
                <w:szCs w:val="20"/>
              </w:rPr>
              <w:t xml:space="preserve"> age.</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BJOG: An International Journal Of Obstetrics And Gynaecology [BJOG]</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2016 Jan; Vol. 123 (2), pp. 171-4. Date of Electronic Publication: 2015 Nov 05.</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Saito M, Khan F, Stoklosa</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 Iannaccone A, Negishi K,</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TH</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Prognostic Implications of LV Strain</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Risk Score in Asymptomatic Patients With Hypertensive Heart Disease.</w:t>
            </w:r>
          </w:p>
        </w:tc>
        <w:tc>
          <w:tcPr>
            <w:tcW w:w="2518"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JACC. Cardiovascular Imaging [JACC</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Cardiovasc Imaging] 2016 Jun 15. Date of Electronic Publication: 2016 Jun 15.</w:t>
            </w:r>
          </w:p>
        </w:tc>
      </w:tr>
      <w:tr w:rsidR="008E7AA4" w:rsidRPr="007F3F86" w:rsidTr="00AF6C53">
        <w:tc>
          <w:tcPr>
            <w:tcW w:w="2570"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Segelov E, Waring P, Desai</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 Wilson K, Gebski V,</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Thavaneswaran S, Elez E,</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Underhill C, Pavlakis N, Chantrill L, Nott L, Jefford M, Khasraw M, Day F, Wasan H, Ciardiello</w:t>
            </w:r>
          </w:p>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 Karapetis C, Joubert W, van Hazel G, Haydon A, et al</w:t>
            </w:r>
          </w:p>
        </w:tc>
        <w:tc>
          <w:tcPr>
            <w:tcW w:w="1082" w:type="dxa"/>
          </w:tcPr>
          <w:p w:rsidR="008E7AA4" w:rsidRPr="007F3F86" w:rsidRDefault="008E7AA4"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8E7AA4" w:rsidRPr="007F3F86" w:rsidRDefault="008E7AA4" w:rsidP="008E7AA4">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ICECREAM: randomised phase II study of cetuximab alone or in combination with irinotecan in patients with metastatic colorectal cancer with either KRAS, NRAS, BRAF and PI3KCA wild type, or G13D mutated tumours.</w:t>
            </w:r>
          </w:p>
        </w:tc>
        <w:tc>
          <w:tcPr>
            <w:tcW w:w="2518" w:type="dxa"/>
          </w:tcPr>
          <w:p w:rsidR="008E7AA4"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BMC Cancer (BMC CANCER), 5/31/2016; 16: 1-8. (8p)</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Sharman M, Hensher M,</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Wilkinson S, Kuzminov A, Ezzy D, Venn A</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Emergency and pre-surgical band deflation in patients with laparoscopic adjustable gastric</w:t>
            </w:r>
          </w:p>
          <w:p w:rsidR="007D5FE3" w:rsidRPr="007F3F86" w:rsidRDefault="007D5FE3" w:rsidP="007D5FE3">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bands</w:t>
            </w:r>
            <w:proofErr w:type="gramEnd"/>
            <w:r w:rsidRPr="007F3F86">
              <w:rPr>
                <w:rFonts w:ascii="Gill Sans MT" w:hAnsi="Gill Sans MT" w:cs="GillSans-Light"/>
                <w:sz w:val="20"/>
                <w:szCs w:val="20"/>
              </w:rPr>
              <w:t>: variations in practice.</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2015 Nov; Vol. 85 (11), pp. 890.</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Simons FE, Ebisawa M, Sanchez- Borges M, Thong BY, Worm M, Tanno LK, Lockey RF, El-Gamal</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YM, Brown SG, Park HS, Sheikh A</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2015 update of the evidence base: </w:t>
            </w:r>
            <w:proofErr w:type="gramStart"/>
            <w:r w:rsidRPr="007F3F86">
              <w:rPr>
                <w:rFonts w:ascii="Gill Sans MT" w:hAnsi="Gill Sans MT" w:cs="GillSans-Light"/>
                <w:sz w:val="20"/>
                <w:szCs w:val="20"/>
              </w:rPr>
              <w:t>World  Allergy</w:t>
            </w:r>
            <w:proofErr w:type="gramEnd"/>
            <w:r w:rsidRPr="007F3F86">
              <w:rPr>
                <w:rFonts w:ascii="Gill Sans MT" w:hAnsi="Gill Sans MT" w:cs="GillSans-Light"/>
                <w:sz w:val="20"/>
                <w:szCs w:val="20"/>
              </w:rPr>
              <w:t xml:space="preserve"> Organization anaphylaxis guidelines.</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World Allergy Organization</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[World Allergy Organ J] 2015 Oct 28; Vol. 8 (1), pp. 32. Date of</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20151028 (Print</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Simpson S Jr, Blomfield P,</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Cornall A, Tabrizi SN, Blizzard L,</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Turner R</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Front-to-back &amp; dabbing wiping behaviour post-toilet associated with anal neoplasia</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&amp; HR-HPV carriage in women with previous HPV-mediated gynaecological neoplasia.</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Cancer Epidemiology [Cancer Epidemiol] 2016 Jun; Vol. 42, pp. 124-</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32. Date of Electronic Publication: 2016 Apr 22.</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Smart D</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Hyperbaric oxygen therapy for chronic bowel dysfunction after pelvic radiotherapy.</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Lancet. Oncology [Lancet Oncol]</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2016 Apr; Vol. 17 (4), pp. e128-9. Date of Electronic Publication: 2016 Mar 29.</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Sreedharan S, Moore A, Ross R, Linklater N, Karanth S,</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Parkes Weber syndrome: a case of right lower limb hypertrophy.</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2015 Oct 16. Date of Electronic</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Oct 16.</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Strange G, Rose M, Kermeen F, O’Donnell C, Keogh A, Kotlyar E, Grigg L, Bullock A, Disney P,</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Dwyer N, Whitford H, Tanous D, Frampton C, Weintraub R, Celermajer DS</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binational registry of adults with pulmonary arterial hypertension complicating congenital heart disease.</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Internal Medicine Journal [Intern Med J] 2015 Sep; Vol. 45 (9), pp. 944-50.</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Studd C, Cameron G, Beswick L, Knight R, Hair C, McNeil J, Desmond P, Wilson J, Connell W, Bell S</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2106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Never underestimate inflammatory bowel disease: High prevalence rates and confirmation of high incidence rates in Australia.</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Gastroenterology And Hepatology [J Gastroenterol Hepatol]</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2016 Jan; Vol. 31 (1), pp. 81-6.</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Sykes PK, Walsh K, Darcey CM, Hawkins HL, McKenzie DS,</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Prasad R, Thomas A</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Prevention of venous thromboembolism amongst patients in an acute tertiary referral teaching public hospital: a best practice implementation project.</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International Journal Of Evidence- Based Healthcare [Int J Evid Based Healthc] 2016 Jun; Vol. 14 (2), pp.</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64-73.</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Tasker K, Visa A, Jones N</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b/>
                <w:sz w:val="20"/>
                <w:szCs w:val="20"/>
              </w:rPr>
            </w:pPr>
            <w:r w:rsidRPr="007F3F86">
              <w:rPr>
                <w:rFonts w:ascii="Gill Sans MT" w:hAnsi="Gill Sans MT" w:cs="GillSans-Light"/>
                <w:sz w:val="20"/>
                <w:szCs w:val="20"/>
              </w:rPr>
              <w:t>Re: Institutional review of patients presenting with suspected appendicitis.</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2016 Jan-Feb; Vol. 86 (1-2), pp. 105.</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Tebbutt NC, Price TJ, Ferraro DA, Wong N, Veillard AS, Hall M, Sjoquist KM, Pavlakis</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 Strickland A, Varma SC,</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Cooray P, Young R,  nderhill C, Shannon JA, Ganju V, Gebski V </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Panitumumab added to docetaxel, cisplatin</w:t>
            </w:r>
          </w:p>
          <w:p w:rsidR="007D5FE3" w:rsidRPr="007F3F86" w:rsidRDefault="007D5FE3" w:rsidP="007D5FE3">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and</w:t>
            </w:r>
            <w:proofErr w:type="gramEnd"/>
            <w:r w:rsidRPr="007F3F86">
              <w:rPr>
                <w:rFonts w:ascii="Gill Sans MT" w:hAnsi="Gill Sans MT" w:cs="GillSans-Light"/>
                <w:sz w:val="20"/>
                <w:szCs w:val="20"/>
              </w:rPr>
              <w:t xml:space="preserve"> fluoropyrimidine in oesophagogastric cancer: ATTAX3 phase II trial.</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British Journal Of Cancer [Br J Cancer] 2016 Mar 1; Vol. 114 (5), pp. 505-9.</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Date of </w:t>
            </w:r>
            <w:proofErr w:type="gramStart"/>
            <w:r w:rsidRPr="007F3F86">
              <w:rPr>
                <w:rFonts w:ascii="Gill Sans MT" w:hAnsi="Gill Sans MT" w:cs="GillSans-Light"/>
                <w:sz w:val="20"/>
                <w:szCs w:val="20"/>
              </w:rPr>
              <w:t>Electronic  Publication</w:t>
            </w:r>
            <w:proofErr w:type="gramEnd"/>
            <w:r w:rsidRPr="007F3F86">
              <w:rPr>
                <w:rFonts w:ascii="Gill Sans MT" w:hAnsi="Gill Sans MT" w:cs="GillSans-Light"/>
                <w:sz w:val="20"/>
                <w:szCs w:val="20"/>
              </w:rPr>
              <w:t>: 2016 Feb 11.</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Thakur S, Goh SS, Sharma R, Hardikar A</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Anomalous systemic arterial supply to the left lower lobe without evidence of pulmonary sequestration.</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ANZ Journal Of Surgery [ANZ J Surg] 2016 Feb 28. Date of Electronic Publication: 2016 Feb 28.</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Thompson M, Ray U, Yu R,</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Hudspeth A, Smillie M, Jordan N, Bartle J</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Kidney Function as a Determinant of HDL and</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Triglyceride Concentrations in the Australian Population.</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Clinical Medicine [J Clin</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Med] 2016 Mar 08; Vol. 5 (3). Date of Electronic Publication: 2016 Mar 08.</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Tran V</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Dealing with bullying and harassment: a practical guide for Australasian emergency medicine trainees.</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Emergency Medicine Australasia: EMA</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 Med Australas] 2015 Oct; Vol. 27 (5), pp. 473-7. Date of Electronic</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2015 Aug 28.</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Tran V, Edmonds MJ</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ACEM Fellowship Examination: Fit for purpose?</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Emergency Medicine Australasia: EMA</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[Emerg Med Australas] 2016 Apr; Vol.</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28 (2), pp. 228-231. Date of Electronic</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Mar 2.</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Turner NH, Wong HL, Field</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 Wong R, Shapiro J, Yip D, Nott L, Tie J, Kosmider S, Tran B, Desai J, McKendrick J, Zimet</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Richardson G, Iddawela M, Gibbs P</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Novel quality indicators for metastatic colorectal cancer management identify significant variations in these measures across treatment centers in Australia.</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Asia-Pacific Journal Of Clinical Oncology [Asia Pac J Clin Oncol] 2015</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Sep; Vol. 11 (3), pp. 262-71. Date of Electronic Publication: 2015 Apr 14.</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Twigg SM, Williams KH, George J, Sullivan DR, Keech </w:t>
            </w:r>
            <w:r w:rsidRPr="007F3F86">
              <w:rPr>
                <w:rFonts w:ascii="Gill Sans MT" w:hAnsi="Gill Sans MT" w:cs="GillSans-Light"/>
                <w:sz w:val="20"/>
                <w:szCs w:val="20"/>
              </w:rPr>
              <w:lastRenderedPageBreak/>
              <w:t>AC, Veillard</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 Jenkins AJ, O’Brien R, Young S, Ehnholm C, Duffield A</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lastRenderedPageBreak/>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Low alanine aminotransferase levels and higher number of cardiovascular events in people with </w:t>
            </w:r>
            <w:r w:rsidRPr="007F3F86">
              <w:rPr>
                <w:rFonts w:ascii="Gill Sans MT" w:hAnsi="Gill Sans MT" w:cs="GillSans-Light"/>
                <w:sz w:val="20"/>
                <w:szCs w:val="20"/>
              </w:rPr>
              <w:lastRenderedPageBreak/>
              <w:t>Type 2 diabetes: analysis of the Fenofibrate</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Intervention and Event Lowering in Diabetes </w:t>
            </w:r>
            <w:proofErr w:type="gramStart"/>
            <w:r w:rsidRPr="007F3F86">
              <w:rPr>
                <w:rFonts w:ascii="Gill Sans MT" w:hAnsi="Gill Sans MT" w:cs="GillSans-Light"/>
                <w:sz w:val="20"/>
                <w:szCs w:val="20"/>
              </w:rPr>
              <w:t>( FIELD</w:t>
            </w:r>
            <w:proofErr w:type="gramEnd"/>
            <w:r w:rsidRPr="007F3F86">
              <w:rPr>
                <w:rFonts w:ascii="Gill Sans MT" w:hAnsi="Gill Sans MT" w:cs="GillSans-Light"/>
                <w:sz w:val="20"/>
                <w:szCs w:val="20"/>
              </w:rPr>
              <w:t>) study.</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Diabetic Medicine (DIABETIC MED),</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Mar2016; 33(3): 356-364. (9p)</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Veal FC, Bereznicki LR,</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Thompson AJ, Peterson GM,</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Orlikowski C</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Subacute Pain as a Predictor of Long-Term Pain Following Orthopedic Surgery: An Australian Prospective 12 Month Observational Cohort</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Study.</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Medicine [Medicine (Baltimore)] 2015</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Sep; Vol. 94 (36), pp.  1498.</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Veal FC, Bereznicki LR,</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Thompson AJ, Peterson GM,</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Orlikowski CE</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Pain and Functionality Following Sternotomy:</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 Prospective 12-Month Observational Study.</w:t>
            </w:r>
          </w:p>
        </w:tc>
        <w:tc>
          <w:tcPr>
            <w:tcW w:w="2518"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Pain Medicine (Malden, Mass.) [Pain Med] 2016 Jan 6. Date of Electronic</w:t>
            </w:r>
          </w:p>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2016 Jan 6.</w:t>
            </w:r>
          </w:p>
        </w:tc>
      </w:tr>
      <w:tr w:rsidR="007D5FE3" w:rsidRPr="007F3F86" w:rsidTr="00AF6C53">
        <w:tc>
          <w:tcPr>
            <w:tcW w:w="2570" w:type="dxa"/>
          </w:tcPr>
          <w:p w:rsidR="007D5FE3" w:rsidRPr="007F3F86" w:rsidRDefault="007D5FE3" w:rsidP="007D5FE3">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Wang X, Blizzard L, Jin X, Chen Z, Zhu Z, Han W, Halliday A, Cicuttini F, Jones G, Ding C</w:t>
            </w:r>
          </w:p>
        </w:tc>
        <w:tc>
          <w:tcPr>
            <w:tcW w:w="1082" w:type="dxa"/>
          </w:tcPr>
          <w:p w:rsidR="007D5FE3" w:rsidRPr="007F3F86" w:rsidRDefault="007D5FE3"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Quantitative Assessment of Knee Effusion-Synovitis in Older Adults: Association</w:t>
            </w:r>
          </w:p>
          <w:p w:rsidR="007D5FE3"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With Knee Structural Abnormalities.</w:t>
            </w:r>
          </w:p>
        </w:tc>
        <w:tc>
          <w:tcPr>
            <w:tcW w:w="2518"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Arthritis &amp; Rheumatology (Hoboken, N.J.) [Arthritis Rheumatol] 2016 Apr;</w:t>
            </w:r>
          </w:p>
          <w:p w:rsidR="007D5FE3"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Vol. 68 (4), pp. 837-44.</w:t>
            </w:r>
          </w:p>
        </w:tc>
      </w:tr>
      <w:tr w:rsidR="00691779" w:rsidRPr="007F3F86" w:rsidTr="00AF6C53">
        <w:tc>
          <w:tcPr>
            <w:tcW w:w="2570"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Wang X, Blizzard L, W, Halliday,Han W, Jin X, A, Cicuttini F, Jones G, Ding C</w:t>
            </w:r>
          </w:p>
        </w:tc>
        <w:tc>
          <w:tcPr>
            <w:tcW w:w="1082" w:type="dxa"/>
          </w:tcPr>
          <w:p w:rsidR="00691779" w:rsidRPr="007F3F86" w:rsidRDefault="00691779"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Association between MRIdetected knee joint regional effusion-synovitis and structural changes in older adults: a cohort study.</w:t>
            </w:r>
          </w:p>
        </w:tc>
        <w:tc>
          <w:tcPr>
            <w:tcW w:w="2518"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Annals Of The Rheumatic Diseases [Ann Rheum Dis] 2016 Mar; Vol. 75</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(3), pp. 519-25. Date of ElectronicPublication: 2014 Dec 30.</w:t>
            </w:r>
          </w:p>
        </w:tc>
      </w:tr>
      <w:tr w:rsidR="00691779" w:rsidRPr="007F3F86" w:rsidTr="00AF6C53">
        <w:tc>
          <w:tcPr>
            <w:tcW w:w="2570"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Wang X, et al</w:t>
            </w:r>
          </w:p>
        </w:tc>
        <w:tc>
          <w:tcPr>
            <w:tcW w:w="1082" w:type="dxa"/>
          </w:tcPr>
          <w:p w:rsidR="00691779" w:rsidRPr="007F3F86" w:rsidRDefault="00691779"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Cross-sectional and Longitudinal Associations</w:t>
            </w:r>
          </w:p>
          <w:p w:rsidR="00691779" w:rsidRPr="007F3F86" w:rsidRDefault="00691779" w:rsidP="00691779">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between</w:t>
            </w:r>
            <w:proofErr w:type="gramEnd"/>
            <w:r w:rsidRPr="007F3F86">
              <w:rPr>
                <w:rFonts w:ascii="Gill Sans MT" w:hAnsi="Gill Sans MT" w:cs="GillSans-Light"/>
                <w:sz w:val="20"/>
                <w:szCs w:val="20"/>
              </w:rPr>
              <w:t xml:space="preserve"> Knee Joint Effusion Synovitis and Knee Pain in Older Adults.</w:t>
            </w:r>
          </w:p>
        </w:tc>
        <w:tc>
          <w:tcPr>
            <w:tcW w:w="2518"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Journal Of Rheumatology [J</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Rheumatol] 2016 Jan; Vol. 43 (1), pp. 121-30. Date of Electronic Publication:</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2015 Nov 15.</w:t>
            </w:r>
          </w:p>
        </w:tc>
      </w:tr>
      <w:tr w:rsidR="00691779" w:rsidRPr="007F3F86" w:rsidTr="00AF6C53">
        <w:tc>
          <w:tcPr>
            <w:tcW w:w="2570"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Wang Y, Yang H, Nolan M,</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Negishi K, Burgess J, Marwick</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w:t>
            </w:r>
          </w:p>
        </w:tc>
        <w:tc>
          <w:tcPr>
            <w:tcW w:w="1082" w:type="dxa"/>
          </w:tcPr>
          <w:p w:rsidR="00691779" w:rsidRPr="007F3F86" w:rsidRDefault="00691779"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Association of waist circumference with</w:t>
            </w:r>
          </w:p>
          <w:p w:rsidR="00691779" w:rsidRPr="007F3F86" w:rsidRDefault="00691779" w:rsidP="00691779">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impaired</w:t>
            </w:r>
            <w:proofErr w:type="gramEnd"/>
            <w:r w:rsidRPr="007F3F86">
              <w:rPr>
                <w:rFonts w:ascii="Gill Sans MT" w:hAnsi="Gill Sans MT" w:cs="GillSans-Light"/>
                <w:sz w:val="20"/>
                <w:szCs w:val="20"/>
              </w:rPr>
              <w:t xml:space="preserve"> six-minute walk in type 2 diabetes mellitus is independent of cardiac function.</w:t>
            </w:r>
          </w:p>
        </w:tc>
        <w:tc>
          <w:tcPr>
            <w:tcW w:w="2518"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Diabetes And Its</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Complications [J Diabetes</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Complications] 2016 Apr; Vol. 30 (3), pp. 542-4. Date of Electronic Publication: 2015 Dec 17.</w:t>
            </w:r>
          </w:p>
        </w:tc>
      </w:tr>
      <w:tr w:rsidR="00691779" w:rsidRPr="007F3F86" w:rsidTr="00AF6C53">
        <w:tc>
          <w:tcPr>
            <w:tcW w:w="2570"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Webb PM, de Fazio A, Protani MM, Ibiebele TI, Nagle CM, Brand AH, Blomfield PI, Grant P,</w:t>
            </w:r>
          </w:p>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Perrin LC, Neale RE</w:t>
            </w:r>
          </w:p>
        </w:tc>
        <w:tc>
          <w:tcPr>
            <w:tcW w:w="1082" w:type="dxa"/>
          </w:tcPr>
          <w:p w:rsidR="00691779" w:rsidRPr="007F3F86" w:rsidRDefault="00691779"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691779" w:rsidRPr="007F3F86" w:rsidRDefault="00691779" w:rsidP="00691779">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Circulating 25-hydroxyvitamin D and survival in women with ovarian cancer.</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American Journal Of Clinical Nutrition [Am J Clin Nutr] 2015 Jul; Vol. 102 (1), pp. 109-14. Date of</w:t>
            </w:r>
          </w:p>
          <w:p w:rsidR="00691779"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2015 May 13.</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Williams KH, Sullivan DR,</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Veillard AS, O’Brien R, George J, Jenkins AJ, Young S, Ehnholm C, Duffield A, Twigg SM, Keech AC</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Low alanine aminotransferase levels and higher number of cardiovascular events in people with Type 2 diabetes: analysis of the Fenofibrate</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Intervention and Event Lowering in Diabetes (FIELD) study.</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Diabetic Medicine: A Journal Of The British Diabetic Association [Diabet Med] 2016 Mar; Vol. 33 (3), pp. 356-</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64. Date of Electronic Publication: 2015 Dec 07.</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Wong HL, Lee B, Field K,</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Lomax A, Tacey M, Shapiro J, McKendrick J, Zimet A, Yip D, Nott L, Jennens R, Richardson G, Tie J, Kosmider S, Parente P,</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Lim L, Cooray P, Tran B, Desai J, Wong R, Gibbs P</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Impact of Primary Tumor Site on Bevacizumab Efficacy in Metastatic Colorectal Cancer.</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Clinical Colorectal Cancer [Clin Colorectal Cancer] 2016 Feb 13. Date of Electronic Publication: 2016 Feb 13.</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Wong SF, Wong HL, Field</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KM, Kosmider S, Tie J, Wong R, Tacey M, Shapiro J, Nott L, Richardson G, Cooray P, Jones I, Croxford M, Gibbs P</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2015</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Primary Tumor Resection and Overall Survival in Patients With Metastatic Colorectal Cancer Treated With Palliative Intent.</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Clinical Colorectal Cancer [Clin Colorectal Cancer] 2015 Dec 29. Date of Electronic Publication: 2015 Dec 29.</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lastRenderedPageBreak/>
              <w:t>Wright L, Dwyer N, Power J, Kritharides L, Celermajer D, Marwick TH</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Right Ventricular Systolic Function Responses to Acute and Chronic Pulmonary Hypertension: Assessment with Myocardial Deformation.</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American Society Of Echocardiography: Official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Publication Of The American Society</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Of Echocardiography [J Am Soc Echocardiogr] 2016 Mar; Vol. 29 (3),</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pp. 259-66.</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Celermajer D, Kritharides 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TH</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Follow-Up of Pulmonary Hypertension With</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Echocardiography.</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JACC. Cardiovascular Imaging [JACC Cardiovasc Imaging] 2016 Jun; Vol. 9</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(6), pp. 733-46.</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Use of Isovolumetric Acceleration as an Afterloadindependent Marker of RV</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Dysfunction in Scleroderma.</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Hand Therapy (J HAND THER), Apr/Jun2016; 29(2): B127-B128. (2p)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Importance of right atrial conduit function to right atrial pressure estimation with echocardiography: A role for atrial strain assessment</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American College of Cardiology (JACC) (J AM COLL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CARDIOL), Apr2016 Supplement; 67(13S): 1597-1597. (1p)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Determinants of overt and masked pumonary</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hypertension in scleroderma </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American College of Cardiology (JACC) (J AM COLL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CARDIOL), Apr2016 Supplement; 67(13S): 1786-1786. (1p)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Distinction of pre- versus post-capillary pulmonary arterial hypertension</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American College of Cardiology (JACC) (J AM COLL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CARDIOL), Apr2016 Supplement; 67(13S): 1787-1787. (1p)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Brachial Flow-mediated Dilatation is Associated with Pulmonary Artery Pressure in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Scleroderma.</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Hand Therapy (J HAND THER), Apr/Jun2016; 29(2): B71-B71. (1/3p)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Wright LM., Dwyer N,</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Marwick T</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Endothelial Function as a Potential Marker for</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Pulmonary Hypertension in Scleroderma.</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Hand Therapy (J HAND THER), Apr/Jun2016; 29(2): B97-B98. (2p)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Yeoh SW, Middleton C</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Outside the scope of our practice: an unexpected</w:t>
            </w:r>
          </w:p>
          <w:p w:rsidR="00533B7F" w:rsidRPr="007F3F86" w:rsidRDefault="00533B7F" w:rsidP="00533B7F">
            <w:pPr>
              <w:autoSpaceDE w:val="0"/>
              <w:autoSpaceDN w:val="0"/>
              <w:adjustRightInd w:val="0"/>
              <w:rPr>
                <w:rFonts w:ascii="Gill Sans MT" w:hAnsi="Gill Sans MT" w:cs="GillSans-Light"/>
                <w:sz w:val="20"/>
                <w:szCs w:val="20"/>
              </w:rPr>
            </w:pPr>
            <w:proofErr w:type="gramStart"/>
            <w:r w:rsidRPr="007F3F86">
              <w:rPr>
                <w:rFonts w:ascii="Gill Sans MT" w:hAnsi="Gill Sans MT" w:cs="GillSans-Light"/>
                <w:sz w:val="20"/>
                <w:szCs w:val="20"/>
              </w:rPr>
              <w:t>thoracoscopy</w:t>
            </w:r>
            <w:proofErr w:type="gramEnd"/>
            <w:r w:rsidRPr="007F3F86">
              <w:rPr>
                <w:rFonts w:ascii="Gill Sans MT" w:hAnsi="Gill Sans MT" w:cs="GillSans-Light"/>
                <w:sz w:val="20"/>
                <w:szCs w:val="20"/>
              </w:rPr>
              <w:t xml:space="preserve"> and pleurocentesis during gastroscopy.</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Endoscopy [Endoscopy] 2016; Vol. 48 Suppl 1 UCTN, pp. E82-3. Date of</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Electronic Publication: 2016 Mar 07.</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Yousaf F, Zaidi ST, Wanandy T,</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Jose MD, Patel RP</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Stability of Cefepime in pHNeutral Peritoneal Dialysis Solutions Packaged in Dual- Compartment Bags.</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Peritoneal Dialysis International:</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The International Society For Peritoneal Dialysis [Perit Dial Int]</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2016 7-8; Vol. 36 (4), pp. 457-459.</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Zaidi STR</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De-mystifying pharmacoeconomics and a suggestive approach to evaluating the cost-effectiveness of antimicrobial stewardship.</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Journal of Pharmacy Practice &amp; Research (J PHARM PRACT RES),</w:t>
            </w:r>
          </w:p>
          <w:p w:rsidR="00533B7F" w:rsidRPr="007F3F86" w:rsidRDefault="00533B7F" w:rsidP="00533B7F">
            <w:pPr>
              <w:autoSpaceDE w:val="0"/>
              <w:autoSpaceDN w:val="0"/>
              <w:adjustRightInd w:val="0"/>
              <w:jc w:val="center"/>
              <w:rPr>
                <w:rFonts w:ascii="Gill Sans MT" w:hAnsi="Gill Sans MT" w:cs="GillSans-Light"/>
                <w:sz w:val="20"/>
                <w:szCs w:val="20"/>
              </w:rPr>
            </w:pPr>
            <w:r w:rsidRPr="007F3F86">
              <w:rPr>
                <w:rFonts w:ascii="Gill Sans MT" w:hAnsi="Gill Sans MT" w:cs="GillSans-Light"/>
                <w:sz w:val="20"/>
                <w:szCs w:val="20"/>
              </w:rPr>
              <w:t>Mar2016; 46(1): 94-99. (6p)</w:t>
            </w:r>
          </w:p>
        </w:tc>
      </w:tr>
      <w:tr w:rsidR="00533B7F" w:rsidRPr="007F3F86" w:rsidTr="00AF6C53">
        <w:tc>
          <w:tcPr>
            <w:tcW w:w="2570"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Zucca A, Sanson-Fisher R,</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Waller A, Carey M, Boadle </w:t>
            </w:r>
            <w:r w:rsidRPr="007F3F86">
              <w:rPr>
                <w:rFonts w:ascii="Gill Sans MT" w:hAnsi="Gill Sans MT" w:cs="GillSans-Light"/>
                <w:sz w:val="20"/>
                <w:szCs w:val="20"/>
              </w:rPr>
              <w:lastRenderedPageBreak/>
              <w:t>D</w:t>
            </w:r>
          </w:p>
        </w:tc>
        <w:tc>
          <w:tcPr>
            <w:tcW w:w="1082" w:type="dxa"/>
          </w:tcPr>
          <w:p w:rsidR="00533B7F" w:rsidRPr="007F3F86" w:rsidRDefault="00533B7F" w:rsidP="00AF6C53">
            <w:pPr>
              <w:rPr>
                <w:rFonts w:ascii="Gill Sans MT" w:hAnsi="Gill Sans MT" w:cs="GillSans-Light"/>
                <w:sz w:val="20"/>
                <w:szCs w:val="20"/>
              </w:rPr>
            </w:pPr>
            <w:r w:rsidRPr="007F3F86">
              <w:rPr>
                <w:rFonts w:ascii="Gill Sans MT" w:hAnsi="Gill Sans MT" w:cs="GillSans-Light"/>
                <w:sz w:val="20"/>
                <w:szCs w:val="20"/>
              </w:rPr>
              <w:lastRenderedPageBreak/>
              <w:t>2016</w:t>
            </w:r>
          </w:p>
        </w:tc>
        <w:tc>
          <w:tcPr>
            <w:tcW w:w="4111"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The first step in ensuring patient-centred quality of care: ask the patient.</w:t>
            </w:r>
          </w:p>
        </w:tc>
        <w:tc>
          <w:tcPr>
            <w:tcW w:w="2518" w:type="dxa"/>
          </w:tcPr>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 xml:space="preserve">European Journal Of Cancer Care [Eur J Cancer </w:t>
            </w:r>
            <w:r w:rsidRPr="007F3F86">
              <w:rPr>
                <w:rFonts w:ascii="Gill Sans MT" w:hAnsi="Gill Sans MT" w:cs="GillSans-Light"/>
                <w:sz w:val="20"/>
                <w:szCs w:val="20"/>
              </w:rPr>
              <w:lastRenderedPageBreak/>
              <w:t>Care (Engl)] 2016 Jan 10.</w:t>
            </w:r>
          </w:p>
          <w:p w:rsidR="00533B7F" w:rsidRPr="007F3F86" w:rsidRDefault="00533B7F" w:rsidP="00533B7F">
            <w:pPr>
              <w:autoSpaceDE w:val="0"/>
              <w:autoSpaceDN w:val="0"/>
              <w:adjustRightInd w:val="0"/>
              <w:rPr>
                <w:rFonts w:ascii="Gill Sans MT" w:hAnsi="Gill Sans MT" w:cs="GillSans-Light"/>
                <w:sz w:val="20"/>
                <w:szCs w:val="20"/>
              </w:rPr>
            </w:pPr>
            <w:r w:rsidRPr="007F3F86">
              <w:rPr>
                <w:rFonts w:ascii="Gill Sans MT" w:hAnsi="Gill Sans MT" w:cs="GillSans-Light"/>
                <w:sz w:val="20"/>
                <w:szCs w:val="20"/>
              </w:rPr>
              <w:t>Date of Electronic Publication: 2016 Jan 10.</w:t>
            </w:r>
          </w:p>
        </w:tc>
      </w:tr>
    </w:tbl>
    <w:p w:rsidR="00AF6C53" w:rsidRDefault="007D5FE3" w:rsidP="00D34FCB">
      <w:r>
        <w:lastRenderedPageBreak/>
        <w:tab/>
      </w:r>
      <w:r>
        <w:tab/>
      </w:r>
    </w:p>
    <w:p w:rsidR="006D3DA1" w:rsidRDefault="006D3DA1">
      <w:r>
        <w:br w:type="page"/>
      </w:r>
    </w:p>
    <w:p w:rsidR="00AF6C53" w:rsidRDefault="006D3DA1" w:rsidP="006D3DA1">
      <w:pPr>
        <w:pStyle w:val="Heading3"/>
      </w:pPr>
      <w:bookmarkStart w:id="42" w:name="_Toc472581982"/>
      <w:r>
        <w:lastRenderedPageBreak/>
        <w:t>Glossary</w:t>
      </w:r>
      <w:bookmarkEnd w:id="42"/>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Glossary"/>
      </w:tblPr>
      <w:tblGrid>
        <w:gridCol w:w="1549"/>
        <w:gridCol w:w="7644"/>
      </w:tblGrid>
      <w:tr w:rsidR="006D3DA1" w:rsidRPr="006D3DA1" w:rsidTr="006D3DA1">
        <w:trPr>
          <w:trHeight w:hRule="exact" w:val="291"/>
          <w:tblHeader/>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Term</w:t>
            </w:r>
          </w:p>
        </w:tc>
        <w:tc>
          <w:tcPr>
            <w:tcW w:w="7644" w:type="dxa"/>
            <w:shd w:val="clear" w:color="auto" w:fill="auto"/>
          </w:tcPr>
          <w:p w:rsidR="006D3DA1" w:rsidRPr="006D3DA1" w:rsidRDefault="006D3DA1" w:rsidP="00C74DC5">
            <w:pPr>
              <w:pStyle w:val="TableParagraph"/>
              <w:spacing w:before="38"/>
              <w:ind w:left="76"/>
              <w:rPr>
                <w:rFonts w:ascii="Gill Sans MT" w:hAnsi="Gill Sans MT"/>
                <w:b/>
                <w:sz w:val="18"/>
              </w:rPr>
            </w:pPr>
            <w:r w:rsidRPr="006D3DA1">
              <w:rPr>
                <w:rFonts w:ascii="Gill Sans MT" w:hAnsi="Gill Sans MT"/>
                <w:b/>
                <w:sz w:val="18"/>
              </w:rPr>
              <w:t>Description</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A&amp;RS</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Audit and Risk Sub-Committee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AAS</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Australian Accounting Standards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AASB</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Australian Accounting Standards Board</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ABF</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Activity Based Funding</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ABS</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Australian Bureau of Statistics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ACAA</w:t>
            </w:r>
          </w:p>
        </w:tc>
        <w:tc>
          <w:tcPr>
            <w:tcW w:w="7644" w:type="dxa"/>
            <w:shd w:val="clear" w:color="auto" w:fill="auto"/>
          </w:tcPr>
          <w:p w:rsidR="006D3DA1" w:rsidRPr="006D3DA1" w:rsidRDefault="006D3DA1" w:rsidP="00C74DC5">
            <w:pPr>
              <w:pStyle w:val="TableParagraph"/>
              <w:spacing w:before="38"/>
              <w:ind w:left="76"/>
              <w:rPr>
                <w:rFonts w:ascii="Gill Sans MT" w:hAnsi="Gill Sans MT"/>
                <w:sz w:val="18"/>
              </w:rPr>
            </w:pPr>
            <w:r w:rsidRPr="006D3DA1">
              <w:rPr>
                <w:rFonts w:ascii="Gill Sans MT" w:hAnsi="Gill Sans MT"/>
                <w:sz w:val="18"/>
              </w:rPr>
              <w:t>Aged Care Association Australia</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Acute Care Certificates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ACGB</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Centre for Grief and Bereavement</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ACHS</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Council on Healthcare Standards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ACP</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Advance Care Planning</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ACSQHC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Commission on Safety and Quality in  Healthcare</w:t>
            </w:r>
          </w:p>
        </w:tc>
      </w:tr>
      <w:tr w:rsidR="006D3DA1" w:rsidRPr="006D3DA1" w:rsidTr="006D3DA1">
        <w:trPr>
          <w:trHeight w:hRule="exact" w:val="884"/>
        </w:trPr>
        <w:tc>
          <w:tcPr>
            <w:tcW w:w="1549" w:type="dxa"/>
            <w:shd w:val="clear" w:color="auto" w:fill="auto"/>
          </w:tcPr>
          <w:p w:rsidR="006D3DA1" w:rsidRPr="006D3DA1" w:rsidRDefault="006D3DA1" w:rsidP="00C74DC5">
            <w:pPr>
              <w:pStyle w:val="TableParagraph"/>
              <w:spacing w:before="46" w:line="200" w:lineRule="exact"/>
              <w:ind w:left="75"/>
              <w:rPr>
                <w:rFonts w:ascii="Gill Sans MT" w:hAnsi="Gill Sans MT"/>
                <w:b/>
                <w:sz w:val="18"/>
              </w:rPr>
            </w:pPr>
            <w:r w:rsidRPr="006D3DA1">
              <w:rPr>
                <w:rFonts w:ascii="Gill Sans MT" w:hAnsi="Gill Sans MT"/>
                <w:b/>
                <w:sz w:val="18"/>
              </w:rPr>
              <w:t>Activity Based Funding (ABF)</w:t>
            </w:r>
          </w:p>
        </w:tc>
        <w:tc>
          <w:tcPr>
            <w:tcW w:w="7644" w:type="dxa"/>
            <w:shd w:val="clear" w:color="auto" w:fill="auto"/>
          </w:tcPr>
          <w:p w:rsidR="006D3DA1" w:rsidRPr="006D3DA1" w:rsidRDefault="006D3DA1" w:rsidP="00C74DC5">
            <w:pPr>
              <w:pStyle w:val="TableParagraph"/>
              <w:spacing w:before="40" w:line="200" w:lineRule="exact"/>
              <w:ind w:left="76" w:right="169"/>
              <w:rPr>
                <w:rFonts w:ascii="Gill Sans MT" w:hAnsi="Gill Sans MT"/>
                <w:sz w:val="18"/>
              </w:rPr>
            </w:pPr>
            <w:r w:rsidRPr="006D3DA1">
              <w:rPr>
                <w:rFonts w:ascii="Gill Sans MT" w:hAnsi="Gill Sans MT"/>
                <w:spacing w:val="3"/>
                <w:sz w:val="18"/>
              </w:rPr>
              <w:t xml:space="preserve">Activity </w:t>
            </w:r>
            <w:r w:rsidRPr="006D3DA1">
              <w:rPr>
                <w:rFonts w:ascii="Gill Sans MT" w:hAnsi="Gill Sans MT"/>
                <w:spacing w:val="2"/>
                <w:sz w:val="18"/>
              </w:rPr>
              <w:t xml:space="preserve">Based </w:t>
            </w:r>
            <w:r w:rsidRPr="006D3DA1">
              <w:rPr>
                <w:rFonts w:ascii="Gill Sans MT" w:hAnsi="Gill Sans MT"/>
                <w:sz w:val="18"/>
              </w:rPr>
              <w:t xml:space="preserve">Funding </w:t>
            </w:r>
            <w:r w:rsidRPr="006D3DA1">
              <w:rPr>
                <w:rFonts w:ascii="Gill Sans MT" w:hAnsi="Gill Sans MT"/>
                <w:spacing w:val="2"/>
                <w:sz w:val="18"/>
              </w:rPr>
              <w:t xml:space="preserve">(ABF) </w:t>
            </w:r>
            <w:r w:rsidRPr="006D3DA1">
              <w:rPr>
                <w:rFonts w:ascii="Gill Sans MT" w:hAnsi="Gill Sans MT"/>
                <w:sz w:val="18"/>
              </w:rPr>
              <w:t xml:space="preserve">is the model of </w:t>
            </w:r>
            <w:r w:rsidRPr="006D3DA1">
              <w:rPr>
                <w:rFonts w:ascii="Gill Sans MT" w:hAnsi="Gill Sans MT"/>
                <w:spacing w:val="2"/>
                <w:sz w:val="18"/>
              </w:rPr>
              <w:t xml:space="preserve">reimbursing </w:t>
            </w:r>
            <w:r w:rsidRPr="006D3DA1">
              <w:rPr>
                <w:rFonts w:ascii="Gill Sans MT" w:hAnsi="Gill Sans MT"/>
                <w:sz w:val="18"/>
              </w:rPr>
              <w:t xml:space="preserve">a </w:t>
            </w:r>
            <w:r w:rsidRPr="006D3DA1">
              <w:rPr>
                <w:rFonts w:ascii="Gill Sans MT" w:hAnsi="Gill Sans MT"/>
                <w:spacing w:val="2"/>
                <w:sz w:val="18"/>
              </w:rPr>
              <w:t xml:space="preserve">health care </w:t>
            </w:r>
            <w:r w:rsidRPr="006D3DA1">
              <w:rPr>
                <w:rFonts w:ascii="Gill Sans MT" w:hAnsi="Gill Sans MT"/>
                <w:spacing w:val="3"/>
                <w:sz w:val="18"/>
              </w:rPr>
              <w:t xml:space="preserve">service </w:t>
            </w:r>
            <w:r w:rsidRPr="006D3DA1">
              <w:rPr>
                <w:rFonts w:ascii="Gill Sans MT" w:hAnsi="Gill Sans MT"/>
                <w:sz w:val="18"/>
              </w:rPr>
              <w:t xml:space="preserve">for the cost of </w:t>
            </w:r>
            <w:r w:rsidRPr="006D3DA1">
              <w:rPr>
                <w:rFonts w:ascii="Gill Sans MT" w:hAnsi="Gill Sans MT"/>
                <w:spacing w:val="2"/>
                <w:sz w:val="18"/>
              </w:rPr>
              <w:t xml:space="preserve">patient </w:t>
            </w:r>
            <w:r w:rsidRPr="006D3DA1">
              <w:rPr>
                <w:rFonts w:ascii="Gill Sans MT" w:hAnsi="Gill Sans MT"/>
                <w:spacing w:val="3"/>
                <w:sz w:val="18"/>
              </w:rPr>
              <w:t xml:space="preserve">care. </w:t>
            </w:r>
            <w:r w:rsidRPr="006D3DA1">
              <w:rPr>
                <w:rFonts w:ascii="Gill Sans MT" w:hAnsi="Gill Sans MT"/>
                <w:spacing w:val="2"/>
                <w:sz w:val="18"/>
              </w:rPr>
              <w:t xml:space="preserve">The ABF </w:t>
            </w:r>
            <w:r w:rsidRPr="006D3DA1">
              <w:rPr>
                <w:rFonts w:ascii="Gill Sans MT" w:hAnsi="Gill Sans MT"/>
                <w:spacing w:val="3"/>
                <w:sz w:val="18"/>
              </w:rPr>
              <w:t xml:space="preserve">system </w:t>
            </w:r>
            <w:r w:rsidRPr="006D3DA1">
              <w:rPr>
                <w:rFonts w:ascii="Gill Sans MT" w:hAnsi="Gill Sans MT"/>
                <w:sz w:val="18"/>
              </w:rPr>
              <w:t xml:space="preserve">provides payment for acute </w:t>
            </w:r>
            <w:r w:rsidRPr="006D3DA1">
              <w:rPr>
                <w:rFonts w:ascii="Gill Sans MT" w:hAnsi="Gill Sans MT"/>
                <w:spacing w:val="2"/>
                <w:sz w:val="18"/>
              </w:rPr>
              <w:t xml:space="preserve">patients treated within hospitals. Hospitals are </w:t>
            </w:r>
            <w:r w:rsidRPr="006D3DA1">
              <w:rPr>
                <w:rFonts w:ascii="Gill Sans MT" w:hAnsi="Gill Sans MT"/>
                <w:sz w:val="18"/>
              </w:rPr>
              <w:t xml:space="preserve">paid a set amount for each patient </w:t>
            </w:r>
            <w:r w:rsidRPr="006D3DA1">
              <w:rPr>
                <w:rFonts w:ascii="Gill Sans MT" w:hAnsi="Gill Sans MT"/>
                <w:spacing w:val="2"/>
                <w:sz w:val="18"/>
              </w:rPr>
              <w:t xml:space="preserve">treated </w:t>
            </w:r>
            <w:r w:rsidRPr="006D3DA1">
              <w:rPr>
                <w:rFonts w:ascii="Gill Sans MT" w:hAnsi="Gill Sans MT"/>
                <w:sz w:val="18"/>
              </w:rPr>
              <w:t xml:space="preserve">based on the </w:t>
            </w:r>
            <w:r w:rsidRPr="006D3DA1">
              <w:rPr>
                <w:rFonts w:ascii="Gill Sans MT" w:hAnsi="Gill Sans MT"/>
                <w:spacing w:val="2"/>
                <w:sz w:val="18"/>
              </w:rPr>
              <w:t xml:space="preserve">relative </w:t>
            </w:r>
            <w:r w:rsidRPr="006D3DA1">
              <w:rPr>
                <w:rFonts w:ascii="Gill Sans MT" w:hAnsi="Gill Sans MT"/>
                <w:sz w:val="18"/>
              </w:rPr>
              <w:t xml:space="preserve">cost of the </w:t>
            </w:r>
            <w:r w:rsidRPr="006D3DA1">
              <w:rPr>
                <w:rFonts w:ascii="Gill Sans MT" w:hAnsi="Gill Sans MT"/>
                <w:spacing w:val="2"/>
                <w:sz w:val="18"/>
              </w:rPr>
              <w:t xml:space="preserve">group </w:t>
            </w:r>
            <w:r w:rsidRPr="006D3DA1">
              <w:rPr>
                <w:rFonts w:ascii="Gill Sans MT" w:hAnsi="Gill Sans MT"/>
                <w:sz w:val="18"/>
              </w:rPr>
              <w:t xml:space="preserve">(DRG) to which the </w:t>
            </w:r>
            <w:r w:rsidRPr="006D3DA1">
              <w:rPr>
                <w:rFonts w:ascii="Gill Sans MT" w:hAnsi="Gill Sans MT"/>
                <w:spacing w:val="2"/>
                <w:sz w:val="18"/>
              </w:rPr>
              <w:t xml:space="preserve">separation </w:t>
            </w:r>
            <w:r w:rsidRPr="006D3DA1">
              <w:rPr>
                <w:rFonts w:ascii="Gill Sans MT" w:hAnsi="Gill Sans MT"/>
                <w:sz w:val="18"/>
              </w:rPr>
              <w:t>is</w:t>
            </w:r>
            <w:r w:rsidRPr="006D3DA1">
              <w:rPr>
                <w:rFonts w:ascii="Gill Sans MT" w:hAnsi="Gill Sans MT"/>
                <w:spacing w:val="25"/>
                <w:sz w:val="18"/>
              </w:rPr>
              <w:t xml:space="preserve"> </w:t>
            </w:r>
            <w:r w:rsidRPr="006D3DA1">
              <w:rPr>
                <w:rFonts w:ascii="Gill Sans MT" w:hAnsi="Gill Sans MT"/>
                <w:sz w:val="18"/>
              </w:rPr>
              <w:t>allocated.</w:t>
            </w:r>
          </w:p>
        </w:tc>
      </w:tr>
      <w:tr w:rsidR="006D3DA1" w:rsidRPr="006D3DA1" w:rsidTr="006D3DA1">
        <w:trPr>
          <w:trHeight w:hRule="exact" w:val="1084"/>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Acute admission</w:t>
            </w:r>
          </w:p>
        </w:tc>
        <w:tc>
          <w:tcPr>
            <w:tcW w:w="7644" w:type="dxa"/>
            <w:shd w:val="clear" w:color="auto" w:fill="auto"/>
          </w:tcPr>
          <w:p w:rsidR="006D3DA1" w:rsidRPr="006D3DA1" w:rsidRDefault="006D3DA1" w:rsidP="00C74DC5">
            <w:pPr>
              <w:pStyle w:val="TableParagraph"/>
              <w:spacing w:before="40" w:line="200" w:lineRule="exact"/>
              <w:ind w:left="76" w:right="356"/>
              <w:rPr>
                <w:rFonts w:ascii="Gill Sans MT" w:hAnsi="Gill Sans MT"/>
                <w:sz w:val="18"/>
              </w:rPr>
            </w:pPr>
            <w:r w:rsidRPr="006D3DA1">
              <w:rPr>
                <w:rFonts w:ascii="Gill Sans MT" w:hAnsi="Gill Sans MT"/>
                <w:sz w:val="18"/>
              </w:rPr>
              <w:t>Acute care is care in which the primary clinical purpose or treatment goal is to: manage labour (obstetric), cure illness or provide definitive treatment of injury, perform surgery, relieve symptoms of illness or injury (excluding palliative care), reduce severity of an illness or injury, protect against exacerbation and/or complication of an illness and/or injury which could threaten life or normal function, perform diagnostic or therapeutic procedures.</w:t>
            </w:r>
          </w:p>
        </w:tc>
      </w:tr>
      <w:tr w:rsidR="006D3DA1" w:rsidRPr="006D3DA1" w:rsidTr="006D3DA1">
        <w:trPr>
          <w:trHeight w:hRule="exact" w:val="1644"/>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Admission</w:t>
            </w:r>
          </w:p>
        </w:tc>
        <w:tc>
          <w:tcPr>
            <w:tcW w:w="7644" w:type="dxa"/>
            <w:shd w:val="clear" w:color="auto" w:fill="auto"/>
          </w:tcPr>
          <w:p w:rsidR="006D3DA1" w:rsidRPr="006D3DA1" w:rsidRDefault="006D3DA1" w:rsidP="00C74DC5">
            <w:pPr>
              <w:pStyle w:val="TableParagraph"/>
              <w:spacing w:before="40" w:line="200" w:lineRule="exact"/>
              <w:ind w:left="76"/>
              <w:rPr>
                <w:rFonts w:ascii="Gill Sans MT" w:hAnsi="Gill Sans MT"/>
                <w:sz w:val="18"/>
              </w:rPr>
            </w:pPr>
            <w:r w:rsidRPr="006D3DA1">
              <w:rPr>
                <w:rFonts w:ascii="Gill Sans MT" w:hAnsi="Gill Sans MT"/>
                <w:sz w:val="18"/>
              </w:rPr>
              <w:t xml:space="preserve">An admission is a process whereby a hospital accepts responsibility for a patient’s care or treatment. Admission follows a clinical decision based upon specified criteria that a patient requires same-day or overnight (or multi-day) care or treatment. An admission may be formal </w:t>
            </w:r>
            <w:proofErr w:type="gramStart"/>
            <w:r w:rsidRPr="006D3DA1">
              <w:rPr>
                <w:rFonts w:ascii="Gill Sans MT" w:hAnsi="Gill Sans MT"/>
                <w:sz w:val="18"/>
              </w:rPr>
              <w:t>or  statistical</w:t>
            </w:r>
            <w:proofErr w:type="gramEnd"/>
            <w:r w:rsidRPr="006D3DA1">
              <w:rPr>
                <w:rFonts w:ascii="Gill Sans MT" w:hAnsi="Gill Sans MT"/>
                <w:sz w:val="18"/>
              </w:rPr>
              <w:t>.</w:t>
            </w:r>
          </w:p>
          <w:p w:rsidR="006D3DA1" w:rsidRPr="006D3DA1" w:rsidRDefault="006D3DA1" w:rsidP="00C74DC5">
            <w:pPr>
              <w:pStyle w:val="TableParagraph"/>
              <w:spacing w:before="79" w:line="200" w:lineRule="exact"/>
              <w:ind w:left="76"/>
              <w:rPr>
                <w:rFonts w:ascii="Gill Sans MT" w:hAnsi="Gill Sans MT"/>
                <w:sz w:val="18"/>
              </w:rPr>
            </w:pPr>
            <w:r w:rsidRPr="006D3DA1">
              <w:rPr>
                <w:rFonts w:ascii="Gill Sans MT" w:hAnsi="Gill Sans MT"/>
                <w:sz w:val="18"/>
              </w:rPr>
              <w:t>A formal admission is the adminstrative process by which a hospital records the commencement of treatment/care or accommodation of a patient.</w:t>
            </w:r>
          </w:p>
          <w:p w:rsidR="006D3DA1" w:rsidRPr="006D3DA1" w:rsidRDefault="006D3DA1" w:rsidP="00C74DC5">
            <w:pPr>
              <w:pStyle w:val="TableParagraph"/>
              <w:spacing w:before="79" w:line="200" w:lineRule="exact"/>
              <w:ind w:left="76"/>
              <w:rPr>
                <w:rFonts w:ascii="Gill Sans MT" w:hAnsi="Gill Sans MT"/>
                <w:sz w:val="18"/>
              </w:rPr>
            </w:pPr>
            <w:r w:rsidRPr="006D3DA1">
              <w:rPr>
                <w:rFonts w:ascii="Gill Sans MT" w:hAnsi="Gill Sans MT"/>
                <w:sz w:val="18"/>
              </w:rPr>
              <w:t>A statistical admission is the administrative process by which a hospital records the commencement of treatment/care or accommodation of a patient.</w:t>
            </w:r>
          </w:p>
        </w:tc>
      </w:tr>
      <w:tr w:rsidR="006D3DA1" w:rsidRPr="006D3DA1" w:rsidTr="0094237D">
        <w:trPr>
          <w:trHeight w:hRule="exact" w:val="882"/>
        </w:trPr>
        <w:tc>
          <w:tcPr>
            <w:tcW w:w="1549" w:type="dxa"/>
            <w:shd w:val="clear" w:color="auto" w:fill="auto"/>
          </w:tcPr>
          <w:p w:rsidR="006D3DA1" w:rsidRPr="006D3DA1" w:rsidRDefault="006D3DA1" w:rsidP="00C74DC5">
            <w:pPr>
              <w:pStyle w:val="TableParagraph"/>
              <w:spacing w:before="47" w:line="200" w:lineRule="exact"/>
              <w:ind w:left="75"/>
              <w:rPr>
                <w:rFonts w:ascii="Gill Sans MT" w:hAnsi="Gill Sans MT"/>
                <w:b/>
                <w:sz w:val="18"/>
              </w:rPr>
            </w:pPr>
            <w:r w:rsidRPr="006D3DA1">
              <w:rPr>
                <w:rFonts w:ascii="Gill Sans MT" w:hAnsi="Gill Sans MT"/>
                <w:b/>
                <w:sz w:val="18"/>
              </w:rPr>
              <w:t>Admissions from elective surgery waiting lists:</w:t>
            </w:r>
          </w:p>
        </w:tc>
        <w:tc>
          <w:tcPr>
            <w:tcW w:w="7644" w:type="dxa"/>
            <w:shd w:val="clear" w:color="auto" w:fill="auto"/>
          </w:tcPr>
          <w:p w:rsidR="006D3DA1" w:rsidRPr="006D3DA1" w:rsidRDefault="006D3DA1" w:rsidP="00C74DC5">
            <w:pPr>
              <w:pStyle w:val="TableParagraph"/>
              <w:spacing w:before="40" w:line="200" w:lineRule="exact"/>
              <w:ind w:left="76" w:right="356"/>
              <w:rPr>
                <w:rFonts w:ascii="Gill Sans MT" w:hAnsi="Gill Sans MT"/>
                <w:sz w:val="18"/>
              </w:rPr>
            </w:pPr>
            <w:r w:rsidRPr="006D3DA1">
              <w:rPr>
                <w:rFonts w:ascii="Gill Sans MT" w:hAnsi="Gill Sans MT"/>
                <w:sz w:val="18"/>
              </w:rPr>
              <w:t>Patients on waiting lists for elective surgery are assigned a clinical urgency status which indicates the clinical assessment of the urgency with which a patient requires elective hospital care. On admission, they will also be assigned an urgency of admission cat</w:t>
            </w:r>
            <w:r w:rsidR="0094237D">
              <w:rPr>
                <w:rFonts w:ascii="Gill Sans MT" w:hAnsi="Gill Sans MT"/>
                <w:sz w:val="18"/>
              </w:rPr>
              <w:t xml:space="preserve">egory, which may or may not be </w:t>
            </w:r>
            <w:r w:rsidRPr="006D3DA1">
              <w:rPr>
                <w:rFonts w:ascii="Gill Sans MT" w:hAnsi="Gill Sans MT"/>
                <w:sz w:val="18"/>
              </w:rPr>
              <w:t>elective.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AIHW</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Institute of Health and Welfare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AMS</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Asset Management Services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ANZSPM</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 and New Zealand Society for Palliative  Medicine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APHCRI</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Primary Health Care Research Institute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ARSC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Audit and Risk Sub-Committee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ATO</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Australian Taxation Office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ATS</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Australasian Triage Scale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BEIMS</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Building Engineering Information Management System</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CAC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Consumer Advisory Council</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CALD</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Culturally and linguistically diverse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CEAG</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Community Engagement Advisory Group</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CEC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Consumer Engagement Committee</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CEO</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Chief Executive Officer</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CERG</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Consumer Engagement Reference Group</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CHAPS</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Child Health and Parenting Services</w:t>
            </w:r>
          </w:p>
        </w:tc>
      </w:tr>
      <w:tr w:rsidR="006D3DA1" w:rsidRPr="006D3DA1" w:rsidTr="006D3DA1">
        <w:trPr>
          <w:trHeight w:hRule="exact" w:val="291"/>
        </w:trPr>
        <w:tc>
          <w:tcPr>
            <w:tcW w:w="1549" w:type="dxa"/>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CHC</w:t>
            </w:r>
          </w:p>
        </w:tc>
        <w:tc>
          <w:tcPr>
            <w:tcW w:w="7644" w:type="dxa"/>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Community Health Centre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CIP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Capital Improvements Program</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CIP-EM</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Capital Improvements Program - Essential Maintenance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CNC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Clinical Nurse Consultant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COAG</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Council of Australian Governments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COPE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Commonwealth Own Purpose Expenditure</w:t>
            </w:r>
          </w:p>
        </w:tc>
      </w:tr>
      <w:tr w:rsidR="006D3DA1" w:rsidTr="0094237D">
        <w:trPr>
          <w:trHeight w:hRule="exact" w:val="55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lastRenderedPageBreak/>
              <w:t>Cost weight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A measure of the relative cost of a Diagnosis Related Group (DRG). Usually the average cost across all DRGs is chosen as the reference value, and given a weight of 1.</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CPI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Consumer Price Index</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CSO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Community Sector Organisation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DCHSC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Devonport Community and Health Services Centre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DFA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Disability Framework for Action 2005 -2010</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District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DHHS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Department of Health and Human Services</w:t>
            </w:r>
          </w:p>
        </w:tc>
      </w:tr>
      <w:tr w:rsidR="006D3DA1" w:rsidTr="0094237D">
        <w:trPr>
          <w:trHeight w:hRule="exact" w:val="926"/>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Diagnosis Related Group (DRG)</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 xml:space="preserve">DRGs are </w:t>
            </w:r>
            <w:proofErr w:type="gramStart"/>
            <w:r w:rsidRPr="006D3DA1">
              <w:rPr>
                <w:rFonts w:ascii="Gill Sans MT" w:hAnsi="Gill Sans MT"/>
                <w:sz w:val="18"/>
              </w:rPr>
              <w:t>a patient classification system that provide</w:t>
            </w:r>
            <w:proofErr w:type="gramEnd"/>
            <w:r w:rsidRPr="006D3DA1">
              <w:rPr>
                <w:rFonts w:ascii="Gill Sans MT" w:hAnsi="Gill Sans MT"/>
                <w:sz w:val="18"/>
              </w:rPr>
              <w:t xml:space="preserve"> a clinically meaningful way of relating the types of patients treated in a hospital to the resources required by the hospital. DRGs were developed for use in acute inpatient settings. The latest version of the Australian Refined-Diagnosis Related Group (AR- DRG) Classification (Version 6.0x is to be used from 1 July 2012)</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DMR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Digital Medical Record</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DON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Director of Nursing</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ECO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Employee Contact Officer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ED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Emergency Department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Elective admission (Urgency status assigned)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Elective admissions:</w:t>
            </w:r>
          </w:p>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If an admission meets the definition of elective below, it is categorised as elective, regardless of whether the admission actually occurred after 24 hours or more, or it occurred within 24 hours. The distinguishing characteristic is that the admission could be delayed by at least 24 hours.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FBT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Fringe Benefits Tax</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FTE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Full Time Equivalent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GEM</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Geriatric Evaluation and Management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GGS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General Government Sector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GM5</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Give Me Five For Kids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General Practitioner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GPLO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General Practice Liaison Officer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GST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Goods and Services Tax</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HACC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Home and Community Care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HOA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Heads of Agreement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Human Resources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HSO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Health Service Officer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HSR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Health and Safety Representative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HVAC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Heating, Ventilation and Air Conditioning</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IAS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International Accounting Standards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IASB</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International Accounting Standards Board</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ICC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Integrated Care Centre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Intensive Care Unit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IFRS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International Financial Reporting Standards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IHPA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Independent Hospital Pricing Authority</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KIHCHC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King Island Hospital and Community Health Centre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KPI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Key Performance Indicator</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LGH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Launceston General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MCH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Mersey Community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MGP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Midwifery Group Practice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MHS-N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Mental Health Services - North</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MOC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Models of Care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MPC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Multipurpose Centre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MPS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Multipurpose Service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MRI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Magnetic Resonance Imaging</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NEP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Efficient Price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NHCDC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Hospital Cost Data Collection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lastRenderedPageBreak/>
              <w:t>NHRA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Health Reform Agreement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Neonatal Intensive Care Unit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NPA-IHST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Partnership Agreement on Improving Health Services in Tasmania</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NPICU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Neonatal Paediatric Intensive Care Unit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NPPs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Partnership Payments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NSQHSS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National Safety and Quality Health  Service Standards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NWRH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North West Regional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PAH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Pulmonary arterial hypertension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PHN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Primary Health North</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QI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Quality Improvement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QS&amp;CRS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Quality Safety and Clinical Risk Sub-Committee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RBF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Retirement Benefit Fund</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RCS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Rural Clinical School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RHH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Royal Hobart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RJRP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Right Job Right Person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RTI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Right to Information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SAAP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Supported Accommodation Assistance Program</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SAB</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Staphylococcus Aureus bacteraemia</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SAMP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Strategic Asset Management Plan</w:t>
            </w:r>
          </w:p>
        </w:tc>
      </w:tr>
      <w:tr w:rsidR="006D3DA1" w:rsidTr="0094237D">
        <w:trPr>
          <w:trHeight w:hRule="exact" w:val="712"/>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Scheduled admissions: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A patient who expects to have an elective admission will often have that admission scheduled in advance. Whether or not the admission has been scheduled does not affect the categorisation of the admission as emergency or elective, which depends only on whether it meets the definitions above. That is, patients both with and without a scheduled admission can be admitted on either an emergency or elective basis.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SCIF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Special Capital Investment Fund</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Smithton District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SEIFA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Socio-Economic Indexes for Areas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SES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Senior Executive Services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SIIRP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Structured Infrastructure Investment  Review Process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SLA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Service Level Agreement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SME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Small Medium Enterprise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SPA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Superannuation Provision Account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SRLS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Safety Reporting and Learning System</w:t>
            </w:r>
          </w:p>
        </w:tc>
      </w:tr>
      <w:tr w:rsidR="006D3DA1" w:rsidTr="0094237D">
        <w:trPr>
          <w:trHeight w:hRule="exact" w:val="178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Sub-acute activity</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94237D">
            <w:pPr>
              <w:pStyle w:val="TableParagraph"/>
              <w:spacing w:before="39"/>
              <w:ind w:left="76"/>
              <w:rPr>
                <w:rFonts w:ascii="Gill Sans MT" w:hAnsi="Gill Sans MT"/>
                <w:sz w:val="18"/>
              </w:rPr>
            </w:pPr>
            <w:r w:rsidRPr="006D3DA1">
              <w:rPr>
                <w:rFonts w:ascii="Gill Sans MT" w:hAnsi="Gill Sans MT"/>
                <w:sz w:val="18"/>
              </w:rPr>
              <w:t xml:space="preserve">Sub-acute care in this data set specification is identified as admitted episodes in rehabilitation care, palliative </w:t>
            </w:r>
            <w:proofErr w:type="gramStart"/>
            <w:r w:rsidRPr="006D3DA1">
              <w:rPr>
                <w:rFonts w:ascii="Gill Sans MT" w:hAnsi="Gill Sans MT"/>
                <w:sz w:val="18"/>
              </w:rPr>
              <w:t>care,</w:t>
            </w:r>
            <w:proofErr w:type="gramEnd"/>
            <w:r w:rsidRPr="006D3DA1">
              <w:rPr>
                <w:rFonts w:ascii="Gill Sans MT" w:hAnsi="Gill Sans MT"/>
                <w:sz w:val="18"/>
              </w:rPr>
              <w:t xml:space="preserve"> geriatric evaluation and management care and psychogeriatric care whereas maintenance care is identified as non-acute care. The scope of the collection is: 1) Same day and overnight sub-acute and non-acute care episodes in designated sub-acute and non-acute care units, programs or hospitals. 2) Admitted public patients provided on a contracted basis by private hospitals in designated sub-acute and non-acute care units, programs or hospitals. 3) Admitted</w:t>
            </w:r>
            <w:r w:rsidR="0094237D">
              <w:rPr>
                <w:rFonts w:ascii="Gill Sans MT" w:hAnsi="Gill Sans MT"/>
                <w:sz w:val="18"/>
              </w:rPr>
              <w:t xml:space="preserve"> </w:t>
            </w:r>
            <w:r w:rsidRPr="006D3DA1">
              <w:rPr>
                <w:rFonts w:ascii="Gill Sans MT" w:hAnsi="Gill Sans MT"/>
                <w:sz w:val="18"/>
              </w:rPr>
              <w:t>patients in rehabilitation care, palliative care, geriatric evaluation and management, psychogeriatric and maintenance care designated programs treated in the hospital-in-the-home.</w:t>
            </w:r>
          </w:p>
        </w:tc>
      </w:tr>
      <w:tr w:rsidR="006D3DA1" w:rsidTr="0094237D">
        <w:trPr>
          <w:trHeight w:hRule="exact" w:val="96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Tasmanian Health Organisations / THOs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Three Tasmanian Health Organisations (THOs) were established under the national health reforms to provide hospital, primary and community health services to Tasmanians.</w:t>
            </w:r>
          </w:p>
        </w:tc>
      </w:tr>
      <w:tr w:rsidR="006D3DA1" w:rsidTr="0094237D">
        <w:trPr>
          <w:trHeight w:hRule="exact" w:val="69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Tasmanian Health Service / THS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The Tasmanian Health Service (THS) will be established on 1 July 2015 under the One State, One Health System, Better Outcomes reforms that will see hospitals working together to provide access to better care and higher quality services.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THEO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 Health Education Online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THO - North West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Tasmanian Health Organisation — North West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THP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Tasmania’s Health Plan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Tasmanian Health Service</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Treasurer’s Instruction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TIPCU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Tasmanian Infection Prevention and Control Unit</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lastRenderedPageBreak/>
              <w:t>TML</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 Medicare Local</w:t>
            </w:r>
          </w:p>
        </w:tc>
      </w:tr>
      <w:tr w:rsidR="006D3DA1" w:rsidTr="0094237D">
        <w:trPr>
          <w:trHeight w:hRule="exact" w:val="723"/>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Transfer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A transfer is when the physical location of the patient changes. Patients can be transferred between health care facilities, between wards or from bed to bed within a ward. Within these KPIs transfers between wards are counted only.</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TRMF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Tasmanian Risk Management Fund</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UTas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University of Tasmania</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WACS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Women’s and Children’s Services</w:t>
            </w:r>
          </w:p>
        </w:tc>
      </w:tr>
      <w:tr w:rsidR="006D3DA1" w:rsidTr="0094237D">
        <w:trPr>
          <w:trHeight w:hRule="exact" w:val="532"/>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Waitlist clinical urgency categories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Category 1 - Urgent patients who require surgery within 30 days. Category 2 - Semi-urgent patients who require surgery within 90 days.</w:t>
            </w:r>
          </w:p>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Category 3: Non-urgent patients who need surgery at some time in the future. For reporting purposes, these patients are counted as requiring surgery with 365 days</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WCDH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West Coast District Hospital</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Weighted cost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94237D">
            <w:pPr>
              <w:pStyle w:val="TableParagraph"/>
              <w:spacing w:before="39"/>
              <w:ind w:left="76"/>
              <w:rPr>
                <w:rFonts w:ascii="Gill Sans MT" w:hAnsi="Gill Sans MT"/>
                <w:sz w:val="18"/>
              </w:rPr>
            </w:pPr>
            <w:r w:rsidRPr="006D3DA1">
              <w:rPr>
                <w:rFonts w:ascii="Gill Sans MT" w:hAnsi="Gill Sans MT"/>
                <w:sz w:val="18"/>
              </w:rPr>
              <w:t xml:space="preserve">Is the cost weight multiplied out by the average cost of patient </w:t>
            </w:r>
            <w:proofErr w:type="gramStart"/>
            <w:r w:rsidRPr="006D3DA1">
              <w:rPr>
                <w:rFonts w:ascii="Gill Sans MT" w:hAnsi="Gill Sans MT"/>
                <w:sz w:val="18"/>
              </w:rPr>
              <w:t>care.</w:t>
            </w:r>
            <w:proofErr w:type="gramEnd"/>
          </w:p>
        </w:tc>
      </w:tr>
      <w:tr w:rsidR="006D3DA1" w:rsidTr="0094237D">
        <w:trPr>
          <w:trHeight w:hRule="exact" w:val="54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7"/>
              <w:ind w:left="75"/>
              <w:rPr>
                <w:rFonts w:ascii="Gill Sans MT" w:hAnsi="Gill Sans MT"/>
                <w:b/>
                <w:sz w:val="18"/>
              </w:rPr>
            </w:pPr>
            <w:r w:rsidRPr="006D3DA1">
              <w:rPr>
                <w:rFonts w:ascii="Gill Sans MT" w:hAnsi="Gill Sans MT"/>
                <w:b/>
                <w:sz w:val="18"/>
              </w:rPr>
              <w:t>Weighted separation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The aggregate number of DRGs in any time period, multiplied by the cost weight of each, results in a number called a weighted separation.</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WH&amp;S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6D3DA1">
            <w:pPr>
              <w:pStyle w:val="TableParagraph"/>
              <w:spacing w:before="39"/>
              <w:ind w:left="76"/>
              <w:rPr>
                <w:rFonts w:ascii="Gill Sans MT" w:hAnsi="Gill Sans MT"/>
                <w:sz w:val="18"/>
              </w:rPr>
            </w:pPr>
            <w:r w:rsidRPr="006D3DA1">
              <w:rPr>
                <w:rFonts w:ascii="Gill Sans MT" w:hAnsi="Gill Sans MT"/>
                <w:sz w:val="18"/>
              </w:rPr>
              <w:t>Work Health and Safety</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Workplace Health and Safety</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WHS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Work Health and Safety</w:t>
            </w:r>
          </w:p>
        </w:tc>
      </w:tr>
      <w:tr w:rsidR="006D3DA1"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7"/>
              <w:ind w:left="75"/>
              <w:rPr>
                <w:rFonts w:ascii="Gill Sans MT" w:hAnsi="Gill Sans MT"/>
                <w:b/>
                <w:sz w:val="18"/>
              </w:rPr>
            </w:pPr>
            <w:r w:rsidRPr="006D3DA1">
              <w:rPr>
                <w:rFonts w:ascii="Gill Sans MT" w:hAnsi="Gill Sans MT"/>
                <w:b/>
                <w:sz w:val="18"/>
              </w:rPr>
              <w:t>YTD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6D3DA1" w:rsidRDefault="006D3DA1" w:rsidP="00C74DC5">
            <w:pPr>
              <w:pStyle w:val="TableParagraph"/>
              <w:spacing w:before="39"/>
              <w:ind w:left="76"/>
              <w:rPr>
                <w:rFonts w:ascii="Gill Sans MT" w:hAnsi="Gill Sans MT"/>
                <w:sz w:val="18"/>
              </w:rPr>
            </w:pPr>
            <w:r w:rsidRPr="006D3DA1">
              <w:rPr>
                <w:rFonts w:ascii="Gill Sans MT" w:hAnsi="Gill Sans MT"/>
                <w:sz w:val="18"/>
              </w:rPr>
              <w:t>Year to Date</w:t>
            </w:r>
          </w:p>
        </w:tc>
      </w:tr>
    </w:tbl>
    <w:p w:rsidR="006D3DA1" w:rsidRDefault="006D3DA1" w:rsidP="006D3DA1"/>
    <w:p w:rsidR="006D3DA1" w:rsidRDefault="00C74DC5" w:rsidP="00C74DC5">
      <w:pPr>
        <w:pStyle w:val="Heading3"/>
      </w:pPr>
      <w:bookmarkStart w:id="43" w:name="_Toc472581983"/>
      <w:r>
        <w:t>Legislation</w:t>
      </w:r>
      <w:bookmarkEnd w:id="43"/>
    </w:p>
    <w:p w:rsidR="00C74DC5" w:rsidRDefault="00C74DC5" w:rsidP="0094237D">
      <w:pPr>
        <w:pStyle w:val="Heading4"/>
      </w:pPr>
      <w:r>
        <w:t>Legislation Governing the Operations of THOs</w:t>
      </w:r>
    </w:p>
    <w:p w:rsidR="0094237D" w:rsidRDefault="0094237D" w:rsidP="0094237D">
      <w:pPr>
        <w:pStyle w:val="BodyText"/>
      </w:pPr>
      <w:r>
        <w:t>Aged Care Act 1997</w:t>
      </w:r>
    </w:p>
    <w:p w:rsidR="0094237D" w:rsidRDefault="0094237D" w:rsidP="0094237D">
      <w:pPr>
        <w:pStyle w:val="BodyText"/>
      </w:pPr>
      <w:r>
        <w:t>Alcohol and Drug Dependency Act 1968</w:t>
      </w:r>
    </w:p>
    <w:p w:rsidR="0094237D" w:rsidRDefault="0094237D" w:rsidP="0094237D">
      <w:pPr>
        <w:pStyle w:val="BodyText"/>
      </w:pPr>
      <w:r>
        <w:t>Ambulance Service Act 1982</w:t>
      </w:r>
    </w:p>
    <w:p w:rsidR="0094237D" w:rsidRDefault="0094237D" w:rsidP="0094237D">
      <w:pPr>
        <w:pStyle w:val="BodyText"/>
      </w:pPr>
      <w:r>
        <w:t>Anatomical Examinations Act 2006</w:t>
      </w:r>
    </w:p>
    <w:p w:rsidR="0094237D" w:rsidRDefault="0094237D" w:rsidP="0094237D">
      <w:pPr>
        <w:pStyle w:val="BodyText"/>
      </w:pPr>
      <w:r>
        <w:t>Anti-Discrimination Act 1998</w:t>
      </w:r>
    </w:p>
    <w:p w:rsidR="0094237D" w:rsidRDefault="0094237D" w:rsidP="0094237D">
      <w:pPr>
        <w:pStyle w:val="BodyText"/>
      </w:pPr>
      <w:r>
        <w:t>Audit Act 2008</w:t>
      </w:r>
    </w:p>
    <w:p w:rsidR="0094237D" w:rsidRDefault="0094237D" w:rsidP="0094237D">
      <w:pPr>
        <w:pStyle w:val="BodyText"/>
      </w:pPr>
      <w:r>
        <w:t>Blood Transfusion (Limitation of Liability) Act 1986</w:t>
      </w:r>
    </w:p>
    <w:p w:rsidR="0094237D" w:rsidRDefault="0094237D" w:rsidP="0094237D">
      <w:pPr>
        <w:pStyle w:val="BodyText"/>
      </w:pPr>
      <w:r>
        <w:t>Fee Units Amendment Act 2002</w:t>
      </w:r>
    </w:p>
    <w:p w:rsidR="0094237D" w:rsidRDefault="0094237D" w:rsidP="0094237D">
      <w:pPr>
        <w:pStyle w:val="BodyText"/>
      </w:pPr>
      <w:r>
        <w:t>Financial Management and Audit Amendment Act 2012</w:t>
      </w:r>
    </w:p>
    <w:p w:rsidR="0094237D" w:rsidRDefault="0094237D" w:rsidP="0094237D">
      <w:pPr>
        <w:pStyle w:val="BodyText"/>
      </w:pPr>
      <w:r>
        <w:t>Fluoridation Act 1968</w:t>
      </w:r>
    </w:p>
    <w:p w:rsidR="0094237D" w:rsidRDefault="0094237D" w:rsidP="0094237D">
      <w:pPr>
        <w:pStyle w:val="BodyText"/>
      </w:pPr>
      <w:r>
        <w:t>Food Act 1968</w:t>
      </w:r>
    </w:p>
    <w:p w:rsidR="0094237D" w:rsidRDefault="0094237D" w:rsidP="0094237D">
      <w:pPr>
        <w:pStyle w:val="BodyText"/>
      </w:pPr>
      <w:r>
        <w:t>Health Act 1997</w:t>
      </w:r>
    </w:p>
    <w:p w:rsidR="0094237D" w:rsidRDefault="0094237D" w:rsidP="0094237D">
      <w:pPr>
        <w:pStyle w:val="BodyText"/>
      </w:pPr>
      <w:r>
        <w:t>Health Complaints Amendment Act 2005</w:t>
      </w:r>
    </w:p>
    <w:p w:rsidR="0094237D" w:rsidRDefault="0094237D" w:rsidP="0094237D">
      <w:pPr>
        <w:pStyle w:val="BodyText"/>
      </w:pPr>
      <w:r>
        <w:t>Health Practitioner Regulation National Law (Tasmania) Act 2010</w:t>
      </w:r>
    </w:p>
    <w:p w:rsidR="0094237D" w:rsidRDefault="0094237D" w:rsidP="0094237D">
      <w:pPr>
        <w:pStyle w:val="BodyText"/>
      </w:pPr>
      <w:r>
        <w:t>Health Practitioners Tribunal Act 2010</w:t>
      </w:r>
    </w:p>
    <w:p w:rsidR="0094237D" w:rsidRDefault="0094237D" w:rsidP="0094237D">
      <w:pPr>
        <w:pStyle w:val="BodyText"/>
      </w:pPr>
      <w:r>
        <w:t>Health Professionals (Special Events Exemption) Act 1998</w:t>
      </w:r>
    </w:p>
    <w:p w:rsidR="0094237D" w:rsidRDefault="0094237D" w:rsidP="0094237D">
      <w:pPr>
        <w:pStyle w:val="BodyText"/>
      </w:pPr>
      <w:r>
        <w:t>Health Service Establishments Act2006</w:t>
      </w:r>
    </w:p>
    <w:p w:rsidR="0094237D" w:rsidRDefault="0094237D" w:rsidP="0094237D">
      <w:pPr>
        <w:pStyle w:val="BodyText"/>
      </w:pPr>
      <w:r>
        <w:t>HIV/AIDS Preventative Measures Act 1993</w:t>
      </w:r>
    </w:p>
    <w:p w:rsidR="0094237D" w:rsidRDefault="0094237D" w:rsidP="0094237D">
      <w:pPr>
        <w:pStyle w:val="BodyText"/>
      </w:pPr>
      <w:r>
        <w:lastRenderedPageBreak/>
        <w:t>Human Cloning for Reproduction and Other Prohibited Practices Act 2003</w:t>
      </w:r>
    </w:p>
    <w:p w:rsidR="0094237D" w:rsidRDefault="0094237D" w:rsidP="0094237D">
      <w:pPr>
        <w:pStyle w:val="BodyText"/>
      </w:pPr>
      <w:r>
        <w:t>Human Embryonic Research Regulation Act 2003</w:t>
      </w:r>
    </w:p>
    <w:p w:rsidR="0094237D" w:rsidRDefault="0094237D" w:rsidP="0094237D">
      <w:pPr>
        <w:pStyle w:val="BodyText"/>
      </w:pPr>
      <w:r>
        <w:t>Human Tissue Act 1985</w:t>
      </w:r>
    </w:p>
    <w:p w:rsidR="0094237D" w:rsidRDefault="0094237D" w:rsidP="0094237D">
      <w:pPr>
        <w:pStyle w:val="BodyText"/>
      </w:pPr>
      <w:r>
        <w:t>Industrial Relations Act 1984</w:t>
      </w:r>
    </w:p>
    <w:p w:rsidR="0094237D" w:rsidRDefault="0094237D" w:rsidP="0094237D">
      <w:pPr>
        <w:pStyle w:val="BodyText"/>
      </w:pPr>
      <w:r>
        <w:t>Medical Radiation Science Professionals Registration Act 2000</w:t>
      </w:r>
    </w:p>
    <w:p w:rsidR="0094237D" w:rsidRDefault="0094237D" w:rsidP="0094237D">
      <w:pPr>
        <w:pStyle w:val="BodyText"/>
      </w:pPr>
      <w:r>
        <w:t>Mental Health Act 2013</w:t>
      </w:r>
    </w:p>
    <w:p w:rsidR="0094237D" w:rsidRDefault="0094237D" w:rsidP="0094237D">
      <w:pPr>
        <w:pStyle w:val="BodyText"/>
      </w:pPr>
      <w:r>
        <w:t>Model Work Health and Safety (WHS) Act 2012</w:t>
      </w:r>
    </w:p>
    <w:p w:rsidR="0094237D" w:rsidRDefault="0094237D" w:rsidP="0094237D">
      <w:pPr>
        <w:pStyle w:val="BodyText"/>
      </w:pPr>
      <w:r>
        <w:t>Obstetric and Paediatric Mortality and Morbidity Act 1994</w:t>
      </w:r>
    </w:p>
    <w:p w:rsidR="0094237D" w:rsidRDefault="0094237D" w:rsidP="0094237D">
      <w:pPr>
        <w:pStyle w:val="BodyText"/>
      </w:pPr>
      <w:r>
        <w:t>Optometry Offences Act 2010</w:t>
      </w:r>
    </w:p>
    <w:p w:rsidR="0094237D" w:rsidRDefault="0094237D" w:rsidP="0094237D">
      <w:pPr>
        <w:pStyle w:val="BodyText"/>
      </w:pPr>
      <w:r>
        <w:t>Personal Information Protection Act 2004</w:t>
      </w:r>
    </w:p>
    <w:p w:rsidR="0094237D" w:rsidRDefault="0094237D" w:rsidP="0094237D">
      <w:pPr>
        <w:pStyle w:val="BodyText"/>
      </w:pPr>
      <w:r>
        <w:t>Pharmacy Control Act 2001</w:t>
      </w:r>
    </w:p>
    <w:p w:rsidR="0094237D" w:rsidRDefault="0094237D" w:rsidP="0094237D">
      <w:pPr>
        <w:pStyle w:val="BodyText"/>
      </w:pPr>
      <w:r>
        <w:t>Poisons Act 1971 - except in so far as it relates to the Poppy Advisory</w:t>
      </w:r>
    </w:p>
    <w:p w:rsidR="0094237D" w:rsidRDefault="0094237D" w:rsidP="0094237D">
      <w:pPr>
        <w:pStyle w:val="BodyText"/>
      </w:pPr>
      <w:r>
        <w:t>Control Board (See the Department of Justice under the Minister for Justice)</w:t>
      </w:r>
    </w:p>
    <w:p w:rsidR="0094237D" w:rsidRDefault="0094237D" w:rsidP="0094237D">
      <w:pPr>
        <w:pStyle w:val="BodyText"/>
      </w:pPr>
      <w:r>
        <w:t>Public Health Act 1997</w:t>
      </w:r>
    </w:p>
    <w:p w:rsidR="0094237D" w:rsidRDefault="0094237D" w:rsidP="0094237D">
      <w:pPr>
        <w:pStyle w:val="BodyText"/>
      </w:pPr>
      <w:r>
        <w:t>Public Interest Disclosures Act 2002</w:t>
      </w:r>
    </w:p>
    <w:p w:rsidR="0094237D" w:rsidRDefault="0094237D" w:rsidP="0094237D">
      <w:pPr>
        <w:pStyle w:val="BodyText"/>
      </w:pPr>
      <w:r>
        <w:t>Radiation Protection Act 2005</w:t>
      </w:r>
    </w:p>
    <w:p w:rsidR="0094237D" w:rsidRDefault="0094237D" w:rsidP="0094237D">
      <w:pPr>
        <w:pStyle w:val="BodyText"/>
      </w:pPr>
      <w:r>
        <w:t>Right to Information Act 2009</w:t>
      </w:r>
    </w:p>
    <w:p w:rsidR="0094237D" w:rsidRDefault="0094237D" w:rsidP="0094237D">
      <w:pPr>
        <w:pStyle w:val="BodyText"/>
      </w:pPr>
      <w:r>
        <w:t>State Service Act 2000</w:t>
      </w:r>
    </w:p>
    <w:p w:rsidR="0094237D" w:rsidRDefault="0094237D" w:rsidP="0094237D">
      <w:pPr>
        <w:pStyle w:val="BodyText"/>
      </w:pPr>
      <w:r>
        <w:t>Tasmanian Health Organisations Act 2011</w:t>
      </w:r>
    </w:p>
    <w:p w:rsidR="0094237D" w:rsidRDefault="0094237D" w:rsidP="0094237D">
      <w:pPr>
        <w:pStyle w:val="BodyText"/>
      </w:pPr>
      <w:r>
        <w:t>Therapeutic Goods Act 2001</w:t>
      </w:r>
    </w:p>
    <w:p w:rsidR="0094237D" w:rsidRDefault="0094237D" w:rsidP="0094237D">
      <w:pPr>
        <w:pStyle w:val="BodyText"/>
      </w:pPr>
      <w:r>
        <w:t>Workers Rehabilitation and Compensation Act 1988</w:t>
      </w:r>
    </w:p>
    <w:p w:rsidR="00C74DC5" w:rsidRDefault="0094237D" w:rsidP="0094237D">
      <w:pPr>
        <w:pStyle w:val="BodyText"/>
      </w:pPr>
      <w:r>
        <w:t>Workplace Health and Safety Act 2012</w:t>
      </w:r>
    </w:p>
    <w:p w:rsidR="0094237D" w:rsidRDefault="0094237D" w:rsidP="0094237D">
      <w:pPr>
        <w:pStyle w:val="Heading4"/>
      </w:pPr>
      <w:r>
        <w:t>Other Tasmanian Health Legislation</w:t>
      </w:r>
    </w:p>
    <w:p w:rsidR="0094237D" w:rsidRDefault="0094237D" w:rsidP="0094237D">
      <w:pPr>
        <w:pStyle w:val="BodyText"/>
      </w:pPr>
      <w:r>
        <w:t>Adoption Act 1988</w:t>
      </w:r>
    </w:p>
    <w:p w:rsidR="0094237D" w:rsidRDefault="0094237D" w:rsidP="0094237D">
      <w:pPr>
        <w:pStyle w:val="BodyText"/>
      </w:pPr>
      <w:r>
        <w:t>Child Protection (International Measurements) Act 1997</w:t>
      </w:r>
    </w:p>
    <w:p w:rsidR="0094237D" w:rsidRDefault="0094237D" w:rsidP="0094237D">
      <w:pPr>
        <w:pStyle w:val="BodyText"/>
      </w:pPr>
      <w:r>
        <w:t>Children, Young Persons and Their Families Act 1997</w:t>
      </w:r>
    </w:p>
    <w:p w:rsidR="0094237D" w:rsidRDefault="0094237D" w:rsidP="0094237D">
      <w:pPr>
        <w:pStyle w:val="BodyText"/>
      </w:pPr>
      <w:r>
        <w:t>Constitution (State Employees) Act 1994</w:t>
      </w:r>
    </w:p>
    <w:p w:rsidR="0094237D" w:rsidRDefault="0094237D" w:rsidP="0094237D">
      <w:pPr>
        <w:pStyle w:val="BodyText"/>
      </w:pPr>
      <w:r>
        <w:t>Disability Services Act 1992 (new Act 1/1/12)</w:t>
      </w:r>
    </w:p>
    <w:p w:rsidR="0094237D" w:rsidRDefault="0094237D" w:rsidP="0094237D">
      <w:pPr>
        <w:pStyle w:val="BodyText"/>
      </w:pPr>
      <w:r>
        <w:t>Guardianship and Administration Amendment Act 1997</w:t>
      </w:r>
    </w:p>
    <w:p w:rsidR="0094237D" w:rsidRDefault="0094237D" w:rsidP="0094237D">
      <w:pPr>
        <w:pStyle w:val="BodyText"/>
      </w:pPr>
      <w:r>
        <w:t>Misuse of Drugs Act 2001</w:t>
      </w:r>
    </w:p>
    <w:p w:rsidR="0094237D" w:rsidRDefault="0094237D" w:rsidP="0094237D">
      <w:pPr>
        <w:pStyle w:val="BodyText"/>
      </w:pPr>
      <w:r>
        <w:t>Royal Derwent Hospital (Sale of Land) Act 1995</w:t>
      </w:r>
    </w:p>
    <w:p w:rsidR="0094237D" w:rsidRDefault="0094237D" w:rsidP="0094237D">
      <w:pPr>
        <w:pStyle w:val="BodyText"/>
      </w:pPr>
      <w:r>
        <w:t>Surrogacy Contract Act 1993</w:t>
      </w:r>
    </w:p>
    <w:p w:rsidR="0094237D" w:rsidRDefault="0094237D" w:rsidP="0094237D">
      <w:pPr>
        <w:pStyle w:val="Heading4"/>
      </w:pPr>
      <w:r>
        <w:lastRenderedPageBreak/>
        <w:t>Broadly Applicable Legislation</w:t>
      </w:r>
    </w:p>
    <w:p w:rsidR="0094237D" w:rsidRDefault="0094237D" w:rsidP="0094237D">
      <w:pPr>
        <w:pStyle w:val="BodyText"/>
      </w:pPr>
      <w:r>
        <w:t>Coroners Act 1995</w:t>
      </w:r>
    </w:p>
    <w:p w:rsidR="0094237D" w:rsidRDefault="0094237D" w:rsidP="0094237D">
      <w:pPr>
        <w:pStyle w:val="BodyText"/>
      </w:pPr>
      <w:r>
        <w:t>Defamation Act 2005</w:t>
      </w:r>
    </w:p>
    <w:p w:rsidR="0094237D" w:rsidRDefault="0094237D" w:rsidP="0094237D">
      <w:pPr>
        <w:pStyle w:val="BodyText"/>
      </w:pPr>
      <w:r>
        <w:t>Fire Damage Relief Act 1967</w:t>
      </w:r>
    </w:p>
    <w:p w:rsidR="0094237D" w:rsidRDefault="0094237D" w:rsidP="0094237D">
      <w:pPr>
        <w:pStyle w:val="BodyText"/>
      </w:pPr>
      <w:r>
        <w:t>Guide Dogs and Hearing Dogs Act 1967</w:t>
      </w:r>
    </w:p>
    <w:p w:rsidR="0094237D" w:rsidRDefault="0094237D" w:rsidP="0094237D">
      <w:pPr>
        <w:pStyle w:val="BodyText"/>
      </w:pPr>
      <w:r>
        <w:t>Homes Act 1935</w:t>
      </w:r>
    </w:p>
    <w:p w:rsidR="0094237D" w:rsidRDefault="0094237D" w:rsidP="0094237D">
      <w:pPr>
        <w:pStyle w:val="BodyText"/>
      </w:pPr>
      <w:r>
        <w:t>Integrity Commission Act 2009</w:t>
      </w:r>
    </w:p>
    <w:p w:rsidR="0094237D" w:rsidRDefault="0094237D" w:rsidP="0094237D">
      <w:pPr>
        <w:pStyle w:val="BodyText"/>
      </w:pPr>
      <w:r>
        <w:t>Judicial Review Act 2000</w:t>
      </w:r>
    </w:p>
    <w:p w:rsidR="0094237D" w:rsidRDefault="0094237D" w:rsidP="0094237D">
      <w:pPr>
        <w:pStyle w:val="BodyText"/>
      </w:pPr>
      <w:r>
        <w:t>Long Service Leave (State Employee) Act 1994</w:t>
      </w:r>
    </w:p>
    <w:p w:rsidR="0094237D" w:rsidRDefault="0094237D" w:rsidP="0094237D">
      <w:pPr>
        <w:pStyle w:val="BodyText"/>
      </w:pPr>
      <w:r>
        <w:t>Long Service Leave Act 1976</w:t>
      </w:r>
    </w:p>
    <w:p w:rsidR="0094237D" w:rsidRDefault="0094237D" w:rsidP="0094237D">
      <w:pPr>
        <w:pStyle w:val="BodyText"/>
      </w:pPr>
      <w:r>
        <w:t>Ombudsman Act 1978</w:t>
      </w:r>
    </w:p>
    <w:p w:rsidR="0094237D" w:rsidRDefault="0094237D" w:rsidP="0094237D">
      <w:pPr>
        <w:pStyle w:val="BodyText"/>
      </w:pPr>
      <w:r>
        <w:t>Payroll Tax Act 2008</w:t>
      </w:r>
    </w:p>
    <w:p w:rsidR="0094237D" w:rsidRDefault="0094237D" w:rsidP="0094237D">
      <w:pPr>
        <w:pStyle w:val="BodyText"/>
      </w:pPr>
      <w:r>
        <w:t>Pensioners (Heating Allowance) Act 1971</w:t>
      </w:r>
    </w:p>
    <w:p w:rsidR="0094237D" w:rsidRDefault="0094237D" w:rsidP="0094237D">
      <w:pPr>
        <w:pStyle w:val="BodyText"/>
      </w:pPr>
      <w:r>
        <w:t>Public Account Act 1986</w:t>
      </w:r>
    </w:p>
    <w:p w:rsidR="0094237D" w:rsidRDefault="0094237D" w:rsidP="0094237D">
      <w:pPr>
        <w:pStyle w:val="BodyText"/>
      </w:pPr>
      <w:r>
        <w:t>Public Sector Superannuation Reform Act 1999</w:t>
      </w:r>
    </w:p>
    <w:p w:rsidR="0094237D" w:rsidRDefault="0094237D" w:rsidP="0094237D">
      <w:pPr>
        <w:pStyle w:val="BodyText"/>
      </w:pPr>
      <w:r>
        <w:t>Retirement Benefits Act 1993</w:t>
      </w:r>
    </w:p>
    <w:p w:rsidR="0094237D" w:rsidRDefault="0094237D" w:rsidP="0094237D">
      <w:pPr>
        <w:pStyle w:val="BodyText"/>
      </w:pPr>
      <w:r>
        <w:t>Statutory Holidays Act 2000</w:t>
      </w:r>
    </w:p>
    <w:p w:rsidR="0094237D" w:rsidRDefault="0094237D" w:rsidP="0094237D">
      <w:pPr>
        <w:pStyle w:val="BodyText"/>
      </w:pPr>
      <w:r>
        <w:t>Trades Union Act 1997</w:t>
      </w:r>
    </w:p>
    <w:p w:rsidR="0094237D" w:rsidRDefault="0094237D" w:rsidP="0094237D">
      <w:pPr>
        <w:pStyle w:val="BodyText"/>
      </w:pPr>
      <w:r>
        <w:t>Youth Justice Act 1997</w:t>
      </w:r>
    </w:p>
    <w:p w:rsidR="0094237D" w:rsidRDefault="0094237D" w:rsidP="0094237D">
      <w:pPr>
        <w:pStyle w:val="BodyText"/>
      </w:pPr>
      <w:r>
        <w:t>Acts Interpretation Act 1931</w:t>
      </w:r>
    </w:p>
    <w:p w:rsidR="0094237D" w:rsidRDefault="0094237D" w:rsidP="0094237D">
      <w:pPr>
        <w:pStyle w:val="BodyText"/>
      </w:pPr>
      <w:r>
        <w:t>Archives Act 1983</w:t>
      </w:r>
    </w:p>
    <w:p w:rsidR="0094237D" w:rsidRDefault="0094237D" w:rsidP="0094237D">
      <w:pPr>
        <w:pStyle w:val="BodyText"/>
      </w:pPr>
      <w:r>
        <w:t>Building Act 2000</w:t>
      </w:r>
    </w:p>
    <w:p w:rsidR="0094237D" w:rsidRDefault="0094237D" w:rsidP="0094237D">
      <w:pPr>
        <w:pStyle w:val="BodyText"/>
      </w:pPr>
      <w:r>
        <w:t>Civil Liability Amendment Act 2008</w:t>
      </w:r>
    </w:p>
    <w:p w:rsidR="0094237D" w:rsidRDefault="0094237D" w:rsidP="0094237D">
      <w:pPr>
        <w:pStyle w:val="BodyText"/>
      </w:pPr>
      <w:r>
        <w:t>Dangerous Substances (Safe Handling Act) 2005</w:t>
      </w:r>
    </w:p>
    <w:p w:rsidR="0094237D" w:rsidRDefault="0094237D" w:rsidP="0094237D">
      <w:pPr>
        <w:pStyle w:val="BodyText"/>
      </w:pPr>
      <w:r>
        <w:t>Economic Regulator Act 2009</w:t>
      </w:r>
    </w:p>
    <w:p w:rsidR="0094237D" w:rsidRDefault="0094237D" w:rsidP="0094237D">
      <w:pPr>
        <w:pStyle w:val="BodyText"/>
      </w:pPr>
      <w:r>
        <w:t>Emergency Management Act 2006</w:t>
      </w:r>
    </w:p>
    <w:p w:rsidR="0094237D" w:rsidRDefault="0094237D" w:rsidP="0094237D">
      <w:pPr>
        <w:pStyle w:val="BodyText"/>
      </w:pPr>
      <w:r>
        <w:t>Mutual Recognition (Tasmania) Act 1993</w:t>
      </w:r>
    </w:p>
    <w:p w:rsidR="0094237D" w:rsidRDefault="0094237D">
      <w:pPr>
        <w:rPr>
          <w:rFonts w:ascii="Gill Sans MT" w:eastAsia="GillSans-Light" w:hAnsi="Gill Sans MT" w:cs="GillSans-Light"/>
          <w:lang w:val="en-US"/>
        </w:rPr>
      </w:pPr>
      <w:r>
        <w:br w:type="page"/>
      </w:r>
    </w:p>
    <w:p w:rsidR="0094237D" w:rsidRDefault="0094237D" w:rsidP="005126B5">
      <w:pPr>
        <w:pStyle w:val="Heading3"/>
      </w:pPr>
      <w:bookmarkStart w:id="44" w:name="_Toc472581984"/>
      <w:r>
        <w:lastRenderedPageBreak/>
        <w:t>SUPERANNUATION DECLARATION</w:t>
      </w:r>
      <w:bookmarkEnd w:id="44"/>
    </w:p>
    <w:p w:rsidR="0094237D" w:rsidRDefault="0094237D" w:rsidP="0094237D">
      <w:pPr>
        <w:pStyle w:val="BodyText"/>
        <w:spacing w:line="268" w:lineRule="auto"/>
        <w:ind w:right="172"/>
      </w:pPr>
      <w:r>
        <w:t xml:space="preserve">I, John Ramsay, Chair, </w:t>
      </w:r>
      <w:proofErr w:type="gramStart"/>
      <w:r>
        <w:t>Tasmanian</w:t>
      </w:r>
      <w:proofErr w:type="gramEnd"/>
      <w:r>
        <w:t xml:space="preserve"> Health Service Governing Council hereby certify that the Tasmanian Health Service has met its obligations under the </w:t>
      </w:r>
      <w:r>
        <w:rPr>
          <w:rFonts w:ascii="GillSans-LightItalic"/>
          <w:i/>
        </w:rPr>
        <w:t xml:space="preserve">Superannuation Industry (Supervision) Act 1993 </w:t>
      </w:r>
      <w:r>
        <w:t>in respect of those employees who are members of complying superannuation schemes to which the Agency contributes.</w:t>
      </w:r>
    </w:p>
    <w:p w:rsidR="0094237D" w:rsidRDefault="0094237D" w:rsidP="0094237D">
      <w:pPr>
        <w:pStyle w:val="BodyText"/>
        <w:spacing w:line="268" w:lineRule="auto"/>
        <w:ind w:right="172"/>
      </w:pPr>
    </w:p>
    <w:p w:rsidR="0094237D" w:rsidRDefault="0094237D" w:rsidP="005126B5">
      <w:r>
        <w:rPr>
          <w:rFonts w:ascii="GillSans-SemiBold"/>
          <w:b/>
        </w:rPr>
        <w:t>John Ramsay</w:t>
      </w:r>
      <w:r w:rsidR="005126B5">
        <w:rPr>
          <w:rFonts w:ascii="GillSans-SemiBold"/>
          <w:b/>
        </w:rPr>
        <w:br/>
      </w:r>
      <w:r>
        <w:t>Chair, Tasmanian Health Service Governing Council</w:t>
      </w:r>
    </w:p>
    <w:p w:rsidR="0094237D" w:rsidRDefault="0094237D" w:rsidP="0094237D">
      <w:pPr>
        <w:pStyle w:val="BodyText"/>
        <w:spacing w:line="268" w:lineRule="auto"/>
        <w:ind w:right="172"/>
      </w:pPr>
    </w:p>
    <w:p w:rsidR="005126B5" w:rsidRDefault="005126B5" w:rsidP="005126B5">
      <w:pPr>
        <w:pStyle w:val="Heading3"/>
      </w:pPr>
      <w:bookmarkStart w:id="45" w:name="_Toc472581985"/>
      <w:r>
        <w:t>PRICING POLICIES</w:t>
      </w:r>
      <w:bookmarkEnd w:id="45"/>
    </w:p>
    <w:p w:rsidR="005126B5" w:rsidRDefault="005126B5" w:rsidP="005126B5">
      <w:pPr>
        <w:pStyle w:val="BodyText"/>
        <w:spacing w:before="1" w:line="268" w:lineRule="auto"/>
        <w:ind w:right="294"/>
      </w:pPr>
      <w:r>
        <w:t xml:space="preserve">The Tasmanian Health </w:t>
      </w:r>
      <w:r>
        <w:rPr>
          <w:spacing w:val="2"/>
        </w:rPr>
        <w:t xml:space="preserve">Service </w:t>
      </w:r>
      <w:r>
        <w:rPr>
          <w:spacing w:val="3"/>
        </w:rPr>
        <w:t xml:space="preserve">(THS) undertakes </w:t>
      </w:r>
      <w:r>
        <w:rPr>
          <w:spacing w:val="2"/>
        </w:rPr>
        <w:t xml:space="preserve">activities </w:t>
      </w:r>
      <w:r>
        <w:t xml:space="preserve">for which the pricing of goods and </w:t>
      </w:r>
      <w:r>
        <w:rPr>
          <w:spacing w:val="2"/>
        </w:rPr>
        <w:t xml:space="preserve">service </w:t>
      </w:r>
      <w:r>
        <w:t xml:space="preserve">is required. Each fee charging </w:t>
      </w:r>
      <w:r>
        <w:rPr>
          <w:spacing w:val="2"/>
        </w:rPr>
        <w:t xml:space="preserve">program </w:t>
      </w:r>
      <w:r>
        <w:t>is based on the full cost recovery model in accordance with the Government’s policy on fees and</w:t>
      </w:r>
      <w:r>
        <w:rPr>
          <w:spacing w:val="40"/>
        </w:rPr>
        <w:t xml:space="preserve"> </w:t>
      </w:r>
      <w:r>
        <w:t>charges.</w:t>
      </w:r>
    </w:p>
    <w:p w:rsidR="005126B5" w:rsidRDefault="005126B5" w:rsidP="005126B5">
      <w:pPr>
        <w:pStyle w:val="BodyText"/>
        <w:spacing w:before="160"/>
      </w:pPr>
      <w:r>
        <w:t>The THS levy fees and charges in accordance with the provisions of the following Acts:</w:t>
      </w:r>
    </w:p>
    <w:p w:rsidR="00A25B44" w:rsidRDefault="005126B5" w:rsidP="00A25B44">
      <w:pPr>
        <w:pStyle w:val="BodyText"/>
        <w:numPr>
          <w:ilvl w:val="0"/>
          <w:numId w:val="40"/>
        </w:numPr>
        <w:tabs>
          <w:tab w:val="left" w:pos="5713"/>
        </w:tabs>
        <w:spacing w:before="190"/>
        <w:rPr>
          <w:spacing w:val="-4"/>
        </w:rPr>
      </w:pPr>
      <w:r>
        <w:t>Adoption</w:t>
      </w:r>
      <w:r>
        <w:rPr>
          <w:spacing w:val="2"/>
        </w:rPr>
        <w:t xml:space="preserve"> Act </w:t>
      </w:r>
      <w:r>
        <w:rPr>
          <w:spacing w:val="-4"/>
        </w:rPr>
        <w:t>1988</w:t>
      </w:r>
    </w:p>
    <w:p w:rsidR="00A25B44" w:rsidRDefault="005126B5" w:rsidP="00A25B44">
      <w:pPr>
        <w:pStyle w:val="BodyText"/>
        <w:numPr>
          <w:ilvl w:val="0"/>
          <w:numId w:val="40"/>
        </w:numPr>
        <w:tabs>
          <w:tab w:val="left" w:pos="5713"/>
        </w:tabs>
        <w:spacing w:before="190"/>
        <w:rPr>
          <w:spacing w:val="-5"/>
        </w:rPr>
      </w:pPr>
      <w:r>
        <w:t xml:space="preserve">Ambulance </w:t>
      </w:r>
      <w:r>
        <w:rPr>
          <w:spacing w:val="2"/>
        </w:rPr>
        <w:t>Service Act</w:t>
      </w:r>
      <w:r>
        <w:rPr>
          <w:spacing w:val="12"/>
        </w:rPr>
        <w:t xml:space="preserve"> </w:t>
      </w:r>
      <w:r>
        <w:rPr>
          <w:spacing w:val="-5"/>
        </w:rPr>
        <w:t>1982</w:t>
      </w:r>
    </w:p>
    <w:p w:rsidR="00A25B44" w:rsidRDefault="005126B5" w:rsidP="00A25B44">
      <w:pPr>
        <w:pStyle w:val="BodyText"/>
        <w:numPr>
          <w:ilvl w:val="0"/>
          <w:numId w:val="40"/>
        </w:numPr>
        <w:tabs>
          <w:tab w:val="left" w:pos="5713"/>
        </w:tabs>
        <w:spacing w:before="190"/>
      </w:pPr>
      <w:r>
        <w:t>Anatomical Examinations</w:t>
      </w:r>
      <w:r>
        <w:rPr>
          <w:spacing w:val="14"/>
        </w:rPr>
        <w:t xml:space="preserve"> </w:t>
      </w:r>
      <w:r>
        <w:rPr>
          <w:spacing w:val="2"/>
        </w:rPr>
        <w:t>Act</w:t>
      </w:r>
      <w:r>
        <w:rPr>
          <w:spacing w:val="7"/>
        </w:rPr>
        <w:t xml:space="preserve"> </w:t>
      </w:r>
      <w:r>
        <w:t>2006</w:t>
      </w:r>
    </w:p>
    <w:p w:rsidR="00A25B44" w:rsidRDefault="005126B5" w:rsidP="00A25B44">
      <w:pPr>
        <w:pStyle w:val="BodyText"/>
        <w:numPr>
          <w:ilvl w:val="0"/>
          <w:numId w:val="40"/>
        </w:numPr>
        <w:tabs>
          <w:tab w:val="left" w:pos="5713"/>
        </w:tabs>
        <w:spacing w:before="190"/>
      </w:pPr>
      <w:r>
        <w:t xml:space="preserve">Food </w:t>
      </w:r>
      <w:r>
        <w:rPr>
          <w:spacing w:val="2"/>
        </w:rPr>
        <w:t>Act</w:t>
      </w:r>
      <w:r>
        <w:rPr>
          <w:spacing w:val="1"/>
        </w:rPr>
        <w:t xml:space="preserve"> </w:t>
      </w:r>
      <w:r>
        <w:t>2003</w:t>
      </w:r>
    </w:p>
    <w:p w:rsidR="00A25B44" w:rsidRDefault="005126B5" w:rsidP="00A25B44">
      <w:pPr>
        <w:pStyle w:val="BodyText"/>
        <w:numPr>
          <w:ilvl w:val="0"/>
          <w:numId w:val="40"/>
        </w:numPr>
        <w:tabs>
          <w:tab w:val="left" w:pos="5713"/>
        </w:tabs>
        <w:spacing w:before="190"/>
        <w:rPr>
          <w:spacing w:val="-5"/>
        </w:rPr>
      </w:pPr>
      <w:r>
        <w:t>Health</w:t>
      </w:r>
      <w:r>
        <w:rPr>
          <w:spacing w:val="3"/>
        </w:rPr>
        <w:t xml:space="preserve"> </w:t>
      </w:r>
      <w:r>
        <w:rPr>
          <w:spacing w:val="2"/>
        </w:rPr>
        <w:t>Act</w:t>
      </w:r>
      <w:r>
        <w:rPr>
          <w:spacing w:val="3"/>
        </w:rPr>
        <w:t xml:space="preserve"> </w:t>
      </w:r>
      <w:r>
        <w:rPr>
          <w:spacing w:val="-5"/>
        </w:rPr>
        <w:t>1997</w:t>
      </w:r>
    </w:p>
    <w:p w:rsidR="00A25B44" w:rsidRDefault="005126B5" w:rsidP="00A25B44">
      <w:pPr>
        <w:pStyle w:val="BodyText"/>
        <w:numPr>
          <w:ilvl w:val="0"/>
          <w:numId w:val="40"/>
        </w:numPr>
        <w:tabs>
          <w:tab w:val="left" w:pos="5713"/>
        </w:tabs>
        <w:spacing w:before="190"/>
      </w:pPr>
      <w:r>
        <w:t xml:space="preserve">Health </w:t>
      </w:r>
      <w:r>
        <w:rPr>
          <w:spacing w:val="2"/>
        </w:rPr>
        <w:t>Services Establishments Act</w:t>
      </w:r>
      <w:r>
        <w:rPr>
          <w:spacing w:val="21"/>
        </w:rPr>
        <w:t xml:space="preserve"> </w:t>
      </w:r>
      <w:r>
        <w:t>2006</w:t>
      </w:r>
    </w:p>
    <w:p w:rsidR="00A25B44" w:rsidRDefault="005126B5" w:rsidP="00A25B44">
      <w:pPr>
        <w:pStyle w:val="BodyText"/>
        <w:numPr>
          <w:ilvl w:val="0"/>
          <w:numId w:val="40"/>
        </w:numPr>
        <w:tabs>
          <w:tab w:val="left" w:pos="5713"/>
        </w:tabs>
        <w:spacing w:before="190"/>
      </w:pPr>
      <w:r>
        <w:t>Pharmacy Control</w:t>
      </w:r>
      <w:r>
        <w:rPr>
          <w:spacing w:val="8"/>
        </w:rPr>
        <w:t xml:space="preserve"> </w:t>
      </w:r>
      <w:r>
        <w:rPr>
          <w:spacing w:val="2"/>
        </w:rPr>
        <w:t>Act</w:t>
      </w:r>
      <w:r>
        <w:rPr>
          <w:spacing w:val="4"/>
        </w:rPr>
        <w:t xml:space="preserve"> </w:t>
      </w:r>
      <w:r>
        <w:t>2001</w:t>
      </w:r>
    </w:p>
    <w:p w:rsidR="00A25B44" w:rsidRDefault="005126B5" w:rsidP="00A25B44">
      <w:pPr>
        <w:pStyle w:val="BodyText"/>
        <w:numPr>
          <w:ilvl w:val="0"/>
          <w:numId w:val="40"/>
        </w:numPr>
        <w:tabs>
          <w:tab w:val="left" w:pos="5713"/>
        </w:tabs>
        <w:spacing w:before="190"/>
        <w:rPr>
          <w:spacing w:val="-9"/>
        </w:rPr>
      </w:pPr>
      <w:r>
        <w:t xml:space="preserve">Poisons </w:t>
      </w:r>
      <w:r>
        <w:rPr>
          <w:spacing w:val="2"/>
        </w:rPr>
        <w:t>Act</w:t>
      </w:r>
      <w:r>
        <w:rPr>
          <w:spacing w:val="1"/>
        </w:rPr>
        <w:t xml:space="preserve"> </w:t>
      </w:r>
      <w:r>
        <w:rPr>
          <w:spacing w:val="-9"/>
        </w:rPr>
        <w:t>1971</w:t>
      </w:r>
    </w:p>
    <w:p w:rsidR="00A25B44" w:rsidRDefault="005126B5" w:rsidP="00A25B44">
      <w:pPr>
        <w:pStyle w:val="BodyText"/>
        <w:numPr>
          <w:ilvl w:val="0"/>
          <w:numId w:val="40"/>
        </w:numPr>
        <w:tabs>
          <w:tab w:val="left" w:pos="5713"/>
        </w:tabs>
        <w:spacing w:before="190"/>
        <w:rPr>
          <w:spacing w:val="-5"/>
        </w:rPr>
      </w:pPr>
      <w:r>
        <w:t>Public Health</w:t>
      </w:r>
      <w:r>
        <w:rPr>
          <w:spacing w:val="7"/>
        </w:rPr>
        <w:t xml:space="preserve"> </w:t>
      </w:r>
      <w:r>
        <w:rPr>
          <w:spacing w:val="2"/>
        </w:rPr>
        <w:t>Act</w:t>
      </w:r>
      <w:r>
        <w:rPr>
          <w:spacing w:val="3"/>
        </w:rPr>
        <w:t xml:space="preserve"> </w:t>
      </w:r>
      <w:r>
        <w:rPr>
          <w:spacing w:val="-5"/>
        </w:rPr>
        <w:t>1997</w:t>
      </w:r>
      <w:r>
        <w:rPr>
          <w:spacing w:val="-5"/>
        </w:rPr>
        <w:tab/>
      </w:r>
    </w:p>
    <w:p w:rsidR="00A25B44" w:rsidRDefault="005126B5" w:rsidP="00A25B44">
      <w:pPr>
        <w:pStyle w:val="BodyText"/>
        <w:numPr>
          <w:ilvl w:val="0"/>
          <w:numId w:val="40"/>
        </w:numPr>
        <w:tabs>
          <w:tab w:val="left" w:pos="5713"/>
        </w:tabs>
        <w:spacing w:before="190"/>
      </w:pPr>
      <w:r>
        <w:t>Radiation Protection</w:t>
      </w:r>
      <w:r>
        <w:rPr>
          <w:spacing w:val="23"/>
        </w:rPr>
        <w:t xml:space="preserve"> </w:t>
      </w:r>
      <w:r>
        <w:rPr>
          <w:spacing w:val="2"/>
        </w:rPr>
        <w:t>Act</w:t>
      </w:r>
      <w:r>
        <w:rPr>
          <w:spacing w:val="11"/>
        </w:rPr>
        <w:t xml:space="preserve"> </w:t>
      </w:r>
      <w:r>
        <w:t xml:space="preserve">2005 </w:t>
      </w:r>
    </w:p>
    <w:p w:rsidR="005126B5" w:rsidRDefault="005126B5" w:rsidP="00A25B44">
      <w:pPr>
        <w:pStyle w:val="BodyText"/>
        <w:numPr>
          <w:ilvl w:val="0"/>
          <w:numId w:val="40"/>
        </w:numPr>
        <w:tabs>
          <w:tab w:val="left" w:pos="5713"/>
        </w:tabs>
        <w:spacing w:before="190"/>
      </w:pPr>
      <w:r>
        <w:t xml:space="preserve">Tasmanian Health Organisations </w:t>
      </w:r>
      <w:r>
        <w:rPr>
          <w:spacing w:val="2"/>
        </w:rPr>
        <w:t>Act</w:t>
      </w:r>
      <w:r>
        <w:rPr>
          <w:spacing w:val="25"/>
        </w:rPr>
        <w:t xml:space="preserve"> </w:t>
      </w:r>
      <w:r>
        <w:rPr>
          <w:spacing w:val="-10"/>
        </w:rPr>
        <w:t>2011</w:t>
      </w:r>
    </w:p>
    <w:p w:rsidR="00A25B44" w:rsidRDefault="00A25B44" w:rsidP="00A25B44">
      <w:pPr>
        <w:pStyle w:val="BodyText"/>
        <w:spacing w:line="268" w:lineRule="auto"/>
        <w:ind w:right="172"/>
      </w:pPr>
      <w:r>
        <w:t xml:space="preserve">The THS maintain a Revenue Policy that provides information on the financial </w:t>
      </w:r>
      <w:r>
        <w:rPr>
          <w:spacing w:val="2"/>
        </w:rPr>
        <w:t xml:space="preserve">requirements </w:t>
      </w:r>
      <w:r>
        <w:t xml:space="preserve">for funding a </w:t>
      </w:r>
      <w:r>
        <w:rPr>
          <w:spacing w:val="2"/>
        </w:rPr>
        <w:t xml:space="preserve">program </w:t>
      </w:r>
      <w:r>
        <w:t>from sources outside of the Organisations. This policy is subject to ongoing review.</w:t>
      </w:r>
    </w:p>
    <w:p w:rsidR="00A25B44" w:rsidRDefault="00A25B44" w:rsidP="00A25B44">
      <w:pPr>
        <w:pStyle w:val="BodyText"/>
        <w:spacing w:before="160" w:line="268" w:lineRule="auto"/>
      </w:pPr>
      <w:r>
        <w:t>Fees and charges subject to the Fee Units Act 1997 were revised and gazetted in accordance with the provisions of that legislation on 27 March 2013.</w:t>
      </w:r>
    </w:p>
    <w:p w:rsidR="00A25B44" w:rsidRDefault="00A25B44" w:rsidP="00A25B44">
      <w:pPr>
        <w:pStyle w:val="Heading3"/>
      </w:pPr>
      <w:bookmarkStart w:id="46" w:name="_Toc472581986"/>
      <w:r>
        <w:t>PUBLIC INTEREST DISCLOSURE</w:t>
      </w:r>
      <w:bookmarkEnd w:id="46"/>
    </w:p>
    <w:p w:rsidR="00A25B44" w:rsidRDefault="00A25B44" w:rsidP="00A25B44">
      <w:pPr>
        <w:pStyle w:val="BodyText"/>
      </w:pPr>
      <w:r>
        <w:t>The Public Interest Disclosures Act 2002 encourages and facilitates disclosures about the improper conduct of public officers or public bodies.</w:t>
      </w:r>
    </w:p>
    <w:p w:rsidR="00A25B44" w:rsidRDefault="00A25B44" w:rsidP="00A25B44">
      <w:pPr>
        <w:pStyle w:val="BodyText"/>
      </w:pPr>
      <w:r>
        <w:t>The THS is committed to the aims and objective of the Act and recognise the value of transparency and accountability in its administrative and management practices. The THS also support the making of disclosures that reveal corrupt conduct, conduct involving a substantial mismanagement of public resources, or conduct involving a substantial risk to public health and safety or the environment.</w:t>
      </w:r>
    </w:p>
    <w:p w:rsidR="00A25B44" w:rsidRDefault="00A25B44" w:rsidP="00A25B44">
      <w:pPr>
        <w:pStyle w:val="BodyText"/>
      </w:pPr>
      <w:r>
        <w:t xml:space="preserve">The THS does not tolerate improper conduct by staff, or the taking of reprisals against those who come </w:t>
      </w:r>
      <w:r>
        <w:lastRenderedPageBreak/>
        <w:t xml:space="preserve">forward to disclose such conduct. The Organisation </w:t>
      </w:r>
      <w:proofErr w:type="gramStart"/>
      <w:r>
        <w:t>take</w:t>
      </w:r>
      <w:proofErr w:type="gramEnd"/>
      <w:r>
        <w:t xml:space="preserve"> all reasonable steps to protect people who make such disclosures from any detrimental action in reprisal for making the disclosure. The THS will also afford natural justice to any person who is the subject of a disclosure.</w:t>
      </w:r>
    </w:p>
    <w:p w:rsidR="005126B5" w:rsidRDefault="00A25B44" w:rsidP="00A25B44">
      <w:pPr>
        <w:pStyle w:val="BodyText"/>
      </w:pPr>
      <w:r>
        <w:t>The Tasmanian Health Service received one Public Interest Disclosure report during 2015-16.</w:t>
      </w:r>
    </w:p>
    <w:p w:rsidR="00A25B44" w:rsidRDefault="00A25B44" w:rsidP="00A25B44">
      <w:pPr>
        <w:pStyle w:val="BodyText"/>
      </w:pPr>
    </w:p>
    <w:p w:rsidR="00A71575" w:rsidRDefault="00A71575" w:rsidP="00FA55DF">
      <w:pPr>
        <w:pStyle w:val="Heading4"/>
      </w:pPr>
    </w:p>
    <w:p w:rsidR="00A25B44" w:rsidRDefault="00A71575" w:rsidP="00A71575">
      <w:pPr>
        <w:pStyle w:val="Heading3"/>
      </w:pPr>
      <w:bookmarkStart w:id="47" w:name="_Toc472581987"/>
      <w:r>
        <w:t xml:space="preserve">Feature:  </w:t>
      </w:r>
      <w:r w:rsidR="00A25B44">
        <w:t>George Town Unit named in honour of donor family</w:t>
      </w:r>
      <w:bookmarkEnd w:id="47"/>
    </w:p>
    <w:p w:rsidR="00A25B44" w:rsidRDefault="00A25B44" w:rsidP="00A25B44">
      <w:pPr>
        <w:pStyle w:val="BodyText"/>
      </w:pPr>
      <w:r>
        <w:t>A new palliative care suite at the George Town Hospital has been name in honour of one of the facility’s original benefactors.</w:t>
      </w:r>
    </w:p>
    <w:p w:rsidR="00A25B44" w:rsidRDefault="00A25B44" w:rsidP="00A25B44">
      <w:pPr>
        <w:pStyle w:val="BodyText"/>
      </w:pPr>
      <w:r>
        <w:t>The Triptree family donated the land on which the hospital was built.</w:t>
      </w:r>
    </w:p>
    <w:p w:rsidR="00A25B44" w:rsidRDefault="00A25B44" w:rsidP="00A25B44">
      <w:pPr>
        <w:pStyle w:val="BodyText"/>
      </w:pPr>
      <w:r>
        <w:t>The first sod was turned for the original building in 1951.</w:t>
      </w:r>
    </w:p>
    <w:p w:rsidR="00A25B44" w:rsidRDefault="00A25B44" w:rsidP="00A25B44">
      <w:pPr>
        <w:pStyle w:val="BodyText"/>
      </w:pPr>
      <w:r>
        <w:t>A note from the late Mrs Zella Triptree at the time reads: “….we donated three blocks of land for a hospital and doctor’s home – the Council thought it was grand!”</w:t>
      </w:r>
    </w:p>
    <w:p w:rsidR="00A25B44" w:rsidRDefault="00A25B44" w:rsidP="00A25B44">
      <w:pPr>
        <w:pStyle w:val="BodyText"/>
      </w:pPr>
      <w:r>
        <w:t>Mrs Triptree was president of the hospital auxiliary from 1951-1961.</w:t>
      </w:r>
    </w:p>
    <w:p w:rsidR="00A25B44" w:rsidRDefault="00A25B44" w:rsidP="00A25B44">
      <w:pPr>
        <w:pStyle w:val="BodyText"/>
      </w:pPr>
      <w:r>
        <w:t>The palliative care suite was developed with the support of the George Town community to meet the needs of clients and their families in the region.</w:t>
      </w:r>
    </w:p>
    <w:p w:rsidR="00A25B44" w:rsidRDefault="00A25B44" w:rsidP="00A25B44">
      <w:pPr>
        <w:pStyle w:val="BodyText"/>
      </w:pPr>
      <w:r>
        <w:t>The Tasmanian Association of Hospice and Palliative Care and the George Town Hospital Auxiliary provided the funds for the work. The Lions Club of George Town also assisted with the project.</w:t>
      </w:r>
    </w:p>
    <w:p w:rsidR="00A71575" w:rsidRDefault="00A71575">
      <w:pPr>
        <w:rPr>
          <w:rFonts w:ascii="Gill Sans MT" w:eastAsia="GillSans-Light" w:hAnsi="Gill Sans MT" w:cs="GillSans-Light"/>
          <w:lang w:val="en-US"/>
        </w:rPr>
      </w:pPr>
      <w:r>
        <w:br w:type="page"/>
      </w:r>
    </w:p>
    <w:p w:rsidR="00A71575" w:rsidRDefault="00A71575" w:rsidP="00A71575">
      <w:pPr>
        <w:pStyle w:val="Heading2"/>
      </w:pPr>
      <w:bookmarkStart w:id="48" w:name="_Toc472581988"/>
      <w:r>
        <w:lastRenderedPageBreak/>
        <w:t>Financial Statements</w:t>
      </w:r>
      <w:bookmarkEnd w:id="48"/>
    </w:p>
    <w:p w:rsidR="00A71575" w:rsidRDefault="00A71575" w:rsidP="00A71575">
      <w:r>
        <w:t>For the year ended 30 June 2016</w:t>
      </w:r>
    </w:p>
    <w:p w:rsidR="0021776C" w:rsidRDefault="0021776C" w:rsidP="00A71575">
      <w:r>
        <w:t>Table of Contents</w:t>
      </w:r>
    </w:p>
    <w:p w:rsidR="00435AA7" w:rsidRDefault="00435AA7" w:rsidP="00A71575"/>
    <w:p w:rsidR="00435AA7" w:rsidRDefault="00435AA7" w:rsidP="00A71575"/>
    <w:p w:rsidR="00435AA7" w:rsidRDefault="00435AA7" w:rsidP="00A71575"/>
    <w:p w:rsidR="00435AA7" w:rsidRDefault="00435AA7">
      <w:r>
        <w:br w:type="page"/>
      </w:r>
    </w:p>
    <w:p w:rsidR="00435AA7" w:rsidRDefault="00435AA7" w:rsidP="00435AA7">
      <w:pPr>
        <w:pStyle w:val="Heading3"/>
      </w:pPr>
      <w:bookmarkStart w:id="49" w:name="_Toc472581989"/>
      <w:r>
        <w:lastRenderedPageBreak/>
        <w:t>Statement of Certification</w:t>
      </w:r>
      <w:bookmarkEnd w:id="49"/>
    </w:p>
    <w:p w:rsidR="00435AA7" w:rsidRPr="00A71575" w:rsidRDefault="00435AA7" w:rsidP="00A71575"/>
    <w:p w:rsidR="00435AA7" w:rsidRDefault="00435AA7" w:rsidP="00435AA7">
      <w:pPr>
        <w:pStyle w:val="BodyText"/>
      </w:pPr>
      <w:r>
        <w:t xml:space="preserve">The accompanying Financial Statements of the Tasmanian Health Service (THS) and its related bodies are in agreement with the relevant accounts and records and have been prepared in compliance with the Treasurer’s Instructions issued under the provisions of the </w:t>
      </w:r>
      <w:r>
        <w:rPr>
          <w:rFonts w:ascii="GillSans-LightItalic" w:hAnsi="GillSans-LightItalic" w:cs="GillSans-LightItalic"/>
          <w:i/>
          <w:iCs/>
        </w:rPr>
        <w:t xml:space="preserve">Financial Management and Audit Act 1990 </w:t>
      </w:r>
      <w:r>
        <w:t>to present fairly the financial transactions for the year ended 30 June 2016 and the financial position as at the end of the year.</w:t>
      </w:r>
    </w:p>
    <w:p w:rsidR="00A25B44" w:rsidRDefault="00435AA7" w:rsidP="00435AA7">
      <w:pPr>
        <w:pStyle w:val="BodyText"/>
      </w:pPr>
      <w:r>
        <w:t>At the date of signing, we are not aware of any circumstances which would render the particulars included in the financial statements misleading or inaccurate.</w:t>
      </w:r>
    </w:p>
    <w:p w:rsidR="00435AA7" w:rsidRDefault="00435AA7" w:rsidP="00435AA7">
      <w:pPr>
        <w:pStyle w:val="BodyText"/>
      </w:pPr>
      <w:r>
        <w:t xml:space="preserve">Signed by the </w:t>
      </w:r>
    </w:p>
    <w:p w:rsidR="00435AA7" w:rsidRDefault="00435AA7" w:rsidP="00435AA7">
      <w:pPr>
        <w:pStyle w:val="BodyText"/>
      </w:pPr>
      <w:r>
        <w:t>Chair of the Governing Council and the Chief Executive Officer</w:t>
      </w:r>
    </w:p>
    <w:p w:rsidR="00435AA7" w:rsidRDefault="00435AA7" w:rsidP="00435AA7">
      <w:pPr>
        <w:pStyle w:val="BodyText"/>
      </w:pPr>
      <w:r>
        <w:t>13 September 2016</w:t>
      </w:r>
    </w:p>
    <w:p w:rsidR="00435AA7" w:rsidRDefault="00435AA7" w:rsidP="00435AA7">
      <w:pPr>
        <w:pStyle w:val="BodyText"/>
      </w:pPr>
    </w:p>
    <w:p w:rsidR="00435AA7" w:rsidRDefault="00435AA7">
      <w:pPr>
        <w:rPr>
          <w:rFonts w:ascii="Gill Sans MT" w:eastAsia="GillSans-Light" w:hAnsi="Gill Sans MT" w:cs="GillSans-Light"/>
          <w:lang w:val="en-US"/>
        </w:rPr>
      </w:pPr>
      <w:r>
        <w:br w:type="page"/>
      </w:r>
    </w:p>
    <w:p w:rsidR="00435AA7" w:rsidRDefault="00757423" w:rsidP="00537B2C">
      <w:pPr>
        <w:pStyle w:val="Heading3"/>
      </w:pPr>
      <w:bookmarkStart w:id="50" w:name="_Toc472581990"/>
      <w:r>
        <w:lastRenderedPageBreak/>
        <w:t xml:space="preserve">Statement of Comprehensive </w:t>
      </w:r>
      <w:r w:rsidR="00435AA7">
        <w:t>Income</w:t>
      </w:r>
      <w:bookmarkEnd w:id="50"/>
    </w:p>
    <w:p w:rsidR="00757423" w:rsidRDefault="00757423" w:rsidP="00435AA7">
      <w:pPr>
        <w:pStyle w:val="BodyText"/>
      </w:pPr>
      <w:r>
        <w:t>For the year ended 30 June 2016</w:t>
      </w:r>
    </w:p>
    <w:tbl>
      <w:tblPr>
        <w:tblW w:w="0" w:type="auto"/>
        <w:tblLayout w:type="fixed"/>
        <w:tblCellMar>
          <w:left w:w="0" w:type="dxa"/>
          <w:right w:w="0" w:type="dxa"/>
        </w:tblCellMar>
        <w:tblLook w:val="01E0" w:firstRow="1" w:lastRow="1" w:firstColumn="1" w:lastColumn="1" w:noHBand="0" w:noVBand="0"/>
        <w:tblCaption w:val="Statement of Comprehensive Income"/>
        <w:tblDescription w:val="For year ended 30 June 2016&#10;"/>
      </w:tblPr>
      <w:tblGrid>
        <w:gridCol w:w="6096"/>
        <w:gridCol w:w="1137"/>
        <w:gridCol w:w="1018"/>
        <w:gridCol w:w="1099"/>
      </w:tblGrid>
      <w:tr w:rsidR="00757423" w:rsidRPr="00757423" w:rsidTr="00757423">
        <w:trPr>
          <w:trHeight w:hRule="exact" w:val="507"/>
        </w:trPr>
        <w:tc>
          <w:tcPr>
            <w:tcW w:w="6096" w:type="dxa"/>
            <w:tcBorders>
              <w:bottom w:val="dotted" w:sz="4" w:space="0" w:color="auto"/>
            </w:tcBorders>
            <w:shd w:val="clear" w:color="auto" w:fill="auto"/>
            <w:vAlign w:val="center"/>
          </w:tcPr>
          <w:p w:rsidR="00757423" w:rsidRPr="00757423" w:rsidRDefault="00757423" w:rsidP="00537B2C">
            <w:pPr>
              <w:pStyle w:val="Heading4"/>
            </w:pPr>
            <w:r>
              <w:t>Description</w:t>
            </w:r>
          </w:p>
        </w:tc>
        <w:tc>
          <w:tcPr>
            <w:tcW w:w="1137" w:type="dxa"/>
            <w:tcBorders>
              <w:bottom w:val="dotted" w:sz="4" w:space="0" w:color="auto"/>
            </w:tcBorders>
            <w:shd w:val="clear" w:color="auto" w:fill="auto"/>
            <w:vAlign w:val="center"/>
          </w:tcPr>
          <w:p w:rsidR="00757423" w:rsidRPr="00757423" w:rsidRDefault="00757423" w:rsidP="00537B2C">
            <w:pPr>
              <w:pStyle w:val="Heading4"/>
            </w:pPr>
            <w:r w:rsidRPr="00757423">
              <w:t>Notes</w:t>
            </w:r>
          </w:p>
        </w:tc>
        <w:tc>
          <w:tcPr>
            <w:tcW w:w="1018" w:type="dxa"/>
            <w:tcBorders>
              <w:bottom w:val="dotted" w:sz="4" w:space="0" w:color="auto"/>
            </w:tcBorders>
            <w:shd w:val="clear" w:color="auto" w:fill="auto"/>
            <w:vAlign w:val="center"/>
          </w:tcPr>
          <w:p w:rsidR="00757423" w:rsidRPr="00757423" w:rsidRDefault="00757423" w:rsidP="00537B2C">
            <w:pPr>
              <w:pStyle w:val="Heading4"/>
            </w:pPr>
            <w:r w:rsidRPr="00757423">
              <w:t>2016</w:t>
            </w:r>
          </w:p>
          <w:p w:rsidR="00757423" w:rsidRPr="00757423" w:rsidRDefault="00757423" w:rsidP="00537B2C">
            <w:pPr>
              <w:pStyle w:val="Heading4"/>
            </w:pPr>
            <w:r w:rsidRPr="00757423">
              <w:t>Budget</w:t>
            </w:r>
          </w:p>
          <w:p w:rsidR="00757423" w:rsidRPr="00757423" w:rsidRDefault="00757423" w:rsidP="00537B2C">
            <w:pPr>
              <w:pStyle w:val="Heading4"/>
            </w:pPr>
            <w:r w:rsidRPr="00757423">
              <w:t>$’000</w:t>
            </w:r>
          </w:p>
        </w:tc>
        <w:tc>
          <w:tcPr>
            <w:tcW w:w="1099" w:type="dxa"/>
            <w:tcBorders>
              <w:bottom w:val="dotted" w:sz="4" w:space="0" w:color="auto"/>
            </w:tcBorders>
            <w:shd w:val="clear" w:color="auto" w:fill="auto"/>
            <w:vAlign w:val="center"/>
          </w:tcPr>
          <w:p w:rsidR="00757423" w:rsidRPr="00757423" w:rsidRDefault="00757423" w:rsidP="00537B2C">
            <w:pPr>
              <w:pStyle w:val="Heading4"/>
            </w:pPr>
            <w:r w:rsidRPr="00757423">
              <w:t>2016</w:t>
            </w:r>
          </w:p>
          <w:p w:rsidR="00757423" w:rsidRPr="00757423" w:rsidRDefault="00757423" w:rsidP="00537B2C">
            <w:pPr>
              <w:pStyle w:val="Heading4"/>
            </w:pPr>
            <w:r w:rsidRPr="00757423">
              <w:t>Actual</w:t>
            </w:r>
          </w:p>
          <w:p w:rsidR="00757423" w:rsidRPr="00757423" w:rsidRDefault="00757423" w:rsidP="00537B2C">
            <w:pPr>
              <w:pStyle w:val="Heading4"/>
            </w:pPr>
            <w:r w:rsidRPr="00757423">
              <w:t>$’000</w:t>
            </w:r>
          </w:p>
        </w:tc>
      </w:tr>
      <w:tr w:rsidR="00757423" w:rsidRPr="00757423" w:rsidTr="00BF1557">
        <w:trPr>
          <w:trHeight w:hRule="exact" w:val="439"/>
        </w:trPr>
        <w:tc>
          <w:tcPr>
            <w:tcW w:w="6096" w:type="dxa"/>
            <w:tcBorders>
              <w:top w:val="dotted" w:sz="4" w:space="0" w:color="auto"/>
            </w:tcBorders>
            <w:shd w:val="clear" w:color="auto" w:fill="auto"/>
          </w:tcPr>
          <w:p w:rsidR="00757423" w:rsidRPr="00757423" w:rsidRDefault="00757423" w:rsidP="00537B2C">
            <w:pPr>
              <w:pStyle w:val="Heading5"/>
            </w:pPr>
            <w:r w:rsidRPr="00757423">
              <w:t>Continuing operations</w:t>
            </w:r>
          </w:p>
        </w:tc>
        <w:tc>
          <w:tcPr>
            <w:tcW w:w="1137" w:type="dxa"/>
            <w:tcBorders>
              <w:top w:val="dotted" w:sz="4" w:space="0" w:color="auto"/>
            </w:tcBorders>
            <w:shd w:val="clear" w:color="auto" w:fill="auto"/>
          </w:tcPr>
          <w:p w:rsidR="00757423" w:rsidRPr="00757423" w:rsidRDefault="00757423" w:rsidP="00537B2C">
            <w:pPr>
              <w:pStyle w:val="Heading5"/>
            </w:pPr>
          </w:p>
        </w:tc>
        <w:tc>
          <w:tcPr>
            <w:tcW w:w="1018" w:type="dxa"/>
            <w:tcBorders>
              <w:top w:val="dotted" w:sz="4" w:space="0" w:color="auto"/>
            </w:tcBorders>
            <w:shd w:val="clear" w:color="auto" w:fill="auto"/>
          </w:tcPr>
          <w:p w:rsidR="00757423" w:rsidRPr="00757423" w:rsidRDefault="00757423" w:rsidP="00537B2C">
            <w:pPr>
              <w:pStyle w:val="Heading5"/>
            </w:pPr>
          </w:p>
        </w:tc>
        <w:tc>
          <w:tcPr>
            <w:tcW w:w="1099" w:type="dxa"/>
            <w:tcBorders>
              <w:top w:val="dotted" w:sz="4" w:space="0" w:color="auto"/>
            </w:tcBorders>
            <w:shd w:val="clear" w:color="auto" w:fill="auto"/>
          </w:tcPr>
          <w:p w:rsidR="00757423" w:rsidRPr="00757423" w:rsidRDefault="00757423" w:rsidP="00537B2C">
            <w:pPr>
              <w:pStyle w:val="Heading5"/>
            </w:pPr>
          </w:p>
        </w:tc>
      </w:tr>
      <w:tr w:rsidR="00757423" w:rsidRPr="00757423" w:rsidTr="00537B2C">
        <w:trPr>
          <w:trHeight w:hRule="exact" w:val="365"/>
        </w:trPr>
        <w:tc>
          <w:tcPr>
            <w:tcW w:w="6096" w:type="dxa"/>
            <w:shd w:val="clear" w:color="auto" w:fill="auto"/>
          </w:tcPr>
          <w:p w:rsidR="00757423" w:rsidRPr="00757423" w:rsidRDefault="00757423" w:rsidP="00537B2C">
            <w:pPr>
              <w:pStyle w:val="Heading6"/>
            </w:pPr>
            <w:r w:rsidRPr="00757423">
              <w:t>Revenue and other income from transactions</w:t>
            </w:r>
          </w:p>
        </w:tc>
        <w:tc>
          <w:tcPr>
            <w:tcW w:w="1137" w:type="dxa"/>
            <w:shd w:val="clear" w:color="auto" w:fill="auto"/>
          </w:tcPr>
          <w:p w:rsidR="00757423" w:rsidRPr="00757423" w:rsidRDefault="00757423" w:rsidP="00537B2C">
            <w:pPr>
              <w:pStyle w:val="Heading6"/>
            </w:pPr>
          </w:p>
        </w:tc>
        <w:tc>
          <w:tcPr>
            <w:tcW w:w="1018" w:type="dxa"/>
            <w:shd w:val="clear" w:color="auto" w:fill="auto"/>
          </w:tcPr>
          <w:p w:rsidR="00757423" w:rsidRPr="00757423" w:rsidRDefault="00757423" w:rsidP="00537B2C">
            <w:pPr>
              <w:pStyle w:val="Heading6"/>
            </w:pPr>
          </w:p>
        </w:tc>
        <w:tc>
          <w:tcPr>
            <w:tcW w:w="1099" w:type="dxa"/>
            <w:shd w:val="clear" w:color="auto" w:fill="auto"/>
          </w:tcPr>
          <w:p w:rsidR="00757423" w:rsidRPr="00757423" w:rsidRDefault="00757423" w:rsidP="00537B2C">
            <w:pPr>
              <w:pStyle w:val="Heading6"/>
            </w:pPr>
          </w:p>
        </w:tc>
      </w:tr>
      <w:tr w:rsidR="00757423" w:rsidRPr="00757423" w:rsidTr="00757423">
        <w:trPr>
          <w:trHeight w:hRule="exact" w:val="279"/>
        </w:trPr>
        <w:tc>
          <w:tcPr>
            <w:tcW w:w="6096" w:type="dxa"/>
            <w:shd w:val="clear" w:color="auto" w:fill="auto"/>
          </w:tcPr>
          <w:p w:rsidR="00757423" w:rsidRPr="00757423" w:rsidRDefault="00757423" w:rsidP="00BF1557">
            <w:pPr>
              <w:pStyle w:val="TableParagraph"/>
              <w:spacing w:before="37"/>
              <w:ind w:left="85"/>
              <w:rPr>
                <w:rFonts w:ascii="Gill Sans MT" w:hAnsi="Gill Sans MT"/>
                <w:sz w:val="18"/>
              </w:rPr>
            </w:pPr>
            <w:r w:rsidRPr="00757423">
              <w:rPr>
                <w:rFonts w:ascii="Gill Sans MT" w:hAnsi="Gill Sans MT"/>
                <w:sz w:val="18"/>
              </w:rPr>
              <w:t>Grants</w:t>
            </w:r>
          </w:p>
        </w:tc>
        <w:tc>
          <w:tcPr>
            <w:tcW w:w="1137" w:type="dxa"/>
            <w:shd w:val="clear" w:color="auto" w:fill="auto"/>
          </w:tcPr>
          <w:p w:rsidR="00757423" w:rsidRPr="00757423" w:rsidRDefault="00757423" w:rsidP="00BF1557">
            <w:pPr>
              <w:pStyle w:val="TableParagraph"/>
              <w:spacing w:before="37"/>
              <w:ind w:right="168"/>
              <w:jc w:val="right"/>
              <w:rPr>
                <w:rFonts w:ascii="Gill Sans MT" w:hAnsi="Gill Sans MT"/>
                <w:sz w:val="18"/>
              </w:rPr>
            </w:pPr>
            <w:r w:rsidRPr="00757423">
              <w:rPr>
                <w:rFonts w:ascii="Gill Sans MT" w:hAnsi="Gill Sans MT"/>
                <w:sz w:val="18"/>
              </w:rPr>
              <w:t>5.1</w:t>
            </w:r>
          </w:p>
        </w:tc>
        <w:tc>
          <w:tcPr>
            <w:tcW w:w="1018" w:type="dxa"/>
            <w:shd w:val="clear" w:color="auto" w:fill="auto"/>
          </w:tcPr>
          <w:p w:rsidR="00757423" w:rsidRPr="00757423" w:rsidRDefault="00757423" w:rsidP="00BF1557">
            <w:pPr>
              <w:pStyle w:val="TableParagraph"/>
              <w:spacing w:before="37"/>
              <w:ind w:right="163"/>
              <w:jc w:val="right"/>
              <w:rPr>
                <w:rFonts w:ascii="Gill Sans MT" w:hAnsi="Gill Sans MT"/>
                <w:sz w:val="18"/>
              </w:rPr>
            </w:pPr>
            <w:r w:rsidRPr="00757423">
              <w:rPr>
                <w:rFonts w:ascii="Gill Sans MT" w:hAnsi="Gill Sans MT"/>
                <w:sz w:val="18"/>
              </w:rPr>
              <w:t>1 459 909</w:t>
            </w:r>
          </w:p>
        </w:tc>
        <w:tc>
          <w:tcPr>
            <w:tcW w:w="1099" w:type="dxa"/>
            <w:shd w:val="clear" w:color="auto" w:fill="auto"/>
          </w:tcPr>
          <w:p w:rsidR="00757423" w:rsidRPr="00757423" w:rsidRDefault="00757423" w:rsidP="00BF1557">
            <w:pPr>
              <w:pStyle w:val="TableParagraph"/>
              <w:spacing w:before="37"/>
              <w:ind w:right="163"/>
              <w:jc w:val="right"/>
              <w:rPr>
                <w:rFonts w:ascii="Gill Sans MT" w:hAnsi="Gill Sans MT"/>
                <w:sz w:val="18"/>
              </w:rPr>
            </w:pPr>
            <w:r w:rsidRPr="00757423">
              <w:rPr>
                <w:rFonts w:ascii="Gill Sans MT" w:hAnsi="Gill Sans MT"/>
                <w:sz w:val="18"/>
              </w:rPr>
              <w:t>1 248 734</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5"/>
              <w:rPr>
                <w:rFonts w:ascii="Gill Sans MT" w:hAnsi="Gill Sans MT"/>
                <w:sz w:val="18"/>
              </w:rPr>
            </w:pPr>
            <w:r w:rsidRPr="00757423">
              <w:rPr>
                <w:rFonts w:ascii="Gill Sans MT" w:hAnsi="Gill Sans MT"/>
                <w:sz w:val="18"/>
              </w:rPr>
              <w:t>Sales of goods and services</w:t>
            </w:r>
          </w:p>
        </w:tc>
        <w:tc>
          <w:tcPr>
            <w:tcW w:w="1137" w:type="dxa"/>
            <w:shd w:val="clear" w:color="auto" w:fill="auto"/>
          </w:tcPr>
          <w:p w:rsidR="00757423" w:rsidRPr="00757423" w:rsidRDefault="00757423" w:rsidP="00BF1557">
            <w:pPr>
              <w:pStyle w:val="TableParagraph"/>
              <w:spacing w:before="38"/>
              <w:ind w:right="168"/>
              <w:jc w:val="right"/>
              <w:rPr>
                <w:rFonts w:ascii="Gill Sans MT" w:hAnsi="Gill Sans MT"/>
                <w:sz w:val="18"/>
              </w:rPr>
            </w:pPr>
            <w:r w:rsidRPr="00757423">
              <w:rPr>
                <w:rFonts w:ascii="Gill Sans MT" w:hAnsi="Gill Sans MT"/>
                <w:sz w:val="18"/>
              </w:rPr>
              <w:t>5.2</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138 458</w:t>
            </w:r>
          </w:p>
        </w:tc>
        <w:tc>
          <w:tcPr>
            <w:tcW w:w="1099" w:type="dxa"/>
            <w:shd w:val="clear" w:color="auto" w:fill="auto"/>
          </w:tcPr>
          <w:p w:rsidR="00757423" w:rsidRPr="00757423" w:rsidRDefault="00757423" w:rsidP="00BF1557">
            <w:pPr>
              <w:pStyle w:val="TableParagraph"/>
              <w:spacing w:before="38"/>
              <w:ind w:right="161"/>
              <w:jc w:val="right"/>
              <w:rPr>
                <w:rFonts w:ascii="Gill Sans MT" w:hAnsi="Gill Sans MT"/>
                <w:sz w:val="18"/>
              </w:rPr>
            </w:pPr>
            <w:r w:rsidRPr="00757423">
              <w:rPr>
                <w:rFonts w:ascii="Gill Sans MT" w:hAnsi="Gill Sans MT"/>
                <w:sz w:val="18"/>
              </w:rPr>
              <w:t>160 794</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5"/>
              <w:rPr>
                <w:rFonts w:ascii="Gill Sans MT" w:hAnsi="Gill Sans MT"/>
                <w:sz w:val="18"/>
              </w:rPr>
            </w:pPr>
            <w:r w:rsidRPr="00757423">
              <w:rPr>
                <w:rFonts w:ascii="Gill Sans MT" w:hAnsi="Gill Sans MT"/>
                <w:sz w:val="18"/>
              </w:rPr>
              <w:t>Interest</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0</w:t>
            </w:r>
          </w:p>
        </w:tc>
        <w:tc>
          <w:tcPr>
            <w:tcW w:w="1099"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258</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4"/>
              <w:rPr>
                <w:rFonts w:ascii="Gill Sans MT" w:hAnsi="Gill Sans MT"/>
                <w:sz w:val="18"/>
              </w:rPr>
            </w:pPr>
            <w:r w:rsidRPr="00757423">
              <w:rPr>
                <w:rFonts w:ascii="Gill Sans MT" w:hAnsi="Gill Sans MT"/>
                <w:sz w:val="18"/>
              </w:rPr>
              <w:t>Contributions received</w:t>
            </w:r>
          </w:p>
        </w:tc>
        <w:tc>
          <w:tcPr>
            <w:tcW w:w="1137" w:type="dxa"/>
            <w:shd w:val="clear" w:color="auto" w:fill="auto"/>
          </w:tcPr>
          <w:p w:rsidR="00757423" w:rsidRPr="00757423" w:rsidRDefault="00757423" w:rsidP="00BF1557">
            <w:pPr>
              <w:pStyle w:val="TableParagraph"/>
              <w:spacing w:before="38"/>
              <w:ind w:right="168"/>
              <w:jc w:val="right"/>
              <w:rPr>
                <w:rFonts w:ascii="Gill Sans MT" w:hAnsi="Gill Sans MT"/>
                <w:sz w:val="18"/>
              </w:rPr>
            </w:pPr>
            <w:r w:rsidRPr="00757423">
              <w:rPr>
                <w:rFonts w:ascii="Gill Sans MT" w:hAnsi="Gill Sans MT"/>
                <w:sz w:val="18"/>
              </w:rPr>
              <w:t>5.3</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0</w:t>
            </w:r>
          </w:p>
        </w:tc>
        <w:tc>
          <w:tcPr>
            <w:tcW w:w="1099"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28</w:t>
            </w:r>
          </w:p>
        </w:tc>
      </w:tr>
      <w:tr w:rsidR="00757423" w:rsidRPr="00757423" w:rsidTr="00757423">
        <w:trPr>
          <w:trHeight w:hRule="exact" w:val="270"/>
        </w:trPr>
        <w:tc>
          <w:tcPr>
            <w:tcW w:w="6096" w:type="dxa"/>
            <w:shd w:val="clear" w:color="auto" w:fill="auto"/>
          </w:tcPr>
          <w:p w:rsidR="00757423" w:rsidRPr="00757423" w:rsidRDefault="00757423" w:rsidP="00BF1557">
            <w:pPr>
              <w:pStyle w:val="TableParagraph"/>
              <w:spacing w:before="38"/>
              <w:ind w:left="84"/>
              <w:rPr>
                <w:rFonts w:ascii="Gill Sans MT" w:hAnsi="Gill Sans MT"/>
                <w:sz w:val="18"/>
              </w:rPr>
            </w:pPr>
            <w:r w:rsidRPr="00757423">
              <w:rPr>
                <w:rFonts w:ascii="Gill Sans MT" w:hAnsi="Gill Sans MT"/>
                <w:sz w:val="18"/>
              </w:rPr>
              <w:t>Other revenue</w:t>
            </w:r>
          </w:p>
        </w:tc>
        <w:tc>
          <w:tcPr>
            <w:tcW w:w="1137" w:type="dxa"/>
            <w:shd w:val="clear" w:color="auto" w:fill="auto"/>
          </w:tcPr>
          <w:p w:rsidR="00757423" w:rsidRPr="00757423" w:rsidRDefault="00757423" w:rsidP="00BF1557">
            <w:pPr>
              <w:pStyle w:val="TableParagraph"/>
              <w:spacing w:before="38"/>
              <w:ind w:right="170"/>
              <w:jc w:val="right"/>
              <w:rPr>
                <w:rFonts w:ascii="Gill Sans MT" w:hAnsi="Gill Sans MT"/>
                <w:sz w:val="18"/>
              </w:rPr>
            </w:pPr>
            <w:r w:rsidRPr="00757423">
              <w:rPr>
                <w:rFonts w:ascii="Gill Sans MT" w:hAnsi="Gill Sans MT"/>
                <w:sz w:val="18"/>
              </w:rPr>
              <w:t>5.4</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29 276</w:t>
            </w:r>
          </w:p>
        </w:tc>
        <w:tc>
          <w:tcPr>
            <w:tcW w:w="1099" w:type="dxa"/>
            <w:shd w:val="clear" w:color="auto" w:fill="auto"/>
          </w:tcPr>
          <w:p w:rsidR="00757423" w:rsidRPr="00757423" w:rsidRDefault="00757423" w:rsidP="00BF1557">
            <w:pPr>
              <w:pStyle w:val="TableParagraph"/>
              <w:spacing w:before="38"/>
              <w:ind w:right="168"/>
              <w:jc w:val="right"/>
              <w:rPr>
                <w:rFonts w:ascii="Gill Sans MT" w:hAnsi="Gill Sans MT"/>
                <w:sz w:val="18"/>
              </w:rPr>
            </w:pPr>
            <w:r w:rsidRPr="00757423">
              <w:rPr>
                <w:rFonts w:ascii="Gill Sans MT" w:hAnsi="Gill Sans MT"/>
                <w:sz w:val="18"/>
              </w:rPr>
              <w:t>38 043</w:t>
            </w:r>
          </w:p>
        </w:tc>
      </w:tr>
      <w:tr w:rsidR="00757423" w:rsidRPr="00757423" w:rsidTr="00757423">
        <w:trPr>
          <w:trHeight w:hRule="exact" w:val="437"/>
        </w:trPr>
        <w:tc>
          <w:tcPr>
            <w:tcW w:w="6096" w:type="dxa"/>
            <w:shd w:val="clear" w:color="auto" w:fill="auto"/>
          </w:tcPr>
          <w:p w:rsidR="00757423" w:rsidRPr="00757423" w:rsidRDefault="00757423" w:rsidP="00BF1557">
            <w:pPr>
              <w:pStyle w:val="TableParagraph"/>
              <w:spacing w:before="46"/>
              <w:ind w:left="84"/>
              <w:rPr>
                <w:rFonts w:ascii="Gill Sans MT" w:hAnsi="Gill Sans MT"/>
                <w:b/>
                <w:sz w:val="18"/>
              </w:rPr>
            </w:pPr>
            <w:r w:rsidRPr="00757423">
              <w:rPr>
                <w:rFonts w:ascii="Gill Sans MT" w:hAnsi="Gill Sans MT"/>
                <w:b/>
                <w:sz w:val="18"/>
              </w:rPr>
              <w:t>Total revenue and other income from transactions</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2"/>
              <w:ind w:right="163"/>
              <w:jc w:val="right"/>
              <w:rPr>
                <w:rFonts w:ascii="Gill Sans MT" w:hAnsi="Gill Sans MT"/>
                <w:b/>
                <w:sz w:val="18"/>
              </w:rPr>
            </w:pPr>
            <w:r w:rsidRPr="00757423">
              <w:rPr>
                <w:rFonts w:ascii="Gill Sans MT" w:hAnsi="Gill Sans MT"/>
                <w:b/>
                <w:sz w:val="18"/>
              </w:rPr>
              <w:t>1 627 643</w:t>
            </w:r>
          </w:p>
        </w:tc>
        <w:tc>
          <w:tcPr>
            <w:tcW w:w="1099" w:type="dxa"/>
            <w:shd w:val="clear" w:color="auto" w:fill="auto"/>
          </w:tcPr>
          <w:p w:rsidR="00757423" w:rsidRPr="00757423" w:rsidRDefault="00757423" w:rsidP="00BF1557">
            <w:pPr>
              <w:pStyle w:val="TableParagraph"/>
              <w:spacing w:before="42"/>
              <w:ind w:right="163"/>
              <w:jc w:val="right"/>
              <w:rPr>
                <w:rFonts w:ascii="Gill Sans MT" w:hAnsi="Gill Sans MT"/>
                <w:b/>
                <w:sz w:val="18"/>
              </w:rPr>
            </w:pPr>
            <w:r w:rsidRPr="00757423">
              <w:rPr>
                <w:rFonts w:ascii="Gill Sans MT" w:hAnsi="Gill Sans MT"/>
                <w:b/>
                <w:sz w:val="18"/>
              </w:rPr>
              <w:t>1 447 857</w:t>
            </w:r>
          </w:p>
        </w:tc>
      </w:tr>
      <w:tr w:rsidR="00757423" w:rsidRPr="00757423" w:rsidTr="00757423">
        <w:trPr>
          <w:trHeight w:hRule="exact" w:val="428"/>
        </w:trPr>
        <w:tc>
          <w:tcPr>
            <w:tcW w:w="6096" w:type="dxa"/>
            <w:shd w:val="clear" w:color="auto" w:fill="auto"/>
          </w:tcPr>
          <w:p w:rsidR="00757423" w:rsidRPr="00757423" w:rsidRDefault="00757423" w:rsidP="00537B2C">
            <w:pPr>
              <w:pStyle w:val="Heading6"/>
            </w:pPr>
            <w:r w:rsidRPr="00757423">
              <w:t>Expenses from transactions</w:t>
            </w:r>
          </w:p>
        </w:tc>
        <w:tc>
          <w:tcPr>
            <w:tcW w:w="1137" w:type="dxa"/>
            <w:shd w:val="clear" w:color="auto" w:fill="auto"/>
          </w:tcPr>
          <w:p w:rsidR="00757423" w:rsidRPr="00757423" w:rsidRDefault="00757423" w:rsidP="00537B2C">
            <w:pPr>
              <w:pStyle w:val="Heading6"/>
            </w:pPr>
          </w:p>
        </w:tc>
        <w:tc>
          <w:tcPr>
            <w:tcW w:w="1018" w:type="dxa"/>
            <w:shd w:val="clear" w:color="auto" w:fill="auto"/>
          </w:tcPr>
          <w:p w:rsidR="00757423" w:rsidRPr="00757423" w:rsidRDefault="00757423" w:rsidP="00537B2C">
            <w:pPr>
              <w:pStyle w:val="Heading6"/>
            </w:pPr>
          </w:p>
        </w:tc>
        <w:tc>
          <w:tcPr>
            <w:tcW w:w="1099" w:type="dxa"/>
            <w:shd w:val="clear" w:color="auto" w:fill="auto"/>
          </w:tcPr>
          <w:p w:rsidR="00757423" w:rsidRPr="00757423" w:rsidRDefault="00757423" w:rsidP="00537B2C">
            <w:pPr>
              <w:pStyle w:val="Heading6"/>
            </w:pPr>
          </w:p>
        </w:tc>
      </w:tr>
      <w:tr w:rsidR="00757423" w:rsidRPr="00757423" w:rsidTr="00757423">
        <w:trPr>
          <w:trHeight w:hRule="exact" w:val="279"/>
        </w:trPr>
        <w:tc>
          <w:tcPr>
            <w:tcW w:w="6096" w:type="dxa"/>
            <w:shd w:val="clear" w:color="auto" w:fill="auto"/>
          </w:tcPr>
          <w:p w:rsidR="00757423" w:rsidRPr="00757423" w:rsidRDefault="00757423" w:rsidP="00BF1557">
            <w:pPr>
              <w:pStyle w:val="TableParagraph"/>
              <w:spacing w:before="37"/>
              <w:ind w:left="84"/>
              <w:rPr>
                <w:rFonts w:ascii="Gill Sans MT" w:hAnsi="Gill Sans MT"/>
                <w:sz w:val="18"/>
              </w:rPr>
            </w:pPr>
            <w:r w:rsidRPr="00757423">
              <w:rPr>
                <w:rFonts w:ascii="Gill Sans MT" w:hAnsi="Gill Sans MT"/>
                <w:sz w:val="18"/>
              </w:rPr>
              <w:t>Employee benefits</w:t>
            </w:r>
          </w:p>
        </w:tc>
        <w:tc>
          <w:tcPr>
            <w:tcW w:w="1137" w:type="dxa"/>
            <w:shd w:val="clear" w:color="auto" w:fill="auto"/>
          </w:tcPr>
          <w:p w:rsidR="00757423" w:rsidRPr="00757423" w:rsidRDefault="00757423" w:rsidP="00BF1557">
            <w:pPr>
              <w:pStyle w:val="TableParagraph"/>
              <w:spacing w:before="37"/>
              <w:ind w:right="168"/>
              <w:jc w:val="right"/>
              <w:rPr>
                <w:rFonts w:ascii="Gill Sans MT" w:hAnsi="Gill Sans MT"/>
                <w:sz w:val="18"/>
              </w:rPr>
            </w:pPr>
            <w:r w:rsidRPr="00757423">
              <w:rPr>
                <w:rFonts w:ascii="Gill Sans MT" w:hAnsi="Gill Sans MT"/>
                <w:sz w:val="18"/>
              </w:rPr>
              <w:t>6.1</w:t>
            </w:r>
          </w:p>
        </w:tc>
        <w:tc>
          <w:tcPr>
            <w:tcW w:w="1018" w:type="dxa"/>
            <w:shd w:val="clear" w:color="auto" w:fill="auto"/>
          </w:tcPr>
          <w:p w:rsidR="00757423" w:rsidRPr="00757423" w:rsidRDefault="00757423" w:rsidP="00BF1557">
            <w:pPr>
              <w:pStyle w:val="TableParagraph"/>
              <w:spacing w:before="37"/>
              <w:ind w:right="166"/>
              <w:jc w:val="right"/>
              <w:rPr>
                <w:rFonts w:ascii="Gill Sans MT" w:hAnsi="Gill Sans MT"/>
                <w:sz w:val="18"/>
              </w:rPr>
            </w:pPr>
            <w:r w:rsidRPr="00757423">
              <w:rPr>
                <w:rFonts w:ascii="Gill Sans MT" w:hAnsi="Gill Sans MT"/>
                <w:sz w:val="18"/>
              </w:rPr>
              <w:t>922 096</w:t>
            </w:r>
          </w:p>
        </w:tc>
        <w:tc>
          <w:tcPr>
            <w:tcW w:w="1099" w:type="dxa"/>
            <w:shd w:val="clear" w:color="auto" w:fill="auto"/>
          </w:tcPr>
          <w:p w:rsidR="00757423" w:rsidRPr="00757423" w:rsidRDefault="00757423" w:rsidP="00BF1557">
            <w:pPr>
              <w:pStyle w:val="TableParagraph"/>
              <w:spacing w:before="37"/>
              <w:ind w:right="161"/>
              <w:jc w:val="right"/>
              <w:rPr>
                <w:rFonts w:ascii="Gill Sans MT" w:hAnsi="Gill Sans MT"/>
                <w:sz w:val="18"/>
              </w:rPr>
            </w:pPr>
            <w:r w:rsidRPr="00757423">
              <w:rPr>
                <w:rFonts w:ascii="Gill Sans MT" w:hAnsi="Gill Sans MT"/>
                <w:sz w:val="18"/>
              </w:rPr>
              <w:t>948 973</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4"/>
              <w:rPr>
                <w:rFonts w:ascii="Gill Sans MT" w:hAnsi="Gill Sans MT"/>
                <w:sz w:val="18"/>
              </w:rPr>
            </w:pPr>
            <w:r w:rsidRPr="00757423">
              <w:rPr>
                <w:rFonts w:ascii="Gill Sans MT" w:hAnsi="Gill Sans MT"/>
                <w:sz w:val="18"/>
              </w:rPr>
              <w:t>Depreciation and amortisation</w:t>
            </w:r>
          </w:p>
        </w:tc>
        <w:tc>
          <w:tcPr>
            <w:tcW w:w="1137" w:type="dxa"/>
            <w:shd w:val="clear" w:color="auto" w:fill="auto"/>
          </w:tcPr>
          <w:p w:rsidR="00757423" w:rsidRPr="00757423" w:rsidRDefault="00757423" w:rsidP="00BF1557">
            <w:pPr>
              <w:pStyle w:val="TableParagraph"/>
              <w:spacing w:before="38"/>
              <w:ind w:right="162"/>
              <w:jc w:val="right"/>
              <w:rPr>
                <w:rFonts w:ascii="Gill Sans MT" w:hAnsi="Gill Sans MT"/>
                <w:sz w:val="18"/>
              </w:rPr>
            </w:pPr>
            <w:r w:rsidRPr="00757423">
              <w:rPr>
                <w:rFonts w:ascii="Gill Sans MT" w:hAnsi="Gill Sans MT"/>
                <w:sz w:val="18"/>
              </w:rPr>
              <w:t>6.2</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37 536</w:t>
            </w:r>
          </w:p>
        </w:tc>
        <w:tc>
          <w:tcPr>
            <w:tcW w:w="1099"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39 218</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4"/>
              <w:rPr>
                <w:rFonts w:ascii="Gill Sans MT" w:hAnsi="Gill Sans MT"/>
                <w:sz w:val="18"/>
              </w:rPr>
            </w:pPr>
            <w:r w:rsidRPr="00757423">
              <w:rPr>
                <w:rFonts w:ascii="Gill Sans MT" w:hAnsi="Gill Sans MT"/>
                <w:sz w:val="18"/>
              </w:rPr>
              <w:t>Supplies and consumables</w:t>
            </w:r>
          </w:p>
        </w:tc>
        <w:tc>
          <w:tcPr>
            <w:tcW w:w="1137" w:type="dxa"/>
            <w:shd w:val="clear" w:color="auto" w:fill="auto"/>
          </w:tcPr>
          <w:p w:rsidR="00757423" w:rsidRPr="00757423" w:rsidRDefault="00757423" w:rsidP="00BF1557">
            <w:pPr>
              <w:pStyle w:val="TableParagraph"/>
              <w:spacing w:before="38"/>
              <w:ind w:right="162"/>
              <w:jc w:val="right"/>
              <w:rPr>
                <w:rFonts w:ascii="Gill Sans MT" w:hAnsi="Gill Sans MT"/>
                <w:sz w:val="18"/>
              </w:rPr>
            </w:pPr>
            <w:r w:rsidRPr="00757423">
              <w:rPr>
                <w:rFonts w:ascii="Gill Sans MT" w:hAnsi="Gill Sans MT"/>
                <w:sz w:val="18"/>
              </w:rPr>
              <w:t>6.3</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345 162</w:t>
            </w:r>
          </w:p>
        </w:tc>
        <w:tc>
          <w:tcPr>
            <w:tcW w:w="1099"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394 575</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5"/>
              <w:rPr>
                <w:rFonts w:ascii="Gill Sans MT" w:hAnsi="Gill Sans MT"/>
                <w:sz w:val="18"/>
              </w:rPr>
            </w:pPr>
            <w:r w:rsidRPr="00757423">
              <w:rPr>
                <w:rFonts w:ascii="Gill Sans MT" w:hAnsi="Gill Sans MT"/>
                <w:sz w:val="18"/>
              </w:rPr>
              <w:t>Grants and subsidies</w:t>
            </w:r>
          </w:p>
        </w:tc>
        <w:tc>
          <w:tcPr>
            <w:tcW w:w="1137" w:type="dxa"/>
            <w:shd w:val="clear" w:color="auto" w:fill="auto"/>
          </w:tcPr>
          <w:p w:rsidR="00757423" w:rsidRPr="00757423" w:rsidRDefault="00757423" w:rsidP="00BF1557">
            <w:pPr>
              <w:pStyle w:val="TableParagraph"/>
              <w:spacing w:before="38"/>
              <w:ind w:right="170"/>
              <w:jc w:val="right"/>
              <w:rPr>
                <w:rFonts w:ascii="Gill Sans MT" w:hAnsi="Gill Sans MT"/>
                <w:sz w:val="18"/>
              </w:rPr>
            </w:pPr>
            <w:r w:rsidRPr="00757423">
              <w:rPr>
                <w:rFonts w:ascii="Gill Sans MT" w:hAnsi="Gill Sans MT"/>
                <w:sz w:val="18"/>
              </w:rPr>
              <w:t>6.4</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40 495</w:t>
            </w:r>
          </w:p>
        </w:tc>
        <w:tc>
          <w:tcPr>
            <w:tcW w:w="1099"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7 178</w:t>
            </w:r>
          </w:p>
        </w:tc>
      </w:tr>
      <w:tr w:rsidR="00757423" w:rsidRPr="00757423" w:rsidTr="00757423">
        <w:trPr>
          <w:trHeight w:hRule="exact" w:val="280"/>
        </w:trPr>
        <w:tc>
          <w:tcPr>
            <w:tcW w:w="6096" w:type="dxa"/>
            <w:shd w:val="clear" w:color="auto" w:fill="auto"/>
          </w:tcPr>
          <w:p w:rsidR="00757423" w:rsidRPr="00757423" w:rsidRDefault="00757423" w:rsidP="00BF1557">
            <w:pPr>
              <w:pStyle w:val="TableParagraph"/>
              <w:spacing w:before="38"/>
              <w:ind w:left="85"/>
              <w:rPr>
                <w:rFonts w:ascii="Gill Sans MT" w:hAnsi="Gill Sans MT"/>
                <w:sz w:val="18"/>
              </w:rPr>
            </w:pPr>
            <w:r w:rsidRPr="00757423">
              <w:rPr>
                <w:rFonts w:ascii="Gill Sans MT" w:hAnsi="Gill Sans MT"/>
                <w:sz w:val="18"/>
              </w:rPr>
              <w:t>Finance costs</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38"/>
              <w:ind w:right="162"/>
              <w:jc w:val="right"/>
              <w:rPr>
                <w:rFonts w:ascii="Gill Sans MT" w:hAnsi="Gill Sans MT"/>
                <w:sz w:val="18"/>
              </w:rPr>
            </w:pPr>
            <w:r w:rsidRPr="00757423">
              <w:rPr>
                <w:rFonts w:ascii="Gill Sans MT" w:hAnsi="Gill Sans MT"/>
                <w:sz w:val="18"/>
              </w:rPr>
              <w:t>192</w:t>
            </w:r>
          </w:p>
        </w:tc>
        <w:tc>
          <w:tcPr>
            <w:tcW w:w="1099" w:type="dxa"/>
            <w:shd w:val="clear" w:color="auto" w:fill="auto"/>
          </w:tcPr>
          <w:p w:rsidR="00757423" w:rsidRPr="00757423" w:rsidRDefault="00757423" w:rsidP="00BF1557">
            <w:pPr>
              <w:pStyle w:val="TableParagraph"/>
              <w:spacing w:before="38"/>
              <w:ind w:right="162"/>
              <w:jc w:val="right"/>
              <w:rPr>
                <w:rFonts w:ascii="Gill Sans MT" w:hAnsi="Gill Sans MT"/>
                <w:sz w:val="18"/>
              </w:rPr>
            </w:pPr>
            <w:r w:rsidRPr="00757423">
              <w:rPr>
                <w:rFonts w:ascii="Gill Sans MT" w:hAnsi="Gill Sans MT"/>
                <w:sz w:val="18"/>
              </w:rPr>
              <w:t>0</w:t>
            </w:r>
          </w:p>
        </w:tc>
      </w:tr>
      <w:tr w:rsidR="00757423" w:rsidRPr="00757423" w:rsidTr="00757423">
        <w:trPr>
          <w:trHeight w:hRule="exact" w:val="271"/>
        </w:trPr>
        <w:tc>
          <w:tcPr>
            <w:tcW w:w="6096" w:type="dxa"/>
            <w:shd w:val="clear" w:color="auto" w:fill="auto"/>
          </w:tcPr>
          <w:p w:rsidR="00757423" w:rsidRPr="00757423" w:rsidRDefault="00757423" w:rsidP="00BF1557">
            <w:pPr>
              <w:pStyle w:val="TableParagraph"/>
              <w:spacing w:before="38"/>
              <w:ind w:left="85"/>
              <w:rPr>
                <w:rFonts w:ascii="Gill Sans MT" w:hAnsi="Gill Sans MT"/>
                <w:sz w:val="18"/>
              </w:rPr>
            </w:pPr>
            <w:r w:rsidRPr="00757423">
              <w:rPr>
                <w:rFonts w:ascii="Gill Sans MT" w:hAnsi="Gill Sans MT"/>
                <w:sz w:val="18"/>
              </w:rPr>
              <w:t>Other expenses</w:t>
            </w:r>
          </w:p>
        </w:tc>
        <w:tc>
          <w:tcPr>
            <w:tcW w:w="1137" w:type="dxa"/>
            <w:shd w:val="clear" w:color="auto" w:fill="auto"/>
          </w:tcPr>
          <w:p w:rsidR="00757423" w:rsidRPr="00757423" w:rsidRDefault="00757423" w:rsidP="00BF1557">
            <w:pPr>
              <w:pStyle w:val="TableParagraph"/>
              <w:spacing w:before="38"/>
              <w:ind w:right="169"/>
              <w:jc w:val="right"/>
              <w:rPr>
                <w:rFonts w:ascii="Gill Sans MT" w:hAnsi="Gill Sans MT"/>
                <w:sz w:val="18"/>
              </w:rPr>
            </w:pPr>
            <w:r w:rsidRPr="00757423">
              <w:rPr>
                <w:rFonts w:ascii="Gill Sans MT" w:hAnsi="Gill Sans MT"/>
                <w:sz w:val="18"/>
              </w:rPr>
              <w:t>6.5</w:t>
            </w:r>
          </w:p>
        </w:tc>
        <w:tc>
          <w:tcPr>
            <w:tcW w:w="1018" w:type="dxa"/>
            <w:shd w:val="clear" w:color="auto" w:fill="auto"/>
          </w:tcPr>
          <w:p w:rsidR="00757423" w:rsidRPr="00757423" w:rsidRDefault="00757423" w:rsidP="00BF1557">
            <w:pPr>
              <w:pStyle w:val="TableParagraph"/>
              <w:spacing w:before="38"/>
              <w:ind w:right="163"/>
              <w:jc w:val="right"/>
              <w:rPr>
                <w:rFonts w:ascii="Gill Sans MT" w:hAnsi="Gill Sans MT"/>
                <w:sz w:val="18"/>
              </w:rPr>
            </w:pPr>
            <w:r w:rsidRPr="00757423">
              <w:rPr>
                <w:rFonts w:ascii="Gill Sans MT" w:hAnsi="Gill Sans MT"/>
                <w:sz w:val="18"/>
              </w:rPr>
              <w:t>10 155</w:t>
            </w:r>
          </w:p>
        </w:tc>
        <w:tc>
          <w:tcPr>
            <w:tcW w:w="1099" w:type="dxa"/>
            <w:shd w:val="clear" w:color="auto" w:fill="auto"/>
          </w:tcPr>
          <w:p w:rsidR="00757423" w:rsidRPr="00757423" w:rsidRDefault="00757423" w:rsidP="00BF1557">
            <w:pPr>
              <w:pStyle w:val="TableParagraph"/>
              <w:spacing w:before="38"/>
              <w:ind w:right="167"/>
              <w:jc w:val="right"/>
              <w:rPr>
                <w:rFonts w:ascii="Gill Sans MT" w:hAnsi="Gill Sans MT"/>
                <w:sz w:val="18"/>
              </w:rPr>
            </w:pPr>
            <w:r w:rsidRPr="00757423">
              <w:rPr>
                <w:rFonts w:ascii="Gill Sans MT" w:hAnsi="Gill Sans MT"/>
                <w:sz w:val="18"/>
              </w:rPr>
              <w:t>22 786</w:t>
            </w: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5"/>
              <w:rPr>
                <w:rFonts w:ascii="Gill Sans MT" w:hAnsi="Gill Sans MT"/>
                <w:b/>
                <w:sz w:val="18"/>
              </w:rPr>
            </w:pPr>
            <w:r w:rsidRPr="00757423">
              <w:rPr>
                <w:rFonts w:ascii="Gill Sans MT" w:hAnsi="Gill Sans MT"/>
                <w:b/>
                <w:sz w:val="18"/>
              </w:rPr>
              <w:t>Total expenses from transactions</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1 355 636</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1 412 730</w:t>
            </w: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5"/>
              <w:rPr>
                <w:rFonts w:ascii="Gill Sans MT" w:hAnsi="Gill Sans MT"/>
                <w:b/>
                <w:sz w:val="18"/>
              </w:rPr>
            </w:pPr>
            <w:r w:rsidRPr="00757423">
              <w:rPr>
                <w:rFonts w:ascii="Gill Sans MT" w:hAnsi="Gill Sans MT"/>
                <w:b/>
                <w:sz w:val="18"/>
              </w:rPr>
              <w:t>Net result from transactions (net operating balance)</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272 007</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35 127</w:t>
            </w:r>
          </w:p>
        </w:tc>
      </w:tr>
      <w:tr w:rsidR="00757423" w:rsidRPr="00757423" w:rsidTr="00BF1557">
        <w:trPr>
          <w:trHeight w:hRule="exact" w:val="789"/>
        </w:trPr>
        <w:tc>
          <w:tcPr>
            <w:tcW w:w="6096" w:type="dxa"/>
            <w:shd w:val="clear" w:color="auto" w:fill="auto"/>
          </w:tcPr>
          <w:p w:rsidR="00757423" w:rsidRPr="00757423" w:rsidRDefault="00757423" w:rsidP="00537B2C">
            <w:pPr>
              <w:pStyle w:val="Heading6"/>
            </w:pPr>
          </w:p>
          <w:p w:rsidR="00757423" w:rsidRPr="00757423" w:rsidRDefault="00757423" w:rsidP="00537B2C">
            <w:pPr>
              <w:pStyle w:val="Heading6"/>
            </w:pPr>
            <w:r w:rsidRPr="00757423">
              <w:t>Other economic flows included in net result</w:t>
            </w:r>
          </w:p>
        </w:tc>
        <w:tc>
          <w:tcPr>
            <w:tcW w:w="1137" w:type="dxa"/>
            <w:shd w:val="clear" w:color="auto" w:fill="auto"/>
          </w:tcPr>
          <w:p w:rsidR="00757423" w:rsidRPr="00757423" w:rsidRDefault="00757423" w:rsidP="00537B2C">
            <w:pPr>
              <w:pStyle w:val="Heading6"/>
            </w:pPr>
          </w:p>
        </w:tc>
        <w:tc>
          <w:tcPr>
            <w:tcW w:w="1018" w:type="dxa"/>
            <w:shd w:val="clear" w:color="auto" w:fill="auto"/>
          </w:tcPr>
          <w:p w:rsidR="00757423" w:rsidRPr="00757423" w:rsidRDefault="00757423" w:rsidP="00537B2C">
            <w:pPr>
              <w:pStyle w:val="Heading6"/>
            </w:pPr>
          </w:p>
        </w:tc>
        <w:tc>
          <w:tcPr>
            <w:tcW w:w="1099" w:type="dxa"/>
            <w:shd w:val="clear" w:color="auto" w:fill="auto"/>
          </w:tcPr>
          <w:p w:rsidR="00757423" w:rsidRPr="00757423" w:rsidRDefault="00757423" w:rsidP="00537B2C">
            <w:pPr>
              <w:pStyle w:val="Heading6"/>
            </w:pPr>
          </w:p>
        </w:tc>
      </w:tr>
      <w:tr w:rsidR="00757423" w:rsidRPr="00757423" w:rsidTr="00757423">
        <w:trPr>
          <w:trHeight w:hRule="exact" w:val="422"/>
        </w:trPr>
        <w:tc>
          <w:tcPr>
            <w:tcW w:w="6096" w:type="dxa"/>
            <w:shd w:val="clear" w:color="auto" w:fill="auto"/>
          </w:tcPr>
          <w:p w:rsidR="00757423" w:rsidRPr="00757423" w:rsidRDefault="00757423" w:rsidP="00BF1557">
            <w:pPr>
              <w:pStyle w:val="TableParagraph"/>
              <w:spacing w:before="37"/>
              <w:ind w:left="85"/>
              <w:rPr>
                <w:rFonts w:ascii="Gill Sans MT" w:hAnsi="Gill Sans MT"/>
                <w:sz w:val="18"/>
              </w:rPr>
            </w:pPr>
            <w:r w:rsidRPr="00757423">
              <w:rPr>
                <w:rFonts w:ascii="Gill Sans MT" w:hAnsi="Gill Sans MT"/>
                <w:sz w:val="18"/>
              </w:rPr>
              <w:t>Net gain/(loss) on non-financial assets</w:t>
            </w:r>
          </w:p>
        </w:tc>
        <w:tc>
          <w:tcPr>
            <w:tcW w:w="1137" w:type="dxa"/>
            <w:shd w:val="clear" w:color="auto" w:fill="auto"/>
          </w:tcPr>
          <w:p w:rsidR="00757423" w:rsidRPr="00757423" w:rsidRDefault="00757423" w:rsidP="00BF1557">
            <w:pPr>
              <w:pStyle w:val="TableParagraph"/>
              <w:spacing w:before="37"/>
              <w:ind w:right="168"/>
              <w:jc w:val="right"/>
              <w:rPr>
                <w:rFonts w:ascii="Gill Sans MT" w:hAnsi="Gill Sans MT"/>
                <w:sz w:val="18"/>
              </w:rPr>
            </w:pPr>
            <w:r w:rsidRPr="00757423">
              <w:rPr>
                <w:rFonts w:ascii="Gill Sans MT" w:hAnsi="Gill Sans MT"/>
                <w:sz w:val="18"/>
              </w:rPr>
              <w:t>7.1</w:t>
            </w:r>
          </w:p>
        </w:tc>
        <w:tc>
          <w:tcPr>
            <w:tcW w:w="1018" w:type="dxa"/>
            <w:shd w:val="clear" w:color="auto" w:fill="auto"/>
          </w:tcPr>
          <w:p w:rsidR="00757423" w:rsidRPr="00757423" w:rsidRDefault="00757423" w:rsidP="00BF1557">
            <w:pPr>
              <w:pStyle w:val="TableParagraph"/>
              <w:spacing w:before="37"/>
              <w:ind w:right="163"/>
              <w:jc w:val="right"/>
              <w:rPr>
                <w:rFonts w:ascii="Gill Sans MT" w:hAnsi="Gill Sans MT"/>
                <w:sz w:val="18"/>
              </w:rPr>
            </w:pPr>
            <w:r w:rsidRPr="00757423">
              <w:rPr>
                <w:rFonts w:ascii="Gill Sans MT" w:hAnsi="Gill Sans MT"/>
                <w:sz w:val="18"/>
              </w:rPr>
              <w:t>0</w:t>
            </w:r>
          </w:p>
        </w:tc>
        <w:tc>
          <w:tcPr>
            <w:tcW w:w="1099" w:type="dxa"/>
            <w:shd w:val="clear" w:color="auto" w:fill="auto"/>
          </w:tcPr>
          <w:p w:rsidR="00757423" w:rsidRPr="00757423" w:rsidRDefault="00757423" w:rsidP="00BF1557">
            <w:pPr>
              <w:pStyle w:val="TableParagraph"/>
              <w:spacing w:before="37"/>
              <w:ind w:right="163"/>
              <w:jc w:val="right"/>
              <w:rPr>
                <w:rFonts w:ascii="Gill Sans MT" w:hAnsi="Gill Sans MT"/>
                <w:sz w:val="18"/>
              </w:rPr>
            </w:pPr>
            <w:r w:rsidRPr="00757423">
              <w:rPr>
                <w:rFonts w:ascii="Gill Sans MT" w:hAnsi="Gill Sans MT"/>
                <w:sz w:val="18"/>
              </w:rPr>
              <w:t>208</w:t>
            </w:r>
          </w:p>
        </w:tc>
      </w:tr>
      <w:tr w:rsidR="00757423" w:rsidRPr="00757423" w:rsidTr="00757423">
        <w:trPr>
          <w:trHeight w:hRule="exact" w:val="414"/>
        </w:trPr>
        <w:tc>
          <w:tcPr>
            <w:tcW w:w="6096" w:type="dxa"/>
            <w:shd w:val="clear" w:color="auto" w:fill="auto"/>
          </w:tcPr>
          <w:p w:rsidR="00757423" w:rsidRPr="00757423" w:rsidRDefault="00757423" w:rsidP="00BF1557">
            <w:pPr>
              <w:pStyle w:val="TableParagraph"/>
              <w:spacing w:before="7"/>
              <w:rPr>
                <w:rFonts w:ascii="Gill Sans MT" w:hAnsi="Gill Sans MT"/>
                <w:b/>
                <w:sz w:val="15"/>
              </w:rPr>
            </w:pPr>
          </w:p>
          <w:p w:rsidR="00757423" w:rsidRPr="00757423" w:rsidRDefault="00757423" w:rsidP="00BF1557">
            <w:pPr>
              <w:pStyle w:val="TableParagraph"/>
              <w:ind w:left="85"/>
              <w:rPr>
                <w:rFonts w:ascii="Gill Sans MT" w:hAnsi="Gill Sans MT"/>
                <w:sz w:val="18"/>
              </w:rPr>
            </w:pPr>
            <w:r w:rsidRPr="00757423">
              <w:rPr>
                <w:rFonts w:ascii="Gill Sans MT" w:hAnsi="Gill Sans MT"/>
                <w:spacing w:val="2"/>
                <w:sz w:val="18"/>
              </w:rPr>
              <w:t xml:space="preserve">Net </w:t>
            </w:r>
            <w:r w:rsidRPr="00757423">
              <w:rPr>
                <w:rFonts w:ascii="Gill Sans MT" w:hAnsi="Gill Sans MT"/>
                <w:sz w:val="18"/>
              </w:rPr>
              <w:t xml:space="preserve">gain/(loss) on </w:t>
            </w:r>
            <w:r w:rsidRPr="00757423">
              <w:rPr>
                <w:rFonts w:ascii="Gill Sans MT" w:hAnsi="Gill Sans MT"/>
                <w:spacing w:val="2"/>
                <w:sz w:val="18"/>
              </w:rPr>
              <w:t xml:space="preserve">financial </w:t>
            </w:r>
            <w:r w:rsidRPr="00757423">
              <w:rPr>
                <w:rFonts w:ascii="Gill Sans MT" w:hAnsi="Gill Sans MT"/>
                <w:spacing w:val="3"/>
                <w:sz w:val="18"/>
              </w:rPr>
              <w:t xml:space="preserve">instruments </w:t>
            </w:r>
            <w:r w:rsidRPr="00757423">
              <w:rPr>
                <w:rFonts w:ascii="Gill Sans MT" w:hAnsi="Gill Sans MT"/>
                <w:sz w:val="18"/>
              </w:rPr>
              <w:t xml:space="preserve">and </w:t>
            </w:r>
            <w:r w:rsidRPr="00757423">
              <w:rPr>
                <w:rFonts w:ascii="Gill Sans MT" w:hAnsi="Gill Sans MT"/>
                <w:spacing w:val="4"/>
                <w:sz w:val="18"/>
              </w:rPr>
              <w:t>statutory</w:t>
            </w:r>
            <w:r w:rsidRPr="00757423">
              <w:rPr>
                <w:rFonts w:ascii="Gill Sans MT" w:hAnsi="Gill Sans MT"/>
                <w:spacing w:val="57"/>
                <w:sz w:val="18"/>
              </w:rPr>
              <w:t xml:space="preserve"> </w:t>
            </w:r>
            <w:r w:rsidRPr="00757423">
              <w:rPr>
                <w:rFonts w:ascii="Gill Sans MT" w:hAnsi="Gill Sans MT"/>
                <w:sz w:val="18"/>
              </w:rPr>
              <w:t>receivables/payables</w:t>
            </w:r>
          </w:p>
        </w:tc>
        <w:tc>
          <w:tcPr>
            <w:tcW w:w="1137" w:type="dxa"/>
            <w:shd w:val="clear" w:color="auto" w:fill="auto"/>
          </w:tcPr>
          <w:p w:rsidR="00757423" w:rsidRPr="00757423" w:rsidRDefault="00757423" w:rsidP="00BF1557">
            <w:pPr>
              <w:pStyle w:val="TableParagraph"/>
              <w:spacing w:before="7"/>
              <w:rPr>
                <w:rFonts w:ascii="Gill Sans MT" w:hAnsi="Gill Sans MT"/>
                <w:b/>
                <w:sz w:val="15"/>
              </w:rPr>
            </w:pPr>
          </w:p>
          <w:p w:rsidR="00757423" w:rsidRPr="00757423" w:rsidRDefault="00757423" w:rsidP="00BF1557">
            <w:pPr>
              <w:pStyle w:val="TableParagraph"/>
              <w:ind w:right="168"/>
              <w:jc w:val="right"/>
              <w:rPr>
                <w:rFonts w:ascii="Gill Sans MT" w:hAnsi="Gill Sans MT"/>
                <w:sz w:val="18"/>
              </w:rPr>
            </w:pPr>
            <w:r w:rsidRPr="00757423">
              <w:rPr>
                <w:rFonts w:ascii="Gill Sans MT" w:hAnsi="Gill Sans MT"/>
                <w:sz w:val="18"/>
              </w:rPr>
              <w:t>7.2</w:t>
            </w:r>
          </w:p>
        </w:tc>
        <w:tc>
          <w:tcPr>
            <w:tcW w:w="1018" w:type="dxa"/>
            <w:shd w:val="clear" w:color="auto" w:fill="auto"/>
          </w:tcPr>
          <w:p w:rsidR="00757423" w:rsidRPr="00757423" w:rsidRDefault="00757423" w:rsidP="00BF1557">
            <w:pPr>
              <w:pStyle w:val="TableParagraph"/>
              <w:spacing w:before="7"/>
              <w:rPr>
                <w:rFonts w:ascii="Gill Sans MT" w:hAnsi="Gill Sans MT"/>
                <w:b/>
                <w:sz w:val="15"/>
              </w:rPr>
            </w:pPr>
          </w:p>
          <w:p w:rsidR="00757423" w:rsidRPr="00757423" w:rsidRDefault="00757423" w:rsidP="00BF1557">
            <w:pPr>
              <w:pStyle w:val="TableParagraph"/>
              <w:ind w:right="163"/>
              <w:jc w:val="right"/>
              <w:rPr>
                <w:rFonts w:ascii="Gill Sans MT" w:hAnsi="Gill Sans MT"/>
                <w:sz w:val="18"/>
              </w:rPr>
            </w:pPr>
            <w:r w:rsidRPr="00757423">
              <w:rPr>
                <w:rFonts w:ascii="Gill Sans MT" w:hAnsi="Gill Sans MT"/>
                <w:sz w:val="18"/>
              </w:rPr>
              <w:t>0</w:t>
            </w:r>
          </w:p>
        </w:tc>
        <w:tc>
          <w:tcPr>
            <w:tcW w:w="1099" w:type="dxa"/>
            <w:shd w:val="clear" w:color="auto" w:fill="auto"/>
          </w:tcPr>
          <w:p w:rsidR="00757423" w:rsidRPr="00757423" w:rsidRDefault="00757423" w:rsidP="00BF1557">
            <w:pPr>
              <w:pStyle w:val="TableParagraph"/>
              <w:spacing w:before="7"/>
              <w:rPr>
                <w:rFonts w:ascii="Gill Sans MT" w:hAnsi="Gill Sans MT"/>
                <w:b/>
                <w:sz w:val="15"/>
              </w:rPr>
            </w:pPr>
          </w:p>
          <w:p w:rsidR="00757423" w:rsidRPr="00757423" w:rsidRDefault="00757423" w:rsidP="00BF1557">
            <w:pPr>
              <w:pStyle w:val="TableParagraph"/>
              <w:ind w:right="167"/>
              <w:jc w:val="right"/>
              <w:rPr>
                <w:rFonts w:ascii="Gill Sans MT" w:hAnsi="Gill Sans MT"/>
                <w:sz w:val="18"/>
              </w:rPr>
            </w:pPr>
            <w:r w:rsidRPr="00757423">
              <w:rPr>
                <w:rFonts w:ascii="Gill Sans MT" w:hAnsi="Gill Sans MT"/>
                <w:sz w:val="18"/>
              </w:rPr>
              <w:t>( 446)</w:t>
            </w: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5"/>
              <w:rPr>
                <w:rFonts w:ascii="Gill Sans MT" w:hAnsi="Gill Sans MT"/>
                <w:b/>
                <w:sz w:val="18"/>
              </w:rPr>
            </w:pPr>
            <w:r w:rsidRPr="00757423">
              <w:rPr>
                <w:rFonts w:ascii="Gill Sans MT" w:hAnsi="Gill Sans MT"/>
                <w:b/>
                <w:sz w:val="18"/>
              </w:rPr>
              <w:t>Total other economic flows included in net result</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0</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  238)</w:t>
            </w: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4"/>
              <w:rPr>
                <w:rFonts w:ascii="Gill Sans MT" w:hAnsi="Gill Sans MT"/>
                <w:b/>
                <w:sz w:val="18"/>
              </w:rPr>
            </w:pPr>
            <w:r w:rsidRPr="00757423">
              <w:rPr>
                <w:rFonts w:ascii="Gill Sans MT" w:hAnsi="Gill Sans MT"/>
                <w:b/>
                <w:sz w:val="18"/>
              </w:rPr>
              <w:t>Net result from continuing operations</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272 007</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34 889</w:t>
            </w:r>
          </w:p>
        </w:tc>
      </w:tr>
      <w:tr w:rsidR="00757423" w:rsidRPr="00757423" w:rsidTr="00757423">
        <w:trPr>
          <w:trHeight w:hRule="exact" w:val="578"/>
        </w:trPr>
        <w:tc>
          <w:tcPr>
            <w:tcW w:w="6096" w:type="dxa"/>
            <w:shd w:val="clear" w:color="auto" w:fill="auto"/>
          </w:tcPr>
          <w:p w:rsidR="00757423" w:rsidRPr="00757423" w:rsidRDefault="00757423" w:rsidP="00537B2C">
            <w:pPr>
              <w:pStyle w:val="Heading6"/>
            </w:pPr>
            <w:r w:rsidRPr="00757423">
              <w:t>Other comprehensive income</w:t>
            </w:r>
          </w:p>
        </w:tc>
        <w:tc>
          <w:tcPr>
            <w:tcW w:w="1137" w:type="dxa"/>
            <w:shd w:val="clear" w:color="auto" w:fill="auto"/>
          </w:tcPr>
          <w:p w:rsidR="00757423" w:rsidRPr="00757423" w:rsidRDefault="00757423" w:rsidP="00537B2C">
            <w:pPr>
              <w:pStyle w:val="Heading6"/>
            </w:pPr>
          </w:p>
        </w:tc>
        <w:tc>
          <w:tcPr>
            <w:tcW w:w="1018" w:type="dxa"/>
            <w:vMerge w:val="restart"/>
            <w:shd w:val="clear" w:color="auto" w:fill="auto"/>
          </w:tcPr>
          <w:p w:rsidR="00757423" w:rsidRPr="00757423" w:rsidRDefault="00757423" w:rsidP="00537B2C">
            <w:pPr>
              <w:pStyle w:val="Heading6"/>
              <w:rPr>
                <w:sz w:val="20"/>
              </w:rPr>
            </w:pPr>
          </w:p>
          <w:p w:rsidR="00757423" w:rsidRPr="00757423" w:rsidRDefault="00757423" w:rsidP="00537B2C">
            <w:pPr>
              <w:pStyle w:val="Heading6"/>
              <w:rPr>
                <w:sz w:val="20"/>
              </w:rPr>
            </w:pPr>
          </w:p>
          <w:p w:rsidR="00757423" w:rsidRPr="00757423" w:rsidRDefault="00757423" w:rsidP="00537B2C">
            <w:pPr>
              <w:pStyle w:val="Heading6"/>
              <w:rPr>
                <w:sz w:val="20"/>
              </w:rPr>
            </w:pPr>
          </w:p>
          <w:p w:rsidR="00757423" w:rsidRPr="00757423" w:rsidRDefault="00757423" w:rsidP="00537B2C">
            <w:pPr>
              <w:pStyle w:val="Heading6"/>
              <w:rPr>
                <w:sz w:val="16"/>
              </w:rPr>
            </w:pPr>
          </w:p>
          <w:p w:rsidR="00757423" w:rsidRPr="00757423" w:rsidRDefault="00757423" w:rsidP="00537B2C">
            <w:pPr>
              <w:pStyle w:val="Heading6"/>
            </w:pPr>
            <w:r w:rsidRPr="00757423">
              <w:t>45 889</w:t>
            </w:r>
          </w:p>
        </w:tc>
        <w:tc>
          <w:tcPr>
            <w:tcW w:w="1099" w:type="dxa"/>
            <w:vMerge w:val="restart"/>
            <w:shd w:val="clear" w:color="auto" w:fill="auto"/>
          </w:tcPr>
          <w:p w:rsidR="00757423" w:rsidRPr="00757423" w:rsidRDefault="00757423" w:rsidP="00537B2C">
            <w:pPr>
              <w:pStyle w:val="Heading6"/>
              <w:rPr>
                <w:sz w:val="20"/>
              </w:rPr>
            </w:pPr>
          </w:p>
          <w:p w:rsidR="00757423" w:rsidRPr="00757423" w:rsidRDefault="00757423" w:rsidP="00537B2C">
            <w:pPr>
              <w:pStyle w:val="Heading6"/>
              <w:rPr>
                <w:sz w:val="20"/>
              </w:rPr>
            </w:pPr>
          </w:p>
          <w:p w:rsidR="00757423" w:rsidRPr="00757423" w:rsidRDefault="00757423" w:rsidP="00537B2C">
            <w:pPr>
              <w:pStyle w:val="Heading6"/>
              <w:rPr>
                <w:sz w:val="20"/>
              </w:rPr>
            </w:pPr>
          </w:p>
          <w:p w:rsidR="00757423" w:rsidRPr="00757423" w:rsidRDefault="00757423" w:rsidP="00537B2C">
            <w:pPr>
              <w:pStyle w:val="Heading6"/>
              <w:rPr>
                <w:sz w:val="16"/>
              </w:rPr>
            </w:pPr>
          </w:p>
          <w:p w:rsidR="00757423" w:rsidRPr="00757423" w:rsidRDefault="00757423" w:rsidP="00537B2C">
            <w:pPr>
              <w:pStyle w:val="Heading6"/>
            </w:pPr>
            <w:r w:rsidRPr="00757423">
              <w:t>13 749</w:t>
            </w:r>
          </w:p>
        </w:tc>
      </w:tr>
      <w:tr w:rsidR="00757423" w:rsidRPr="00757423" w:rsidTr="00757423">
        <w:trPr>
          <w:trHeight w:hRule="exact" w:val="279"/>
        </w:trPr>
        <w:tc>
          <w:tcPr>
            <w:tcW w:w="6096" w:type="dxa"/>
            <w:shd w:val="clear" w:color="auto" w:fill="auto"/>
          </w:tcPr>
          <w:p w:rsidR="00757423" w:rsidRPr="00757423" w:rsidRDefault="00757423" w:rsidP="00BF1557">
            <w:pPr>
              <w:pStyle w:val="TableParagraph"/>
              <w:spacing w:before="37"/>
              <w:ind w:left="84"/>
              <w:rPr>
                <w:rFonts w:ascii="Gill Sans MT" w:hAnsi="Gill Sans MT"/>
                <w:i/>
                <w:sz w:val="18"/>
              </w:rPr>
            </w:pPr>
            <w:r w:rsidRPr="00757423">
              <w:rPr>
                <w:rFonts w:ascii="Gill Sans MT" w:hAnsi="Gill Sans MT"/>
                <w:i/>
                <w:sz w:val="18"/>
              </w:rPr>
              <w:t>Items that will not be reclassified subsequently to profit or  loss</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vMerge/>
            <w:shd w:val="clear" w:color="auto" w:fill="auto"/>
          </w:tcPr>
          <w:p w:rsidR="00757423" w:rsidRPr="00757423" w:rsidRDefault="00757423" w:rsidP="00BF1557">
            <w:pPr>
              <w:rPr>
                <w:rFonts w:ascii="Gill Sans MT" w:hAnsi="Gill Sans MT"/>
              </w:rPr>
            </w:pPr>
          </w:p>
        </w:tc>
        <w:tc>
          <w:tcPr>
            <w:tcW w:w="1099" w:type="dxa"/>
            <w:vMerge/>
            <w:shd w:val="clear" w:color="auto" w:fill="auto"/>
          </w:tcPr>
          <w:p w:rsidR="00757423" w:rsidRPr="00757423" w:rsidRDefault="00757423" w:rsidP="00BF1557">
            <w:pPr>
              <w:rPr>
                <w:rFonts w:ascii="Gill Sans MT" w:hAnsi="Gill Sans MT"/>
              </w:rPr>
            </w:pPr>
          </w:p>
        </w:tc>
      </w:tr>
      <w:tr w:rsidR="00757423" w:rsidRPr="00757423" w:rsidTr="00757423">
        <w:trPr>
          <w:trHeight w:hRule="exact" w:val="271"/>
        </w:trPr>
        <w:tc>
          <w:tcPr>
            <w:tcW w:w="6096" w:type="dxa"/>
            <w:shd w:val="clear" w:color="auto" w:fill="auto"/>
          </w:tcPr>
          <w:p w:rsidR="00757423" w:rsidRPr="00757423" w:rsidRDefault="00757423" w:rsidP="00BF1557">
            <w:pPr>
              <w:pStyle w:val="TableParagraph"/>
              <w:spacing w:before="38"/>
              <w:ind w:left="84"/>
              <w:rPr>
                <w:rFonts w:ascii="Gill Sans MT" w:hAnsi="Gill Sans MT"/>
                <w:sz w:val="18"/>
              </w:rPr>
            </w:pPr>
            <w:r w:rsidRPr="00757423">
              <w:rPr>
                <w:rFonts w:ascii="Gill Sans MT" w:hAnsi="Gill Sans MT"/>
                <w:sz w:val="18"/>
              </w:rPr>
              <w:t>Changes in property, plant and equipment revaluation surplus</w:t>
            </w:r>
          </w:p>
        </w:tc>
        <w:tc>
          <w:tcPr>
            <w:tcW w:w="1137" w:type="dxa"/>
            <w:shd w:val="clear" w:color="auto" w:fill="auto"/>
          </w:tcPr>
          <w:p w:rsidR="00757423" w:rsidRPr="00757423" w:rsidRDefault="00757423" w:rsidP="00BF1557">
            <w:pPr>
              <w:pStyle w:val="TableParagraph"/>
              <w:spacing w:before="38"/>
              <w:ind w:right="168"/>
              <w:jc w:val="right"/>
              <w:rPr>
                <w:rFonts w:ascii="Gill Sans MT" w:hAnsi="Gill Sans MT"/>
                <w:sz w:val="18"/>
              </w:rPr>
            </w:pPr>
            <w:r w:rsidRPr="00757423">
              <w:rPr>
                <w:rFonts w:ascii="Gill Sans MT" w:hAnsi="Gill Sans MT"/>
                <w:sz w:val="18"/>
              </w:rPr>
              <w:t>11.1</w:t>
            </w:r>
          </w:p>
        </w:tc>
        <w:tc>
          <w:tcPr>
            <w:tcW w:w="1018" w:type="dxa"/>
            <w:vMerge/>
            <w:shd w:val="clear" w:color="auto" w:fill="auto"/>
          </w:tcPr>
          <w:p w:rsidR="00757423" w:rsidRPr="00757423" w:rsidRDefault="00757423" w:rsidP="00BF1557">
            <w:pPr>
              <w:rPr>
                <w:rFonts w:ascii="Gill Sans MT" w:hAnsi="Gill Sans MT"/>
              </w:rPr>
            </w:pPr>
          </w:p>
        </w:tc>
        <w:tc>
          <w:tcPr>
            <w:tcW w:w="1099" w:type="dxa"/>
            <w:vMerge/>
            <w:shd w:val="clear" w:color="auto" w:fill="auto"/>
          </w:tcPr>
          <w:p w:rsidR="00757423" w:rsidRPr="00757423" w:rsidRDefault="00757423" w:rsidP="00BF1557">
            <w:pPr>
              <w:rPr>
                <w:rFonts w:ascii="Gill Sans MT" w:hAnsi="Gill Sans MT"/>
              </w:rPr>
            </w:pP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4"/>
              <w:rPr>
                <w:rFonts w:ascii="Gill Sans MT" w:hAnsi="Gill Sans MT"/>
                <w:b/>
                <w:sz w:val="18"/>
              </w:rPr>
            </w:pPr>
            <w:r w:rsidRPr="00757423">
              <w:rPr>
                <w:rFonts w:ascii="Gill Sans MT" w:hAnsi="Gill Sans MT"/>
                <w:b/>
                <w:sz w:val="18"/>
              </w:rPr>
              <w:t>Total other comprehensive income</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45 889</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13 749</w:t>
            </w:r>
          </w:p>
        </w:tc>
      </w:tr>
      <w:tr w:rsidR="00757423" w:rsidRPr="00757423" w:rsidTr="00757423">
        <w:trPr>
          <w:trHeight w:hRule="exact" w:val="287"/>
        </w:trPr>
        <w:tc>
          <w:tcPr>
            <w:tcW w:w="6096" w:type="dxa"/>
            <w:shd w:val="clear" w:color="auto" w:fill="auto"/>
          </w:tcPr>
          <w:p w:rsidR="00757423" w:rsidRPr="00757423" w:rsidRDefault="00757423" w:rsidP="00BF1557">
            <w:pPr>
              <w:rPr>
                <w:rFonts w:ascii="Gill Sans MT" w:hAnsi="Gill Sans MT"/>
              </w:rPr>
            </w:pPr>
          </w:p>
        </w:tc>
        <w:tc>
          <w:tcPr>
            <w:tcW w:w="1137" w:type="dxa"/>
            <w:shd w:val="clear" w:color="auto" w:fill="auto"/>
          </w:tcPr>
          <w:p w:rsidR="00757423" w:rsidRPr="00757423" w:rsidRDefault="00757423" w:rsidP="00BF1557">
            <w:pPr>
              <w:rPr>
                <w:rFonts w:ascii="Gill Sans MT" w:hAnsi="Gill Sans MT"/>
              </w:rPr>
            </w:pPr>
          </w:p>
        </w:tc>
        <w:tc>
          <w:tcPr>
            <w:tcW w:w="1018" w:type="dxa"/>
            <w:shd w:val="clear" w:color="auto" w:fill="auto"/>
          </w:tcPr>
          <w:p w:rsidR="00757423" w:rsidRPr="00757423" w:rsidRDefault="00757423" w:rsidP="00BF1557">
            <w:pPr>
              <w:rPr>
                <w:rFonts w:ascii="Gill Sans MT" w:hAnsi="Gill Sans MT"/>
              </w:rPr>
            </w:pPr>
          </w:p>
        </w:tc>
        <w:tc>
          <w:tcPr>
            <w:tcW w:w="1099" w:type="dxa"/>
            <w:shd w:val="clear" w:color="auto" w:fill="auto"/>
          </w:tcPr>
          <w:p w:rsidR="00757423" w:rsidRPr="00757423" w:rsidRDefault="00757423" w:rsidP="00BF1557">
            <w:pPr>
              <w:rPr>
                <w:rFonts w:ascii="Gill Sans MT" w:hAnsi="Gill Sans MT"/>
              </w:rPr>
            </w:pPr>
          </w:p>
        </w:tc>
      </w:tr>
      <w:tr w:rsidR="00757423" w:rsidRPr="00757423" w:rsidTr="00757423">
        <w:trPr>
          <w:trHeight w:hRule="exact" w:val="287"/>
        </w:trPr>
        <w:tc>
          <w:tcPr>
            <w:tcW w:w="6096" w:type="dxa"/>
            <w:shd w:val="clear" w:color="auto" w:fill="auto"/>
          </w:tcPr>
          <w:p w:rsidR="00757423" w:rsidRPr="00757423" w:rsidRDefault="00757423" w:rsidP="00BF1557">
            <w:pPr>
              <w:pStyle w:val="TableParagraph"/>
              <w:spacing w:before="45"/>
              <w:ind w:left="84"/>
              <w:rPr>
                <w:rFonts w:ascii="Gill Sans MT" w:hAnsi="Gill Sans MT"/>
                <w:b/>
                <w:sz w:val="18"/>
              </w:rPr>
            </w:pPr>
            <w:r w:rsidRPr="00757423">
              <w:rPr>
                <w:rFonts w:ascii="Gill Sans MT" w:hAnsi="Gill Sans MT"/>
                <w:b/>
                <w:sz w:val="18"/>
              </w:rPr>
              <w:t>Comprehensive result</w:t>
            </w:r>
          </w:p>
        </w:tc>
        <w:tc>
          <w:tcPr>
            <w:tcW w:w="1137" w:type="dxa"/>
            <w:shd w:val="clear" w:color="auto" w:fill="auto"/>
          </w:tcPr>
          <w:p w:rsidR="00757423" w:rsidRPr="00757423" w:rsidRDefault="00BF1557" w:rsidP="00BF1557">
            <w:pPr>
              <w:jc w:val="right"/>
              <w:rPr>
                <w:rFonts w:ascii="Gill Sans MT" w:hAnsi="Gill Sans MT"/>
              </w:rPr>
            </w:pPr>
            <w:r>
              <w:rPr>
                <w:rFonts w:ascii="Gill Sans MT" w:hAnsi="Gill Sans MT"/>
              </w:rPr>
              <w:t>-</w:t>
            </w:r>
          </w:p>
        </w:tc>
        <w:tc>
          <w:tcPr>
            <w:tcW w:w="1018"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317 896</w:t>
            </w:r>
          </w:p>
        </w:tc>
        <w:tc>
          <w:tcPr>
            <w:tcW w:w="1099" w:type="dxa"/>
            <w:shd w:val="clear" w:color="auto" w:fill="auto"/>
          </w:tcPr>
          <w:p w:rsidR="00757423" w:rsidRPr="00757423" w:rsidRDefault="00757423" w:rsidP="00BF1557">
            <w:pPr>
              <w:pStyle w:val="TableParagraph"/>
              <w:spacing w:before="41"/>
              <w:ind w:right="163"/>
              <w:jc w:val="right"/>
              <w:rPr>
                <w:rFonts w:ascii="Gill Sans MT" w:hAnsi="Gill Sans MT"/>
                <w:b/>
                <w:sz w:val="18"/>
              </w:rPr>
            </w:pPr>
            <w:r w:rsidRPr="00757423">
              <w:rPr>
                <w:rFonts w:ascii="Gill Sans MT" w:hAnsi="Gill Sans MT"/>
                <w:b/>
                <w:sz w:val="18"/>
              </w:rPr>
              <w:t>48 638</w:t>
            </w:r>
          </w:p>
        </w:tc>
      </w:tr>
    </w:tbl>
    <w:p w:rsidR="00757423" w:rsidRDefault="00757423" w:rsidP="00435AA7">
      <w:pPr>
        <w:pStyle w:val="BodyText"/>
      </w:pPr>
    </w:p>
    <w:p w:rsidR="00BF1557" w:rsidRDefault="00BF1557" w:rsidP="00BF1557">
      <w:pPr>
        <w:pStyle w:val="BodyText"/>
      </w:pPr>
      <w:r>
        <w:t>This Statement of Comprehensive Income should be read in conjunction with the accompanying notes.</w:t>
      </w:r>
    </w:p>
    <w:p w:rsidR="00BF1557" w:rsidRDefault="00BF1557" w:rsidP="00BF1557">
      <w:pPr>
        <w:pStyle w:val="BodyText"/>
      </w:pPr>
      <w:r>
        <w:t>Budget information refers to original estimates and has not been subject to audit.</w:t>
      </w:r>
    </w:p>
    <w:p w:rsidR="00BF1557" w:rsidRDefault="00BF1557" w:rsidP="00BF1557">
      <w:pPr>
        <w:pStyle w:val="BodyText"/>
      </w:pPr>
      <w:r>
        <w:t>Explanations of material variances between budget and actual outcomes are provided in Note 3 of the accompanying notes.</w:t>
      </w:r>
    </w:p>
    <w:p w:rsidR="00BF1557" w:rsidRDefault="00BF1557">
      <w:pPr>
        <w:rPr>
          <w:rFonts w:ascii="Gill Sans MT" w:eastAsia="GillSans-Light" w:hAnsi="Gill Sans MT" w:cs="GillSans-Light"/>
          <w:lang w:val="en-US"/>
        </w:rPr>
      </w:pPr>
      <w:r>
        <w:br w:type="page"/>
      </w:r>
    </w:p>
    <w:p w:rsidR="00435AA7" w:rsidRDefault="00BF1557" w:rsidP="00537B2C">
      <w:pPr>
        <w:pStyle w:val="Heading3"/>
      </w:pPr>
      <w:bookmarkStart w:id="51" w:name="_Toc472581991"/>
      <w:r>
        <w:lastRenderedPageBreak/>
        <w:t>Statement of Financial Position</w:t>
      </w:r>
      <w:bookmarkEnd w:id="51"/>
    </w:p>
    <w:p w:rsidR="00BF1557" w:rsidRDefault="00BF1557" w:rsidP="00BF1557">
      <w:pPr>
        <w:pStyle w:val="BodyText"/>
      </w:pPr>
      <w:r>
        <w:t>As at 30 June 2016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Statement of Financial Position"/>
        <w:tblDescription w:val="For year ended 30 June 2016"/>
      </w:tblPr>
      <w:tblGrid>
        <w:gridCol w:w="5959"/>
        <w:gridCol w:w="1317"/>
        <w:gridCol w:w="1058"/>
        <w:gridCol w:w="1020"/>
      </w:tblGrid>
      <w:tr w:rsidR="00BF1557" w:rsidRPr="00BF1557" w:rsidTr="00BF1557">
        <w:trPr>
          <w:trHeight w:hRule="exact" w:val="517"/>
        </w:trPr>
        <w:tc>
          <w:tcPr>
            <w:tcW w:w="5959" w:type="dxa"/>
            <w:shd w:val="clear" w:color="auto" w:fill="auto"/>
          </w:tcPr>
          <w:p w:rsidR="00BF1557" w:rsidRPr="00BF1557" w:rsidRDefault="00BF1557" w:rsidP="00537B2C">
            <w:pPr>
              <w:pStyle w:val="Heading4"/>
            </w:pPr>
            <w:r w:rsidRPr="00BF1557">
              <w:t>Description</w:t>
            </w:r>
          </w:p>
        </w:tc>
        <w:tc>
          <w:tcPr>
            <w:tcW w:w="1317" w:type="dxa"/>
            <w:shd w:val="clear" w:color="auto" w:fill="auto"/>
            <w:vAlign w:val="center"/>
          </w:tcPr>
          <w:p w:rsidR="00BF1557" w:rsidRPr="00BF1557" w:rsidRDefault="00BF1557" w:rsidP="00537B2C">
            <w:pPr>
              <w:pStyle w:val="Heading4"/>
            </w:pPr>
            <w:r w:rsidRPr="00BF1557">
              <w:t>Notes</w:t>
            </w:r>
          </w:p>
        </w:tc>
        <w:tc>
          <w:tcPr>
            <w:tcW w:w="1058" w:type="dxa"/>
            <w:shd w:val="clear" w:color="auto" w:fill="auto"/>
          </w:tcPr>
          <w:p w:rsidR="00BF1557" w:rsidRPr="00BF1557" w:rsidRDefault="00BF1557" w:rsidP="00537B2C">
            <w:pPr>
              <w:pStyle w:val="Heading4"/>
            </w:pPr>
            <w:r w:rsidRPr="00BF1557">
              <w:t>2016</w:t>
            </w:r>
          </w:p>
          <w:p w:rsidR="00BF1557" w:rsidRPr="00BF1557" w:rsidRDefault="00BF1557" w:rsidP="00537B2C">
            <w:pPr>
              <w:pStyle w:val="Heading4"/>
            </w:pPr>
            <w:r w:rsidRPr="00BF1557">
              <w:t>Budget</w:t>
            </w:r>
          </w:p>
          <w:p w:rsidR="00BF1557" w:rsidRPr="00BF1557" w:rsidRDefault="00BF1557" w:rsidP="00537B2C">
            <w:pPr>
              <w:pStyle w:val="Heading4"/>
            </w:pPr>
            <w:r w:rsidRPr="00BF1557">
              <w:t>$’000</w:t>
            </w:r>
          </w:p>
        </w:tc>
        <w:tc>
          <w:tcPr>
            <w:tcW w:w="1020" w:type="dxa"/>
            <w:shd w:val="clear" w:color="auto" w:fill="auto"/>
          </w:tcPr>
          <w:p w:rsidR="00BF1557" w:rsidRPr="00BF1557" w:rsidRDefault="00BF1557" w:rsidP="00537B2C">
            <w:pPr>
              <w:pStyle w:val="Heading4"/>
            </w:pPr>
            <w:r w:rsidRPr="00BF1557">
              <w:t>2016</w:t>
            </w:r>
          </w:p>
          <w:p w:rsidR="00BF1557" w:rsidRPr="00BF1557" w:rsidRDefault="00BF1557" w:rsidP="00537B2C">
            <w:pPr>
              <w:pStyle w:val="Heading4"/>
            </w:pPr>
            <w:r w:rsidRPr="00BF1557">
              <w:t>Actual</w:t>
            </w:r>
          </w:p>
          <w:p w:rsidR="00BF1557" w:rsidRPr="00BF1557" w:rsidRDefault="00BF1557" w:rsidP="00537B2C">
            <w:pPr>
              <w:pStyle w:val="Heading4"/>
            </w:pPr>
            <w:r w:rsidRPr="00BF1557">
              <w:t>$’000</w:t>
            </w:r>
          </w:p>
        </w:tc>
      </w:tr>
      <w:tr w:rsidR="00BF1557" w:rsidRPr="00BF1557" w:rsidTr="00BF1557">
        <w:trPr>
          <w:trHeight w:hRule="exact" w:val="439"/>
        </w:trPr>
        <w:tc>
          <w:tcPr>
            <w:tcW w:w="5959" w:type="dxa"/>
            <w:shd w:val="clear" w:color="auto" w:fill="auto"/>
          </w:tcPr>
          <w:p w:rsidR="00BF1557" w:rsidRPr="00BF1557" w:rsidRDefault="00BF1557" w:rsidP="00537B2C">
            <w:pPr>
              <w:pStyle w:val="Heading5"/>
            </w:pPr>
            <w:r w:rsidRPr="00BF1557">
              <w:t>Assets</w:t>
            </w:r>
          </w:p>
        </w:tc>
        <w:tc>
          <w:tcPr>
            <w:tcW w:w="1317" w:type="dxa"/>
            <w:shd w:val="clear" w:color="auto" w:fill="auto"/>
          </w:tcPr>
          <w:p w:rsidR="00BF1557" w:rsidRPr="00BF1557" w:rsidRDefault="00BF1557" w:rsidP="00537B2C">
            <w:pPr>
              <w:pStyle w:val="Heading5"/>
            </w:pPr>
          </w:p>
        </w:tc>
        <w:tc>
          <w:tcPr>
            <w:tcW w:w="1058" w:type="dxa"/>
            <w:shd w:val="clear" w:color="auto" w:fill="auto"/>
          </w:tcPr>
          <w:p w:rsidR="00BF1557" w:rsidRPr="00BF1557" w:rsidRDefault="00BF1557" w:rsidP="00537B2C">
            <w:pPr>
              <w:pStyle w:val="Heading5"/>
            </w:pPr>
          </w:p>
        </w:tc>
        <w:tc>
          <w:tcPr>
            <w:tcW w:w="1020" w:type="dxa"/>
            <w:shd w:val="clear" w:color="auto" w:fill="auto"/>
          </w:tcPr>
          <w:p w:rsidR="00BF1557" w:rsidRPr="00BF1557" w:rsidRDefault="00BF1557" w:rsidP="00537B2C">
            <w:pPr>
              <w:pStyle w:val="Heading5"/>
            </w:pPr>
          </w:p>
        </w:tc>
      </w:tr>
      <w:tr w:rsidR="00BF1557" w:rsidRPr="00BF1557" w:rsidTr="00BF1557">
        <w:trPr>
          <w:trHeight w:hRule="exact" w:val="281"/>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Financial assets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20"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7"/>
              <w:ind w:left="85"/>
              <w:rPr>
                <w:rFonts w:ascii="Gill Sans MT" w:hAnsi="Gill Sans MT"/>
                <w:sz w:val="18"/>
                <w:szCs w:val="18"/>
              </w:rPr>
            </w:pPr>
            <w:r w:rsidRPr="00BF1557">
              <w:rPr>
                <w:rFonts w:ascii="Gill Sans MT" w:hAnsi="Gill Sans MT"/>
                <w:sz w:val="18"/>
                <w:szCs w:val="18"/>
              </w:rPr>
              <w:t>Cash and deposits</w:t>
            </w:r>
          </w:p>
        </w:tc>
        <w:tc>
          <w:tcPr>
            <w:tcW w:w="1317" w:type="dxa"/>
            <w:shd w:val="clear" w:color="auto" w:fill="auto"/>
          </w:tcPr>
          <w:p w:rsidR="00BF1557" w:rsidRPr="00BF1557" w:rsidRDefault="00BF1557" w:rsidP="00BF1557">
            <w:pPr>
              <w:pStyle w:val="TableParagraph"/>
              <w:spacing w:before="37"/>
              <w:ind w:right="168"/>
              <w:jc w:val="right"/>
              <w:rPr>
                <w:rFonts w:ascii="Gill Sans MT" w:hAnsi="Gill Sans MT"/>
                <w:sz w:val="18"/>
                <w:szCs w:val="18"/>
              </w:rPr>
            </w:pPr>
            <w:r w:rsidRPr="00BF1557">
              <w:rPr>
                <w:rFonts w:ascii="Gill Sans MT" w:hAnsi="Gill Sans MT"/>
                <w:sz w:val="18"/>
                <w:szCs w:val="18"/>
              </w:rPr>
              <w:t>12.1</w:t>
            </w:r>
          </w:p>
        </w:tc>
        <w:tc>
          <w:tcPr>
            <w:tcW w:w="1058" w:type="dxa"/>
            <w:shd w:val="clear" w:color="auto" w:fill="auto"/>
          </w:tcPr>
          <w:p w:rsidR="00BF1557" w:rsidRPr="00BF1557" w:rsidRDefault="00BF1557" w:rsidP="00BF1557">
            <w:pPr>
              <w:pStyle w:val="TableParagraph"/>
              <w:spacing w:before="37"/>
              <w:ind w:right="163"/>
              <w:jc w:val="right"/>
              <w:rPr>
                <w:rFonts w:ascii="Gill Sans MT" w:hAnsi="Gill Sans MT"/>
                <w:sz w:val="18"/>
                <w:szCs w:val="18"/>
              </w:rPr>
            </w:pPr>
            <w:r w:rsidRPr="00BF1557">
              <w:rPr>
                <w:rFonts w:ascii="Gill Sans MT" w:hAnsi="Gill Sans MT"/>
                <w:sz w:val="18"/>
                <w:szCs w:val="18"/>
              </w:rPr>
              <w:t>43 955</w:t>
            </w:r>
          </w:p>
        </w:tc>
        <w:tc>
          <w:tcPr>
            <w:tcW w:w="1020" w:type="dxa"/>
            <w:shd w:val="clear" w:color="auto" w:fill="auto"/>
          </w:tcPr>
          <w:p w:rsidR="00BF1557" w:rsidRPr="00BF1557" w:rsidRDefault="00BF1557" w:rsidP="00BF1557">
            <w:pPr>
              <w:pStyle w:val="TableParagraph"/>
              <w:spacing w:before="37"/>
              <w:ind w:right="163"/>
              <w:jc w:val="right"/>
              <w:rPr>
                <w:rFonts w:ascii="Gill Sans MT" w:hAnsi="Gill Sans MT"/>
                <w:sz w:val="18"/>
                <w:szCs w:val="18"/>
              </w:rPr>
            </w:pPr>
            <w:r w:rsidRPr="00BF1557">
              <w:rPr>
                <w:rFonts w:ascii="Gill Sans MT" w:hAnsi="Gill Sans MT"/>
                <w:sz w:val="18"/>
                <w:szCs w:val="18"/>
              </w:rPr>
              <w:t>89 535</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Receivables</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8.1</w:t>
            </w:r>
          </w:p>
        </w:tc>
        <w:tc>
          <w:tcPr>
            <w:tcW w:w="1058" w:type="dxa"/>
            <w:shd w:val="clear" w:color="auto" w:fill="auto"/>
          </w:tcPr>
          <w:p w:rsidR="00BF1557" w:rsidRPr="00BF1557" w:rsidRDefault="00BF1557" w:rsidP="00BF1557">
            <w:pPr>
              <w:pStyle w:val="TableParagraph"/>
              <w:spacing w:before="38"/>
              <w:ind w:right="173"/>
              <w:jc w:val="right"/>
              <w:rPr>
                <w:rFonts w:ascii="Gill Sans MT" w:hAnsi="Gill Sans MT"/>
                <w:sz w:val="18"/>
                <w:szCs w:val="18"/>
              </w:rPr>
            </w:pPr>
            <w:r w:rsidRPr="00BF1557">
              <w:rPr>
                <w:rFonts w:ascii="Gill Sans MT" w:hAnsi="Gill Sans MT"/>
                <w:sz w:val="18"/>
                <w:szCs w:val="18"/>
              </w:rPr>
              <w:t>19 521</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21 280</w:t>
            </w:r>
          </w:p>
        </w:tc>
      </w:tr>
      <w:tr w:rsidR="00BF1557" w:rsidRPr="00BF1557" w:rsidTr="00BF1557">
        <w:trPr>
          <w:trHeight w:hRule="exact" w:val="279"/>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Other financial assets</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8.2</w:t>
            </w:r>
          </w:p>
        </w:tc>
        <w:tc>
          <w:tcPr>
            <w:tcW w:w="1058" w:type="dxa"/>
            <w:shd w:val="clear" w:color="auto" w:fill="auto"/>
          </w:tcPr>
          <w:p w:rsidR="00BF1557" w:rsidRPr="00BF1557" w:rsidRDefault="00BF1557" w:rsidP="00BF1557">
            <w:pPr>
              <w:pStyle w:val="TableParagraph"/>
              <w:spacing w:before="38"/>
              <w:ind w:right="165"/>
              <w:jc w:val="right"/>
              <w:rPr>
                <w:rFonts w:ascii="Gill Sans MT" w:hAnsi="Gill Sans MT"/>
                <w:sz w:val="18"/>
                <w:szCs w:val="18"/>
              </w:rPr>
            </w:pPr>
            <w:r w:rsidRPr="00BF1557">
              <w:rPr>
                <w:rFonts w:ascii="Gill Sans MT" w:hAnsi="Gill Sans MT"/>
                <w:sz w:val="18"/>
                <w:szCs w:val="18"/>
              </w:rPr>
              <w:t>20 233</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15 873</w:t>
            </w:r>
          </w:p>
        </w:tc>
      </w:tr>
      <w:tr w:rsidR="00BF1557" w:rsidRPr="00BF1557" w:rsidTr="00BF1557">
        <w:trPr>
          <w:trHeight w:hRule="exact" w:val="282"/>
        </w:trPr>
        <w:tc>
          <w:tcPr>
            <w:tcW w:w="5959" w:type="dxa"/>
            <w:shd w:val="clear" w:color="auto" w:fill="auto"/>
          </w:tcPr>
          <w:p w:rsidR="00BF1557" w:rsidRPr="00BF1557" w:rsidRDefault="00BF1557" w:rsidP="00BF1557">
            <w:pPr>
              <w:pStyle w:val="TableParagraph"/>
              <w:spacing w:before="39"/>
              <w:ind w:left="85"/>
              <w:rPr>
                <w:rFonts w:ascii="Gill Sans MT" w:hAnsi="Gill Sans MT"/>
                <w:sz w:val="18"/>
                <w:szCs w:val="18"/>
              </w:rPr>
            </w:pPr>
            <w:r w:rsidRPr="00BF1557">
              <w:rPr>
                <w:rFonts w:ascii="Gill Sans MT" w:hAnsi="Gill Sans MT"/>
                <w:sz w:val="18"/>
                <w:szCs w:val="18"/>
              </w:rPr>
              <w:t>Non-financial assets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rPr>
                <w:rFonts w:ascii="Gill Sans MT" w:hAnsi="Gill Sans MT"/>
                <w:sz w:val="18"/>
                <w:szCs w:val="18"/>
              </w:rPr>
            </w:pPr>
          </w:p>
        </w:tc>
        <w:tc>
          <w:tcPr>
            <w:tcW w:w="1020" w:type="dxa"/>
            <w:shd w:val="clear" w:color="auto" w:fill="auto"/>
          </w:tcPr>
          <w:p w:rsidR="00BF1557" w:rsidRPr="00BF1557" w:rsidRDefault="00BF1557" w:rsidP="00BF1557">
            <w:pPr>
              <w:rPr>
                <w:rFonts w:ascii="Gill Sans MT" w:hAnsi="Gill Sans MT"/>
                <w:sz w:val="18"/>
                <w:szCs w:val="18"/>
              </w:rPr>
            </w:pP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7"/>
              <w:ind w:left="85"/>
              <w:rPr>
                <w:rFonts w:ascii="Gill Sans MT" w:hAnsi="Gill Sans MT"/>
                <w:sz w:val="18"/>
                <w:szCs w:val="18"/>
              </w:rPr>
            </w:pPr>
            <w:r w:rsidRPr="00BF1557">
              <w:rPr>
                <w:rFonts w:ascii="Gill Sans MT" w:hAnsi="Gill Sans MT"/>
                <w:sz w:val="18"/>
                <w:szCs w:val="18"/>
              </w:rPr>
              <w:t>Inventories</w:t>
            </w:r>
          </w:p>
        </w:tc>
        <w:tc>
          <w:tcPr>
            <w:tcW w:w="1317" w:type="dxa"/>
            <w:shd w:val="clear" w:color="auto" w:fill="auto"/>
          </w:tcPr>
          <w:p w:rsidR="00BF1557" w:rsidRPr="00BF1557" w:rsidRDefault="00BF1557" w:rsidP="00BF1557">
            <w:pPr>
              <w:pStyle w:val="TableParagraph"/>
              <w:spacing w:before="37"/>
              <w:ind w:right="162"/>
              <w:jc w:val="right"/>
              <w:rPr>
                <w:rFonts w:ascii="Gill Sans MT" w:hAnsi="Gill Sans MT"/>
                <w:sz w:val="18"/>
                <w:szCs w:val="18"/>
              </w:rPr>
            </w:pPr>
            <w:r w:rsidRPr="00BF1557">
              <w:rPr>
                <w:rFonts w:ascii="Gill Sans MT" w:hAnsi="Gill Sans MT"/>
                <w:sz w:val="18"/>
                <w:szCs w:val="18"/>
              </w:rPr>
              <w:t>8.3</w:t>
            </w:r>
          </w:p>
        </w:tc>
        <w:tc>
          <w:tcPr>
            <w:tcW w:w="1058" w:type="dxa"/>
            <w:shd w:val="clear" w:color="auto" w:fill="auto"/>
          </w:tcPr>
          <w:p w:rsidR="00BF1557" w:rsidRPr="00BF1557" w:rsidRDefault="00BF1557" w:rsidP="00BF1557">
            <w:pPr>
              <w:pStyle w:val="TableParagraph"/>
              <w:spacing w:before="37"/>
              <w:ind w:right="164"/>
              <w:jc w:val="right"/>
              <w:rPr>
                <w:rFonts w:ascii="Gill Sans MT" w:hAnsi="Gill Sans MT"/>
                <w:sz w:val="18"/>
                <w:szCs w:val="18"/>
              </w:rPr>
            </w:pPr>
            <w:r w:rsidRPr="00BF1557">
              <w:rPr>
                <w:rFonts w:ascii="Gill Sans MT" w:hAnsi="Gill Sans MT"/>
                <w:sz w:val="18"/>
                <w:szCs w:val="18"/>
              </w:rPr>
              <w:t>7 997</w:t>
            </w:r>
          </w:p>
        </w:tc>
        <w:tc>
          <w:tcPr>
            <w:tcW w:w="1020" w:type="dxa"/>
            <w:shd w:val="clear" w:color="auto" w:fill="auto"/>
          </w:tcPr>
          <w:p w:rsidR="00BF1557" w:rsidRPr="00BF1557" w:rsidRDefault="00BF1557" w:rsidP="00BF1557">
            <w:pPr>
              <w:pStyle w:val="TableParagraph"/>
              <w:spacing w:before="37"/>
              <w:ind w:right="162"/>
              <w:jc w:val="right"/>
              <w:rPr>
                <w:rFonts w:ascii="Gill Sans MT" w:hAnsi="Gill Sans MT"/>
                <w:sz w:val="18"/>
                <w:szCs w:val="18"/>
              </w:rPr>
            </w:pPr>
            <w:r w:rsidRPr="00BF1557">
              <w:rPr>
                <w:rFonts w:ascii="Gill Sans MT" w:hAnsi="Gill Sans MT"/>
                <w:sz w:val="18"/>
                <w:szCs w:val="18"/>
              </w:rPr>
              <w:t>11 055</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Assets held for sale</w:t>
            </w:r>
          </w:p>
        </w:tc>
        <w:tc>
          <w:tcPr>
            <w:tcW w:w="1317" w:type="dxa"/>
            <w:shd w:val="clear" w:color="auto" w:fill="auto"/>
          </w:tcPr>
          <w:p w:rsidR="00BF1557" w:rsidRPr="00BF1557" w:rsidRDefault="00BF1557" w:rsidP="00BF1557">
            <w:pPr>
              <w:pStyle w:val="TableParagraph"/>
              <w:spacing w:before="38"/>
              <w:ind w:right="170"/>
              <w:jc w:val="right"/>
              <w:rPr>
                <w:rFonts w:ascii="Gill Sans MT" w:hAnsi="Gill Sans MT"/>
                <w:sz w:val="18"/>
                <w:szCs w:val="18"/>
              </w:rPr>
            </w:pPr>
            <w:r w:rsidRPr="00BF1557">
              <w:rPr>
                <w:rFonts w:ascii="Gill Sans MT" w:hAnsi="Gill Sans MT"/>
                <w:sz w:val="18"/>
                <w:szCs w:val="18"/>
              </w:rPr>
              <w:t>8.4</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0</w:t>
            </w:r>
          </w:p>
        </w:tc>
        <w:tc>
          <w:tcPr>
            <w:tcW w:w="1020" w:type="dxa"/>
            <w:shd w:val="clear" w:color="auto" w:fill="auto"/>
          </w:tcPr>
          <w:p w:rsidR="00BF1557" w:rsidRPr="00BF1557" w:rsidRDefault="00BF1557" w:rsidP="00BF1557">
            <w:pPr>
              <w:pStyle w:val="TableParagraph"/>
              <w:spacing w:before="38"/>
              <w:ind w:right="164"/>
              <w:jc w:val="right"/>
              <w:rPr>
                <w:rFonts w:ascii="Gill Sans MT" w:hAnsi="Gill Sans MT"/>
                <w:sz w:val="18"/>
                <w:szCs w:val="18"/>
              </w:rPr>
            </w:pPr>
            <w:r w:rsidRPr="00BF1557">
              <w:rPr>
                <w:rFonts w:ascii="Gill Sans MT" w:hAnsi="Gill Sans MT"/>
                <w:sz w:val="18"/>
                <w:szCs w:val="18"/>
              </w:rPr>
              <w:t>95</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Property, plant and equipment</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8.5</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1 406 188</w:t>
            </w:r>
          </w:p>
        </w:tc>
        <w:tc>
          <w:tcPr>
            <w:tcW w:w="1020" w:type="dxa"/>
            <w:shd w:val="clear" w:color="auto" w:fill="auto"/>
          </w:tcPr>
          <w:p w:rsidR="00BF1557" w:rsidRPr="00BF1557" w:rsidRDefault="00BF1557" w:rsidP="00BF1557">
            <w:pPr>
              <w:pStyle w:val="TableParagraph"/>
              <w:spacing w:before="38"/>
              <w:ind w:right="157"/>
              <w:jc w:val="right"/>
              <w:rPr>
                <w:rFonts w:ascii="Gill Sans MT" w:hAnsi="Gill Sans MT"/>
                <w:sz w:val="18"/>
                <w:szCs w:val="18"/>
              </w:rPr>
            </w:pPr>
            <w:r w:rsidRPr="00BF1557">
              <w:rPr>
                <w:rFonts w:ascii="Gill Sans MT" w:hAnsi="Gill Sans MT"/>
                <w:sz w:val="18"/>
                <w:szCs w:val="18"/>
              </w:rPr>
              <w:t>982 222</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Intangibles</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8.6</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3 463</w:t>
            </w:r>
          </w:p>
        </w:tc>
        <w:tc>
          <w:tcPr>
            <w:tcW w:w="1020" w:type="dxa"/>
            <w:shd w:val="clear" w:color="auto" w:fill="auto"/>
          </w:tcPr>
          <w:p w:rsidR="00BF1557" w:rsidRPr="00BF1557" w:rsidRDefault="00BF1557" w:rsidP="00BF1557">
            <w:pPr>
              <w:pStyle w:val="TableParagraph"/>
              <w:spacing w:before="38"/>
              <w:ind w:right="164"/>
              <w:jc w:val="right"/>
              <w:rPr>
                <w:rFonts w:ascii="Gill Sans MT" w:hAnsi="Gill Sans MT"/>
                <w:sz w:val="18"/>
                <w:szCs w:val="18"/>
              </w:rPr>
            </w:pPr>
            <w:r w:rsidRPr="00BF1557">
              <w:rPr>
                <w:rFonts w:ascii="Gill Sans MT" w:hAnsi="Gill Sans MT"/>
                <w:sz w:val="18"/>
                <w:szCs w:val="18"/>
              </w:rPr>
              <w:t>700</w:t>
            </w:r>
          </w:p>
        </w:tc>
      </w:tr>
      <w:tr w:rsidR="00BF1557" w:rsidRPr="00BF1557" w:rsidTr="00BF1557">
        <w:trPr>
          <w:trHeight w:hRule="exact" w:val="27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Other assets</w:t>
            </w:r>
          </w:p>
        </w:tc>
        <w:tc>
          <w:tcPr>
            <w:tcW w:w="1317" w:type="dxa"/>
            <w:shd w:val="clear" w:color="auto" w:fill="auto"/>
          </w:tcPr>
          <w:p w:rsidR="00BF1557" w:rsidRPr="00BF1557" w:rsidRDefault="00BF1557" w:rsidP="00BF1557">
            <w:pPr>
              <w:pStyle w:val="TableParagraph"/>
              <w:spacing w:before="38"/>
              <w:ind w:right="166"/>
              <w:jc w:val="right"/>
              <w:rPr>
                <w:rFonts w:ascii="Gill Sans MT" w:hAnsi="Gill Sans MT"/>
                <w:sz w:val="18"/>
                <w:szCs w:val="18"/>
              </w:rPr>
            </w:pPr>
            <w:r w:rsidRPr="00BF1557">
              <w:rPr>
                <w:rFonts w:ascii="Gill Sans MT" w:hAnsi="Gill Sans MT"/>
                <w:sz w:val="18"/>
                <w:szCs w:val="18"/>
              </w:rPr>
              <w:t>8.7</w:t>
            </w:r>
          </w:p>
        </w:tc>
        <w:tc>
          <w:tcPr>
            <w:tcW w:w="1058"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3 901</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4 375</w:t>
            </w:r>
          </w:p>
        </w:tc>
      </w:tr>
      <w:tr w:rsidR="00BF1557" w:rsidRPr="00BF1557" w:rsidTr="00BF1557">
        <w:trPr>
          <w:trHeight w:hRule="exact" w:val="437"/>
        </w:trPr>
        <w:tc>
          <w:tcPr>
            <w:tcW w:w="5959" w:type="dxa"/>
            <w:shd w:val="clear" w:color="auto" w:fill="auto"/>
          </w:tcPr>
          <w:p w:rsidR="00BF1557" w:rsidRPr="00BF1557" w:rsidRDefault="00BF1557" w:rsidP="00BF1557">
            <w:pPr>
              <w:pStyle w:val="TableParagraph"/>
              <w:spacing w:before="46"/>
              <w:ind w:left="84"/>
              <w:rPr>
                <w:rFonts w:ascii="Gill Sans MT" w:hAnsi="Gill Sans MT"/>
                <w:b/>
                <w:sz w:val="18"/>
                <w:szCs w:val="18"/>
              </w:rPr>
            </w:pPr>
            <w:r w:rsidRPr="00BF1557">
              <w:rPr>
                <w:rFonts w:ascii="Gill Sans MT" w:hAnsi="Gill Sans MT"/>
                <w:b/>
                <w:sz w:val="18"/>
                <w:szCs w:val="18"/>
              </w:rPr>
              <w:t>Total assets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42"/>
              <w:ind w:right="163"/>
              <w:jc w:val="right"/>
              <w:rPr>
                <w:rFonts w:ascii="Gill Sans MT" w:hAnsi="Gill Sans MT"/>
                <w:b/>
                <w:sz w:val="18"/>
                <w:szCs w:val="18"/>
              </w:rPr>
            </w:pPr>
            <w:r w:rsidRPr="00BF1557">
              <w:rPr>
                <w:rFonts w:ascii="Gill Sans MT" w:hAnsi="Gill Sans MT"/>
                <w:b/>
                <w:sz w:val="18"/>
                <w:szCs w:val="18"/>
              </w:rPr>
              <w:t>1 505 258</w:t>
            </w:r>
          </w:p>
        </w:tc>
        <w:tc>
          <w:tcPr>
            <w:tcW w:w="1020" w:type="dxa"/>
            <w:shd w:val="clear" w:color="auto" w:fill="auto"/>
          </w:tcPr>
          <w:p w:rsidR="00BF1557" w:rsidRPr="00BF1557" w:rsidRDefault="00BF1557" w:rsidP="00BF1557">
            <w:pPr>
              <w:pStyle w:val="TableParagraph"/>
              <w:spacing w:before="42"/>
              <w:ind w:right="163"/>
              <w:jc w:val="right"/>
              <w:rPr>
                <w:rFonts w:ascii="Gill Sans MT" w:hAnsi="Gill Sans MT"/>
                <w:b/>
                <w:sz w:val="18"/>
                <w:szCs w:val="18"/>
              </w:rPr>
            </w:pPr>
            <w:r w:rsidRPr="00BF1557">
              <w:rPr>
                <w:rFonts w:ascii="Gill Sans MT" w:hAnsi="Gill Sans MT"/>
                <w:b/>
                <w:sz w:val="18"/>
                <w:szCs w:val="18"/>
              </w:rPr>
              <w:t>1 125 135</w:t>
            </w:r>
          </w:p>
        </w:tc>
      </w:tr>
      <w:tr w:rsidR="00BF1557" w:rsidRPr="00BF1557" w:rsidTr="00BF1557">
        <w:trPr>
          <w:trHeight w:hRule="exact" w:val="428"/>
        </w:trPr>
        <w:tc>
          <w:tcPr>
            <w:tcW w:w="5959" w:type="dxa"/>
            <w:shd w:val="clear" w:color="auto" w:fill="auto"/>
          </w:tcPr>
          <w:p w:rsidR="00BF1557" w:rsidRPr="00BF1557" w:rsidRDefault="00BF1557" w:rsidP="00537B2C">
            <w:pPr>
              <w:pStyle w:val="Heading5"/>
            </w:pPr>
            <w:r w:rsidRPr="00BF1557">
              <w:t>Liabilities</w:t>
            </w:r>
          </w:p>
        </w:tc>
        <w:tc>
          <w:tcPr>
            <w:tcW w:w="1317" w:type="dxa"/>
            <w:shd w:val="clear" w:color="auto" w:fill="auto"/>
          </w:tcPr>
          <w:p w:rsidR="00BF1557" w:rsidRPr="00BF1557" w:rsidRDefault="00BF1557" w:rsidP="00537B2C">
            <w:pPr>
              <w:pStyle w:val="Heading5"/>
            </w:pPr>
          </w:p>
        </w:tc>
        <w:tc>
          <w:tcPr>
            <w:tcW w:w="1058" w:type="dxa"/>
            <w:shd w:val="clear" w:color="auto" w:fill="auto"/>
          </w:tcPr>
          <w:p w:rsidR="00BF1557" w:rsidRPr="00BF1557" w:rsidRDefault="00BF1557" w:rsidP="00537B2C">
            <w:pPr>
              <w:pStyle w:val="Heading5"/>
            </w:pPr>
          </w:p>
        </w:tc>
        <w:tc>
          <w:tcPr>
            <w:tcW w:w="1020" w:type="dxa"/>
            <w:shd w:val="clear" w:color="auto" w:fill="auto"/>
          </w:tcPr>
          <w:p w:rsidR="00BF1557" w:rsidRPr="00BF1557" w:rsidRDefault="00BF1557" w:rsidP="00537B2C">
            <w:pPr>
              <w:pStyle w:val="Heading5"/>
            </w:pPr>
          </w:p>
        </w:tc>
      </w:tr>
      <w:tr w:rsidR="00BF1557" w:rsidRPr="00BF1557" w:rsidTr="00BF1557">
        <w:trPr>
          <w:trHeight w:hRule="exact" w:val="279"/>
        </w:trPr>
        <w:tc>
          <w:tcPr>
            <w:tcW w:w="5959" w:type="dxa"/>
            <w:shd w:val="clear" w:color="auto" w:fill="auto"/>
          </w:tcPr>
          <w:p w:rsidR="00BF1557" w:rsidRPr="00BF1557" w:rsidRDefault="00BF1557" w:rsidP="00BF1557">
            <w:pPr>
              <w:pStyle w:val="TableParagraph"/>
              <w:spacing w:before="37"/>
              <w:ind w:left="84"/>
              <w:rPr>
                <w:rFonts w:ascii="Gill Sans MT" w:hAnsi="Gill Sans MT"/>
                <w:sz w:val="18"/>
                <w:szCs w:val="18"/>
              </w:rPr>
            </w:pPr>
            <w:r w:rsidRPr="00BF1557">
              <w:rPr>
                <w:rFonts w:ascii="Gill Sans MT" w:hAnsi="Gill Sans MT"/>
                <w:sz w:val="18"/>
                <w:szCs w:val="18"/>
              </w:rPr>
              <w:t>Payables</w:t>
            </w:r>
          </w:p>
        </w:tc>
        <w:tc>
          <w:tcPr>
            <w:tcW w:w="1317" w:type="dxa"/>
            <w:shd w:val="clear" w:color="auto" w:fill="auto"/>
          </w:tcPr>
          <w:p w:rsidR="00BF1557" w:rsidRPr="00BF1557" w:rsidRDefault="00BF1557" w:rsidP="00BF1557">
            <w:pPr>
              <w:pStyle w:val="TableParagraph"/>
              <w:spacing w:before="37"/>
              <w:ind w:right="168"/>
              <w:jc w:val="right"/>
              <w:rPr>
                <w:rFonts w:ascii="Gill Sans MT" w:hAnsi="Gill Sans MT"/>
                <w:sz w:val="18"/>
                <w:szCs w:val="18"/>
              </w:rPr>
            </w:pPr>
            <w:r w:rsidRPr="00BF1557">
              <w:rPr>
                <w:rFonts w:ascii="Gill Sans MT" w:hAnsi="Gill Sans MT"/>
                <w:sz w:val="18"/>
                <w:szCs w:val="18"/>
              </w:rPr>
              <w:t>9.1</w:t>
            </w:r>
          </w:p>
        </w:tc>
        <w:tc>
          <w:tcPr>
            <w:tcW w:w="1058" w:type="dxa"/>
            <w:shd w:val="clear" w:color="auto" w:fill="auto"/>
          </w:tcPr>
          <w:p w:rsidR="00BF1557" w:rsidRPr="00BF1557" w:rsidRDefault="00BF1557" w:rsidP="00BF1557">
            <w:pPr>
              <w:pStyle w:val="TableParagraph"/>
              <w:spacing w:before="37"/>
              <w:ind w:right="163"/>
              <w:jc w:val="right"/>
              <w:rPr>
                <w:rFonts w:ascii="Gill Sans MT" w:hAnsi="Gill Sans MT"/>
                <w:sz w:val="18"/>
                <w:szCs w:val="18"/>
              </w:rPr>
            </w:pPr>
            <w:r w:rsidRPr="00BF1557">
              <w:rPr>
                <w:rFonts w:ascii="Gill Sans MT" w:hAnsi="Gill Sans MT"/>
                <w:sz w:val="18"/>
                <w:szCs w:val="18"/>
              </w:rPr>
              <w:t>44 390</w:t>
            </w:r>
          </w:p>
        </w:tc>
        <w:tc>
          <w:tcPr>
            <w:tcW w:w="1020" w:type="dxa"/>
            <w:shd w:val="clear" w:color="auto" w:fill="auto"/>
          </w:tcPr>
          <w:p w:rsidR="00BF1557" w:rsidRPr="00BF1557" w:rsidRDefault="00BF1557" w:rsidP="00BF1557">
            <w:pPr>
              <w:pStyle w:val="TableParagraph"/>
              <w:spacing w:before="37"/>
              <w:ind w:right="163"/>
              <w:jc w:val="right"/>
              <w:rPr>
                <w:rFonts w:ascii="Gill Sans MT" w:hAnsi="Gill Sans MT"/>
                <w:sz w:val="18"/>
                <w:szCs w:val="18"/>
              </w:rPr>
            </w:pPr>
            <w:r w:rsidRPr="00BF1557">
              <w:rPr>
                <w:rFonts w:ascii="Gill Sans MT" w:hAnsi="Gill Sans MT"/>
                <w:sz w:val="18"/>
                <w:szCs w:val="18"/>
              </w:rPr>
              <w:t>64 306</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4"/>
              <w:rPr>
                <w:rFonts w:ascii="Gill Sans MT" w:hAnsi="Gill Sans MT"/>
                <w:sz w:val="18"/>
                <w:szCs w:val="18"/>
              </w:rPr>
            </w:pPr>
            <w:r w:rsidRPr="00BF1557">
              <w:rPr>
                <w:rFonts w:ascii="Gill Sans MT" w:hAnsi="Gill Sans MT"/>
                <w:sz w:val="18"/>
                <w:szCs w:val="18"/>
              </w:rPr>
              <w:t>Interest bearing liabilities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38"/>
              <w:ind w:right="165"/>
              <w:jc w:val="right"/>
              <w:rPr>
                <w:rFonts w:ascii="Gill Sans MT" w:hAnsi="Gill Sans MT"/>
                <w:sz w:val="18"/>
                <w:szCs w:val="18"/>
              </w:rPr>
            </w:pPr>
            <w:r w:rsidRPr="00BF1557">
              <w:rPr>
                <w:rFonts w:ascii="Gill Sans MT" w:hAnsi="Gill Sans MT"/>
                <w:sz w:val="18"/>
                <w:szCs w:val="18"/>
              </w:rPr>
              <w:t>3 333</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0</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4"/>
              <w:rPr>
                <w:rFonts w:ascii="Gill Sans MT" w:hAnsi="Gill Sans MT"/>
                <w:sz w:val="18"/>
                <w:szCs w:val="18"/>
              </w:rPr>
            </w:pPr>
            <w:r w:rsidRPr="00BF1557">
              <w:rPr>
                <w:rFonts w:ascii="Gill Sans MT" w:hAnsi="Gill Sans MT"/>
                <w:sz w:val="18"/>
                <w:szCs w:val="18"/>
              </w:rPr>
              <w:t>Employee benefits</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9.2</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196 754</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224 895</w:t>
            </w:r>
          </w:p>
        </w:tc>
      </w:tr>
      <w:tr w:rsidR="00BF1557" w:rsidRPr="00BF1557" w:rsidTr="00BF1557">
        <w:trPr>
          <w:trHeight w:hRule="exact" w:val="271"/>
        </w:trPr>
        <w:tc>
          <w:tcPr>
            <w:tcW w:w="5959" w:type="dxa"/>
            <w:shd w:val="clear" w:color="auto" w:fill="auto"/>
          </w:tcPr>
          <w:p w:rsidR="00BF1557" w:rsidRPr="00BF1557" w:rsidRDefault="00BF1557" w:rsidP="00BF1557">
            <w:pPr>
              <w:pStyle w:val="TableParagraph"/>
              <w:spacing w:before="38"/>
              <w:ind w:left="84"/>
              <w:rPr>
                <w:rFonts w:ascii="Gill Sans MT" w:hAnsi="Gill Sans MT"/>
                <w:sz w:val="18"/>
                <w:szCs w:val="18"/>
              </w:rPr>
            </w:pPr>
            <w:r w:rsidRPr="00BF1557">
              <w:rPr>
                <w:rFonts w:ascii="Gill Sans MT" w:hAnsi="Gill Sans MT"/>
                <w:sz w:val="18"/>
                <w:szCs w:val="18"/>
              </w:rPr>
              <w:t>Other liabilities</w:t>
            </w:r>
          </w:p>
        </w:tc>
        <w:tc>
          <w:tcPr>
            <w:tcW w:w="1317" w:type="dxa"/>
            <w:shd w:val="clear" w:color="auto" w:fill="auto"/>
          </w:tcPr>
          <w:p w:rsidR="00BF1557" w:rsidRPr="00BF1557" w:rsidRDefault="00BF1557" w:rsidP="00BF1557">
            <w:pPr>
              <w:pStyle w:val="TableParagraph"/>
              <w:spacing w:before="38"/>
              <w:ind w:right="168"/>
              <w:jc w:val="right"/>
              <w:rPr>
                <w:rFonts w:ascii="Gill Sans MT" w:hAnsi="Gill Sans MT"/>
                <w:sz w:val="18"/>
                <w:szCs w:val="18"/>
              </w:rPr>
            </w:pPr>
            <w:r w:rsidRPr="00BF1557">
              <w:rPr>
                <w:rFonts w:ascii="Gill Sans MT" w:hAnsi="Gill Sans MT"/>
                <w:sz w:val="18"/>
                <w:szCs w:val="18"/>
              </w:rPr>
              <w:t>9.4</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12 023</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10 993</w:t>
            </w:r>
          </w:p>
        </w:tc>
      </w:tr>
      <w:tr w:rsidR="00BF1557" w:rsidRPr="00BF1557" w:rsidTr="00BF1557">
        <w:trPr>
          <w:trHeight w:hRule="exact" w:val="573"/>
        </w:trPr>
        <w:tc>
          <w:tcPr>
            <w:tcW w:w="5959" w:type="dxa"/>
            <w:shd w:val="clear" w:color="auto" w:fill="auto"/>
          </w:tcPr>
          <w:p w:rsidR="00BF1557" w:rsidRPr="00BF1557" w:rsidRDefault="00BF1557" w:rsidP="00BF1557">
            <w:pPr>
              <w:pStyle w:val="TableParagraph"/>
              <w:spacing w:before="46"/>
              <w:ind w:left="84"/>
              <w:rPr>
                <w:rFonts w:ascii="Gill Sans MT" w:hAnsi="Gill Sans MT"/>
                <w:b/>
                <w:sz w:val="18"/>
                <w:szCs w:val="18"/>
              </w:rPr>
            </w:pPr>
            <w:r w:rsidRPr="00BF1557">
              <w:rPr>
                <w:rFonts w:ascii="Gill Sans MT" w:hAnsi="Gill Sans MT"/>
                <w:b/>
                <w:sz w:val="18"/>
                <w:szCs w:val="18"/>
              </w:rPr>
              <w:t>Total liabilities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42"/>
              <w:ind w:right="163"/>
              <w:jc w:val="right"/>
              <w:rPr>
                <w:rFonts w:ascii="Gill Sans MT" w:hAnsi="Gill Sans MT"/>
                <w:b/>
                <w:sz w:val="18"/>
                <w:szCs w:val="18"/>
              </w:rPr>
            </w:pPr>
            <w:r w:rsidRPr="00BF1557">
              <w:rPr>
                <w:rFonts w:ascii="Gill Sans MT" w:hAnsi="Gill Sans MT"/>
                <w:b/>
                <w:sz w:val="18"/>
                <w:szCs w:val="18"/>
              </w:rPr>
              <w:t>256 500</w:t>
            </w:r>
          </w:p>
        </w:tc>
        <w:tc>
          <w:tcPr>
            <w:tcW w:w="1020" w:type="dxa"/>
            <w:shd w:val="clear" w:color="auto" w:fill="auto"/>
          </w:tcPr>
          <w:p w:rsidR="00BF1557" w:rsidRPr="00BF1557" w:rsidRDefault="00BF1557" w:rsidP="00BF1557">
            <w:pPr>
              <w:pStyle w:val="TableParagraph"/>
              <w:spacing w:before="42"/>
              <w:ind w:right="163"/>
              <w:jc w:val="right"/>
              <w:rPr>
                <w:rFonts w:ascii="Gill Sans MT" w:hAnsi="Gill Sans MT"/>
                <w:b/>
                <w:sz w:val="18"/>
                <w:szCs w:val="18"/>
              </w:rPr>
            </w:pPr>
            <w:r w:rsidRPr="00BF1557">
              <w:rPr>
                <w:rFonts w:ascii="Gill Sans MT" w:hAnsi="Gill Sans MT"/>
                <w:b/>
                <w:sz w:val="18"/>
                <w:szCs w:val="18"/>
              </w:rPr>
              <w:t>300 194</w:t>
            </w:r>
          </w:p>
        </w:tc>
      </w:tr>
      <w:tr w:rsidR="00BF1557" w:rsidRPr="00BF1557" w:rsidTr="00BF1557">
        <w:trPr>
          <w:trHeight w:hRule="exact" w:val="287"/>
        </w:trPr>
        <w:tc>
          <w:tcPr>
            <w:tcW w:w="5959" w:type="dxa"/>
            <w:shd w:val="clear" w:color="auto" w:fill="auto"/>
          </w:tcPr>
          <w:p w:rsidR="00BF1557" w:rsidRPr="00BF1557" w:rsidRDefault="00BF1557" w:rsidP="00BF1557">
            <w:pPr>
              <w:pStyle w:val="TableParagraph"/>
              <w:spacing w:before="45"/>
              <w:ind w:left="84"/>
              <w:rPr>
                <w:rFonts w:ascii="Gill Sans MT" w:hAnsi="Gill Sans MT"/>
                <w:b/>
                <w:sz w:val="18"/>
                <w:szCs w:val="18"/>
              </w:rPr>
            </w:pPr>
            <w:r w:rsidRPr="00BF1557">
              <w:rPr>
                <w:rFonts w:ascii="Gill Sans MT" w:hAnsi="Gill Sans MT"/>
                <w:b/>
                <w:sz w:val="18"/>
                <w:szCs w:val="18"/>
              </w:rPr>
              <w:t>Net assets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41"/>
              <w:ind w:right="163"/>
              <w:jc w:val="right"/>
              <w:rPr>
                <w:rFonts w:ascii="Gill Sans MT" w:hAnsi="Gill Sans MT"/>
                <w:b/>
                <w:sz w:val="18"/>
                <w:szCs w:val="18"/>
              </w:rPr>
            </w:pPr>
            <w:r w:rsidRPr="00BF1557">
              <w:rPr>
                <w:rFonts w:ascii="Gill Sans MT" w:hAnsi="Gill Sans MT"/>
                <w:b/>
                <w:sz w:val="18"/>
                <w:szCs w:val="18"/>
              </w:rPr>
              <w:t>1 248 758</w:t>
            </w:r>
          </w:p>
        </w:tc>
        <w:tc>
          <w:tcPr>
            <w:tcW w:w="1020" w:type="dxa"/>
            <w:shd w:val="clear" w:color="auto" w:fill="auto"/>
          </w:tcPr>
          <w:p w:rsidR="00BF1557" w:rsidRPr="00BF1557" w:rsidRDefault="00BF1557" w:rsidP="00BF1557">
            <w:pPr>
              <w:pStyle w:val="TableParagraph"/>
              <w:spacing w:before="41"/>
              <w:ind w:right="163"/>
              <w:jc w:val="right"/>
              <w:rPr>
                <w:rFonts w:ascii="Gill Sans MT" w:hAnsi="Gill Sans MT"/>
                <w:b/>
                <w:sz w:val="18"/>
                <w:szCs w:val="18"/>
              </w:rPr>
            </w:pPr>
            <w:r w:rsidRPr="00BF1557">
              <w:rPr>
                <w:rFonts w:ascii="Gill Sans MT" w:hAnsi="Gill Sans MT"/>
                <w:b/>
                <w:sz w:val="18"/>
                <w:szCs w:val="18"/>
              </w:rPr>
              <w:t>824 941</w:t>
            </w:r>
          </w:p>
        </w:tc>
      </w:tr>
      <w:tr w:rsidR="00BF1557" w:rsidRPr="00BF1557" w:rsidTr="00BF1557">
        <w:trPr>
          <w:trHeight w:hRule="exact" w:val="537"/>
        </w:trPr>
        <w:tc>
          <w:tcPr>
            <w:tcW w:w="5959" w:type="dxa"/>
            <w:shd w:val="clear" w:color="auto" w:fill="auto"/>
          </w:tcPr>
          <w:p w:rsidR="00BF1557" w:rsidRPr="00BF1557" w:rsidRDefault="00BF1557" w:rsidP="00537B2C">
            <w:pPr>
              <w:pStyle w:val="Heading5"/>
            </w:pPr>
            <w:r w:rsidRPr="00BF1557">
              <w:t>Equity</w:t>
            </w:r>
          </w:p>
        </w:tc>
        <w:tc>
          <w:tcPr>
            <w:tcW w:w="1317" w:type="dxa"/>
            <w:shd w:val="clear" w:color="auto" w:fill="auto"/>
          </w:tcPr>
          <w:p w:rsidR="00BF1557" w:rsidRPr="00BF1557" w:rsidRDefault="00BF1557" w:rsidP="00537B2C">
            <w:pPr>
              <w:pStyle w:val="Heading5"/>
            </w:pPr>
          </w:p>
        </w:tc>
        <w:tc>
          <w:tcPr>
            <w:tcW w:w="1058" w:type="dxa"/>
            <w:shd w:val="clear" w:color="auto" w:fill="auto"/>
          </w:tcPr>
          <w:p w:rsidR="00BF1557" w:rsidRPr="00BF1557" w:rsidRDefault="00BF1557" w:rsidP="00537B2C">
            <w:pPr>
              <w:pStyle w:val="Heading5"/>
            </w:pPr>
          </w:p>
        </w:tc>
        <w:tc>
          <w:tcPr>
            <w:tcW w:w="1020" w:type="dxa"/>
            <w:shd w:val="clear" w:color="auto" w:fill="auto"/>
          </w:tcPr>
          <w:p w:rsidR="00BF1557" w:rsidRPr="00BF1557" w:rsidRDefault="00BF1557" w:rsidP="00537B2C">
            <w:pPr>
              <w:pStyle w:val="Heading5"/>
            </w:pPr>
          </w:p>
        </w:tc>
      </w:tr>
      <w:tr w:rsidR="00BF1557" w:rsidRPr="00BF1557" w:rsidTr="00BF1557">
        <w:trPr>
          <w:trHeight w:hRule="exact" w:val="279"/>
        </w:trPr>
        <w:tc>
          <w:tcPr>
            <w:tcW w:w="5959" w:type="dxa"/>
            <w:shd w:val="clear" w:color="auto" w:fill="auto"/>
          </w:tcPr>
          <w:p w:rsidR="00BF1557" w:rsidRPr="00BF1557" w:rsidRDefault="00BF1557" w:rsidP="00BF1557">
            <w:pPr>
              <w:pStyle w:val="TableParagraph"/>
              <w:spacing w:before="37"/>
              <w:ind w:left="84"/>
              <w:rPr>
                <w:rFonts w:ascii="Gill Sans MT" w:hAnsi="Gill Sans MT"/>
                <w:sz w:val="18"/>
                <w:szCs w:val="18"/>
              </w:rPr>
            </w:pPr>
            <w:r w:rsidRPr="00BF1557">
              <w:rPr>
                <w:rFonts w:ascii="Gill Sans MT" w:hAnsi="Gill Sans MT"/>
                <w:sz w:val="18"/>
                <w:szCs w:val="18"/>
              </w:rPr>
              <w:t>Contributed capital reserve</w:t>
            </w:r>
          </w:p>
        </w:tc>
        <w:tc>
          <w:tcPr>
            <w:tcW w:w="1317" w:type="dxa"/>
            <w:shd w:val="clear" w:color="auto" w:fill="auto"/>
          </w:tcPr>
          <w:p w:rsidR="00BF1557" w:rsidRPr="00BF1557" w:rsidRDefault="00BF1557" w:rsidP="00BF1557">
            <w:pPr>
              <w:pStyle w:val="TableParagraph"/>
              <w:spacing w:before="37"/>
              <w:ind w:right="168"/>
              <w:jc w:val="right"/>
              <w:rPr>
                <w:rFonts w:ascii="Gill Sans MT" w:hAnsi="Gill Sans MT"/>
                <w:sz w:val="18"/>
                <w:szCs w:val="18"/>
              </w:rPr>
            </w:pPr>
            <w:r w:rsidRPr="00BF1557">
              <w:rPr>
                <w:rFonts w:ascii="Gill Sans MT" w:hAnsi="Gill Sans MT"/>
                <w:sz w:val="18"/>
                <w:szCs w:val="18"/>
              </w:rPr>
              <w:t>11.3</w:t>
            </w:r>
          </w:p>
        </w:tc>
        <w:tc>
          <w:tcPr>
            <w:tcW w:w="1058" w:type="dxa"/>
            <w:shd w:val="clear" w:color="auto" w:fill="auto"/>
          </w:tcPr>
          <w:p w:rsidR="00BF1557" w:rsidRPr="00BF1557" w:rsidRDefault="00BF1557" w:rsidP="00BF1557">
            <w:pPr>
              <w:pStyle w:val="TableParagraph"/>
              <w:spacing w:before="37"/>
              <w:ind w:right="163"/>
              <w:jc w:val="right"/>
              <w:rPr>
                <w:rFonts w:ascii="Gill Sans MT" w:hAnsi="Gill Sans MT"/>
                <w:sz w:val="18"/>
                <w:szCs w:val="18"/>
              </w:rPr>
            </w:pPr>
            <w:r w:rsidRPr="00BF1557">
              <w:rPr>
                <w:rFonts w:ascii="Gill Sans MT" w:hAnsi="Gill Sans MT"/>
                <w:sz w:val="18"/>
                <w:szCs w:val="18"/>
              </w:rPr>
              <w:t>461 875</w:t>
            </w:r>
          </w:p>
        </w:tc>
        <w:tc>
          <w:tcPr>
            <w:tcW w:w="1020" w:type="dxa"/>
            <w:shd w:val="clear" w:color="auto" w:fill="auto"/>
          </w:tcPr>
          <w:p w:rsidR="00BF1557" w:rsidRPr="00BF1557" w:rsidRDefault="00BF1557" w:rsidP="00BF1557">
            <w:pPr>
              <w:pStyle w:val="TableParagraph"/>
              <w:spacing w:before="37"/>
              <w:ind w:right="164"/>
              <w:jc w:val="right"/>
              <w:rPr>
                <w:rFonts w:ascii="Gill Sans MT" w:hAnsi="Gill Sans MT"/>
                <w:sz w:val="18"/>
                <w:szCs w:val="18"/>
              </w:rPr>
            </w:pPr>
            <w:r w:rsidRPr="00BF1557">
              <w:rPr>
                <w:rFonts w:ascii="Gill Sans MT" w:hAnsi="Gill Sans MT"/>
                <w:sz w:val="18"/>
                <w:szCs w:val="18"/>
              </w:rPr>
              <w:t>583 796</w:t>
            </w:r>
          </w:p>
        </w:tc>
      </w:tr>
      <w:tr w:rsidR="00BF1557" w:rsidRPr="00BF1557" w:rsidTr="00BF1557">
        <w:trPr>
          <w:trHeight w:hRule="exact" w:val="280"/>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Reserves</w:t>
            </w:r>
          </w:p>
        </w:tc>
        <w:tc>
          <w:tcPr>
            <w:tcW w:w="1317" w:type="dxa"/>
            <w:shd w:val="clear" w:color="auto" w:fill="auto"/>
          </w:tcPr>
          <w:p w:rsidR="00BF1557" w:rsidRPr="00BF1557" w:rsidRDefault="00BF1557" w:rsidP="00BF1557">
            <w:pPr>
              <w:pStyle w:val="TableParagraph"/>
              <w:spacing w:before="38"/>
              <w:ind w:right="167"/>
              <w:jc w:val="right"/>
              <w:rPr>
                <w:rFonts w:ascii="Gill Sans MT" w:hAnsi="Gill Sans MT"/>
                <w:sz w:val="18"/>
                <w:szCs w:val="18"/>
              </w:rPr>
            </w:pPr>
            <w:r w:rsidRPr="00BF1557">
              <w:rPr>
                <w:rFonts w:ascii="Gill Sans MT" w:hAnsi="Gill Sans MT"/>
                <w:sz w:val="18"/>
                <w:szCs w:val="18"/>
              </w:rPr>
              <w:t>11.1</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267 946</w:t>
            </w:r>
          </w:p>
        </w:tc>
        <w:tc>
          <w:tcPr>
            <w:tcW w:w="1020" w:type="dxa"/>
            <w:shd w:val="clear" w:color="auto" w:fill="auto"/>
          </w:tcPr>
          <w:p w:rsidR="00BF1557" w:rsidRPr="00BF1557" w:rsidRDefault="00BF1557" w:rsidP="00BF1557">
            <w:pPr>
              <w:pStyle w:val="TableParagraph"/>
              <w:spacing w:before="38"/>
              <w:ind w:right="172"/>
              <w:jc w:val="right"/>
              <w:rPr>
                <w:rFonts w:ascii="Gill Sans MT" w:hAnsi="Gill Sans MT"/>
                <w:sz w:val="18"/>
                <w:szCs w:val="18"/>
              </w:rPr>
            </w:pPr>
            <w:r w:rsidRPr="00BF1557">
              <w:rPr>
                <w:rFonts w:ascii="Gill Sans MT" w:hAnsi="Gill Sans MT"/>
                <w:sz w:val="18"/>
                <w:szCs w:val="18"/>
              </w:rPr>
              <w:t>206 531</w:t>
            </w:r>
          </w:p>
        </w:tc>
      </w:tr>
      <w:tr w:rsidR="00BF1557" w:rsidRPr="00BF1557" w:rsidTr="00BF1557">
        <w:trPr>
          <w:trHeight w:hRule="exact" w:val="271"/>
        </w:trPr>
        <w:tc>
          <w:tcPr>
            <w:tcW w:w="5959" w:type="dxa"/>
            <w:shd w:val="clear" w:color="auto" w:fill="auto"/>
          </w:tcPr>
          <w:p w:rsidR="00BF1557" w:rsidRPr="00BF1557" w:rsidRDefault="00BF1557" w:rsidP="00BF1557">
            <w:pPr>
              <w:pStyle w:val="TableParagraph"/>
              <w:spacing w:before="38"/>
              <w:ind w:left="85"/>
              <w:rPr>
                <w:rFonts w:ascii="Gill Sans MT" w:hAnsi="Gill Sans MT"/>
                <w:sz w:val="18"/>
                <w:szCs w:val="18"/>
              </w:rPr>
            </w:pPr>
            <w:r w:rsidRPr="00BF1557">
              <w:rPr>
                <w:rFonts w:ascii="Gill Sans MT" w:hAnsi="Gill Sans MT"/>
                <w:sz w:val="18"/>
                <w:szCs w:val="18"/>
              </w:rPr>
              <w:t>Accumulated funds</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518 937</w:t>
            </w:r>
          </w:p>
        </w:tc>
        <w:tc>
          <w:tcPr>
            <w:tcW w:w="1020" w:type="dxa"/>
            <w:shd w:val="clear" w:color="auto" w:fill="auto"/>
          </w:tcPr>
          <w:p w:rsidR="00BF1557" w:rsidRPr="00BF1557" w:rsidRDefault="00BF1557" w:rsidP="00BF1557">
            <w:pPr>
              <w:pStyle w:val="TableParagraph"/>
              <w:spacing w:before="38"/>
              <w:ind w:right="163"/>
              <w:jc w:val="right"/>
              <w:rPr>
                <w:rFonts w:ascii="Gill Sans MT" w:hAnsi="Gill Sans MT"/>
                <w:sz w:val="18"/>
                <w:szCs w:val="18"/>
              </w:rPr>
            </w:pPr>
            <w:r w:rsidRPr="00BF1557">
              <w:rPr>
                <w:rFonts w:ascii="Gill Sans MT" w:hAnsi="Gill Sans MT"/>
                <w:sz w:val="18"/>
                <w:szCs w:val="18"/>
              </w:rPr>
              <w:t>34 614</w:t>
            </w:r>
          </w:p>
        </w:tc>
      </w:tr>
      <w:tr w:rsidR="00BF1557" w:rsidRPr="00BF1557" w:rsidTr="00BF1557">
        <w:trPr>
          <w:trHeight w:hRule="exact" w:val="287"/>
        </w:trPr>
        <w:tc>
          <w:tcPr>
            <w:tcW w:w="5959" w:type="dxa"/>
            <w:shd w:val="clear" w:color="auto" w:fill="auto"/>
          </w:tcPr>
          <w:p w:rsidR="00BF1557" w:rsidRPr="00BF1557" w:rsidRDefault="00BF1557" w:rsidP="00BF1557">
            <w:pPr>
              <w:pStyle w:val="TableParagraph"/>
              <w:spacing w:before="45"/>
              <w:ind w:left="84"/>
              <w:rPr>
                <w:rFonts w:ascii="Gill Sans MT" w:hAnsi="Gill Sans MT"/>
                <w:b/>
                <w:sz w:val="18"/>
                <w:szCs w:val="18"/>
              </w:rPr>
            </w:pPr>
            <w:r w:rsidRPr="00BF1557">
              <w:rPr>
                <w:rFonts w:ascii="Gill Sans MT" w:hAnsi="Gill Sans MT"/>
                <w:b/>
                <w:sz w:val="18"/>
                <w:szCs w:val="18"/>
              </w:rPr>
              <w:t>Total equity</w:t>
            </w:r>
          </w:p>
        </w:tc>
        <w:tc>
          <w:tcPr>
            <w:tcW w:w="1317" w:type="dxa"/>
            <w:shd w:val="clear" w:color="auto" w:fill="auto"/>
          </w:tcPr>
          <w:p w:rsidR="00BF1557" w:rsidRPr="00BF1557" w:rsidRDefault="00BF1557" w:rsidP="00BF1557">
            <w:pPr>
              <w:jc w:val="right"/>
              <w:rPr>
                <w:rFonts w:ascii="Gill Sans MT" w:hAnsi="Gill Sans MT"/>
                <w:sz w:val="18"/>
                <w:szCs w:val="18"/>
              </w:rPr>
            </w:pPr>
            <w:r>
              <w:rPr>
                <w:rFonts w:ascii="Gill Sans MT" w:hAnsi="Gill Sans MT"/>
                <w:sz w:val="18"/>
                <w:szCs w:val="18"/>
              </w:rPr>
              <w:t>-</w:t>
            </w:r>
          </w:p>
        </w:tc>
        <w:tc>
          <w:tcPr>
            <w:tcW w:w="1058" w:type="dxa"/>
            <w:shd w:val="clear" w:color="auto" w:fill="auto"/>
          </w:tcPr>
          <w:p w:rsidR="00BF1557" w:rsidRPr="00BF1557" w:rsidRDefault="00BF1557" w:rsidP="00BF1557">
            <w:pPr>
              <w:pStyle w:val="TableParagraph"/>
              <w:spacing w:before="41"/>
              <w:ind w:right="163"/>
              <w:jc w:val="right"/>
              <w:rPr>
                <w:rFonts w:ascii="Gill Sans MT" w:hAnsi="Gill Sans MT"/>
                <w:b/>
                <w:sz w:val="18"/>
                <w:szCs w:val="18"/>
              </w:rPr>
            </w:pPr>
            <w:r w:rsidRPr="00BF1557">
              <w:rPr>
                <w:rFonts w:ascii="Gill Sans MT" w:hAnsi="Gill Sans MT"/>
                <w:b/>
                <w:sz w:val="18"/>
                <w:szCs w:val="18"/>
              </w:rPr>
              <w:t>1 248 758</w:t>
            </w:r>
          </w:p>
        </w:tc>
        <w:tc>
          <w:tcPr>
            <w:tcW w:w="1020" w:type="dxa"/>
            <w:shd w:val="clear" w:color="auto" w:fill="auto"/>
          </w:tcPr>
          <w:p w:rsidR="00BF1557" w:rsidRPr="00BF1557" w:rsidRDefault="00BF1557" w:rsidP="00BF1557">
            <w:pPr>
              <w:pStyle w:val="TableParagraph"/>
              <w:spacing w:before="41"/>
              <w:ind w:right="163"/>
              <w:jc w:val="right"/>
              <w:rPr>
                <w:rFonts w:ascii="Gill Sans MT" w:hAnsi="Gill Sans MT"/>
                <w:b/>
                <w:sz w:val="18"/>
                <w:szCs w:val="18"/>
              </w:rPr>
            </w:pPr>
            <w:r w:rsidRPr="00BF1557">
              <w:rPr>
                <w:rFonts w:ascii="Gill Sans MT" w:hAnsi="Gill Sans MT"/>
                <w:b/>
                <w:sz w:val="18"/>
                <w:szCs w:val="18"/>
              </w:rPr>
              <w:t>824 941</w:t>
            </w:r>
          </w:p>
        </w:tc>
      </w:tr>
    </w:tbl>
    <w:p w:rsidR="005126B5" w:rsidRPr="00BF1557" w:rsidRDefault="005126B5" w:rsidP="00BF1557">
      <w:pPr>
        <w:pStyle w:val="BodyText"/>
      </w:pPr>
    </w:p>
    <w:p w:rsidR="00BF1557" w:rsidRPr="00BF1557" w:rsidRDefault="00BF1557" w:rsidP="00BF1557">
      <w:pPr>
        <w:pStyle w:val="BodyText"/>
      </w:pPr>
      <w:r w:rsidRPr="00BF1557">
        <w:t>This Statement of Financial Position should be read in conjunction with the accompanying notes. Budget information refers to original estimat</w:t>
      </w:r>
      <w:r>
        <w:t xml:space="preserve">es and has not been subject to </w:t>
      </w:r>
      <w:r w:rsidRPr="00BF1557">
        <w:t>audit</w:t>
      </w:r>
      <w:r>
        <w:t>.</w:t>
      </w:r>
    </w:p>
    <w:p w:rsidR="00BF1557" w:rsidRPr="00BF1557" w:rsidRDefault="00BF1557" w:rsidP="00BF1557">
      <w:pPr>
        <w:pStyle w:val="BodyText"/>
      </w:pPr>
      <w:r w:rsidRPr="00BF1557">
        <w:t>Explanations of material variances between budget and actual outcomes are provided in Note 3 of the accompanying notes.</w:t>
      </w:r>
    </w:p>
    <w:p w:rsidR="00BF1557" w:rsidRDefault="00BF1557">
      <w:r>
        <w:br w:type="page"/>
      </w:r>
    </w:p>
    <w:p w:rsidR="0094237D" w:rsidRDefault="00BF1557" w:rsidP="0094237D">
      <w:bookmarkStart w:id="52" w:name="_Toc472581992"/>
      <w:r w:rsidRPr="00537B2C">
        <w:rPr>
          <w:rStyle w:val="Heading3Char"/>
        </w:rPr>
        <w:lastRenderedPageBreak/>
        <w:t>Statement of Cash Flows</w:t>
      </w:r>
      <w:bookmarkEnd w:id="52"/>
      <w:r w:rsidRPr="00537B2C">
        <w:rPr>
          <w:rStyle w:val="Heading3Char"/>
        </w:rPr>
        <w:br/>
      </w:r>
      <w:r>
        <w:t>For the year ended 30 June 2016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Statement of Cash Flows"/>
        <w:tblDescription w:val="For the yeard ended 30 June 2016"/>
      </w:tblPr>
      <w:tblGrid>
        <w:gridCol w:w="5392"/>
        <w:gridCol w:w="1276"/>
        <w:gridCol w:w="1417"/>
        <w:gridCol w:w="1265"/>
      </w:tblGrid>
      <w:tr w:rsidR="00BF1557" w:rsidRPr="00871383" w:rsidTr="00871383">
        <w:trPr>
          <w:trHeight w:hRule="exact" w:val="461"/>
        </w:trPr>
        <w:tc>
          <w:tcPr>
            <w:tcW w:w="5392" w:type="dxa"/>
            <w:shd w:val="clear" w:color="auto" w:fill="auto"/>
            <w:vAlign w:val="center"/>
          </w:tcPr>
          <w:p w:rsidR="00BF1557" w:rsidRPr="00871383" w:rsidRDefault="00BF1557" w:rsidP="00537B2C">
            <w:pPr>
              <w:pStyle w:val="Heading4"/>
            </w:pPr>
            <w:r w:rsidRPr="00871383">
              <w:t>Description</w:t>
            </w:r>
          </w:p>
        </w:tc>
        <w:tc>
          <w:tcPr>
            <w:tcW w:w="1276" w:type="dxa"/>
            <w:shd w:val="clear" w:color="auto" w:fill="auto"/>
            <w:vAlign w:val="center"/>
          </w:tcPr>
          <w:p w:rsidR="00BF1557" w:rsidRPr="00871383" w:rsidRDefault="00BF1557" w:rsidP="00537B2C">
            <w:pPr>
              <w:pStyle w:val="Heading4"/>
            </w:pPr>
            <w:r w:rsidRPr="00871383">
              <w:t>Notes</w:t>
            </w:r>
          </w:p>
        </w:tc>
        <w:tc>
          <w:tcPr>
            <w:tcW w:w="1417" w:type="dxa"/>
            <w:shd w:val="clear" w:color="auto" w:fill="auto"/>
            <w:vAlign w:val="center"/>
          </w:tcPr>
          <w:p w:rsidR="00BF1557" w:rsidRPr="00871383" w:rsidRDefault="00BF1557" w:rsidP="00537B2C">
            <w:pPr>
              <w:pStyle w:val="Heading4"/>
            </w:pPr>
            <w:r w:rsidRPr="00871383">
              <w:t>2016</w:t>
            </w:r>
          </w:p>
          <w:p w:rsidR="00BF1557" w:rsidRPr="00871383" w:rsidRDefault="00BF1557" w:rsidP="00537B2C">
            <w:pPr>
              <w:pStyle w:val="Heading4"/>
            </w:pPr>
            <w:r w:rsidRPr="00871383">
              <w:t>Budget</w:t>
            </w:r>
          </w:p>
          <w:p w:rsidR="00BF1557" w:rsidRPr="00871383" w:rsidRDefault="00BF1557" w:rsidP="00537B2C">
            <w:pPr>
              <w:pStyle w:val="Heading4"/>
            </w:pPr>
            <w:r w:rsidRPr="00871383">
              <w:t>$’000</w:t>
            </w:r>
          </w:p>
        </w:tc>
        <w:tc>
          <w:tcPr>
            <w:tcW w:w="1265" w:type="dxa"/>
            <w:shd w:val="clear" w:color="auto" w:fill="auto"/>
            <w:vAlign w:val="center"/>
          </w:tcPr>
          <w:p w:rsidR="00BF1557" w:rsidRPr="00871383" w:rsidRDefault="00BF1557" w:rsidP="00537B2C">
            <w:pPr>
              <w:pStyle w:val="Heading4"/>
            </w:pPr>
            <w:r w:rsidRPr="00871383">
              <w:t>2016</w:t>
            </w:r>
          </w:p>
          <w:p w:rsidR="00BF1557" w:rsidRPr="00871383" w:rsidRDefault="00BF1557" w:rsidP="00537B2C">
            <w:pPr>
              <w:pStyle w:val="Heading4"/>
            </w:pPr>
            <w:r w:rsidRPr="00871383">
              <w:t>Actual</w:t>
            </w:r>
          </w:p>
          <w:p w:rsidR="00BF1557" w:rsidRPr="00871383" w:rsidRDefault="00BF1557" w:rsidP="00537B2C">
            <w:pPr>
              <w:pStyle w:val="Heading4"/>
            </w:pPr>
            <w:r w:rsidRPr="00871383">
              <w:t>$’000</w:t>
            </w:r>
          </w:p>
        </w:tc>
      </w:tr>
      <w:tr w:rsidR="00BF1557" w:rsidRPr="00871383" w:rsidTr="00871383">
        <w:trPr>
          <w:trHeight w:hRule="exact" w:val="440"/>
        </w:trPr>
        <w:tc>
          <w:tcPr>
            <w:tcW w:w="5392" w:type="dxa"/>
            <w:shd w:val="clear" w:color="auto" w:fill="auto"/>
          </w:tcPr>
          <w:p w:rsidR="00BF1557" w:rsidRPr="00871383" w:rsidRDefault="00BF1557" w:rsidP="00537B2C">
            <w:pPr>
              <w:pStyle w:val="Heading5"/>
            </w:pPr>
            <w:r w:rsidRPr="00871383">
              <w:t>Cash flows from operating activities</w:t>
            </w:r>
          </w:p>
        </w:tc>
        <w:tc>
          <w:tcPr>
            <w:tcW w:w="1276" w:type="dxa"/>
            <w:shd w:val="clear" w:color="auto" w:fill="auto"/>
          </w:tcPr>
          <w:p w:rsidR="00BF1557" w:rsidRPr="00871383" w:rsidRDefault="00BF1557" w:rsidP="00537B2C">
            <w:pPr>
              <w:pStyle w:val="Heading5"/>
            </w:pPr>
          </w:p>
        </w:tc>
        <w:tc>
          <w:tcPr>
            <w:tcW w:w="1417" w:type="dxa"/>
            <w:shd w:val="clear" w:color="auto" w:fill="auto"/>
          </w:tcPr>
          <w:p w:rsidR="00BF1557" w:rsidRPr="00871383" w:rsidRDefault="00BF1557" w:rsidP="00537B2C">
            <w:pPr>
              <w:pStyle w:val="Heading5"/>
            </w:pPr>
            <w:r w:rsidRPr="00871383">
              <w:t>Inflows (Outflows)</w:t>
            </w:r>
          </w:p>
        </w:tc>
        <w:tc>
          <w:tcPr>
            <w:tcW w:w="1265" w:type="dxa"/>
            <w:shd w:val="clear" w:color="auto" w:fill="auto"/>
          </w:tcPr>
          <w:p w:rsidR="00BF1557" w:rsidRPr="00871383" w:rsidRDefault="00BF1557" w:rsidP="00537B2C">
            <w:pPr>
              <w:pStyle w:val="Heading5"/>
            </w:pPr>
            <w:r w:rsidRPr="00871383">
              <w:t>Inflows (Outflows)</w:t>
            </w:r>
          </w:p>
        </w:tc>
      </w:tr>
      <w:tr w:rsidR="00BF1557" w:rsidRPr="00871383" w:rsidTr="00871383">
        <w:trPr>
          <w:trHeight w:hRule="exact" w:val="417"/>
        </w:trPr>
        <w:tc>
          <w:tcPr>
            <w:tcW w:w="5392" w:type="dxa"/>
            <w:shd w:val="clear" w:color="auto" w:fill="auto"/>
          </w:tcPr>
          <w:p w:rsidR="00BF1557" w:rsidRPr="00871383" w:rsidRDefault="00BF1557" w:rsidP="00537B2C">
            <w:pPr>
              <w:pStyle w:val="Heading6"/>
            </w:pPr>
            <w:r w:rsidRPr="00871383">
              <w:t>Cash inflows</w:t>
            </w:r>
          </w:p>
        </w:tc>
        <w:tc>
          <w:tcPr>
            <w:tcW w:w="1276" w:type="dxa"/>
            <w:shd w:val="clear" w:color="auto" w:fill="auto"/>
          </w:tcPr>
          <w:p w:rsidR="00BF1557" w:rsidRPr="00871383" w:rsidRDefault="00BF1557" w:rsidP="00537B2C">
            <w:pPr>
              <w:pStyle w:val="Heading6"/>
            </w:pPr>
          </w:p>
        </w:tc>
        <w:tc>
          <w:tcPr>
            <w:tcW w:w="1417" w:type="dxa"/>
            <w:shd w:val="clear" w:color="auto" w:fill="auto"/>
          </w:tcPr>
          <w:p w:rsidR="00BF1557" w:rsidRPr="00871383" w:rsidRDefault="00BF1557" w:rsidP="00537B2C">
            <w:pPr>
              <w:pStyle w:val="Heading6"/>
            </w:pPr>
          </w:p>
        </w:tc>
        <w:tc>
          <w:tcPr>
            <w:tcW w:w="1265" w:type="dxa"/>
            <w:shd w:val="clear" w:color="auto" w:fill="auto"/>
          </w:tcPr>
          <w:p w:rsidR="00BF1557" w:rsidRPr="00871383" w:rsidRDefault="00BF1557" w:rsidP="00537B2C">
            <w:pPr>
              <w:pStyle w:val="Heading6"/>
            </w:pPr>
          </w:p>
        </w:tc>
      </w:tr>
      <w:tr w:rsidR="00BF1557" w:rsidRPr="00871383" w:rsidTr="00871383">
        <w:trPr>
          <w:trHeight w:hRule="exact" w:val="237"/>
        </w:trPr>
        <w:tc>
          <w:tcPr>
            <w:tcW w:w="5392" w:type="dxa"/>
            <w:shd w:val="clear" w:color="auto" w:fill="auto"/>
          </w:tcPr>
          <w:p w:rsidR="00BF1557" w:rsidRPr="00871383" w:rsidRDefault="00BF1557" w:rsidP="00BF1557">
            <w:pPr>
              <w:pStyle w:val="TableParagraph"/>
              <w:spacing w:before="15"/>
              <w:ind w:left="85"/>
              <w:rPr>
                <w:rFonts w:ascii="Gill Sans MT" w:hAnsi="Gill Sans MT"/>
                <w:sz w:val="18"/>
                <w:szCs w:val="18"/>
              </w:rPr>
            </w:pPr>
            <w:r w:rsidRPr="00871383">
              <w:rPr>
                <w:rFonts w:ascii="Gill Sans MT" w:hAnsi="Gill Sans MT"/>
                <w:sz w:val="18"/>
                <w:szCs w:val="18"/>
              </w:rPr>
              <w:t>Grants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sz w:val="18"/>
                <w:szCs w:val="18"/>
              </w:rPr>
            </w:pPr>
            <w:r w:rsidRPr="00871383">
              <w:rPr>
                <w:rFonts w:ascii="Gill Sans MT" w:hAnsi="Gill Sans MT"/>
                <w:sz w:val="18"/>
                <w:szCs w:val="18"/>
              </w:rPr>
              <w:t>1 123 709</w:t>
            </w:r>
          </w:p>
        </w:tc>
        <w:tc>
          <w:tcPr>
            <w:tcW w:w="1265" w:type="dxa"/>
            <w:shd w:val="clear" w:color="auto" w:fill="auto"/>
          </w:tcPr>
          <w:p w:rsidR="00BF1557" w:rsidRPr="00871383" w:rsidRDefault="00BF1557" w:rsidP="00BF1557">
            <w:pPr>
              <w:pStyle w:val="TableParagraph"/>
              <w:spacing w:before="15"/>
              <w:ind w:left="323"/>
              <w:rPr>
                <w:rFonts w:ascii="Gill Sans MT" w:hAnsi="Gill Sans MT"/>
                <w:sz w:val="18"/>
                <w:szCs w:val="18"/>
              </w:rPr>
            </w:pPr>
            <w:r w:rsidRPr="00871383">
              <w:rPr>
                <w:rFonts w:ascii="Gill Sans MT" w:hAnsi="Gill Sans MT"/>
                <w:sz w:val="18"/>
                <w:szCs w:val="18"/>
              </w:rPr>
              <w:t>1 175 954</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Sales of goods and services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137 038</w:t>
            </w:r>
          </w:p>
        </w:tc>
        <w:tc>
          <w:tcPr>
            <w:tcW w:w="1265" w:type="dxa"/>
            <w:shd w:val="clear" w:color="auto" w:fill="auto"/>
          </w:tcPr>
          <w:p w:rsidR="00BF1557" w:rsidRPr="00871383" w:rsidRDefault="00BF1557" w:rsidP="00BF1557">
            <w:pPr>
              <w:pStyle w:val="TableParagraph"/>
              <w:spacing w:before="16"/>
              <w:ind w:right="176"/>
              <w:jc w:val="right"/>
              <w:rPr>
                <w:rFonts w:ascii="Gill Sans MT" w:hAnsi="Gill Sans MT"/>
                <w:sz w:val="18"/>
                <w:szCs w:val="18"/>
              </w:rPr>
            </w:pPr>
            <w:r w:rsidRPr="00871383">
              <w:rPr>
                <w:rFonts w:ascii="Gill Sans MT" w:hAnsi="Gill Sans MT"/>
                <w:sz w:val="18"/>
                <w:szCs w:val="18"/>
              </w:rPr>
              <w:t>156 713</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GST receipts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29 369</w:t>
            </w:r>
          </w:p>
        </w:tc>
        <w:tc>
          <w:tcPr>
            <w:tcW w:w="1265" w:type="dxa"/>
            <w:shd w:val="clear" w:color="auto" w:fill="auto"/>
          </w:tcPr>
          <w:p w:rsidR="00BF1557" w:rsidRPr="00871383" w:rsidRDefault="00BF1557" w:rsidP="00BF1557">
            <w:pPr>
              <w:pStyle w:val="TableParagraph"/>
              <w:spacing w:before="16"/>
              <w:ind w:right="172"/>
              <w:jc w:val="right"/>
              <w:rPr>
                <w:rFonts w:ascii="Gill Sans MT" w:hAnsi="Gill Sans MT"/>
                <w:sz w:val="18"/>
                <w:szCs w:val="18"/>
              </w:rPr>
            </w:pPr>
            <w:r w:rsidRPr="00871383">
              <w:rPr>
                <w:rFonts w:ascii="Gill Sans MT" w:hAnsi="Gill Sans MT"/>
                <w:sz w:val="18"/>
                <w:szCs w:val="18"/>
              </w:rPr>
              <w:t>35 561</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Interest received</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0</w:t>
            </w:r>
          </w:p>
        </w:tc>
        <w:tc>
          <w:tcPr>
            <w:tcW w:w="1265"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258</w:t>
            </w:r>
          </w:p>
        </w:tc>
      </w:tr>
      <w:tr w:rsidR="00BF1557" w:rsidRPr="00871383" w:rsidTr="00871383">
        <w:trPr>
          <w:trHeight w:hRule="exact" w:val="235"/>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Other cash receipts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29 276</w:t>
            </w:r>
          </w:p>
        </w:tc>
        <w:tc>
          <w:tcPr>
            <w:tcW w:w="1265" w:type="dxa"/>
            <w:shd w:val="clear" w:color="auto" w:fill="auto"/>
          </w:tcPr>
          <w:p w:rsidR="00BF1557" w:rsidRPr="00871383" w:rsidRDefault="00BF1557" w:rsidP="00BF1557">
            <w:pPr>
              <w:pStyle w:val="TableParagraph"/>
              <w:spacing w:before="16"/>
              <w:ind w:right="168"/>
              <w:jc w:val="right"/>
              <w:rPr>
                <w:rFonts w:ascii="Gill Sans MT" w:hAnsi="Gill Sans MT"/>
                <w:sz w:val="18"/>
                <w:szCs w:val="18"/>
              </w:rPr>
            </w:pPr>
            <w:r w:rsidRPr="00871383">
              <w:rPr>
                <w:rFonts w:ascii="Gill Sans MT" w:hAnsi="Gill Sans MT"/>
                <w:sz w:val="18"/>
                <w:szCs w:val="18"/>
              </w:rPr>
              <w:t>38 043</w:t>
            </w:r>
          </w:p>
        </w:tc>
      </w:tr>
      <w:tr w:rsidR="00BF1557" w:rsidRPr="00871383" w:rsidTr="00871383">
        <w:trPr>
          <w:trHeight w:hRule="exact" w:val="247"/>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Total cash inflows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b/>
                <w:sz w:val="18"/>
                <w:szCs w:val="18"/>
              </w:rPr>
            </w:pPr>
            <w:r w:rsidRPr="00871383">
              <w:rPr>
                <w:rFonts w:ascii="Gill Sans MT" w:hAnsi="Gill Sans MT"/>
                <w:b/>
                <w:sz w:val="18"/>
                <w:szCs w:val="18"/>
              </w:rPr>
              <w:t>1 319 392</w:t>
            </w:r>
          </w:p>
        </w:tc>
        <w:tc>
          <w:tcPr>
            <w:tcW w:w="1265" w:type="dxa"/>
            <w:shd w:val="clear" w:color="auto" w:fill="auto"/>
          </w:tcPr>
          <w:p w:rsidR="00BF1557" w:rsidRPr="00871383" w:rsidRDefault="00BF1557" w:rsidP="00BF1557">
            <w:pPr>
              <w:pStyle w:val="TableParagraph"/>
              <w:spacing w:before="15"/>
              <w:ind w:left="301"/>
              <w:rPr>
                <w:rFonts w:ascii="Gill Sans MT" w:hAnsi="Gill Sans MT"/>
                <w:b/>
                <w:sz w:val="18"/>
                <w:szCs w:val="18"/>
              </w:rPr>
            </w:pPr>
            <w:r w:rsidRPr="00871383">
              <w:rPr>
                <w:rFonts w:ascii="Gill Sans MT" w:hAnsi="Gill Sans MT"/>
                <w:b/>
                <w:sz w:val="18"/>
                <w:szCs w:val="18"/>
              </w:rPr>
              <w:t>1 406 529</w:t>
            </w:r>
          </w:p>
        </w:tc>
      </w:tr>
      <w:tr w:rsidR="00BF1557" w:rsidRPr="00871383" w:rsidTr="00DF6CB2">
        <w:trPr>
          <w:trHeight w:hRule="exact" w:val="472"/>
        </w:trPr>
        <w:tc>
          <w:tcPr>
            <w:tcW w:w="5392" w:type="dxa"/>
            <w:shd w:val="clear" w:color="auto" w:fill="auto"/>
          </w:tcPr>
          <w:p w:rsidR="00BF1557" w:rsidRPr="00871383" w:rsidRDefault="00BF1557" w:rsidP="00DF6CB2">
            <w:pPr>
              <w:pStyle w:val="Heading6"/>
            </w:pPr>
            <w:r w:rsidRPr="00871383">
              <w:t>Cash outflows</w:t>
            </w:r>
          </w:p>
        </w:tc>
        <w:tc>
          <w:tcPr>
            <w:tcW w:w="1276" w:type="dxa"/>
            <w:shd w:val="clear" w:color="auto" w:fill="auto"/>
          </w:tcPr>
          <w:p w:rsidR="00BF1557" w:rsidRPr="00871383" w:rsidRDefault="00BF1557" w:rsidP="00DF6CB2">
            <w:pPr>
              <w:jc w:val="right"/>
              <w:rPr>
                <w:rFonts w:ascii="Gill Sans MT" w:hAnsi="Gill Sans MT"/>
                <w:sz w:val="18"/>
                <w:szCs w:val="18"/>
              </w:rPr>
            </w:pPr>
          </w:p>
        </w:tc>
        <w:tc>
          <w:tcPr>
            <w:tcW w:w="1417" w:type="dxa"/>
            <w:shd w:val="clear" w:color="auto" w:fill="auto"/>
          </w:tcPr>
          <w:p w:rsidR="00BF1557" w:rsidRPr="00871383" w:rsidRDefault="00BF1557" w:rsidP="00BF1557">
            <w:pPr>
              <w:rPr>
                <w:rFonts w:ascii="Gill Sans MT" w:hAnsi="Gill Sans MT"/>
                <w:sz w:val="18"/>
                <w:szCs w:val="18"/>
              </w:rPr>
            </w:pPr>
          </w:p>
        </w:tc>
        <w:tc>
          <w:tcPr>
            <w:tcW w:w="1265" w:type="dxa"/>
            <w:shd w:val="clear" w:color="auto" w:fill="auto"/>
          </w:tcPr>
          <w:p w:rsidR="00BF1557" w:rsidRPr="00871383" w:rsidRDefault="00BF1557" w:rsidP="00BF1557">
            <w:pPr>
              <w:rPr>
                <w:rFonts w:ascii="Gill Sans MT" w:hAnsi="Gill Sans MT"/>
                <w:sz w:val="18"/>
                <w:szCs w:val="18"/>
              </w:rPr>
            </w:pPr>
          </w:p>
        </w:tc>
      </w:tr>
      <w:tr w:rsidR="00BF1557" w:rsidRPr="00871383" w:rsidTr="00871383">
        <w:trPr>
          <w:trHeight w:hRule="exact" w:val="237"/>
        </w:trPr>
        <w:tc>
          <w:tcPr>
            <w:tcW w:w="5392" w:type="dxa"/>
            <w:shd w:val="clear" w:color="auto" w:fill="auto"/>
          </w:tcPr>
          <w:p w:rsidR="00BF1557" w:rsidRPr="00871383" w:rsidRDefault="00BF1557" w:rsidP="00BF1557">
            <w:pPr>
              <w:pStyle w:val="TableParagraph"/>
              <w:spacing w:before="15"/>
              <w:ind w:left="85"/>
              <w:rPr>
                <w:rFonts w:ascii="Gill Sans MT" w:hAnsi="Gill Sans MT"/>
                <w:sz w:val="18"/>
                <w:szCs w:val="18"/>
              </w:rPr>
            </w:pPr>
            <w:r w:rsidRPr="00871383">
              <w:rPr>
                <w:rFonts w:ascii="Gill Sans MT" w:hAnsi="Gill Sans MT"/>
                <w:sz w:val="18"/>
                <w:szCs w:val="18"/>
              </w:rPr>
              <w:t>Employee benefits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07"/>
              <w:jc w:val="right"/>
              <w:rPr>
                <w:rFonts w:ascii="Gill Sans MT" w:hAnsi="Gill Sans MT"/>
                <w:sz w:val="18"/>
                <w:szCs w:val="18"/>
              </w:rPr>
            </w:pPr>
            <w:r w:rsidRPr="00871383">
              <w:rPr>
                <w:rFonts w:ascii="Gill Sans MT" w:hAnsi="Gill Sans MT"/>
                <w:sz w:val="18"/>
                <w:szCs w:val="18"/>
              </w:rPr>
              <w:t>(918 660)</w:t>
            </w:r>
          </w:p>
        </w:tc>
        <w:tc>
          <w:tcPr>
            <w:tcW w:w="1265" w:type="dxa"/>
            <w:shd w:val="clear" w:color="auto" w:fill="auto"/>
          </w:tcPr>
          <w:p w:rsidR="00BF1557" w:rsidRPr="00871383" w:rsidRDefault="00BF1557" w:rsidP="00BF1557">
            <w:pPr>
              <w:pStyle w:val="TableParagraph"/>
              <w:spacing w:before="15"/>
              <w:ind w:right="105"/>
              <w:jc w:val="right"/>
              <w:rPr>
                <w:rFonts w:ascii="Gill Sans MT" w:hAnsi="Gill Sans MT"/>
                <w:sz w:val="18"/>
                <w:szCs w:val="18"/>
              </w:rPr>
            </w:pPr>
            <w:r w:rsidRPr="00871383">
              <w:rPr>
                <w:rFonts w:ascii="Gill Sans MT" w:hAnsi="Gill Sans MT"/>
                <w:sz w:val="18"/>
                <w:szCs w:val="18"/>
              </w:rPr>
              <w:t>(929 456)</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Finance costs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05"/>
              <w:jc w:val="right"/>
              <w:rPr>
                <w:rFonts w:ascii="Gill Sans MT" w:hAnsi="Gill Sans MT"/>
                <w:sz w:val="18"/>
                <w:szCs w:val="18"/>
              </w:rPr>
            </w:pPr>
            <w:r w:rsidRPr="00871383">
              <w:rPr>
                <w:rFonts w:ascii="Gill Sans MT" w:hAnsi="Gill Sans MT"/>
                <w:sz w:val="18"/>
                <w:szCs w:val="18"/>
              </w:rPr>
              <w:t>(192)</w:t>
            </w:r>
          </w:p>
        </w:tc>
        <w:tc>
          <w:tcPr>
            <w:tcW w:w="1265" w:type="dxa"/>
            <w:shd w:val="clear" w:color="auto" w:fill="auto"/>
          </w:tcPr>
          <w:p w:rsidR="00BF1557" w:rsidRPr="00871383" w:rsidRDefault="00BF1557" w:rsidP="00BF1557">
            <w:pPr>
              <w:pStyle w:val="TableParagraph"/>
              <w:spacing w:before="16"/>
              <w:ind w:right="162"/>
              <w:jc w:val="right"/>
              <w:rPr>
                <w:rFonts w:ascii="Gill Sans MT" w:hAnsi="Gill Sans MT"/>
                <w:sz w:val="18"/>
                <w:szCs w:val="18"/>
              </w:rPr>
            </w:pPr>
            <w:r w:rsidRPr="00871383">
              <w:rPr>
                <w:rFonts w:ascii="Gill Sans MT" w:hAnsi="Gill Sans MT"/>
                <w:sz w:val="18"/>
                <w:szCs w:val="18"/>
              </w:rPr>
              <w:t>0</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GST payments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07"/>
              <w:jc w:val="right"/>
              <w:rPr>
                <w:rFonts w:ascii="Gill Sans MT" w:hAnsi="Gill Sans MT"/>
                <w:sz w:val="18"/>
                <w:szCs w:val="18"/>
              </w:rPr>
            </w:pPr>
            <w:r w:rsidRPr="00871383">
              <w:rPr>
                <w:rFonts w:ascii="Gill Sans MT" w:hAnsi="Gill Sans MT"/>
                <w:sz w:val="18"/>
                <w:szCs w:val="18"/>
              </w:rPr>
              <w:t>(29 369)</w:t>
            </w:r>
          </w:p>
        </w:tc>
        <w:tc>
          <w:tcPr>
            <w:tcW w:w="1265" w:type="dxa"/>
            <w:shd w:val="clear" w:color="auto" w:fill="auto"/>
          </w:tcPr>
          <w:p w:rsidR="00BF1557" w:rsidRPr="00871383" w:rsidRDefault="00BF1557" w:rsidP="00BF1557">
            <w:pPr>
              <w:pStyle w:val="TableParagraph"/>
              <w:spacing w:before="16"/>
              <w:ind w:right="107"/>
              <w:jc w:val="right"/>
              <w:rPr>
                <w:rFonts w:ascii="Gill Sans MT" w:hAnsi="Gill Sans MT"/>
                <w:sz w:val="18"/>
                <w:szCs w:val="18"/>
              </w:rPr>
            </w:pPr>
            <w:r w:rsidRPr="00871383">
              <w:rPr>
                <w:rFonts w:ascii="Gill Sans MT" w:hAnsi="Gill Sans MT"/>
                <w:sz w:val="18"/>
                <w:szCs w:val="18"/>
              </w:rPr>
              <w:t>(36 456)</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Grants and transfer payments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06"/>
              <w:jc w:val="right"/>
              <w:rPr>
                <w:rFonts w:ascii="Gill Sans MT" w:hAnsi="Gill Sans MT"/>
                <w:sz w:val="18"/>
                <w:szCs w:val="18"/>
              </w:rPr>
            </w:pPr>
            <w:r w:rsidRPr="00871383">
              <w:rPr>
                <w:rFonts w:ascii="Gill Sans MT" w:hAnsi="Gill Sans MT"/>
                <w:sz w:val="18"/>
                <w:szCs w:val="18"/>
              </w:rPr>
              <w:t>(40 495)</w:t>
            </w:r>
          </w:p>
        </w:tc>
        <w:tc>
          <w:tcPr>
            <w:tcW w:w="1265" w:type="dxa"/>
            <w:shd w:val="clear" w:color="auto" w:fill="auto"/>
          </w:tcPr>
          <w:p w:rsidR="00BF1557" w:rsidRPr="00871383" w:rsidRDefault="00BF1557" w:rsidP="00BF1557">
            <w:pPr>
              <w:pStyle w:val="TableParagraph"/>
              <w:spacing w:before="16"/>
              <w:ind w:right="105"/>
              <w:jc w:val="right"/>
              <w:rPr>
                <w:rFonts w:ascii="Gill Sans MT" w:hAnsi="Gill Sans MT"/>
                <w:sz w:val="18"/>
                <w:szCs w:val="18"/>
              </w:rPr>
            </w:pPr>
            <w:r w:rsidRPr="00871383">
              <w:rPr>
                <w:rFonts w:ascii="Gill Sans MT" w:hAnsi="Gill Sans MT"/>
                <w:sz w:val="18"/>
                <w:szCs w:val="18"/>
              </w:rPr>
              <w:t>(7 178)</w:t>
            </w:r>
          </w:p>
        </w:tc>
      </w:tr>
      <w:tr w:rsidR="00BF1557" w:rsidRPr="00871383" w:rsidTr="00871383">
        <w:trPr>
          <w:trHeight w:hRule="exact" w:val="238"/>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Supplies and consumables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06"/>
              <w:jc w:val="right"/>
              <w:rPr>
                <w:rFonts w:ascii="Gill Sans MT" w:hAnsi="Gill Sans MT"/>
                <w:sz w:val="18"/>
                <w:szCs w:val="18"/>
              </w:rPr>
            </w:pPr>
            <w:r w:rsidRPr="00871383">
              <w:rPr>
                <w:rFonts w:ascii="Gill Sans MT" w:hAnsi="Gill Sans MT"/>
                <w:sz w:val="18"/>
                <w:szCs w:val="18"/>
              </w:rPr>
              <w:t>(347 330)</w:t>
            </w:r>
          </w:p>
        </w:tc>
        <w:tc>
          <w:tcPr>
            <w:tcW w:w="1265" w:type="dxa"/>
            <w:shd w:val="clear" w:color="auto" w:fill="auto"/>
          </w:tcPr>
          <w:p w:rsidR="00BF1557" w:rsidRPr="00871383" w:rsidRDefault="00BF1557" w:rsidP="00BF1557">
            <w:pPr>
              <w:pStyle w:val="TableParagraph"/>
              <w:spacing w:before="16"/>
              <w:ind w:right="106"/>
              <w:jc w:val="right"/>
              <w:rPr>
                <w:rFonts w:ascii="Gill Sans MT" w:hAnsi="Gill Sans MT"/>
                <w:sz w:val="18"/>
                <w:szCs w:val="18"/>
              </w:rPr>
            </w:pPr>
            <w:r w:rsidRPr="00871383">
              <w:rPr>
                <w:rFonts w:ascii="Gill Sans MT" w:hAnsi="Gill Sans MT"/>
                <w:sz w:val="18"/>
                <w:szCs w:val="18"/>
              </w:rPr>
              <w:t>(398 718)</w:t>
            </w:r>
          </w:p>
        </w:tc>
      </w:tr>
      <w:tr w:rsidR="00BF1557" w:rsidRPr="00871383" w:rsidTr="00871383">
        <w:trPr>
          <w:trHeight w:hRule="exact" w:val="235"/>
        </w:trPr>
        <w:tc>
          <w:tcPr>
            <w:tcW w:w="5392" w:type="dxa"/>
            <w:shd w:val="clear" w:color="auto" w:fill="auto"/>
          </w:tcPr>
          <w:p w:rsidR="00BF1557" w:rsidRPr="00871383" w:rsidRDefault="00BF1557" w:rsidP="00BF1557">
            <w:pPr>
              <w:pStyle w:val="TableParagraph"/>
              <w:spacing w:before="16"/>
              <w:ind w:left="85"/>
              <w:rPr>
                <w:rFonts w:ascii="Gill Sans MT" w:hAnsi="Gill Sans MT"/>
                <w:sz w:val="18"/>
                <w:szCs w:val="18"/>
              </w:rPr>
            </w:pPr>
            <w:r w:rsidRPr="00871383">
              <w:rPr>
                <w:rFonts w:ascii="Gill Sans MT" w:hAnsi="Gill Sans MT"/>
                <w:sz w:val="18"/>
                <w:szCs w:val="18"/>
              </w:rPr>
              <w:t>Other cash payments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6"/>
              <w:ind w:right="106"/>
              <w:jc w:val="right"/>
              <w:rPr>
                <w:rFonts w:ascii="Gill Sans MT" w:hAnsi="Gill Sans MT"/>
                <w:sz w:val="18"/>
                <w:szCs w:val="18"/>
              </w:rPr>
            </w:pPr>
            <w:r w:rsidRPr="00871383">
              <w:rPr>
                <w:rFonts w:ascii="Gill Sans MT" w:hAnsi="Gill Sans MT"/>
                <w:sz w:val="18"/>
                <w:szCs w:val="18"/>
              </w:rPr>
              <w:t>(10 157)</w:t>
            </w:r>
          </w:p>
        </w:tc>
        <w:tc>
          <w:tcPr>
            <w:tcW w:w="1265" w:type="dxa"/>
            <w:shd w:val="clear" w:color="auto" w:fill="auto"/>
          </w:tcPr>
          <w:p w:rsidR="00BF1557" w:rsidRPr="00871383" w:rsidRDefault="00BF1557" w:rsidP="00BF1557">
            <w:pPr>
              <w:pStyle w:val="TableParagraph"/>
              <w:spacing w:before="16"/>
              <w:ind w:right="106"/>
              <w:jc w:val="right"/>
              <w:rPr>
                <w:rFonts w:ascii="Gill Sans MT" w:hAnsi="Gill Sans MT"/>
                <w:sz w:val="18"/>
                <w:szCs w:val="18"/>
              </w:rPr>
            </w:pPr>
            <w:r w:rsidRPr="00871383">
              <w:rPr>
                <w:rFonts w:ascii="Gill Sans MT" w:hAnsi="Gill Sans MT"/>
                <w:sz w:val="18"/>
                <w:szCs w:val="18"/>
              </w:rPr>
              <w:t>(22 796)</w:t>
            </w:r>
          </w:p>
        </w:tc>
      </w:tr>
      <w:tr w:rsidR="00BF1557" w:rsidRPr="00871383" w:rsidTr="00871383">
        <w:trPr>
          <w:trHeight w:hRule="exact" w:val="244"/>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Total cash outflows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07"/>
              <w:jc w:val="right"/>
              <w:rPr>
                <w:rFonts w:ascii="Gill Sans MT" w:hAnsi="Gill Sans MT"/>
                <w:b/>
                <w:sz w:val="18"/>
                <w:szCs w:val="18"/>
              </w:rPr>
            </w:pPr>
            <w:r w:rsidRPr="00871383">
              <w:rPr>
                <w:rFonts w:ascii="Gill Sans MT" w:hAnsi="Gill Sans MT"/>
                <w:b/>
                <w:sz w:val="18"/>
                <w:szCs w:val="18"/>
              </w:rPr>
              <w:t>(1 346 203)</w:t>
            </w:r>
          </w:p>
        </w:tc>
        <w:tc>
          <w:tcPr>
            <w:tcW w:w="1265" w:type="dxa"/>
            <w:shd w:val="clear" w:color="auto" w:fill="auto"/>
          </w:tcPr>
          <w:p w:rsidR="00BF1557" w:rsidRPr="00871383" w:rsidRDefault="00BF1557" w:rsidP="00BF1557">
            <w:pPr>
              <w:pStyle w:val="TableParagraph"/>
              <w:spacing w:before="15"/>
              <w:ind w:right="106"/>
              <w:jc w:val="right"/>
              <w:rPr>
                <w:rFonts w:ascii="Gill Sans MT" w:hAnsi="Gill Sans MT"/>
                <w:b/>
                <w:sz w:val="18"/>
                <w:szCs w:val="18"/>
              </w:rPr>
            </w:pPr>
            <w:r w:rsidRPr="00871383">
              <w:rPr>
                <w:rFonts w:ascii="Gill Sans MT" w:hAnsi="Gill Sans MT"/>
                <w:b/>
                <w:sz w:val="18"/>
                <w:szCs w:val="18"/>
              </w:rPr>
              <w:t>(1 394 604)</w:t>
            </w:r>
          </w:p>
        </w:tc>
      </w:tr>
      <w:tr w:rsidR="00BF1557" w:rsidRPr="00871383" w:rsidTr="00871383">
        <w:trPr>
          <w:trHeight w:hRule="exact" w:val="366"/>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Net cash from/(used by) operating activities</w:t>
            </w:r>
          </w:p>
        </w:tc>
        <w:tc>
          <w:tcPr>
            <w:tcW w:w="1276" w:type="dxa"/>
            <w:shd w:val="clear" w:color="auto" w:fill="auto"/>
          </w:tcPr>
          <w:p w:rsidR="00BF1557" w:rsidRPr="00871383" w:rsidRDefault="00BF1557" w:rsidP="00DF6CB2">
            <w:pPr>
              <w:pStyle w:val="TableParagraph"/>
              <w:spacing w:before="23"/>
              <w:ind w:right="167"/>
              <w:jc w:val="right"/>
              <w:rPr>
                <w:rFonts w:ascii="Gill Sans MT" w:hAnsi="Gill Sans MT"/>
                <w:sz w:val="18"/>
                <w:szCs w:val="18"/>
              </w:rPr>
            </w:pPr>
            <w:r w:rsidRPr="00871383">
              <w:rPr>
                <w:rFonts w:ascii="Gill Sans MT" w:hAnsi="Gill Sans MT"/>
                <w:sz w:val="18"/>
                <w:szCs w:val="18"/>
              </w:rPr>
              <w:t>12.2</w:t>
            </w:r>
          </w:p>
        </w:tc>
        <w:tc>
          <w:tcPr>
            <w:tcW w:w="1417" w:type="dxa"/>
            <w:shd w:val="clear" w:color="auto" w:fill="auto"/>
          </w:tcPr>
          <w:p w:rsidR="00BF1557" w:rsidRPr="00871383" w:rsidRDefault="00BF1557" w:rsidP="00BF1557">
            <w:pPr>
              <w:pStyle w:val="TableParagraph"/>
              <w:spacing w:before="15"/>
              <w:ind w:right="106"/>
              <w:jc w:val="right"/>
              <w:rPr>
                <w:rFonts w:ascii="Gill Sans MT" w:hAnsi="Gill Sans MT"/>
                <w:b/>
                <w:sz w:val="18"/>
                <w:szCs w:val="18"/>
              </w:rPr>
            </w:pPr>
            <w:r w:rsidRPr="00871383">
              <w:rPr>
                <w:rFonts w:ascii="Gill Sans MT" w:hAnsi="Gill Sans MT"/>
                <w:b/>
                <w:sz w:val="18"/>
                <w:szCs w:val="18"/>
              </w:rPr>
              <w:t>( 26 811)</w:t>
            </w:r>
          </w:p>
        </w:tc>
        <w:tc>
          <w:tcPr>
            <w:tcW w:w="1265" w:type="dxa"/>
            <w:shd w:val="clear" w:color="auto" w:fill="auto"/>
          </w:tcPr>
          <w:p w:rsidR="00BF1557" w:rsidRPr="00871383" w:rsidRDefault="00BF1557" w:rsidP="00BF1557">
            <w:pPr>
              <w:pStyle w:val="TableParagraph"/>
              <w:spacing w:before="15"/>
              <w:ind w:right="164"/>
              <w:jc w:val="right"/>
              <w:rPr>
                <w:rFonts w:ascii="Gill Sans MT" w:hAnsi="Gill Sans MT"/>
                <w:b/>
                <w:sz w:val="18"/>
                <w:szCs w:val="18"/>
              </w:rPr>
            </w:pPr>
            <w:r w:rsidRPr="00871383">
              <w:rPr>
                <w:rFonts w:ascii="Gill Sans MT" w:hAnsi="Gill Sans MT"/>
                <w:b/>
                <w:sz w:val="18"/>
                <w:szCs w:val="18"/>
              </w:rPr>
              <w:t>11 925</w:t>
            </w:r>
          </w:p>
        </w:tc>
      </w:tr>
      <w:tr w:rsidR="00BF1557" w:rsidRPr="00537B2C" w:rsidTr="00871383">
        <w:trPr>
          <w:trHeight w:hRule="exact" w:val="490"/>
        </w:trPr>
        <w:tc>
          <w:tcPr>
            <w:tcW w:w="5392" w:type="dxa"/>
            <w:shd w:val="clear" w:color="auto" w:fill="auto"/>
          </w:tcPr>
          <w:p w:rsidR="00BF1557" w:rsidRPr="00537B2C" w:rsidRDefault="00BF1557" w:rsidP="00537B2C">
            <w:pPr>
              <w:pStyle w:val="Heading6"/>
            </w:pPr>
            <w:r w:rsidRPr="00537B2C">
              <w:t>Cash flows from investing activities</w:t>
            </w:r>
          </w:p>
        </w:tc>
        <w:tc>
          <w:tcPr>
            <w:tcW w:w="1276" w:type="dxa"/>
            <w:shd w:val="clear" w:color="auto" w:fill="auto"/>
          </w:tcPr>
          <w:p w:rsidR="00BF1557" w:rsidRPr="00537B2C" w:rsidRDefault="00BF1557" w:rsidP="00DF6CB2">
            <w:pPr>
              <w:pStyle w:val="Heading6"/>
              <w:jc w:val="right"/>
            </w:pPr>
          </w:p>
        </w:tc>
        <w:tc>
          <w:tcPr>
            <w:tcW w:w="1417" w:type="dxa"/>
            <w:shd w:val="clear" w:color="auto" w:fill="auto"/>
          </w:tcPr>
          <w:p w:rsidR="00BF1557" w:rsidRPr="00537B2C" w:rsidRDefault="00BF1557" w:rsidP="00537B2C">
            <w:pPr>
              <w:pStyle w:val="Heading6"/>
            </w:pPr>
          </w:p>
        </w:tc>
        <w:tc>
          <w:tcPr>
            <w:tcW w:w="1265" w:type="dxa"/>
            <w:shd w:val="clear" w:color="auto" w:fill="auto"/>
          </w:tcPr>
          <w:p w:rsidR="00BF1557" w:rsidRPr="00537B2C" w:rsidRDefault="00BF1557" w:rsidP="00537B2C">
            <w:pPr>
              <w:pStyle w:val="Heading6"/>
            </w:pPr>
          </w:p>
        </w:tc>
      </w:tr>
      <w:tr w:rsidR="00BF1557" w:rsidRPr="00537B2C" w:rsidTr="00871383">
        <w:trPr>
          <w:trHeight w:hRule="exact" w:val="427"/>
        </w:trPr>
        <w:tc>
          <w:tcPr>
            <w:tcW w:w="5392" w:type="dxa"/>
            <w:shd w:val="clear" w:color="auto" w:fill="auto"/>
          </w:tcPr>
          <w:p w:rsidR="00BF1557" w:rsidRPr="00537B2C" w:rsidRDefault="00BF1557" w:rsidP="00537B2C">
            <w:pPr>
              <w:pStyle w:val="Heading7"/>
            </w:pPr>
            <w:r w:rsidRPr="00537B2C">
              <w:t>Cash inflows</w:t>
            </w:r>
          </w:p>
        </w:tc>
        <w:tc>
          <w:tcPr>
            <w:tcW w:w="1276" w:type="dxa"/>
            <w:shd w:val="clear" w:color="auto" w:fill="auto"/>
          </w:tcPr>
          <w:p w:rsidR="00BF1557" w:rsidRPr="00537B2C" w:rsidRDefault="00BF1557" w:rsidP="00DF6CB2">
            <w:pPr>
              <w:pStyle w:val="Heading7"/>
              <w:jc w:val="right"/>
            </w:pPr>
          </w:p>
        </w:tc>
        <w:tc>
          <w:tcPr>
            <w:tcW w:w="1417" w:type="dxa"/>
            <w:shd w:val="clear" w:color="auto" w:fill="auto"/>
          </w:tcPr>
          <w:p w:rsidR="00BF1557" w:rsidRPr="00537B2C" w:rsidRDefault="00BF1557" w:rsidP="00537B2C">
            <w:pPr>
              <w:pStyle w:val="Heading7"/>
            </w:pPr>
          </w:p>
        </w:tc>
        <w:tc>
          <w:tcPr>
            <w:tcW w:w="1265" w:type="dxa"/>
            <w:shd w:val="clear" w:color="auto" w:fill="auto"/>
          </w:tcPr>
          <w:p w:rsidR="00BF1557" w:rsidRPr="00537B2C" w:rsidRDefault="00BF1557" w:rsidP="00537B2C">
            <w:pPr>
              <w:pStyle w:val="Heading7"/>
            </w:pPr>
          </w:p>
        </w:tc>
      </w:tr>
      <w:tr w:rsidR="00BF1557" w:rsidRPr="00871383" w:rsidTr="00871383">
        <w:trPr>
          <w:trHeight w:hRule="exact" w:val="233"/>
        </w:trPr>
        <w:tc>
          <w:tcPr>
            <w:tcW w:w="5392" w:type="dxa"/>
            <w:shd w:val="clear" w:color="auto" w:fill="auto"/>
          </w:tcPr>
          <w:p w:rsidR="00BF1557" w:rsidRPr="00871383" w:rsidRDefault="00BF1557" w:rsidP="00BF1557">
            <w:pPr>
              <w:pStyle w:val="TableParagraph"/>
              <w:spacing w:before="15"/>
              <w:ind w:left="85"/>
              <w:rPr>
                <w:rFonts w:ascii="Gill Sans MT" w:hAnsi="Gill Sans MT"/>
                <w:sz w:val="18"/>
                <w:szCs w:val="18"/>
              </w:rPr>
            </w:pPr>
            <w:r w:rsidRPr="00871383">
              <w:rPr>
                <w:rFonts w:ascii="Gill Sans MT" w:hAnsi="Gill Sans MT"/>
                <w:sz w:val="18"/>
                <w:szCs w:val="18"/>
              </w:rPr>
              <w:t>Proceeds from the disposal of non-financial assets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sz w:val="18"/>
                <w:szCs w:val="18"/>
              </w:rPr>
            </w:pPr>
            <w:r w:rsidRPr="00871383">
              <w:rPr>
                <w:rFonts w:ascii="Gill Sans MT" w:hAnsi="Gill Sans MT"/>
                <w:sz w:val="18"/>
                <w:szCs w:val="18"/>
              </w:rPr>
              <w:t>0</w:t>
            </w:r>
          </w:p>
        </w:tc>
        <w:tc>
          <w:tcPr>
            <w:tcW w:w="1265" w:type="dxa"/>
            <w:shd w:val="clear" w:color="auto" w:fill="auto"/>
          </w:tcPr>
          <w:p w:rsidR="00BF1557" w:rsidRPr="00871383" w:rsidRDefault="00BF1557" w:rsidP="00BF1557">
            <w:pPr>
              <w:pStyle w:val="TableParagraph"/>
              <w:spacing w:before="15"/>
              <w:ind w:right="157"/>
              <w:jc w:val="right"/>
              <w:rPr>
                <w:rFonts w:ascii="Gill Sans MT" w:hAnsi="Gill Sans MT"/>
                <w:sz w:val="18"/>
                <w:szCs w:val="18"/>
              </w:rPr>
            </w:pPr>
            <w:r w:rsidRPr="00871383">
              <w:rPr>
                <w:rFonts w:ascii="Gill Sans MT" w:hAnsi="Gill Sans MT"/>
                <w:sz w:val="18"/>
                <w:szCs w:val="18"/>
              </w:rPr>
              <w:t>80</w:t>
            </w:r>
          </w:p>
        </w:tc>
      </w:tr>
      <w:tr w:rsidR="00BF1557" w:rsidRPr="00871383" w:rsidTr="00871383">
        <w:trPr>
          <w:trHeight w:hRule="exact" w:val="248"/>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Total cash inflows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b/>
                <w:sz w:val="18"/>
                <w:szCs w:val="18"/>
              </w:rPr>
            </w:pPr>
            <w:r w:rsidRPr="00871383">
              <w:rPr>
                <w:rFonts w:ascii="Gill Sans MT" w:hAnsi="Gill Sans MT"/>
                <w:b/>
                <w:sz w:val="18"/>
                <w:szCs w:val="18"/>
              </w:rPr>
              <w:t>0</w:t>
            </w:r>
          </w:p>
        </w:tc>
        <w:tc>
          <w:tcPr>
            <w:tcW w:w="1265" w:type="dxa"/>
            <w:shd w:val="clear" w:color="auto" w:fill="auto"/>
          </w:tcPr>
          <w:p w:rsidR="00BF1557" w:rsidRPr="00871383" w:rsidRDefault="00BF1557" w:rsidP="00BF1557">
            <w:pPr>
              <w:pStyle w:val="TableParagraph"/>
              <w:spacing w:before="15"/>
              <w:ind w:right="160"/>
              <w:jc w:val="right"/>
              <w:rPr>
                <w:rFonts w:ascii="Gill Sans MT" w:hAnsi="Gill Sans MT"/>
                <w:b/>
                <w:sz w:val="18"/>
                <w:szCs w:val="18"/>
              </w:rPr>
            </w:pPr>
            <w:r w:rsidRPr="00871383">
              <w:rPr>
                <w:rFonts w:ascii="Gill Sans MT" w:hAnsi="Gill Sans MT"/>
                <w:b/>
                <w:sz w:val="18"/>
                <w:szCs w:val="18"/>
              </w:rPr>
              <w:t>80</w:t>
            </w:r>
          </w:p>
        </w:tc>
      </w:tr>
      <w:tr w:rsidR="00BF1557" w:rsidRPr="00871383" w:rsidTr="00871383">
        <w:trPr>
          <w:trHeight w:hRule="exact" w:val="483"/>
        </w:trPr>
        <w:tc>
          <w:tcPr>
            <w:tcW w:w="5392" w:type="dxa"/>
            <w:shd w:val="clear" w:color="auto" w:fill="auto"/>
          </w:tcPr>
          <w:p w:rsidR="00BF1557" w:rsidRPr="00871383" w:rsidRDefault="00BF1557" w:rsidP="00871383">
            <w:pPr>
              <w:pStyle w:val="Heading7"/>
            </w:pPr>
            <w:r w:rsidRPr="00871383">
              <w:t>Cash outflows</w:t>
            </w:r>
          </w:p>
        </w:tc>
        <w:tc>
          <w:tcPr>
            <w:tcW w:w="1276" w:type="dxa"/>
            <w:shd w:val="clear" w:color="auto" w:fill="auto"/>
          </w:tcPr>
          <w:p w:rsidR="00BF1557" w:rsidRPr="00871383" w:rsidRDefault="00BF1557" w:rsidP="00DF6CB2">
            <w:pPr>
              <w:pStyle w:val="Heading7"/>
              <w:jc w:val="right"/>
            </w:pPr>
          </w:p>
        </w:tc>
        <w:tc>
          <w:tcPr>
            <w:tcW w:w="1417" w:type="dxa"/>
            <w:shd w:val="clear" w:color="auto" w:fill="auto"/>
          </w:tcPr>
          <w:p w:rsidR="00BF1557" w:rsidRPr="00871383" w:rsidRDefault="00BF1557" w:rsidP="00871383">
            <w:pPr>
              <w:pStyle w:val="Heading7"/>
            </w:pPr>
          </w:p>
        </w:tc>
        <w:tc>
          <w:tcPr>
            <w:tcW w:w="1265" w:type="dxa"/>
            <w:shd w:val="clear" w:color="auto" w:fill="auto"/>
          </w:tcPr>
          <w:p w:rsidR="00BF1557" w:rsidRPr="00871383" w:rsidRDefault="00BF1557" w:rsidP="00871383">
            <w:pPr>
              <w:pStyle w:val="Heading7"/>
            </w:pPr>
          </w:p>
        </w:tc>
      </w:tr>
      <w:tr w:rsidR="00BF1557" w:rsidRPr="00871383" w:rsidTr="00871383">
        <w:trPr>
          <w:trHeight w:hRule="exact" w:val="233"/>
        </w:trPr>
        <w:tc>
          <w:tcPr>
            <w:tcW w:w="5392" w:type="dxa"/>
            <w:shd w:val="clear" w:color="auto" w:fill="auto"/>
          </w:tcPr>
          <w:p w:rsidR="00BF1557" w:rsidRPr="00871383" w:rsidRDefault="00BF1557" w:rsidP="00BF1557">
            <w:pPr>
              <w:pStyle w:val="TableParagraph"/>
              <w:spacing w:before="15"/>
              <w:ind w:left="85"/>
              <w:rPr>
                <w:rFonts w:ascii="Gill Sans MT" w:hAnsi="Gill Sans MT"/>
                <w:sz w:val="18"/>
                <w:szCs w:val="18"/>
              </w:rPr>
            </w:pPr>
            <w:r w:rsidRPr="00871383">
              <w:rPr>
                <w:rFonts w:ascii="Gill Sans MT" w:hAnsi="Gill Sans MT"/>
                <w:sz w:val="18"/>
                <w:szCs w:val="18"/>
              </w:rPr>
              <w:t>Payment for acquisition of non-financial assets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10"/>
              <w:jc w:val="right"/>
              <w:rPr>
                <w:rFonts w:ascii="Gill Sans MT" w:hAnsi="Gill Sans MT"/>
                <w:sz w:val="18"/>
                <w:szCs w:val="18"/>
              </w:rPr>
            </w:pPr>
            <w:r w:rsidRPr="00871383">
              <w:rPr>
                <w:rFonts w:ascii="Gill Sans MT" w:hAnsi="Gill Sans MT"/>
                <w:sz w:val="18"/>
                <w:szCs w:val="18"/>
              </w:rPr>
              <w:t>(3 552)</w:t>
            </w:r>
          </w:p>
        </w:tc>
        <w:tc>
          <w:tcPr>
            <w:tcW w:w="1265" w:type="dxa"/>
            <w:shd w:val="clear" w:color="auto" w:fill="auto"/>
          </w:tcPr>
          <w:p w:rsidR="00BF1557" w:rsidRPr="00871383" w:rsidRDefault="00BF1557" w:rsidP="00BF1557">
            <w:pPr>
              <w:pStyle w:val="TableParagraph"/>
              <w:spacing w:before="15"/>
              <w:ind w:right="106"/>
              <w:jc w:val="right"/>
              <w:rPr>
                <w:rFonts w:ascii="Gill Sans MT" w:hAnsi="Gill Sans MT"/>
                <w:sz w:val="18"/>
                <w:szCs w:val="18"/>
              </w:rPr>
            </w:pPr>
            <w:r w:rsidRPr="00871383">
              <w:rPr>
                <w:rFonts w:ascii="Gill Sans MT" w:hAnsi="Gill Sans MT"/>
                <w:sz w:val="18"/>
                <w:szCs w:val="18"/>
              </w:rPr>
              <w:t>(1 959)</w:t>
            </w:r>
          </w:p>
        </w:tc>
      </w:tr>
      <w:tr w:rsidR="00BF1557" w:rsidRPr="00871383" w:rsidTr="00871383">
        <w:trPr>
          <w:trHeight w:hRule="exact" w:val="244"/>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Total cash outflows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11"/>
              <w:jc w:val="right"/>
              <w:rPr>
                <w:rFonts w:ascii="Gill Sans MT" w:hAnsi="Gill Sans MT"/>
                <w:b/>
                <w:sz w:val="18"/>
                <w:szCs w:val="18"/>
              </w:rPr>
            </w:pPr>
            <w:r w:rsidRPr="00871383">
              <w:rPr>
                <w:rFonts w:ascii="Gill Sans MT" w:hAnsi="Gill Sans MT"/>
                <w:b/>
                <w:sz w:val="18"/>
                <w:szCs w:val="18"/>
              </w:rPr>
              <w:t>(3 552)</w:t>
            </w:r>
          </w:p>
        </w:tc>
        <w:tc>
          <w:tcPr>
            <w:tcW w:w="1265" w:type="dxa"/>
            <w:shd w:val="clear" w:color="auto" w:fill="auto"/>
          </w:tcPr>
          <w:p w:rsidR="00BF1557" w:rsidRPr="00871383" w:rsidRDefault="00BF1557" w:rsidP="00BF1557">
            <w:pPr>
              <w:pStyle w:val="TableParagraph"/>
              <w:spacing w:before="15"/>
              <w:ind w:right="106"/>
              <w:jc w:val="right"/>
              <w:rPr>
                <w:rFonts w:ascii="Gill Sans MT" w:hAnsi="Gill Sans MT"/>
                <w:b/>
                <w:sz w:val="18"/>
                <w:szCs w:val="18"/>
              </w:rPr>
            </w:pPr>
            <w:r w:rsidRPr="00871383">
              <w:rPr>
                <w:rFonts w:ascii="Gill Sans MT" w:hAnsi="Gill Sans MT"/>
                <w:b/>
                <w:sz w:val="18"/>
                <w:szCs w:val="18"/>
              </w:rPr>
              <w:t>(1 959)</w:t>
            </w:r>
          </w:p>
        </w:tc>
      </w:tr>
      <w:tr w:rsidR="00BF1557" w:rsidRPr="00871383" w:rsidTr="00871383">
        <w:trPr>
          <w:trHeight w:hRule="exact" w:val="366"/>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Net cash from/(used by) investing activities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11"/>
              <w:jc w:val="right"/>
              <w:rPr>
                <w:rFonts w:ascii="Gill Sans MT" w:hAnsi="Gill Sans MT"/>
                <w:b/>
                <w:sz w:val="18"/>
                <w:szCs w:val="18"/>
              </w:rPr>
            </w:pPr>
            <w:r w:rsidRPr="00871383">
              <w:rPr>
                <w:rFonts w:ascii="Gill Sans MT" w:hAnsi="Gill Sans MT"/>
                <w:b/>
                <w:sz w:val="18"/>
                <w:szCs w:val="18"/>
              </w:rPr>
              <w:t>(3 552)</w:t>
            </w:r>
          </w:p>
        </w:tc>
        <w:tc>
          <w:tcPr>
            <w:tcW w:w="1265" w:type="dxa"/>
            <w:shd w:val="clear" w:color="auto" w:fill="auto"/>
          </w:tcPr>
          <w:p w:rsidR="00BF1557" w:rsidRPr="00871383" w:rsidRDefault="00BF1557" w:rsidP="00BF1557">
            <w:pPr>
              <w:pStyle w:val="TableParagraph"/>
              <w:spacing w:before="15"/>
              <w:ind w:right="107"/>
              <w:jc w:val="right"/>
              <w:rPr>
                <w:rFonts w:ascii="Gill Sans MT" w:hAnsi="Gill Sans MT"/>
                <w:b/>
                <w:sz w:val="18"/>
                <w:szCs w:val="18"/>
              </w:rPr>
            </w:pPr>
            <w:r w:rsidRPr="00871383">
              <w:rPr>
                <w:rFonts w:ascii="Gill Sans MT" w:hAnsi="Gill Sans MT"/>
                <w:b/>
                <w:sz w:val="18"/>
                <w:szCs w:val="18"/>
              </w:rPr>
              <w:t>(1 879)</w:t>
            </w:r>
          </w:p>
        </w:tc>
      </w:tr>
      <w:tr w:rsidR="00BF1557" w:rsidRPr="00871383" w:rsidTr="00871383">
        <w:trPr>
          <w:trHeight w:hRule="exact" w:val="444"/>
        </w:trPr>
        <w:tc>
          <w:tcPr>
            <w:tcW w:w="5392" w:type="dxa"/>
            <w:shd w:val="clear" w:color="auto" w:fill="auto"/>
          </w:tcPr>
          <w:p w:rsidR="00BF1557" w:rsidRPr="00871383" w:rsidRDefault="00BF1557" w:rsidP="00871383">
            <w:pPr>
              <w:pStyle w:val="Heading6"/>
            </w:pPr>
            <w:r w:rsidRPr="00871383">
              <w:t>Cash flows from financing activities</w:t>
            </w:r>
          </w:p>
        </w:tc>
        <w:tc>
          <w:tcPr>
            <w:tcW w:w="1276" w:type="dxa"/>
            <w:shd w:val="clear" w:color="auto" w:fill="auto"/>
          </w:tcPr>
          <w:p w:rsidR="00BF1557" w:rsidRPr="00871383" w:rsidRDefault="00BF1557" w:rsidP="00DF6CB2">
            <w:pPr>
              <w:pStyle w:val="Heading6"/>
              <w:jc w:val="right"/>
            </w:pPr>
          </w:p>
        </w:tc>
        <w:tc>
          <w:tcPr>
            <w:tcW w:w="1417" w:type="dxa"/>
            <w:shd w:val="clear" w:color="auto" w:fill="auto"/>
          </w:tcPr>
          <w:p w:rsidR="00BF1557" w:rsidRPr="00871383" w:rsidRDefault="00BF1557" w:rsidP="00871383">
            <w:pPr>
              <w:pStyle w:val="Heading6"/>
            </w:pPr>
          </w:p>
        </w:tc>
        <w:tc>
          <w:tcPr>
            <w:tcW w:w="1265" w:type="dxa"/>
            <w:shd w:val="clear" w:color="auto" w:fill="auto"/>
          </w:tcPr>
          <w:p w:rsidR="00BF1557" w:rsidRPr="00871383" w:rsidRDefault="00BF1557" w:rsidP="00871383">
            <w:pPr>
              <w:pStyle w:val="Heading6"/>
            </w:pPr>
          </w:p>
        </w:tc>
      </w:tr>
      <w:tr w:rsidR="00BF1557" w:rsidRPr="00871383" w:rsidTr="00871383">
        <w:trPr>
          <w:trHeight w:hRule="exact" w:val="423"/>
        </w:trPr>
        <w:tc>
          <w:tcPr>
            <w:tcW w:w="5392" w:type="dxa"/>
            <w:shd w:val="clear" w:color="auto" w:fill="auto"/>
          </w:tcPr>
          <w:p w:rsidR="00BF1557" w:rsidRPr="00871383" w:rsidRDefault="00BF1557" w:rsidP="00871383">
            <w:pPr>
              <w:pStyle w:val="Heading7"/>
            </w:pPr>
            <w:r w:rsidRPr="00871383">
              <w:t>Cash outflows</w:t>
            </w:r>
          </w:p>
        </w:tc>
        <w:tc>
          <w:tcPr>
            <w:tcW w:w="1276" w:type="dxa"/>
            <w:shd w:val="clear" w:color="auto" w:fill="auto"/>
          </w:tcPr>
          <w:p w:rsidR="00BF1557" w:rsidRPr="00871383" w:rsidRDefault="00BF1557" w:rsidP="00DF6CB2">
            <w:pPr>
              <w:pStyle w:val="Heading7"/>
              <w:jc w:val="right"/>
            </w:pPr>
          </w:p>
        </w:tc>
        <w:tc>
          <w:tcPr>
            <w:tcW w:w="1417" w:type="dxa"/>
            <w:shd w:val="clear" w:color="auto" w:fill="auto"/>
          </w:tcPr>
          <w:p w:rsidR="00BF1557" w:rsidRPr="00871383" w:rsidRDefault="00BF1557" w:rsidP="00871383">
            <w:pPr>
              <w:pStyle w:val="Heading7"/>
            </w:pPr>
          </w:p>
        </w:tc>
        <w:tc>
          <w:tcPr>
            <w:tcW w:w="1265" w:type="dxa"/>
            <w:shd w:val="clear" w:color="auto" w:fill="auto"/>
          </w:tcPr>
          <w:p w:rsidR="00BF1557" w:rsidRPr="00871383" w:rsidRDefault="00BF1557" w:rsidP="00871383">
            <w:pPr>
              <w:pStyle w:val="Heading7"/>
            </w:pPr>
          </w:p>
        </w:tc>
      </w:tr>
      <w:tr w:rsidR="00BF1557" w:rsidRPr="00871383" w:rsidTr="00871383">
        <w:trPr>
          <w:trHeight w:hRule="exact" w:val="233"/>
        </w:trPr>
        <w:tc>
          <w:tcPr>
            <w:tcW w:w="5392" w:type="dxa"/>
            <w:shd w:val="clear" w:color="auto" w:fill="auto"/>
          </w:tcPr>
          <w:p w:rsidR="00BF1557" w:rsidRPr="00871383" w:rsidRDefault="00BF1557" w:rsidP="00BF1557">
            <w:pPr>
              <w:pStyle w:val="TableParagraph"/>
              <w:spacing w:before="15"/>
              <w:ind w:left="85"/>
              <w:rPr>
                <w:rFonts w:ascii="Gill Sans MT" w:hAnsi="Gill Sans MT"/>
                <w:sz w:val="18"/>
                <w:szCs w:val="18"/>
              </w:rPr>
            </w:pPr>
            <w:r w:rsidRPr="00871383">
              <w:rPr>
                <w:rFonts w:ascii="Gill Sans MT" w:hAnsi="Gill Sans MT"/>
                <w:sz w:val="18"/>
                <w:szCs w:val="18"/>
              </w:rPr>
              <w:t>Repayment of borrowings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05"/>
              <w:jc w:val="right"/>
              <w:rPr>
                <w:rFonts w:ascii="Gill Sans MT" w:hAnsi="Gill Sans MT"/>
                <w:sz w:val="18"/>
                <w:szCs w:val="18"/>
              </w:rPr>
            </w:pPr>
            <w:r w:rsidRPr="00871383">
              <w:rPr>
                <w:rFonts w:ascii="Gill Sans MT" w:hAnsi="Gill Sans MT"/>
                <w:sz w:val="18"/>
                <w:szCs w:val="18"/>
              </w:rPr>
              <w:t>(1 667)</w:t>
            </w:r>
          </w:p>
        </w:tc>
        <w:tc>
          <w:tcPr>
            <w:tcW w:w="1265" w:type="dxa"/>
            <w:shd w:val="clear" w:color="auto" w:fill="auto"/>
          </w:tcPr>
          <w:p w:rsidR="00BF1557" w:rsidRPr="00871383" w:rsidRDefault="00BF1557" w:rsidP="00BF1557">
            <w:pPr>
              <w:pStyle w:val="TableParagraph"/>
              <w:spacing w:before="15"/>
              <w:ind w:right="105"/>
              <w:jc w:val="right"/>
              <w:rPr>
                <w:rFonts w:ascii="Gill Sans MT" w:hAnsi="Gill Sans MT"/>
                <w:sz w:val="18"/>
                <w:szCs w:val="18"/>
              </w:rPr>
            </w:pPr>
            <w:r w:rsidRPr="00871383">
              <w:rPr>
                <w:rFonts w:ascii="Gill Sans MT" w:hAnsi="Gill Sans MT"/>
                <w:sz w:val="18"/>
                <w:szCs w:val="18"/>
              </w:rPr>
              <w:t>(5 000)</w:t>
            </w:r>
          </w:p>
        </w:tc>
      </w:tr>
      <w:tr w:rsidR="00BF1557" w:rsidRPr="00871383" w:rsidTr="00871383">
        <w:trPr>
          <w:trHeight w:hRule="exact" w:val="244"/>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Total cash outflows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07"/>
              <w:jc w:val="right"/>
              <w:rPr>
                <w:rFonts w:ascii="Gill Sans MT" w:hAnsi="Gill Sans MT"/>
                <w:b/>
                <w:sz w:val="18"/>
                <w:szCs w:val="18"/>
              </w:rPr>
            </w:pPr>
            <w:r w:rsidRPr="00871383">
              <w:rPr>
                <w:rFonts w:ascii="Gill Sans MT" w:hAnsi="Gill Sans MT"/>
                <w:b/>
                <w:sz w:val="18"/>
                <w:szCs w:val="18"/>
              </w:rPr>
              <w:t>(1 667)</w:t>
            </w:r>
          </w:p>
        </w:tc>
        <w:tc>
          <w:tcPr>
            <w:tcW w:w="1265" w:type="dxa"/>
            <w:shd w:val="clear" w:color="auto" w:fill="auto"/>
          </w:tcPr>
          <w:p w:rsidR="00BF1557" w:rsidRPr="00871383" w:rsidRDefault="00BF1557" w:rsidP="00BF1557">
            <w:pPr>
              <w:pStyle w:val="TableParagraph"/>
              <w:spacing w:before="15"/>
              <w:ind w:right="105"/>
              <w:jc w:val="right"/>
              <w:rPr>
                <w:rFonts w:ascii="Gill Sans MT" w:hAnsi="Gill Sans MT"/>
                <w:b/>
                <w:sz w:val="18"/>
                <w:szCs w:val="18"/>
              </w:rPr>
            </w:pPr>
            <w:r w:rsidRPr="00871383">
              <w:rPr>
                <w:rFonts w:ascii="Gill Sans MT" w:hAnsi="Gill Sans MT"/>
                <w:b/>
                <w:sz w:val="18"/>
                <w:szCs w:val="18"/>
              </w:rPr>
              <w:t>(5 000)</w:t>
            </w:r>
          </w:p>
        </w:tc>
      </w:tr>
      <w:tr w:rsidR="00BF1557" w:rsidRPr="00871383" w:rsidTr="00871383">
        <w:trPr>
          <w:trHeight w:hRule="exact" w:val="370"/>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Net cash from/(used by) financing activities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06"/>
              <w:jc w:val="right"/>
              <w:rPr>
                <w:rFonts w:ascii="Gill Sans MT" w:hAnsi="Gill Sans MT"/>
                <w:b/>
                <w:sz w:val="18"/>
                <w:szCs w:val="18"/>
              </w:rPr>
            </w:pPr>
            <w:r w:rsidRPr="00871383">
              <w:rPr>
                <w:rFonts w:ascii="Gill Sans MT" w:hAnsi="Gill Sans MT"/>
                <w:b/>
                <w:sz w:val="18"/>
                <w:szCs w:val="18"/>
              </w:rPr>
              <w:t>(1 667)</w:t>
            </w:r>
          </w:p>
        </w:tc>
        <w:tc>
          <w:tcPr>
            <w:tcW w:w="1265" w:type="dxa"/>
            <w:shd w:val="clear" w:color="auto" w:fill="auto"/>
          </w:tcPr>
          <w:p w:rsidR="00BF1557" w:rsidRPr="00871383" w:rsidRDefault="00BF1557" w:rsidP="00BF1557">
            <w:pPr>
              <w:pStyle w:val="TableParagraph"/>
              <w:spacing w:before="15"/>
              <w:ind w:right="106"/>
              <w:jc w:val="right"/>
              <w:rPr>
                <w:rFonts w:ascii="Gill Sans MT" w:hAnsi="Gill Sans MT"/>
                <w:b/>
                <w:sz w:val="18"/>
                <w:szCs w:val="18"/>
              </w:rPr>
            </w:pPr>
            <w:r w:rsidRPr="00871383">
              <w:rPr>
                <w:rFonts w:ascii="Gill Sans MT" w:hAnsi="Gill Sans MT"/>
                <w:b/>
                <w:sz w:val="18"/>
                <w:szCs w:val="18"/>
              </w:rPr>
              <w:t>(5 000)</w:t>
            </w:r>
          </w:p>
        </w:tc>
      </w:tr>
      <w:tr w:rsidR="00BF1557" w:rsidRPr="00871383" w:rsidTr="00871383">
        <w:trPr>
          <w:trHeight w:hRule="exact" w:val="363"/>
        </w:trPr>
        <w:tc>
          <w:tcPr>
            <w:tcW w:w="5392" w:type="dxa"/>
            <w:shd w:val="clear" w:color="auto" w:fill="auto"/>
          </w:tcPr>
          <w:p w:rsidR="00BF1557" w:rsidRPr="00871383" w:rsidRDefault="00BF1557" w:rsidP="00BF1557">
            <w:pPr>
              <w:pStyle w:val="TableParagraph"/>
              <w:spacing w:before="136"/>
              <w:ind w:left="85"/>
              <w:rPr>
                <w:rFonts w:ascii="Gill Sans MT" w:hAnsi="Gill Sans MT"/>
                <w:b/>
                <w:sz w:val="18"/>
                <w:szCs w:val="18"/>
              </w:rPr>
            </w:pPr>
            <w:r w:rsidRPr="00871383">
              <w:rPr>
                <w:rFonts w:ascii="Gill Sans MT" w:hAnsi="Gill Sans MT"/>
                <w:b/>
                <w:sz w:val="18"/>
                <w:szCs w:val="18"/>
              </w:rPr>
              <w:t>Net increase/(decrease) in cash and cash equivalents held</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36"/>
              <w:ind w:right="106"/>
              <w:jc w:val="right"/>
              <w:rPr>
                <w:rFonts w:ascii="Gill Sans MT" w:hAnsi="Gill Sans MT"/>
                <w:b/>
                <w:sz w:val="18"/>
                <w:szCs w:val="18"/>
              </w:rPr>
            </w:pPr>
            <w:r w:rsidRPr="00871383">
              <w:rPr>
                <w:rFonts w:ascii="Gill Sans MT" w:hAnsi="Gill Sans MT"/>
                <w:b/>
                <w:sz w:val="18"/>
                <w:szCs w:val="18"/>
              </w:rPr>
              <w:t>(32 030)</w:t>
            </w:r>
          </w:p>
        </w:tc>
        <w:tc>
          <w:tcPr>
            <w:tcW w:w="1265" w:type="dxa"/>
            <w:shd w:val="clear" w:color="auto" w:fill="auto"/>
          </w:tcPr>
          <w:p w:rsidR="00BF1557" w:rsidRPr="00871383" w:rsidRDefault="00BF1557" w:rsidP="00BF1557">
            <w:pPr>
              <w:pStyle w:val="TableParagraph"/>
              <w:spacing w:before="136"/>
              <w:ind w:right="162"/>
              <w:jc w:val="right"/>
              <w:rPr>
                <w:rFonts w:ascii="Gill Sans MT" w:hAnsi="Gill Sans MT"/>
                <w:b/>
                <w:sz w:val="18"/>
                <w:szCs w:val="18"/>
              </w:rPr>
            </w:pPr>
            <w:r w:rsidRPr="00871383">
              <w:rPr>
                <w:rFonts w:ascii="Gill Sans MT" w:hAnsi="Gill Sans MT"/>
                <w:b/>
                <w:sz w:val="18"/>
                <w:szCs w:val="18"/>
              </w:rPr>
              <w:t>5 046</w:t>
            </w:r>
          </w:p>
        </w:tc>
      </w:tr>
      <w:tr w:rsidR="00BF1557" w:rsidRPr="00871383" w:rsidTr="00871383">
        <w:trPr>
          <w:trHeight w:hRule="exact" w:val="248"/>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Cash transferred in on establishment of THS</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b/>
                <w:sz w:val="18"/>
                <w:szCs w:val="18"/>
              </w:rPr>
            </w:pPr>
            <w:r w:rsidRPr="00871383">
              <w:rPr>
                <w:rFonts w:ascii="Gill Sans MT" w:hAnsi="Gill Sans MT"/>
                <w:b/>
                <w:sz w:val="18"/>
                <w:szCs w:val="18"/>
              </w:rPr>
              <w:t>75 985</w:t>
            </w:r>
          </w:p>
        </w:tc>
        <w:tc>
          <w:tcPr>
            <w:tcW w:w="1265" w:type="dxa"/>
            <w:shd w:val="clear" w:color="auto" w:fill="auto"/>
          </w:tcPr>
          <w:p w:rsidR="00BF1557" w:rsidRPr="00871383" w:rsidRDefault="00BF1557" w:rsidP="00BF1557">
            <w:pPr>
              <w:pStyle w:val="TableParagraph"/>
              <w:spacing w:before="15"/>
              <w:ind w:right="166"/>
              <w:jc w:val="right"/>
              <w:rPr>
                <w:rFonts w:ascii="Gill Sans MT" w:hAnsi="Gill Sans MT"/>
                <w:b/>
                <w:sz w:val="18"/>
                <w:szCs w:val="18"/>
              </w:rPr>
            </w:pPr>
            <w:r w:rsidRPr="00871383">
              <w:rPr>
                <w:rFonts w:ascii="Gill Sans MT" w:hAnsi="Gill Sans MT"/>
                <w:b/>
                <w:sz w:val="18"/>
                <w:szCs w:val="18"/>
              </w:rPr>
              <w:t>84 453</w:t>
            </w:r>
          </w:p>
        </w:tc>
      </w:tr>
      <w:tr w:rsidR="00BF1557" w:rsidRPr="00871383" w:rsidTr="00871383">
        <w:trPr>
          <w:trHeight w:hRule="exact" w:val="241"/>
        </w:trPr>
        <w:tc>
          <w:tcPr>
            <w:tcW w:w="5392" w:type="dxa"/>
            <w:shd w:val="clear" w:color="auto" w:fill="auto"/>
          </w:tcPr>
          <w:p w:rsidR="00BF1557" w:rsidRPr="00871383" w:rsidRDefault="00BF1557" w:rsidP="00BF1557">
            <w:pPr>
              <w:pStyle w:val="TableParagraph"/>
              <w:spacing w:before="14"/>
              <w:ind w:left="85"/>
              <w:rPr>
                <w:rFonts w:ascii="Gill Sans MT" w:hAnsi="Gill Sans MT"/>
                <w:b/>
                <w:sz w:val="18"/>
                <w:szCs w:val="18"/>
              </w:rPr>
            </w:pPr>
            <w:r w:rsidRPr="00871383">
              <w:rPr>
                <w:rFonts w:ascii="Gill Sans MT" w:hAnsi="Gill Sans MT"/>
                <w:b/>
                <w:sz w:val="18"/>
                <w:szCs w:val="18"/>
              </w:rPr>
              <w:t>Cash transferred in due to restructure</w:t>
            </w:r>
          </w:p>
        </w:tc>
        <w:tc>
          <w:tcPr>
            <w:tcW w:w="1276" w:type="dxa"/>
            <w:shd w:val="clear" w:color="auto" w:fill="auto"/>
          </w:tcPr>
          <w:p w:rsidR="00BF1557" w:rsidRPr="00871383" w:rsidRDefault="00DF6CB2" w:rsidP="00DF6CB2">
            <w:pPr>
              <w:jc w:val="right"/>
              <w:rPr>
                <w:rFonts w:ascii="Gill Sans MT" w:hAnsi="Gill Sans MT"/>
                <w:sz w:val="18"/>
                <w:szCs w:val="18"/>
              </w:rPr>
            </w:pPr>
            <w:r>
              <w:rPr>
                <w:rFonts w:ascii="Gill Sans MT" w:hAnsi="Gill Sans MT"/>
                <w:sz w:val="18"/>
                <w:szCs w:val="18"/>
              </w:rPr>
              <w:t>-</w:t>
            </w:r>
          </w:p>
        </w:tc>
        <w:tc>
          <w:tcPr>
            <w:tcW w:w="1417" w:type="dxa"/>
            <w:shd w:val="clear" w:color="auto" w:fill="auto"/>
          </w:tcPr>
          <w:p w:rsidR="00BF1557" w:rsidRPr="00871383" w:rsidRDefault="00BF1557" w:rsidP="00BF1557">
            <w:pPr>
              <w:pStyle w:val="TableParagraph"/>
              <w:spacing w:before="14"/>
              <w:ind w:right="162"/>
              <w:jc w:val="right"/>
              <w:rPr>
                <w:rFonts w:ascii="Gill Sans MT" w:hAnsi="Gill Sans MT"/>
                <w:b/>
                <w:sz w:val="18"/>
                <w:szCs w:val="18"/>
              </w:rPr>
            </w:pPr>
            <w:r w:rsidRPr="00871383">
              <w:rPr>
                <w:rFonts w:ascii="Gill Sans MT" w:hAnsi="Gill Sans MT"/>
                <w:b/>
                <w:sz w:val="18"/>
                <w:szCs w:val="18"/>
              </w:rPr>
              <w:t>0</w:t>
            </w:r>
          </w:p>
        </w:tc>
        <w:tc>
          <w:tcPr>
            <w:tcW w:w="1265" w:type="dxa"/>
            <w:shd w:val="clear" w:color="auto" w:fill="auto"/>
          </w:tcPr>
          <w:p w:rsidR="00BF1557" w:rsidRPr="00871383" w:rsidRDefault="00BF1557" w:rsidP="00BF1557">
            <w:pPr>
              <w:pStyle w:val="TableParagraph"/>
              <w:spacing w:before="14"/>
              <w:ind w:right="165"/>
              <w:jc w:val="right"/>
              <w:rPr>
                <w:rFonts w:ascii="Gill Sans MT" w:hAnsi="Gill Sans MT"/>
                <w:b/>
                <w:sz w:val="18"/>
                <w:szCs w:val="18"/>
              </w:rPr>
            </w:pPr>
            <w:r w:rsidRPr="00871383">
              <w:rPr>
                <w:rFonts w:ascii="Gill Sans MT" w:hAnsi="Gill Sans MT"/>
                <w:b/>
                <w:sz w:val="18"/>
                <w:szCs w:val="18"/>
              </w:rPr>
              <w:t>36</w:t>
            </w:r>
          </w:p>
        </w:tc>
      </w:tr>
      <w:tr w:rsidR="00BF1557" w:rsidRPr="00871383" w:rsidTr="00871383">
        <w:trPr>
          <w:trHeight w:hRule="exact" w:val="244"/>
        </w:trPr>
        <w:tc>
          <w:tcPr>
            <w:tcW w:w="5392" w:type="dxa"/>
            <w:shd w:val="clear" w:color="auto" w:fill="auto"/>
          </w:tcPr>
          <w:p w:rsidR="00BF1557" w:rsidRPr="00871383" w:rsidRDefault="00BF1557" w:rsidP="00BF1557">
            <w:pPr>
              <w:pStyle w:val="TableParagraph"/>
              <w:spacing w:before="18"/>
              <w:ind w:left="85"/>
              <w:rPr>
                <w:rFonts w:ascii="Gill Sans MT" w:hAnsi="Gill Sans MT"/>
                <w:b/>
                <w:sz w:val="18"/>
                <w:szCs w:val="18"/>
              </w:rPr>
            </w:pPr>
            <w:r w:rsidRPr="00871383">
              <w:rPr>
                <w:rFonts w:ascii="Gill Sans MT" w:hAnsi="Gill Sans MT"/>
                <w:b/>
                <w:sz w:val="18"/>
                <w:szCs w:val="18"/>
              </w:rPr>
              <w:t>Cash and deposits at the end of the reporting period</w:t>
            </w:r>
          </w:p>
        </w:tc>
        <w:tc>
          <w:tcPr>
            <w:tcW w:w="1276" w:type="dxa"/>
            <w:shd w:val="clear" w:color="auto" w:fill="auto"/>
          </w:tcPr>
          <w:p w:rsidR="00BF1557" w:rsidRPr="00871383" w:rsidRDefault="00BF1557" w:rsidP="00DF6CB2">
            <w:pPr>
              <w:pStyle w:val="TableParagraph"/>
              <w:spacing w:before="23"/>
              <w:ind w:right="167"/>
              <w:jc w:val="right"/>
              <w:rPr>
                <w:rFonts w:ascii="Gill Sans MT" w:hAnsi="Gill Sans MT"/>
                <w:sz w:val="18"/>
                <w:szCs w:val="18"/>
              </w:rPr>
            </w:pPr>
            <w:r w:rsidRPr="00871383">
              <w:rPr>
                <w:rFonts w:ascii="Gill Sans MT" w:hAnsi="Gill Sans MT"/>
                <w:sz w:val="18"/>
                <w:szCs w:val="18"/>
              </w:rPr>
              <w:t>12.1</w:t>
            </w:r>
          </w:p>
        </w:tc>
        <w:tc>
          <w:tcPr>
            <w:tcW w:w="1417" w:type="dxa"/>
            <w:shd w:val="clear" w:color="auto" w:fill="auto"/>
          </w:tcPr>
          <w:p w:rsidR="00BF1557" w:rsidRPr="00871383" w:rsidRDefault="00BF1557" w:rsidP="00BF1557">
            <w:pPr>
              <w:pStyle w:val="TableParagraph"/>
              <w:spacing w:before="15"/>
              <w:ind w:right="162"/>
              <w:jc w:val="right"/>
              <w:rPr>
                <w:rFonts w:ascii="Gill Sans MT" w:hAnsi="Gill Sans MT"/>
                <w:b/>
                <w:sz w:val="18"/>
                <w:szCs w:val="18"/>
              </w:rPr>
            </w:pPr>
            <w:r w:rsidRPr="00871383">
              <w:rPr>
                <w:rFonts w:ascii="Gill Sans MT" w:hAnsi="Gill Sans MT"/>
                <w:b/>
                <w:sz w:val="18"/>
                <w:szCs w:val="18"/>
              </w:rPr>
              <w:t>43 955</w:t>
            </w:r>
          </w:p>
        </w:tc>
        <w:tc>
          <w:tcPr>
            <w:tcW w:w="1265" w:type="dxa"/>
            <w:shd w:val="clear" w:color="auto" w:fill="auto"/>
          </w:tcPr>
          <w:p w:rsidR="00BF1557" w:rsidRPr="00871383" w:rsidRDefault="00BF1557" w:rsidP="00BF1557">
            <w:pPr>
              <w:pStyle w:val="TableParagraph"/>
              <w:spacing w:before="15"/>
              <w:ind w:right="162"/>
              <w:jc w:val="right"/>
              <w:rPr>
                <w:rFonts w:ascii="Gill Sans MT" w:hAnsi="Gill Sans MT"/>
                <w:b/>
                <w:sz w:val="18"/>
                <w:szCs w:val="18"/>
              </w:rPr>
            </w:pPr>
            <w:r w:rsidRPr="00871383">
              <w:rPr>
                <w:rFonts w:ascii="Gill Sans MT" w:hAnsi="Gill Sans MT"/>
                <w:b/>
                <w:sz w:val="18"/>
                <w:szCs w:val="18"/>
              </w:rPr>
              <w:t>89 535</w:t>
            </w:r>
          </w:p>
        </w:tc>
      </w:tr>
    </w:tbl>
    <w:p w:rsidR="00BF1557" w:rsidRDefault="00BF1557" w:rsidP="0094237D"/>
    <w:p w:rsidR="00871383" w:rsidRDefault="00871383" w:rsidP="00871383">
      <w:pPr>
        <w:pStyle w:val="BodyText"/>
      </w:pPr>
      <w:r>
        <w:t>This Statement of Cash Flows should be read in conjunction with the accompanying notes. Budget information refers to original estimates and has not been subject to audit.</w:t>
      </w:r>
    </w:p>
    <w:p w:rsidR="00871383" w:rsidRPr="0094237D" w:rsidRDefault="00871383" w:rsidP="00871383">
      <w:pPr>
        <w:pStyle w:val="BodyText"/>
      </w:pPr>
      <w:r>
        <w:t>Explanations of material variances between budget and actual outcomes are provided in Note 3 of the accompanying notes.</w:t>
      </w:r>
    </w:p>
    <w:p w:rsidR="00537B2C" w:rsidRDefault="00537B2C">
      <w:pPr>
        <w:rPr>
          <w:rFonts w:ascii="Gill Sans MT" w:eastAsia="GillSans-Light" w:hAnsi="Gill Sans MT" w:cs="GillSans-Light"/>
          <w:lang w:val="en-US"/>
        </w:rPr>
      </w:pPr>
      <w:r>
        <w:br w:type="page"/>
      </w:r>
    </w:p>
    <w:p w:rsidR="0094237D" w:rsidRDefault="00537B2C" w:rsidP="00537B2C">
      <w:pPr>
        <w:pStyle w:val="Heading3"/>
      </w:pPr>
      <w:bookmarkStart w:id="53" w:name="_Toc472581993"/>
      <w:r>
        <w:lastRenderedPageBreak/>
        <w:t>Statement of Changes in Equity</w:t>
      </w:r>
      <w:bookmarkEnd w:id="53"/>
    </w:p>
    <w:p w:rsidR="00537B2C" w:rsidRDefault="00537B2C" w:rsidP="00537B2C">
      <w:r>
        <w:t>For the year ended 30 June 2016</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Statement of Changes in Equity"/>
        <w:tblDescription w:val="For the year ended 30 June 2016"/>
      </w:tblPr>
      <w:tblGrid>
        <w:gridCol w:w="4253"/>
        <w:gridCol w:w="850"/>
        <w:gridCol w:w="993"/>
        <w:gridCol w:w="1134"/>
        <w:gridCol w:w="1103"/>
        <w:gridCol w:w="1020"/>
      </w:tblGrid>
      <w:tr w:rsidR="00537B2C" w:rsidRPr="00537B2C" w:rsidTr="00132045">
        <w:trPr>
          <w:trHeight w:hRule="exact" w:val="1115"/>
        </w:trPr>
        <w:tc>
          <w:tcPr>
            <w:tcW w:w="4253" w:type="dxa"/>
            <w:shd w:val="clear" w:color="auto" w:fill="auto"/>
            <w:vAlign w:val="center"/>
          </w:tcPr>
          <w:p w:rsidR="00537B2C" w:rsidRPr="00537B2C" w:rsidRDefault="00537B2C" w:rsidP="00537B2C">
            <w:pPr>
              <w:pStyle w:val="Heading4"/>
            </w:pPr>
            <w:r w:rsidRPr="00537B2C">
              <w:t>Description</w:t>
            </w:r>
          </w:p>
        </w:tc>
        <w:tc>
          <w:tcPr>
            <w:tcW w:w="850" w:type="dxa"/>
            <w:shd w:val="clear" w:color="auto" w:fill="auto"/>
            <w:vAlign w:val="center"/>
          </w:tcPr>
          <w:p w:rsidR="00537B2C" w:rsidRPr="00537B2C" w:rsidRDefault="00537B2C" w:rsidP="00537B2C">
            <w:pPr>
              <w:pStyle w:val="Heading4"/>
              <w:rPr>
                <w:sz w:val="18"/>
              </w:rPr>
            </w:pPr>
            <w:r w:rsidRPr="00537B2C">
              <w:rPr>
                <w:sz w:val="18"/>
              </w:rPr>
              <w:t>Notes</w:t>
            </w:r>
          </w:p>
        </w:tc>
        <w:tc>
          <w:tcPr>
            <w:tcW w:w="993" w:type="dxa"/>
            <w:shd w:val="clear" w:color="auto" w:fill="auto"/>
            <w:vAlign w:val="center"/>
          </w:tcPr>
          <w:p w:rsidR="00537B2C" w:rsidRPr="00537B2C" w:rsidRDefault="00537B2C" w:rsidP="00132045">
            <w:pPr>
              <w:pStyle w:val="Heading4"/>
              <w:rPr>
                <w:sz w:val="18"/>
              </w:rPr>
            </w:pPr>
            <w:r w:rsidRPr="00537B2C">
              <w:rPr>
                <w:sz w:val="18"/>
              </w:rPr>
              <w:t>Contrib Equity</w:t>
            </w:r>
            <w:r w:rsidR="00132045">
              <w:rPr>
                <w:sz w:val="18"/>
              </w:rPr>
              <w:br/>
            </w:r>
            <w:r w:rsidRPr="00537B2C">
              <w:rPr>
                <w:sz w:val="18"/>
              </w:rPr>
              <w:t>$’000</w:t>
            </w:r>
          </w:p>
        </w:tc>
        <w:tc>
          <w:tcPr>
            <w:tcW w:w="1134" w:type="dxa"/>
            <w:shd w:val="clear" w:color="auto" w:fill="auto"/>
            <w:vAlign w:val="center"/>
          </w:tcPr>
          <w:p w:rsidR="00537B2C" w:rsidRPr="00537B2C" w:rsidRDefault="00537B2C" w:rsidP="00132045">
            <w:pPr>
              <w:pStyle w:val="Heading4"/>
              <w:rPr>
                <w:sz w:val="18"/>
              </w:rPr>
            </w:pPr>
            <w:r w:rsidRPr="00537B2C">
              <w:rPr>
                <w:sz w:val="18"/>
              </w:rPr>
              <w:t>Reserves</w:t>
            </w:r>
            <w:r w:rsidR="00132045">
              <w:rPr>
                <w:sz w:val="18"/>
              </w:rPr>
              <w:br/>
            </w:r>
            <w:r w:rsidRPr="00537B2C">
              <w:rPr>
                <w:sz w:val="18"/>
              </w:rPr>
              <w:t>$’000</w:t>
            </w:r>
          </w:p>
        </w:tc>
        <w:tc>
          <w:tcPr>
            <w:tcW w:w="1103" w:type="dxa"/>
            <w:shd w:val="clear" w:color="auto" w:fill="auto"/>
            <w:vAlign w:val="center"/>
          </w:tcPr>
          <w:p w:rsidR="00537B2C" w:rsidRPr="00537B2C" w:rsidRDefault="00537B2C" w:rsidP="00132045">
            <w:pPr>
              <w:pStyle w:val="Heading4"/>
              <w:rPr>
                <w:sz w:val="18"/>
              </w:rPr>
            </w:pPr>
            <w:r w:rsidRPr="00537B2C">
              <w:rPr>
                <w:sz w:val="18"/>
              </w:rPr>
              <w:t>Accum Funds</w:t>
            </w:r>
            <w:r w:rsidR="00132045">
              <w:rPr>
                <w:sz w:val="18"/>
              </w:rPr>
              <w:br/>
            </w:r>
            <w:r w:rsidRPr="00537B2C">
              <w:rPr>
                <w:sz w:val="18"/>
              </w:rPr>
              <w:t>$’000</w:t>
            </w:r>
          </w:p>
        </w:tc>
        <w:tc>
          <w:tcPr>
            <w:tcW w:w="1020" w:type="dxa"/>
            <w:shd w:val="clear" w:color="auto" w:fill="auto"/>
            <w:vAlign w:val="center"/>
          </w:tcPr>
          <w:p w:rsidR="00537B2C" w:rsidRPr="00537B2C" w:rsidRDefault="00537B2C" w:rsidP="00132045">
            <w:pPr>
              <w:pStyle w:val="Heading4"/>
              <w:rPr>
                <w:sz w:val="18"/>
              </w:rPr>
            </w:pPr>
            <w:r w:rsidRPr="00537B2C">
              <w:rPr>
                <w:sz w:val="18"/>
              </w:rPr>
              <w:t>Total Equity</w:t>
            </w:r>
            <w:r w:rsidR="00132045">
              <w:rPr>
                <w:sz w:val="18"/>
              </w:rPr>
              <w:br/>
            </w:r>
            <w:r w:rsidRPr="00537B2C">
              <w:rPr>
                <w:sz w:val="18"/>
              </w:rPr>
              <w:t>$’000</w:t>
            </w:r>
          </w:p>
        </w:tc>
      </w:tr>
      <w:tr w:rsidR="00537B2C" w:rsidRPr="00537B2C" w:rsidTr="00537B2C">
        <w:trPr>
          <w:trHeight w:hRule="exact" w:val="295"/>
        </w:trPr>
        <w:tc>
          <w:tcPr>
            <w:tcW w:w="4253" w:type="dxa"/>
            <w:shd w:val="clear" w:color="auto" w:fill="auto"/>
          </w:tcPr>
          <w:p w:rsidR="00537B2C" w:rsidRPr="00537B2C" w:rsidRDefault="00537B2C" w:rsidP="00F81A54">
            <w:pPr>
              <w:pStyle w:val="TableParagraph"/>
              <w:spacing w:before="41"/>
              <w:ind w:left="80"/>
              <w:rPr>
                <w:rFonts w:ascii="Gill Sans MT" w:hAnsi="Gill Sans MT"/>
                <w:b/>
                <w:sz w:val="18"/>
              </w:rPr>
            </w:pPr>
            <w:r w:rsidRPr="00537B2C">
              <w:rPr>
                <w:rFonts w:ascii="Gill Sans MT" w:hAnsi="Gill Sans MT"/>
                <w:b/>
                <w:sz w:val="18"/>
              </w:rPr>
              <w:t>Balance as at 1 July 2015</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41"/>
              <w:ind w:right="111"/>
              <w:jc w:val="right"/>
              <w:rPr>
                <w:rFonts w:ascii="Gill Sans MT" w:hAnsi="Gill Sans MT"/>
                <w:b/>
                <w:sz w:val="18"/>
              </w:rPr>
            </w:pPr>
            <w:r w:rsidRPr="00537B2C">
              <w:rPr>
                <w:rFonts w:ascii="Gill Sans MT" w:hAnsi="Gill Sans MT"/>
                <w:b/>
                <w:sz w:val="18"/>
              </w:rPr>
              <w:t>0</w:t>
            </w:r>
          </w:p>
        </w:tc>
        <w:tc>
          <w:tcPr>
            <w:tcW w:w="1134" w:type="dxa"/>
            <w:shd w:val="clear" w:color="auto" w:fill="auto"/>
          </w:tcPr>
          <w:p w:rsidR="00537B2C" w:rsidRPr="00537B2C" w:rsidRDefault="00537B2C" w:rsidP="00537B2C">
            <w:pPr>
              <w:pStyle w:val="TableParagraph"/>
              <w:spacing w:before="41"/>
              <w:ind w:right="110"/>
              <w:jc w:val="right"/>
              <w:rPr>
                <w:rFonts w:ascii="Gill Sans MT" w:hAnsi="Gill Sans MT"/>
                <w:b/>
                <w:sz w:val="18"/>
              </w:rPr>
            </w:pPr>
            <w:r w:rsidRPr="00537B2C">
              <w:rPr>
                <w:rFonts w:ascii="Gill Sans MT" w:hAnsi="Gill Sans MT"/>
                <w:b/>
                <w:sz w:val="18"/>
              </w:rPr>
              <w:t>0</w:t>
            </w:r>
          </w:p>
        </w:tc>
        <w:tc>
          <w:tcPr>
            <w:tcW w:w="1103" w:type="dxa"/>
            <w:shd w:val="clear" w:color="auto" w:fill="auto"/>
          </w:tcPr>
          <w:p w:rsidR="00537B2C" w:rsidRPr="00537B2C" w:rsidRDefault="00537B2C" w:rsidP="00537B2C">
            <w:pPr>
              <w:pStyle w:val="TableParagraph"/>
              <w:spacing w:before="41"/>
              <w:ind w:right="111"/>
              <w:jc w:val="right"/>
              <w:rPr>
                <w:rFonts w:ascii="Gill Sans MT" w:hAnsi="Gill Sans MT"/>
                <w:b/>
                <w:sz w:val="18"/>
              </w:rPr>
            </w:pPr>
            <w:r w:rsidRPr="00537B2C">
              <w:rPr>
                <w:rFonts w:ascii="Gill Sans MT" w:hAnsi="Gill Sans MT"/>
                <w:b/>
                <w:sz w:val="18"/>
              </w:rPr>
              <w:t>0</w:t>
            </w:r>
          </w:p>
        </w:tc>
        <w:tc>
          <w:tcPr>
            <w:tcW w:w="1020" w:type="dxa"/>
            <w:shd w:val="clear" w:color="auto" w:fill="auto"/>
          </w:tcPr>
          <w:p w:rsidR="00537B2C" w:rsidRPr="00537B2C" w:rsidRDefault="00537B2C" w:rsidP="00537B2C">
            <w:pPr>
              <w:pStyle w:val="TableParagraph"/>
              <w:spacing w:before="41"/>
              <w:ind w:right="111"/>
              <w:jc w:val="right"/>
              <w:rPr>
                <w:rFonts w:ascii="Gill Sans MT" w:hAnsi="Gill Sans MT"/>
                <w:b/>
                <w:sz w:val="18"/>
              </w:rPr>
            </w:pPr>
            <w:r w:rsidRPr="00537B2C">
              <w:rPr>
                <w:rFonts w:ascii="Gill Sans MT" w:hAnsi="Gill Sans MT"/>
                <w:b/>
                <w:sz w:val="18"/>
              </w:rPr>
              <w:t>0</w:t>
            </w:r>
          </w:p>
        </w:tc>
      </w:tr>
      <w:tr w:rsidR="00537B2C" w:rsidRPr="00537B2C" w:rsidTr="00537B2C">
        <w:trPr>
          <w:trHeight w:hRule="exact" w:val="283"/>
        </w:trPr>
        <w:tc>
          <w:tcPr>
            <w:tcW w:w="4253" w:type="dxa"/>
            <w:shd w:val="clear" w:color="auto" w:fill="auto"/>
          </w:tcPr>
          <w:p w:rsidR="00537B2C" w:rsidRPr="00537B2C" w:rsidRDefault="00537B2C" w:rsidP="00F81A54">
            <w:pPr>
              <w:pStyle w:val="TableParagraph"/>
              <w:spacing w:before="39"/>
              <w:ind w:left="363"/>
              <w:rPr>
                <w:rFonts w:ascii="Gill Sans MT" w:hAnsi="Gill Sans MT"/>
                <w:sz w:val="18"/>
              </w:rPr>
            </w:pPr>
            <w:r w:rsidRPr="00537B2C">
              <w:rPr>
                <w:rFonts w:ascii="Gill Sans MT" w:hAnsi="Gill Sans MT"/>
                <w:sz w:val="18"/>
              </w:rPr>
              <w:t>Net result</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0</w:t>
            </w:r>
          </w:p>
        </w:tc>
        <w:tc>
          <w:tcPr>
            <w:tcW w:w="1134"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0</w:t>
            </w:r>
          </w:p>
        </w:tc>
        <w:tc>
          <w:tcPr>
            <w:tcW w:w="110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34 889</w:t>
            </w:r>
          </w:p>
        </w:tc>
        <w:tc>
          <w:tcPr>
            <w:tcW w:w="1020" w:type="dxa"/>
            <w:shd w:val="clear" w:color="auto" w:fill="auto"/>
          </w:tcPr>
          <w:p w:rsidR="00537B2C" w:rsidRPr="00537B2C" w:rsidRDefault="00537B2C" w:rsidP="00537B2C">
            <w:pPr>
              <w:pStyle w:val="TableParagraph"/>
              <w:spacing w:before="39"/>
              <w:ind w:left="397"/>
              <w:jc w:val="right"/>
              <w:rPr>
                <w:rFonts w:ascii="Gill Sans MT" w:hAnsi="Gill Sans MT"/>
                <w:sz w:val="18"/>
              </w:rPr>
            </w:pPr>
            <w:r w:rsidRPr="00537B2C">
              <w:rPr>
                <w:rFonts w:ascii="Gill Sans MT" w:hAnsi="Gill Sans MT"/>
                <w:sz w:val="18"/>
              </w:rPr>
              <w:t>34 889</w:t>
            </w:r>
          </w:p>
        </w:tc>
      </w:tr>
      <w:tr w:rsidR="00537B2C" w:rsidRPr="00537B2C" w:rsidTr="00537B2C">
        <w:trPr>
          <w:trHeight w:hRule="exact" w:val="282"/>
        </w:trPr>
        <w:tc>
          <w:tcPr>
            <w:tcW w:w="4253" w:type="dxa"/>
            <w:shd w:val="clear" w:color="auto" w:fill="auto"/>
          </w:tcPr>
          <w:p w:rsidR="00537B2C" w:rsidRPr="00537B2C" w:rsidRDefault="00537B2C" w:rsidP="00F81A54">
            <w:pPr>
              <w:pStyle w:val="TableParagraph"/>
              <w:spacing w:before="40"/>
              <w:ind w:left="363"/>
              <w:rPr>
                <w:rFonts w:ascii="Gill Sans MT" w:hAnsi="Gill Sans MT"/>
                <w:sz w:val="18"/>
              </w:rPr>
            </w:pPr>
            <w:r w:rsidRPr="00537B2C">
              <w:rPr>
                <w:rFonts w:ascii="Gill Sans MT" w:hAnsi="Gill Sans MT"/>
                <w:sz w:val="18"/>
              </w:rPr>
              <w:t>Changes to revaluation reserve</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134"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13 749</w:t>
            </w:r>
          </w:p>
        </w:tc>
        <w:tc>
          <w:tcPr>
            <w:tcW w:w="1103"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020" w:type="dxa"/>
            <w:shd w:val="clear" w:color="auto" w:fill="auto"/>
          </w:tcPr>
          <w:p w:rsidR="00537B2C" w:rsidRPr="00537B2C" w:rsidRDefault="00537B2C" w:rsidP="00537B2C">
            <w:pPr>
              <w:pStyle w:val="TableParagraph"/>
              <w:spacing w:before="40"/>
              <w:ind w:left="428"/>
              <w:jc w:val="right"/>
              <w:rPr>
                <w:rFonts w:ascii="Gill Sans MT" w:hAnsi="Gill Sans MT"/>
                <w:sz w:val="18"/>
              </w:rPr>
            </w:pPr>
            <w:r w:rsidRPr="00537B2C">
              <w:rPr>
                <w:rFonts w:ascii="Gill Sans MT" w:hAnsi="Gill Sans MT"/>
                <w:sz w:val="18"/>
              </w:rPr>
              <w:t>13 749</w:t>
            </w:r>
          </w:p>
        </w:tc>
      </w:tr>
      <w:tr w:rsidR="00537B2C" w:rsidRPr="00537B2C" w:rsidTr="00537B2C">
        <w:trPr>
          <w:trHeight w:hRule="exact" w:val="295"/>
        </w:trPr>
        <w:tc>
          <w:tcPr>
            <w:tcW w:w="4253" w:type="dxa"/>
            <w:shd w:val="clear" w:color="auto" w:fill="auto"/>
          </w:tcPr>
          <w:p w:rsidR="00537B2C" w:rsidRPr="00537B2C" w:rsidRDefault="00537B2C" w:rsidP="00F81A54">
            <w:pPr>
              <w:pStyle w:val="TableParagraph"/>
              <w:spacing w:before="41"/>
              <w:ind w:left="80"/>
              <w:rPr>
                <w:rFonts w:ascii="Gill Sans MT" w:hAnsi="Gill Sans MT"/>
                <w:b/>
                <w:sz w:val="18"/>
              </w:rPr>
            </w:pPr>
            <w:r w:rsidRPr="00537B2C">
              <w:rPr>
                <w:rFonts w:ascii="Gill Sans MT" w:hAnsi="Gill Sans MT"/>
                <w:b/>
                <w:sz w:val="18"/>
              </w:rPr>
              <w:t>Total comprehensive result</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37"/>
              <w:ind w:right="111"/>
              <w:jc w:val="right"/>
              <w:rPr>
                <w:rFonts w:ascii="Gill Sans MT" w:hAnsi="Gill Sans MT"/>
                <w:b/>
                <w:sz w:val="18"/>
              </w:rPr>
            </w:pPr>
            <w:r w:rsidRPr="00537B2C">
              <w:rPr>
                <w:rFonts w:ascii="Gill Sans MT" w:hAnsi="Gill Sans MT"/>
                <w:b/>
                <w:sz w:val="18"/>
              </w:rPr>
              <w:t>0</w:t>
            </w:r>
          </w:p>
        </w:tc>
        <w:tc>
          <w:tcPr>
            <w:tcW w:w="1134" w:type="dxa"/>
            <w:shd w:val="clear" w:color="auto" w:fill="auto"/>
          </w:tcPr>
          <w:p w:rsidR="00537B2C" w:rsidRPr="00537B2C" w:rsidRDefault="00537B2C" w:rsidP="00537B2C">
            <w:pPr>
              <w:pStyle w:val="TableParagraph"/>
              <w:spacing w:before="37"/>
              <w:ind w:right="111"/>
              <w:jc w:val="right"/>
              <w:rPr>
                <w:rFonts w:ascii="Gill Sans MT" w:hAnsi="Gill Sans MT"/>
                <w:b/>
                <w:sz w:val="18"/>
              </w:rPr>
            </w:pPr>
            <w:r w:rsidRPr="00537B2C">
              <w:rPr>
                <w:rFonts w:ascii="Gill Sans MT" w:hAnsi="Gill Sans MT"/>
                <w:b/>
                <w:sz w:val="18"/>
              </w:rPr>
              <w:t>13 749</w:t>
            </w:r>
          </w:p>
        </w:tc>
        <w:tc>
          <w:tcPr>
            <w:tcW w:w="1103" w:type="dxa"/>
            <w:shd w:val="clear" w:color="auto" w:fill="auto"/>
          </w:tcPr>
          <w:p w:rsidR="00537B2C" w:rsidRPr="00537B2C" w:rsidRDefault="00537B2C" w:rsidP="00537B2C">
            <w:pPr>
              <w:pStyle w:val="TableParagraph"/>
              <w:spacing w:before="37"/>
              <w:ind w:right="111"/>
              <w:jc w:val="right"/>
              <w:rPr>
                <w:rFonts w:ascii="Gill Sans MT" w:hAnsi="Gill Sans MT"/>
                <w:b/>
                <w:sz w:val="18"/>
              </w:rPr>
            </w:pPr>
            <w:r w:rsidRPr="00537B2C">
              <w:rPr>
                <w:rFonts w:ascii="Gill Sans MT" w:hAnsi="Gill Sans MT"/>
                <w:b/>
                <w:sz w:val="18"/>
              </w:rPr>
              <w:t>34 889</w:t>
            </w:r>
          </w:p>
        </w:tc>
        <w:tc>
          <w:tcPr>
            <w:tcW w:w="1020" w:type="dxa"/>
            <w:shd w:val="clear" w:color="auto" w:fill="auto"/>
          </w:tcPr>
          <w:p w:rsidR="00537B2C" w:rsidRPr="00537B2C" w:rsidRDefault="00537B2C" w:rsidP="00537B2C">
            <w:pPr>
              <w:pStyle w:val="TableParagraph"/>
              <w:spacing w:before="37"/>
              <w:ind w:left="373"/>
              <w:jc w:val="right"/>
              <w:rPr>
                <w:rFonts w:ascii="Gill Sans MT" w:hAnsi="Gill Sans MT"/>
                <w:b/>
                <w:sz w:val="18"/>
              </w:rPr>
            </w:pPr>
            <w:r w:rsidRPr="00537B2C">
              <w:rPr>
                <w:rFonts w:ascii="Gill Sans MT" w:hAnsi="Gill Sans MT"/>
                <w:b/>
                <w:sz w:val="18"/>
              </w:rPr>
              <w:t>48 638</w:t>
            </w:r>
          </w:p>
        </w:tc>
      </w:tr>
      <w:tr w:rsidR="00537B2C" w:rsidRPr="00537B2C" w:rsidTr="00537B2C">
        <w:trPr>
          <w:trHeight w:hRule="exact" w:val="242"/>
        </w:trPr>
        <w:tc>
          <w:tcPr>
            <w:tcW w:w="4253" w:type="dxa"/>
            <w:shd w:val="clear" w:color="auto" w:fill="auto"/>
          </w:tcPr>
          <w:p w:rsidR="00537B2C" w:rsidRPr="00537B2C" w:rsidRDefault="00537B2C" w:rsidP="00F81A54">
            <w:pPr>
              <w:pStyle w:val="TableParagraph"/>
              <w:spacing w:before="39"/>
              <w:ind w:left="80"/>
              <w:rPr>
                <w:rFonts w:ascii="Gill Sans MT" w:hAnsi="Gill Sans MT"/>
                <w:sz w:val="18"/>
              </w:rPr>
            </w:pPr>
            <w:r w:rsidRPr="00537B2C">
              <w:rPr>
                <w:rFonts w:ascii="Gill Sans MT" w:hAnsi="Gill Sans MT"/>
                <w:sz w:val="18"/>
              </w:rPr>
              <w:t>Transfers from asset revaluation reserve to</w:t>
            </w:r>
          </w:p>
        </w:tc>
        <w:tc>
          <w:tcPr>
            <w:tcW w:w="850"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11.1</w:t>
            </w:r>
          </w:p>
        </w:tc>
        <w:tc>
          <w:tcPr>
            <w:tcW w:w="99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0</w:t>
            </w:r>
          </w:p>
        </w:tc>
        <w:tc>
          <w:tcPr>
            <w:tcW w:w="1134" w:type="dxa"/>
            <w:shd w:val="clear" w:color="auto" w:fill="auto"/>
          </w:tcPr>
          <w:p w:rsidR="00537B2C" w:rsidRPr="00537B2C" w:rsidRDefault="00537B2C" w:rsidP="00537B2C">
            <w:pPr>
              <w:pStyle w:val="TableParagraph"/>
              <w:spacing w:before="39"/>
              <w:ind w:right="54"/>
              <w:jc w:val="right"/>
              <w:rPr>
                <w:rFonts w:ascii="Gill Sans MT" w:hAnsi="Gill Sans MT"/>
                <w:sz w:val="18"/>
              </w:rPr>
            </w:pPr>
            <w:r w:rsidRPr="00537B2C">
              <w:rPr>
                <w:rFonts w:ascii="Gill Sans MT" w:hAnsi="Gill Sans MT"/>
                <w:sz w:val="18"/>
              </w:rPr>
              <w:t>(210)</w:t>
            </w:r>
          </w:p>
        </w:tc>
        <w:tc>
          <w:tcPr>
            <w:tcW w:w="110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210</w:t>
            </w:r>
          </w:p>
        </w:tc>
        <w:tc>
          <w:tcPr>
            <w:tcW w:w="1020"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0</w:t>
            </w:r>
          </w:p>
        </w:tc>
      </w:tr>
      <w:tr w:rsidR="00537B2C" w:rsidRPr="00537B2C" w:rsidTr="00537B2C">
        <w:trPr>
          <w:trHeight w:hRule="exact" w:val="241"/>
        </w:trPr>
        <w:tc>
          <w:tcPr>
            <w:tcW w:w="4253" w:type="dxa"/>
            <w:shd w:val="clear" w:color="auto" w:fill="auto"/>
          </w:tcPr>
          <w:p w:rsidR="00537B2C" w:rsidRPr="00537B2C" w:rsidRDefault="00537B2C" w:rsidP="00F81A54">
            <w:pPr>
              <w:pStyle w:val="TableParagraph"/>
              <w:spacing w:line="201" w:lineRule="exact"/>
              <w:ind w:left="80"/>
              <w:rPr>
                <w:rFonts w:ascii="Gill Sans MT" w:hAnsi="Gill Sans MT"/>
                <w:sz w:val="18"/>
              </w:rPr>
            </w:pPr>
            <w:r w:rsidRPr="00537B2C">
              <w:rPr>
                <w:rFonts w:ascii="Gill Sans MT" w:hAnsi="Gill Sans MT"/>
                <w:sz w:val="18"/>
              </w:rPr>
              <w:t>accumulated surplus</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34"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0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02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r>
      <w:tr w:rsidR="00537B2C" w:rsidRPr="00537B2C" w:rsidTr="00537B2C">
        <w:trPr>
          <w:trHeight w:hRule="exact" w:val="243"/>
        </w:trPr>
        <w:tc>
          <w:tcPr>
            <w:tcW w:w="4253" w:type="dxa"/>
            <w:shd w:val="clear" w:color="auto" w:fill="auto"/>
          </w:tcPr>
          <w:p w:rsidR="00537B2C" w:rsidRPr="00537B2C" w:rsidRDefault="00537B2C" w:rsidP="00F81A54">
            <w:pPr>
              <w:pStyle w:val="TableParagraph"/>
              <w:spacing w:before="40"/>
              <w:ind w:left="80"/>
              <w:rPr>
                <w:rFonts w:ascii="Gill Sans MT" w:hAnsi="Gill Sans MT"/>
                <w:sz w:val="18"/>
              </w:rPr>
            </w:pPr>
            <w:r w:rsidRPr="00537B2C">
              <w:rPr>
                <w:rFonts w:ascii="Gill Sans MT" w:hAnsi="Gill Sans MT"/>
                <w:sz w:val="18"/>
              </w:rPr>
              <w:t>Transfer sale proceeds to the Crown Lands</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134"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103" w:type="dxa"/>
            <w:shd w:val="clear" w:color="auto" w:fill="auto"/>
          </w:tcPr>
          <w:p w:rsidR="00537B2C" w:rsidRPr="00537B2C" w:rsidRDefault="00537B2C" w:rsidP="00537B2C">
            <w:pPr>
              <w:pStyle w:val="TableParagraph"/>
              <w:spacing w:before="40"/>
              <w:ind w:right="54"/>
              <w:jc w:val="right"/>
              <w:rPr>
                <w:rFonts w:ascii="Gill Sans MT" w:hAnsi="Gill Sans MT"/>
                <w:sz w:val="18"/>
              </w:rPr>
            </w:pPr>
            <w:r w:rsidRPr="00537B2C">
              <w:rPr>
                <w:rFonts w:ascii="Gill Sans MT" w:hAnsi="Gill Sans MT"/>
                <w:sz w:val="18"/>
              </w:rPr>
              <w:t>(485)</w:t>
            </w:r>
          </w:p>
        </w:tc>
        <w:tc>
          <w:tcPr>
            <w:tcW w:w="1020" w:type="dxa"/>
            <w:shd w:val="clear" w:color="auto" w:fill="auto"/>
          </w:tcPr>
          <w:p w:rsidR="00537B2C" w:rsidRPr="00537B2C" w:rsidRDefault="00537B2C" w:rsidP="00537B2C">
            <w:pPr>
              <w:pStyle w:val="TableParagraph"/>
              <w:spacing w:before="40"/>
              <w:ind w:right="54"/>
              <w:jc w:val="right"/>
              <w:rPr>
                <w:rFonts w:ascii="Gill Sans MT" w:hAnsi="Gill Sans MT"/>
                <w:sz w:val="18"/>
              </w:rPr>
            </w:pPr>
            <w:r w:rsidRPr="00537B2C">
              <w:rPr>
                <w:rFonts w:ascii="Gill Sans MT" w:hAnsi="Gill Sans MT"/>
                <w:sz w:val="18"/>
              </w:rPr>
              <w:t>(485)</w:t>
            </w:r>
          </w:p>
        </w:tc>
      </w:tr>
      <w:tr w:rsidR="00537B2C" w:rsidRPr="00537B2C" w:rsidTr="00537B2C">
        <w:trPr>
          <w:trHeight w:hRule="exact" w:val="240"/>
        </w:trPr>
        <w:tc>
          <w:tcPr>
            <w:tcW w:w="4253" w:type="dxa"/>
            <w:shd w:val="clear" w:color="auto" w:fill="auto"/>
          </w:tcPr>
          <w:p w:rsidR="00537B2C" w:rsidRPr="00537B2C" w:rsidRDefault="00537B2C" w:rsidP="00F81A54">
            <w:pPr>
              <w:pStyle w:val="TableParagraph"/>
              <w:spacing w:line="201" w:lineRule="exact"/>
              <w:ind w:left="80"/>
              <w:rPr>
                <w:rFonts w:ascii="Gill Sans MT" w:hAnsi="Gill Sans MT"/>
                <w:sz w:val="18"/>
              </w:rPr>
            </w:pPr>
            <w:r w:rsidRPr="00537B2C">
              <w:rPr>
                <w:rFonts w:ascii="Gill Sans MT" w:hAnsi="Gill Sans MT"/>
                <w:sz w:val="18"/>
              </w:rPr>
              <w:t>Administration Fund (CLAF)</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34"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0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02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r>
      <w:tr w:rsidR="00537B2C" w:rsidRPr="00537B2C" w:rsidTr="00537B2C">
        <w:trPr>
          <w:trHeight w:hRule="exact" w:val="293"/>
        </w:trPr>
        <w:tc>
          <w:tcPr>
            <w:tcW w:w="4253" w:type="dxa"/>
            <w:shd w:val="clear" w:color="auto" w:fill="auto"/>
          </w:tcPr>
          <w:p w:rsidR="00537B2C" w:rsidRPr="00537B2C" w:rsidRDefault="00537B2C" w:rsidP="00F81A54">
            <w:pPr>
              <w:pStyle w:val="TableParagraph"/>
              <w:spacing w:before="39"/>
              <w:ind w:left="79"/>
              <w:rPr>
                <w:rFonts w:ascii="Gill Sans MT" w:hAnsi="Gill Sans MT"/>
                <w:b/>
                <w:sz w:val="18"/>
              </w:rPr>
            </w:pPr>
            <w:r w:rsidRPr="00537B2C">
              <w:rPr>
                <w:rFonts w:ascii="Gill Sans MT" w:hAnsi="Gill Sans MT"/>
                <w:b/>
                <w:sz w:val="18"/>
              </w:rPr>
              <w:t>Transactions with owners in their capacity as  owners:</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34"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103"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102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r>
      <w:tr w:rsidR="00537B2C" w:rsidRPr="00537B2C" w:rsidTr="00537B2C">
        <w:trPr>
          <w:trHeight w:hRule="exact" w:val="283"/>
        </w:trPr>
        <w:tc>
          <w:tcPr>
            <w:tcW w:w="4253" w:type="dxa"/>
            <w:shd w:val="clear" w:color="auto" w:fill="auto"/>
          </w:tcPr>
          <w:p w:rsidR="00537B2C" w:rsidRPr="00537B2C" w:rsidRDefault="00537B2C" w:rsidP="00F81A54">
            <w:pPr>
              <w:pStyle w:val="TableParagraph"/>
              <w:spacing w:before="39"/>
              <w:ind w:left="363"/>
              <w:rPr>
                <w:rFonts w:ascii="Gill Sans MT" w:hAnsi="Gill Sans MT"/>
                <w:sz w:val="18"/>
              </w:rPr>
            </w:pPr>
            <w:r w:rsidRPr="00537B2C">
              <w:rPr>
                <w:rFonts w:ascii="Gill Sans MT" w:hAnsi="Gill Sans MT"/>
                <w:sz w:val="18"/>
              </w:rPr>
              <w:t>Establishment of THS - net assets received</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583 980</w:t>
            </w:r>
          </w:p>
        </w:tc>
        <w:tc>
          <w:tcPr>
            <w:tcW w:w="1134" w:type="dxa"/>
            <w:shd w:val="clear" w:color="auto" w:fill="auto"/>
          </w:tcPr>
          <w:p w:rsidR="00537B2C" w:rsidRPr="00537B2C" w:rsidRDefault="00537B2C" w:rsidP="00537B2C">
            <w:pPr>
              <w:pStyle w:val="TableParagraph"/>
              <w:spacing w:before="39"/>
              <w:ind w:right="110"/>
              <w:jc w:val="right"/>
              <w:rPr>
                <w:rFonts w:ascii="Gill Sans MT" w:hAnsi="Gill Sans MT"/>
                <w:sz w:val="18"/>
              </w:rPr>
            </w:pPr>
            <w:r w:rsidRPr="00537B2C">
              <w:rPr>
                <w:rFonts w:ascii="Gill Sans MT" w:hAnsi="Gill Sans MT"/>
                <w:sz w:val="18"/>
              </w:rPr>
              <w:t>192 992</w:t>
            </w:r>
          </w:p>
        </w:tc>
        <w:tc>
          <w:tcPr>
            <w:tcW w:w="1103" w:type="dxa"/>
            <w:shd w:val="clear" w:color="auto" w:fill="auto"/>
          </w:tcPr>
          <w:p w:rsidR="00537B2C" w:rsidRPr="00537B2C" w:rsidRDefault="00537B2C" w:rsidP="00537B2C">
            <w:pPr>
              <w:pStyle w:val="TableParagraph"/>
              <w:spacing w:before="39"/>
              <w:ind w:right="111"/>
              <w:jc w:val="right"/>
              <w:rPr>
                <w:rFonts w:ascii="Gill Sans MT" w:hAnsi="Gill Sans MT"/>
                <w:sz w:val="18"/>
              </w:rPr>
            </w:pPr>
            <w:r w:rsidRPr="00537B2C">
              <w:rPr>
                <w:rFonts w:ascii="Gill Sans MT" w:hAnsi="Gill Sans MT"/>
                <w:sz w:val="18"/>
              </w:rPr>
              <w:t>0</w:t>
            </w:r>
          </w:p>
        </w:tc>
        <w:tc>
          <w:tcPr>
            <w:tcW w:w="1020" w:type="dxa"/>
            <w:shd w:val="clear" w:color="auto" w:fill="auto"/>
          </w:tcPr>
          <w:p w:rsidR="00537B2C" w:rsidRPr="00537B2C" w:rsidRDefault="00537B2C" w:rsidP="00537B2C">
            <w:pPr>
              <w:pStyle w:val="TableParagraph"/>
              <w:spacing w:before="39"/>
              <w:ind w:left="315"/>
              <w:jc w:val="right"/>
              <w:rPr>
                <w:rFonts w:ascii="Gill Sans MT" w:hAnsi="Gill Sans MT"/>
                <w:sz w:val="18"/>
              </w:rPr>
            </w:pPr>
            <w:r w:rsidRPr="00537B2C">
              <w:rPr>
                <w:rFonts w:ascii="Gill Sans MT" w:hAnsi="Gill Sans MT"/>
                <w:sz w:val="18"/>
              </w:rPr>
              <w:t>776 972</w:t>
            </w:r>
          </w:p>
        </w:tc>
      </w:tr>
      <w:tr w:rsidR="00537B2C" w:rsidRPr="00537B2C" w:rsidTr="00537B2C">
        <w:trPr>
          <w:trHeight w:hRule="exact" w:val="281"/>
        </w:trPr>
        <w:tc>
          <w:tcPr>
            <w:tcW w:w="4253" w:type="dxa"/>
            <w:shd w:val="clear" w:color="auto" w:fill="auto"/>
          </w:tcPr>
          <w:p w:rsidR="00537B2C" w:rsidRPr="00537B2C" w:rsidRDefault="00537B2C" w:rsidP="00F81A54">
            <w:pPr>
              <w:pStyle w:val="TableParagraph"/>
              <w:spacing w:before="40"/>
              <w:ind w:left="363"/>
              <w:rPr>
                <w:rFonts w:ascii="Gill Sans MT" w:hAnsi="Gill Sans MT"/>
                <w:sz w:val="18"/>
              </w:rPr>
            </w:pPr>
            <w:r w:rsidRPr="00537B2C">
              <w:rPr>
                <w:rFonts w:ascii="Gill Sans MT" w:hAnsi="Gill Sans MT"/>
                <w:sz w:val="18"/>
              </w:rPr>
              <w:t>Administrative restructure - net assets received</w:t>
            </w:r>
          </w:p>
        </w:tc>
        <w:tc>
          <w:tcPr>
            <w:tcW w:w="850"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11.2</w:t>
            </w:r>
          </w:p>
        </w:tc>
        <w:tc>
          <w:tcPr>
            <w:tcW w:w="993" w:type="dxa"/>
            <w:shd w:val="clear" w:color="auto" w:fill="auto"/>
          </w:tcPr>
          <w:p w:rsidR="00537B2C" w:rsidRPr="00537B2C" w:rsidRDefault="00537B2C" w:rsidP="00537B2C">
            <w:pPr>
              <w:pStyle w:val="TableParagraph"/>
              <w:spacing w:before="40"/>
              <w:ind w:right="55"/>
              <w:jc w:val="right"/>
              <w:rPr>
                <w:rFonts w:ascii="Gill Sans MT" w:hAnsi="Gill Sans MT"/>
                <w:sz w:val="18"/>
              </w:rPr>
            </w:pPr>
            <w:r w:rsidRPr="00537B2C">
              <w:rPr>
                <w:rFonts w:ascii="Gill Sans MT" w:hAnsi="Gill Sans MT"/>
                <w:sz w:val="18"/>
              </w:rPr>
              <w:t>(184)</w:t>
            </w:r>
          </w:p>
        </w:tc>
        <w:tc>
          <w:tcPr>
            <w:tcW w:w="1134"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103" w:type="dxa"/>
            <w:shd w:val="clear" w:color="auto" w:fill="auto"/>
          </w:tcPr>
          <w:p w:rsidR="00537B2C" w:rsidRPr="00537B2C" w:rsidRDefault="00537B2C" w:rsidP="00537B2C">
            <w:pPr>
              <w:pStyle w:val="TableParagraph"/>
              <w:spacing w:before="40"/>
              <w:ind w:right="111"/>
              <w:jc w:val="right"/>
              <w:rPr>
                <w:rFonts w:ascii="Gill Sans MT" w:hAnsi="Gill Sans MT"/>
                <w:sz w:val="18"/>
              </w:rPr>
            </w:pPr>
            <w:r w:rsidRPr="00537B2C">
              <w:rPr>
                <w:rFonts w:ascii="Gill Sans MT" w:hAnsi="Gill Sans MT"/>
                <w:sz w:val="18"/>
              </w:rPr>
              <w:t>0</w:t>
            </w:r>
          </w:p>
        </w:tc>
        <w:tc>
          <w:tcPr>
            <w:tcW w:w="1020" w:type="dxa"/>
            <w:shd w:val="clear" w:color="auto" w:fill="auto"/>
          </w:tcPr>
          <w:p w:rsidR="00537B2C" w:rsidRPr="00537B2C" w:rsidRDefault="00537B2C" w:rsidP="00537B2C">
            <w:pPr>
              <w:pStyle w:val="TableParagraph"/>
              <w:spacing w:before="40"/>
              <w:ind w:right="56"/>
              <w:jc w:val="right"/>
              <w:rPr>
                <w:rFonts w:ascii="Gill Sans MT" w:hAnsi="Gill Sans MT"/>
                <w:sz w:val="18"/>
              </w:rPr>
            </w:pPr>
            <w:r w:rsidRPr="00537B2C">
              <w:rPr>
                <w:rFonts w:ascii="Gill Sans MT" w:hAnsi="Gill Sans MT"/>
                <w:sz w:val="18"/>
              </w:rPr>
              <w:t>(184)</w:t>
            </w:r>
          </w:p>
        </w:tc>
      </w:tr>
      <w:tr w:rsidR="00537B2C" w:rsidRPr="00537B2C" w:rsidTr="00537B2C">
        <w:trPr>
          <w:trHeight w:hRule="exact" w:val="291"/>
        </w:trPr>
        <w:tc>
          <w:tcPr>
            <w:tcW w:w="4253" w:type="dxa"/>
            <w:shd w:val="clear" w:color="auto" w:fill="auto"/>
          </w:tcPr>
          <w:p w:rsidR="00537B2C" w:rsidRPr="00537B2C" w:rsidRDefault="00537B2C" w:rsidP="00F81A54">
            <w:pPr>
              <w:pStyle w:val="TableParagraph"/>
              <w:spacing w:before="41"/>
              <w:ind w:left="79"/>
              <w:rPr>
                <w:rFonts w:ascii="Gill Sans MT" w:hAnsi="Gill Sans MT"/>
                <w:b/>
                <w:sz w:val="18"/>
              </w:rPr>
            </w:pPr>
            <w:r w:rsidRPr="00537B2C">
              <w:rPr>
                <w:rFonts w:ascii="Gill Sans MT" w:hAnsi="Gill Sans MT"/>
                <w:b/>
                <w:sz w:val="18"/>
              </w:rPr>
              <w:t>Balance as at 30 June 2016</w:t>
            </w:r>
          </w:p>
        </w:tc>
        <w:tc>
          <w:tcPr>
            <w:tcW w:w="850" w:type="dxa"/>
            <w:shd w:val="clear" w:color="auto" w:fill="auto"/>
          </w:tcPr>
          <w:p w:rsidR="00537B2C" w:rsidRPr="00537B2C" w:rsidRDefault="00537B2C" w:rsidP="00537B2C">
            <w:pPr>
              <w:jc w:val="right"/>
              <w:rPr>
                <w:rFonts w:ascii="Gill Sans MT" w:hAnsi="Gill Sans MT"/>
              </w:rPr>
            </w:pPr>
            <w:r w:rsidRPr="00537B2C">
              <w:rPr>
                <w:rFonts w:ascii="Gill Sans MT" w:hAnsi="Gill Sans MT"/>
              </w:rPr>
              <w:t>-</w:t>
            </w:r>
          </w:p>
        </w:tc>
        <w:tc>
          <w:tcPr>
            <w:tcW w:w="993" w:type="dxa"/>
            <w:shd w:val="clear" w:color="auto" w:fill="auto"/>
          </w:tcPr>
          <w:p w:rsidR="00537B2C" w:rsidRPr="00537B2C" w:rsidRDefault="00537B2C" w:rsidP="00537B2C">
            <w:pPr>
              <w:pStyle w:val="TableParagraph"/>
              <w:spacing w:before="37"/>
              <w:ind w:right="111"/>
              <w:jc w:val="right"/>
              <w:rPr>
                <w:rFonts w:ascii="Gill Sans MT" w:hAnsi="Gill Sans MT"/>
                <w:b/>
                <w:sz w:val="18"/>
              </w:rPr>
            </w:pPr>
            <w:r w:rsidRPr="00537B2C">
              <w:rPr>
                <w:rFonts w:ascii="Gill Sans MT" w:hAnsi="Gill Sans MT"/>
                <w:b/>
                <w:sz w:val="18"/>
              </w:rPr>
              <w:t>583 796</w:t>
            </w:r>
          </w:p>
        </w:tc>
        <w:tc>
          <w:tcPr>
            <w:tcW w:w="1134" w:type="dxa"/>
            <w:shd w:val="clear" w:color="auto" w:fill="auto"/>
          </w:tcPr>
          <w:p w:rsidR="00537B2C" w:rsidRPr="00537B2C" w:rsidRDefault="00537B2C" w:rsidP="00537B2C">
            <w:pPr>
              <w:pStyle w:val="TableParagraph"/>
              <w:spacing w:before="37"/>
              <w:ind w:left="287"/>
              <w:jc w:val="right"/>
              <w:rPr>
                <w:rFonts w:ascii="Gill Sans MT" w:hAnsi="Gill Sans MT"/>
                <w:b/>
                <w:sz w:val="18"/>
              </w:rPr>
            </w:pPr>
            <w:r w:rsidRPr="00537B2C">
              <w:rPr>
                <w:rFonts w:ascii="Gill Sans MT" w:hAnsi="Gill Sans MT"/>
                <w:b/>
                <w:sz w:val="18"/>
              </w:rPr>
              <w:t>206 531</w:t>
            </w:r>
          </w:p>
        </w:tc>
        <w:tc>
          <w:tcPr>
            <w:tcW w:w="1103" w:type="dxa"/>
            <w:shd w:val="clear" w:color="auto" w:fill="auto"/>
          </w:tcPr>
          <w:p w:rsidR="00537B2C" w:rsidRPr="00537B2C" w:rsidRDefault="00537B2C" w:rsidP="00537B2C">
            <w:pPr>
              <w:pStyle w:val="TableParagraph"/>
              <w:spacing w:before="37"/>
              <w:ind w:left="395"/>
              <w:jc w:val="right"/>
              <w:rPr>
                <w:rFonts w:ascii="Gill Sans MT" w:hAnsi="Gill Sans MT"/>
                <w:b/>
                <w:sz w:val="18"/>
              </w:rPr>
            </w:pPr>
            <w:r w:rsidRPr="00537B2C">
              <w:rPr>
                <w:rFonts w:ascii="Gill Sans MT" w:hAnsi="Gill Sans MT"/>
                <w:b/>
                <w:sz w:val="18"/>
              </w:rPr>
              <w:t>34 614</w:t>
            </w:r>
          </w:p>
        </w:tc>
        <w:tc>
          <w:tcPr>
            <w:tcW w:w="1020" w:type="dxa"/>
            <w:shd w:val="clear" w:color="auto" w:fill="auto"/>
          </w:tcPr>
          <w:p w:rsidR="00537B2C" w:rsidRPr="00537B2C" w:rsidRDefault="00537B2C" w:rsidP="00537B2C">
            <w:pPr>
              <w:pStyle w:val="TableParagraph"/>
              <w:spacing w:before="37"/>
              <w:ind w:left="288"/>
              <w:jc w:val="right"/>
              <w:rPr>
                <w:rFonts w:ascii="Gill Sans MT" w:hAnsi="Gill Sans MT"/>
                <w:b/>
                <w:sz w:val="18"/>
              </w:rPr>
            </w:pPr>
            <w:r w:rsidRPr="00537B2C">
              <w:rPr>
                <w:rFonts w:ascii="Gill Sans MT" w:hAnsi="Gill Sans MT"/>
                <w:b/>
                <w:sz w:val="18"/>
              </w:rPr>
              <w:t>824 941</w:t>
            </w:r>
          </w:p>
        </w:tc>
      </w:tr>
    </w:tbl>
    <w:p w:rsidR="00537B2C" w:rsidRDefault="00537B2C" w:rsidP="00537B2C"/>
    <w:p w:rsidR="00537B2C" w:rsidRDefault="00537B2C" w:rsidP="00537B2C">
      <w:pPr>
        <w:pStyle w:val="BodyText"/>
      </w:pPr>
      <w:r>
        <w:t xml:space="preserve">This Statement of Changes in </w:t>
      </w:r>
      <w:r>
        <w:rPr>
          <w:spacing w:val="2"/>
        </w:rPr>
        <w:t xml:space="preserve">Equity </w:t>
      </w:r>
      <w:r>
        <w:t>should be read in conjunction with the accompanying</w:t>
      </w:r>
      <w:r>
        <w:rPr>
          <w:spacing w:val="54"/>
        </w:rPr>
        <w:t xml:space="preserve"> </w:t>
      </w:r>
      <w:r>
        <w:t>notes.</w:t>
      </w:r>
    </w:p>
    <w:p w:rsidR="00F81A54" w:rsidRDefault="00F81A54">
      <w:r>
        <w:br w:type="page"/>
      </w:r>
    </w:p>
    <w:p w:rsidR="00537B2C" w:rsidRDefault="00F81A54" w:rsidP="00F81A54">
      <w:pPr>
        <w:pStyle w:val="Heading3"/>
      </w:pPr>
      <w:bookmarkStart w:id="54" w:name="_Toc472581994"/>
      <w:r>
        <w:lastRenderedPageBreak/>
        <w:t>Notes To and Forming Part of the Financial Statements</w:t>
      </w:r>
      <w:bookmarkEnd w:id="54"/>
    </w:p>
    <w:p w:rsidR="00F81A54" w:rsidRDefault="00F81A54" w:rsidP="00537B2C">
      <w:r>
        <w:t>For the year ended 30 June 2016</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Notes to and forming part of the Financial Statements"/>
      </w:tblPr>
      <w:tblGrid>
        <w:gridCol w:w="1045"/>
        <w:gridCol w:w="7744"/>
        <w:gridCol w:w="850"/>
      </w:tblGrid>
      <w:tr w:rsidR="00560B0E" w:rsidRPr="00560B0E" w:rsidTr="00560B0E">
        <w:trPr>
          <w:trHeight w:hRule="exact" w:val="826"/>
          <w:tblHeader/>
        </w:trPr>
        <w:tc>
          <w:tcPr>
            <w:tcW w:w="1045" w:type="dxa"/>
            <w:tcBorders>
              <w:top w:val="single" w:sz="2" w:space="0" w:color="000000"/>
            </w:tcBorders>
          </w:tcPr>
          <w:p w:rsidR="00560B0E" w:rsidRPr="00560B0E" w:rsidRDefault="00560B0E" w:rsidP="00560B0E">
            <w:pPr>
              <w:pStyle w:val="Heading4"/>
            </w:pPr>
            <w:r w:rsidRPr="00560B0E">
              <w:t>NOTE</w:t>
            </w:r>
          </w:p>
        </w:tc>
        <w:tc>
          <w:tcPr>
            <w:tcW w:w="7744" w:type="dxa"/>
            <w:tcBorders>
              <w:top w:val="single" w:sz="2" w:space="0" w:color="000000"/>
            </w:tcBorders>
          </w:tcPr>
          <w:p w:rsidR="00560B0E" w:rsidRPr="00560B0E" w:rsidRDefault="00560B0E" w:rsidP="00560B0E">
            <w:pPr>
              <w:pStyle w:val="Heading4"/>
              <w:rPr>
                <w:spacing w:val="-5"/>
              </w:rPr>
            </w:pPr>
            <w:r w:rsidRPr="00560B0E">
              <w:rPr>
                <w:spacing w:val="-5"/>
              </w:rPr>
              <w:t>REFERENCE</w:t>
            </w:r>
          </w:p>
        </w:tc>
        <w:tc>
          <w:tcPr>
            <w:tcW w:w="850" w:type="dxa"/>
            <w:tcBorders>
              <w:top w:val="single" w:sz="2" w:space="0" w:color="000000"/>
            </w:tcBorders>
          </w:tcPr>
          <w:p w:rsidR="00560B0E" w:rsidRPr="00560B0E" w:rsidRDefault="00560B0E" w:rsidP="00560B0E">
            <w:pPr>
              <w:pStyle w:val="Heading4"/>
              <w:jc w:val="right"/>
            </w:pPr>
            <w:r w:rsidRPr="00560B0E">
              <w:t>PAGE NO</w:t>
            </w:r>
          </w:p>
        </w:tc>
      </w:tr>
      <w:tr w:rsidR="00F81A54" w:rsidRPr="00560B0E" w:rsidTr="00560B0E">
        <w:trPr>
          <w:trHeight w:hRule="exact" w:val="401"/>
        </w:trPr>
        <w:tc>
          <w:tcPr>
            <w:tcW w:w="1045" w:type="dxa"/>
            <w:tcBorders>
              <w:top w:val="single" w:sz="2" w:space="0" w:color="000000"/>
            </w:tcBorders>
          </w:tcPr>
          <w:p w:rsidR="00F81A54" w:rsidRPr="00560B0E" w:rsidRDefault="00F81A54" w:rsidP="00F81A54">
            <w:pPr>
              <w:pStyle w:val="TableParagraph"/>
              <w:spacing w:before="57"/>
              <w:ind w:left="16" w:right="101"/>
              <w:jc w:val="center"/>
              <w:rPr>
                <w:rFonts w:ascii="Gill Sans MT" w:hAnsi="Gill Sans MT"/>
                <w:b/>
              </w:rPr>
            </w:pPr>
            <w:r w:rsidRPr="00560B0E">
              <w:rPr>
                <w:rFonts w:ascii="Gill Sans MT" w:hAnsi="Gill Sans MT"/>
                <w:b/>
                <w:color w:val="004D8F"/>
              </w:rPr>
              <w:t>NOTE 1</w:t>
            </w:r>
          </w:p>
        </w:tc>
        <w:tc>
          <w:tcPr>
            <w:tcW w:w="7744" w:type="dxa"/>
            <w:tcBorders>
              <w:top w:val="single" w:sz="2" w:space="0" w:color="000000"/>
            </w:tcBorders>
          </w:tcPr>
          <w:p w:rsidR="00F81A54" w:rsidRPr="00560B0E" w:rsidRDefault="00F81A54" w:rsidP="00F81A54">
            <w:pPr>
              <w:pStyle w:val="TableParagraph"/>
              <w:spacing w:before="59" w:line="280" w:lineRule="exact"/>
              <w:ind w:left="139" w:right="430"/>
              <w:rPr>
                <w:rFonts w:ascii="Gill Sans MT" w:hAnsi="Gill Sans MT"/>
                <w:b/>
              </w:rPr>
            </w:pPr>
            <w:r w:rsidRPr="00560B0E">
              <w:rPr>
                <w:rFonts w:ascii="Gill Sans MT" w:hAnsi="Gill Sans MT"/>
                <w:b/>
                <w:color w:val="004D8F"/>
                <w:spacing w:val="-5"/>
              </w:rPr>
              <w:t>TASMANIAN HEALTH SERVICE OUTPUT SCHEDULES</w:t>
            </w:r>
          </w:p>
        </w:tc>
        <w:tc>
          <w:tcPr>
            <w:tcW w:w="850" w:type="dxa"/>
            <w:tcBorders>
              <w:top w:val="single" w:sz="2" w:space="0" w:color="000000"/>
            </w:tcBorders>
          </w:tcPr>
          <w:p w:rsidR="00F81A54" w:rsidRPr="00560B0E" w:rsidRDefault="00946F5E" w:rsidP="005631CB">
            <w:pPr>
              <w:pStyle w:val="TableParagraph"/>
              <w:ind w:right="11"/>
              <w:jc w:val="right"/>
              <w:rPr>
                <w:rFonts w:ascii="Gill Sans MT" w:hAnsi="Gill Sans MT"/>
                <w:b/>
              </w:rPr>
            </w:pPr>
            <w:r>
              <w:rPr>
                <w:rFonts w:ascii="Gill Sans MT" w:hAnsi="Gill Sans MT"/>
                <w:b/>
                <w:color w:val="004D8F"/>
              </w:rPr>
              <w:t>15</w:t>
            </w:r>
            <w:r w:rsidR="005631CB">
              <w:rPr>
                <w:rFonts w:ascii="Gill Sans MT" w:hAnsi="Gill Sans MT"/>
                <w:b/>
                <w:color w:val="004D8F"/>
              </w:rPr>
              <w:t>2</w:t>
            </w:r>
          </w:p>
        </w:tc>
      </w:tr>
      <w:tr w:rsidR="00F81A54" w:rsidRPr="00560B0E" w:rsidTr="00560B0E">
        <w:trPr>
          <w:trHeight w:hRule="exact" w:val="271"/>
        </w:trPr>
        <w:tc>
          <w:tcPr>
            <w:tcW w:w="1045" w:type="dxa"/>
            <w:vMerge w:val="restart"/>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ind w:left="138"/>
              <w:rPr>
                <w:rFonts w:ascii="Gill Sans MT" w:hAnsi="Gill Sans MT"/>
              </w:rPr>
            </w:pPr>
            <w:r w:rsidRPr="00560B0E">
              <w:rPr>
                <w:rFonts w:ascii="Gill Sans MT" w:hAnsi="Gill Sans MT"/>
                <w:spacing w:val="-7"/>
              </w:rPr>
              <w:t>1.1</w:t>
            </w:r>
            <w:r w:rsidRPr="00560B0E">
              <w:rPr>
                <w:rFonts w:ascii="Gill Sans MT" w:hAnsi="Gill Sans MT"/>
                <w:spacing w:val="-7"/>
              </w:rPr>
              <w:tab/>
            </w:r>
            <w:r w:rsidRPr="00560B0E">
              <w:rPr>
                <w:rFonts w:ascii="Gill Sans MT" w:hAnsi="Gill Sans MT"/>
                <w:spacing w:val="2"/>
              </w:rPr>
              <w:t xml:space="preserve">Establishment </w:t>
            </w:r>
            <w:r w:rsidRPr="00560B0E">
              <w:rPr>
                <w:rFonts w:ascii="Gill Sans MT" w:hAnsi="Gill Sans MT"/>
              </w:rPr>
              <w:t>of the Tasmanian Health</w:t>
            </w:r>
            <w:r w:rsidRPr="00560B0E">
              <w:rPr>
                <w:rFonts w:ascii="Gill Sans MT" w:hAnsi="Gill Sans MT"/>
                <w:spacing w:val="6"/>
              </w:rPr>
              <w:t xml:space="preserve"> </w:t>
            </w:r>
            <w:r w:rsidRPr="00560B0E">
              <w:rPr>
                <w:rFonts w:ascii="Gill Sans MT" w:hAnsi="Gill Sans MT"/>
                <w:spacing w:val="2"/>
              </w:rPr>
              <w:t>Service</w:t>
            </w:r>
          </w:p>
        </w:tc>
        <w:tc>
          <w:tcPr>
            <w:tcW w:w="850" w:type="dxa"/>
          </w:tcPr>
          <w:p w:rsidR="00F81A54" w:rsidRPr="00560B0E" w:rsidRDefault="00946F5E" w:rsidP="005631CB">
            <w:pPr>
              <w:pStyle w:val="TableParagraph"/>
              <w:ind w:right="12"/>
              <w:jc w:val="right"/>
              <w:rPr>
                <w:rFonts w:ascii="Gill Sans MT" w:hAnsi="Gill Sans MT"/>
              </w:rPr>
            </w:pPr>
            <w:r>
              <w:rPr>
                <w:rFonts w:ascii="Gill Sans MT" w:hAnsi="Gill Sans MT"/>
              </w:rPr>
              <w:t>15</w:t>
            </w:r>
            <w:r w:rsidR="005631CB">
              <w:rPr>
                <w:rFonts w:ascii="Gill Sans MT" w:hAnsi="Gill Sans MT"/>
              </w:rPr>
              <w:t>2</w:t>
            </w:r>
          </w:p>
        </w:tc>
      </w:tr>
      <w:tr w:rsidR="00F81A54" w:rsidRPr="00560B0E" w:rsidTr="00560B0E">
        <w:trPr>
          <w:trHeight w:hRule="exact" w:val="326"/>
        </w:trPr>
        <w:tc>
          <w:tcPr>
            <w:tcW w:w="1045" w:type="dxa"/>
            <w:vMerge/>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rPr>
              <w:t>1.2</w:t>
            </w:r>
            <w:r w:rsidRPr="00560B0E">
              <w:rPr>
                <w:rFonts w:ascii="Gill Sans MT" w:hAnsi="Gill Sans MT"/>
              </w:rPr>
              <w:tab/>
            </w:r>
            <w:r w:rsidRPr="00560B0E">
              <w:rPr>
                <w:rFonts w:ascii="Gill Sans MT" w:hAnsi="Gill Sans MT"/>
                <w:spacing w:val="2"/>
              </w:rPr>
              <w:t xml:space="preserve">Output </w:t>
            </w:r>
            <w:r w:rsidRPr="00560B0E">
              <w:rPr>
                <w:rFonts w:ascii="Gill Sans MT" w:hAnsi="Gill Sans MT"/>
              </w:rPr>
              <w:t>Group</w:t>
            </w:r>
            <w:r w:rsidRPr="00560B0E">
              <w:rPr>
                <w:rFonts w:ascii="Gill Sans MT" w:hAnsi="Gill Sans MT"/>
                <w:spacing w:val="22"/>
              </w:rPr>
              <w:t xml:space="preserve"> </w:t>
            </w:r>
            <w:r w:rsidRPr="00560B0E">
              <w:rPr>
                <w:rFonts w:ascii="Gill Sans MT" w:hAnsi="Gill Sans MT"/>
              </w:rPr>
              <w:t>Information</w:t>
            </w:r>
          </w:p>
        </w:tc>
        <w:tc>
          <w:tcPr>
            <w:tcW w:w="850" w:type="dxa"/>
            <w:tcBorders>
              <w:bottom w:val="single" w:sz="2" w:space="0" w:color="000000"/>
            </w:tcBorders>
          </w:tcPr>
          <w:p w:rsidR="00F81A54" w:rsidRPr="00560B0E" w:rsidRDefault="00946F5E" w:rsidP="005631CB">
            <w:pPr>
              <w:pStyle w:val="TableParagraph"/>
              <w:spacing w:before="20"/>
              <w:ind w:right="12"/>
              <w:jc w:val="right"/>
              <w:rPr>
                <w:rFonts w:ascii="Gill Sans MT" w:hAnsi="Gill Sans MT"/>
              </w:rPr>
            </w:pPr>
            <w:r>
              <w:rPr>
                <w:rFonts w:ascii="Gill Sans MT" w:hAnsi="Gill Sans MT"/>
              </w:rPr>
              <w:t>15</w:t>
            </w:r>
            <w:r w:rsidR="005631CB">
              <w:rPr>
                <w:rFonts w:ascii="Gill Sans MT" w:hAnsi="Gill Sans MT"/>
              </w:rPr>
              <w:t>3</w:t>
            </w:r>
          </w:p>
        </w:tc>
      </w:tr>
      <w:tr w:rsidR="00F81A54" w:rsidRPr="00560B0E" w:rsidTr="00560B0E">
        <w:trPr>
          <w:trHeight w:hRule="exact" w:val="673"/>
        </w:trPr>
        <w:tc>
          <w:tcPr>
            <w:tcW w:w="1045" w:type="dxa"/>
            <w:tcBorders>
              <w:top w:val="single" w:sz="2" w:space="0" w:color="000000"/>
              <w:bottom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2</w:t>
            </w:r>
          </w:p>
        </w:tc>
        <w:tc>
          <w:tcPr>
            <w:tcW w:w="7744" w:type="dxa"/>
            <w:tcBorders>
              <w:top w:val="single" w:sz="2" w:space="0" w:color="000000"/>
              <w:bottom w:val="single" w:sz="2" w:space="0" w:color="000000"/>
            </w:tcBorders>
          </w:tcPr>
          <w:p w:rsidR="00F81A54" w:rsidRPr="00560B0E" w:rsidRDefault="00F81A54" w:rsidP="00F81A54">
            <w:pPr>
              <w:pStyle w:val="TableParagraph"/>
              <w:spacing w:before="59" w:line="280" w:lineRule="exact"/>
              <w:ind w:left="138" w:right="1661"/>
              <w:rPr>
                <w:rFonts w:ascii="Gill Sans MT" w:hAnsi="Gill Sans MT"/>
                <w:b/>
              </w:rPr>
            </w:pPr>
            <w:r w:rsidRPr="00560B0E">
              <w:rPr>
                <w:rFonts w:ascii="Gill Sans MT" w:hAnsi="Gill Sans MT"/>
                <w:b/>
                <w:color w:val="004D8F"/>
                <w:spacing w:val="-4"/>
              </w:rPr>
              <w:t xml:space="preserve">EXPENDITURE </w:t>
            </w:r>
            <w:r w:rsidRPr="00560B0E">
              <w:rPr>
                <w:rFonts w:ascii="Gill Sans MT" w:hAnsi="Gill Sans MT"/>
                <w:b/>
                <w:color w:val="004D8F"/>
              </w:rPr>
              <w:t xml:space="preserve">UNDER </w:t>
            </w:r>
            <w:r w:rsidRPr="00560B0E">
              <w:rPr>
                <w:rFonts w:ascii="Gill Sans MT" w:hAnsi="Gill Sans MT"/>
                <w:b/>
                <w:color w:val="004D8F"/>
                <w:spacing w:val="-4"/>
              </w:rPr>
              <w:t xml:space="preserve">AUSTRALIAN GOVERNMENT </w:t>
            </w:r>
            <w:r w:rsidRPr="00560B0E">
              <w:rPr>
                <w:rFonts w:ascii="Gill Sans MT" w:hAnsi="Gill Sans MT"/>
                <w:b/>
                <w:color w:val="004D8F"/>
                <w:spacing w:val="-3"/>
              </w:rPr>
              <w:t>FUNDING ARRANGEMENTS</w:t>
            </w:r>
          </w:p>
        </w:tc>
        <w:tc>
          <w:tcPr>
            <w:tcW w:w="850" w:type="dxa"/>
            <w:tcBorders>
              <w:top w:val="single" w:sz="2" w:space="0" w:color="000000"/>
              <w:bottom w:val="single" w:sz="2" w:space="0" w:color="000000"/>
            </w:tcBorders>
          </w:tcPr>
          <w:p w:rsidR="00F81A54" w:rsidRPr="00560B0E" w:rsidRDefault="00F81A54" w:rsidP="00F81A54">
            <w:pPr>
              <w:pStyle w:val="TableParagraph"/>
              <w:spacing w:before="1"/>
              <w:rPr>
                <w:rFonts w:ascii="Gill Sans MT" w:hAnsi="Gill Sans MT"/>
                <w:b/>
              </w:rPr>
            </w:pPr>
          </w:p>
          <w:p w:rsidR="00F81A54" w:rsidRPr="00560B0E" w:rsidRDefault="00946F5E" w:rsidP="005631CB">
            <w:pPr>
              <w:pStyle w:val="TableParagraph"/>
              <w:ind w:right="11"/>
              <w:jc w:val="right"/>
              <w:rPr>
                <w:rFonts w:ascii="Gill Sans MT" w:hAnsi="Gill Sans MT"/>
                <w:b/>
              </w:rPr>
            </w:pPr>
            <w:r>
              <w:rPr>
                <w:rFonts w:ascii="Gill Sans MT" w:hAnsi="Gill Sans MT"/>
                <w:b/>
                <w:color w:val="004D8F"/>
              </w:rPr>
              <w:t>15</w:t>
            </w:r>
            <w:r w:rsidR="005631CB">
              <w:rPr>
                <w:rFonts w:ascii="Gill Sans MT" w:hAnsi="Gill Sans MT"/>
                <w:b/>
                <w:color w:val="004D8F"/>
              </w:rPr>
              <w:t>3</w:t>
            </w:r>
          </w:p>
        </w:tc>
      </w:tr>
      <w:tr w:rsidR="00F81A54" w:rsidRPr="00560B0E" w:rsidTr="00560B0E">
        <w:trPr>
          <w:trHeight w:hRule="exact" w:val="694"/>
        </w:trPr>
        <w:tc>
          <w:tcPr>
            <w:tcW w:w="1045" w:type="dxa"/>
            <w:tcBorders>
              <w:top w:val="single" w:sz="2" w:space="0" w:color="000000"/>
            </w:tcBorders>
          </w:tcPr>
          <w:p w:rsidR="00F81A54" w:rsidRPr="00560B0E" w:rsidRDefault="00F81A54" w:rsidP="00F81A54">
            <w:pPr>
              <w:pStyle w:val="TableParagraph"/>
              <w:spacing w:before="57"/>
              <w:ind w:left="16" w:right="101"/>
              <w:jc w:val="center"/>
              <w:rPr>
                <w:rFonts w:ascii="Gill Sans MT" w:hAnsi="Gill Sans MT"/>
                <w:b/>
              </w:rPr>
            </w:pPr>
            <w:r w:rsidRPr="00560B0E">
              <w:rPr>
                <w:rFonts w:ascii="Gill Sans MT" w:hAnsi="Gill Sans MT"/>
                <w:b/>
                <w:color w:val="004D8F"/>
              </w:rPr>
              <w:t>NOTE 3</w:t>
            </w:r>
          </w:p>
        </w:tc>
        <w:tc>
          <w:tcPr>
            <w:tcW w:w="7744" w:type="dxa"/>
            <w:tcBorders>
              <w:top w:val="single" w:sz="2" w:space="0" w:color="000000"/>
            </w:tcBorders>
          </w:tcPr>
          <w:p w:rsidR="00F81A54" w:rsidRPr="00560B0E" w:rsidRDefault="00F81A54" w:rsidP="00F81A54">
            <w:pPr>
              <w:pStyle w:val="TableParagraph"/>
              <w:spacing w:before="59" w:line="280" w:lineRule="exact"/>
              <w:ind w:left="139" w:right="430"/>
              <w:rPr>
                <w:rFonts w:ascii="Gill Sans MT" w:hAnsi="Gill Sans MT"/>
                <w:b/>
              </w:rPr>
            </w:pPr>
            <w:r w:rsidRPr="00560B0E">
              <w:rPr>
                <w:rFonts w:ascii="Gill Sans MT" w:hAnsi="Gill Sans MT"/>
                <w:b/>
                <w:color w:val="004D8F"/>
                <w:spacing w:val="-5"/>
              </w:rPr>
              <w:t xml:space="preserve">EXPLANATIONS </w:t>
            </w:r>
            <w:r w:rsidRPr="00560B0E">
              <w:rPr>
                <w:rFonts w:ascii="Gill Sans MT" w:hAnsi="Gill Sans MT"/>
                <w:b/>
                <w:color w:val="004D8F"/>
              </w:rPr>
              <w:t xml:space="preserve">OF </w:t>
            </w:r>
            <w:r w:rsidRPr="00560B0E">
              <w:rPr>
                <w:rFonts w:ascii="Gill Sans MT" w:hAnsi="Gill Sans MT"/>
                <w:b/>
                <w:color w:val="004D8F"/>
                <w:spacing w:val="-7"/>
              </w:rPr>
              <w:t xml:space="preserve">MATERIAL </w:t>
            </w:r>
            <w:r w:rsidRPr="00560B0E">
              <w:rPr>
                <w:rFonts w:ascii="Gill Sans MT" w:hAnsi="Gill Sans MT"/>
                <w:b/>
                <w:color w:val="004D8F"/>
                <w:spacing w:val="-5"/>
              </w:rPr>
              <w:t xml:space="preserve">VARIANCES </w:t>
            </w:r>
            <w:r w:rsidRPr="00560B0E">
              <w:rPr>
                <w:rFonts w:ascii="Gill Sans MT" w:hAnsi="Gill Sans MT"/>
                <w:b/>
                <w:color w:val="004D8F"/>
              </w:rPr>
              <w:t xml:space="preserve">BETWEEN </w:t>
            </w:r>
            <w:r w:rsidRPr="00560B0E">
              <w:rPr>
                <w:rFonts w:ascii="Gill Sans MT" w:hAnsi="Gill Sans MT"/>
                <w:b/>
                <w:color w:val="004D8F"/>
                <w:spacing w:val="-4"/>
              </w:rPr>
              <w:t xml:space="preserve">BUDGET </w:t>
            </w:r>
            <w:r w:rsidRPr="00560B0E">
              <w:rPr>
                <w:rFonts w:ascii="Gill Sans MT" w:hAnsi="Gill Sans MT"/>
                <w:b/>
                <w:color w:val="004D8F"/>
              </w:rPr>
              <w:t xml:space="preserve">AND </w:t>
            </w:r>
            <w:r w:rsidRPr="00560B0E">
              <w:rPr>
                <w:rFonts w:ascii="Gill Sans MT" w:hAnsi="Gill Sans MT"/>
                <w:b/>
                <w:color w:val="004D8F"/>
                <w:spacing w:val="-6"/>
              </w:rPr>
              <w:t xml:space="preserve">ACTUAL </w:t>
            </w:r>
            <w:r w:rsidRPr="00560B0E">
              <w:rPr>
                <w:rFonts w:ascii="Gill Sans MT" w:hAnsi="Gill Sans MT"/>
                <w:b/>
                <w:color w:val="004D8F"/>
                <w:spacing w:val="-5"/>
              </w:rPr>
              <w:t>OUTCOMES</w:t>
            </w:r>
          </w:p>
        </w:tc>
        <w:tc>
          <w:tcPr>
            <w:tcW w:w="850" w:type="dxa"/>
            <w:tcBorders>
              <w:top w:val="single" w:sz="2" w:space="0" w:color="000000"/>
            </w:tcBorders>
          </w:tcPr>
          <w:p w:rsidR="00F81A54" w:rsidRPr="00560B0E" w:rsidRDefault="00F81A54" w:rsidP="00F81A54">
            <w:pPr>
              <w:pStyle w:val="TableParagraph"/>
              <w:spacing w:before="1"/>
              <w:rPr>
                <w:rFonts w:ascii="Gill Sans MT" w:hAnsi="Gill Sans MT"/>
                <w:b/>
              </w:rPr>
            </w:pPr>
          </w:p>
          <w:p w:rsidR="00F81A54" w:rsidRPr="00560B0E" w:rsidRDefault="00946F5E" w:rsidP="005631CB">
            <w:pPr>
              <w:pStyle w:val="TableParagraph"/>
              <w:ind w:right="11"/>
              <w:jc w:val="right"/>
              <w:rPr>
                <w:rFonts w:ascii="Gill Sans MT" w:hAnsi="Gill Sans MT"/>
                <w:b/>
              </w:rPr>
            </w:pPr>
            <w:r>
              <w:rPr>
                <w:rFonts w:ascii="Gill Sans MT" w:hAnsi="Gill Sans MT"/>
                <w:b/>
                <w:color w:val="004D8F"/>
              </w:rPr>
              <w:t>15</w:t>
            </w:r>
            <w:r w:rsidR="005631CB">
              <w:rPr>
                <w:rFonts w:ascii="Gill Sans MT" w:hAnsi="Gill Sans MT"/>
                <w:b/>
                <w:color w:val="004D8F"/>
              </w:rPr>
              <w:t>4</w:t>
            </w:r>
          </w:p>
        </w:tc>
      </w:tr>
      <w:tr w:rsidR="00F81A54" w:rsidRPr="00560B0E" w:rsidTr="00560B0E">
        <w:trPr>
          <w:trHeight w:hRule="exact" w:val="338"/>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68"/>
              <w:ind w:left="138"/>
              <w:rPr>
                <w:rFonts w:ascii="Gill Sans MT" w:hAnsi="Gill Sans MT"/>
              </w:rPr>
            </w:pPr>
            <w:r w:rsidRPr="00560B0E">
              <w:rPr>
                <w:rFonts w:ascii="Gill Sans MT" w:hAnsi="Gill Sans MT"/>
                <w:spacing w:val="-3"/>
              </w:rPr>
              <w:t>3.1</w:t>
            </w:r>
            <w:r w:rsidRPr="00560B0E">
              <w:rPr>
                <w:rFonts w:ascii="Gill Sans MT" w:hAnsi="Gill Sans MT"/>
                <w:spacing w:val="-3"/>
              </w:rPr>
              <w:tab/>
            </w:r>
            <w:r w:rsidRPr="00560B0E">
              <w:rPr>
                <w:rFonts w:ascii="Gill Sans MT" w:hAnsi="Gill Sans MT"/>
              </w:rPr>
              <w:t>Statement of Comprehensive</w:t>
            </w:r>
            <w:r w:rsidRPr="00560B0E">
              <w:rPr>
                <w:rFonts w:ascii="Gill Sans MT" w:hAnsi="Gill Sans MT"/>
                <w:spacing w:val="29"/>
              </w:rPr>
              <w:t xml:space="preserve"> </w:t>
            </w:r>
            <w:r w:rsidRPr="00560B0E">
              <w:rPr>
                <w:rFonts w:ascii="Gill Sans MT" w:hAnsi="Gill Sans MT"/>
              </w:rPr>
              <w:t>Income</w:t>
            </w:r>
          </w:p>
        </w:tc>
        <w:tc>
          <w:tcPr>
            <w:tcW w:w="850" w:type="dxa"/>
          </w:tcPr>
          <w:p w:rsidR="00F81A54" w:rsidRPr="00560B0E" w:rsidRDefault="00946F5E" w:rsidP="005631CB">
            <w:pPr>
              <w:pStyle w:val="TableParagraph"/>
              <w:spacing w:before="68"/>
              <w:ind w:right="12"/>
              <w:jc w:val="right"/>
              <w:rPr>
                <w:rFonts w:ascii="Gill Sans MT" w:hAnsi="Gill Sans MT"/>
              </w:rPr>
            </w:pPr>
            <w:r>
              <w:rPr>
                <w:rFonts w:ascii="Gill Sans MT" w:hAnsi="Gill Sans MT"/>
              </w:rPr>
              <w:t>15</w:t>
            </w:r>
            <w:r w:rsidR="005631CB">
              <w:rPr>
                <w:rFonts w:ascii="Gill Sans MT" w:hAnsi="Gill Sans MT"/>
              </w:rPr>
              <w:t>4</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2"/>
              </w:rPr>
              <w:t>3.2</w:t>
            </w:r>
            <w:r w:rsidRPr="00560B0E">
              <w:rPr>
                <w:rFonts w:ascii="Gill Sans MT" w:hAnsi="Gill Sans MT"/>
                <w:spacing w:val="2"/>
              </w:rPr>
              <w:tab/>
            </w:r>
            <w:r w:rsidRPr="00560B0E">
              <w:rPr>
                <w:rFonts w:ascii="Gill Sans MT" w:hAnsi="Gill Sans MT"/>
              </w:rPr>
              <w:t>Statement of Financial</w:t>
            </w:r>
            <w:r w:rsidRPr="00560B0E">
              <w:rPr>
                <w:rFonts w:ascii="Gill Sans MT" w:hAnsi="Gill Sans MT"/>
                <w:spacing w:val="18"/>
              </w:rPr>
              <w:t xml:space="preserve"> </w:t>
            </w:r>
            <w:r w:rsidRPr="00560B0E">
              <w:rPr>
                <w:rFonts w:ascii="Gill Sans MT" w:hAnsi="Gill Sans MT"/>
              </w:rPr>
              <w:t>Position</w:t>
            </w:r>
          </w:p>
        </w:tc>
        <w:tc>
          <w:tcPr>
            <w:tcW w:w="850" w:type="dxa"/>
          </w:tcPr>
          <w:p w:rsidR="00F81A54" w:rsidRPr="00560B0E" w:rsidRDefault="00946F5E" w:rsidP="005631CB">
            <w:pPr>
              <w:pStyle w:val="TableParagraph"/>
              <w:spacing w:before="20"/>
              <w:ind w:right="12"/>
              <w:jc w:val="right"/>
              <w:rPr>
                <w:rFonts w:ascii="Gill Sans MT" w:hAnsi="Gill Sans MT"/>
              </w:rPr>
            </w:pPr>
            <w:r>
              <w:rPr>
                <w:rFonts w:ascii="Gill Sans MT" w:hAnsi="Gill Sans MT"/>
              </w:rPr>
              <w:t>15</w:t>
            </w:r>
            <w:r w:rsidR="005631CB">
              <w:rPr>
                <w:rFonts w:ascii="Gill Sans MT" w:hAnsi="Gill Sans MT"/>
              </w:rPr>
              <w:t>5</w:t>
            </w:r>
          </w:p>
        </w:tc>
      </w:tr>
      <w:tr w:rsidR="00F81A54" w:rsidRPr="00560B0E" w:rsidTr="00560B0E">
        <w:trPr>
          <w:trHeight w:hRule="exact" w:val="326"/>
        </w:trPr>
        <w:tc>
          <w:tcPr>
            <w:tcW w:w="1045" w:type="dxa"/>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2"/>
              </w:rPr>
              <w:t>3.3</w:t>
            </w:r>
            <w:r w:rsidRPr="00560B0E">
              <w:rPr>
                <w:rFonts w:ascii="Gill Sans MT" w:hAnsi="Gill Sans MT"/>
                <w:spacing w:val="2"/>
              </w:rPr>
              <w:tab/>
            </w:r>
            <w:r w:rsidRPr="00560B0E">
              <w:rPr>
                <w:rFonts w:ascii="Gill Sans MT" w:hAnsi="Gill Sans MT"/>
              </w:rPr>
              <w:t xml:space="preserve">Statement of </w:t>
            </w:r>
            <w:r w:rsidRPr="00560B0E">
              <w:rPr>
                <w:rFonts w:ascii="Gill Sans MT" w:hAnsi="Gill Sans MT"/>
                <w:spacing w:val="2"/>
              </w:rPr>
              <w:t>Cash</w:t>
            </w:r>
            <w:r w:rsidRPr="00560B0E">
              <w:rPr>
                <w:rFonts w:ascii="Gill Sans MT" w:hAnsi="Gill Sans MT"/>
                <w:spacing w:val="13"/>
              </w:rPr>
              <w:t xml:space="preserve"> </w:t>
            </w:r>
            <w:r w:rsidRPr="00560B0E">
              <w:rPr>
                <w:rFonts w:ascii="Gill Sans MT" w:hAnsi="Gill Sans MT"/>
              </w:rPr>
              <w:t>Flows</w:t>
            </w:r>
          </w:p>
        </w:tc>
        <w:tc>
          <w:tcPr>
            <w:tcW w:w="850" w:type="dxa"/>
            <w:tcBorders>
              <w:bottom w:val="single" w:sz="2" w:space="0" w:color="000000"/>
            </w:tcBorders>
          </w:tcPr>
          <w:p w:rsidR="00F81A54" w:rsidRPr="00560B0E" w:rsidRDefault="00946F5E" w:rsidP="005631CB">
            <w:pPr>
              <w:pStyle w:val="TableParagraph"/>
              <w:spacing w:before="20"/>
              <w:ind w:right="12"/>
              <w:jc w:val="right"/>
              <w:rPr>
                <w:rFonts w:ascii="Gill Sans MT" w:hAnsi="Gill Sans MT"/>
              </w:rPr>
            </w:pPr>
            <w:r>
              <w:rPr>
                <w:rFonts w:ascii="Gill Sans MT" w:hAnsi="Gill Sans MT"/>
              </w:rPr>
              <w:t>15</w:t>
            </w:r>
            <w:r w:rsidR="005631CB">
              <w:rPr>
                <w:rFonts w:ascii="Gill Sans MT" w:hAnsi="Gill Sans MT"/>
              </w:rPr>
              <w:t>6</w:t>
            </w:r>
          </w:p>
        </w:tc>
      </w:tr>
      <w:tr w:rsidR="00F81A54" w:rsidRPr="00560B0E" w:rsidTr="00560B0E">
        <w:trPr>
          <w:trHeight w:hRule="exact" w:val="393"/>
        </w:trPr>
        <w:tc>
          <w:tcPr>
            <w:tcW w:w="1045" w:type="dxa"/>
            <w:tcBorders>
              <w:top w:val="single" w:sz="2" w:space="0" w:color="000000"/>
              <w:bottom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4</w:t>
            </w:r>
          </w:p>
        </w:tc>
        <w:tc>
          <w:tcPr>
            <w:tcW w:w="7744" w:type="dxa"/>
            <w:tcBorders>
              <w:top w:val="single" w:sz="2" w:space="0" w:color="000000"/>
              <w:bottom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UNDERLYING NET OPERATING BALANCE</w:t>
            </w:r>
          </w:p>
        </w:tc>
        <w:tc>
          <w:tcPr>
            <w:tcW w:w="850" w:type="dxa"/>
            <w:tcBorders>
              <w:top w:val="single" w:sz="2" w:space="0" w:color="000000"/>
              <w:bottom w:val="single" w:sz="2" w:space="0" w:color="000000"/>
            </w:tcBorders>
          </w:tcPr>
          <w:p w:rsidR="00F81A54" w:rsidRPr="00560B0E" w:rsidRDefault="00946F5E" w:rsidP="005631CB">
            <w:pPr>
              <w:pStyle w:val="TableParagraph"/>
              <w:spacing w:before="57"/>
              <w:ind w:right="12"/>
              <w:jc w:val="right"/>
              <w:rPr>
                <w:rFonts w:ascii="Gill Sans MT" w:hAnsi="Gill Sans MT"/>
                <w:b/>
              </w:rPr>
            </w:pPr>
            <w:r>
              <w:rPr>
                <w:rFonts w:ascii="Gill Sans MT" w:hAnsi="Gill Sans MT"/>
                <w:b/>
                <w:color w:val="004D8F"/>
              </w:rPr>
              <w:t>15</w:t>
            </w:r>
            <w:r w:rsidR="005631CB">
              <w:rPr>
                <w:rFonts w:ascii="Gill Sans MT" w:hAnsi="Gill Sans MT"/>
                <w:b/>
                <w:color w:val="004D8F"/>
              </w:rPr>
              <w:t>7</w:t>
            </w:r>
          </w:p>
        </w:tc>
      </w:tr>
      <w:tr w:rsidR="00F81A54" w:rsidRPr="00560B0E" w:rsidTr="00560B0E">
        <w:trPr>
          <w:trHeight w:hRule="exact" w:val="371"/>
        </w:trPr>
        <w:tc>
          <w:tcPr>
            <w:tcW w:w="1045" w:type="dxa"/>
            <w:tcBorders>
              <w:top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5</w:t>
            </w:r>
          </w:p>
        </w:tc>
        <w:tc>
          <w:tcPr>
            <w:tcW w:w="7744" w:type="dxa"/>
            <w:tcBorders>
              <w:top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INCOME FROM TRANSACTIONS</w:t>
            </w:r>
          </w:p>
        </w:tc>
        <w:tc>
          <w:tcPr>
            <w:tcW w:w="850" w:type="dxa"/>
            <w:tcBorders>
              <w:top w:val="single" w:sz="2" w:space="0" w:color="000000"/>
            </w:tcBorders>
          </w:tcPr>
          <w:p w:rsidR="00F81A54" w:rsidRPr="00560B0E" w:rsidRDefault="00946F5E" w:rsidP="005631CB">
            <w:pPr>
              <w:pStyle w:val="TableParagraph"/>
              <w:spacing w:before="57"/>
              <w:ind w:right="12"/>
              <w:jc w:val="right"/>
              <w:rPr>
                <w:rFonts w:ascii="Gill Sans MT" w:hAnsi="Gill Sans MT"/>
                <w:b/>
              </w:rPr>
            </w:pPr>
            <w:r>
              <w:rPr>
                <w:rFonts w:ascii="Gill Sans MT" w:hAnsi="Gill Sans MT"/>
                <w:b/>
                <w:color w:val="004D8F"/>
              </w:rPr>
              <w:t>15</w:t>
            </w:r>
            <w:r w:rsidR="005631CB">
              <w:rPr>
                <w:rFonts w:ascii="Gill Sans MT" w:hAnsi="Gill Sans MT"/>
                <w:b/>
                <w:color w:val="004D8F"/>
              </w:rPr>
              <w:t>8</w:t>
            </w:r>
          </w:p>
        </w:tc>
      </w:tr>
      <w:tr w:rsidR="00F81A54" w:rsidRPr="00560B0E" w:rsidTr="00560B0E">
        <w:trPr>
          <w:trHeight w:hRule="exact" w:val="290"/>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5"/>
              <w:ind w:left="138"/>
              <w:rPr>
                <w:rFonts w:ascii="Gill Sans MT" w:hAnsi="Gill Sans MT"/>
              </w:rPr>
            </w:pPr>
            <w:r w:rsidRPr="00560B0E">
              <w:rPr>
                <w:rFonts w:ascii="Gill Sans MT" w:hAnsi="Gill Sans MT"/>
                <w:spacing w:val="-3"/>
              </w:rPr>
              <w:t>5.1</w:t>
            </w:r>
            <w:r w:rsidRPr="00560B0E">
              <w:rPr>
                <w:rFonts w:ascii="Gill Sans MT" w:hAnsi="Gill Sans MT"/>
                <w:spacing w:val="-3"/>
              </w:rPr>
              <w:tab/>
            </w:r>
            <w:r w:rsidRPr="00560B0E">
              <w:rPr>
                <w:rFonts w:ascii="Gill Sans MT" w:hAnsi="Gill Sans MT"/>
                <w:spacing w:val="3"/>
              </w:rPr>
              <w:t>Grants</w:t>
            </w:r>
          </w:p>
        </w:tc>
        <w:tc>
          <w:tcPr>
            <w:tcW w:w="850" w:type="dxa"/>
          </w:tcPr>
          <w:p w:rsidR="00F81A54" w:rsidRPr="00560B0E" w:rsidRDefault="00946F5E" w:rsidP="005631CB">
            <w:pPr>
              <w:pStyle w:val="TableParagraph"/>
              <w:spacing w:before="25"/>
              <w:ind w:right="12"/>
              <w:jc w:val="right"/>
              <w:rPr>
                <w:rFonts w:ascii="Gill Sans MT" w:hAnsi="Gill Sans MT"/>
              </w:rPr>
            </w:pPr>
            <w:r>
              <w:rPr>
                <w:rFonts w:ascii="Gill Sans MT" w:hAnsi="Gill Sans MT"/>
              </w:rPr>
              <w:t>15</w:t>
            </w:r>
            <w:r w:rsidR="005631CB">
              <w:rPr>
                <w:rFonts w:ascii="Gill Sans MT" w:hAnsi="Gill Sans MT"/>
              </w:rPr>
              <w:t>8</w:t>
            </w:r>
          </w:p>
        </w:tc>
      </w:tr>
      <w:tr w:rsidR="00F81A54" w:rsidRPr="00560B0E" w:rsidTr="00560B0E">
        <w:trPr>
          <w:trHeight w:hRule="exact" w:val="28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15"/>
              <w:ind w:left="138"/>
              <w:rPr>
                <w:rFonts w:ascii="Gill Sans MT" w:hAnsi="Gill Sans MT"/>
              </w:rPr>
            </w:pPr>
            <w:r w:rsidRPr="00560B0E">
              <w:rPr>
                <w:rFonts w:ascii="Gill Sans MT" w:hAnsi="Gill Sans MT"/>
              </w:rPr>
              <w:t>5.2</w:t>
            </w:r>
            <w:r w:rsidRPr="00560B0E">
              <w:rPr>
                <w:rFonts w:ascii="Gill Sans MT" w:hAnsi="Gill Sans MT"/>
              </w:rPr>
              <w:tab/>
              <w:t>Sales of Goods and</w:t>
            </w:r>
            <w:r w:rsidRPr="00560B0E">
              <w:rPr>
                <w:rFonts w:ascii="Gill Sans MT" w:hAnsi="Gill Sans MT"/>
                <w:spacing w:val="11"/>
              </w:rPr>
              <w:t xml:space="preserve"> </w:t>
            </w:r>
            <w:r w:rsidRPr="00560B0E">
              <w:rPr>
                <w:rFonts w:ascii="Gill Sans MT" w:hAnsi="Gill Sans MT"/>
                <w:spacing w:val="2"/>
              </w:rPr>
              <w:t>Services</w:t>
            </w:r>
          </w:p>
        </w:tc>
        <w:tc>
          <w:tcPr>
            <w:tcW w:w="850" w:type="dxa"/>
          </w:tcPr>
          <w:p w:rsidR="00F81A54" w:rsidRPr="00560B0E" w:rsidRDefault="00946F5E" w:rsidP="00F81A54">
            <w:pPr>
              <w:pStyle w:val="TableParagraph"/>
              <w:spacing w:before="15"/>
              <w:ind w:right="12"/>
              <w:jc w:val="right"/>
              <w:rPr>
                <w:rFonts w:ascii="Gill Sans MT" w:hAnsi="Gill Sans MT"/>
              </w:rPr>
            </w:pPr>
            <w:r>
              <w:rPr>
                <w:rFonts w:ascii="Gill Sans MT" w:hAnsi="Gill Sans MT"/>
              </w:rPr>
              <w:t>15</w:t>
            </w:r>
            <w:r w:rsidR="005631CB">
              <w:rPr>
                <w:rFonts w:ascii="Gill Sans MT" w:hAnsi="Gill Sans MT"/>
              </w:rPr>
              <w:t>9</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rPr>
              <w:t>5.3</w:t>
            </w:r>
            <w:r w:rsidRPr="00560B0E">
              <w:rPr>
                <w:rFonts w:ascii="Gill Sans MT" w:hAnsi="Gill Sans MT"/>
              </w:rPr>
              <w:tab/>
              <w:t>Contributions</w:t>
            </w:r>
            <w:r w:rsidRPr="00560B0E">
              <w:rPr>
                <w:rFonts w:ascii="Gill Sans MT" w:hAnsi="Gill Sans MT"/>
                <w:spacing w:val="22"/>
              </w:rPr>
              <w:t xml:space="preserve"> </w:t>
            </w:r>
            <w:r w:rsidRPr="00560B0E">
              <w:rPr>
                <w:rFonts w:ascii="Gill Sans MT" w:hAnsi="Gill Sans MT"/>
              </w:rPr>
              <w:t>Received</w:t>
            </w:r>
          </w:p>
        </w:tc>
        <w:tc>
          <w:tcPr>
            <w:tcW w:w="850" w:type="dxa"/>
          </w:tcPr>
          <w:p w:rsidR="00F81A54" w:rsidRPr="00560B0E" w:rsidRDefault="00946F5E" w:rsidP="00F81A54">
            <w:pPr>
              <w:pStyle w:val="TableParagraph"/>
              <w:spacing w:before="20"/>
              <w:ind w:right="12"/>
              <w:jc w:val="right"/>
              <w:rPr>
                <w:rFonts w:ascii="Gill Sans MT" w:hAnsi="Gill Sans MT"/>
              </w:rPr>
            </w:pPr>
            <w:r>
              <w:rPr>
                <w:rFonts w:ascii="Gill Sans MT" w:hAnsi="Gill Sans MT"/>
              </w:rPr>
              <w:t>15</w:t>
            </w:r>
            <w:r w:rsidR="005631CB">
              <w:rPr>
                <w:rFonts w:ascii="Gill Sans MT" w:hAnsi="Gill Sans MT"/>
              </w:rPr>
              <w:t>9</w:t>
            </w:r>
          </w:p>
        </w:tc>
      </w:tr>
      <w:tr w:rsidR="00F81A54" w:rsidRPr="00560B0E" w:rsidTr="00560B0E">
        <w:trPr>
          <w:trHeight w:hRule="exact" w:val="326"/>
        </w:trPr>
        <w:tc>
          <w:tcPr>
            <w:tcW w:w="1045" w:type="dxa"/>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rPr>
              <w:t>5.4</w:t>
            </w:r>
            <w:r w:rsidRPr="00560B0E">
              <w:rPr>
                <w:rFonts w:ascii="Gill Sans MT" w:hAnsi="Gill Sans MT"/>
              </w:rPr>
              <w:tab/>
            </w:r>
            <w:r w:rsidRPr="00560B0E">
              <w:rPr>
                <w:rFonts w:ascii="Gill Sans MT" w:hAnsi="Gill Sans MT"/>
                <w:spacing w:val="2"/>
              </w:rPr>
              <w:t>Other</w:t>
            </w:r>
            <w:r w:rsidRPr="00560B0E">
              <w:rPr>
                <w:rFonts w:ascii="Gill Sans MT" w:hAnsi="Gill Sans MT"/>
                <w:spacing w:val="7"/>
              </w:rPr>
              <w:t xml:space="preserve"> </w:t>
            </w:r>
            <w:r w:rsidRPr="00560B0E">
              <w:rPr>
                <w:rFonts w:ascii="Gill Sans MT" w:hAnsi="Gill Sans MT"/>
              </w:rPr>
              <w:t>Revenue</w:t>
            </w:r>
          </w:p>
        </w:tc>
        <w:tc>
          <w:tcPr>
            <w:tcW w:w="850" w:type="dxa"/>
            <w:tcBorders>
              <w:bottom w:val="single" w:sz="2" w:space="0" w:color="000000"/>
            </w:tcBorders>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160</w:t>
            </w:r>
          </w:p>
        </w:tc>
      </w:tr>
      <w:tr w:rsidR="00F81A54" w:rsidRPr="00560B0E" w:rsidTr="00560B0E">
        <w:trPr>
          <w:trHeight w:hRule="exact" w:val="371"/>
        </w:trPr>
        <w:tc>
          <w:tcPr>
            <w:tcW w:w="1045" w:type="dxa"/>
            <w:tcBorders>
              <w:top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6</w:t>
            </w:r>
          </w:p>
        </w:tc>
        <w:tc>
          <w:tcPr>
            <w:tcW w:w="7744" w:type="dxa"/>
            <w:tcBorders>
              <w:top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EXPENSES FROM TRANSACTIONS</w:t>
            </w:r>
          </w:p>
        </w:tc>
        <w:tc>
          <w:tcPr>
            <w:tcW w:w="850" w:type="dxa"/>
            <w:tcBorders>
              <w:top w:val="single" w:sz="2" w:space="0" w:color="000000"/>
            </w:tcBorders>
          </w:tcPr>
          <w:p w:rsidR="00F81A54" w:rsidRPr="00560B0E" w:rsidRDefault="005631CB" w:rsidP="00F81A54">
            <w:pPr>
              <w:pStyle w:val="TableParagraph"/>
              <w:spacing w:before="57"/>
              <w:ind w:right="12"/>
              <w:jc w:val="right"/>
              <w:rPr>
                <w:rFonts w:ascii="Gill Sans MT" w:hAnsi="Gill Sans MT"/>
                <w:b/>
              </w:rPr>
            </w:pPr>
            <w:r>
              <w:rPr>
                <w:rFonts w:ascii="Gill Sans MT" w:hAnsi="Gill Sans MT"/>
                <w:b/>
                <w:color w:val="004D8F"/>
              </w:rPr>
              <w:t>160</w:t>
            </w:r>
          </w:p>
        </w:tc>
      </w:tr>
      <w:tr w:rsidR="00F81A54" w:rsidRPr="00560B0E" w:rsidTr="00560B0E">
        <w:trPr>
          <w:trHeight w:hRule="exact" w:val="29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5"/>
              <w:ind w:left="138"/>
              <w:rPr>
                <w:rFonts w:ascii="Gill Sans MT" w:hAnsi="Gill Sans MT"/>
              </w:rPr>
            </w:pPr>
            <w:r w:rsidRPr="00560B0E">
              <w:rPr>
                <w:rFonts w:ascii="Gill Sans MT" w:hAnsi="Gill Sans MT"/>
              </w:rPr>
              <w:t>6.1</w:t>
            </w:r>
            <w:r w:rsidRPr="00560B0E">
              <w:rPr>
                <w:rFonts w:ascii="Gill Sans MT" w:hAnsi="Gill Sans MT"/>
              </w:rPr>
              <w:tab/>
              <w:t>Employee</w:t>
            </w:r>
            <w:r w:rsidRPr="00560B0E">
              <w:rPr>
                <w:rFonts w:ascii="Gill Sans MT" w:hAnsi="Gill Sans MT"/>
                <w:spacing w:val="6"/>
              </w:rPr>
              <w:t xml:space="preserve"> </w:t>
            </w:r>
            <w:r w:rsidRPr="00560B0E">
              <w:rPr>
                <w:rFonts w:ascii="Gill Sans MT" w:hAnsi="Gill Sans MT"/>
                <w:spacing w:val="3"/>
              </w:rPr>
              <w:t>Benefits</w:t>
            </w:r>
          </w:p>
        </w:tc>
        <w:tc>
          <w:tcPr>
            <w:tcW w:w="850" w:type="dxa"/>
          </w:tcPr>
          <w:p w:rsidR="00F81A54" w:rsidRPr="00560B0E" w:rsidRDefault="005631CB" w:rsidP="005631CB">
            <w:pPr>
              <w:pStyle w:val="TableParagraph"/>
              <w:spacing w:before="25"/>
              <w:ind w:right="12"/>
              <w:jc w:val="right"/>
              <w:rPr>
                <w:rFonts w:ascii="Gill Sans MT" w:hAnsi="Gill Sans MT"/>
              </w:rPr>
            </w:pPr>
            <w:r>
              <w:rPr>
                <w:rFonts w:ascii="Gill Sans MT" w:hAnsi="Gill Sans MT"/>
              </w:rPr>
              <w:t>160</w:t>
            </w:r>
          </w:p>
        </w:tc>
      </w:tr>
      <w:tr w:rsidR="00F81A54" w:rsidRPr="00560B0E" w:rsidTr="00560B0E">
        <w:trPr>
          <w:trHeight w:hRule="exact" w:val="28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4"/>
              </w:rPr>
              <w:t>6.2</w:t>
            </w:r>
            <w:r w:rsidRPr="00560B0E">
              <w:rPr>
                <w:rFonts w:ascii="Gill Sans MT" w:hAnsi="Gill Sans MT"/>
                <w:spacing w:val="4"/>
              </w:rPr>
              <w:tab/>
            </w:r>
            <w:r w:rsidRPr="00560B0E">
              <w:rPr>
                <w:rFonts w:ascii="Gill Sans MT" w:hAnsi="Gill Sans MT"/>
              </w:rPr>
              <w:t>Depreciation and</w:t>
            </w:r>
            <w:r w:rsidRPr="00560B0E">
              <w:rPr>
                <w:rFonts w:ascii="Gill Sans MT" w:hAnsi="Gill Sans MT"/>
                <w:spacing w:val="23"/>
              </w:rPr>
              <w:t xml:space="preserve"> </w:t>
            </w:r>
            <w:r w:rsidRPr="00560B0E">
              <w:rPr>
                <w:rFonts w:ascii="Gill Sans MT" w:hAnsi="Gill Sans MT"/>
                <w:spacing w:val="2"/>
              </w:rPr>
              <w:t>Amortisation</w:t>
            </w:r>
          </w:p>
        </w:tc>
        <w:tc>
          <w:tcPr>
            <w:tcW w:w="850" w:type="dxa"/>
          </w:tcPr>
          <w:p w:rsidR="00F81A54" w:rsidRPr="00560B0E" w:rsidRDefault="00946F5E" w:rsidP="00F81A54">
            <w:pPr>
              <w:pStyle w:val="TableParagraph"/>
              <w:spacing w:before="20"/>
              <w:ind w:right="12"/>
              <w:jc w:val="right"/>
              <w:rPr>
                <w:rFonts w:ascii="Gill Sans MT" w:hAnsi="Gill Sans MT"/>
              </w:rPr>
            </w:pPr>
            <w:r>
              <w:rPr>
                <w:rFonts w:ascii="Gill Sans MT" w:hAnsi="Gill Sans MT"/>
              </w:rPr>
              <w:t>16</w:t>
            </w:r>
            <w:r w:rsidR="005631CB">
              <w:rPr>
                <w:rFonts w:ascii="Gill Sans MT" w:hAnsi="Gill Sans MT"/>
              </w:rPr>
              <w:t>3</w:t>
            </w:r>
          </w:p>
        </w:tc>
      </w:tr>
      <w:tr w:rsidR="00F81A54" w:rsidRPr="00560B0E" w:rsidTr="00560B0E">
        <w:trPr>
          <w:trHeight w:hRule="exact" w:val="28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15"/>
              <w:ind w:left="138"/>
              <w:rPr>
                <w:rFonts w:ascii="Gill Sans MT" w:hAnsi="Gill Sans MT"/>
              </w:rPr>
            </w:pPr>
            <w:r w:rsidRPr="00560B0E">
              <w:rPr>
                <w:rFonts w:ascii="Gill Sans MT" w:hAnsi="Gill Sans MT"/>
                <w:spacing w:val="3"/>
              </w:rPr>
              <w:t>6.3</w:t>
            </w:r>
            <w:r w:rsidRPr="00560B0E">
              <w:rPr>
                <w:rFonts w:ascii="Gill Sans MT" w:hAnsi="Gill Sans MT"/>
                <w:spacing w:val="3"/>
              </w:rPr>
              <w:tab/>
            </w:r>
            <w:r w:rsidRPr="00560B0E">
              <w:rPr>
                <w:rFonts w:ascii="Gill Sans MT" w:hAnsi="Gill Sans MT"/>
              </w:rPr>
              <w:t>Supplies and</w:t>
            </w:r>
            <w:r w:rsidRPr="00560B0E">
              <w:rPr>
                <w:rFonts w:ascii="Gill Sans MT" w:hAnsi="Gill Sans MT"/>
                <w:spacing w:val="19"/>
              </w:rPr>
              <w:t xml:space="preserve"> </w:t>
            </w:r>
            <w:r w:rsidRPr="00560B0E">
              <w:rPr>
                <w:rFonts w:ascii="Gill Sans MT" w:hAnsi="Gill Sans MT"/>
              </w:rPr>
              <w:t>Consumables</w:t>
            </w:r>
          </w:p>
        </w:tc>
        <w:tc>
          <w:tcPr>
            <w:tcW w:w="850" w:type="dxa"/>
          </w:tcPr>
          <w:p w:rsidR="00F81A54" w:rsidRPr="00560B0E" w:rsidRDefault="00946F5E" w:rsidP="00F81A54">
            <w:pPr>
              <w:pStyle w:val="TableParagraph"/>
              <w:spacing w:before="15"/>
              <w:ind w:right="12"/>
              <w:jc w:val="right"/>
              <w:rPr>
                <w:rFonts w:ascii="Gill Sans MT" w:hAnsi="Gill Sans MT"/>
              </w:rPr>
            </w:pPr>
            <w:r>
              <w:rPr>
                <w:rFonts w:ascii="Gill Sans MT" w:hAnsi="Gill Sans MT"/>
              </w:rPr>
              <w:t>16</w:t>
            </w:r>
            <w:r w:rsidR="005631CB">
              <w:rPr>
                <w:rFonts w:ascii="Gill Sans MT" w:hAnsi="Gill Sans MT"/>
              </w:rPr>
              <w:t>4</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rPr>
              <w:t>6.4</w:t>
            </w:r>
            <w:r w:rsidRPr="00560B0E">
              <w:rPr>
                <w:rFonts w:ascii="Gill Sans MT" w:hAnsi="Gill Sans MT"/>
              </w:rPr>
              <w:tab/>
            </w:r>
            <w:r w:rsidRPr="00560B0E">
              <w:rPr>
                <w:rFonts w:ascii="Gill Sans MT" w:hAnsi="Gill Sans MT"/>
                <w:spacing w:val="3"/>
              </w:rPr>
              <w:t xml:space="preserve">Grants </w:t>
            </w:r>
            <w:r w:rsidRPr="00560B0E">
              <w:rPr>
                <w:rFonts w:ascii="Gill Sans MT" w:hAnsi="Gill Sans MT"/>
              </w:rPr>
              <w:t>and</w:t>
            </w:r>
            <w:r w:rsidRPr="00560B0E">
              <w:rPr>
                <w:rFonts w:ascii="Gill Sans MT" w:hAnsi="Gill Sans MT"/>
                <w:spacing w:val="9"/>
              </w:rPr>
              <w:t xml:space="preserve"> </w:t>
            </w:r>
            <w:r w:rsidRPr="00560B0E">
              <w:rPr>
                <w:rFonts w:ascii="Gill Sans MT" w:hAnsi="Gill Sans MT"/>
              </w:rPr>
              <w:t>Subsidies</w:t>
            </w:r>
          </w:p>
        </w:tc>
        <w:tc>
          <w:tcPr>
            <w:tcW w:w="850" w:type="dxa"/>
          </w:tcPr>
          <w:p w:rsidR="00F81A54" w:rsidRPr="00560B0E" w:rsidRDefault="00946F5E" w:rsidP="00F81A54">
            <w:pPr>
              <w:pStyle w:val="TableParagraph"/>
              <w:spacing w:before="20"/>
              <w:ind w:right="12"/>
              <w:jc w:val="right"/>
              <w:rPr>
                <w:rFonts w:ascii="Gill Sans MT" w:hAnsi="Gill Sans MT"/>
              </w:rPr>
            </w:pPr>
            <w:r>
              <w:rPr>
                <w:rFonts w:ascii="Gill Sans MT" w:hAnsi="Gill Sans MT"/>
              </w:rPr>
              <w:t>16</w:t>
            </w:r>
            <w:r w:rsidR="005631CB">
              <w:rPr>
                <w:rFonts w:ascii="Gill Sans MT" w:hAnsi="Gill Sans MT"/>
              </w:rPr>
              <w:t>4</w:t>
            </w:r>
          </w:p>
        </w:tc>
      </w:tr>
      <w:tr w:rsidR="00F81A54" w:rsidRPr="00560B0E" w:rsidTr="00560B0E">
        <w:trPr>
          <w:trHeight w:hRule="exact" w:val="326"/>
        </w:trPr>
        <w:tc>
          <w:tcPr>
            <w:tcW w:w="1045" w:type="dxa"/>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5"/>
              </w:rPr>
              <w:t>6.5</w:t>
            </w:r>
            <w:r w:rsidRPr="00560B0E">
              <w:rPr>
                <w:rFonts w:ascii="Gill Sans MT" w:hAnsi="Gill Sans MT"/>
                <w:spacing w:val="5"/>
              </w:rPr>
              <w:tab/>
            </w:r>
            <w:r w:rsidRPr="00560B0E">
              <w:rPr>
                <w:rFonts w:ascii="Gill Sans MT" w:hAnsi="Gill Sans MT"/>
                <w:spacing w:val="2"/>
              </w:rPr>
              <w:t>Other</w:t>
            </w:r>
            <w:r w:rsidRPr="00560B0E">
              <w:rPr>
                <w:rFonts w:ascii="Gill Sans MT" w:hAnsi="Gill Sans MT"/>
                <w:spacing w:val="17"/>
              </w:rPr>
              <w:t xml:space="preserve"> </w:t>
            </w:r>
            <w:r w:rsidRPr="00560B0E">
              <w:rPr>
                <w:rFonts w:ascii="Gill Sans MT" w:hAnsi="Gill Sans MT"/>
              </w:rPr>
              <w:t>Expenses</w:t>
            </w:r>
          </w:p>
        </w:tc>
        <w:tc>
          <w:tcPr>
            <w:tcW w:w="850" w:type="dxa"/>
            <w:tcBorders>
              <w:bottom w:val="single" w:sz="2" w:space="0" w:color="000000"/>
            </w:tcBorders>
          </w:tcPr>
          <w:p w:rsidR="00F81A54" w:rsidRPr="00560B0E" w:rsidRDefault="00946F5E" w:rsidP="00F81A54">
            <w:pPr>
              <w:pStyle w:val="TableParagraph"/>
              <w:spacing w:before="20"/>
              <w:ind w:right="12"/>
              <w:jc w:val="right"/>
              <w:rPr>
                <w:rFonts w:ascii="Gill Sans MT" w:hAnsi="Gill Sans MT"/>
              </w:rPr>
            </w:pPr>
            <w:r>
              <w:rPr>
                <w:rFonts w:ascii="Gill Sans MT" w:hAnsi="Gill Sans MT"/>
              </w:rPr>
              <w:t>16</w:t>
            </w:r>
            <w:r w:rsidR="005631CB">
              <w:rPr>
                <w:rFonts w:ascii="Gill Sans MT" w:hAnsi="Gill Sans MT"/>
              </w:rPr>
              <w:t>5</w:t>
            </w:r>
          </w:p>
        </w:tc>
      </w:tr>
      <w:tr w:rsidR="00F81A54" w:rsidRPr="00560B0E" w:rsidTr="00560B0E">
        <w:trPr>
          <w:trHeight w:hRule="exact" w:val="371"/>
        </w:trPr>
        <w:tc>
          <w:tcPr>
            <w:tcW w:w="1045" w:type="dxa"/>
            <w:tcBorders>
              <w:top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7</w:t>
            </w:r>
          </w:p>
        </w:tc>
        <w:tc>
          <w:tcPr>
            <w:tcW w:w="7744" w:type="dxa"/>
            <w:tcBorders>
              <w:top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OTHER ECONOMIC FLOWS INCLUDED IN NET RESULT</w:t>
            </w:r>
          </w:p>
        </w:tc>
        <w:tc>
          <w:tcPr>
            <w:tcW w:w="850" w:type="dxa"/>
            <w:tcBorders>
              <w:top w:val="single" w:sz="2" w:space="0" w:color="000000"/>
            </w:tcBorders>
          </w:tcPr>
          <w:p w:rsidR="00F81A54" w:rsidRPr="00560B0E" w:rsidRDefault="00946F5E" w:rsidP="00F81A54">
            <w:pPr>
              <w:pStyle w:val="TableParagraph"/>
              <w:spacing w:before="57"/>
              <w:ind w:right="12"/>
              <w:jc w:val="right"/>
              <w:rPr>
                <w:rFonts w:ascii="Gill Sans MT" w:hAnsi="Gill Sans MT"/>
                <w:b/>
              </w:rPr>
            </w:pPr>
            <w:r>
              <w:rPr>
                <w:rFonts w:ascii="Gill Sans MT" w:hAnsi="Gill Sans MT"/>
                <w:b/>
                <w:color w:val="004D8F"/>
              </w:rPr>
              <w:t>16</w:t>
            </w:r>
            <w:r w:rsidR="005631CB">
              <w:rPr>
                <w:rFonts w:ascii="Gill Sans MT" w:hAnsi="Gill Sans MT"/>
                <w:b/>
                <w:color w:val="004D8F"/>
              </w:rPr>
              <w:t>5</w:t>
            </w:r>
          </w:p>
        </w:tc>
      </w:tr>
      <w:tr w:rsidR="00F81A54" w:rsidRPr="00560B0E" w:rsidTr="00560B0E">
        <w:trPr>
          <w:trHeight w:hRule="exact" w:val="29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5"/>
              <w:ind w:left="138"/>
              <w:rPr>
                <w:rFonts w:ascii="Gill Sans MT" w:hAnsi="Gill Sans MT"/>
              </w:rPr>
            </w:pPr>
            <w:r w:rsidRPr="00560B0E">
              <w:rPr>
                <w:rFonts w:ascii="Gill Sans MT" w:hAnsi="Gill Sans MT"/>
                <w:spacing w:val="-10"/>
              </w:rPr>
              <w:t>7.1</w:t>
            </w:r>
            <w:r w:rsidRPr="00560B0E">
              <w:rPr>
                <w:rFonts w:ascii="Gill Sans MT" w:hAnsi="Gill Sans MT"/>
                <w:spacing w:val="-10"/>
              </w:rPr>
              <w:tab/>
            </w:r>
            <w:r w:rsidRPr="00560B0E">
              <w:rPr>
                <w:rFonts w:ascii="Gill Sans MT" w:hAnsi="Gill Sans MT"/>
              </w:rPr>
              <w:t>Net gain/(loss) on Non-Financial</w:t>
            </w:r>
            <w:r w:rsidRPr="00560B0E">
              <w:rPr>
                <w:rFonts w:ascii="Gill Sans MT" w:hAnsi="Gill Sans MT"/>
                <w:spacing w:val="16"/>
              </w:rPr>
              <w:t xml:space="preserve"> </w:t>
            </w:r>
            <w:r w:rsidRPr="00560B0E">
              <w:rPr>
                <w:rFonts w:ascii="Gill Sans MT" w:hAnsi="Gill Sans MT"/>
                <w:spacing w:val="2"/>
              </w:rPr>
              <w:t>Assets</w:t>
            </w:r>
          </w:p>
        </w:tc>
        <w:tc>
          <w:tcPr>
            <w:tcW w:w="850" w:type="dxa"/>
          </w:tcPr>
          <w:p w:rsidR="00F81A54" w:rsidRPr="00560B0E" w:rsidRDefault="00946F5E" w:rsidP="00F81A54">
            <w:pPr>
              <w:pStyle w:val="TableParagraph"/>
              <w:spacing w:before="25"/>
              <w:ind w:right="12"/>
              <w:jc w:val="right"/>
              <w:rPr>
                <w:rFonts w:ascii="Gill Sans MT" w:hAnsi="Gill Sans MT"/>
              </w:rPr>
            </w:pPr>
            <w:r>
              <w:rPr>
                <w:rFonts w:ascii="Gill Sans MT" w:hAnsi="Gill Sans MT"/>
              </w:rPr>
              <w:t>16</w:t>
            </w:r>
            <w:r w:rsidR="005631CB">
              <w:rPr>
                <w:rFonts w:ascii="Gill Sans MT" w:hAnsi="Gill Sans MT"/>
              </w:rPr>
              <w:t>5</w:t>
            </w:r>
          </w:p>
        </w:tc>
      </w:tr>
      <w:tr w:rsidR="00F81A54" w:rsidRPr="00560B0E" w:rsidTr="00560B0E">
        <w:trPr>
          <w:trHeight w:hRule="exact" w:val="326"/>
        </w:trPr>
        <w:tc>
          <w:tcPr>
            <w:tcW w:w="1045" w:type="dxa"/>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5"/>
              </w:rPr>
              <w:t>7.2</w:t>
            </w:r>
            <w:r w:rsidRPr="00560B0E">
              <w:rPr>
                <w:rFonts w:ascii="Gill Sans MT" w:hAnsi="Gill Sans MT"/>
                <w:spacing w:val="-5"/>
              </w:rPr>
              <w:tab/>
            </w:r>
            <w:r w:rsidRPr="00560B0E">
              <w:rPr>
                <w:rFonts w:ascii="Gill Sans MT" w:hAnsi="Gill Sans MT"/>
              </w:rPr>
              <w:t xml:space="preserve">Net gain/(loss) on Financial </w:t>
            </w:r>
            <w:r w:rsidRPr="00560B0E">
              <w:rPr>
                <w:rFonts w:ascii="Gill Sans MT" w:hAnsi="Gill Sans MT"/>
                <w:spacing w:val="2"/>
              </w:rPr>
              <w:t xml:space="preserve">Instruments </w:t>
            </w:r>
            <w:r w:rsidRPr="00560B0E">
              <w:rPr>
                <w:rFonts w:ascii="Gill Sans MT" w:hAnsi="Gill Sans MT"/>
              </w:rPr>
              <w:t xml:space="preserve">and </w:t>
            </w:r>
            <w:r w:rsidRPr="00560B0E">
              <w:rPr>
                <w:rFonts w:ascii="Gill Sans MT" w:hAnsi="Gill Sans MT"/>
                <w:spacing w:val="2"/>
              </w:rPr>
              <w:t>Statutory</w:t>
            </w:r>
            <w:r w:rsidRPr="00560B0E">
              <w:rPr>
                <w:rFonts w:ascii="Gill Sans MT" w:hAnsi="Gill Sans MT"/>
                <w:spacing w:val="34"/>
              </w:rPr>
              <w:t xml:space="preserve"> </w:t>
            </w:r>
            <w:r w:rsidRPr="00560B0E">
              <w:rPr>
                <w:rFonts w:ascii="Gill Sans MT" w:hAnsi="Gill Sans MT"/>
              </w:rPr>
              <w:t>Receivables/Payables</w:t>
            </w:r>
          </w:p>
        </w:tc>
        <w:tc>
          <w:tcPr>
            <w:tcW w:w="850" w:type="dxa"/>
            <w:tcBorders>
              <w:bottom w:val="single" w:sz="2" w:space="0" w:color="000000"/>
            </w:tcBorders>
          </w:tcPr>
          <w:p w:rsidR="00F81A54" w:rsidRPr="00560B0E" w:rsidRDefault="00946F5E" w:rsidP="00F81A54">
            <w:pPr>
              <w:pStyle w:val="TableParagraph"/>
              <w:spacing w:before="20"/>
              <w:ind w:right="12"/>
              <w:jc w:val="right"/>
              <w:rPr>
                <w:rFonts w:ascii="Gill Sans MT" w:hAnsi="Gill Sans MT"/>
              </w:rPr>
            </w:pPr>
            <w:r>
              <w:rPr>
                <w:rFonts w:ascii="Gill Sans MT" w:hAnsi="Gill Sans MT"/>
              </w:rPr>
              <w:t>16</w:t>
            </w:r>
            <w:r w:rsidR="005631CB">
              <w:rPr>
                <w:rFonts w:ascii="Gill Sans MT" w:hAnsi="Gill Sans MT"/>
              </w:rPr>
              <w:t>6</w:t>
            </w:r>
          </w:p>
        </w:tc>
      </w:tr>
      <w:tr w:rsidR="00F81A54" w:rsidRPr="00560B0E" w:rsidTr="00560B0E">
        <w:trPr>
          <w:trHeight w:hRule="exact" w:val="371"/>
        </w:trPr>
        <w:tc>
          <w:tcPr>
            <w:tcW w:w="1045" w:type="dxa"/>
            <w:tcBorders>
              <w:top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8</w:t>
            </w:r>
          </w:p>
        </w:tc>
        <w:tc>
          <w:tcPr>
            <w:tcW w:w="7744" w:type="dxa"/>
            <w:tcBorders>
              <w:top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ASSETS</w:t>
            </w:r>
          </w:p>
        </w:tc>
        <w:tc>
          <w:tcPr>
            <w:tcW w:w="850" w:type="dxa"/>
            <w:tcBorders>
              <w:top w:val="single" w:sz="2" w:space="0" w:color="000000"/>
            </w:tcBorders>
          </w:tcPr>
          <w:p w:rsidR="00F81A54" w:rsidRPr="00560B0E" w:rsidRDefault="005631CB" w:rsidP="00F81A54">
            <w:pPr>
              <w:pStyle w:val="TableParagraph"/>
              <w:spacing w:before="57"/>
              <w:ind w:right="12"/>
              <w:jc w:val="right"/>
              <w:rPr>
                <w:rFonts w:ascii="Gill Sans MT" w:hAnsi="Gill Sans MT"/>
                <w:b/>
              </w:rPr>
            </w:pPr>
            <w:r>
              <w:rPr>
                <w:rFonts w:ascii="Gill Sans MT" w:hAnsi="Gill Sans MT"/>
                <w:b/>
                <w:color w:val="004D8F"/>
              </w:rPr>
              <w:t>166</w:t>
            </w:r>
          </w:p>
        </w:tc>
      </w:tr>
      <w:tr w:rsidR="00F81A54" w:rsidRPr="00560B0E" w:rsidTr="00560B0E">
        <w:trPr>
          <w:trHeight w:hRule="exact" w:val="29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5"/>
              <w:ind w:left="138"/>
              <w:rPr>
                <w:rFonts w:ascii="Gill Sans MT" w:hAnsi="Gill Sans MT"/>
              </w:rPr>
            </w:pPr>
            <w:r w:rsidRPr="00560B0E">
              <w:rPr>
                <w:rFonts w:ascii="Gill Sans MT" w:hAnsi="Gill Sans MT"/>
              </w:rPr>
              <w:t>8.1</w:t>
            </w:r>
            <w:r w:rsidRPr="00560B0E">
              <w:rPr>
                <w:rFonts w:ascii="Gill Sans MT" w:hAnsi="Gill Sans MT"/>
              </w:rPr>
              <w:tab/>
              <w:t>Receivables</w:t>
            </w:r>
          </w:p>
        </w:tc>
        <w:tc>
          <w:tcPr>
            <w:tcW w:w="850" w:type="dxa"/>
          </w:tcPr>
          <w:p w:rsidR="00F81A54" w:rsidRPr="00560B0E" w:rsidRDefault="005631CB" w:rsidP="00946F5E">
            <w:pPr>
              <w:pStyle w:val="TableParagraph"/>
              <w:spacing w:before="25"/>
              <w:ind w:right="12"/>
              <w:jc w:val="right"/>
              <w:rPr>
                <w:rFonts w:ascii="Gill Sans MT" w:hAnsi="Gill Sans MT"/>
              </w:rPr>
            </w:pPr>
            <w:r>
              <w:rPr>
                <w:rFonts w:ascii="Gill Sans MT" w:hAnsi="Gill Sans MT"/>
              </w:rPr>
              <w:t>166</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3"/>
              </w:rPr>
              <w:t>8.2</w:t>
            </w:r>
            <w:r w:rsidRPr="00560B0E">
              <w:rPr>
                <w:rFonts w:ascii="Gill Sans MT" w:hAnsi="Gill Sans MT"/>
                <w:spacing w:val="3"/>
              </w:rPr>
              <w:tab/>
            </w:r>
            <w:r w:rsidRPr="00560B0E">
              <w:rPr>
                <w:rFonts w:ascii="Gill Sans MT" w:hAnsi="Gill Sans MT"/>
                <w:spacing w:val="2"/>
              </w:rPr>
              <w:t xml:space="preserve">Other </w:t>
            </w:r>
            <w:r w:rsidRPr="00560B0E">
              <w:rPr>
                <w:rFonts w:ascii="Gill Sans MT" w:hAnsi="Gill Sans MT"/>
              </w:rPr>
              <w:t>Financial</w:t>
            </w:r>
            <w:r w:rsidRPr="00560B0E">
              <w:rPr>
                <w:rFonts w:ascii="Gill Sans MT" w:hAnsi="Gill Sans MT"/>
                <w:spacing w:val="8"/>
              </w:rPr>
              <w:t xml:space="preserve"> </w:t>
            </w:r>
            <w:r w:rsidRPr="00560B0E">
              <w:rPr>
                <w:rFonts w:ascii="Gill Sans MT" w:hAnsi="Gill Sans MT"/>
                <w:spacing w:val="2"/>
              </w:rPr>
              <w:t>Assets</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167</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3"/>
              </w:rPr>
              <w:t>8.3</w:t>
            </w:r>
            <w:r w:rsidRPr="00560B0E">
              <w:rPr>
                <w:rFonts w:ascii="Gill Sans MT" w:hAnsi="Gill Sans MT"/>
                <w:spacing w:val="3"/>
              </w:rPr>
              <w:tab/>
            </w:r>
            <w:r w:rsidRPr="00560B0E">
              <w:rPr>
                <w:rFonts w:ascii="Gill Sans MT" w:hAnsi="Gill Sans MT"/>
              </w:rPr>
              <w:t>Inventories</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167</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rPr>
              <w:t>8.4</w:t>
            </w:r>
            <w:r w:rsidRPr="00560B0E">
              <w:rPr>
                <w:rFonts w:ascii="Gill Sans MT" w:hAnsi="Gill Sans MT"/>
              </w:rPr>
              <w:tab/>
            </w:r>
            <w:r w:rsidRPr="00560B0E">
              <w:rPr>
                <w:rFonts w:ascii="Gill Sans MT" w:hAnsi="Gill Sans MT"/>
                <w:spacing w:val="2"/>
              </w:rPr>
              <w:t xml:space="preserve">Assets </w:t>
            </w:r>
            <w:r w:rsidRPr="00560B0E">
              <w:rPr>
                <w:rFonts w:ascii="Gill Sans MT" w:hAnsi="Gill Sans MT"/>
              </w:rPr>
              <w:t>Held for</w:t>
            </w:r>
            <w:r w:rsidRPr="00560B0E">
              <w:rPr>
                <w:rFonts w:ascii="Gill Sans MT" w:hAnsi="Gill Sans MT"/>
                <w:spacing w:val="8"/>
              </w:rPr>
              <w:t xml:space="preserve"> </w:t>
            </w:r>
            <w:r w:rsidRPr="00560B0E">
              <w:rPr>
                <w:rFonts w:ascii="Gill Sans MT" w:hAnsi="Gill Sans MT"/>
              </w:rPr>
              <w:t>Sale</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168</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4"/>
              </w:rPr>
              <w:t>8.5</w:t>
            </w:r>
            <w:r w:rsidRPr="00560B0E">
              <w:rPr>
                <w:rFonts w:ascii="Gill Sans MT" w:hAnsi="Gill Sans MT"/>
                <w:spacing w:val="4"/>
              </w:rPr>
              <w:tab/>
            </w:r>
            <w:r w:rsidRPr="00560B0E">
              <w:rPr>
                <w:rFonts w:ascii="Gill Sans MT" w:hAnsi="Gill Sans MT"/>
                <w:spacing w:val="2"/>
              </w:rPr>
              <w:t xml:space="preserve">Property, </w:t>
            </w:r>
            <w:r w:rsidRPr="00560B0E">
              <w:rPr>
                <w:rFonts w:ascii="Gill Sans MT" w:hAnsi="Gill Sans MT"/>
              </w:rPr>
              <w:t>Plant and</w:t>
            </w:r>
            <w:r w:rsidRPr="00560B0E">
              <w:rPr>
                <w:rFonts w:ascii="Gill Sans MT" w:hAnsi="Gill Sans MT"/>
                <w:spacing w:val="16"/>
              </w:rPr>
              <w:t xml:space="preserve"> </w:t>
            </w:r>
            <w:r w:rsidRPr="00560B0E">
              <w:rPr>
                <w:rFonts w:ascii="Gill Sans MT" w:hAnsi="Gill Sans MT"/>
              </w:rPr>
              <w:t>Equipment</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169</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9"/>
              </w:tabs>
              <w:spacing w:before="20"/>
              <w:ind w:left="138"/>
              <w:rPr>
                <w:rFonts w:ascii="Gill Sans MT" w:hAnsi="Gill Sans MT"/>
              </w:rPr>
            </w:pPr>
            <w:r w:rsidRPr="00560B0E">
              <w:rPr>
                <w:rFonts w:ascii="Gill Sans MT" w:hAnsi="Gill Sans MT"/>
                <w:spacing w:val="2"/>
              </w:rPr>
              <w:t>8.6</w:t>
            </w:r>
            <w:r w:rsidRPr="00560B0E">
              <w:rPr>
                <w:rFonts w:ascii="Gill Sans MT" w:hAnsi="Gill Sans MT"/>
                <w:spacing w:val="2"/>
              </w:rPr>
              <w:tab/>
            </w:r>
            <w:r w:rsidRPr="00560B0E">
              <w:rPr>
                <w:rFonts w:ascii="Gill Sans MT" w:hAnsi="Gill Sans MT"/>
              </w:rPr>
              <w:t>Intangibles</w:t>
            </w:r>
          </w:p>
        </w:tc>
        <w:tc>
          <w:tcPr>
            <w:tcW w:w="850" w:type="dxa"/>
          </w:tcPr>
          <w:p w:rsidR="00F81A54" w:rsidRPr="00560B0E" w:rsidRDefault="005631CB" w:rsidP="00F81A54">
            <w:pPr>
              <w:pStyle w:val="TableParagraph"/>
              <w:spacing w:before="20"/>
              <w:ind w:right="13"/>
              <w:jc w:val="right"/>
              <w:rPr>
                <w:rFonts w:ascii="Gill Sans MT" w:hAnsi="Gill Sans MT"/>
              </w:rPr>
            </w:pPr>
            <w:r>
              <w:rPr>
                <w:rFonts w:ascii="Gill Sans MT" w:hAnsi="Gill Sans MT"/>
              </w:rPr>
              <w:t>172</w:t>
            </w:r>
          </w:p>
        </w:tc>
      </w:tr>
      <w:tr w:rsidR="00F81A54" w:rsidRPr="00560B0E" w:rsidTr="00560B0E">
        <w:trPr>
          <w:trHeight w:hRule="exact" w:val="326"/>
        </w:trPr>
        <w:tc>
          <w:tcPr>
            <w:tcW w:w="1045" w:type="dxa"/>
            <w:tcBorders>
              <w:bottom w:val="single" w:sz="2" w:space="0" w:color="000000"/>
            </w:tcBorders>
          </w:tcPr>
          <w:p w:rsidR="00F81A54" w:rsidRPr="00560B0E" w:rsidRDefault="00F81A54" w:rsidP="00F81A54">
            <w:pPr>
              <w:rPr>
                <w:rFonts w:ascii="Gill Sans MT" w:hAnsi="Gill Sans MT"/>
              </w:rPr>
            </w:pPr>
          </w:p>
        </w:tc>
        <w:tc>
          <w:tcPr>
            <w:tcW w:w="7744" w:type="dxa"/>
            <w:tcBorders>
              <w:bottom w:val="single" w:sz="2" w:space="0" w:color="000000"/>
            </w:tcBorders>
          </w:tcPr>
          <w:p w:rsidR="00F81A54" w:rsidRPr="00560B0E" w:rsidRDefault="00F81A54" w:rsidP="00F81A54">
            <w:pPr>
              <w:pStyle w:val="TableParagraph"/>
              <w:tabs>
                <w:tab w:val="left" w:pos="819"/>
              </w:tabs>
              <w:spacing w:before="20"/>
              <w:ind w:left="138"/>
              <w:rPr>
                <w:rFonts w:ascii="Gill Sans MT" w:hAnsi="Gill Sans MT"/>
              </w:rPr>
            </w:pPr>
            <w:r w:rsidRPr="00560B0E">
              <w:rPr>
                <w:rFonts w:ascii="Gill Sans MT" w:hAnsi="Gill Sans MT"/>
              </w:rPr>
              <w:t>8.7</w:t>
            </w:r>
            <w:r w:rsidRPr="00560B0E">
              <w:rPr>
                <w:rFonts w:ascii="Gill Sans MT" w:hAnsi="Gill Sans MT"/>
              </w:rPr>
              <w:tab/>
            </w:r>
            <w:r w:rsidRPr="00560B0E">
              <w:rPr>
                <w:rFonts w:ascii="Gill Sans MT" w:hAnsi="Gill Sans MT"/>
                <w:spacing w:val="2"/>
              </w:rPr>
              <w:t>Other</w:t>
            </w:r>
            <w:r w:rsidRPr="00560B0E">
              <w:rPr>
                <w:rFonts w:ascii="Gill Sans MT" w:hAnsi="Gill Sans MT"/>
                <w:spacing w:val="4"/>
              </w:rPr>
              <w:t xml:space="preserve"> </w:t>
            </w:r>
            <w:r w:rsidRPr="00560B0E">
              <w:rPr>
                <w:rFonts w:ascii="Gill Sans MT" w:hAnsi="Gill Sans MT"/>
                <w:spacing w:val="2"/>
              </w:rPr>
              <w:t>Assets</w:t>
            </w:r>
          </w:p>
        </w:tc>
        <w:tc>
          <w:tcPr>
            <w:tcW w:w="850" w:type="dxa"/>
            <w:tcBorders>
              <w:bottom w:val="single" w:sz="2" w:space="0" w:color="000000"/>
            </w:tcBorders>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173</w:t>
            </w:r>
          </w:p>
        </w:tc>
      </w:tr>
      <w:tr w:rsidR="00F81A54" w:rsidRPr="00560B0E" w:rsidTr="00560B0E">
        <w:trPr>
          <w:trHeight w:hRule="exact" w:val="371"/>
        </w:trPr>
        <w:tc>
          <w:tcPr>
            <w:tcW w:w="1045" w:type="dxa"/>
            <w:tcBorders>
              <w:top w:val="single" w:sz="2" w:space="0" w:color="000000"/>
            </w:tcBorders>
          </w:tcPr>
          <w:p w:rsidR="00F81A54" w:rsidRPr="00560B0E" w:rsidRDefault="00F81A54" w:rsidP="00F81A54">
            <w:pPr>
              <w:pStyle w:val="TableParagraph"/>
              <w:spacing w:before="57"/>
              <w:ind w:left="16" w:right="102"/>
              <w:jc w:val="center"/>
              <w:rPr>
                <w:rFonts w:ascii="Gill Sans MT" w:hAnsi="Gill Sans MT"/>
                <w:b/>
              </w:rPr>
            </w:pPr>
            <w:r w:rsidRPr="00560B0E">
              <w:rPr>
                <w:rFonts w:ascii="Gill Sans MT" w:hAnsi="Gill Sans MT"/>
                <w:b/>
                <w:color w:val="004D8F"/>
              </w:rPr>
              <w:t>NOTE 9</w:t>
            </w:r>
          </w:p>
        </w:tc>
        <w:tc>
          <w:tcPr>
            <w:tcW w:w="7744" w:type="dxa"/>
            <w:tcBorders>
              <w:top w:val="single" w:sz="2" w:space="0" w:color="000000"/>
            </w:tcBorders>
          </w:tcPr>
          <w:p w:rsidR="00F81A54" w:rsidRPr="00560B0E" w:rsidRDefault="00F81A54" w:rsidP="00F81A54">
            <w:pPr>
              <w:pStyle w:val="TableParagraph"/>
              <w:spacing w:before="57"/>
              <w:ind w:left="138"/>
              <w:rPr>
                <w:rFonts w:ascii="Gill Sans MT" w:hAnsi="Gill Sans MT"/>
                <w:b/>
              </w:rPr>
            </w:pPr>
            <w:r w:rsidRPr="00560B0E">
              <w:rPr>
                <w:rFonts w:ascii="Gill Sans MT" w:hAnsi="Gill Sans MT"/>
                <w:b/>
                <w:color w:val="004D8F"/>
              </w:rPr>
              <w:t>LIABILITIES</w:t>
            </w:r>
          </w:p>
        </w:tc>
        <w:tc>
          <w:tcPr>
            <w:tcW w:w="850" w:type="dxa"/>
            <w:tcBorders>
              <w:top w:val="single" w:sz="2" w:space="0" w:color="000000"/>
            </w:tcBorders>
          </w:tcPr>
          <w:p w:rsidR="00F81A54" w:rsidRPr="00560B0E" w:rsidRDefault="005631CB" w:rsidP="00F81A54">
            <w:pPr>
              <w:pStyle w:val="TableParagraph"/>
              <w:spacing w:before="57"/>
              <w:ind w:right="12"/>
              <w:jc w:val="right"/>
              <w:rPr>
                <w:rFonts w:ascii="Gill Sans MT" w:hAnsi="Gill Sans MT"/>
                <w:b/>
              </w:rPr>
            </w:pPr>
            <w:r>
              <w:rPr>
                <w:rFonts w:ascii="Gill Sans MT" w:hAnsi="Gill Sans MT"/>
                <w:b/>
                <w:color w:val="004D8F"/>
              </w:rPr>
              <w:t>174</w:t>
            </w:r>
          </w:p>
        </w:tc>
      </w:tr>
      <w:tr w:rsidR="00F81A54" w:rsidRPr="00560B0E" w:rsidTr="00560B0E">
        <w:trPr>
          <w:trHeight w:hRule="exact" w:val="29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5"/>
              <w:ind w:left="138"/>
              <w:rPr>
                <w:rFonts w:ascii="Gill Sans MT" w:hAnsi="Gill Sans MT"/>
              </w:rPr>
            </w:pPr>
            <w:r w:rsidRPr="00560B0E">
              <w:rPr>
                <w:rFonts w:ascii="Gill Sans MT" w:hAnsi="Gill Sans MT"/>
                <w:spacing w:val="-8"/>
              </w:rPr>
              <w:t>9.1</w:t>
            </w:r>
            <w:r w:rsidRPr="00560B0E">
              <w:rPr>
                <w:rFonts w:ascii="Gill Sans MT" w:hAnsi="Gill Sans MT"/>
                <w:spacing w:val="-8"/>
              </w:rPr>
              <w:tab/>
            </w:r>
            <w:r w:rsidRPr="00560B0E">
              <w:rPr>
                <w:rFonts w:ascii="Gill Sans MT" w:hAnsi="Gill Sans MT"/>
              </w:rPr>
              <w:t>Payables</w:t>
            </w:r>
          </w:p>
        </w:tc>
        <w:tc>
          <w:tcPr>
            <w:tcW w:w="850" w:type="dxa"/>
          </w:tcPr>
          <w:p w:rsidR="00F81A54" w:rsidRPr="00560B0E" w:rsidRDefault="005631CB" w:rsidP="00F81A54">
            <w:pPr>
              <w:pStyle w:val="TableParagraph"/>
              <w:spacing w:before="25"/>
              <w:ind w:right="12"/>
              <w:jc w:val="right"/>
              <w:rPr>
                <w:rFonts w:ascii="Gill Sans MT" w:hAnsi="Gill Sans MT"/>
              </w:rPr>
            </w:pPr>
            <w:r>
              <w:rPr>
                <w:rFonts w:ascii="Gill Sans MT" w:hAnsi="Gill Sans MT"/>
              </w:rPr>
              <w:t>174</w:t>
            </w:r>
          </w:p>
        </w:tc>
      </w:tr>
      <w:tr w:rsidR="00F81A54" w:rsidRPr="00560B0E" w:rsidTr="00560B0E">
        <w:trPr>
          <w:trHeight w:hRule="exact" w:val="291"/>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3"/>
              </w:rPr>
              <w:t>9.2</w:t>
            </w:r>
            <w:r w:rsidRPr="00560B0E">
              <w:rPr>
                <w:rFonts w:ascii="Gill Sans MT" w:hAnsi="Gill Sans MT"/>
                <w:spacing w:val="-3"/>
              </w:rPr>
              <w:tab/>
            </w:r>
            <w:r w:rsidRPr="00560B0E">
              <w:rPr>
                <w:rFonts w:ascii="Gill Sans MT" w:hAnsi="Gill Sans MT"/>
              </w:rPr>
              <w:t>Employee</w:t>
            </w:r>
            <w:r w:rsidRPr="00560B0E">
              <w:rPr>
                <w:rFonts w:ascii="Gill Sans MT" w:hAnsi="Gill Sans MT"/>
                <w:spacing w:val="6"/>
              </w:rPr>
              <w:t xml:space="preserve"> </w:t>
            </w:r>
            <w:r w:rsidRPr="00560B0E">
              <w:rPr>
                <w:rFonts w:ascii="Gill Sans MT" w:hAnsi="Gill Sans MT"/>
                <w:spacing w:val="3"/>
              </w:rPr>
              <w:t>Benefits</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174</w:t>
            </w:r>
          </w:p>
        </w:tc>
      </w:tr>
      <w:tr w:rsidR="00F81A54" w:rsidRPr="00560B0E" w:rsidTr="00560B0E">
        <w:trPr>
          <w:trHeight w:hRule="exact" w:val="286"/>
        </w:trPr>
        <w:tc>
          <w:tcPr>
            <w:tcW w:w="1045" w:type="dxa"/>
          </w:tcPr>
          <w:p w:rsidR="00F81A54" w:rsidRPr="00560B0E" w:rsidRDefault="00F81A54" w:rsidP="00F81A54">
            <w:pPr>
              <w:rPr>
                <w:rFonts w:ascii="Gill Sans MT" w:hAnsi="Gill Sans MT"/>
              </w:rPr>
            </w:pPr>
          </w:p>
        </w:tc>
        <w:tc>
          <w:tcPr>
            <w:tcW w:w="7744" w:type="dxa"/>
          </w:tcPr>
          <w:p w:rsidR="00F81A54" w:rsidRPr="00560B0E" w:rsidRDefault="00F81A54" w:rsidP="00F81A54">
            <w:pPr>
              <w:pStyle w:val="TableParagraph"/>
              <w:tabs>
                <w:tab w:val="left" w:pos="818"/>
              </w:tabs>
              <w:spacing w:before="20"/>
              <w:ind w:left="138"/>
              <w:rPr>
                <w:rFonts w:ascii="Gill Sans MT" w:hAnsi="Gill Sans MT"/>
              </w:rPr>
            </w:pPr>
            <w:r w:rsidRPr="00560B0E">
              <w:rPr>
                <w:rFonts w:ascii="Gill Sans MT" w:hAnsi="Gill Sans MT"/>
                <w:spacing w:val="-3"/>
              </w:rPr>
              <w:t>9.3</w:t>
            </w:r>
            <w:r w:rsidRPr="00560B0E">
              <w:rPr>
                <w:rFonts w:ascii="Gill Sans MT" w:hAnsi="Gill Sans MT"/>
                <w:spacing w:val="-3"/>
              </w:rPr>
              <w:tab/>
            </w:r>
            <w:r w:rsidRPr="00560B0E">
              <w:rPr>
                <w:rFonts w:ascii="Gill Sans MT" w:hAnsi="Gill Sans MT"/>
              </w:rPr>
              <w:t>Superannuation</w:t>
            </w:r>
          </w:p>
        </w:tc>
        <w:tc>
          <w:tcPr>
            <w:tcW w:w="850" w:type="dxa"/>
          </w:tcPr>
          <w:p w:rsidR="00F81A54" w:rsidRPr="00560B0E" w:rsidRDefault="005631CB" w:rsidP="00F81A54">
            <w:pPr>
              <w:pStyle w:val="TableParagraph"/>
              <w:spacing w:before="20"/>
              <w:ind w:right="12"/>
              <w:jc w:val="right"/>
              <w:rPr>
                <w:rFonts w:ascii="Gill Sans MT" w:hAnsi="Gill Sans MT"/>
              </w:rPr>
            </w:pPr>
            <w:r>
              <w:rPr>
                <w:rFonts w:ascii="Gill Sans MT" w:hAnsi="Gill Sans MT"/>
              </w:rPr>
              <w:t>175</w:t>
            </w:r>
          </w:p>
        </w:tc>
      </w:tr>
      <w:tr w:rsidR="00F81A54" w:rsidRPr="00560B0E" w:rsidTr="00560B0E">
        <w:trPr>
          <w:trHeight w:hRule="exact" w:val="265"/>
        </w:trPr>
        <w:tc>
          <w:tcPr>
            <w:tcW w:w="1045" w:type="dxa"/>
            <w:tcBorders>
              <w:bottom w:val="single" w:sz="4" w:space="0" w:color="auto"/>
            </w:tcBorders>
          </w:tcPr>
          <w:p w:rsidR="00F81A54" w:rsidRPr="00560B0E" w:rsidRDefault="00F81A54" w:rsidP="00F81A54">
            <w:pPr>
              <w:rPr>
                <w:rFonts w:ascii="Gill Sans MT" w:hAnsi="Gill Sans MT"/>
              </w:rPr>
            </w:pPr>
          </w:p>
        </w:tc>
        <w:tc>
          <w:tcPr>
            <w:tcW w:w="7744" w:type="dxa"/>
            <w:tcBorders>
              <w:bottom w:val="single" w:sz="4" w:space="0" w:color="auto"/>
            </w:tcBorders>
          </w:tcPr>
          <w:p w:rsidR="00F81A54" w:rsidRPr="00560B0E" w:rsidRDefault="00F81A54" w:rsidP="00F81A54">
            <w:pPr>
              <w:pStyle w:val="TableParagraph"/>
              <w:tabs>
                <w:tab w:val="left" w:pos="818"/>
              </w:tabs>
              <w:spacing w:before="15"/>
              <w:ind w:left="138"/>
              <w:rPr>
                <w:rFonts w:ascii="Gill Sans MT" w:hAnsi="Gill Sans MT"/>
              </w:rPr>
            </w:pPr>
            <w:r w:rsidRPr="00560B0E">
              <w:rPr>
                <w:rFonts w:ascii="Gill Sans MT" w:hAnsi="Gill Sans MT"/>
                <w:spacing w:val="-6"/>
              </w:rPr>
              <w:t>9.4</w:t>
            </w:r>
            <w:r w:rsidRPr="00560B0E">
              <w:rPr>
                <w:rFonts w:ascii="Gill Sans MT" w:hAnsi="Gill Sans MT"/>
                <w:spacing w:val="-6"/>
              </w:rPr>
              <w:tab/>
            </w:r>
            <w:r w:rsidRPr="00560B0E">
              <w:rPr>
                <w:rFonts w:ascii="Gill Sans MT" w:hAnsi="Gill Sans MT"/>
                <w:spacing w:val="2"/>
              </w:rPr>
              <w:t>Other</w:t>
            </w:r>
            <w:r w:rsidRPr="00560B0E">
              <w:rPr>
                <w:rFonts w:ascii="Gill Sans MT" w:hAnsi="Gill Sans MT"/>
                <w:spacing w:val="16"/>
              </w:rPr>
              <w:t xml:space="preserve"> </w:t>
            </w:r>
            <w:r w:rsidRPr="00560B0E">
              <w:rPr>
                <w:rFonts w:ascii="Gill Sans MT" w:hAnsi="Gill Sans MT"/>
              </w:rPr>
              <w:t>Liabilities</w:t>
            </w:r>
          </w:p>
        </w:tc>
        <w:tc>
          <w:tcPr>
            <w:tcW w:w="850" w:type="dxa"/>
            <w:tcBorders>
              <w:bottom w:val="single" w:sz="4" w:space="0" w:color="auto"/>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175</w:t>
            </w:r>
          </w:p>
        </w:tc>
      </w:tr>
      <w:tr w:rsidR="00560B0E" w:rsidRPr="00560B0E" w:rsidTr="00560B0E">
        <w:trPr>
          <w:trHeight w:hRule="exact" w:val="265"/>
        </w:trPr>
        <w:tc>
          <w:tcPr>
            <w:tcW w:w="1045" w:type="dxa"/>
            <w:tcBorders>
              <w:top w:val="single" w:sz="4" w:space="0" w:color="auto"/>
              <w:left w:val="nil"/>
              <w:bottom w:val="nil"/>
              <w:right w:val="nil"/>
            </w:tcBorders>
          </w:tcPr>
          <w:p w:rsidR="00F81A54" w:rsidRPr="00560B0E" w:rsidRDefault="00F81A54" w:rsidP="00560B0E">
            <w:pPr>
              <w:pStyle w:val="TableParagraph"/>
              <w:rPr>
                <w:rFonts w:ascii="Gill Sans MT" w:hAnsi="Gill Sans MT"/>
                <w:b/>
                <w:color w:val="365F91" w:themeColor="accent1" w:themeShade="BF"/>
              </w:rPr>
            </w:pPr>
            <w:r w:rsidRPr="00560B0E">
              <w:rPr>
                <w:rFonts w:ascii="Gill Sans MT" w:hAnsi="Gill Sans MT"/>
                <w:b/>
                <w:color w:val="365F91" w:themeColor="accent1" w:themeShade="BF"/>
              </w:rPr>
              <w:t xml:space="preserve">NOTE </w:t>
            </w:r>
            <w:r w:rsidR="00560B0E" w:rsidRPr="00560B0E">
              <w:rPr>
                <w:rFonts w:ascii="Gill Sans MT" w:hAnsi="Gill Sans MT"/>
                <w:b/>
                <w:color w:val="365F91" w:themeColor="accent1" w:themeShade="BF"/>
              </w:rPr>
              <w:t>1</w:t>
            </w:r>
            <w:r w:rsidRPr="00560B0E">
              <w:rPr>
                <w:rFonts w:ascii="Gill Sans MT" w:hAnsi="Gill Sans MT"/>
                <w:b/>
                <w:color w:val="365F91" w:themeColor="accent1" w:themeShade="BF"/>
              </w:rPr>
              <w:t>0</w:t>
            </w:r>
          </w:p>
        </w:tc>
        <w:tc>
          <w:tcPr>
            <w:tcW w:w="7744" w:type="dxa"/>
            <w:tcBorders>
              <w:top w:val="single" w:sz="4" w:space="0" w:color="auto"/>
              <w:left w:val="nil"/>
              <w:bottom w:val="nil"/>
              <w:right w:val="nil"/>
            </w:tcBorders>
          </w:tcPr>
          <w:p w:rsidR="00F81A54" w:rsidRPr="00560B0E" w:rsidRDefault="00F81A54" w:rsidP="00560B0E">
            <w:pPr>
              <w:pStyle w:val="TableParagraph"/>
              <w:rPr>
                <w:rFonts w:ascii="Gill Sans MT" w:hAnsi="Gill Sans MT"/>
                <w:b/>
                <w:color w:val="365F91" w:themeColor="accent1" w:themeShade="BF"/>
                <w:spacing w:val="-6"/>
              </w:rPr>
            </w:pPr>
            <w:r w:rsidRPr="00560B0E">
              <w:rPr>
                <w:rFonts w:ascii="Gill Sans MT" w:hAnsi="Gill Sans MT"/>
                <w:b/>
                <w:color w:val="365F91" w:themeColor="accent1" w:themeShade="BF"/>
                <w:spacing w:val="-6"/>
              </w:rPr>
              <w:t>COMMITMENTS AND CONTINGENCIES</w:t>
            </w:r>
          </w:p>
        </w:tc>
        <w:tc>
          <w:tcPr>
            <w:tcW w:w="850" w:type="dxa"/>
            <w:tcBorders>
              <w:top w:val="single" w:sz="4" w:space="0" w:color="auto"/>
              <w:left w:val="nil"/>
              <w:bottom w:val="nil"/>
              <w:right w:val="nil"/>
            </w:tcBorders>
          </w:tcPr>
          <w:p w:rsidR="00F81A54" w:rsidRPr="00560B0E" w:rsidRDefault="005631CB" w:rsidP="00560B0E">
            <w:pPr>
              <w:pStyle w:val="TableParagraph"/>
              <w:jc w:val="right"/>
              <w:rPr>
                <w:rFonts w:ascii="Gill Sans MT" w:hAnsi="Gill Sans MT"/>
                <w:b/>
                <w:color w:val="365F91" w:themeColor="accent1" w:themeShade="BF"/>
              </w:rPr>
            </w:pPr>
            <w:r>
              <w:rPr>
                <w:rFonts w:ascii="Gill Sans MT" w:hAnsi="Gill Sans MT"/>
                <w:b/>
                <w:color w:val="365F91" w:themeColor="accent1" w:themeShade="BF"/>
              </w:rPr>
              <w:t>176</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10.1</w:t>
            </w:r>
            <w:r w:rsidRPr="00560B0E">
              <w:rPr>
                <w:rFonts w:ascii="Gill Sans MT" w:hAnsi="Gill Sans MT"/>
                <w:spacing w:val="-6"/>
              </w:rPr>
              <w:tab/>
              <w:t>Schedule of Commitments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177</w:t>
            </w:r>
          </w:p>
        </w:tc>
      </w:tr>
      <w:tr w:rsidR="00F81A54" w:rsidRPr="00560B0E" w:rsidTr="00560B0E">
        <w:trPr>
          <w:trHeight w:hRule="exact" w:val="265"/>
        </w:trPr>
        <w:tc>
          <w:tcPr>
            <w:tcW w:w="1045" w:type="dxa"/>
            <w:tcBorders>
              <w:top w:val="nil"/>
              <w:left w:val="nil"/>
              <w:bottom w:val="single" w:sz="4" w:space="0" w:color="auto"/>
              <w:right w:val="nil"/>
            </w:tcBorders>
          </w:tcPr>
          <w:p w:rsidR="00F81A54" w:rsidRPr="00560B0E"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10.2</w:t>
            </w:r>
            <w:r w:rsidRPr="00560B0E">
              <w:rPr>
                <w:rFonts w:ascii="Gill Sans MT" w:hAnsi="Gill Sans MT"/>
                <w:spacing w:val="-6"/>
              </w:rPr>
              <w:tab/>
              <w:t>Contingent Assets and Liabilities</w:t>
            </w:r>
          </w:p>
        </w:tc>
        <w:tc>
          <w:tcPr>
            <w:tcW w:w="850" w:type="dxa"/>
            <w:tcBorders>
              <w:top w:val="nil"/>
              <w:left w:val="nil"/>
              <w:bottom w:val="single" w:sz="4" w:space="0" w:color="auto"/>
              <w:right w:val="nil"/>
            </w:tcBorders>
          </w:tcPr>
          <w:p w:rsidR="00F81A54" w:rsidRPr="00560B0E" w:rsidRDefault="00946F5E" w:rsidP="005631CB">
            <w:pPr>
              <w:pStyle w:val="TableParagraph"/>
              <w:spacing w:before="15"/>
              <w:ind w:right="12"/>
              <w:jc w:val="right"/>
              <w:rPr>
                <w:rFonts w:ascii="Gill Sans MT" w:hAnsi="Gill Sans MT"/>
              </w:rPr>
            </w:pPr>
            <w:r>
              <w:rPr>
                <w:rFonts w:ascii="Gill Sans MT" w:hAnsi="Gill Sans MT"/>
              </w:rPr>
              <w:t>17</w:t>
            </w:r>
            <w:r w:rsidR="005631CB">
              <w:rPr>
                <w:rFonts w:ascii="Gill Sans MT" w:hAnsi="Gill Sans MT"/>
              </w:rPr>
              <w:t>8</w:t>
            </w:r>
          </w:p>
        </w:tc>
      </w:tr>
      <w:tr w:rsidR="00560B0E" w:rsidRPr="00560B0E" w:rsidTr="00560B0E">
        <w:trPr>
          <w:trHeight w:hRule="exact" w:val="320"/>
        </w:trPr>
        <w:tc>
          <w:tcPr>
            <w:tcW w:w="1045" w:type="dxa"/>
            <w:tcBorders>
              <w:top w:val="single" w:sz="4" w:space="0" w:color="auto"/>
              <w:left w:val="nil"/>
              <w:bottom w:val="nil"/>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11</w:t>
            </w:r>
          </w:p>
        </w:tc>
        <w:tc>
          <w:tcPr>
            <w:tcW w:w="7744" w:type="dxa"/>
            <w:tcBorders>
              <w:top w:val="single" w:sz="4" w:space="0" w:color="auto"/>
              <w:left w:val="nil"/>
              <w:bottom w:val="nil"/>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RESERVES</w:t>
            </w:r>
          </w:p>
        </w:tc>
        <w:tc>
          <w:tcPr>
            <w:tcW w:w="850" w:type="dxa"/>
            <w:tcBorders>
              <w:top w:val="single" w:sz="4" w:space="0" w:color="auto"/>
              <w:left w:val="nil"/>
              <w:bottom w:val="nil"/>
              <w:right w:val="nil"/>
            </w:tcBorders>
          </w:tcPr>
          <w:p w:rsidR="00F81A54" w:rsidRPr="00560B0E" w:rsidRDefault="005631CB"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179</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4"/>
              </w:tabs>
              <w:spacing w:before="15"/>
              <w:ind w:left="138"/>
              <w:rPr>
                <w:rFonts w:ascii="Gill Sans MT" w:hAnsi="Gill Sans MT"/>
                <w:spacing w:val="-6"/>
              </w:rPr>
            </w:pPr>
            <w:r w:rsidRPr="00560B0E">
              <w:rPr>
                <w:rFonts w:ascii="Gill Sans MT" w:hAnsi="Gill Sans MT"/>
                <w:spacing w:val="-6"/>
              </w:rPr>
              <w:t>11.1</w:t>
            </w:r>
            <w:r w:rsidRPr="00560B0E">
              <w:rPr>
                <w:rFonts w:ascii="Gill Sans MT" w:hAnsi="Gill Sans MT"/>
                <w:spacing w:val="-6"/>
              </w:rPr>
              <w:tab/>
              <w:t>Reserves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179</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11.2</w:t>
            </w:r>
            <w:r w:rsidRPr="00560B0E">
              <w:rPr>
                <w:rFonts w:ascii="Gill Sans MT" w:hAnsi="Gill Sans MT"/>
                <w:spacing w:val="-6"/>
              </w:rPr>
              <w:tab/>
              <w:t>Administrative Restructuring</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179</w:t>
            </w:r>
          </w:p>
        </w:tc>
      </w:tr>
      <w:tr w:rsidR="00F81A54" w:rsidRPr="00560B0E" w:rsidTr="00560B0E">
        <w:trPr>
          <w:trHeight w:hRule="exact" w:val="265"/>
        </w:trPr>
        <w:tc>
          <w:tcPr>
            <w:tcW w:w="1045" w:type="dxa"/>
            <w:tcBorders>
              <w:top w:val="nil"/>
              <w:left w:val="nil"/>
              <w:bottom w:val="single" w:sz="4" w:space="0" w:color="auto"/>
              <w:right w:val="nil"/>
            </w:tcBorders>
          </w:tcPr>
          <w:p w:rsidR="00F81A54" w:rsidRPr="00560B0E"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11.3</w:t>
            </w:r>
            <w:r w:rsidRPr="00560B0E">
              <w:rPr>
                <w:rFonts w:ascii="Gill Sans MT" w:hAnsi="Gill Sans MT"/>
                <w:spacing w:val="-6"/>
              </w:rPr>
              <w:tab/>
              <w:t>Contributed Capital</w:t>
            </w:r>
          </w:p>
        </w:tc>
        <w:tc>
          <w:tcPr>
            <w:tcW w:w="850" w:type="dxa"/>
            <w:tcBorders>
              <w:top w:val="nil"/>
              <w:left w:val="nil"/>
              <w:bottom w:val="single" w:sz="4" w:space="0" w:color="auto"/>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180</w:t>
            </w:r>
          </w:p>
        </w:tc>
      </w:tr>
      <w:tr w:rsidR="00560B0E" w:rsidRPr="00560B0E" w:rsidTr="00560B0E">
        <w:trPr>
          <w:trHeight w:hRule="exact" w:val="265"/>
        </w:trPr>
        <w:tc>
          <w:tcPr>
            <w:tcW w:w="1045" w:type="dxa"/>
            <w:tcBorders>
              <w:top w:val="single" w:sz="4" w:space="0" w:color="auto"/>
              <w:left w:val="nil"/>
              <w:bottom w:val="nil"/>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12</w:t>
            </w:r>
          </w:p>
        </w:tc>
        <w:tc>
          <w:tcPr>
            <w:tcW w:w="7744" w:type="dxa"/>
            <w:tcBorders>
              <w:top w:val="single" w:sz="4" w:space="0" w:color="auto"/>
              <w:left w:val="nil"/>
              <w:bottom w:val="nil"/>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CASH FLOW RECONCILIATION</w:t>
            </w:r>
          </w:p>
        </w:tc>
        <w:tc>
          <w:tcPr>
            <w:tcW w:w="850" w:type="dxa"/>
            <w:tcBorders>
              <w:top w:val="single" w:sz="4" w:space="0" w:color="auto"/>
              <w:left w:val="nil"/>
              <w:bottom w:val="nil"/>
              <w:right w:val="nil"/>
            </w:tcBorders>
          </w:tcPr>
          <w:p w:rsidR="00F81A54" w:rsidRPr="00560B0E" w:rsidRDefault="005631CB"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180</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12.1</w:t>
            </w:r>
            <w:r w:rsidRPr="00560B0E">
              <w:rPr>
                <w:rFonts w:ascii="Gill Sans MT" w:hAnsi="Gill Sans MT"/>
                <w:spacing w:val="-6"/>
              </w:rPr>
              <w:tab/>
              <w:t>Cash and Deposits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181</w:t>
            </w:r>
          </w:p>
        </w:tc>
      </w:tr>
      <w:tr w:rsidR="00F81A54" w:rsidRPr="00560B0E" w:rsidTr="00560B0E">
        <w:trPr>
          <w:trHeight w:hRule="exact" w:val="265"/>
        </w:trPr>
        <w:tc>
          <w:tcPr>
            <w:tcW w:w="1045" w:type="dxa"/>
            <w:tcBorders>
              <w:top w:val="nil"/>
              <w:left w:val="nil"/>
              <w:bottom w:val="single" w:sz="4" w:space="0" w:color="auto"/>
              <w:right w:val="nil"/>
            </w:tcBorders>
          </w:tcPr>
          <w:p w:rsidR="00F81A54" w:rsidRPr="00560B0E"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12.2</w:t>
            </w:r>
            <w:r w:rsidRPr="00560B0E">
              <w:rPr>
                <w:rFonts w:ascii="Gill Sans MT" w:hAnsi="Gill Sans MT"/>
                <w:spacing w:val="-6"/>
              </w:rPr>
              <w:tab/>
              <w:t>Reconciliation of Net Result to Net Cash from Operating Activities</w:t>
            </w:r>
          </w:p>
        </w:tc>
        <w:tc>
          <w:tcPr>
            <w:tcW w:w="850" w:type="dxa"/>
            <w:tcBorders>
              <w:top w:val="nil"/>
              <w:left w:val="nil"/>
              <w:bottom w:val="single" w:sz="4" w:space="0" w:color="auto"/>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181</w:t>
            </w:r>
          </w:p>
        </w:tc>
      </w:tr>
      <w:tr w:rsidR="00560B0E" w:rsidRPr="00560B0E" w:rsidTr="00560B0E">
        <w:trPr>
          <w:trHeight w:hRule="exact" w:val="265"/>
        </w:trPr>
        <w:tc>
          <w:tcPr>
            <w:tcW w:w="1045" w:type="dxa"/>
            <w:tcBorders>
              <w:top w:val="single" w:sz="4" w:space="0" w:color="auto"/>
              <w:left w:val="nil"/>
              <w:bottom w:val="nil"/>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13</w:t>
            </w:r>
          </w:p>
        </w:tc>
        <w:tc>
          <w:tcPr>
            <w:tcW w:w="7744" w:type="dxa"/>
            <w:tcBorders>
              <w:top w:val="single" w:sz="4" w:space="0" w:color="auto"/>
              <w:left w:val="nil"/>
              <w:bottom w:val="nil"/>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FINANCIAL INSTRUMENTS</w:t>
            </w:r>
          </w:p>
        </w:tc>
        <w:tc>
          <w:tcPr>
            <w:tcW w:w="850" w:type="dxa"/>
            <w:tcBorders>
              <w:top w:val="single" w:sz="4" w:space="0" w:color="auto"/>
              <w:left w:val="nil"/>
              <w:bottom w:val="nil"/>
              <w:right w:val="nil"/>
            </w:tcBorders>
          </w:tcPr>
          <w:p w:rsidR="00F81A54" w:rsidRPr="00560B0E" w:rsidRDefault="005631CB"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181</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13.1</w:t>
            </w:r>
            <w:r w:rsidRPr="00560B0E">
              <w:rPr>
                <w:rFonts w:ascii="Gill Sans MT" w:hAnsi="Gill Sans MT"/>
                <w:spacing w:val="-6"/>
              </w:rPr>
              <w:tab/>
              <w:t>Risk Exposures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181</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13.2</w:t>
            </w:r>
            <w:r w:rsidRPr="00560B0E">
              <w:rPr>
                <w:rFonts w:ascii="Gill Sans MT" w:hAnsi="Gill Sans MT"/>
                <w:spacing w:val="-6"/>
              </w:rPr>
              <w:tab/>
              <w:t>Categories of Financial Assets and Liabilities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184</w:t>
            </w:r>
          </w:p>
        </w:tc>
      </w:tr>
      <w:tr w:rsidR="00F81A54" w:rsidRPr="00560B0E" w:rsidTr="00560B0E">
        <w:trPr>
          <w:trHeight w:hRule="exact" w:val="265"/>
        </w:trPr>
        <w:tc>
          <w:tcPr>
            <w:tcW w:w="1045" w:type="dxa"/>
            <w:tcBorders>
              <w:top w:val="nil"/>
              <w:left w:val="nil"/>
              <w:bottom w:val="single" w:sz="4" w:space="0" w:color="auto"/>
              <w:right w:val="nil"/>
            </w:tcBorders>
          </w:tcPr>
          <w:p w:rsidR="00F81A54" w:rsidRPr="00560B0E"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13.3</w:t>
            </w:r>
            <w:r w:rsidRPr="00560B0E">
              <w:rPr>
                <w:rFonts w:ascii="Gill Sans MT" w:hAnsi="Gill Sans MT"/>
                <w:spacing w:val="-6"/>
              </w:rPr>
              <w:tab/>
              <w:t>Reclassifications of Financial Assets</w:t>
            </w:r>
          </w:p>
        </w:tc>
        <w:tc>
          <w:tcPr>
            <w:tcW w:w="850" w:type="dxa"/>
            <w:tcBorders>
              <w:top w:val="nil"/>
              <w:left w:val="nil"/>
              <w:bottom w:val="single" w:sz="4" w:space="0" w:color="auto"/>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184</w:t>
            </w:r>
          </w:p>
        </w:tc>
      </w:tr>
      <w:tr w:rsidR="00560B0E" w:rsidRPr="00560B0E" w:rsidTr="00560B0E">
        <w:trPr>
          <w:trHeight w:hRule="exact" w:val="265"/>
        </w:trPr>
        <w:tc>
          <w:tcPr>
            <w:tcW w:w="1045" w:type="dxa"/>
            <w:tcBorders>
              <w:top w:val="single" w:sz="4" w:space="0" w:color="auto"/>
              <w:left w:val="nil"/>
              <w:bottom w:val="nil"/>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14</w:t>
            </w:r>
          </w:p>
        </w:tc>
        <w:tc>
          <w:tcPr>
            <w:tcW w:w="7744" w:type="dxa"/>
            <w:tcBorders>
              <w:top w:val="single" w:sz="4" w:space="0" w:color="auto"/>
              <w:left w:val="nil"/>
              <w:bottom w:val="nil"/>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TRANSACTIONS AND BALANCES RELATING TO A TRUSTEE OR AGENCY ARRANGEMENT</w:t>
            </w:r>
          </w:p>
        </w:tc>
        <w:tc>
          <w:tcPr>
            <w:tcW w:w="850" w:type="dxa"/>
            <w:tcBorders>
              <w:top w:val="single" w:sz="4" w:space="0" w:color="auto"/>
              <w:left w:val="nil"/>
              <w:bottom w:val="nil"/>
              <w:right w:val="nil"/>
            </w:tcBorders>
          </w:tcPr>
          <w:p w:rsidR="00F81A54" w:rsidRPr="00560B0E" w:rsidRDefault="00F81A54" w:rsidP="00F81A54">
            <w:pPr>
              <w:pStyle w:val="TableParagraph"/>
              <w:spacing w:before="15"/>
              <w:ind w:right="12"/>
              <w:jc w:val="right"/>
              <w:rPr>
                <w:rFonts w:ascii="Gill Sans MT" w:hAnsi="Gill Sans MT"/>
                <w:b/>
                <w:color w:val="365F91" w:themeColor="accent1" w:themeShade="BF"/>
              </w:rPr>
            </w:pPr>
          </w:p>
          <w:p w:rsidR="00F81A54" w:rsidRPr="00560B0E" w:rsidRDefault="00F81A54" w:rsidP="00F81A54">
            <w:pPr>
              <w:pStyle w:val="TableParagraph"/>
              <w:spacing w:before="15"/>
              <w:ind w:right="12"/>
              <w:jc w:val="right"/>
              <w:rPr>
                <w:rFonts w:ascii="Gill Sans MT" w:hAnsi="Gill Sans MT"/>
                <w:b/>
                <w:color w:val="365F91" w:themeColor="accent1" w:themeShade="BF"/>
              </w:rPr>
            </w:pPr>
            <w:r w:rsidRPr="00560B0E">
              <w:rPr>
                <w:rFonts w:ascii="Gill Sans MT" w:hAnsi="Gill Sans MT"/>
                <w:b/>
                <w:color w:val="365F91" w:themeColor="accent1" w:themeShade="BF"/>
              </w:rPr>
              <w:t>174</w:t>
            </w:r>
          </w:p>
        </w:tc>
      </w:tr>
      <w:tr w:rsidR="00F81A54" w:rsidRPr="00560B0E" w:rsidTr="00560B0E">
        <w:trPr>
          <w:trHeight w:hRule="exact" w:val="265"/>
        </w:trPr>
        <w:tc>
          <w:tcPr>
            <w:tcW w:w="1045" w:type="dxa"/>
            <w:tcBorders>
              <w:top w:val="nil"/>
              <w:left w:val="nil"/>
              <w:bottom w:val="single" w:sz="4" w:space="0" w:color="auto"/>
              <w:right w:val="nil"/>
            </w:tcBorders>
          </w:tcPr>
          <w:p w:rsidR="00F81A54" w:rsidRPr="00560B0E"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14.1</w:t>
            </w:r>
            <w:r w:rsidRPr="00560B0E">
              <w:rPr>
                <w:rFonts w:ascii="Gill Sans MT" w:hAnsi="Gill Sans MT"/>
                <w:spacing w:val="-6"/>
              </w:rPr>
              <w:tab/>
              <w:t>Activities Undertaken Under a Trustee or Agency Relationship</w:t>
            </w:r>
          </w:p>
        </w:tc>
        <w:tc>
          <w:tcPr>
            <w:tcW w:w="850" w:type="dxa"/>
            <w:tcBorders>
              <w:top w:val="nil"/>
              <w:left w:val="nil"/>
              <w:bottom w:val="single" w:sz="4" w:space="0" w:color="auto"/>
              <w:right w:val="nil"/>
            </w:tcBorders>
          </w:tcPr>
          <w:p w:rsidR="00F81A54" w:rsidRPr="00560B0E" w:rsidRDefault="00946F5E" w:rsidP="005631CB">
            <w:pPr>
              <w:pStyle w:val="TableParagraph"/>
              <w:spacing w:before="15"/>
              <w:ind w:right="12"/>
              <w:jc w:val="right"/>
              <w:rPr>
                <w:rFonts w:ascii="Gill Sans MT" w:hAnsi="Gill Sans MT"/>
              </w:rPr>
            </w:pPr>
            <w:r>
              <w:rPr>
                <w:rFonts w:ascii="Gill Sans MT" w:hAnsi="Gill Sans MT"/>
              </w:rPr>
              <w:t>18</w:t>
            </w:r>
            <w:r w:rsidR="005631CB">
              <w:rPr>
                <w:rFonts w:ascii="Gill Sans MT" w:hAnsi="Gill Sans MT"/>
              </w:rPr>
              <w:t>4</w:t>
            </w:r>
          </w:p>
        </w:tc>
      </w:tr>
      <w:tr w:rsidR="00560B0E" w:rsidRPr="00560B0E" w:rsidTr="00560B0E">
        <w:trPr>
          <w:trHeight w:hRule="exact" w:val="453"/>
        </w:trPr>
        <w:tc>
          <w:tcPr>
            <w:tcW w:w="1045" w:type="dxa"/>
            <w:tcBorders>
              <w:top w:val="single" w:sz="4" w:space="0" w:color="auto"/>
              <w:left w:val="nil"/>
              <w:bottom w:val="single" w:sz="4" w:space="0" w:color="auto"/>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15</w:t>
            </w:r>
          </w:p>
        </w:tc>
        <w:tc>
          <w:tcPr>
            <w:tcW w:w="7744" w:type="dxa"/>
            <w:tcBorders>
              <w:top w:val="single" w:sz="4" w:space="0" w:color="auto"/>
              <w:left w:val="nil"/>
              <w:bottom w:val="single" w:sz="4" w:space="0" w:color="auto"/>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EVENTS OCCURRING AFTER BALANCE DATE</w:t>
            </w:r>
          </w:p>
        </w:tc>
        <w:tc>
          <w:tcPr>
            <w:tcW w:w="850" w:type="dxa"/>
            <w:tcBorders>
              <w:top w:val="single" w:sz="4" w:space="0" w:color="auto"/>
              <w:left w:val="nil"/>
              <w:bottom w:val="single" w:sz="4" w:space="0" w:color="auto"/>
              <w:right w:val="nil"/>
            </w:tcBorders>
          </w:tcPr>
          <w:p w:rsidR="00F81A54" w:rsidRPr="00560B0E" w:rsidRDefault="00946F5E"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w:t>
            </w:r>
            <w:r w:rsidR="005631CB">
              <w:rPr>
                <w:rFonts w:ascii="Gill Sans MT" w:hAnsi="Gill Sans MT"/>
                <w:b/>
                <w:color w:val="365F91" w:themeColor="accent1" w:themeShade="BF"/>
              </w:rPr>
              <w:t>5</w:t>
            </w:r>
          </w:p>
        </w:tc>
      </w:tr>
      <w:tr w:rsidR="00560B0E" w:rsidRPr="00560B0E" w:rsidTr="00560B0E">
        <w:trPr>
          <w:trHeight w:hRule="exact" w:val="265"/>
        </w:trPr>
        <w:tc>
          <w:tcPr>
            <w:tcW w:w="1045" w:type="dxa"/>
            <w:tcBorders>
              <w:top w:val="single" w:sz="4" w:space="0" w:color="auto"/>
              <w:left w:val="nil"/>
              <w:bottom w:val="nil"/>
              <w:right w:val="nil"/>
            </w:tcBorders>
          </w:tcPr>
          <w:p w:rsidR="00F81A54" w:rsidRPr="00560B0E" w:rsidRDefault="00F81A54" w:rsidP="00F81A54">
            <w:pPr>
              <w:rPr>
                <w:rFonts w:ascii="Gill Sans MT" w:hAnsi="Gill Sans MT"/>
                <w:b/>
                <w:color w:val="365F91" w:themeColor="accent1" w:themeShade="BF"/>
              </w:rPr>
            </w:pPr>
            <w:r w:rsidRPr="00560B0E">
              <w:rPr>
                <w:rFonts w:ascii="Gill Sans MT" w:hAnsi="Gill Sans MT"/>
                <w:b/>
                <w:color w:val="365F91" w:themeColor="accent1" w:themeShade="BF"/>
              </w:rPr>
              <w:t>NOTE 16</w:t>
            </w:r>
          </w:p>
        </w:tc>
        <w:tc>
          <w:tcPr>
            <w:tcW w:w="7744" w:type="dxa"/>
            <w:tcBorders>
              <w:top w:val="single" w:sz="4" w:space="0" w:color="auto"/>
              <w:left w:val="nil"/>
              <w:bottom w:val="nil"/>
              <w:right w:val="nil"/>
            </w:tcBorders>
          </w:tcPr>
          <w:p w:rsidR="00F81A54" w:rsidRPr="00560B0E"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560B0E">
              <w:rPr>
                <w:rFonts w:ascii="Gill Sans MT" w:hAnsi="Gill Sans MT"/>
                <w:b/>
                <w:color w:val="365F91" w:themeColor="accent1" w:themeShade="BF"/>
                <w:spacing w:val="-6"/>
              </w:rPr>
              <w:t>OTHER SIGNIFICANT ACCOUNTING POLICIES AND JUDGEMENTS</w:t>
            </w:r>
          </w:p>
        </w:tc>
        <w:tc>
          <w:tcPr>
            <w:tcW w:w="850" w:type="dxa"/>
            <w:tcBorders>
              <w:top w:val="single" w:sz="4" w:space="0" w:color="auto"/>
              <w:left w:val="nil"/>
              <w:bottom w:val="nil"/>
              <w:right w:val="nil"/>
            </w:tcBorders>
          </w:tcPr>
          <w:p w:rsidR="00F81A54" w:rsidRPr="00560B0E" w:rsidRDefault="005631CB"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185</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16.1</w:t>
            </w:r>
            <w:r w:rsidRPr="00560B0E">
              <w:rPr>
                <w:rFonts w:ascii="Gill Sans MT" w:hAnsi="Gill Sans MT"/>
                <w:spacing w:val="-6"/>
              </w:rPr>
              <w:tab/>
              <w:t>Objectives and Funding</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185</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16.2</w:t>
            </w:r>
            <w:r w:rsidRPr="00560B0E">
              <w:rPr>
                <w:rFonts w:ascii="Gill Sans MT" w:hAnsi="Gill Sans MT"/>
                <w:spacing w:val="-6"/>
              </w:rPr>
              <w:tab/>
              <w:t>Basis of Accounting</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187</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16.3</w:t>
            </w:r>
            <w:r w:rsidRPr="00560B0E">
              <w:rPr>
                <w:rFonts w:ascii="Gill Sans MT" w:hAnsi="Gill Sans MT"/>
                <w:spacing w:val="-6"/>
              </w:rPr>
              <w:tab/>
              <w:t>Functional and Presentation Currency</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187</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16.4</w:t>
            </w:r>
            <w:r w:rsidRPr="00560B0E">
              <w:rPr>
                <w:rFonts w:ascii="Gill Sans MT" w:hAnsi="Gill Sans MT"/>
                <w:spacing w:val="-6"/>
              </w:rPr>
              <w:tab/>
              <w:t>Changes in Accounting Policies</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187</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16.5</w:t>
            </w:r>
            <w:r w:rsidRPr="00560B0E">
              <w:rPr>
                <w:rFonts w:ascii="Gill Sans MT" w:hAnsi="Gill Sans MT"/>
                <w:spacing w:val="-6"/>
              </w:rPr>
              <w:tab/>
              <w:t>Rounding</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189</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16.6</w:t>
            </w:r>
            <w:r w:rsidRPr="00560B0E">
              <w:rPr>
                <w:rFonts w:ascii="Gill Sans MT" w:hAnsi="Gill Sans MT"/>
                <w:spacing w:val="-6"/>
              </w:rPr>
              <w:tab/>
              <w:t>Departmental Taxation</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189</w:t>
            </w:r>
          </w:p>
        </w:tc>
      </w:tr>
      <w:tr w:rsidR="00F81A54" w:rsidRPr="00560B0E" w:rsidTr="00560B0E">
        <w:trPr>
          <w:trHeight w:hRule="exact" w:val="265"/>
        </w:trPr>
        <w:tc>
          <w:tcPr>
            <w:tcW w:w="1045" w:type="dxa"/>
            <w:tcBorders>
              <w:top w:val="nil"/>
              <w:left w:val="nil"/>
              <w:bottom w:val="nil"/>
              <w:right w:val="nil"/>
            </w:tcBorders>
          </w:tcPr>
          <w:p w:rsidR="00F81A54" w:rsidRPr="00560B0E" w:rsidRDefault="00F81A54" w:rsidP="00F81A54">
            <w:pPr>
              <w:rPr>
                <w:rFonts w:ascii="Gill Sans MT" w:hAnsi="Gill Sans MT"/>
              </w:rPr>
            </w:pPr>
          </w:p>
        </w:tc>
        <w:tc>
          <w:tcPr>
            <w:tcW w:w="7744" w:type="dxa"/>
            <w:tcBorders>
              <w:top w:val="nil"/>
              <w:left w:val="nil"/>
              <w:bottom w:val="nil"/>
              <w:right w:val="nil"/>
            </w:tcBorders>
          </w:tcPr>
          <w:p w:rsidR="00F81A54" w:rsidRPr="00560B0E" w:rsidRDefault="00F81A54" w:rsidP="00F81A54">
            <w:pPr>
              <w:pStyle w:val="TableParagraph"/>
              <w:tabs>
                <w:tab w:val="left" w:pos="823"/>
              </w:tabs>
              <w:spacing w:before="15"/>
              <w:ind w:left="138"/>
              <w:rPr>
                <w:rFonts w:ascii="Gill Sans MT" w:hAnsi="Gill Sans MT"/>
                <w:spacing w:val="-6"/>
              </w:rPr>
            </w:pPr>
            <w:r w:rsidRPr="00560B0E">
              <w:rPr>
                <w:rFonts w:ascii="Gill Sans MT" w:hAnsi="Gill Sans MT"/>
                <w:spacing w:val="-6"/>
              </w:rPr>
              <w:t>16.7</w:t>
            </w:r>
            <w:r w:rsidRPr="00560B0E">
              <w:rPr>
                <w:rFonts w:ascii="Gill Sans MT" w:hAnsi="Gill Sans MT"/>
                <w:spacing w:val="-6"/>
              </w:rPr>
              <w:tab/>
              <w:t>Goods and Services Tax</w:t>
            </w:r>
          </w:p>
        </w:tc>
        <w:tc>
          <w:tcPr>
            <w:tcW w:w="850" w:type="dxa"/>
            <w:tcBorders>
              <w:top w:val="nil"/>
              <w:left w:val="nil"/>
              <w:bottom w:val="nil"/>
              <w:right w:val="nil"/>
            </w:tcBorders>
          </w:tcPr>
          <w:p w:rsidR="00F81A54" w:rsidRPr="00560B0E" w:rsidRDefault="005631CB" w:rsidP="00F81A54">
            <w:pPr>
              <w:pStyle w:val="TableParagraph"/>
              <w:spacing w:before="15"/>
              <w:ind w:right="12"/>
              <w:jc w:val="right"/>
              <w:rPr>
                <w:rFonts w:ascii="Gill Sans MT" w:hAnsi="Gill Sans MT"/>
              </w:rPr>
            </w:pPr>
            <w:r>
              <w:rPr>
                <w:rFonts w:ascii="Gill Sans MT" w:hAnsi="Gill Sans MT"/>
              </w:rPr>
              <w:t>189</w:t>
            </w:r>
          </w:p>
        </w:tc>
      </w:tr>
    </w:tbl>
    <w:p w:rsidR="00F81A54" w:rsidRDefault="00F81A54" w:rsidP="00537B2C"/>
    <w:p w:rsidR="00560B0E" w:rsidRDefault="00560B0E">
      <w:r>
        <w:br w:type="page"/>
      </w:r>
    </w:p>
    <w:p w:rsidR="00F81A54" w:rsidRDefault="00560B0E" w:rsidP="006708E5">
      <w:pPr>
        <w:pStyle w:val="Heading4"/>
      </w:pPr>
      <w:r>
        <w:lastRenderedPageBreak/>
        <w:t>Note 1</w:t>
      </w:r>
      <w:r>
        <w:tab/>
        <w:t>Tasmanian Health Service Output Schedules</w:t>
      </w:r>
    </w:p>
    <w:p w:rsidR="006708E5" w:rsidRPr="006708E5" w:rsidRDefault="006708E5" w:rsidP="00FC54D5">
      <w:pPr>
        <w:pStyle w:val="Heading5"/>
      </w:pPr>
      <w:r w:rsidRPr="006708E5">
        <w:t>1.1 Establishment of the Tasmanian Health Service</w:t>
      </w:r>
    </w:p>
    <w:p w:rsidR="006708E5" w:rsidRPr="006708E5" w:rsidRDefault="006708E5" w:rsidP="006708E5">
      <w:pPr>
        <w:pStyle w:val="BodyText"/>
      </w:pPr>
      <w:r w:rsidRPr="006708E5">
        <w:t>The THS is a Statutory Authority that commenced operations on 1 July 2015 as a key component of the</w:t>
      </w:r>
      <w:r>
        <w:t xml:space="preserve"> </w:t>
      </w:r>
      <w:r w:rsidRPr="006708E5">
        <w:t xml:space="preserve">Tasmanian Government’s One State, One Health System, </w:t>
      </w:r>
      <w:proofErr w:type="gramStart"/>
      <w:r w:rsidRPr="006708E5">
        <w:t>Better</w:t>
      </w:r>
      <w:proofErr w:type="gramEnd"/>
      <w:r w:rsidRPr="006708E5">
        <w:t xml:space="preserve"> Outcomes reform program. Prior to this,</w:t>
      </w:r>
      <w:r>
        <w:t xml:space="preserve"> </w:t>
      </w:r>
      <w:r w:rsidRPr="006708E5">
        <w:t>health services in Tasmania were provided through three regionally based Tasmanian Health Organisations</w:t>
      </w:r>
      <w:r>
        <w:t xml:space="preserve"> </w:t>
      </w:r>
      <w:r w:rsidRPr="006708E5">
        <w:t>(THOs), being THO-North, THO-North West and THO-South. The THOs were established under</w:t>
      </w:r>
      <w:r>
        <w:t xml:space="preserve"> </w:t>
      </w:r>
      <w:r w:rsidRPr="006708E5">
        <w:t>the Tasmanian Health Organisation Act 2011 as a result of the National Health Reform Agreement, and</w:t>
      </w:r>
      <w:r>
        <w:t xml:space="preserve"> </w:t>
      </w:r>
      <w:r w:rsidRPr="006708E5">
        <w:t>commenced on 1 July 2012. Upon commencement THS replaced the THOs and appointed a single</w:t>
      </w:r>
      <w:r>
        <w:t xml:space="preserve"> </w:t>
      </w:r>
      <w:r w:rsidRPr="006708E5">
        <w:t>Governing Council and Chief Executive Officer to oversee the provision of health services in Tasmania</w:t>
      </w:r>
      <w:r>
        <w:t xml:space="preserve"> </w:t>
      </w:r>
      <w:proofErr w:type="gramStart"/>
      <w:r w:rsidRPr="006708E5">
        <w:t>state</w:t>
      </w:r>
      <w:proofErr w:type="gramEnd"/>
      <w:r w:rsidRPr="006708E5">
        <w:t xml:space="preserve"> wide.</w:t>
      </w:r>
    </w:p>
    <w:p w:rsidR="006708E5" w:rsidRPr="006708E5" w:rsidRDefault="006708E5" w:rsidP="006708E5">
      <w:pPr>
        <w:pStyle w:val="BodyText"/>
      </w:pPr>
      <w:r w:rsidRPr="006708E5">
        <w:t>The THOs were combined pursuant to an Order (Tasmanian Health Organisations (Tasmanian Health</w:t>
      </w:r>
      <w:r>
        <w:t xml:space="preserve"> </w:t>
      </w:r>
      <w:r w:rsidRPr="006708E5">
        <w:t>Service) Order 2015) made by the Governor of Tasmania. Under the Order, THO-South and THONorth</w:t>
      </w:r>
      <w:r>
        <w:t xml:space="preserve"> </w:t>
      </w:r>
      <w:r w:rsidRPr="006708E5">
        <w:t>West were amalgamated into THO-North on 1 July 2015. The establishment of the THS has been</w:t>
      </w:r>
      <w:r>
        <w:t xml:space="preserve"> </w:t>
      </w:r>
      <w:r w:rsidRPr="006708E5">
        <w:t>accounted for as an amalgamation of the THOs and not as an acquisition of THO-South and THO-North</w:t>
      </w:r>
      <w:r>
        <w:t xml:space="preserve"> </w:t>
      </w:r>
      <w:r w:rsidRPr="006708E5">
        <w:t>West by THO-North because:</w:t>
      </w:r>
    </w:p>
    <w:p w:rsidR="006708E5" w:rsidRPr="006708E5" w:rsidRDefault="006708E5" w:rsidP="006708E5">
      <w:pPr>
        <w:pStyle w:val="BodyText"/>
        <w:numPr>
          <w:ilvl w:val="0"/>
          <w:numId w:val="41"/>
        </w:numPr>
      </w:pPr>
      <w:r w:rsidRPr="006708E5">
        <w:t>the combination was imposed pursuant to the Governor’s Order without any of the THOs involved</w:t>
      </w:r>
      <w:r>
        <w:t xml:space="preserve"> </w:t>
      </w:r>
      <w:r w:rsidRPr="006708E5">
        <w:t>in the decision;</w:t>
      </w:r>
    </w:p>
    <w:p w:rsidR="006708E5" w:rsidRPr="006708E5" w:rsidRDefault="006708E5" w:rsidP="006708E5">
      <w:pPr>
        <w:pStyle w:val="BodyText"/>
        <w:numPr>
          <w:ilvl w:val="0"/>
          <w:numId w:val="41"/>
        </w:numPr>
      </w:pPr>
      <w:r w:rsidRPr="006708E5">
        <w:t>the formation of the new THS Governing Council precludes THO-North from gaining control of</w:t>
      </w:r>
      <w:r>
        <w:t xml:space="preserve"> </w:t>
      </w:r>
      <w:r w:rsidRPr="006708E5">
        <w:t>THS operations at the time the combination occurred; and,</w:t>
      </w:r>
    </w:p>
    <w:p w:rsidR="006708E5" w:rsidRPr="006708E5" w:rsidRDefault="006708E5" w:rsidP="006708E5">
      <w:pPr>
        <w:pStyle w:val="BodyText"/>
        <w:numPr>
          <w:ilvl w:val="0"/>
          <w:numId w:val="41"/>
        </w:numPr>
      </w:pPr>
      <w:proofErr w:type="gramStart"/>
      <w:r w:rsidRPr="006708E5">
        <w:t>the</w:t>
      </w:r>
      <w:proofErr w:type="gramEnd"/>
      <w:r w:rsidRPr="006708E5">
        <w:t xml:space="preserve"> economic substance of the combination is that a new entity (THS) was established</w:t>
      </w:r>
      <w:r>
        <w:t xml:space="preserve"> </w:t>
      </w:r>
      <w:r w:rsidRPr="006708E5">
        <w:t>notwithstanding the legal form of the resulting entity.</w:t>
      </w:r>
    </w:p>
    <w:p w:rsidR="006708E5" w:rsidRPr="006708E5" w:rsidRDefault="006708E5" w:rsidP="006708E5">
      <w:pPr>
        <w:pStyle w:val="BodyText"/>
      </w:pPr>
      <w:r w:rsidRPr="006708E5">
        <w:t>On 1 July 2015, the THS recognised the identifiable assets and liabilities that were recognised in the</w:t>
      </w:r>
      <w:r>
        <w:t xml:space="preserve"> </w:t>
      </w:r>
      <w:r w:rsidRPr="006708E5">
        <w:t>financial statements of the THOs as at that date after eliminating the effects of all transactions between</w:t>
      </w:r>
      <w:r>
        <w:t xml:space="preserve"> </w:t>
      </w:r>
      <w:r w:rsidRPr="006708E5">
        <w:t>the THOs. The THS measured the identifiable assets and liabilities of the THOs at their carrying values</w:t>
      </w:r>
      <w:r>
        <w:t xml:space="preserve"> </w:t>
      </w:r>
      <w:r w:rsidRPr="006708E5">
        <w:t>in the financial statements of the THOs at 1 July 2015, subject to any adjustments required to conform to</w:t>
      </w:r>
      <w:r>
        <w:t xml:space="preserve"> </w:t>
      </w:r>
      <w:r w:rsidRPr="006708E5">
        <w:t>THS accounting policies. The identifiable assets and liabilities recognised by the THS as at 1 July 2015 are</w:t>
      </w:r>
      <w:r>
        <w:t xml:space="preserve"> </w:t>
      </w:r>
      <w:r w:rsidRPr="006708E5">
        <w:t>disclosed in note 16.1.</w:t>
      </w:r>
    </w:p>
    <w:p w:rsidR="006708E5" w:rsidRDefault="006708E5" w:rsidP="006708E5">
      <w:pPr>
        <w:pStyle w:val="BodyText"/>
      </w:pPr>
      <w:r w:rsidRPr="006708E5">
        <w:t>As the economic substance of the combination is that a new entity (THS) was established, no restated</w:t>
      </w:r>
      <w:r>
        <w:t xml:space="preserve"> </w:t>
      </w:r>
      <w:r w:rsidRPr="006708E5">
        <w:t>comparative information has been disclosed.</w:t>
      </w:r>
      <w:r>
        <w:t xml:space="preserve"> </w:t>
      </w:r>
    </w:p>
    <w:p w:rsidR="006708E5" w:rsidRDefault="006708E5" w:rsidP="006708E5">
      <w:pPr>
        <w:pStyle w:val="BodyText"/>
      </w:pPr>
      <w:r w:rsidRPr="006708E5">
        <w:t>Information on the financial performance of the former THOs can be found on the Tasmanian</w:t>
      </w:r>
      <w:r>
        <w:t xml:space="preserve"> </w:t>
      </w:r>
      <w:r w:rsidRPr="006708E5">
        <w:t>Department of Health and Human Services (the Department) website at:</w:t>
      </w:r>
      <w:r>
        <w:t xml:space="preserve"> http</w:t>
      </w:r>
      <w:r w:rsidRPr="006708E5">
        <w:t>://www.dhhs.tas.gov.au/tho/annual reports.</w:t>
      </w:r>
      <w:r>
        <w:t xml:space="preserve"> </w:t>
      </w:r>
    </w:p>
    <w:p w:rsidR="006708E5" w:rsidRDefault="006708E5">
      <w:pPr>
        <w:rPr>
          <w:rFonts w:ascii="Gill Sans MT" w:eastAsia="GillSans-Light" w:hAnsi="Gill Sans MT" w:cs="GillSans-Light"/>
          <w:lang w:val="en-US"/>
        </w:rPr>
      </w:pPr>
      <w:r>
        <w:br w:type="page"/>
      </w:r>
    </w:p>
    <w:p w:rsidR="006708E5" w:rsidRDefault="006708E5" w:rsidP="00FC54D5">
      <w:pPr>
        <w:pStyle w:val="Heading5"/>
      </w:pPr>
      <w:r>
        <w:lastRenderedPageBreak/>
        <w:t>1.2 Output Group Information</w:t>
      </w:r>
    </w:p>
    <w:p w:rsidR="006708E5" w:rsidRPr="006708E5" w:rsidRDefault="006708E5" w:rsidP="006708E5">
      <w:pPr>
        <w:autoSpaceDE w:val="0"/>
        <w:autoSpaceDN w:val="0"/>
        <w:adjustRightInd w:val="0"/>
        <w:spacing w:after="0" w:line="240" w:lineRule="auto"/>
      </w:pPr>
      <w:r>
        <w:t>Budget information refers to original Budget estimates reflected in the 2015-16 Budget Papers which has not been subject to audit.</w:t>
      </w:r>
    </w:p>
    <w:p w:rsidR="006708E5" w:rsidRDefault="006708E5" w:rsidP="006708E5">
      <w:pPr>
        <w:pStyle w:val="BodyText"/>
      </w:pPr>
    </w:p>
    <w:tbl>
      <w:tblPr>
        <w:tblW w:w="0" w:type="auto"/>
        <w:tblBorders>
          <w:top w:val="dotted" w:sz="4" w:space="0" w:color="auto"/>
          <w:left w:val="dotted" w:sz="4" w:space="0" w:color="auto"/>
          <w:bottom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Output Group Information "/>
        <w:tblDescription w:val="Expense by Output (budget v actual)"/>
      </w:tblPr>
      <w:tblGrid>
        <w:gridCol w:w="6383"/>
        <w:gridCol w:w="1701"/>
        <w:gridCol w:w="1701"/>
      </w:tblGrid>
      <w:tr w:rsidR="006708E5" w:rsidRPr="006708E5" w:rsidTr="00DA472D">
        <w:trPr>
          <w:trHeight w:hRule="exact" w:val="687"/>
        </w:trPr>
        <w:tc>
          <w:tcPr>
            <w:tcW w:w="6383" w:type="dxa"/>
            <w:tcBorders>
              <w:top w:val="single" w:sz="4" w:space="0" w:color="004D8F"/>
              <w:bottom w:val="single" w:sz="4" w:space="0" w:color="004D8F"/>
            </w:tcBorders>
            <w:shd w:val="clear" w:color="auto" w:fill="auto"/>
            <w:vAlign w:val="bottom"/>
          </w:tcPr>
          <w:p w:rsidR="006708E5" w:rsidRPr="006708E5" w:rsidRDefault="006708E5" w:rsidP="00DA472D">
            <w:pPr>
              <w:pStyle w:val="TableParagraph"/>
              <w:spacing w:before="37" w:line="207" w:lineRule="exact"/>
              <w:ind w:left="147" w:right="349"/>
              <w:rPr>
                <w:rFonts w:ascii="GillSans-SemiBold"/>
                <w:b/>
                <w:sz w:val="18"/>
              </w:rPr>
            </w:pPr>
            <w:r w:rsidRPr="006708E5">
              <w:rPr>
                <w:rFonts w:ascii="GillSans-SemiBold"/>
                <w:b/>
                <w:sz w:val="18"/>
              </w:rPr>
              <w:t>Expense by Output</w:t>
            </w:r>
          </w:p>
        </w:tc>
        <w:tc>
          <w:tcPr>
            <w:tcW w:w="1701" w:type="dxa"/>
            <w:tcBorders>
              <w:top w:val="single" w:sz="4" w:space="0" w:color="004D8F"/>
              <w:bottom w:val="single" w:sz="4" w:space="0" w:color="004D8F"/>
            </w:tcBorders>
            <w:shd w:val="clear" w:color="auto" w:fill="auto"/>
          </w:tcPr>
          <w:p w:rsidR="006708E5" w:rsidRPr="006708E5" w:rsidRDefault="006708E5" w:rsidP="006708E5">
            <w:pPr>
              <w:pStyle w:val="TableParagraph"/>
              <w:spacing w:before="37" w:line="207" w:lineRule="exact"/>
              <w:ind w:left="345" w:right="349"/>
              <w:jc w:val="right"/>
              <w:rPr>
                <w:rFonts w:ascii="GillSans-SemiBold"/>
                <w:b/>
                <w:sz w:val="18"/>
              </w:rPr>
            </w:pPr>
            <w:r w:rsidRPr="006708E5">
              <w:rPr>
                <w:rFonts w:ascii="GillSans-SemiBold"/>
                <w:b/>
                <w:sz w:val="18"/>
              </w:rPr>
              <w:t>2016</w:t>
            </w:r>
          </w:p>
          <w:p w:rsidR="006708E5" w:rsidRPr="006708E5" w:rsidRDefault="006708E5" w:rsidP="006708E5">
            <w:pPr>
              <w:pStyle w:val="TableParagraph"/>
              <w:spacing w:line="200" w:lineRule="exact"/>
              <w:ind w:left="349" w:right="349"/>
              <w:jc w:val="right"/>
              <w:rPr>
                <w:rFonts w:ascii="GillSans-SemiBold"/>
                <w:b/>
                <w:sz w:val="18"/>
              </w:rPr>
            </w:pPr>
            <w:r w:rsidRPr="006708E5">
              <w:rPr>
                <w:rFonts w:ascii="GillSans-SemiBold"/>
                <w:b/>
                <w:sz w:val="18"/>
              </w:rPr>
              <w:t>Budget</w:t>
            </w:r>
          </w:p>
          <w:p w:rsidR="006708E5" w:rsidRPr="006708E5" w:rsidRDefault="006708E5" w:rsidP="006708E5">
            <w:pPr>
              <w:pStyle w:val="TableParagraph"/>
              <w:spacing w:line="207" w:lineRule="exact"/>
              <w:ind w:left="349" w:right="342"/>
              <w:jc w:val="right"/>
              <w:rPr>
                <w:rFonts w:ascii="GillSans-SemiBold" w:hAnsi="GillSans-SemiBold"/>
                <w:b/>
                <w:sz w:val="18"/>
              </w:rPr>
            </w:pPr>
            <w:r w:rsidRPr="006708E5">
              <w:rPr>
                <w:rFonts w:ascii="GillSans-SemiBold" w:hAnsi="GillSans-SemiBold"/>
                <w:b/>
                <w:sz w:val="18"/>
              </w:rPr>
              <w:t>$’000</w:t>
            </w:r>
          </w:p>
        </w:tc>
        <w:tc>
          <w:tcPr>
            <w:tcW w:w="1701" w:type="dxa"/>
            <w:tcBorders>
              <w:top w:val="single" w:sz="4" w:space="0" w:color="004D8F"/>
              <w:bottom w:val="single" w:sz="4" w:space="0" w:color="004D8F"/>
            </w:tcBorders>
            <w:shd w:val="clear" w:color="auto" w:fill="auto"/>
          </w:tcPr>
          <w:p w:rsidR="006708E5" w:rsidRPr="006708E5" w:rsidRDefault="006708E5" w:rsidP="006708E5">
            <w:pPr>
              <w:pStyle w:val="TableParagraph"/>
              <w:spacing w:before="37" w:line="207" w:lineRule="exact"/>
              <w:ind w:left="380" w:right="388"/>
              <w:jc w:val="right"/>
              <w:rPr>
                <w:rFonts w:ascii="GillSans-SemiBold"/>
                <w:b/>
                <w:sz w:val="18"/>
              </w:rPr>
            </w:pPr>
            <w:r w:rsidRPr="006708E5">
              <w:rPr>
                <w:rFonts w:ascii="GillSans-SemiBold"/>
                <w:b/>
                <w:sz w:val="18"/>
              </w:rPr>
              <w:t>2016</w:t>
            </w:r>
          </w:p>
          <w:p w:rsidR="006708E5" w:rsidRPr="006708E5" w:rsidRDefault="006708E5" w:rsidP="006708E5">
            <w:pPr>
              <w:pStyle w:val="TableParagraph"/>
              <w:spacing w:line="200" w:lineRule="exact"/>
              <w:ind w:left="387" w:right="388"/>
              <w:jc w:val="right"/>
              <w:rPr>
                <w:rFonts w:ascii="GillSans-SemiBold"/>
                <w:b/>
                <w:sz w:val="18"/>
              </w:rPr>
            </w:pPr>
            <w:r w:rsidRPr="006708E5">
              <w:rPr>
                <w:rFonts w:ascii="GillSans-SemiBold"/>
                <w:b/>
                <w:sz w:val="18"/>
              </w:rPr>
              <w:t>Actual</w:t>
            </w:r>
          </w:p>
          <w:p w:rsidR="006708E5" w:rsidRPr="006708E5" w:rsidRDefault="006708E5" w:rsidP="006708E5">
            <w:pPr>
              <w:pStyle w:val="TableParagraph"/>
              <w:spacing w:line="207" w:lineRule="exact"/>
              <w:ind w:left="387" w:right="384"/>
              <w:jc w:val="right"/>
              <w:rPr>
                <w:rFonts w:ascii="GillSans-SemiBold" w:hAnsi="GillSans-SemiBold"/>
                <w:b/>
                <w:sz w:val="18"/>
              </w:rPr>
            </w:pPr>
            <w:r w:rsidRPr="006708E5">
              <w:rPr>
                <w:rFonts w:ascii="GillSans-SemiBold" w:hAnsi="GillSans-SemiBold"/>
                <w:b/>
                <w:sz w:val="18"/>
              </w:rPr>
              <w:t>$’000</w:t>
            </w:r>
          </w:p>
        </w:tc>
      </w:tr>
      <w:tr w:rsidR="006708E5" w:rsidTr="006708E5">
        <w:trPr>
          <w:trHeight w:hRule="exact" w:val="362"/>
        </w:trPr>
        <w:tc>
          <w:tcPr>
            <w:tcW w:w="6383" w:type="dxa"/>
            <w:tcBorders>
              <w:top w:val="single" w:sz="4" w:space="0" w:color="004D8F"/>
            </w:tcBorders>
            <w:shd w:val="clear" w:color="auto" w:fill="auto"/>
            <w:vAlign w:val="center"/>
          </w:tcPr>
          <w:p w:rsidR="006708E5" w:rsidRPr="007065A7" w:rsidRDefault="007065A7" w:rsidP="007065A7">
            <w:pPr>
              <w:widowControl w:val="0"/>
              <w:tabs>
                <w:tab w:val="left" w:pos="515"/>
              </w:tabs>
              <w:autoSpaceDE w:val="0"/>
              <w:autoSpaceDN w:val="0"/>
              <w:spacing w:before="77" w:after="0" w:line="240" w:lineRule="auto"/>
              <w:rPr>
                <w:sz w:val="18"/>
              </w:rPr>
            </w:pPr>
            <w:r>
              <w:rPr>
                <w:spacing w:val="2"/>
                <w:sz w:val="18"/>
              </w:rPr>
              <w:t>1.1</w:t>
            </w:r>
            <w:r>
              <w:rPr>
                <w:spacing w:val="2"/>
                <w:sz w:val="18"/>
              </w:rPr>
              <w:tab/>
            </w:r>
            <w:r w:rsidR="006708E5" w:rsidRPr="007065A7">
              <w:rPr>
                <w:spacing w:val="2"/>
                <w:sz w:val="18"/>
              </w:rPr>
              <w:t>Admitted</w:t>
            </w:r>
            <w:r w:rsidR="006708E5" w:rsidRPr="007065A7">
              <w:rPr>
                <w:spacing w:val="6"/>
                <w:sz w:val="18"/>
              </w:rPr>
              <w:t xml:space="preserve"> </w:t>
            </w:r>
            <w:r w:rsidR="006708E5" w:rsidRPr="007065A7">
              <w:rPr>
                <w:spacing w:val="3"/>
                <w:sz w:val="18"/>
              </w:rPr>
              <w:t>Services</w:t>
            </w:r>
          </w:p>
        </w:tc>
        <w:tc>
          <w:tcPr>
            <w:tcW w:w="1701" w:type="dxa"/>
            <w:tcBorders>
              <w:top w:val="single" w:sz="4" w:space="0" w:color="004D8F"/>
            </w:tcBorders>
            <w:shd w:val="clear" w:color="auto" w:fill="auto"/>
            <w:vAlign w:val="center"/>
          </w:tcPr>
          <w:p w:rsidR="006708E5" w:rsidRDefault="006708E5" w:rsidP="006708E5">
            <w:pPr>
              <w:pStyle w:val="TableParagraph"/>
              <w:ind w:right="176"/>
              <w:jc w:val="right"/>
              <w:rPr>
                <w:sz w:val="18"/>
              </w:rPr>
            </w:pPr>
            <w:r>
              <w:rPr>
                <w:sz w:val="18"/>
              </w:rPr>
              <w:t>760 331</w:t>
            </w:r>
          </w:p>
        </w:tc>
        <w:tc>
          <w:tcPr>
            <w:tcW w:w="1701" w:type="dxa"/>
            <w:tcBorders>
              <w:top w:val="single" w:sz="4" w:space="0" w:color="004D8F"/>
            </w:tcBorders>
            <w:shd w:val="clear" w:color="auto" w:fill="auto"/>
            <w:vAlign w:val="center"/>
          </w:tcPr>
          <w:p w:rsidR="006708E5" w:rsidRDefault="007065A7" w:rsidP="0018465A">
            <w:pPr>
              <w:pStyle w:val="TableParagraph"/>
              <w:numPr>
                <w:ilvl w:val="0"/>
                <w:numId w:val="42"/>
              </w:numPr>
              <w:ind w:right="167"/>
              <w:jc w:val="right"/>
              <w:rPr>
                <w:sz w:val="18"/>
              </w:rPr>
            </w:pPr>
            <w:r>
              <w:rPr>
                <w:sz w:val="18"/>
              </w:rPr>
              <w:t>75</w:t>
            </w:r>
            <w:r w:rsidR="006708E5">
              <w:rPr>
                <w:sz w:val="18"/>
              </w:rPr>
              <w:t>5</w:t>
            </w:r>
          </w:p>
        </w:tc>
      </w:tr>
      <w:tr w:rsidR="006708E5" w:rsidTr="006708E5">
        <w:trPr>
          <w:trHeight w:hRule="exact" w:val="284"/>
        </w:trPr>
        <w:tc>
          <w:tcPr>
            <w:tcW w:w="6383" w:type="dxa"/>
            <w:shd w:val="clear" w:color="auto" w:fill="auto"/>
          </w:tcPr>
          <w:p w:rsidR="006708E5" w:rsidRPr="006708E5" w:rsidRDefault="007065A7" w:rsidP="007065A7">
            <w:pPr>
              <w:widowControl w:val="0"/>
              <w:tabs>
                <w:tab w:val="left" w:pos="515"/>
              </w:tabs>
              <w:autoSpaceDE w:val="0"/>
              <w:autoSpaceDN w:val="0"/>
              <w:spacing w:before="79" w:after="0" w:line="240" w:lineRule="auto"/>
              <w:rPr>
                <w:sz w:val="18"/>
              </w:rPr>
            </w:pPr>
            <w:r>
              <w:rPr>
                <w:spacing w:val="2"/>
                <w:sz w:val="18"/>
              </w:rPr>
              <w:t>1.2</w:t>
            </w:r>
            <w:r>
              <w:rPr>
                <w:spacing w:val="2"/>
                <w:sz w:val="18"/>
              </w:rPr>
              <w:tab/>
            </w:r>
            <w:r w:rsidR="006708E5" w:rsidRPr="006708E5">
              <w:rPr>
                <w:spacing w:val="2"/>
                <w:sz w:val="18"/>
              </w:rPr>
              <w:t>Non-admitted</w:t>
            </w:r>
            <w:r w:rsidR="006708E5" w:rsidRPr="006708E5">
              <w:rPr>
                <w:spacing w:val="8"/>
                <w:sz w:val="18"/>
              </w:rPr>
              <w:t xml:space="preserve"> </w:t>
            </w:r>
            <w:r w:rsidR="006708E5" w:rsidRPr="006708E5">
              <w:rPr>
                <w:spacing w:val="3"/>
                <w:sz w:val="18"/>
              </w:rPr>
              <w:t>Services</w:t>
            </w:r>
          </w:p>
          <w:p w:rsidR="006708E5" w:rsidRDefault="006708E5" w:rsidP="007065A7">
            <w:pPr>
              <w:pStyle w:val="TableParagraph"/>
              <w:tabs>
                <w:tab w:val="left" w:pos="515"/>
              </w:tabs>
              <w:spacing w:before="40"/>
              <w:ind w:left="856" w:right="167" w:hanging="709"/>
              <w:jc w:val="right"/>
              <w:rPr>
                <w:sz w:val="18"/>
              </w:rPr>
            </w:pPr>
          </w:p>
        </w:tc>
        <w:tc>
          <w:tcPr>
            <w:tcW w:w="1701" w:type="dxa"/>
            <w:shd w:val="clear" w:color="auto" w:fill="auto"/>
          </w:tcPr>
          <w:p w:rsidR="006708E5" w:rsidRDefault="006708E5" w:rsidP="000B23D3">
            <w:pPr>
              <w:pStyle w:val="TableParagraph"/>
              <w:spacing w:before="40"/>
              <w:ind w:right="167"/>
              <w:jc w:val="right"/>
              <w:rPr>
                <w:sz w:val="18"/>
              </w:rPr>
            </w:pPr>
            <w:r>
              <w:rPr>
                <w:sz w:val="18"/>
              </w:rPr>
              <w:t>154 239</w:t>
            </w:r>
          </w:p>
        </w:tc>
        <w:tc>
          <w:tcPr>
            <w:tcW w:w="1701" w:type="dxa"/>
            <w:shd w:val="clear" w:color="auto" w:fill="auto"/>
          </w:tcPr>
          <w:p w:rsidR="006708E5" w:rsidRDefault="006708E5" w:rsidP="000B23D3">
            <w:pPr>
              <w:pStyle w:val="TableParagraph"/>
              <w:spacing w:before="40"/>
              <w:ind w:right="167"/>
              <w:jc w:val="right"/>
              <w:rPr>
                <w:sz w:val="18"/>
              </w:rPr>
            </w:pPr>
            <w:r>
              <w:rPr>
                <w:sz w:val="18"/>
              </w:rPr>
              <w:t>183 874</w:t>
            </w:r>
          </w:p>
        </w:tc>
      </w:tr>
      <w:tr w:rsidR="006708E5" w:rsidTr="006708E5">
        <w:trPr>
          <w:trHeight w:hRule="exact" w:val="284"/>
        </w:trPr>
        <w:tc>
          <w:tcPr>
            <w:tcW w:w="6383" w:type="dxa"/>
            <w:shd w:val="clear" w:color="auto" w:fill="auto"/>
          </w:tcPr>
          <w:p w:rsidR="006708E5" w:rsidRPr="007065A7" w:rsidRDefault="007065A7" w:rsidP="007065A7">
            <w:pPr>
              <w:widowControl w:val="0"/>
              <w:tabs>
                <w:tab w:val="left" w:pos="515"/>
              </w:tabs>
              <w:autoSpaceDE w:val="0"/>
              <w:autoSpaceDN w:val="0"/>
              <w:spacing w:before="79" w:after="0" w:line="240" w:lineRule="auto"/>
              <w:rPr>
                <w:sz w:val="18"/>
              </w:rPr>
            </w:pPr>
            <w:r>
              <w:rPr>
                <w:spacing w:val="2"/>
                <w:sz w:val="18"/>
              </w:rPr>
              <w:t>1.3</w:t>
            </w:r>
            <w:r>
              <w:rPr>
                <w:spacing w:val="2"/>
                <w:sz w:val="18"/>
              </w:rPr>
              <w:tab/>
            </w:r>
            <w:r w:rsidR="006708E5" w:rsidRPr="007065A7">
              <w:rPr>
                <w:spacing w:val="2"/>
                <w:sz w:val="18"/>
              </w:rPr>
              <w:t xml:space="preserve">Emergency </w:t>
            </w:r>
            <w:r w:rsidR="006708E5" w:rsidRPr="007065A7">
              <w:rPr>
                <w:spacing w:val="3"/>
                <w:sz w:val="18"/>
              </w:rPr>
              <w:t>Department</w:t>
            </w:r>
            <w:r w:rsidR="006708E5" w:rsidRPr="007065A7">
              <w:rPr>
                <w:spacing w:val="17"/>
                <w:sz w:val="18"/>
              </w:rPr>
              <w:t xml:space="preserve"> </w:t>
            </w:r>
            <w:r w:rsidR="006708E5" w:rsidRPr="007065A7">
              <w:rPr>
                <w:spacing w:val="2"/>
                <w:sz w:val="18"/>
              </w:rPr>
              <w:t>Services</w:t>
            </w:r>
          </w:p>
          <w:p w:rsidR="006708E5" w:rsidRDefault="006708E5" w:rsidP="007065A7">
            <w:pPr>
              <w:pStyle w:val="TableParagraph"/>
              <w:tabs>
                <w:tab w:val="left" w:pos="515"/>
              </w:tabs>
              <w:spacing w:before="40"/>
              <w:ind w:left="856" w:right="167" w:hanging="709"/>
              <w:jc w:val="right"/>
              <w:rPr>
                <w:sz w:val="18"/>
              </w:rPr>
            </w:pPr>
          </w:p>
        </w:tc>
        <w:tc>
          <w:tcPr>
            <w:tcW w:w="1701" w:type="dxa"/>
            <w:shd w:val="clear" w:color="auto" w:fill="auto"/>
          </w:tcPr>
          <w:p w:rsidR="006708E5" w:rsidRDefault="006708E5" w:rsidP="000B23D3">
            <w:pPr>
              <w:pStyle w:val="TableParagraph"/>
              <w:spacing w:before="40"/>
              <w:ind w:right="167"/>
              <w:jc w:val="right"/>
              <w:rPr>
                <w:sz w:val="18"/>
              </w:rPr>
            </w:pPr>
            <w:r>
              <w:rPr>
                <w:sz w:val="18"/>
              </w:rPr>
              <w:t>122 114</w:t>
            </w:r>
          </w:p>
        </w:tc>
        <w:tc>
          <w:tcPr>
            <w:tcW w:w="1701" w:type="dxa"/>
            <w:shd w:val="clear" w:color="auto" w:fill="auto"/>
          </w:tcPr>
          <w:p w:rsidR="006708E5" w:rsidRDefault="006708E5" w:rsidP="000B23D3">
            <w:pPr>
              <w:pStyle w:val="TableParagraph"/>
              <w:spacing w:before="40"/>
              <w:ind w:right="167"/>
              <w:jc w:val="right"/>
              <w:rPr>
                <w:sz w:val="18"/>
              </w:rPr>
            </w:pPr>
            <w:r>
              <w:rPr>
                <w:sz w:val="18"/>
              </w:rPr>
              <w:t>123 535</w:t>
            </w:r>
          </w:p>
        </w:tc>
      </w:tr>
      <w:tr w:rsidR="006708E5" w:rsidTr="006708E5">
        <w:trPr>
          <w:trHeight w:hRule="exact" w:val="284"/>
        </w:trPr>
        <w:tc>
          <w:tcPr>
            <w:tcW w:w="6383" w:type="dxa"/>
            <w:shd w:val="clear" w:color="auto" w:fill="auto"/>
          </w:tcPr>
          <w:p w:rsidR="006708E5" w:rsidRPr="007065A7" w:rsidRDefault="007065A7" w:rsidP="007065A7">
            <w:pPr>
              <w:widowControl w:val="0"/>
              <w:tabs>
                <w:tab w:val="left" w:pos="515"/>
              </w:tabs>
              <w:autoSpaceDE w:val="0"/>
              <w:autoSpaceDN w:val="0"/>
              <w:spacing w:before="79" w:after="0" w:line="240" w:lineRule="auto"/>
              <w:rPr>
                <w:sz w:val="18"/>
              </w:rPr>
            </w:pPr>
            <w:r>
              <w:rPr>
                <w:spacing w:val="2"/>
                <w:sz w:val="18"/>
              </w:rPr>
              <w:t>1.4</w:t>
            </w:r>
            <w:r>
              <w:rPr>
                <w:spacing w:val="2"/>
                <w:sz w:val="18"/>
              </w:rPr>
              <w:tab/>
            </w:r>
            <w:r w:rsidR="006708E5" w:rsidRPr="007065A7">
              <w:rPr>
                <w:spacing w:val="2"/>
                <w:sz w:val="18"/>
              </w:rPr>
              <w:t xml:space="preserve">Community </w:t>
            </w:r>
            <w:r w:rsidR="006708E5" w:rsidRPr="007065A7">
              <w:rPr>
                <w:sz w:val="18"/>
              </w:rPr>
              <w:t xml:space="preserve">and Aged </w:t>
            </w:r>
            <w:r w:rsidR="006708E5" w:rsidRPr="007065A7">
              <w:rPr>
                <w:spacing w:val="3"/>
                <w:sz w:val="18"/>
              </w:rPr>
              <w:t>Care</w:t>
            </w:r>
            <w:r w:rsidR="006708E5" w:rsidRPr="007065A7">
              <w:rPr>
                <w:spacing w:val="16"/>
                <w:sz w:val="18"/>
              </w:rPr>
              <w:t xml:space="preserve"> </w:t>
            </w:r>
            <w:r w:rsidR="006708E5" w:rsidRPr="007065A7">
              <w:rPr>
                <w:spacing w:val="3"/>
                <w:sz w:val="18"/>
              </w:rPr>
              <w:t>Services</w:t>
            </w:r>
          </w:p>
          <w:p w:rsidR="006708E5" w:rsidRDefault="006708E5" w:rsidP="007065A7">
            <w:pPr>
              <w:pStyle w:val="TableParagraph"/>
              <w:tabs>
                <w:tab w:val="left" w:pos="515"/>
              </w:tabs>
              <w:spacing w:before="40"/>
              <w:ind w:left="856" w:right="168" w:hanging="709"/>
              <w:jc w:val="right"/>
              <w:rPr>
                <w:sz w:val="18"/>
              </w:rPr>
            </w:pPr>
          </w:p>
        </w:tc>
        <w:tc>
          <w:tcPr>
            <w:tcW w:w="1701" w:type="dxa"/>
            <w:shd w:val="clear" w:color="auto" w:fill="auto"/>
          </w:tcPr>
          <w:p w:rsidR="006708E5" w:rsidRDefault="006708E5" w:rsidP="000B23D3">
            <w:pPr>
              <w:pStyle w:val="TableParagraph"/>
              <w:spacing w:before="40"/>
              <w:ind w:right="168"/>
              <w:jc w:val="right"/>
              <w:rPr>
                <w:sz w:val="18"/>
              </w:rPr>
            </w:pPr>
            <w:r>
              <w:rPr>
                <w:sz w:val="18"/>
              </w:rPr>
              <w:t>200 907</w:t>
            </w:r>
          </w:p>
        </w:tc>
        <w:tc>
          <w:tcPr>
            <w:tcW w:w="1701" w:type="dxa"/>
            <w:shd w:val="clear" w:color="auto" w:fill="auto"/>
          </w:tcPr>
          <w:p w:rsidR="006708E5" w:rsidRDefault="006708E5" w:rsidP="000B23D3">
            <w:pPr>
              <w:pStyle w:val="TableParagraph"/>
              <w:spacing w:before="40"/>
              <w:ind w:right="177"/>
              <w:jc w:val="right"/>
              <w:rPr>
                <w:sz w:val="18"/>
              </w:rPr>
            </w:pPr>
            <w:r>
              <w:rPr>
                <w:sz w:val="18"/>
              </w:rPr>
              <w:t>198 814</w:t>
            </w:r>
          </w:p>
        </w:tc>
      </w:tr>
      <w:tr w:rsidR="006708E5" w:rsidTr="006708E5">
        <w:trPr>
          <w:trHeight w:hRule="exact" w:val="284"/>
        </w:trPr>
        <w:tc>
          <w:tcPr>
            <w:tcW w:w="6383" w:type="dxa"/>
            <w:shd w:val="clear" w:color="auto" w:fill="auto"/>
          </w:tcPr>
          <w:p w:rsidR="006708E5" w:rsidRPr="007065A7" w:rsidRDefault="007065A7" w:rsidP="007065A7">
            <w:pPr>
              <w:widowControl w:val="0"/>
              <w:tabs>
                <w:tab w:val="left" w:pos="515"/>
              </w:tabs>
              <w:autoSpaceDE w:val="0"/>
              <w:autoSpaceDN w:val="0"/>
              <w:spacing w:before="79" w:after="0" w:line="240" w:lineRule="auto"/>
              <w:rPr>
                <w:sz w:val="18"/>
              </w:rPr>
            </w:pPr>
            <w:r>
              <w:rPr>
                <w:sz w:val="18"/>
              </w:rPr>
              <w:t>1.5</w:t>
            </w:r>
            <w:r>
              <w:rPr>
                <w:sz w:val="18"/>
              </w:rPr>
              <w:tab/>
            </w:r>
            <w:r w:rsidR="006708E5" w:rsidRPr="007065A7">
              <w:rPr>
                <w:sz w:val="18"/>
              </w:rPr>
              <w:t xml:space="preserve">Statewide and </w:t>
            </w:r>
            <w:r w:rsidR="006708E5" w:rsidRPr="007065A7">
              <w:rPr>
                <w:spacing w:val="3"/>
                <w:sz w:val="18"/>
              </w:rPr>
              <w:t xml:space="preserve">Mental </w:t>
            </w:r>
            <w:r w:rsidR="006708E5" w:rsidRPr="007065A7">
              <w:rPr>
                <w:spacing w:val="2"/>
                <w:sz w:val="18"/>
              </w:rPr>
              <w:t>Health</w:t>
            </w:r>
            <w:r w:rsidR="006708E5" w:rsidRPr="007065A7">
              <w:rPr>
                <w:spacing w:val="21"/>
                <w:sz w:val="18"/>
              </w:rPr>
              <w:t xml:space="preserve"> </w:t>
            </w:r>
            <w:r w:rsidR="006708E5" w:rsidRPr="007065A7">
              <w:rPr>
                <w:spacing w:val="3"/>
                <w:sz w:val="18"/>
              </w:rPr>
              <w:t>Services</w:t>
            </w:r>
          </w:p>
          <w:p w:rsidR="006708E5" w:rsidRDefault="006708E5" w:rsidP="007065A7">
            <w:pPr>
              <w:pStyle w:val="TableParagraph"/>
              <w:tabs>
                <w:tab w:val="left" w:pos="515"/>
              </w:tabs>
              <w:spacing w:before="40"/>
              <w:ind w:left="856" w:right="167" w:hanging="709"/>
              <w:jc w:val="right"/>
              <w:rPr>
                <w:sz w:val="18"/>
              </w:rPr>
            </w:pPr>
          </w:p>
        </w:tc>
        <w:tc>
          <w:tcPr>
            <w:tcW w:w="1701" w:type="dxa"/>
            <w:shd w:val="clear" w:color="auto" w:fill="auto"/>
          </w:tcPr>
          <w:p w:rsidR="006708E5" w:rsidRDefault="006708E5" w:rsidP="000B23D3">
            <w:pPr>
              <w:pStyle w:val="TableParagraph"/>
              <w:spacing w:before="40"/>
              <w:ind w:right="167"/>
              <w:jc w:val="right"/>
              <w:rPr>
                <w:sz w:val="18"/>
              </w:rPr>
            </w:pPr>
            <w:r>
              <w:rPr>
                <w:sz w:val="18"/>
              </w:rPr>
              <w:t>116 803</w:t>
            </w:r>
          </w:p>
        </w:tc>
        <w:tc>
          <w:tcPr>
            <w:tcW w:w="1701" w:type="dxa"/>
            <w:shd w:val="clear" w:color="auto" w:fill="auto"/>
          </w:tcPr>
          <w:p w:rsidR="006708E5" w:rsidRDefault="006708E5" w:rsidP="000B23D3">
            <w:pPr>
              <w:pStyle w:val="TableParagraph"/>
              <w:spacing w:before="40"/>
              <w:ind w:right="168"/>
              <w:jc w:val="right"/>
              <w:rPr>
                <w:sz w:val="18"/>
              </w:rPr>
            </w:pPr>
            <w:r>
              <w:rPr>
                <w:sz w:val="18"/>
              </w:rPr>
              <w:t>116 300</w:t>
            </w:r>
          </w:p>
        </w:tc>
      </w:tr>
      <w:tr w:rsidR="006708E5" w:rsidTr="005544BF">
        <w:trPr>
          <w:trHeight w:hRule="exact" w:val="281"/>
        </w:trPr>
        <w:tc>
          <w:tcPr>
            <w:tcW w:w="6383" w:type="dxa"/>
            <w:tcBorders>
              <w:bottom w:val="dotted" w:sz="4" w:space="0" w:color="auto"/>
            </w:tcBorders>
            <w:shd w:val="clear" w:color="auto" w:fill="auto"/>
          </w:tcPr>
          <w:p w:rsidR="006708E5" w:rsidRPr="007065A7" w:rsidRDefault="007065A7" w:rsidP="007065A7">
            <w:pPr>
              <w:widowControl w:val="0"/>
              <w:tabs>
                <w:tab w:val="left" w:pos="515"/>
              </w:tabs>
              <w:autoSpaceDE w:val="0"/>
              <w:autoSpaceDN w:val="0"/>
              <w:spacing w:before="79" w:after="0" w:line="240" w:lineRule="auto"/>
              <w:rPr>
                <w:sz w:val="18"/>
              </w:rPr>
            </w:pPr>
            <w:r>
              <w:rPr>
                <w:spacing w:val="2"/>
                <w:sz w:val="18"/>
              </w:rPr>
              <w:t>1.6</w:t>
            </w:r>
            <w:r>
              <w:rPr>
                <w:spacing w:val="2"/>
                <w:sz w:val="18"/>
              </w:rPr>
              <w:tab/>
            </w:r>
            <w:r w:rsidR="006708E5" w:rsidRPr="007065A7">
              <w:rPr>
                <w:spacing w:val="2"/>
                <w:sz w:val="18"/>
              </w:rPr>
              <w:t xml:space="preserve">Forensic </w:t>
            </w:r>
            <w:r w:rsidR="006708E5" w:rsidRPr="007065A7">
              <w:rPr>
                <w:sz w:val="18"/>
              </w:rPr>
              <w:t>Medicine</w:t>
            </w:r>
            <w:r w:rsidR="006708E5" w:rsidRPr="007065A7">
              <w:rPr>
                <w:spacing w:val="15"/>
                <w:sz w:val="18"/>
              </w:rPr>
              <w:t xml:space="preserve"> </w:t>
            </w:r>
            <w:r w:rsidR="006708E5" w:rsidRPr="007065A7">
              <w:rPr>
                <w:spacing w:val="3"/>
                <w:sz w:val="18"/>
              </w:rPr>
              <w:t>Services</w:t>
            </w:r>
          </w:p>
          <w:p w:rsidR="006708E5" w:rsidRDefault="006708E5" w:rsidP="007065A7">
            <w:pPr>
              <w:pStyle w:val="TableParagraph"/>
              <w:tabs>
                <w:tab w:val="left" w:pos="515"/>
              </w:tabs>
              <w:spacing w:before="40"/>
              <w:ind w:left="856" w:right="168" w:hanging="709"/>
              <w:jc w:val="right"/>
              <w:rPr>
                <w:sz w:val="18"/>
              </w:rPr>
            </w:pPr>
          </w:p>
        </w:tc>
        <w:tc>
          <w:tcPr>
            <w:tcW w:w="1701" w:type="dxa"/>
            <w:tcBorders>
              <w:bottom w:val="dotted" w:sz="4" w:space="0" w:color="auto"/>
            </w:tcBorders>
            <w:shd w:val="clear" w:color="auto" w:fill="auto"/>
          </w:tcPr>
          <w:p w:rsidR="006708E5" w:rsidRDefault="006708E5" w:rsidP="000B23D3">
            <w:pPr>
              <w:pStyle w:val="TableParagraph"/>
              <w:spacing w:before="40"/>
              <w:ind w:right="168"/>
              <w:jc w:val="right"/>
              <w:rPr>
                <w:sz w:val="18"/>
              </w:rPr>
            </w:pPr>
            <w:r>
              <w:rPr>
                <w:sz w:val="18"/>
              </w:rPr>
              <w:t>1 242</w:t>
            </w:r>
          </w:p>
        </w:tc>
        <w:tc>
          <w:tcPr>
            <w:tcW w:w="1701" w:type="dxa"/>
            <w:tcBorders>
              <w:bottom w:val="dotted" w:sz="4" w:space="0" w:color="auto"/>
            </w:tcBorders>
            <w:shd w:val="clear" w:color="auto" w:fill="auto"/>
          </w:tcPr>
          <w:p w:rsidR="006708E5" w:rsidRDefault="006708E5" w:rsidP="000B23D3">
            <w:pPr>
              <w:pStyle w:val="TableParagraph"/>
              <w:spacing w:before="40"/>
              <w:ind w:right="170"/>
              <w:jc w:val="right"/>
              <w:rPr>
                <w:sz w:val="18"/>
              </w:rPr>
            </w:pPr>
            <w:r>
              <w:rPr>
                <w:sz w:val="18"/>
              </w:rPr>
              <w:t>1 452</w:t>
            </w:r>
          </w:p>
        </w:tc>
      </w:tr>
      <w:tr w:rsidR="006708E5" w:rsidTr="005544BF">
        <w:trPr>
          <w:trHeight w:hRule="exact" w:val="291"/>
        </w:trPr>
        <w:tc>
          <w:tcPr>
            <w:tcW w:w="6383" w:type="dxa"/>
            <w:tcBorders>
              <w:bottom w:val="single" w:sz="4" w:space="0" w:color="auto"/>
            </w:tcBorders>
            <w:shd w:val="clear" w:color="auto" w:fill="auto"/>
          </w:tcPr>
          <w:p w:rsidR="006708E5" w:rsidRDefault="006708E5" w:rsidP="006708E5">
            <w:pPr>
              <w:pStyle w:val="TableParagraph"/>
              <w:spacing w:before="37"/>
              <w:ind w:left="856" w:right="168" w:hanging="709"/>
              <w:rPr>
                <w:rFonts w:ascii="GillSans-SemiBold"/>
                <w:b/>
                <w:sz w:val="18"/>
              </w:rPr>
            </w:pPr>
            <w:r>
              <w:rPr>
                <w:rFonts w:ascii="GillSans-SemiBold"/>
                <w:b/>
                <w:sz w:val="18"/>
              </w:rPr>
              <w:t>Total</w:t>
            </w:r>
          </w:p>
        </w:tc>
        <w:tc>
          <w:tcPr>
            <w:tcW w:w="1701" w:type="dxa"/>
            <w:tcBorders>
              <w:bottom w:val="single" w:sz="4" w:space="0" w:color="auto"/>
            </w:tcBorders>
            <w:shd w:val="clear" w:color="auto" w:fill="auto"/>
          </w:tcPr>
          <w:p w:rsidR="006708E5" w:rsidRDefault="006708E5" w:rsidP="000B23D3">
            <w:pPr>
              <w:pStyle w:val="TableParagraph"/>
              <w:spacing w:before="37"/>
              <w:ind w:right="168"/>
              <w:jc w:val="right"/>
              <w:rPr>
                <w:rFonts w:ascii="GillSans-SemiBold"/>
                <w:b/>
                <w:sz w:val="18"/>
              </w:rPr>
            </w:pPr>
            <w:r>
              <w:rPr>
                <w:rFonts w:ascii="GillSans-SemiBold"/>
                <w:b/>
                <w:sz w:val="18"/>
              </w:rPr>
              <w:t>1 355 636</w:t>
            </w:r>
          </w:p>
        </w:tc>
        <w:tc>
          <w:tcPr>
            <w:tcW w:w="1701" w:type="dxa"/>
            <w:tcBorders>
              <w:bottom w:val="single" w:sz="4" w:space="0" w:color="auto"/>
            </w:tcBorders>
            <w:shd w:val="clear" w:color="auto" w:fill="auto"/>
          </w:tcPr>
          <w:p w:rsidR="006708E5" w:rsidRDefault="006708E5" w:rsidP="000B23D3">
            <w:pPr>
              <w:pStyle w:val="TableParagraph"/>
              <w:spacing w:before="37"/>
              <w:ind w:right="168"/>
              <w:jc w:val="right"/>
              <w:rPr>
                <w:rFonts w:ascii="GillSans-SemiBold"/>
                <w:b/>
                <w:sz w:val="18"/>
              </w:rPr>
            </w:pPr>
            <w:r>
              <w:rPr>
                <w:rFonts w:ascii="GillSans-SemiBold"/>
                <w:b/>
                <w:sz w:val="18"/>
              </w:rPr>
              <w:t>1 412 730</w:t>
            </w:r>
          </w:p>
        </w:tc>
      </w:tr>
    </w:tbl>
    <w:p w:rsidR="006708E5" w:rsidRDefault="006708E5" w:rsidP="006708E5">
      <w:pPr>
        <w:pStyle w:val="BodyText"/>
      </w:pPr>
    </w:p>
    <w:p w:rsidR="006708E5" w:rsidRDefault="006708E5" w:rsidP="006708E5">
      <w:pPr>
        <w:pStyle w:val="BodyText"/>
      </w:pPr>
    </w:p>
    <w:p w:rsidR="007065A7" w:rsidRDefault="007065A7" w:rsidP="007065A7">
      <w:pPr>
        <w:pStyle w:val="Heading4"/>
        <w:tabs>
          <w:tab w:val="left" w:pos="1560"/>
        </w:tabs>
      </w:pPr>
      <w:r>
        <w:t>Note 2</w:t>
      </w:r>
      <w:r>
        <w:tab/>
        <w:t xml:space="preserve">EXPENDITURE UNDER AUSTRALIAN GOVERNMENT FUNDING </w:t>
      </w:r>
      <w:r>
        <w:br/>
      </w:r>
      <w:r>
        <w:tab/>
        <w:t>ARRANGEMENTS</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Note 2"/>
        <w:tblDescription w:val="Expenditure under Australian Government Funding Arrangements"/>
      </w:tblPr>
      <w:tblGrid>
        <w:gridCol w:w="6384"/>
        <w:gridCol w:w="1701"/>
        <w:gridCol w:w="1701"/>
      </w:tblGrid>
      <w:tr w:rsidR="007065A7" w:rsidRPr="00DA472D" w:rsidTr="00DA472D">
        <w:trPr>
          <w:trHeight w:hRule="exact" w:val="887"/>
        </w:trPr>
        <w:tc>
          <w:tcPr>
            <w:tcW w:w="6384" w:type="dxa"/>
            <w:tcBorders>
              <w:top w:val="single" w:sz="4" w:space="0" w:color="auto"/>
              <w:left w:val="dotted" w:sz="4" w:space="0" w:color="auto"/>
              <w:bottom w:val="single" w:sz="4" w:space="0" w:color="auto"/>
              <w:right w:val="dotted" w:sz="4" w:space="0" w:color="auto"/>
            </w:tcBorders>
            <w:shd w:val="clear" w:color="auto" w:fill="auto"/>
            <w:vAlign w:val="bottom"/>
          </w:tcPr>
          <w:p w:rsidR="007065A7" w:rsidRPr="00DA472D" w:rsidRDefault="005544BF" w:rsidP="007065A7">
            <w:pPr>
              <w:rPr>
                <w:rFonts w:ascii="Gill Sans MT" w:hAnsi="Gill Sans MT"/>
              </w:rPr>
            </w:pPr>
            <w:r>
              <w:rPr>
                <w:rFonts w:ascii="Gill Sans MT" w:hAnsi="Gill Sans MT"/>
                <w:b/>
                <w:sz w:val="18"/>
              </w:rPr>
              <w:t>Expense</w:t>
            </w:r>
          </w:p>
        </w:tc>
        <w:tc>
          <w:tcPr>
            <w:tcW w:w="1701" w:type="dxa"/>
            <w:tcBorders>
              <w:top w:val="single" w:sz="4" w:space="0" w:color="auto"/>
              <w:left w:val="dotted" w:sz="4" w:space="0" w:color="auto"/>
              <w:bottom w:val="single" w:sz="4" w:space="0" w:color="auto"/>
              <w:right w:val="dotted" w:sz="4" w:space="0" w:color="auto"/>
            </w:tcBorders>
            <w:shd w:val="clear" w:color="auto" w:fill="auto"/>
            <w:vAlign w:val="bottom"/>
          </w:tcPr>
          <w:p w:rsidR="007065A7" w:rsidRPr="00DA472D" w:rsidRDefault="007065A7" w:rsidP="007065A7">
            <w:pPr>
              <w:pStyle w:val="TableParagraph"/>
              <w:spacing w:before="5"/>
              <w:jc w:val="right"/>
              <w:rPr>
                <w:rFonts w:ascii="Gill Sans MT" w:hAnsi="Gill Sans MT"/>
                <w:b/>
                <w:sz w:val="21"/>
              </w:rPr>
            </w:pPr>
          </w:p>
          <w:p w:rsidR="007065A7" w:rsidRPr="00DA472D" w:rsidRDefault="007065A7" w:rsidP="007065A7">
            <w:pPr>
              <w:pStyle w:val="TableParagraph"/>
              <w:spacing w:line="200" w:lineRule="exact"/>
              <w:ind w:left="69" w:right="154"/>
              <w:jc w:val="right"/>
              <w:rPr>
                <w:rFonts w:ascii="Gill Sans MT" w:hAnsi="Gill Sans MT"/>
                <w:b/>
                <w:sz w:val="18"/>
              </w:rPr>
            </w:pPr>
            <w:r w:rsidRPr="00DA472D">
              <w:rPr>
                <w:rFonts w:ascii="Gill Sans MT" w:hAnsi="Gill Sans MT"/>
                <w:b/>
                <w:sz w:val="18"/>
              </w:rPr>
              <w:t>State Funding 2016 Actual</w:t>
            </w:r>
          </w:p>
          <w:p w:rsidR="007065A7" w:rsidRPr="00DA472D" w:rsidRDefault="007065A7" w:rsidP="007065A7">
            <w:pPr>
              <w:pStyle w:val="TableParagraph"/>
              <w:spacing w:line="205" w:lineRule="exact"/>
              <w:ind w:left="69" w:right="148"/>
              <w:jc w:val="right"/>
              <w:rPr>
                <w:rFonts w:ascii="Gill Sans MT" w:hAnsi="Gill Sans MT"/>
                <w:b/>
                <w:sz w:val="18"/>
              </w:rPr>
            </w:pPr>
            <w:r w:rsidRPr="00DA472D">
              <w:rPr>
                <w:rFonts w:ascii="Gill Sans MT" w:hAnsi="Gill Sans MT"/>
                <w:b/>
                <w:sz w:val="18"/>
              </w:rPr>
              <w:t>$’000</w:t>
            </w:r>
          </w:p>
        </w:tc>
        <w:tc>
          <w:tcPr>
            <w:tcW w:w="1701" w:type="dxa"/>
            <w:tcBorders>
              <w:top w:val="single" w:sz="4" w:space="0" w:color="auto"/>
              <w:left w:val="dotted" w:sz="4" w:space="0" w:color="auto"/>
              <w:bottom w:val="single" w:sz="4" w:space="0" w:color="auto"/>
              <w:right w:val="dotted" w:sz="4" w:space="0" w:color="auto"/>
            </w:tcBorders>
            <w:shd w:val="clear" w:color="auto" w:fill="auto"/>
            <w:vAlign w:val="bottom"/>
          </w:tcPr>
          <w:p w:rsidR="007065A7" w:rsidRPr="00DA472D" w:rsidRDefault="007065A7" w:rsidP="007065A7">
            <w:pPr>
              <w:pStyle w:val="TableParagraph"/>
              <w:spacing w:before="56" w:line="200" w:lineRule="exact"/>
              <w:ind w:left="98" w:right="178" w:firstLine="2"/>
              <w:jc w:val="right"/>
              <w:rPr>
                <w:rFonts w:ascii="Gill Sans MT" w:hAnsi="Gill Sans MT"/>
                <w:b/>
                <w:sz w:val="18"/>
              </w:rPr>
            </w:pPr>
            <w:r w:rsidRPr="00DA472D">
              <w:rPr>
                <w:rFonts w:ascii="Gill Sans MT" w:hAnsi="Gill Sans MT"/>
                <w:b/>
                <w:sz w:val="18"/>
              </w:rPr>
              <w:t xml:space="preserve">Australian Govt </w:t>
            </w:r>
            <w:r w:rsidRPr="00DA472D">
              <w:rPr>
                <w:rFonts w:ascii="Gill Sans MT" w:hAnsi="Gill Sans MT"/>
                <w:b/>
                <w:spacing w:val="-3"/>
                <w:sz w:val="18"/>
              </w:rPr>
              <w:t xml:space="preserve">Funding </w:t>
            </w:r>
            <w:r w:rsidRPr="00DA472D">
              <w:rPr>
                <w:rFonts w:ascii="Gill Sans MT" w:hAnsi="Gill Sans MT"/>
                <w:b/>
                <w:spacing w:val="-6"/>
                <w:sz w:val="18"/>
              </w:rPr>
              <w:t xml:space="preserve">2016 </w:t>
            </w:r>
            <w:r w:rsidRPr="00DA472D">
              <w:rPr>
                <w:rFonts w:ascii="Gill Sans MT" w:hAnsi="Gill Sans MT"/>
                <w:b/>
                <w:sz w:val="18"/>
              </w:rPr>
              <w:t>Actual</w:t>
            </w:r>
          </w:p>
          <w:p w:rsidR="007065A7" w:rsidRPr="00DA472D" w:rsidRDefault="007065A7" w:rsidP="00DA472D">
            <w:pPr>
              <w:pStyle w:val="TableParagraph"/>
              <w:spacing w:line="205" w:lineRule="exact"/>
              <w:ind w:left="388" w:right="142"/>
              <w:jc w:val="right"/>
              <w:rPr>
                <w:rFonts w:ascii="Gill Sans MT" w:hAnsi="Gill Sans MT"/>
                <w:b/>
                <w:sz w:val="18"/>
              </w:rPr>
            </w:pPr>
            <w:r w:rsidRPr="00DA472D">
              <w:rPr>
                <w:rFonts w:ascii="Gill Sans MT" w:hAnsi="Gill Sans MT"/>
                <w:b/>
                <w:sz w:val="18"/>
              </w:rPr>
              <w:t>$’000</w:t>
            </w:r>
          </w:p>
        </w:tc>
      </w:tr>
      <w:tr w:rsidR="007065A7" w:rsidRPr="00DA472D" w:rsidTr="00DA472D">
        <w:trPr>
          <w:trHeight w:hRule="exact" w:val="263"/>
        </w:trPr>
        <w:tc>
          <w:tcPr>
            <w:tcW w:w="6384" w:type="dxa"/>
            <w:tcBorders>
              <w:top w:val="single"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32"/>
              <w:ind w:left="85"/>
              <w:rPr>
                <w:rFonts w:ascii="Gill Sans MT" w:hAnsi="Gill Sans MT"/>
                <w:b/>
                <w:sz w:val="18"/>
              </w:rPr>
            </w:pPr>
            <w:r w:rsidRPr="00DA472D">
              <w:rPr>
                <w:rFonts w:ascii="Gill Sans MT" w:hAnsi="Gill Sans MT"/>
                <w:b/>
                <w:sz w:val="18"/>
              </w:rPr>
              <w:t>National Health Reform Funding Arrangements</w:t>
            </w:r>
          </w:p>
        </w:tc>
        <w:tc>
          <w:tcPr>
            <w:tcW w:w="1701" w:type="dxa"/>
            <w:tcBorders>
              <w:top w:val="single"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c>
          <w:tcPr>
            <w:tcW w:w="1701" w:type="dxa"/>
            <w:tcBorders>
              <w:top w:val="single"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r>
      <w:tr w:rsidR="007065A7" w:rsidRPr="00DA472D" w:rsidTr="00DA472D">
        <w:trPr>
          <w:trHeight w:hRule="exact" w:val="237"/>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left="85"/>
              <w:rPr>
                <w:rFonts w:ascii="Gill Sans MT" w:hAnsi="Gill Sans MT"/>
                <w:sz w:val="18"/>
              </w:rPr>
            </w:pPr>
            <w:r w:rsidRPr="00DA472D">
              <w:rPr>
                <w:rFonts w:ascii="Gill Sans MT" w:hAnsi="Gill Sans MT"/>
                <w:sz w:val="18"/>
              </w:rPr>
              <w:t>Activity Based Funding</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68"/>
              <w:jc w:val="right"/>
              <w:rPr>
                <w:rFonts w:ascii="Gill Sans MT" w:hAnsi="Gill Sans MT"/>
                <w:sz w:val="18"/>
              </w:rPr>
            </w:pPr>
            <w:r w:rsidRPr="00DA472D">
              <w:rPr>
                <w:rFonts w:ascii="Gill Sans MT" w:hAnsi="Gill Sans MT"/>
                <w:sz w:val="18"/>
              </w:rPr>
              <w:t>367 543</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62"/>
              <w:jc w:val="right"/>
              <w:rPr>
                <w:rFonts w:ascii="Gill Sans MT" w:hAnsi="Gill Sans MT"/>
                <w:sz w:val="18"/>
              </w:rPr>
            </w:pPr>
            <w:r w:rsidRPr="00DA472D">
              <w:rPr>
                <w:rFonts w:ascii="Gill Sans MT" w:hAnsi="Gill Sans MT"/>
                <w:sz w:val="18"/>
              </w:rPr>
              <w:t>488 260</w:t>
            </w:r>
          </w:p>
        </w:tc>
      </w:tr>
      <w:tr w:rsidR="007065A7" w:rsidRPr="00DA472D" w:rsidTr="00DA472D">
        <w:trPr>
          <w:trHeight w:hRule="exact" w:val="439"/>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6"/>
              <w:ind w:left="85"/>
              <w:rPr>
                <w:rFonts w:ascii="Gill Sans MT" w:hAnsi="Gill Sans MT"/>
                <w:sz w:val="18"/>
              </w:rPr>
            </w:pPr>
            <w:r w:rsidRPr="00DA472D">
              <w:rPr>
                <w:rFonts w:ascii="Gill Sans MT" w:hAnsi="Gill Sans MT"/>
                <w:sz w:val="18"/>
              </w:rPr>
              <w:t>Block Funding</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6"/>
              <w:ind w:right="162"/>
              <w:jc w:val="right"/>
              <w:rPr>
                <w:rFonts w:ascii="Gill Sans MT" w:hAnsi="Gill Sans MT"/>
                <w:sz w:val="18"/>
              </w:rPr>
            </w:pPr>
            <w:r w:rsidRPr="00DA472D">
              <w:rPr>
                <w:rFonts w:ascii="Gill Sans MT" w:hAnsi="Gill Sans MT"/>
                <w:sz w:val="18"/>
              </w:rPr>
              <w:t>222 384</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6"/>
              <w:ind w:right="162"/>
              <w:jc w:val="right"/>
              <w:rPr>
                <w:rFonts w:ascii="Gill Sans MT" w:hAnsi="Gill Sans MT"/>
                <w:sz w:val="18"/>
              </w:rPr>
            </w:pPr>
            <w:r w:rsidRPr="00DA472D">
              <w:rPr>
                <w:rFonts w:ascii="Gill Sans MT" w:hAnsi="Gill Sans MT"/>
                <w:sz w:val="18"/>
              </w:rPr>
              <w:t>0</w:t>
            </w:r>
          </w:p>
        </w:tc>
      </w:tr>
      <w:tr w:rsidR="007065A7" w:rsidRPr="00DA472D" w:rsidTr="00DA472D">
        <w:trPr>
          <w:trHeight w:hRule="exact" w:val="448"/>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2"/>
              <w:rPr>
                <w:rFonts w:ascii="Gill Sans MT" w:hAnsi="Gill Sans MT"/>
                <w:b/>
                <w:sz w:val="18"/>
              </w:rPr>
            </w:pPr>
          </w:p>
          <w:p w:rsidR="007065A7" w:rsidRPr="00DA472D" w:rsidRDefault="007065A7" w:rsidP="000B23D3">
            <w:pPr>
              <w:pStyle w:val="TableParagraph"/>
              <w:ind w:left="85"/>
              <w:rPr>
                <w:rFonts w:ascii="Gill Sans MT" w:hAnsi="Gill Sans MT"/>
                <w:b/>
                <w:sz w:val="18"/>
              </w:rPr>
            </w:pPr>
            <w:r w:rsidRPr="00DA472D">
              <w:rPr>
                <w:rFonts w:ascii="Gill Sans MT" w:hAnsi="Gill Sans MT"/>
                <w:b/>
                <w:sz w:val="18"/>
              </w:rPr>
              <w:t>National Partnership Payments</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r>
      <w:tr w:rsidR="007065A7" w:rsidRPr="00DA472D" w:rsidTr="00DA472D">
        <w:trPr>
          <w:trHeight w:hRule="exact" w:val="445"/>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left="85"/>
              <w:rPr>
                <w:rFonts w:ascii="Gill Sans MT" w:hAnsi="Gill Sans MT"/>
                <w:sz w:val="18"/>
              </w:rPr>
            </w:pPr>
            <w:r w:rsidRPr="00DA472D">
              <w:rPr>
                <w:rFonts w:ascii="Gill Sans MT" w:hAnsi="Gill Sans MT"/>
                <w:sz w:val="18"/>
              </w:rPr>
              <w:t>Health Services</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62"/>
              <w:jc w:val="right"/>
              <w:rPr>
                <w:rFonts w:ascii="Gill Sans MT" w:hAnsi="Gill Sans MT"/>
                <w:sz w:val="18"/>
              </w:rPr>
            </w:pPr>
            <w:r w:rsidRPr="00DA472D">
              <w:rPr>
                <w:rFonts w:ascii="Gill Sans MT" w:hAnsi="Gill Sans MT"/>
                <w:sz w:val="18"/>
              </w:rPr>
              <w:t>0</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76"/>
              <w:jc w:val="right"/>
              <w:rPr>
                <w:rFonts w:ascii="Gill Sans MT" w:hAnsi="Gill Sans MT"/>
                <w:sz w:val="18"/>
              </w:rPr>
            </w:pPr>
            <w:r w:rsidRPr="00DA472D">
              <w:rPr>
                <w:rFonts w:ascii="Gill Sans MT" w:hAnsi="Gill Sans MT"/>
                <w:sz w:val="18"/>
              </w:rPr>
              <w:t>35 213</w:t>
            </w:r>
          </w:p>
        </w:tc>
      </w:tr>
      <w:tr w:rsidR="007065A7" w:rsidRPr="00DA472D" w:rsidTr="00DA472D">
        <w:trPr>
          <w:trHeight w:hRule="exact" w:val="455"/>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0"/>
              <w:rPr>
                <w:rFonts w:ascii="Gill Sans MT" w:hAnsi="Gill Sans MT"/>
                <w:b/>
                <w:sz w:val="18"/>
              </w:rPr>
            </w:pPr>
          </w:p>
          <w:p w:rsidR="007065A7" w:rsidRPr="00DA472D" w:rsidRDefault="007065A7" w:rsidP="000B23D3">
            <w:pPr>
              <w:pStyle w:val="TableParagraph"/>
              <w:ind w:left="85"/>
              <w:rPr>
                <w:rFonts w:ascii="Gill Sans MT" w:hAnsi="Gill Sans MT"/>
                <w:b/>
                <w:sz w:val="18"/>
              </w:rPr>
            </w:pPr>
            <w:r w:rsidRPr="00DA472D">
              <w:rPr>
                <w:rFonts w:ascii="Gill Sans MT" w:hAnsi="Gill Sans MT"/>
                <w:b/>
                <w:sz w:val="18"/>
              </w:rPr>
              <w:t>Commonwealth Own Purpose Expenditures</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rPr>
                <w:rFonts w:ascii="Gill Sans MT" w:hAnsi="Gill Sans MT"/>
              </w:rPr>
            </w:pPr>
          </w:p>
        </w:tc>
      </w:tr>
      <w:tr w:rsidR="007065A7" w:rsidRPr="00DA472D" w:rsidTr="00DA472D">
        <w:trPr>
          <w:trHeight w:hRule="exact" w:val="237"/>
        </w:trPr>
        <w:tc>
          <w:tcPr>
            <w:tcW w:w="6384"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left="85"/>
              <w:rPr>
                <w:rFonts w:ascii="Gill Sans MT" w:hAnsi="Gill Sans MT"/>
                <w:sz w:val="18"/>
              </w:rPr>
            </w:pPr>
            <w:r w:rsidRPr="00DA472D">
              <w:rPr>
                <w:rFonts w:ascii="Gill Sans MT" w:hAnsi="Gill Sans MT"/>
                <w:sz w:val="18"/>
              </w:rPr>
              <w:t>Mersey Community Hospital</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62"/>
              <w:jc w:val="right"/>
              <w:rPr>
                <w:rFonts w:ascii="Gill Sans MT" w:hAnsi="Gill Sans MT"/>
                <w:sz w:val="18"/>
              </w:rPr>
            </w:pPr>
            <w:r w:rsidRPr="00DA472D">
              <w:rPr>
                <w:rFonts w:ascii="Gill Sans MT" w:hAnsi="Gill Sans MT"/>
                <w:sz w:val="18"/>
              </w:rPr>
              <w:t>0</w:t>
            </w:r>
          </w:p>
        </w:tc>
        <w:tc>
          <w:tcPr>
            <w:tcW w:w="1701" w:type="dxa"/>
            <w:tcBorders>
              <w:top w:val="dotted" w:sz="4" w:space="0" w:color="auto"/>
              <w:left w:val="dotted" w:sz="4" w:space="0" w:color="auto"/>
              <w:bottom w:val="dotted" w:sz="4" w:space="0" w:color="auto"/>
              <w:right w:val="dotted" w:sz="4" w:space="0" w:color="auto"/>
            </w:tcBorders>
            <w:shd w:val="clear" w:color="auto" w:fill="auto"/>
          </w:tcPr>
          <w:p w:rsidR="007065A7" w:rsidRPr="00DA472D" w:rsidRDefault="007065A7" w:rsidP="000B23D3">
            <w:pPr>
              <w:pStyle w:val="TableParagraph"/>
              <w:spacing w:before="15"/>
              <w:ind w:right="172"/>
              <w:jc w:val="right"/>
              <w:rPr>
                <w:rFonts w:ascii="Gill Sans MT" w:hAnsi="Gill Sans MT"/>
                <w:sz w:val="18"/>
              </w:rPr>
            </w:pPr>
            <w:r w:rsidRPr="00DA472D">
              <w:rPr>
                <w:rFonts w:ascii="Gill Sans MT" w:hAnsi="Gill Sans MT"/>
                <w:sz w:val="18"/>
              </w:rPr>
              <w:t>74 861</w:t>
            </w:r>
          </w:p>
        </w:tc>
      </w:tr>
      <w:tr w:rsidR="007065A7" w:rsidRPr="00DA472D" w:rsidTr="00DA472D">
        <w:trPr>
          <w:trHeight w:hRule="exact" w:val="479"/>
        </w:trPr>
        <w:tc>
          <w:tcPr>
            <w:tcW w:w="6384" w:type="dxa"/>
            <w:tcBorders>
              <w:top w:val="dotted"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6"/>
              <w:ind w:left="85"/>
              <w:rPr>
                <w:rFonts w:ascii="Gill Sans MT" w:hAnsi="Gill Sans MT"/>
                <w:sz w:val="18"/>
              </w:rPr>
            </w:pPr>
            <w:r w:rsidRPr="00DA472D">
              <w:rPr>
                <w:rFonts w:ascii="Gill Sans MT" w:hAnsi="Gill Sans MT"/>
                <w:sz w:val="18"/>
              </w:rPr>
              <w:t>Other</w:t>
            </w:r>
          </w:p>
        </w:tc>
        <w:tc>
          <w:tcPr>
            <w:tcW w:w="1701" w:type="dxa"/>
            <w:tcBorders>
              <w:top w:val="dotted"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6"/>
              <w:ind w:right="162"/>
              <w:jc w:val="right"/>
              <w:rPr>
                <w:rFonts w:ascii="Gill Sans MT" w:hAnsi="Gill Sans MT"/>
                <w:sz w:val="18"/>
              </w:rPr>
            </w:pPr>
            <w:r w:rsidRPr="00DA472D">
              <w:rPr>
                <w:rFonts w:ascii="Gill Sans MT" w:hAnsi="Gill Sans MT"/>
                <w:sz w:val="18"/>
              </w:rPr>
              <w:t>3 589</w:t>
            </w:r>
          </w:p>
        </w:tc>
        <w:tc>
          <w:tcPr>
            <w:tcW w:w="1701" w:type="dxa"/>
            <w:tcBorders>
              <w:top w:val="dotted"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6"/>
              <w:ind w:right="162"/>
              <w:jc w:val="right"/>
              <w:rPr>
                <w:rFonts w:ascii="Gill Sans MT" w:hAnsi="Gill Sans MT"/>
                <w:sz w:val="18"/>
              </w:rPr>
            </w:pPr>
            <w:r w:rsidRPr="00DA472D">
              <w:rPr>
                <w:rFonts w:ascii="Gill Sans MT" w:hAnsi="Gill Sans MT"/>
                <w:sz w:val="18"/>
              </w:rPr>
              <w:t>35 638</w:t>
            </w:r>
          </w:p>
        </w:tc>
      </w:tr>
      <w:tr w:rsidR="007065A7" w:rsidRPr="00DA472D" w:rsidTr="00DA472D">
        <w:trPr>
          <w:trHeight w:hRule="exact" w:val="244"/>
        </w:trPr>
        <w:tc>
          <w:tcPr>
            <w:tcW w:w="6384" w:type="dxa"/>
            <w:tcBorders>
              <w:top w:val="single"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8"/>
              <w:ind w:left="85"/>
              <w:rPr>
                <w:rFonts w:ascii="Gill Sans MT" w:hAnsi="Gill Sans MT"/>
                <w:b/>
                <w:sz w:val="18"/>
              </w:rPr>
            </w:pPr>
            <w:r w:rsidRPr="00DA472D">
              <w:rPr>
                <w:rFonts w:ascii="Gill Sans MT" w:hAnsi="Gill Sans MT"/>
                <w:b/>
                <w:sz w:val="18"/>
              </w:rPr>
              <w:t>Total</w:t>
            </w:r>
          </w:p>
        </w:tc>
        <w:tc>
          <w:tcPr>
            <w:tcW w:w="1701" w:type="dxa"/>
            <w:tcBorders>
              <w:top w:val="single"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4"/>
              <w:ind w:right="162"/>
              <w:jc w:val="right"/>
              <w:rPr>
                <w:rFonts w:ascii="Gill Sans MT" w:hAnsi="Gill Sans MT"/>
                <w:b/>
                <w:sz w:val="18"/>
              </w:rPr>
            </w:pPr>
            <w:r w:rsidRPr="00DA472D">
              <w:rPr>
                <w:rFonts w:ascii="Gill Sans MT" w:hAnsi="Gill Sans MT"/>
                <w:b/>
                <w:sz w:val="18"/>
              </w:rPr>
              <w:t>593 516</w:t>
            </w:r>
          </w:p>
        </w:tc>
        <w:tc>
          <w:tcPr>
            <w:tcW w:w="1701" w:type="dxa"/>
            <w:tcBorders>
              <w:top w:val="single" w:sz="4" w:space="0" w:color="auto"/>
              <w:left w:val="dotted" w:sz="4" w:space="0" w:color="auto"/>
              <w:bottom w:val="single" w:sz="4" w:space="0" w:color="auto"/>
              <w:right w:val="dotted" w:sz="4" w:space="0" w:color="auto"/>
            </w:tcBorders>
            <w:shd w:val="clear" w:color="auto" w:fill="auto"/>
          </w:tcPr>
          <w:p w:rsidR="007065A7" w:rsidRPr="00DA472D" w:rsidRDefault="007065A7" w:rsidP="000B23D3">
            <w:pPr>
              <w:pStyle w:val="TableParagraph"/>
              <w:spacing w:before="14"/>
              <w:ind w:right="162"/>
              <w:jc w:val="right"/>
              <w:rPr>
                <w:rFonts w:ascii="Gill Sans MT" w:hAnsi="Gill Sans MT"/>
                <w:b/>
                <w:sz w:val="18"/>
              </w:rPr>
            </w:pPr>
            <w:r w:rsidRPr="00DA472D">
              <w:rPr>
                <w:rFonts w:ascii="Gill Sans MT" w:hAnsi="Gill Sans MT"/>
                <w:b/>
                <w:sz w:val="18"/>
              </w:rPr>
              <w:t>633 972</w:t>
            </w:r>
          </w:p>
        </w:tc>
      </w:tr>
    </w:tbl>
    <w:p w:rsidR="006708E5" w:rsidRDefault="006708E5" w:rsidP="00DA472D">
      <w:pPr>
        <w:pStyle w:val="BodyText"/>
      </w:pPr>
    </w:p>
    <w:p w:rsidR="00DA472D" w:rsidRPr="00DA472D" w:rsidRDefault="00DA472D" w:rsidP="00DA472D">
      <w:pPr>
        <w:pStyle w:val="TableParagraph"/>
        <w:spacing w:before="124" w:line="268" w:lineRule="auto"/>
        <w:ind w:right="1416"/>
        <w:rPr>
          <w:rFonts w:ascii="Gill Sans MT" w:hAnsi="Gill Sans MT"/>
        </w:rPr>
      </w:pPr>
      <w:r w:rsidRPr="00DA472D">
        <w:rPr>
          <w:rFonts w:ascii="Gill Sans MT" w:hAnsi="Gill Sans MT"/>
        </w:rPr>
        <w:t>This schedule shows the cash expenditure acquitted against each of the funding groups. The grant revenue received for each of these is outlined in Note 5.1.</w:t>
      </w:r>
    </w:p>
    <w:p w:rsidR="00DA472D" w:rsidRPr="00DA472D" w:rsidRDefault="00DA472D" w:rsidP="00DA472D">
      <w:pPr>
        <w:pStyle w:val="TableParagraph"/>
        <w:spacing w:before="169" w:line="268" w:lineRule="auto"/>
        <w:ind w:right="321"/>
        <w:rPr>
          <w:rFonts w:ascii="Gill Sans MT" w:hAnsi="Gill Sans MT"/>
        </w:rPr>
      </w:pPr>
      <w:r w:rsidRPr="00DA472D">
        <w:rPr>
          <w:rFonts w:ascii="Gill Sans MT" w:hAnsi="Gill Sans MT"/>
        </w:rPr>
        <w:t xml:space="preserve">National Partnership Payments (NPPs) are provided for the purpose of the delivery of specified projects, facilitate reforms or reward jurisdictions that deliver nationally </w:t>
      </w:r>
      <w:proofErr w:type="gramStart"/>
      <w:r w:rsidRPr="00DA472D">
        <w:rPr>
          <w:rFonts w:ascii="Gill Sans MT" w:hAnsi="Gill Sans MT"/>
        </w:rPr>
        <w:t>significant  reforms</w:t>
      </w:r>
      <w:proofErr w:type="gramEnd"/>
      <w:r w:rsidRPr="00DA472D">
        <w:rPr>
          <w:rFonts w:ascii="Gill Sans MT" w:hAnsi="Gill Sans MT"/>
        </w:rPr>
        <w:t>.</w:t>
      </w:r>
    </w:p>
    <w:p w:rsidR="00DA472D" w:rsidRDefault="00DA472D" w:rsidP="00DA472D">
      <w:pPr>
        <w:pStyle w:val="BodyText"/>
      </w:pPr>
      <w:r w:rsidRPr="00DA472D">
        <w:t>Commonwealth Own Purpose Expenditure (COPES) is funding paid directly from the Australian Government to the states and territories for the provision of services identified by the Australian Government.</w:t>
      </w:r>
    </w:p>
    <w:p w:rsidR="00DA472D" w:rsidRDefault="00DA472D">
      <w:pPr>
        <w:rPr>
          <w:rFonts w:ascii="Gill Sans MT" w:eastAsia="GillSans-Light" w:hAnsi="Gill Sans MT" w:cs="GillSans-Light"/>
          <w:lang w:val="en-US"/>
        </w:rPr>
      </w:pPr>
      <w:r>
        <w:br w:type="page"/>
      </w:r>
    </w:p>
    <w:p w:rsidR="00DA472D" w:rsidRDefault="00DA472D" w:rsidP="00DA472D">
      <w:pPr>
        <w:pStyle w:val="Heading4"/>
      </w:pPr>
      <w:r>
        <w:lastRenderedPageBreak/>
        <w:t>Note 3</w:t>
      </w:r>
      <w:r>
        <w:tab/>
        <w:t xml:space="preserve">Explanations of Material Variances </w:t>
      </w:r>
      <w:proofErr w:type="gramStart"/>
      <w:r>
        <w:t>Between</w:t>
      </w:r>
      <w:proofErr w:type="gramEnd"/>
      <w:r>
        <w:t xml:space="preserve"> Budget and Actual Outcomes</w:t>
      </w:r>
    </w:p>
    <w:p w:rsidR="00DA472D" w:rsidRDefault="00DA472D" w:rsidP="00DA472D">
      <w:pPr>
        <w:pStyle w:val="BodyText"/>
      </w:pPr>
      <w:r>
        <w:t>Budget information refers to original estimates as disclosed in the 2015-16 Budget Papers and is not subject to audit.</w:t>
      </w:r>
    </w:p>
    <w:p w:rsidR="00DA472D" w:rsidRPr="00DA472D" w:rsidRDefault="00DA472D" w:rsidP="00DA472D">
      <w:pPr>
        <w:pStyle w:val="BodyText"/>
      </w:pPr>
      <w:r>
        <w:t xml:space="preserve">Variances are considered material where the variance exceeds the </w:t>
      </w:r>
      <w:proofErr w:type="gramStart"/>
      <w:r>
        <w:t>greater</w:t>
      </w:r>
      <w:proofErr w:type="gramEnd"/>
      <w:r>
        <w:t xml:space="preserve"> of 10 per cent of Budget estimate and $1 million.</w:t>
      </w:r>
    </w:p>
    <w:p w:rsidR="00DA472D" w:rsidRDefault="00FC54D5" w:rsidP="00FC54D5">
      <w:pPr>
        <w:pStyle w:val="Heading5"/>
      </w:pPr>
      <w:r>
        <w:t>3.1 Statement of Comprehensive Income</w:t>
      </w:r>
    </w:p>
    <w:tbl>
      <w:tblPr>
        <w:tblW w:w="0" w:type="auto"/>
        <w:tblLayout w:type="fixed"/>
        <w:tblCellMar>
          <w:left w:w="0" w:type="dxa"/>
          <w:right w:w="0" w:type="dxa"/>
        </w:tblCellMar>
        <w:tblLook w:val="01E0" w:firstRow="1" w:lastRow="1" w:firstColumn="1" w:lastColumn="1" w:noHBand="0" w:noVBand="0"/>
        <w:tblCaption w:val="3.1 Statement of Comprehensive Income"/>
      </w:tblPr>
      <w:tblGrid>
        <w:gridCol w:w="3119"/>
        <w:gridCol w:w="1276"/>
        <w:gridCol w:w="1417"/>
        <w:gridCol w:w="1356"/>
        <w:gridCol w:w="1196"/>
        <w:gridCol w:w="958"/>
      </w:tblGrid>
      <w:tr w:rsidR="00FC54D5" w:rsidRPr="00FC54D5" w:rsidTr="00FC54D5">
        <w:trPr>
          <w:trHeight w:hRule="exact" w:val="691"/>
        </w:trPr>
        <w:tc>
          <w:tcPr>
            <w:tcW w:w="3119" w:type="dxa"/>
            <w:tcBorders>
              <w:top w:val="single" w:sz="4" w:space="0" w:color="auto"/>
              <w:bottom w:val="single" w:sz="4" w:space="0" w:color="auto"/>
            </w:tcBorders>
            <w:shd w:val="clear" w:color="auto" w:fill="auto"/>
            <w:vAlign w:val="bottom"/>
          </w:tcPr>
          <w:p w:rsidR="00FC54D5" w:rsidRPr="00FC54D5" w:rsidRDefault="00FC54D5" w:rsidP="00FC54D5">
            <w:pPr>
              <w:pStyle w:val="TableParagraph"/>
              <w:jc w:val="right"/>
              <w:rPr>
                <w:rFonts w:ascii="Gill Sans MT" w:hAnsi="Gill Sans MT"/>
                <w:b/>
                <w:sz w:val="20"/>
              </w:rPr>
            </w:pPr>
          </w:p>
          <w:p w:rsidR="00FC54D5" w:rsidRPr="00FC54D5" w:rsidRDefault="00FC54D5" w:rsidP="00FC54D5">
            <w:pPr>
              <w:pStyle w:val="TableParagraph"/>
              <w:spacing w:before="1"/>
              <w:rPr>
                <w:rFonts w:ascii="Gill Sans MT" w:hAnsi="Gill Sans MT"/>
                <w:b/>
                <w:sz w:val="18"/>
              </w:rPr>
            </w:pPr>
            <w:r w:rsidRPr="00FC54D5">
              <w:rPr>
                <w:rFonts w:ascii="Gill Sans MT" w:hAnsi="Gill Sans MT"/>
                <w:b/>
                <w:sz w:val="18"/>
              </w:rPr>
              <w:t>Source</w:t>
            </w:r>
          </w:p>
        </w:tc>
        <w:tc>
          <w:tcPr>
            <w:tcW w:w="1276" w:type="dxa"/>
            <w:tcBorders>
              <w:top w:val="single" w:sz="4" w:space="0" w:color="auto"/>
              <w:bottom w:val="single" w:sz="4" w:space="0" w:color="auto"/>
            </w:tcBorders>
            <w:shd w:val="clear" w:color="auto" w:fill="auto"/>
            <w:vAlign w:val="bottom"/>
          </w:tcPr>
          <w:p w:rsidR="00FC54D5" w:rsidRPr="00FC54D5" w:rsidRDefault="00FC54D5" w:rsidP="00FC54D5">
            <w:pPr>
              <w:pStyle w:val="TableParagraph"/>
              <w:ind w:right="85"/>
              <w:jc w:val="right"/>
              <w:rPr>
                <w:rFonts w:ascii="Gill Sans MT" w:hAnsi="Gill Sans MT"/>
                <w:b/>
                <w:sz w:val="18"/>
              </w:rPr>
            </w:pPr>
            <w:r w:rsidRPr="00FC54D5">
              <w:rPr>
                <w:rFonts w:ascii="Gill Sans MT" w:hAnsi="Gill Sans MT"/>
                <w:b/>
                <w:sz w:val="18"/>
              </w:rPr>
              <w:t>Note</w:t>
            </w:r>
          </w:p>
        </w:tc>
        <w:tc>
          <w:tcPr>
            <w:tcW w:w="1417" w:type="dxa"/>
            <w:tcBorders>
              <w:top w:val="single" w:sz="4" w:space="0" w:color="auto"/>
              <w:bottom w:val="single" w:sz="4" w:space="0" w:color="auto"/>
            </w:tcBorders>
            <w:shd w:val="clear" w:color="auto" w:fill="auto"/>
            <w:vAlign w:val="bottom"/>
          </w:tcPr>
          <w:p w:rsidR="00FC54D5" w:rsidRPr="00FC54D5" w:rsidRDefault="00FC54D5" w:rsidP="00FC54D5">
            <w:pPr>
              <w:pStyle w:val="TableParagraph"/>
              <w:spacing w:before="41" w:line="207" w:lineRule="exact"/>
              <w:ind w:left="320"/>
              <w:jc w:val="right"/>
              <w:rPr>
                <w:rFonts w:ascii="Gill Sans MT" w:hAnsi="Gill Sans MT"/>
                <w:b/>
                <w:sz w:val="18"/>
              </w:rPr>
            </w:pPr>
            <w:r w:rsidRPr="00FC54D5">
              <w:rPr>
                <w:rFonts w:ascii="Gill Sans MT" w:hAnsi="Gill Sans MT"/>
                <w:b/>
                <w:sz w:val="18"/>
              </w:rPr>
              <w:t>2016</w:t>
            </w:r>
          </w:p>
          <w:p w:rsidR="00FC54D5" w:rsidRPr="00FC54D5" w:rsidRDefault="00FC54D5" w:rsidP="00FC54D5">
            <w:pPr>
              <w:pStyle w:val="TableParagraph"/>
              <w:spacing w:line="200" w:lineRule="exact"/>
              <w:ind w:left="330"/>
              <w:jc w:val="right"/>
              <w:rPr>
                <w:rFonts w:ascii="Gill Sans MT" w:hAnsi="Gill Sans MT"/>
                <w:b/>
                <w:sz w:val="18"/>
              </w:rPr>
            </w:pPr>
            <w:r w:rsidRPr="00FC54D5">
              <w:rPr>
                <w:rFonts w:ascii="Gill Sans MT" w:hAnsi="Gill Sans MT"/>
                <w:b/>
                <w:sz w:val="18"/>
              </w:rPr>
              <w:t>Budget</w:t>
            </w:r>
          </w:p>
          <w:p w:rsidR="00FC54D5" w:rsidRPr="00FC54D5" w:rsidRDefault="00FC54D5" w:rsidP="00FC54D5">
            <w:pPr>
              <w:pStyle w:val="TableParagraph"/>
              <w:spacing w:line="207" w:lineRule="exact"/>
              <w:ind w:left="330"/>
              <w:jc w:val="right"/>
              <w:rPr>
                <w:rFonts w:ascii="Gill Sans MT" w:hAnsi="Gill Sans MT"/>
                <w:b/>
                <w:sz w:val="18"/>
              </w:rPr>
            </w:pPr>
            <w:r w:rsidRPr="00FC54D5">
              <w:rPr>
                <w:rFonts w:ascii="Gill Sans MT" w:hAnsi="Gill Sans MT"/>
                <w:b/>
                <w:sz w:val="18"/>
              </w:rPr>
              <w:t>$’000</w:t>
            </w:r>
          </w:p>
        </w:tc>
        <w:tc>
          <w:tcPr>
            <w:tcW w:w="1356" w:type="dxa"/>
            <w:tcBorders>
              <w:top w:val="single" w:sz="4" w:space="0" w:color="auto"/>
              <w:bottom w:val="single" w:sz="4" w:space="0" w:color="auto"/>
            </w:tcBorders>
            <w:shd w:val="clear" w:color="auto" w:fill="auto"/>
            <w:vAlign w:val="bottom"/>
          </w:tcPr>
          <w:p w:rsidR="00FC54D5" w:rsidRPr="00FC54D5" w:rsidRDefault="00FC54D5" w:rsidP="00FC54D5">
            <w:pPr>
              <w:pStyle w:val="TableParagraph"/>
              <w:spacing w:before="41" w:line="207" w:lineRule="exact"/>
              <w:ind w:left="443"/>
              <w:jc w:val="right"/>
              <w:rPr>
                <w:rFonts w:ascii="Gill Sans MT" w:hAnsi="Gill Sans MT"/>
                <w:b/>
                <w:sz w:val="18"/>
              </w:rPr>
            </w:pPr>
            <w:r w:rsidRPr="00FC54D5">
              <w:rPr>
                <w:rFonts w:ascii="Gill Sans MT" w:hAnsi="Gill Sans MT"/>
                <w:b/>
                <w:sz w:val="18"/>
              </w:rPr>
              <w:t>2016</w:t>
            </w:r>
          </w:p>
          <w:p w:rsidR="00FC54D5" w:rsidRPr="00FC54D5" w:rsidRDefault="00FC54D5" w:rsidP="00FC54D5">
            <w:pPr>
              <w:pStyle w:val="TableParagraph"/>
              <w:spacing w:line="200" w:lineRule="exact"/>
              <w:ind w:left="371"/>
              <w:jc w:val="right"/>
              <w:rPr>
                <w:rFonts w:ascii="Gill Sans MT" w:hAnsi="Gill Sans MT"/>
                <w:b/>
                <w:sz w:val="18"/>
              </w:rPr>
            </w:pPr>
            <w:r w:rsidRPr="00FC54D5">
              <w:rPr>
                <w:rFonts w:ascii="Gill Sans MT" w:hAnsi="Gill Sans MT"/>
                <w:b/>
                <w:sz w:val="18"/>
              </w:rPr>
              <w:t>Actual</w:t>
            </w:r>
          </w:p>
          <w:p w:rsidR="00FC54D5" w:rsidRPr="00FC54D5" w:rsidRDefault="00FC54D5" w:rsidP="00FC54D5">
            <w:pPr>
              <w:pStyle w:val="TableParagraph"/>
              <w:spacing w:line="207" w:lineRule="exact"/>
              <w:ind w:left="405"/>
              <w:jc w:val="right"/>
              <w:rPr>
                <w:rFonts w:ascii="Gill Sans MT" w:hAnsi="Gill Sans MT"/>
                <w:b/>
                <w:sz w:val="18"/>
              </w:rPr>
            </w:pPr>
            <w:r w:rsidRPr="00FC54D5">
              <w:rPr>
                <w:rFonts w:ascii="Gill Sans MT" w:hAnsi="Gill Sans MT"/>
                <w:b/>
                <w:sz w:val="18"/>
              </w:rPr>
              <w:t>$’000</w:t>
            </w:r>
          </w:p>
        </w:tc>
        <w:tc>
          <w:tcPr>
            <w:tcW w:w="1196" w:type="dxa"/>
            <w:tcBorders>
              <w:top w:val="single" w:sz="4" w:space="0" w:color="auto"/>
              <w:bottom w:val="single" w:sz="4" w:space="0" w:color="auto"/>
            </w:tcBorders>
            <w:shd w:val="clear" w:color="auto" w:fill="auto"/>
            <w:vAlign w:val="bottom"/>
          </w:tcPr>
          <w:p w:rsidR="00FC54D5" w:rsidRPr="00FC54D5" w:rsidRDefault="005544BF" w:rsidP="005544BF">
            <w:pPr>
              <w:pStyle w:val="TableParagraph"/>
              <w:tabs>
                <w:tab w:val="left" w:pos="1134"/>
              </w:tabs>
              <w:spacing w:line="207" w:lineRule="exact"/>
              <w:ind w:left="57"/>
              <w:jc w:val="right"/>
              <w:rPr>
                <w:rFonts w:ascii="Gill Sans MT" w:hAnsi="Gill Sans MT"/>
                <w:b/>
                <w:sz w:val="18"/>
              </w:rPr>
            </w:pPr>
            <w:r>
              <w:rPr>
                <w:rFonts w:ascii="Gill Sans MT" w:hAnsi="Gill Sans MT"/>
                <w:b/>
                <w:sz w:val="18"/>
              </w:rPr>
              <w:t>Variance</w:t>
            </w:r>
            <w:r>
              <w:rPr>
                <w:rFonts w:ascii="Gill Sans MT" w:hAnsi="Gill Sans MT"/>
                <w:b/>
                <w:sz w:val="18"/>
              </w:rPr>
              <w:br/>
              <w:t>$’000</w:t>
            </w:r>
          </w:p>
        </w:tc>
        <w:tc>
          <w:tcPr>
            <w:tcW w:w="958" w:type="dxa"/>
            <w:tcBorders>
              <w:top w:val="single" w:sz="4" w:space="0" w:color="auto"/>
              <w:bottom w:val="single" w:sz="4" w:space="0" w:color="auto"/>
            </w:tcBorders>
            <w:shd w:val="clear" w:color="auto" w:fill="auto"/>
            <w:vAlign w:val="bottom"/>
          </w:tcPr>
          <w:p w:rsidR="00FC54D5" w:rsidRPr="00FC54D5" w:rsidRDefault="005544BF" w:rsidP="00FC54D5">
            <w:pPr>
              <w:pStyle w:val="TableParagraph"/>
              <w:tabs>
                <w:tab w:val="left" w:pos="1232"/>
              </w:tabs>
              <w:spacing w:line="207" w:lineRule="exact"/>
              <w:ind w:right="95"/>
              <w:jc w:val="right"/>
              <w:rPr>
                <w:rFonts w:ascii="Gill Sans MT" w:hAnsi="Gill Sans MT"/>
                <w:b/>
                <w:sz w:val="18"/>
              </w:rPr>
            </w:pPr>
            <w:r>
              <w:rPr>
                <w:rFonts w:ascii="Gill Sans MT" w:hAnsi="Gill Sans MT"/>
                <w:b/>
                <w:sz w:val="18"/>
              </w:rPr>
              <w:t>Variance</w:t>
            </w:r>
            <w:r>
              <w:rPr>
                <w:rFonts w:ascii="Gill Sans MT" w:hAnsi="Gill Sans MT"/>
                <w:b/>
                <w:sz w:val="18"/>
              </w:rPr>
              <w:br/>
              <w:t>%</w:t>
            </w:r>
          </w:p>
        </w:tc>
      </w:tr>
      <w:tr w:rsidR="00FC54D5" w:rsidRPr="00FC54D5" w:rsidTr="00FC54D5">
        <w:trPr>
          <w:trHeight w:hRule="exact" w:val="287"/>
        </w:trPr>
        <w:tc>
          <w:tcPr>
            <w:tcW w:w="3119" w:type="dxa"/>
            <w:tcBorders>
              <w:top w:val="single" w:sz="4" w:space="0" w:color="auto"/>
            </w:tcBorders>
            <w:shd w:val="clear" w:color="auto" w:fill="auto"/>
          </w:tcPr>
          <w:p w:rsidR="00FC54D5" w:rsidRPr="00FC54D5" w:rsidRDefault="00FC54D5" w:rsidP="000B23D3">
            <w:pPr>
              <w:pStyle w:val="TableParagraph"/>
              <w:spacing w:before="42"/>
              <w:ind w:left="80"/>
              <w:rPr>
                <w:rFonts w:ascii="Gill Sans MT" w:hAnsi="Gill Sans MT"/>
                <w:sz w:val="18"/>
              </w:rPr>
            </w:pPr>
            <w:r w:rsidRPr="00FC54D5">
              <w:rPr>
                <w:rFonts w:ascii="Gill Sans MT" w:hAnsi="Gill Sans MT"/>
                <w:sz w:val="18"/>
              </w:rPr>
              <w:t>Grants</w:t>
            </w:r>
          </w:p>
        </w:tc>
        <w:tc>
          <w:tcPr>
            <w:tcW w:w="1276" w:type="dxa"/>
            <w:tcBorders>
              <w:top w:val="single" w:sz="4" w:space="0" w:color="auto"/>
            </w:tcBorders>
            <w:shd w:val="clear" w:color="auto" w:fill="auto"/>
          </w:tcPr>
          <w:p w:rsidR="00FC54D5" w:rsidRPr="00FC54D5" w:rsidRDefault="00FC54D5" w:rsidP="000B23D3">
            <w:pPr>
              <w:pStyle w:val="TableParagraph"/>
              <w:spacing w:before="42"/>
              <w:ind w:right="224"/>
              <w:jc w:val="right"/>
              <w:rPr>
                <w:rFonts w:ascii="Gill Sans MT" w:hAnsi="Gill Sans MT"/>
                <w:sz w:val="18"/>
              </w:rPr>
            </w:pPr>
            <w:r w:rsidRPr="00FC54D5">
              <w:rPr>
                <w:rFonts w:ascii="Gill Sans MT" w:hAnsi="Gill Sans MT"/>
                <w:sz w:val="18"/>
              </w:rPr>
              <w:t>(a)</w:t>
            </w:r>
          </w:p>
        </w:tc>
        <w:tc>
          <w:tcPr>
            <w:tcW w:w="1417" w:type="dxa"/>
            <w:tcBorders>
              <w:top w:val="single" w:sz="4" w:space="0" w:color="auto"/>
            </w:tcBorders>
            <w:shd w:val="clear" w:color="auto" w:fill="auto"/>
          </w:tcPr>
          <w:p w:rsidR="00FC54D5" w:rsidRPr="00FC54D5" w:rsidRDefault="00FC54D5" w:rsidP="000B23D3">
            <w:pPr>
              <w:pStyle w:val="TableParagraph"/>
              <w:spacing w:before="42"/>
              <w:ind w:right="111"/>
              <w:jc w:val="right"/>
              <w:rPr>
                <w:rFonts w:ascii="Gill Sans MT" w:hAnsi="Gill Sans MT"/>
                <w:sz w:val="18"/>
              </w:rPr>
            </w:pPr>
            <w:r w:rsidRPr="00FC54D5">
              <w:rPr>
                <w:rFonts w:ascii="Gill Sans MT" w:hAnsi="Gill Sans MT"/>
                <w:sz w:val="18"/>
              </w:rPr>
              <w:t>1 459 909</w:t>
            </w:r>
          </w:p>
        </w:tc>
        <w:tc>
          <w:tcPr>
            <w:tcW w:w="1356" w:type="dxa"/>
            <w:tcBorders>
              <w:top w:val="single" w:sz="4" w:space="0" w:color="auto"/>
            </w:tcBorders>
            <w:shd w:val="clear" w:color="auto" w:fill="auto"/>
          </w:tcPr>
          <w:p w:rsidR="00FC54D5" w:rsidRPr="00FC54D5" w:rsidRDefault="00FC54D5" w:rsidP="000B23D3">
            <w:pPr>
              <w:pStyle w:val="TableParagraph"/>
              <w:spacing w:before="42"/>
              <w:ind w:right="111"/>
              <w:jc w:val="right"/>
              <w:rPr>
                <w:rFonts w:ascii="Gill Sans MT" w:hAnsi="Gill Sans MT"/>
                <w:sz w:val="18"/>
              </w:rPr>
            </w:pPr>
            <w:r w:rsidRPr="00FC54D5">
              <w:rPr>
                <w:rFonts w:ascii="Gill Sans MT" w:hAnsi="Gill Sans MT"/>
                <w:sz w:val="18"/>
              </w:rPr>
              <w:t>1 248 734</w:t>
            </w:r>
          </w:p>
        </w:tc>
        <w:tc>
          <w:tcPr>
            <w:tcW w:w="1196" w:type="dxa"/>
            <w:tcBorders>
              <w:top w:val="single" w:sz="4" w:space="0" w:color="auto"/>
            </w:tcBorders>
            <w:shd w:val="clear" w:color="auto" w:fill="auto"/>
          </w:tcPr>
          <w:p w:rsidR="00FC54D5" w:rsidRPr="00FC54D5" w:rsidRDefault="00FC54D5" w:rsidP="000B23D3">
            <w:pPr>
              <w:pStyle w:val="TableParagraph"/>
              <w:spacing w:before="42"/>
              <w:ind w:right="226"/>
              <w:jc w:val="right"/>
              <w:rPr>
                <w:rFonts w:ascii="Gill Sans MT" w:hAnsi="Gill Sans MT"/>
                <w:sz w:val="18"/>
              </w:rPr>
            </w:pPr>
            <w:r w:rsidRPr="00FC54D5">
              <w:rPr>
                <w:rFonts w:ascii="Gill Sans MT" w:hAnsi="Gill Sans MT"/>
                <w:sz w:val="18"/>
              </w:rPr>
              <w:t>(211 175)</w:t>
            </w:r>
          </w:p>
        </w:tc>
        <w:tc>
          <w:tcPr>
            <w:tcW w:w="958" w:type="dxa"/>
            <w:tcBorders>
              <w:top w:val="single" w:sz="4" w:space="0" w:color="auto"/>
            </w:tcBorders>
            <w:shd w:val="clear" w:color="auto" w:fill="auto"/>
          </w:tcPr>
          <w:p w:rsidR="00FC54D5" w:rsidRPr="00FC54D5" w:rsidRDefault="00FC54D5" w:rsidP="000B23D3">
            <w:pPr>
              <w:pStyle w:val="TableParagraph"/>
              <w:spacing w:before="42"/>
              <w:ind w:right="54"/>
              <w:jc w:val="right"/>
              <w:rPr>
                <w:rFonts w:ascii="Gill Sans MT" w:hAnsi="Gill Sans MT"/>
                <w:sz w:val="18"/>
              </w:rPr>
            </w:pPr>
            <w:r w:rsidRPr="00FC54D5">
              <w:rPr>
                <w:rFonts w:ascii="Gill Sans MT" w:hAnsi="Gill Sans MT"/>
                <w:sz w:val="18"/>
              </w:rPr>
              <w:t>(14.5%)</w:t>
            </w:r>
          </w:p>
        </w:tc>
      </w:tr>
      <w:tr w:rsidR="00FC54D5" w:rsidRPr="00FC54D5" w:rsidTr="00FC54D5">
        <w:trPr>
          <w:trHeight w:hRule="exact" w:val="284"/>
        </w:trPr>
        <w:tc>
          <w:tcPr>
            <w:tcW w:w="3119" w:type="dxa"/>
            <w:shd w:val="clear" w:color="auto" w:fill="auto"/>
          </w:tcPr>
          <w:p w:rsidR="00FC54D5" w:rsidRPr="00FC54D5" w:rsidRDefault="00FC54D5" w:rsidP="000B23D3">
            <w:pPr>
              <w:pStyle w:val="TableParagraph"/>
              <w:spacing w:before="40"/>
              <w:ind w:left="80"/>
              <w:rPr>
                <w:rFonts w:ascii="Gill Sans MT" w:hAnsi="Gill Sans MT"/>
                <w:sz w:val="18"/>
              </w:rPr>
            </w:pPr>
            <w:r w:rsidRPr="00FC54D5">
              <w:rPr>
                <w:rFonts w:ascii="Gill Sans MT" w:hAnsi="Gill Sans MT"/>
                <w:sz w:val="18"/>
              </w:rPr>
              <w:t>Sales of goods and services</w:t>
            </w:r>
          </w:p>
        </w:tc>
        <w:tc>
          <w:tcPr>
            <w:tcW w:w="1276" w:type="dxa"/>
            <w:shd w:val="clear" w:color="auto" w:fill="auto"/>
          </w:tcPr>
          <w:p w:rsidR="00FC54D5" w:rsidRPr="00FC54D5" w:rsidRDefault="00FC54D5" w:rsidP="000B23D3">
            <w:pPr>
              <w:pStyle w:val="TableParagraph"/>
              <w:spacing w:before="40"/>
              <w:ind w:right="219"/>
              <w:jc w:val="right"/>
              <w:rPr>
                <w:rFonts w:ascii="Gill Sans MT" w:hAnsi="Gill Sans MT"/>
                <w:sz w:val="18"/>
              </w:rPr>
            </w:pPr>
            <w:r w:rsidRPr="00FC54D5">
              <w:rPr>
                <w:rFonts w:ascii="Gill Sans MT" w:hAnsi="Gill Sans MT"/>
                <w:sz w:val="18"/>
              </w:rPr>
              <w:t>(b)</w:t>
            </w:r>
          </w:p>
        </w:tc>
        <w:tc>
          <w:tcPr>
            <w:tcW w:w="1417" w:type="dxa"/>
            <w:shd w:val="clear" w:color="auto" w:fill="auto"/>
          </w:tcPr>
          <w:p w:rsidR="00FC54D5" w:rsidRPr="00FC54D5" w:rsidRDefault="00FC54D5" w:rsidP="000B23D3">
            <w:pPr>
              <w:pStyle w:val="TableParagraph"/>
              <w:spacing w:before="40"/>
              <w:ind w:right="111"/>
              <w:jc w:val="right"/>
              <w:rPr>
                <w:rFonts w:ascii="Gill Sans MT" w:hAnsi="Gill Sans MT"/>
                <w:sz w:val="18"/>
              </w:rPr>
            </w:pPr>
            <w:r w:rsidRPr="00FC54D5">
              <w:rPr>
                <w:rFonts w:ascii="Gill Sans MT" w:hAnsi="Gill Sans MT"/>
                <w:sz w:val="18"/>
              </w:rPr>
              <w:t>138 458</w:t>
            </w:r>
          </w:p>
        </w:tc>
        <w:tc>
          <w:tcPr>
            <w:tcW w:w="1356" w:type="dxa"/>
            <w:shd w:val="clear" w:color="auto" w:fill="auto"/>
          </w:tcPr>
          <w:p w:rsidR="00FC54D5" w:rsidRPr="00FC54D5" w:rsidRDefault="00FC54D5" w:rsidP="000B23D3">
            <w:pPr>
              <w:pStyle w:val="TableParagraph"/>
              <w:spacing w:before="40"/>
              <w:ind w:right="109"/>
              <w:jc w:val="right"/>
              <w:rPr>
                <w:rFonts w:ascii="Gill Sans MT" w:hAnsi="Gill Sans MT"/>
                <w:sz w:val="18"/>
              </w:rPr>
            </w:pPr>
            <w:r w:rsidRPr="00FC54D5">
              <w:rPr>
                <w:rFonts w:ascii="Gill Sans MT" w:hAnsi="Gill Sans MT"/>
                <w:sz w:val="18"/>
              </w:rPr>
              <w:t>160 794</w:t>
            </w:r>
          </w:p>
        </w:tc>
        <w:tc>
          <w:tcPr>
            <w:tcW w:w="1196" w:type="dxa"/>
            <w:shd w:val="clear" w:color="auto" w:fill="auto"/>
          </w:tcPr>
          <w:p w:rsidR="00FC54D5" w:rsidRPr="00FC54D5" w:rsidRDefault="00FC54D5" w:rsidP="000B23D3">
            <w:pPr>
              <w:pStyle w:val="TableParagraph"/>
              <w:spacing w:before="40"/>
              <w:ind w:left="460"/>
              <w:rPr>
                <w:rFonts w:ascii="Gill Sans MT" w:hAnsi="Gill Sans MT"/>
                <w:sz w:val="18"/>
              </w:rPr>
            </w:pPr>
            <w:r w:rsidRPr="00FC54D5">
              <w:rPr>
                <w:rFonts w:ascii="Gill Sans MT" w:hAnsi="Gill Sans MT"/>
                <w:sz w:val="18"/>
              </w:rPr>
              <w:t>22 336</w:t>
            </w:r>
          </w:p>
        </w:tc>
        <w:tc>
          <w:tcPr>
            <w:tcW w:w="958" w:type="dxa"/>
            <w:shd w:val="clear" w:color="auto" w:fill="auto"/>
          </w:tcPr>
          <w:p w:rsidR="00FC54D5" w:rsidRPr="00FC54D5" w:rsidRDefault="00FC54D5" w:rsidP="000B23D3">
            <w:pPr>
              <w:pStyle w:val="TableParagraph"/>
              <w:spacing w:before="40"/>
              <w:ind w:left="380"/>
              <w:rPr>
                <w:rFonts w:ascii="Gill Sans MT" w:hAnsi="Gill Sans MT"/>
                <w:sz w:val="18"/>
              </w:rPr>
            </w:pPr>
            <w:r w:rsidRPr="00FC54D5">
              <w:rPr>
                <w:rFonts w:ascii="Gill Sans MT" w:hAnsi="Gill Sans MT"/>
                <w:sz w:val="18"/>
              </w:rPr>
              <w:t>16.1%</w:t>
            </w:r>
          </w:p>
        </w:tc>
      </w:tr>
      <w:tr w:rsidR="00FC54D5" w:rsidRPr="00FC54D5" w:rsidTr="00FC54D5">
        <w:trPr>
          <w:trHeight w:hRule="exact" w:val="284"/>
        </w:trPr>
        <w:tc>
          <w:tcPr>
            <w:tcW w:w="3119" w:type="dxa"/>
            <w:shd w:val="clear" w:color="auto" w:fill="auto"/>
          </w:tcPr>
          <w:p w:rsidR="00FC54D5" w:rsidRPr="00FC54D5" w:rsidRDefault="00FC54D5" w:rsidP="000B23D3">
            <w:pPr>
              <w:pStyle w:val="TableParagraph"/>
              <w:spacing w:before="40"/>
              <w:ind w:left="80"/>
              <w:rPr>
                <w:rFonts w:ascii="Gill Sans MT" w:hAnsi="Gill Sans MT"/>
                <w:sz w:val="18"/>
              </w:rPr>
            </w:pPr>
            <w:r w:rsidRPr="00FC54D5">
              <w:rPr>
                <w:rFonts w:ascii="Gill Sans MT" w:hAnsi="Gill Sans MT"/>
                <w:sz w:val="18"/>
              </w:rPr>
              <w:t>Other revenue</w:t>
            </w:r>
          </w:p>
        </w:tc>
        <w:tc>
          <w:tcPr>
            <w:tcW w:w="1276" w:type="dxa"/>
            <w:shd w:val="clear" w:color="auto" w:fill="auto"/>
          </w:tcPr>
          <w:p w:rsidR="00FC54D5" w:rsidRPr="00FC54D5" w:rsidRDefault="00FC54D5" w:rsidP="000B23D3">
            <w:pPr>
              <w:pStyle w:val="TableParagraph"/>
              <w:spacing w:before="40"/>
              <w:ind w:right="225"/>
              <w:jc w:val="right"/>
              <w:rPr>
                <w:rFonts w:ascii="Gill Sans MT" w:hAnsi="Gill Sans MT"/>
                <w:sz w:val="18"/>
              </w:rPr>
            </w:pPr>
            <w:r w:rsidRPr="00FC54D5">
              <w:rPr>
                <w:rFonts w:ascii="Gill Sans MT" w:hAnsi="Gill Sans MT"/>
                <w:sz w:val="18"/>
              </w:rPr>
              <w:t>(c)</w:t>
            </w:r>
          </w:p>
        </w:tc>
        <w:tc>
          <w:tcPr>
            <w:tcW w:w="1417" w:type="dxa"/>
            <w:shd w:val="clear" w:color="auto" w:fill="auto"/>
          </w:tcPr>
          <w:p w:rsidR="00FC54D5" w:rsidRPr="00FC54D5" w:rsidRDefault="00FC54D5" w:rsidP="000B23D3">
            <w:pPr>
              <w:pStyle w:val="TableParagraph"/>
              <w:spacing w:before="40"/>
              <w:ind w:right="111"/>
              <w:jc w:val="right"/>
              <w:rPr>
                <w:rFonts w:ascii="Gill Sans MT" w:hAnsi="Gill Sans MT"/>
                <w:sz w:val="18"/>
              </w:rPr>
            </w:pPr>
            <w:r w:rsidRPr="00FC54D5">
              <w:rPr>
                <w:rFonts w:ascii="Gill Sans MT" w:hAnsi="Gill Sans MT"/>
                <w:sz w:val="18"/>
              </w:rPr>
              <w:t>29 276</w:t>
            </w:r>
          </w:p>
        </w:tc>
        <w:tc>
          <w:tcPr>
            <w:tcW w:w="1356" w:type="dxa"/>
            <w:shd w:val="clear" w:color="auto" w:fill="auto"/>
          </w:tcPr>
          <w:p w:rsidR="00FC54D5" w:rsidRPr="00FC54D5" w:rsidRDefault="00FC54D5" w:rsidP="000B23D3">
            <w:pPr>
              <w:pStyle w:val="TableParagraph"/>
              <w:spacing w:before="40"/>
              <w:ind w:right="116"/>
              <w:jc w:val="right"/>
              <w:rPr>
                <w:rFonts w:ascii="Gill Sans MT" w:hAnsi="Gill Sans MT"/>
                <w:sz w:val="18"/>
              </w:rPr>
            </w:pPr>
            <w:r w:rsidRPr="00FC54D5">
              <w:rPr>
                <w:rFonts w:ascii="Gill Sans MT" w:hAnsi="Gill Sans MT"/>
                <w:sz w:val="18"/>
              </w:rPr>
              <w:t>38 043</w:t>
            </w:r>
          </w:p>
        </w:tc>
        <w:tc>
          <w:tcPr>
            <w:tcW w:w="1196" w:type="dxa"/>
            <w:shd w:val="clear" w:color="auto" w:fill="auto"/>
          </w:tcPr>
          <w:p w:rsidR="00FC54D5" w:rsidRPr="00FC54D5" w:rsidRDefault="00FC54D5" w:rsidP="000B23D3">
            <w:pPr>
              <w:pStyle w:val="TableParagraph"/>
              <w:spacing w:before="40"/>
              <w:ind w:left="563"/>
              <w:rPr>
                <w:rFonts w:ascii="Gill Sans MT" w:hAnsi="Gill Sans MT"/>
                <w:sz w:val="18"/>
              </w:rPr>
            </w:pPr>
            <w:r w:rsidRPr="00FC54D5">
              <w:rPr>
                <w:rFonts w:ascii="Gill Sans MT" w:hAnsi="Gill Sans MT"/>
                <w:sz w:val="18"/>
              </w:rPr>
              <w:t>8 767</w:t>
            </w:r>
          </w:p>
        </w:tc>
        <w:tc>
          <w:tcPr>
            <w:tcW w:w="958" w:type="dxa"/>
            <w:shd w:val="clear" w:color="auto" w:fill="auto"/>
          </w:tcPr>
          <w:p w:rsidR="00FC54D5" w:rsidRPr="00FC54D5" w:rsidRDefault="00FC54D5" w:rsidP="000B23D3">
            <w:pPr>
              <w:pStyle w:val="TableParagraph"/>
              <w:spacing w:before="40"/>
              <w:ind w:left="368"/>
              <w:rPr>
                <w:rFonts w:ascii="Gill Sans MT" w:hAnsi="Gill Sans MT"/>
                <w:sz w:val="18"/>
              </w:rPr>
            </w:pPr>
            <w:r w:rsidRPr="00FC54D5">
              <w:rPr>
                <w:rFonts w:ascii="Gill Sans MT" w:hAnsi="Gill Sans MT"/>
                <w:sz w:val="18"/>
              </w:rPr>
              <w:t>29.9%</w:t>
            </w:r>
          </w:p>
        </w:tc>
      </w:tr>
      <w:tr w:rsidR="00FC54D5" w:rsidRPr="00FC54D5" w:rsidTr="00FC54D5">
        <w:trPr>
          <w:trHeight w:hRule="exact" w:val="284"/>
        </w:trPr>
        <w:tc>
          <w:tcPr>
            <w:tcW w:w="3119" w:type="dxa"/>
            <w:shd w:val="clear" w:color="auto" w:fill="auto"/>
          </w:tcPr>
          <w:p w:rsidR="00FC54D5" w:rsidRPr="00FC54D5" w:rsidRDefault="00FC54D5" w:rsidP="000B23D3">
            <w:pPr>
              <w:pStyle w:val="TableParagraph"/>
              <w:spacing w:before="40"/>
              <w:ind w:left="80"/>
              <w:rPr>
                <w:rFonts w:ascii="Gill Sans MT" w:hAnsi="Gill Sans MT"/>
                <w:sz w:val="18"/>
              </w:rPr>
            </w:pPr>
            <w:r w:rsidRPr="00FC54D5">
              <w:rPr>
                <w:rFonts w:ascii="Gill Sans MT" w:hAnsi="Gill Sans MT"/>
                <w:sz w:val="18"/>
              </w:rPr>
              <w:t>Supplies and consumables</w:t>
            </w:r>
          </w:p>
        </w:tc>
        <w:tc>
          <w:tcPr>
            <w:tcW w:w="1276" w:type="dxa"/>
            <w:shd w:val="clear" w:color="auto" w:fill="auto"/>
          </w:tcPr>
          <w:p w:rsidR="00FC54D5" w:rsidRPr="00FC54D5" w:rsidRDefault="00FC54D5" w:rsidP="000B23D3">
            <w:pPr>
              <w:pStyle w:val="TableParagraph"/>
              <w:spacing w:before="40"/>
              <w:ind w:right="212"/>
              <w:jc w:val="right"/>
              <w:rPr>
                <w:rFonts w:ascii="Gill Sans MT" w:hAnsi="Gill Sans MT"/>
                <w:sz w:val="18"/>
              </w:rPr>
            </w:pPr>
            <w:r w:rsidRPr="00FC54D5">
              <w:rPr>
                <w:rFonts w:ascii="Gill Sans MT" w:hAnsi="Gill Sans MT"/>
                <w:sz w:val="18"/>
              </w:rPr>
              <w:t>(d)</w:t>
            </w:r>
          </w:p>
        </w:tc>
        <w:tc>
          <w:tcPr>
            <w:tcW w:w="1417" w:type="dxa"/>
            <w:shd w:val="clear" w:color="auto" w:fill="auto"/>
          </w:tcPr>
          <w:p w:rsidR="00FC54D5" w:rsidRPr="00FC54D5" w:rsidRDefault="00FC54D5" w:rsidP="000B23D3">
            <w:pPr>
              <w:pStyle w:val="TableParagraph"/>
              <w:spacing w:before="40"/>
              <w:ind w:right="110"/>
              <w:jc w:val="right"/>
              <w:rPr>
                <w:rFonts w:ascii="Gill Sans MT" w:hAnsi="Gill Sans MT"/>
                <w:sz w:val="18"/>
              </w:rPr>
            </w:pPr>
            <w:r w:rsidRPr="00FC54D5">
              <w:rPr>
                <w:rFonts w:ascii="Gill Sans MT" w:hAnsi="Gill Sans MT"/>
                <w:sz w:val="18"/>
              </w:rPr>
              <w:t>345 162</w:t>
            </w:r>
          </w:p>
        </w:tc>
        <w:tc>
          <w:tcPr>
            <w:tcW w:w="1356" w:type="dxa"/>
            <w:shd w:val="clear" w:color="auto" w:fill="auto"/>
          </w:tcPr>
          <w:p w:rsidR="00FC54D5" w:rsidRPr="00FC54D5" w:rsidRDefault="00FC54D5" w:rsidP="000B23D3">
            <w:pPr>
              <w:pStyle w:val="TableParagraph"/>
              <w:spacing w:before="40"/>
              <w:ind w:right="112"/>
              <w:jc w:val="right"/>
              <w:rPr>
                <w:rFonts w:ascii="Gill Sans MT" w:hAnsi="Gill Sans MT"/>
                <w:sz w:val="18"/>
              </w:rPr>
            </w:pPr>
            <w:r w:rsidRPr="00FC54D5">
              <w:rPr>
                <w:rFonts w:ascii="Gill Sans MT" w:hAnsi="Gill Sans MT"/>
                <w:sz w:val="18"/>
              </w:rPr>
              <w:t>394 575</w:t>
            </w:r>
          </w:p>
        </w:tc>
        <w:tc>
          <w:tcPr>
            <w:tcW w:w="1196" w:type="dxa"/>
            <w:shd w:val="clear" w:color="auto" w:fill="auto"/>
          </w:tcPr>
          <w:p w:rsidR="00FC54D5" w:rsidRPr="00FC54D5" w:rsidRDefault="00FC54D5" w:rsidP="000B23D3">
            <w:pPr>
              <w:pStyle w:val="TableParagraph"/>
              <w:spacing w:before="40"/>
              <w:ind w:right="226"/>
              <w:jc w:val="right"/>
              <w:rPr>
                <w:rFonts w:ascii="Gill Sans MT" w:hAnsi="Gill Sans MT"/>
                <w:sz w:val="18"/>
              </w:rPr>
            </w:pPr>
            <w:r w:rsidRPr="00FC54D5">
              <w:rPr>
                <w:rFonts w:ascii="Gill Sans MT" w:hAnsi="Gill Sans MT"/>
                <w:sz w:val="18"/>
              </w:rPr>
              <w:t>(49 413)</w:t>
            </w:r>
          </w:p>
        </w:tc>
        <w:tc>
          <w:tcPr>
            <w:tcW w:w="958" w:type="dxa"/>
            <w:shd w:val="clear" w:color="auto" w:fill="auto"/>
          </w:tcPr>
          <w:p w:rsidR="00FC54D5" w:rsidRPr="00FC54D5" w:rsidRDefault="00FC54D5" w:rsidP="000B23D3">
            <w:pPr>
              <w:pStyle w:val="TableParagraph"/>
              <w:spacing w:before="40"/>
              <w:ind w:right="54"/>
              <w:jc w:val="right"/>
              <w:rPr>
                <w:rFonts w:ascii="Gill Sans MT" w:hAnsi="Gill Sans MT"/>
                <w:sz w:val="18"/>
              </w:rPr>
            </w:pPr>
            <w:r w:rsidRPr="00FC54D5">
              <w:rPr>
                <w:rFonts w:ascii="Gill Sans MT" w:hAnsi="Gill Sans MT"/>
                <w:sz w:val="18"/>
              </w:rPr>
              <w:t>(14.3%)</w:t>
            </w:r>
          </w:p>
        </w:tc>
      </w:tr>
      <w:tr w:rsidR="00FC54D5" w:rsidRPr="00FC54D5" w:rsidTr="005544BF">
        <w:trPr>
          <w:trHeight w:hRule="exact" w:val="284"/>
        </w:trPr>
        <w:tc>
          <w:tcPr>
            <w:tcW w:w="3119" w:type="dxa"/>
            <w:shd w:val="clear" w:color="auto" w:fill="auto"/>
          </w:tcPr>
          <w:p w:rsidR="00FC54D5" w:rsidRPr="00FC54D5" w:rsidRDefault="00FC54D5" w:rsidP="000B23D3">
            <w:pPr>
              <w:pStyle w:val="TableParagraph"/>
              <w:spacing w:before="40"/>
              <w:ind w:left="80"/>
              <w:rPr>
                <w:rFonts w:ascii="Gill Sans MT" w:hAnsi="Gill Sans MT"/>
                <w:sz w:val="18"/>
              </w:rPr>
            </w:pPr>
            <w:r w:rsidRPr="00FC54D5">
              <w:rPr>
                <w:rFonts w:ascii="Gill Sans MT" w:hAnsi="Gill Sans MT"/>
                <w:sz w:val="18"/>
              </w:rPr>
              <w:t>Grants and subsidies</w:t>
            </w:r>
          </w:p>
        </w:tc>
        <w:tc>
          <w:tcPr>
            <w:tcW w:w="1276" w:type="dxa"/>
            <w:shd w:val="clear" w:color="auto" w:fill="auto"/>
          </w:tcPr>
          <w:p w:rsidR="00FC54D5" w:rsidRPr="00FC54D5" w:rsidRDefault="00FC54D5" w:rsidP="000B23D3">
            <w:pPr>
              <w:pStyle w:val="TableParagraph"/>
              <w:spacing w:before="40"/>
              <w:ind w:right="220"/>
              <w:jc w:val="right"/>
              <w:rPr>
                <w:rFonts w:ascii="Gill Sans MT" w:hAnsi="Gill Sans MT"/>
                <w:sz w:val="18"/>
              </w:rPr>
            </w:pPr>
            <w:r w:rsidRPr="00FC54D5">
              <w:rPr>
                <w:rFonts w:ascii="Gill Sans MT" w:hAnsi="Gill Sans MT"/>
                <w:sz w:val="18"/>
              </w:rPr>
              <w:t>(e)</w:t>
            </w:r>
          </w:p>
        </w:tc>
        <w:tc>
          <w:tcPr>
            <w:tcW w:w="1417" w:type="dxa"/>
            <w:shd w:val="clear" w:color="auto" w:fill="auto"/>
          </w:tcPr>
          <w:p w:rsidR="00FC54D5" w:rsidRPr="00FC54D5" w:rsidRDefault="00FC54D5" w:rsidP="000B23D3">
            <w:pPr>
              <w:pStyle w:val="TableParagraph"/>
              <w:spacing w:before="40"/>
              <w:ind w:right="111"/>
              <w:jc w:val="right"/>
              <w:rPr>
                <w:rFonts w:ascii="Gill Sans MT" w:hAnsi="Gill Sans MT"/>
                <w:sz w:val="18"/>
              </w:rPr>
            </w:pPr>
            <w:r w:rsidRPr="00FC54D5">
              <w:rPr>
                <w:rFonts w:ascii="Gill Sans MT" w:hAnsi="Gill Sans MT"/>
                <w:sz w:val="18"/>
              </w:rPr>
              <w:t>40 495</w:t>
            </w:r>
          </w:p>
        </w:tc>
        <w:tc>
          <w:tcPr>
            <w:tcW w:w="1356" w:type="dxa"/>
            <w:shd w:val="clear" w:color="auto" w:fill="auto"/>
          </w:tcPr>
          <w:p w:rsidR="00FC54D5" w:rsidRPr="00FC54D5" w:rsidRDefault="00FC54D5" w:rsidP="000B23D3">
            <w:pPr>
              <w:pStyle w:val="TableParagraph"/>
              <w:spacing w:before="40"/>
              <w:ind w:right="110"/>
              <w:jc w:val="right"/>
              <w:rPr>
                <w:rFonts w:ascii="Gill Sans MT" w:hAnsi="Gill Sans MT"/>
                <w:sz w:val="18"/>
              </w:rPr>
            </w:pPr>
            <w:r w:rsidRPr="00FC54D5">
              <w:rPr>
                <w:rFonts w:ascii="Gill Sans MT" w:hAnsi="Gill Sans MT"/>
                <w:sz w:val="18"/>
              </w:rPr>
              <w:t>7 178</w:t>
            </w:r>
          </w:p>
        </w:tc>
        <w:tc>
          <w:tcPr>
            <w:tcW w:w="1196" w:type="dxa"/>
            <w:shd w:val="clear" w:color="auto" w:fill="auto"/>
          </w:tcPr>
          <w:p w:rsidR="00FC54D5" w:rsidRPr="00FC54D5" w:rsidRDefault="00FC54D5" w:rsidP="000B23D3">
            <w:pPr>
              <w:pStyle w:val="TableParagraph"/>
              <w:spacing w:before="40"/>
              <w:ind w:left="486"/>
              <w:rPr>
                <w:rFonts w:ascii="Gill Sans MT" w:hAnsi="Gill Sans MT"/>
                <w:sz w:val="18"/>
              </w:rPr>
            </w:pPr>
            <w:r w:rsidRPr="00FC54D5">
              <w:rPr>
                <w:rFonts w:ascii="Gill Sans MT" w:hAnsi="Gill Sans MT"/>
                <w:sz w:val="18"/>
              </w:rPr>
              <w:t>33 317</w:t>
            </w:r>
          </w:p>
        </w:tc>
        <w:tc>
          <w:tcPr>
            <w:tcW w:w="958" w:type="dxa"/>
            <w:shd w:val="clear" w:color="auto" w:fill="auto"/>
          </w:tcPr>
          <w:p w:rsidR="00FC54D5" w:rsidRPr="00FC54D5" w:rsidRDefault="00FC54D5" w:rsidP="000B23D3">
            <w:pPr>
              <w:pStyle w:val="TableParagraph"/>
              <w:spacing w:before="40"/>
              <w:ind w:left="351"/>
              <w:rPr>
                <w:rFonts w:ascii="Gill Sans MT" w:hAnsi="Gill Sans MT"/>
                <w:sz w:val="18"/>
              </w:rPr>
            </w:pPr>
            <w:r w:rsidRPr="00FC54D5">
              <w:rPr>
                <w:rFonts w:ascii="Gill Sans MT" w:hAnsi="Gill Sans MT"/>
                <w:sz w:val="18"/>
              </w:rPr>
              <w:t>82.3%</w:t>
            </w:r>
          </w:p>
        </w:tc>
      </w:tr>
      <w:tr w:rsidR="00FC54D5" w:rsidRPr="00FC54D5" w:rsidTr="005544BF">
        <w:trPr>
          <w:trHeight w:hRule="exact" w:val="281"/>
        </w:trPr>
        <w:tc>
          <w:tcPr>
            <w:tcW w:w="3119" w:type="dxa"/>
            <w:tcBorders>
              <w:bottom w:val="single" w:sz="4" w:space="0" w:color="auto"/>
            </w:tcBorders>
            <w:shd w:val="clear" w:color="auto" w:fill="auto"/>
          </w:tcPr>
          <w:p w:rsidR="00FC54D5" w:rsidRPr="00FC54D5" w:rsidRDefault="00FC54D5" w:rsidP="000B23D3">
            <w:pPr>
              <w:pStyle w:val="TableParagraph"/>
              <w:spacing w:before="40"/>
              <w:ind w:left="80"/>
              <w:rPr>
                <w:rFonts w:ascii="Gill Sans MT" w:hAnsi="Gill Sans MT"/>
                <w:sz w:val="18"/>
              </w:rPr>
            </w:pPr>
            <w:r w:rsidRPr="00FC54D5">
              <w:rPr>
                <w:rFonts w:ascii="Gill Sans MT" w:hAnsi="Gill Sans MT"/>
                <w:sz w:val="18"/>
              </w:rPr>
              <w:t>Other expenses</w:t>
            </w:r>
          </w:p>
        </w:tc>
        <w:tc>
          <w:tcPr>
            <w:tcW w:w="1276" w:type="dxa"/>
            <w:tcBorders>
              <w:bottom w:val="single" w:sz="4" w:space="0" w:color="auto"/>
            </w:tcBorders>
            <w:shd w:val="clear" w:color="auto" w:fill="auto"/>
          </w:tcPr>
          <w:p w:rsidR="00FC54D5" w:rsidRPr="00FC54D5" w:rsidRDefault="00FC54D5" w:rsidP="000B23D3">
            <w:pPr>
              <w:pStyle w:val="TableParagraph"/>
              <w:spacing w:before="40"/>
              <w:ind w:right="228"/>
              <w:jc w:val="right"/>
              <w:rPr>
                <w:rFonts w:ascii="Gill Sans MT" w:hAnsi="Gill Sans MT"/>
                <w:sz w:val="18"/>
              </w:rPr>
            </w:pPr>
            <w:r w:rsidRPr="00FC54D5">
              <w:rPr>
                <w:rFonts w:ascii="Gill Sans MT" w:hAnsi="Gill Sans MT"/>
                <w:sz w:val="18"/>
              </w:rPr>
              <w:t>(f )</w:t>
            </w:r>
          </w:p>
        </w:tc>
        <w:tc>
          <w:tcPr>
            <w:tcW w:w="1417" w:type="dxa"/>
            <w:tcBorders>
              <w:bottom w:val="single" w:sz="4" w:space="0" w:color="auto"/>
            </w:tcBorders>
            <w:shd w:val="clear" w:color="auto" w:fill="auto"/>
          </w:tcPr>
          <w:p w:rsidR="00FC54D5" w:rsidRPr="00FC54D5" w:rsidRDefault="00FC54D5" w:rsidP="000B23D3">
            <w:pPr>
              <w:pStyle w:val="TableParagraph"/>
              <w:spacing w:before="40"/>
              <w:ind w:right="110"/>
              <w:jc w:val="right"/>
              <w:rPr>
                <w:rFonts w:ascii="Gill Sans MT" w:hAnsi="Gill Sans MT"/>
                <w:sz w:val="18"/>
              </w:rPr>
            </w:pPr>
            <w:r w:rsidRPr="00FC54D5">
              <w:rPr>
                <w:rFonts w:ascii="Gill Sans MT" w:hAnsi="Gill Sans MT"/>
                <w:sz w:val="18"/>
              </w:rPr>
              <w:t>10 155</w:t>
            </w:r>
          </w:p>
        </w:tc>
        <w:tc>
          <w:tcPr>
            <w:tcW w:w="1356" w:type="dxa"/>
            <w:tcBorders>
              <w:bottom w:val="single" w:sz="4" w:space="0" w:color="auto"/>
            </w:tcBorders>
            <w:shd w:val="clear" w:color="auto" w:fill="auto"/>
          </w:tcPr>
          <w:p w:rsidR="00FC54D5" w:rsidRPr="00FC54D5" w:rsidRDefault="00FC54D5" w:rsidP="000B23D3">
            <w:pPr>
              <w:pStyle w:val="TableParagraph"/>
              <w:spacing w:before="40"/>
              <w:ind w:right="110"/>
              <w:jc w:val="right"/>
              <w:rPr>
                <w:rFonts w:ascii="Gill Sans MT" w:hAnsi="Gill Sans MT"/>
                <w:sz w:val="18"/>
              </w:rPr>
            </w:pPr>
            <w:r w:rsidRPr="00FC54D5">
              <w:rPr>
                <w:rFonts w:ascii="Gill Sans MT" w:hAnsi="Gill Sans MT"/>
                <w:sz w:val="18"/>
              </w:rPr>
              <w:t>22 786</w:t>
            </w:r>
          </w:p>
        </w:tc>
        <w:tc>
          <w:tcPr>
            <w:tcW w:w="1196" w:type="dxa"/>
            <w:tcBorders>
              <w:bottom w:val="single" w:sz="4" w:space="0" w:color="auto"/>
            </w:tcBorders>
            <w:shd w:val="clear" w:color="auto" w:fill="auto"/>
          </w:tcPr>
          <w:p w:rsidR="00FC54D5" w:rsidRPr="00FC54D5" w:rsidRDefault="00FC54D5" w:rsidP="000B23D3">
            <w:pPr>
              <w:pStyle w:val="TableParagraph"/>
              <w:spacing w:before="40"/>
              <w:ind w:left="438"/>
              <w:rPr>
                <w:rFonts w:ascii="Gill Sans MT" w:hAnsi="Gill Sans MT"/>
                <w:sz w:val="18"/>
              </w:rPr>
            </w:pPr>
            <w:r w:rsidRPr="00FC54D5">
              <w:rPr>
                <w:rFonts w:ascii="Gill Sans MT" w:hAnsi="Gill Sans MT"/>
                <w:sz w:val="18"/>
              </w:rPr>
              <w:t>(12 631)</w:t>
            </w:r>
          </w:p>
        </w:tc>
        <w:tc>
          <w:tcPr>
            <w:tcW w:w="958" w:type="dxa"/>
            <w:tcBorders>
              <w:bottom w:val="single" w:sz="4" w:space="0" w:color="auto"/>
            </w:tcBorders>
            <w:shd w:val="clear" w:color="auto" w:fill="auto"/>
          </w:tcPr>
          <w:p w:rsidR="00FC54D5" w:rsidRPr="00FC54D5" w:rsidRDefault="00FC54D5" w:rsidP="000B23D3">
            <w:pPr>
              <w:pStyle w:val="TableParagraph"/>
              <w:spacing w:before="40"/>
              <w:ind w:right="54"/>
              <w:jc w:val="right"/>
              <w:rPr>
                <w:rFonts w:ascii="Gill Sans MT" w:hAnsi="Gill Sans MT"/>
                <w:sz w:val="18"/>
              </w:rPr>
            </w:pPr>
            <w:r w:rsidRPr="00FC54D5">
              <w:rPr>
                <w:rFonts w:ascii="Gill Sans MT" w:hAnsi="Gill Sans MT"/>
                <w:sz w:val="18"/>
              </w:rPr>
              <w:t>(124.4%)</w:t>
            </w:r>
          </w:p>
        </w:tc>
      </w:tr>
    </w:tbl>
    <w:p w:rsidR="00FC54D5" w:rsidRDefault="00FC54D5" w:rsidP="00FC54D5"/>
    <w:p w:rsidR="005544BF" w:rsidRDefault="005544BF" w:rsidP="005544BF">
      <w:pPr>
        <w:autoSpaceDE w:val="0"/>
        <w:autoSpaceDN w:val="0"/>
        <w:adjustRightInd w:val="0"/>
        <w:spacing w:after="0" w:line="240" w:lineRule="auto"/>
        <w:rPr>
          <w:rFonts w:ascii="GillSans-SemiBold" w:hAnsi="GillSans-SemiBold" w:cs="GillSans-SemiBold"/>
          <w:b/>
          <w:bCs/>
        </w:rPr>
      </w:pPr>
      <w:r>
        <w:rPr>
          <w:rFonts w:ascii="GillSans-SemiBold" w:hAnsi="GillSans-SemiBold" w:cs="GillSans-SemiBold"/>
          <w:b/>
          <w:bCs/>
        </w:rPr>
        <w:t>Notes to Statement of Comprehensive Income variances</w:t>
      </w:r>
    </w:p>
    <w:p w:rsidR="005544BF" w:rsidRDefault="005544BF" w:rsidP="005544BF">
      <w:pPr>
        <w:autoSpaceDE w:val="0"/>
        <w:autoSpaceDN w:val="0"/>
        <w:adjustRightInd w:val="0"/>
        <w:spacing w:after="0" w:line="240" w:lineRule="auto"/>
        <w:rPr>
          <w:rFonts w:ascii="GillSans-SemiBold" w:hAnsi="GillSans-SemiBold" w:cs="GillSans-SemiBold"/>
          <w:b/>
          <w:bCs/>
        </w:rPr>
      </w:pPr>
    </w:p>
    <w:p w:rsidR="005544BF" w:rsidRDefault="005544BF" w:rsidP="0018465A">
      <w:pPr>
        <w:pStyle w:val="BodyText"/>
        <w:numPr>
          <w:ilvl w:val="0"/>
          <w:numId w:val="43"/>
        </w:numPr>
        <w:ind w:hanging="567"/>
      </w:pPr>
      <w:r>
        <w:t>The reduction in Grants of $211.2 million primarily relates to the lower than expected transfer of infrastructure costs from the Department to the THS largely due to unanticipated delays in progressing the Royal Hobart Hospital Redevelopment project. In addition, the THS received $29 million in capital grants in relation to the North West Cancer Centre for which a budget had not been allocated.</w:t>
      </w:r>
    </w:p>
    <w:p w:rsidR="005544BF" w:rsidRDefault="005544BF" w:rsidP="0018465A">
      <w:pPr>
        <w:pStyle w:val="BodyText"/>
        <w:numPr>
          <w:ilvl w:val="0"/>
          <w:numId w:val="43"/>
        </w:numPr>
        <w:ind w:hanging="567"/>
      </w:pPr>
      <w:r>
        <w:t>The increase in Sales of goods and services primarily reflects additional revenue as a result of hepatitis C medication being made available on the Pharmaceutical Benefits Scheme (PBS) list. In addition the budget for sales of goods and services was increased by $9.3 million subsequent to the release of the initial estimates to more accurately reflect revenue targets for 2016.</w:t>
      </w:r>
    </w:p>
    <w:p w:rsidR="005544BF" w:rsidRDefault="005544BF" w:rsidP="0018465A">
      <w:pPr>
        <w:pStyle w:val="BodyText"/>
        <w:numPr>
          <w:ilvl w:val="0"/>
          <w:numId w:val="43"/>
        </w:numPr>
        <w:ind w:hanging="567"/>
      </w:pPr>
      <w:r>
        <w:t xml:space="preserve">The increase in </w:t>
      </w:r>
      <w:proofErr w:type="gramStart"/>
      <w:r>
        <w:t>Other</w:t>
      </w:r>
      <w:proofErr w:type="gramEnd"/>
      <w:r>
        <w:t xml:space="preserve"> revenue primarily reflects additional salary recoveries in relation to the Training More Specialist Doctors in Tasmania initiative. The THS also received higher than expected workers compensation and operating recoveries.</w:t>
      </w:r>
    </w:p>
    <w:p w:rsidR="005544BF" w:rsidRDefault="005544BF" w:rsidP="0018465A">
      <w:pPr>
        <w:pStyle w:val="BodyText"/>
        <w:numPr>
          <w:ilvl w:val="0"/>
          <w:numId w:val="43"/>
        </w:numPr>
        <w:ind w:hanging="567"/>
      </w:pPr>
      <w:r>
        <w:t xml:space="preserve">The increase in Supplies and consumables predominantly reflects the inclusion of cross border expenses ($33.1 million), which were originally budgeted against Grants and subsidies, and Tasmanian Risk Management Fund (TRMF) premiums ($11.2 million) which have been reclassified against </w:t>
      </w:r>
      <w:proofErr w:type="gramStart"/>
      <w:r>
        <w:t>Other</w:t>
      </w:r>
      <w:proofErr w:type="gramEnd"/>
      <w:r>
        <w:t xml:space="preserve"> expenses. Also, an additional $2.4 million of maintenance costs were not budgeted for.</w:t>
      </w:r>
    </w:p>
    <w:p w:rsidR="005544BF" w:rsidRDefault="005544BF" w:rsidP="0018465A">
      <w:pPr>
        <w:pStyle w:val="BodyText"/>
        <w:numPr>
          <w:ilvl w:val="0"/>
          <w:numId w:val="43"/>
        </w:numPr>
        <w:ind w:hanging="567"/>
      </w:pPr>
      <w:r>
        <w:t>The decrease in Grants and subsidies reflects the reallocation of cross border payments to Supplies and consumables ($33.1 million).</w:t>
      </w:r>
    </w:p>
    <w:p w:rsidR="005544BF" w:rsidRDefault="005544BF" w:rsidP="0018465A">
      <w:pPr>
        <w:pStyle w:val="BodyText"/>
        <w:numPr>
          <w:ilvl w:val="0"/>
          <w:numId w:val="43"/>
        </w:numPr>
        <w:ind w:hanging="567"/>
      </w:pPr>
      <w:r>
        <w:t xml:space="preserve">The increase in </w:t>
      </w:r>
      <w:proofErr w:type="gramStart"/>
      <w:r>
        <w:t>Other</w:t>
      </w:r>
      <w:proofErr w:type="gramEnd"/>
      <w:r>
        <w:t xml:space="preserve"> expenses reflects the reclassification of the TRMF premium from Supplies and consumables ($11.2 million).</w:t>
      </w:r>
    </w:p>
    <w:p w:rsidR="005544BF" w:rsidRDefault="005544BF">
      <w:pPr>
        <w:rPr>
          <w:rFonts w:ascii="Gill Sans MT" w:eastAsia="GillSans-Light" w:hAnsi="Gill Sans MT" w:cs="GillSans-Light"/>
          <w:lang w:val="en-US"/>
        </w:rPr>
      </w:pPr>
      <w:r>
        <w:br w:type="page"/>
      </w:r>
    </w:p>
    <w:p w:rsidR="005544BF" w:rsidRDefault="005544BF" w:rsidP="005544BF">
      <w:pPr>
        <w:pStyle w:val="Heading5"/>
      </w:pPr>
      <w:r>
        <w:lastRenderedPageBreak/>
        <w:t>3.2 Statement of Financial Position</w:t>
      </w:r>
    </w:p>
    <w:tbl>
      <w:tblPr>
        <w:tblpPr w:leftFromText="180" w:rightFromText="180" w:horzAnchor="margin" w:tblpY="480"/>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Statement of Financial Position"/>
      </w:tblPr>
      <w:tblGrid>
        <w:gridCol w:w="3828"/>
        <w:gridCol w:w="1559"/>
        <w:gridCol w:w="1134"/>
        <w:gridCol w:w="992"/>
        <w:gridCol w:w="992"/>
        <w:gridCol w:w="993"/>
      </w:tblGrid>
      <w:tr w:rsidR="005544BF" w:rsidRPr="005544BF" w:rsidTr="004C6851">
        <w:trPr>
          <w:trHeight w:hRule="exact" w:val="704"/>
          <w:tblHeader/>
        </w:trPr>
        <w:tc>
          <w:tcPr>
            <w:tcW w:w="3828"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111"/>
              <w:rPr>
                <w:rFonts w:ascii="Gill Sans MT" w:hAnsi="Gill Sans MT"/>
                <w:b/>
                <w:sz w:val="18"/>
              </w:rPr>
            </w:pPr>
            <w:r w:rsidRPr="005544BF">
              <w:rPr>
                <w:rFonts w:ascii="Gill Sans MT" w:hAnsi="Gill Sans MT"/>
                <w:b/>
                <w:sz w:val="18"/>
              </w:rPr>
              <w:t>Description</w:t>
            </w:r>
          </w:p>
        </w:tc>
        <w:tc>
          <w:tcPr>
            <w:tcW w:w="1559"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111"/>
              <w:jc w:val="right"/>
              <w:rPr>
                <w:rFonts w:ascii="Gill Sans MT" w:hAnsi="Gill Sans MT"/>
                <w:b/>
                <w:sz w:val="18"/>
              </w:rPr>
            </w:pPr>
            <w:r w:rsidRPr="005544BF">
              <w:rPr>
                <w:rFonts w:ascii="Gill Sans MT" w:hAnsi="Gill Sans MT"/>
                <w:b/>
                <w:sz w:val="18"/>
              </w:rPr>
              <w:t>Note</w:t>
            </w:r>
          </w:p>
        </w:tc>
        <w:tc>
          <w:tcPr>
            <w:tcW w:w="1134"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111"/>
              <w:jc w:val="right"/>
              <w:rPr>
                <w:rFonts w:ascii="Gill Sans MT" w:hAnsi="Gill Sans MT"/>
                <w:b/>
                <w:sz w:val="18"/>
              </w:rPr>
            </w:pPr>
            <w:r w:rsidRPr="005544BF">
              <w:rPr>
                <w:rFonts w:ascii="Gill Sans MT" w:hAnsi="Gill Sans MT"/>
                <w:b/>
                <w:sz w:val="18"/>
              </w:rPr>
              <w:t>2016 Budget $’000</w:t>
            </w:r>
          </w:p>
        </w:tc>
        <w:tc>
          <w:tcPr>
            <w:tcW w:w="992"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111"/>
              <w:jc w:val="right"/>
              <w:rPr>
                <w:rFonts w:ascii="Gill Sans MT" w:hAnsi="Gill Sans MT"/>
                <w:b/>
                <w:sz w:val="18"/>
              </w:rPr>
            </w:pPr>
            <w:r w:rsidRPr="005544BF">
              <w:rPr>
                <w:rFonts w:ascii="Gill Sans MT" w:hAnsi="Gill Sans MT"/>
                <w:b/>
                <w:sz w:val="18"/>
              </w:rPr>
              <w:t>2016 Actual $’000</w:t>
            </w:r>
          </w:p>
        </w:tc>
        <w:tc>
          <w:tcPr>
            <w:tcW w:w="992"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155"/>
              <w:jc w:val="right"/>
              <w:rPr>
                <w:rFonts w:ascii="Gill Sans MT" w:hAnsi="Gill Sans MT"/>
                <w:b/>
                <w:sz w:val="18"/>
              </w:rPr>
            </w:pPr>
            <w:r w:rsidRPr="005544BF">
              <w:rPr>
                <w:rFonts w:ascii="Gill Sans MT" w:hAnsi="Gill Sans MT"/>
                <w:b/>
                <w:sz w:val="18"/>
              </w:rPr>
              <w:t>Budget Variance $’000</w:t>
            </w:r>
          </w:p>
        </w:tc>
        <w:tc>
          <w:tcPr>
            <w:tcW w:w="993" w:type="dxa"/>
            <w:tcBorders>
              <w:top w:val="single" w:sz="4" w:space="0" w:color="004D8F"/>
              <w:left w:val="nil"/>
              <w:bottom w:val="single" w:sz="4" w:space="0" w:color="004D8F"/>
              <w:right w:val="nil"/>
            </w:tcBorders>
            <w:shd w:val="clear" w:color="auto" w:fill="auto"/>
          </w:tcPr>
          <w:p w:rsidR="005544BF" w:rsidRPr="005544BF" w:rsidRDefault="005544BF" w:rsidP="005544BF">
            <w:pPr>
              <w:pStyle w:val="TableParagraph"/>
              <w:spacing w:before="42"/>
              <w:ind w:right="54"/>
              <w:jc w:val="right"/>
              <w:rPr>
                <w:rFonts w:ascii="Gill Sans MT" w:hAnsi="Gill Sans MT"/>
                <w:b/>
                <w:sz w:val="18"/>
              </w:rPr>
            </w:pPr>
            <w:r w:rsidRPr="005544BF">
              <w:rPr>
                <w:rFonts w:ascii="Gill Sans MT" w:hAnsi="Gill Sans MT"/>
                <w:b/>
                <w:sz w:val="18"/>
              </w:rPr>
              <w:t xml:space="preserve">Budget Variance </w:t>
            </w:r>
            <w:r>
              <w:rPr>
                <w:rFonts w:ascii="Gill Sans MT" w:hAnsi="Gill Sans MT"/>
                <w:b/>
                <w:sz w:val="18"/>
              </w:rPr>
              <w:br/>
            </w:r>
            <w:r w:rsidRPr="005544BF">
              <w:rPr>
                <w:rFonts w:ascii="Gill Sans MT" w:hAnsi="Gill Sans MT"/>
                <w:b/>
                <w:sz w:val="18"/>
              </w:rPr>
              <w:t>%</w:t>
            </w:r>
          </w:p>
        </w:tc>
      </w:tr>
      <w:tr w:rsidR="005544BF" w:rsidRPr="005544BF" w:rsidTr="004C6851">
        <w:trPr>
          <w:trHeight w:hRule="exact" w:val="287"/>
        </w:trPr>
        <w:tc>
          <w:tcPr>
            <w:tcW w:w="3828" w:type="dxa"/>
            <w:tcBorders>
              <w:top w:val="single" w:sz="4" w:space="0" w:color="004D8F"/>
            </w:tcBorders>
            <w:shd w:val="clear" w:color="auto" w:fill="auto"/>
          </w:tcPr>
          <w:p w:rsidR="005544BF" w:rsidRPr="005544BF" w:rsidRDefault="005544BF" w:rsidP="005544BF">
            <w:pPr>
              <w:pStyle w:val="TableParagraph"/>
              <w:spacing w:before="42"/>
              <w:ind w:right="111"/>
              <w:rPr>
                <w:rFonts w:ascii="Gill Sans MT" w:hAnsi="Gill Sans MT"/>
                <w:sz w:val="18"/>
              </w:rPr>
            </w:pPr>
            <w:r>
              <w:rPr>
                <w:rFonts w:ascii="Gill Sans MT" w:hAnsi="Gill Sans MT"/>
                <w:sz w:val="18"/>
              </w:rPr>
              <w:t>Cash and deposits</w:t>
            </w:r>
          </w:p>
        </w:tc>
        <w:tc>
          <w:tcPr>
            <w:tcW w:w="1559" w:type="dxa"/>
            <w:tcBorders>
              <w:top w:val="single" w:sz="4" w:space="0" w:color="004D8F"/>
            </w:tcBorders>
            <w:shd w:val="clear" w:color="auto" w:fill="auto"/>
          </w:tcPr>
          <w:p w:rsidR="005544BF" w:rsidRPr="005544BF" w:rsidRDefault="005544BF" w:rsidP="005544BF">
            <w:pPr>
              <w:pStyle w:val="TableParagraph"/>
              <w:spacing w:before="42"/>
              <w:ind w:right="111"/>
              <w:jc w:val="right"/>
              <w:rPr>
                <w:rFonts w:ascii="Gill Sans MT" w:hAnsi="Gill Sans MT"/>
                <w:sz w:val="18"/>
              </w:rPr>
            </w:pPr>
            <w:r>
              <w:rPr>
                <w:rFonts w:ascii="Gill Sans MT" w:hAnsi="Gill Sans MT"/>
                <w:sz w:val="18"/>
              </w:rPr>
              <w:t>(a)</w:t>
            </w:r>
          </w:p>
        </w:tc>
        <w:tc>
          <w:tcPr>
            <w:tcW w:w="1134" w:type="dxa"/>
            <w:tcBorders>
              <w:top w:val="single" w:sz="4" w:space="0" w:color="004D8F"/>
            </w:tcBorders>
            <w:shd w:val="clear" w:color="auto" w:fill="auto"/>
          </w:tcPr>
          <w:p w:rsidR="005544BF" w:rsidRPr="005544BF" w:rsidRDefault="005544BF" w:rsidP="005544BF">
            <w:pPr>
              <w:pStyle w:val="TableParagraph"/>
              <w:spacing w:before="42"/>
              <w:ind w:right="111"/>
              <w:jc w:val="right"/>
              <w:rPr>
                <w:rFonts w:ascii="Gill Sans MT" w:hAnsi="Gill Sans MT"/>
                <w:sz w:val="18"/>
              </w:rPr>
            </w:pPr>
            <w:r w:rsidRPr="005544BF">
              <w:rPr>
                <w:rFonts w:ascii="Gill Sans MT" w:hAnsi="Gill Sans MT"/>
                <w:sz w:val="18"/>
              </w:rPr>
              <w:t>43 955</w:t>
            </w:r>
          </w:p>
        </w:tc>
        <w:tc>
          <w:tcPr>
            <w:tcW w:w="992" w:type="dxa"/>
            <w:tcBorders>
              <w:top w:val="single" w:sz="4" w:space="0" w:color="004D8F"/>
            </w:tcBorders>
            <w:shd w:val="clear" w:color="auto" w:fill="auto"/>
          </w:tcPr>
          <w:p w:rsidR="005544BF" w:rsidRPr="005544BF" w:rsidRDefault="005544BF" w:rsidP="005544BF">
            <w:pPr>
              <w:pStyle w:val="TableParagraph"/>
              <w:spacing w:before="42"/>
              <w:ind w:right="111"/>
              <w:jc w:val="right"/>
              <w:rPr>
                <w:rFonts w:ascii="Gill Sans MT" w:hAnsi="Gill Sans MT"/>
                <w:sz w:val="18"/>
              </w:rPr>
            </w:pPr>
            <w:r w:rsidRPr="005544BF">
              <w:rPr>
                <w:rFonts w:ascii="Gill Sans MT" w:hAnsi="Gill Sans MT"/>
                <w:sz w:val="18"/>
              </w:rPr>
              <w:t>89 535</w:t>
            </w:r>
          </w:p>
        </w:tc>
        <w:tc>
          <w:tcPr>
            <w:tcW w:w="992" w:type="dxa"/>
            <w:tcBorders>
              <w:top w:val="single" w:sz="4" w:space="0" w:color="004D8F"/>
            </w:tcBorders>
            <w:shd w:val="clear" w:color="auto" w:fill="auto"/>
          </w:tcPr>
          <w:p w:rsidR="005544BF" w:rsidRPr="005544BF" w:rsidRDefault="005544BF" w:rsidP="004C6851">
            <w:pPr>
              <w:pStyle w:val="TableParagraph"/>
              <w:spacing w:before="42"/>
              <w:jc w:val="right"/>
              <w:rPr>
                <w:rFonts w:ascii="Gill Sans MT" w:hAnsi="Gill Sans MT"/>
                <w:sz w:val="18"/>
              </w:rPr>
            </w:pPr>
            <w:r w:rsidRPr="005544BF">
              <w:rPr>
                <w:rFonts w:ascii="Gill Sans MT" w:hAnsi="Gill Sans MT"/>
                <w:sz w:val="18"/>
              </w:rPr>
              <w:t>45 580</w:t>
            </w:r>
          </w:p>
        </w:tc>
        <w:tc>
          <w:tcPr>
            <w:tcW w:w="993" w:type="dxa"/>
            <w:tcBorders>
              <w:top w:val="single" w:sz="4" w:space="0" w:color="004D8F"/>
            </w:tcBorders>
            <w:shd w:val="clear" w:color="auto" w:fill="auto"/>
          </w:tcPr>
          <w:p w:rsidR="005544BF" w:rsidRPr="005544BF" w:rsidRDefault="005544BF" w:rsidP="004C6851">
            <w:pPr>
              <w:pStyle w:val="TableParagraph"/>
              <w:spacing w:before="42"/>
              <w:ind w:right="54"/>
              <w:jc w:val="right"/>
              <w:rPr>
                <w:rFonts w:ascii="Gill Sans MT" w:hAnsi="Gill Sans MT"/>
                <w:sz w:val="18"/>
              </w:rPr>
            </w:pPr>
            <w:r w:rsidRPr="005544BF">
              <w:rPr>
                <w:rFonts w:ascii="Gill Sans MT" w:hAnsi="Gill Sans MT"/>
                <w:sz w:val="18"/>
              </w:rPr>
              <w:t>103.7%</w:t>
            </w:r>
          </w:p>
        </w:tc>
      </w:tr>
      <w:tr w:rsidR="005544BF" w:rsidRPr="005544BF" w:rsidTr="005544BF">
        <w:trPr>
          <w:trHeight w:hRule="exact" w:val="284"/>
        </w:trPr>
        <w:tc>
          <w:tcPr>
            <w:tcW w:w="3828" w:type="dxa"/>
            <w:shd w:val="clear" w:color="auto" w:fill="auto"/>
          </w:tcPr>
          <w:p w:rsidR="005544BF" w:rsidRPr="005544BF" w:rsidRDefault="005544BF" w:rsidP="005544BF">
            <w:pPr>
              <w:pStyle w:val="TableParagraph"/>
              <w:spacing w:before="40"/>
              <w:ind w:right="114"/>
              <w:rPr>
                <w:rFonts w:ascii="Gill Sans MT" w:hAnsi="Gill Sans MT"/>
                <w:sz w:val="18"/>
              </w:rPr>
            </w:pPr>
            <w:r>
              <w:rPr>
                <w:rFonts w:ascii="Gill Sans MT" w:hAnsi="Gill Sans MT"/>
                <w:sz w:val="18"/>
              </w:rPr>
              <w:t>Other financial assets</w:t>
            </w:r>
          </w:p>
        </w:tc>
        <w:tc>
          <w:tcPr>
            <w:tcW w:w="1559" w:type="dxa"/>
            <w:shd w:val="clear" w:color="auto" w:fill="auto"/>
          </w:tcPr>
          <w:p w:rsidR="005544BF" w:rsidRPr="005544BF" w:rsidRDefault="005544BF" w:rsidP="005544BF">
            <w:pPr>
              <w:pStyle w:val="TableParagraph"/>
              <w:spacing w:before="40"/>
              <w:ind w:right="114"/>
              <w:jc w:val="right"/>
              <w:rPr>
                <w:rFonts w:ascii="Gill Sans MT" w:hAnsi="Gill Sans MT"/>
                <w:sz w:val="18"/>
              </w:rPr>
            </w:pPr>
            <w:r>
              <w:rPr>
                <w:rFonts w:ascii="Gill Sans MT" w:hAnsi="Gill Sans MT"/>
                <w:sz w:val="18"/>
              </w:rPr>
              <w:t>(b)</w:t>
            </w:r>
          </w:p>
        </w:tc>
        <w:tc>
          <w:tcPr>
            <w:tcW w:w="1134" w:type="dxa"/>
            <w:shd w:val="clear" w:color="auto" w:fill="auto"/>
          </w:tcPr>
          <w:p w:rsidR="005544BF" w:rsidRPr="005544BF" w:rsidRDefault="005544BF" w:rsidP="005544BF">
            <w:pPr>
              <w:pStyle w:val="TableParagraph"/>
              <w:spacing w:before="40"/>
              <w:ind w:right="114"/>
              <w:jc w:val="right"/>
              <w:rPr>
                <w:rFonts w:ascii="Gill Sans MT" w:hAnsi="Gill Sans MT"/>
                <w:sz w:val="18"/>
              </w:rPr>
            </w:pPr>
            <w:r w:rsidRPr="005544BF">
              <w:rPr>
                <w:rFonts w:ascii="Gill Sans MT" w:hAnsi="Gill Sans MT"/>
                <w:sz w:val="18"/>
              </w:rPr>
              <w:t>20 233</w:t>
            </w:r>
          </w:p>
        </w:tc>
        <w:tc>
          <w:tcPr>
            <w:tcW w:w="992"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15 873</w:t>
            </w:r>
          </w:p>
        </w:tc>
        <w:tc>
          <w:tcPr>
            <w:tcW w:w="992" w:type="dxa"/>
            <w:shd w:val="clear" w:color="auto" w:fill="auto"/>
          </w:tcPr>
          <w:p w:rsidR="005544BF" w:rsidRPr="005544BF" w:rsidRDefault="005544BF" w:rsidP="004C6851">
            <w:pPr>
              <w:pStyle w:val="TableParagraph"/>
              <w:spacing w:before="40"/>
              <w:ind w:left="436"/>
              <w:jc w:val="right"/>
              <w:rPr>
                <w:rFonts w:ascii="Gill Sans MT" w:hAnsi="Gill Sans MT"/>
                <w:sz w:val="18"/>
              </w:rPr>
            </w:pPr>
            <w:r w:rsidRPr="005544BF">
              <w:rPr>
                <w:rFonts w:ascii="Gill Sans MT" w:hAnsi="Gill Sans MT"/>
                <w:sz w:val="18"/>
              </w:rPr>
              <w:t>(4 360)</w:t>
            </w:r>
          </w:p>
        </w:tc>
        <w:tc>
          <w:tcPr>
            <w:tcW w:w="993" w:type="dxa"/>
            <w:shd w:val="clear" w:color="auto" w:fill="auto"/>
          </w:tcPr>
          <w:p w:rsidR="005544BF" w:rsidRPr="005544BF" w:rsidRDefault="005544BF" w:rsidP="004C6851">
            <w:pPr>
              <w:pStyle w:val="TableParagraph"/>
              <w:spacing w:before="40"/>
              <w:ind w:left="207"/>
              <w:jc w:val="right"/>
              <w:rPr>
                <w:rFonts w:ascii="Gill Sans MT" w:hAnsi="Gill Sans MT"/>
                <w:sz w:val="18"/>
              </w:rPr>
            </w:pPr>
            <w:r w:rsidRPr="005544BF">
              <w:rPr>
                <w:rFonts w:ascii="Gill Sans MT" w:hAnsi="Gill Sans MT"/>
                <w:sz w:val="18"/>
              </w:rPr>
              <w:t>(21.5%)</w:t>
            </w:r>
          </w:p>
        </w:tc>
      </w:tr>
      <w:tr w:rsidR="005544BF" w:rsidRPr="005544BF" w:rsidTr="005544BF">
        <w:trPr>
          <w:trHeight w:hRule="exact" w:val="284"/>
        </w:trPr>
        <w:tc>
          <w:tcPr>
            <w:tcW w:w="3828" w:type="dxa"/>
            <w:shd w:val="clear" w:color="auto" w:fill="auto"/>
          </w:tcPr>
          <w:p w:rsidR="005544BF" w:rsidRPr="005544BF" w:rsidRDefault="005544BF" w:rsidP="005544BF">
            <w:pPr>
              <w:pStyle w:val="TableParagraph"/>
              <w:spacing w:before="40"/>
              <w:ind w:right="112"/>
              <w:rPr>
                <w:rFonts w:ascii="Gill Sans MT" w:hAnsi="Gill Sans MT"/>
                <w:sz w:val="18"/>
              </w:rPr>
            </w:pPr>
            <w:r>
              <w:rPr>
                <w:rFonts w:ascii="Gill Sans MT" w:hAnsi="Gill Sans MT"/>
                <w:sz w:val="18"/>
              </w:rPr>
              <w:t>Inventories</w:t>
            </w:r>
          </w:p>
        </w:tc>
        <w:tc>
          <w:tcPr>
            <w:tcW w:w="1559" w:type="dxa"/>
            <w:shd w:val="clear" w:color="auto" w:fill="auto"/>
          </w:tcPr>
          <w:p w:rsidR="005544BF" w:rsidRPr="005544BF" w:rsidRDefault="005544BF" w:rsidP="005544BF">
            <w:pPr>
              <w:pStyle w:val="TableParagraph"/>
              <w:spacing w:before="40"/>
              <w:ind w:right="112"/>
              <w:jc w:val="right"/>
              <w:rPr>
                <w:rFonts w:ascii="Gill Sans MT" w:hAnsi="Gill Sans MT"/>
                <w:sz w:val="18"/>
              </w:rPr>
            </w:pPr>
            <w:r>
              <w:rPr>
                <w:rFonts w:ascii="Gill Sans MT" w:hAnsi="Gill Sans MT"/>
                <w:sz w:val="18"/>
              </w:rPr>
              <w:t>(c)</w:t>
            </w:r>
          </w:p>
        </w:tc>
        <w:tc>
          <w:tcPr>
            <w:tcW w:w="1134" w:type="dxa"/>
            <w:shd w:val="clear" w:color="auto" w:fill="auto"/>
          </w:tcPr>
          <w:p w:rsidR="005544BF" w:rsidRPr="005544BF" w:rsidRDefault="005544BF" w:rsidP="005544BF">
            <w:pPr>
              <w:pStyle w:val="TableParagraph"/>
              <w:spacing w:before="40"/>
              <w:ind w:right="112"/>
              <w:jc w:val="right"/>
              <w:rPr>
                <w:rFonts w:ascii="Gill Sans MT" w:hAnsi="Gill Sans MT"/>
                <w:sz w:val="18"/>
              </w:rPr>
            </w:pPr>
            <w:r w:rsidRPr="005544BF">
              <w:rPr>
                <w:rFonts w:ascii="Gill Sans MT" w:hAnsi="Gill Sans MT"/>
                <w:sz w:val="18"/>
              </w:rPr>
              <w:t>7 997</w:t>
            </w:r>
          </w:p>
        </w:tc>
        <w:tc>
          <w:tcPr>
            <w:tcW w:w="992"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11 055</w:t>
            </w:r>
          </w:p>
        </w:tc>
        <w:tc>
          <w:tcPr>
            <w:tcW w:w="992" w:type="dxa"/>
            <w:shd w:val="clear" w:color="auto" w:fill="auto"/>
          </w:tcPr>
          <w:p w:rsidR="005544BF" w:rsidRPr="005544BF" w:rsidRDefault="005544BF" w:rsidP="004C6851">
            <w:pPr>
              <w:pStyle w:val="TableParagraph"/>
              <w:spacing w:before="40"/>
              <w:ind w:left="550"/>
              <w:jc w:val="right"/>
              <w:rPr>
                <w:rFonts w:ascii="Gill Sans MT" w:hAnsi="Gill Sans MT"/>
                <w:sz w:val="18"/>
              </w:rPr>
            </w:pPr>
            <w:r w:rsidRPr="005544BF">
              <w:rPr>
                <w:rFonts w:ascii="Gill Sans MT" w:hAnsi="Gill Sans MT"/>
                <w:sz w:val="18"/>
              </w:rPr>
              <w:t>3 058</w:t>
            </w:r>
          </w:p>
        </w:tc>
        <w:tc>
          <w:tcPr>
            <w:tcW w:w="993" w:type="dxa"/>
            <w:shd w:val="clear" w:color="auto" w:fill="auto"/>
          </w:tcPr>
          <w:p w:rsidR="005544BF" w:rsidRPr="005544BF" w:rsidRDefault="005544BF" w:rsidP="004C6851">
            <w:pPr>
              <w:pStyle w:val="TableParagraph"/>
              <w:spacing w:before="40"/>
              <w:ind w:left="306"/>
              <w:jc w:val="right"/>
              <w:rPr>
                <w:rFonts w:ascii="Gill Sans MT" w:hAnsi="Gill Sans MT"/>
                <w:sz w:val="18"/>
              </w:rPr>
            </w:pPr>
            <w:r w:rsidRPr="005544BF">
              <w:rPr>
                <w:rFonts w:ascii="Gill Sans MT" w:hAnsi="Gill Sans MT"/>
                <w:sz w:val="18"/>
              </w:rPr>
              <w:t>38.2%</w:t>
            </w:r>
          </w:p>
        </w:tc>
      </w:tr>
      <w:tr w:rsidR="005544BF" w:rsidRPr="005544BF" w:rsidTr="005544BF">
        <w:trPr>
          <w:trHeight w:hRule="exact" w:val="284"/>
        </w:trPr>
        <w:tc>
          <w:tcPr>
            <w:tcW w:w="3828" w:type="dxa"/>
            <w:shd w:val="clear" w:color="auto" w:fill="auto"/>
          </w:tcPr>
          <w:p w:rsidR="005544BF" w:rsidRPr="005544BF" w:rsidRDefault="005544BF" w:rsidP="005544BF">
            <w:pPr>
              <w:pStyle w:val="TableParagraph"/>
              <w:spacing w:before="40"/>
              <w:ind w:right="111"/>
              <w:rPr>
                <w:rFonts w:ascii="Gill Sans MT" w:hAnsi="Gill Sans MT"/>
                <w:sz w:val="18"/>
              </w:rPr>
            </w:pPr>
            <w:r>
              <w:rPr>
                <w:rFonts w:ascii="Gill Sans MT" w:hAnsi="Gill Sans MT"/>
                <w:sz w:val="18"/>
              </w:rPr>
              <w:t>Property, plant and equipment</w:t>
            </w:r>
          </w:p>
        </w:tc>
        <w:tc>
          <w:tcPr>
            <w:tcW w:w="1559"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Pr>
                <w:rFonts w:ascii="Gill Sans MT" w:hAnsi="Gill Sans MT"/>
                <w:sz w:val="18"/>
              </w:rPr>
              <w:t>(d)</w:t>
            </w:r>
          </w:p>
        </w:tc>
        <w:tc>
          <w:tcPr>
            <w:tcW w:w="1134"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1 406 188</w:t>
            </w:r>
          </w:p>
        </w:tc>
        <w:tc>
          <w:tcPr>
            <w:tcW w:w="992" w:type="dxa"/>
            <w:shd w:val="clear" w:color="auto" w:fill="auto"/>
          </w:tcPr>
          <w:p w:rsidR="005544BF" w:rsidRPr="005544BF" w:rsidRDefault="005544BF" w:rsidP="005544BF">
            <w:pPr>
              <w:pStyle w:val="TableParagraph"/>
              <w:spacing w:before="40"/>
              <w:ind w:right="105"/>
              <w:jc w:val="right"/>
              <w:rPr>
                <w:rFonts w:ascii="Gill Sans MT" w:hAnsi="Gill Sans MT"/>
                <w:sz w:val="18"/>
              </w:rPr>
            </w:pPr>
            <w:r w:rsidRPr="005544BF">
              <w:rPr>
                <w:rFonts w:ascii="Gill Sans MT" w:hAnsi="Gill Sans MT"/>
                <w:sz w:val="18"/>
              </w:rPr>
              <w:t>982 222</w:t>
            </w:r>
          </w:p>
        </w:tc>
        <w:tc>
          <w:tcPr>
            <w:tcW w:w="992" w:type="dxa"/>
            <w:shd w:val="clear" w:color="auto" w:fill="auto"/>
          </w:tcPr>
          <w:p w:rsidR="005544BF" w:rsidRPr="005544BF" w:rsidRDefault="005544BF" w:rsidP="004C6851">
            <w:pPr>
              <w:pStyle w:val="TableParagraph"/>
              <w:spacing w:before="40"/>
              <w:jc w:val="right"/>
              <w:rPr>
                <w:rFonts w:ascii="Gill Sans MT" w:hAnsi="Gill Sans MT"/>
                <w:sz w:val="18"/>
              </w:rPr>
            </w:pPr>
            <w:r w:rsidRPr="005544BF">
              <w:rPr>
                <w:rFonts w:ascii="Gill Sans MT" w:hAnsi="Gill Sans MT"/>
                <w:sz w:val="18"/>
              </w:rPr>
              <w:t>(423 966)</w:t>
            </w:r>
          </w:p>
        </w:tc>
        <w:tc>
          <w:tcPr>
            <w:tcW w:w="993" w:type="dxa"/>
            <w:shd w:val="clear" w:color="auto" w:fill="auto"/>
          </w:tcPr>
          <w:p w:rsidR="005544BF" w:rsidRPr="005544BF" w:rsidRDefault="005544BF" w:rsidP="004C6851">
            <w:pPr>
              <w:pStyle w:val="TableParagraph"/>
              <w:spacing w:before="40"/>
              <w:ind w:right="54"/>
              <w:jc w:val="right"/>
              <w:rPr>
                <w:rFonts w:ascii="Gill Sans MT" w:hAnsi="Gill Sans MT"/>
                <w:sz w:val="18"/>
              </w:rPr>
            </w:pPr>
            <w:r w:rsidRPr="005544BF">
              <w:rPr>
                <w:rFonts w:ascii="Gill Sans MT" w:hAnsi="Gill Sans MT"/>
                <w:sz w:val="18"/>
              </w:rPr>
              <w:t>(30.2%)</w:t>
            </w:r>
          </w:p>
        </w:tc>
      </w:tr>
      <w:tr w:rsidR="005544BF" w:rsidRPr="005544BF" w:rsidTr="005544BF">
        <w:trPr>
          <w:trHeight w:hRule="exact" w:val="284"/>
        </w:trPr>
        <w:tc>
          <w:tcPr>
            <w:tcW w:w="3828" w:type="dxa"/>
            <w:shd w:val="clear" w:color="auto" w:fill="auto"/>
          </w:tcPr>
          <w:p w:rsidR="005544BF" w:rsidRPr="005544BF" w:rsidRDefault="005544BF" w:rsidP="005544BF">
            <w:pPr>
              <w:pStyle w:val="TableParagraph"/>
              <w:spacing w:before="40"/>
              <w:ind w:right="111"/>
              <w:rPr>
                <w:rFonts w:ascii="Gill Sans MT" w:hAnsi="Gill Sans MT"/>
                <w:sz w:val="18"/>
              </w:rPr>
            </w:pPr>
            <w:r>
              <w:rPr>
                <w:rFonts w:ascii="Gill Sans MT" w:hAnsi="Gill Sans MT"/>
                <w:sz w:val="18"/>
              </w:rPr>
              <w:t>Intangibles</w:t>
            </w:r>
          </w:p>
        </w:tc>
        <w:tc>
          <w:tcPr>
            <w:tcW w:w="1559"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Pr>
                <w:rFonts w:ascii="Gill Sans MT" w:hAnsi="Gill Sans MT"/>
                <w:sz w:val="18"/>
              </w:rPr>
              <w:t>(e)</w:t>
            </w:r>
          </w:p>
        </w:tc>
        <w:tc>
          <w:tcPr>
            <w:tcW w:w="1134"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3 463</w:t>
            </w:r>
          </w:p>
        </w:tc>
        <w:tc>
          <w:tcPr>
            <w:tcW w:w="992"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700</w:t>
            </w:r>
          </w:p>
        </w:tc>
        <w:tc>
          <w:tcPr>
            <w:tcW w:w="992" w:type="dxa"/>
            <w:shd w:val="clear" w:color="auto" w:fill="auto"/>
          </w:tcPr>
          <w:p w:rsidR="005544BF" w:rsidRPr="005544BF" w:rsidRDefault="005544BF" w:rsidP="004C6851">
            <w:pPr>
              <w:pStyle w:val="TableParagraph"/>
              <w:spacing w:before="40"/>
              <w:ind w:left="440"/>
              <w:jc w:val="right"/>
              <w:rPr>
                <w:rFonts w:ascii="Gill Sans MT" w:hAnsi="Gill Sans MT"/>
                <w:sz w:val="18"/>
              </w:rPr>
            </w:pPr>
            <w:r w:rsidRPr="005544BF">
              <w:rPr>
                <w:rFonts w:ascii="Gill Sans MT" w:hAnsi="Gill Sans MT"/>
                <w:sz w:val="18"/>
              </w:rPr>
              <w:t>(2 763)</w:t>
            </w:r>
          </w:p>
        </w:tc>
        <w:tc>
          <w:tcPr>
            <w:tcW w:w="993" w:type="dxa"/>
            <w:shd w:val="clear" w:color="auto" w:fill="auto"/>
          </w:tcPr>
          <w:p w:rsidR="005544BF" w:rsidRPr="005544BF" w:rsidRDefault="005544BF" w:rsidP="004C6851">
            <w:pPr>
              <w:pStyle w:val="TableParagraph"/>
              <w:spacing w:before="40"/>
              <w:ind w:left="188"/>
              <w:jc w:val="right"/>
              <w:rPr>
                <w:rFonts w:ascii="Gill Sans MT" w:hAnsi="Gill Sans MT"/>
                <w:sz w:val="18"/>
              </w:rPr>
            </w:pPr>
            <w:r w:rsidRPr="005544BF">
              <w:rPr>
                <w:rFonts w:ascii="Gill Sans MT" w:hAnsi="Gill Sans MT"/>
                <w:sz w:val="18"/>
              </w:rPr>
              <w:t>(79.8%)</w:t>
            </w:r>
          </w:p>
        </w:tc>
      </w:tr>
      <w:tr w:rsidR="005544BF" w:rsidRPr="005544BF" w:rsidTr="005544BF">
        <w:trPr>
          <w:trHeight w:hRule="exact" w:val="284"/>
        </w:trPr>
        <w:tc>
          <w:tcPr>
            <w:tcW w:w="3828" w:type="dxa"/>
            <w:shd w:val="clear" w:color="auto" w:fill="auto"/>
          </w:tcPr>
          <w:p w:rsidR="005544BF" w:rsidRPr="005544BF" w:rsidRDefault="005544BF" w:rsidP="005544BF">
            <w:pPr>
              <w:pStyle w:val="TableParagraph"/>
              <w:spacing w:before="40"/>
              <w:ind w:right="111"/>
              <w:rPr>
                <w:rFonts w:ascii="Gill Sans MT" w:hAnsi="Gill Sans MT"/>
                <w:sz w:val="18"/>
              </w:rPr>
            </w:pPr>
            <w:r>
              <w:rPr>
                <w:rFonts w:ascii="Gill Sans MT" w:hAnsi="Gill Sans MT"/>
                <w:sz w:val="18"/>
              </w:rPr>
              <w:t>Payables</w:t>
            </w:r>
          </w:p>
        </w:tc>
        <w:tc>
          <w:tcPr>
            <w:tcW w:w="1559"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Pr>
                <w:rFonts w:ascii="Gill Sans MT" w:hAnsi="Gill Sans MT"/>
                <w:sz w:val="18"/>
              </w:rPr>
              <w:t>(f)</w:t>
            </w:r>
          </w:p>
        </w:tc>
        <w:tc>
          <w:tcPr>
            <w:tcW w:w="1134"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44 390</w:t>
            </w:r>
          </w:p>
        </w:tc>
        <w:tc>
          <w:tcPr>
            <w:tcW w:w="992" w:type="dxa"/>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64 306</w:t>
            </w:r>
          </w:p>
        </w:tc>
        <w:tc>
          <w:tcPr>
            <w:tcW w:w="992" w:type="dxa"/>
            <w:shd w:val="clear" w:color="auto" w:fill="auto"/>
          </w:tcPr>
          <w:p w:rsidR="005544BF" w:rsidRPr="005544BF" w:rsidRDefault="005544BF" w:rsidP="004C6851">
            <w:pPr>
              <w:pStyle w:val="TableParagraph"/>
              <w:spacing w:before="40"/>
              <w:jc w:val="right"/>
              <w:rPr>
                <w:rFonts w:ascii="Gill Sans MT" w:hAnsi="Gill Sans MT"/>
                <w:sz w:val="18"/>
              </w:rPr>
            </w:pPr>
            <w:r w:rsidRPr="005544BF">
              <w:rPr>
                <w:rFonts w:ascii="Gill Sans MT" w:hAnsi="Gill Sans MT"/>
                <w:sz w:val="18"/>
              </w:rPr>
              <w:t>19 916</w:t>
            </w:r>
          </w:p>
        </w:tc>
        <w:tc>
          <w:tcPr>
            <w:tcW w:w="993" w:type="dxa"/>
            <w:shd w:val="clear" w:color="auto" w:fill="auto"/>
          </w:tcPr>
          <w:p w:rsidR="005544BF" w:rsidRPr="005544BF" w:rsidRDefault="005544BF" w:rsidP="004C6851">
            <w:pPr>
              <w:pStyle w:val="TableParagraph"/>
              <w:spacing w:before="40"/>
              <w:ind w:right="54"/>
              <w:jc w:val="right"/>
              <w:rPr>
                <w:rFonts w:ascii="Gill Sans MT" w:hAnsi="Gill Sans MT"/>
                <w:sz w:val="18"/>
              </w:rPr>
            </w:pPr>
            <w:r w:rsidRPr="005544BF">
              <w:rPr>
                <w:rFonts w:ascii="Gill Sans MT" w:hAnsi="Gill Sans MT"/>
                <w:sz w:val="18"/>
              </w:rPr>
              <w:t>44.9%</w:t>
            </w:r>
          </w:p>
        </w:tc>
      </w:tr>
      <w:tr w:rsidR="005544BF" w:rsidRPr="005544BF" w:rsidTr="004C6851">
        <w:trPr>
          <w:trHeight w:hRule="exact" w:val="284"/>
        </w:trPr>
        <w:tc>
          <w:tcPr>
            <w:tcW w:w="3828" w:type="dxa"/>
            <w:tcBorders>
              <w:bottom w:val="nil"/>
            </w:tcBorders>
            <w:shd w:val="clear" w:color="auto" w:fill="auto"/>
          </w:tcPr>
          <w:p w:rsidR="005544BF" w:rsidRPr="005544BF" w:rsidRDefault="005544BF" w:rsidP="005544BF">
            <w:pPr>
              <w:pStyle w:val="TableParagraph"/>
              <w:spacing w:before="40"/>
              <w:ind w:right="114"/>
              <w:rPr>
                <w:rFonts w:ascii="Gill Sans MT" w:hAnsi="Gill Sans MT"/>
                <w:sz w:val="18"/>
              </w:rPr>
            </w:pPr>
            <w:r>
              <w:rPr>
                <w:rFonts w:ascii="Gill Sans MT" w:hAnsi="Gill Sans MT"/>
                <w:sz w:val="18"/>
              </w:rPr>
              <w:t>Interest bearing liabilities</w:t>
            </w:r>
          </w:p>
        </w:tc>
        <w:tc>
          <w:tcPr>
            <w:tcW w:w="1559" w:type="dxa"/>
            <w:tcBorders>
              <w:bottom w:val="nil"/>
            </w:tcBorders>
            <w:shd w:val="clear" w:color="auto" w:fill="auto"/>
          </w:tcPr>
          <w:p w:rsidR="005544BF" w:rsidRPr="005544BF" w:rsidRDefault="005544BF" w:rsidP="005544BF">
            <w:pPr>
              <w:pStyle w:val="TableParagraph"/>
              <w:spacing w:before="40"/>
              <w:ind w:right="114"/>
              <w:jc w:val="right"/>
              <w:rPr>
                <w:rFonts w:ascii="Gill Sans MT" w:hAnsi="Gill Sans MT"/>
                <w:sz w:val="18"/>
              </w:rPr>
            </w:pPr>
            <w:r>
              <w:rPr>
                <w:rFonts w:ascii="Gill Sans MT" w:hAnsi="Gill Sans MT"/>
                <w:sz w:val="18"/>
              </w:rPr>
              <w:t>(g)</w:t>
            </w:r>
          </w:p>
        </w:tc>
        <w:tc>
          <w:tcPr>
            <w:tcW w:w="1134" w:type="dxa"/>
            <w:tcBorders>
              <w:bottom w:val="nil"/>
            </w:tcBorders>
            <w:shd w:val="clear" w:color="auto" w:fill="auto"/>
          </w:tcPr>
          <w:p w:rsidR="005544BF" w:rsidRPr="005544BF" w:rsidRDefault="005544BF" w:rsidP="005544BF">
            <w:pPr>
              <w:pStyle w:val="TableParagraph"/>
              <w:spacing w:before="40"/>
              <w:ind w:right="114"/>
              <w:jc w:val="right"/>
              <w:rPr>
                <w:rFonts w:ascii="Gill Sans MT" w:hAnsi="Gill Sans MT"/>
                <w:sz w:val="18"/>
              </w:rPr>
            </w:pPr>
            <w:r w:rsidRPr="005544BF">
              <w:rPr>
                <w:rFonts w:ascii="Gill Sans MT" w:hAnsi="Gill Sans MT"/>
                <w:sz w:val="18"/>
              </w:rPr>
              <w:t>3 333</w:t>
            </w:r>
          </w:p>
        </w:tc>
        <w:tc>
          <w:tcPr>
            <w:tcW w:w="992" w:type="dxa"/>
            <w:tcBorders>
              <w:bottom w:val="nil"/>
            </w:tcBorders>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0</w:t>
            </w:r>
          </w:p>
        </w:tc>
        <w:tc>
          <w:tcPr>
            <w:tcW w:w="992" w:type="dxa"/>
            <w:tcBorders>
              <w:bottom w:val="nil"/>
            </w:tcBorders>
            <w:shd w:val="clear" w:color="auto" w:fill="auto"/>
          </w:tcPr>
          <w:p w:rsidR="005544BF" w:rsidRPr="005544BF" w:rsidRDefault="005544BF" w:rsidP="004C6851">
            <w:pPr>
              <w:pStyle w:val="TableParagraph"/>
              <w:spacing w:before="40"/>
              <w:jc w:val="right"/>
              <w:rPr>
                <w:rFonts w:ascii="Gill Sans MT" w:hAnsi="Gill Sans MT"/>
                <w:sz w:val="18"/>
              </w:rPr>
            </w:pPr>
            <w:r w:rsidRPr="005544BF">
              <w:rPr>
                <w:rFonts w:ascii="Gill Sans MT" w:hAnsi="Gill Sans MT"/>
                <w:sz w:val="18"/>
              </w:rPr>
              <w:t>(3 333)</w:t>
            </w:r>
          </w:p>
        </w:tc>
        <w:tc>
          <w:tcPr>
            <w:tcW w:w="993" w:type="dxa"/>
            <w:tcBorders>
              <w:bottom w:val="nil"/>
            </w:tcBorders>
            <w:shd w:val="clear" w:color="auto" w:fill="auto"/>
          </w:tcPr>
          <w:p w:rsidR="005544BF" w:rsidRPr="005544BF" w:rsidRDefault="005544BF" w:rsidP="004C6851">
            <w:pPr>
              <w:pStyle w:val="TableParagraph"/>
              <w:spacing w:before="40"/>
              <w:ind w:right="54"/>
              <w:jc w:val="right"/>
              <w:rPr>
                <w:rFonts w:ascii="Gill Sans MT" w:hAnsi="Gill Sans MT"/>
                <w:sz w:val="18"/>
              </w:rPr>
            </w:pPr>
            <w:r w:rsidRPr="005544BF">
              <w:rPr>
                <w:rFonts w:ascii="Gill Sans MT" w:hAnsi="Gill Sans MT"/>
                <w:sz w:val="18"/>
              </w:rPr>
              <w:t>(100.0%)</w:t>
            </w:r>
          </w:p>
        </w:tc>
      </w:tr>
      <w:tr w:rsidR="005544BF" w:rsidRPr="005544BF" w:rsidTr="004C6851">
        <w:trPr>
          <w:trHeight w:hRule="exact" w:val="281"/>
        </w:trPr>
        <w:tc>
          <w:tcPr>
            <w:tcW w:w="3828" w:type="dxa"/>
            <w:tcBorders>
              <w:top w:val="nil"/>
              <w:left w:val="nil"/>
              <w:bottom w:val="single" w:sz="4" w:space="0" w:color="004D8F"/>
              <w:right w:val="nil"/>
            </w:tcBorders>
            <w:shd w:val="clear" w:color="auto" w:fill="auto"/>
          </w:tcPr>
          <w:p w:rsidR="005544BF" w:rsidRPr="005544BF" w:rsidRDefault="005544BF" w:rsidP="005544BF">
            <w:pPr>
              <w:pStyle w:val="TableParagraph"/>
              <w:spacing w:before="40"/>
              <w:ind w:right="111"/>
              <w:rPr>
                <w:rFonts w:ascii="Gill Sans MT" w:hAnsi="Gill Sans MT"/>
                <w:sz w:val="18"/>
              </w:rPr>
            </w:pPr>
            <w:r>
              <w:rPr>
                <w:rFonts w:ascii="Gill Sans MT" w:hAnsi="Gill Sans MT"/>
                <w:sz w:val="18"/>
              </w:rPr>
              <w:t>Employee benefits</w:t>
            </w:r>
          </w:p>
        </w:tc>
        <w:tc>
          <w:tcPr>
            <w:tcW w:w="1559" w:type="dxa"/>
            <w:tcBorders>
              <w:top w:val="nil"/>
              <w:left w:val="nil"/>
              <w:bottom w:val="single" w:sz="4" w:space="0" w:color="004D8F"/>
              <w:right w:val="nil"/>
            </w:tcBorders>
            <w:shd w:val="clear" w:color="auto" w:fill="auto"/>
          </w:tcPr>
          <w:p w:rsidR="005544BF" w:rsidRPr="005544BF" w:rsidRDefault="005544BF" w:rsidP="005544BF">
            <w:pPr>
              <w:pStyle w:val="TableParagraph"/>
              <w:spacing w:before="40"/>
              <w:ind w:right="111"/>
              <w:jc w:val="right"/>
              <w:rPr>
                <w:rFonts w:ascii="Gill Sans MT" w:hAnsi="Gill Sans MT"/>
                <w:sz w:val="18"/>
              </w:rPr>
            </w:pPr>
            <w:r>
              <w:rPr>
                <w:rFonts w:ascii="Gill Sans MT" w:hAnsi="Gill Sans MT"/>
                <w:sz w:val="18"/>
              </w:rPr>
              <w:t>(h)</w:t>
            </w:r>
          </w:p>
        </w:tc>
        <w:tc>
          <w:tcPr>
            <w:tcW w:w="1134" w:type="dxa"/>
            <w:tcBorders>
              <w:top w:val="nil"/>
              <w:left w:val="nil"/>
              <w:bottom w:val="single" w:sz="4" w:space="0" w:color="004D8F"/>
              <w:right w:val="nil"/>
            </w:tcBorders>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196 754</w:t>
            </w:r>
          </w:p>
        </w:tc>
        <w:tc>
          <w:tcPr>
            <w:tcW w:w="992" w:type="dxa"/>
            <w:tcBorders>
              <w:top w:val="nil"/>
              <w:left w:val="nil"/>
              <w:bottom w:val="single" w:sz="4" w:space="0" w:color="004D8F"/>
              <w:right w:val="nil"/>
            </w:tcBorders>
            <w:shd w:val="clear" w:color="auto" w:fill="auto"/>
          </w:tcPr>
          <w:p w:rsidR="005544BF" w:rsidRPr="005544BF" w:rsidRDefault="005544BF" w:rsidP="005544BF">
            <w:pPr>
              <w:pStyle w:val="TableParagraph"/>
              <w:spacing w:before="40"/>
              <w:ind w:right="111"/>
              <w:jc w:val="right"/>
              <w:rPr>
                <w:rFonts w:ascii="Gill Sans MT" w:hAnsi="Gill Sans MT"/>
                <w:sz w:val="18"/>
              </w:rPr>
            </w:pPr>
            <w:r w:rsidRPr="005544BF">
              <w:rPr>
                <w:rFonts w:ascii="Gill Sans MT" w:hAnsi="Gill Sans MT"/>
                <w:sz w:val="18"/>
              </w:rPr>
              <w:t>224 895</w:t>
            </w:r>
          </w:p>
        </w:tc>
        <w:tc>
          <w:tcPr>
            <w:tcW w:w="992" w:type="dxa"/>
            <w:tcBorders>
              <w:top w:val="nil"/>
              <w:left w:val="nil"/>
              <w:bottom w:val="single" w:sz="4" w:space="0" w:color="004D8F"/>
              <w:right w:val="nil"/>
            </w:tcBorders>
            <w:shd w:val="clear" w:color="auto" w:fill="auto"/>
          </w:tcPr>
          <w:p w:rsidR="005544BF" w:rsidRPr="005544BF" w:rsidRDefault="005544BF" w:rsidP="004C6851">
            <w:pPr>
              <w:pStyle w:val="TableParagraph"/>
              <w:spacing w:before="40"/>
              <w:ind w:left="481"/>
              <w:jc w:val="right"/>
              <w:rPr>
                <w:rFonts w:ascii="Gill Sans MT" w:hAnsi="Gill Sans MT"/>
                <w:sz w:val="18"/>
              </w:rPr>
            </w:pPr>
            <w:r w:rsidRPr="005544BF">
              <w:rPr>
                <w:rFonts w:ascii="Gill Sans MT" w:hAnsi="Gill Sans MT"/>
                <w:sz w:val="18"/>
              </w:rPr>
              <w:t>28 141</w:t>
            </w:r>
          </w:p>
        </w:tc>
        <w:tc>
          <w:tcPr>
            <w:tcW w:w="993" w:type="dxa"/>
            <w:tcBorders>
              <w:top w:val="nil"/>
              <w:left w:val="nil"/>
              <w:bottom w:val="single" w:sz="4" w:space="0" w:color="004D8F"/>
              <w:right w:val="nil"/>
            </w:tcBorders>
            <w:shd w:val="clear" w:color="auto" w:fill="auto"/>
          </w:tcPr>
          <w:p w:rsidR="005544BF" w:rsidRPr="005544BF" w:rsidRDefault="005544BF" w:rsidP="004C6851">
            <w:pPr>
              <w:pStyle w:val="TableParagraph"/>
              <w:spacing w:before="40"/>
              <w:ind w:left="324"/>
              <w:jc w:val="right"/>
              <w:rPr>
                <w:rFonts w:ascii="Gill Sans MT" w:hAnsi="Gill Sans MT"/>
                <w:sz w:val="18"/>
              </w:rPr>
            </w:pPr>
            <w:r w:rsidRPr="005544BF">
              <w:rPr>
                <w:rFonts w:ascii="Gill Sans MT" w:hAnsi="Gill Sans MT"/>
                <w:sz w:val="18"/>
              </w:rPr>
              <w:t>14.3%</w:t>
            </w:r>
          </w:p>
        </w:tc>
      </w:tr>
    </w:tbl>
    <w:p w:rsidR="005544BF" w:rsidRPr="005544BF" w:rsidRDefault="005544BF" w:rsidP="005544BF"/>
    <w:p w:rsidR="004C6851" w:rsidRDefault="004C6851" w:rsidP="005544BF">
      <w:pPr>
        <w:pStyle w:val="BodyText"/>
      </w:pPr>
    </w:p>
    <w:p w:rsidR="004C6851" w:rsidRPr="004C6851" w:rsidRDefault="004C6851" w:rsidP="004C6851">
      <w:pPr>
        <w:rPr>
          <w:lang w:val="en-US"/>
        </w:rPr>
      </w:pPr>
    </w:p>
    <w:p w:rsidR="004C6851" w:rsidRPr="004C6851" w:rsidRDefault="004C6851" w:rsidP="004C6851">
      <w:pPr>
        <w:rPr>
          <w:lang w:val="en-US"/>
        </w:rPr>
      </w:pPr>
    </w:p>
    <w:p w:rsidR="004C6851" w:rsidRPr="004C6851" w:rsidRDefault="004C6851" w:rsidP="004C6851">
      <w:pPr>
        <w:rPr>
          <w:lang w:val="en-US"/>
        </w:rPr>
      </w:pPr>
    </w:p>
    <w:p w:rsidR="004C6851" w:rsidRPr="004C6851" w:rsidRDefault="004C6851" w:rsidP="004C6851">
      <w:pPr>
        <w:rPr>
          <w:lang w:val="en-US"/>
        </w:rPr>
      </w:pPr>
    </w:p>
    <w:p w:rsidR="004C6851" w:rsidRDefault="004C6851" w:rsidP="004C6851">
      <w:pPr>
        <w:rPr>
          <w:lang w:val="en-US"/>
        </w:rPr>
      </w:pPr>
    </w:p>
    <w:p w:rsidR="005544BF" w:rsidRDefault="005544BF" w:rsidP="004C6851">
      <w:pPr>
        <w:rPr>
          <w:lang w:val="en-US"/>
        </w:rPr>
      </w:pPr>
    </w:p>
    <w:p w:rsidR="004C6851" w:rsidRDefault="004C6851" w:rsidP="004C6851">
      <w:pPr>
        <w:autoSpaceDE w:val="0"/>
        <w:autoSpaceDN w:val="0"/>
        <w:adjustRightInd w:val="0"/>
        <w:spacing w:after="0" w:line="240" w:lineRule="auto"/>
        <w:rPr>
          <w:rFonts w:ascii="GillSans-SemiBold" w:hAnsi="GillSans-SemiBold" w:cs="GillSans-SemiBold"/>
          <w:b/>
          <w:bCs/>
        </w:rPr>
      </w:pPr>
      <w:r>
        <w:rPr>
          <w:rFonts w:ascii="GillSans-SemiBold" w:hAnsi="GillSans-SemiBold" w:cs="GillSans-SemiBold"/>
          <w:b/>
          <w:bCs/>
        </w:rPr>
        <w:t>Notes to Statement of Financial Position Budget Variances</w:t>
      </w:r>
    </w:p>
    <w:p w:rsidR="004C6851" w:rsidRDefault="004C6851" w:rsidP="0018465A">
      <w:pPr>
        <w:pStyle w:val="BodyText"/>
        <w:numPr>
          <w:ilvl w:val="0"/>
          <w:numId w:val="44"/>
        </w:numPr>
        <w:ind w:left="567" w:hanging="567"/>
      </w:pPr>
      <w:r>
        <w:t>The increase in Cash and deposits reflects a higher than estimated cash balance upon establishment of</w:t>
      </w:r>
      <w:r>
        <w:br/>
        <w:t>the THS and as at 30 June 2016.</w:t>
      </w:r>
    </w:p>
    <w:p w:rsidR="004C6851" w:rsidRDefault="004C6851" w:rsidP="0018465A">
      <w:pPr>
        <w:pStyle w:val="BodyText"/>
        <w:numPr>
          <w:ilvl w:val="0"/>
          <w:numId w:val="44"/>
        </w:numPr>
        <w:ind w:left="567" w:hanging="567"/>
      </w:pPr>
      <w:r>
        <w:t xml:space="preserve">The decrease in </w:t>
      </w:r>
      <w:proofErr w:type="gramStart"/>
      <w:r>
        <w:t>Other</w:t>
      </w:r>
      <w:proofErr w:type="gramEnd"/>
      <w:r>
        <w:t xml:space="preserve"> financial assets relates to lower than expected outstanding patient account</w:t>
      </w:r>
      <w:r>
        <w:br/>
        <w:t>receivables as at 30 June 2016.</w:t>
      </w:r>
    </w:p>
    <w:p w:rsidR="004C6851" w:rsidRDefault="004C6851" w:rsidP="0018465A">
      <w:pPr>
        <w:pStyle w:val="BodyText"/>
        <w:numPr>
          <w:ilvl w:val="0"/>
          <w:numId w:val="44"/>
        </w:numPr>
        <w:ind w:left="567" w:hanging="567"/>
      </w:pPr>
      <w:r>
        <w:t>The increase in Inventories is directly attributable to the high cost of hepatitis C medication, which was</w:t>
      </w:r>
      <w:r>
        <w:br/>
        <w:t>included in the Pharmaceutical Benefits Scheme for the first time in 2016.</w:t>
      </w:r>
    </w:p>
    <w:p w:rsidR="004C6851" w:rsidRDefault="004C6851" w:rsidP="0018465A">
      <w:pPr>
        <w:pStyle w:val="BodyText"/>
        <w:numPr>
          <w:ilvl w:val="0"/>
          <w:numId w:val="44"/>
        </w:numPr>
        <w:ind w:left="567" w:hanging="567"/>
      </w:pPr>
      <w:r>
        <w:t>The reduction in Property, plant and equipment primarily reflects differences in methodology</w:t>
      </w:r>
      <w:r>
        <w:br/>
        <w:t>and assumptions to estimate the value of completed assets within the capital program from the Department of Health and Human Services (the Department) to the THS. During 2015-16, the Department updated its Budget methodology to more accurately align with actuals. The fully redeveloped RHH is now scheduled to be received in 2018-19.</w:t>
      </w:r>
    </w:p>
    <w:p w:rsidR="004C6851" w:rsidRDefault="004C6851" w:rsidP="0018465A">
      <w:pPr>
        <w:pStyle w:val="BodyText"/>
        <w:numPr>
          <w:ilvl w:val="0"/>
          <w:numId w:val="44"/>
        </w:numPr>
        <w:ind w:left="567" w:hanging="567"/>
      </w:pPr>
      <w:r>
        <w:t>The original budget estimate included an allowance for the capitalisation of two intangible assets valued at $2.9 million. These assets were later identified as not fit for purpose and consequently were not added to property, plant and equipment.</w:t>
      </w:r>
    </w:p>
    <w:p w:rsidR="004C6851" w:rsidRDefault="004C6851" w:rsidP="0018465A">
      <w:pPr>
        <w:pStyle w:val="BodyText"/>
        <w:numPr>
          <w:ilvl w:val="0"/>
          <w:numId w:val="44"/>
        </w:numPr>
        <w:ind w:left="567" w:hanging="567"/>
      </w:pPr>
      <w:r>
        <w:t>The increase in Payables reflects an accrual in relation to the 2015-16 cross border payments which were originally budgeted to be expended in 2015-16 ($22.3 million).</w:t>
      </w:r>
    </w:p>
    <w:p w:rsidR="004C6851" w:rsidRDefault="004C6851" w:rsidP="0018465A">
      <w:pPr>
        <w:pStyle w:val="BodyText"/>
        <w:numPr>
          <w:ilvl w:val="0"/>
          <w:numId w:val="44"/>
        </w:numPr>
        <w:ind w:left="567" w:hanging="567"/>
      </w:pPr>
      <w:r>
        <w:t>The decrease in Interest bearing liabilities reflects the full repayment of a loan provided to the THOSouth to fund staff separation payments in 2014-15.</w:t>
      </w:r>
    </w:p>
    <w:p w:rsidR="004C6851" w:rsidRDefault="004C6851" w:rsidP="0018465A">
      <w:pPr>
        <w:pStyle w:val="BodyText"/>
        <w:numPr>
          <w:ilvl w:val="0"/>
          <w:numId w:val="44"/>
        </w:numPr>
        <w:ind w:left="567" w:hanging="567"/>
      </w:pPr>
      <w:r>
        <w:t>The increase in Employee benefits reflects the transfer of Cancer Screening staff from the Department to the THS on 1 July 2015; the recognition of staff sabbatical leave for Dentists; and increases in annual and long service leave entitlements reflecting a general increase in staff numbers.</w:t>
      </w:r>
    </w:p>
    <w:p w:rsidR="004C6851" w:rsidRDefault="004C6851">
      <w:pPr>
        <w:rPr>
          <w:rFonts w:ascii="Gill Sans MT" w:eastAsia="GillSans-Light" w:hAnsi="Gill Sans MT" w:cs="GillSans-Light"/>
          <w:lang w:val="en-US"/>
        </w:rPr>
      </w:pPr>
      <w:r>
        <w:br w:type="page"/>
      </w:r>
    </w:p>
    <w:p w:rsidR="004C6851" w:rsidRDefault="004C6851" w:rsidP="004C6851">
      <w:pPr>
        <w:pStyle w:val="Heading5"/>
      </w:pPr>
      <w:r>
        <w:lastRenderedPageBreak/>
        <w:t>3.3 Statement of Cash Flows</w:t>
      </w:r>
    </w:p>
    <w:tbl>
      <w:tblPr>
        <w:tblW w:w="0" w:type="auto"/>
        <w:tblLayout w:type="fixed"/>
        <w:tblCellMar>
          <w:left w:w="0" w:type="dxa"/>
          <w:right w:w="0" w:type="dxa"/>
        </w:tblCellMar>
        <w:tblLook w:val="01E0" w:firstRow="1" w:lastRow="1" w:firstColumn="1" w:lastColumn="1" w:noHBand="0" w:noVBand="0"/>
        <w:tblCaption w:val="Statement of Cash Flows"/>
      </w:tblPr>
      <w:tblGrid>
        <w:gridCol w:w="3828"/>
        <w:gridCol w:w="1048"/>
        <w:gridCol w:w="1201"/>
        <w:gridCol w:w="1191"/>
        <w:gridCol w:w="1022"/>
        <w:gridCol w:w="104"/>
        <w:gridCol w:w="919"/>
      </w:tblGrid>
      <w:tr w:rsidR="004C6851" w:rsidRPr="004C6851" w:rsidTr="000B23D3">
        <w:trPr>
          <w:trHeight w:hRule="exact" w:val="691"/>
          <w:tblHeader/>
        </w:trPr>
        <w:tc>
          <w:tcPr>
            <w:tcW w:w="3828" w:type="dxa"/>
            <w:tcBorders>
              <w:top w:val="single" w:sz="4" w:space="0" w:color="004D8F"/>
              <w:bottom w:val="single" w:sz="4" w:space="0" w:color="004D8F"/>
            </w:tcBorders>
            <w:shd w:val="clear" w:color="auto" w:fill="auto"/>
            <w:vAlign w:val="bottom"/>
          </w:tcPr>
          <w:p w:rsidR="004C6851" w:rsidRPr="004C6851" w:rsidRDefault="004C6851" w:rsidP="004C6851">
            <w:pPr>
              <w:pStyle w:val="TableParagraph"/>
              <w:jc w:val="right"/>
              <w:rPr>
                <w:rFonts w:ascii="Gill Sans MT" w:hAnsi="Gill Sans MT"/>
                <w:b/>
                <w:sz w:val="20"/>
              </w:rPr>
            </w:pPr>
          </w:p>
          <w:p w:rsidR="004C6851" w:rsidRPr="004C6851" w:rsidRDefault="004C6851" w:rsidP="004C6851">
            <w:pPr>
              <w:pStyle w:val="TableParagraph"/>
              <w:spacing w:before="1"/>
              <w:rPr>
                <w:rFonts w:ascii="Gill Sans MT" w:hAnsi="Gill Sans MT"/>
                <w:b/>
                <w:sz w:val="18"/>
              </w:rPr>
            </w:pPr>
            <w:r w:rsidRPr="004C6851">
              <w:rPr>
                <w:rFonts w:ascii="Gill Sans MT" w:hAnsi="Gill Sans MT"/>
                <w:b/>
                <w:sz w:val="18"/>
              </w:rPr>
              <w:t>Description</w:t>
            </w:r>
          </w:p>
        </w:tc>
        <w:tc>
          <w:tcPr>
            <w:tcW w:w="1048" w:type="dxa"/>
            <w:tcBorders>
              <w:top w:val="single" w:sz="4" w:space="0" w:color="004D8F"/>
              <w:bottom w:val="single" w:sz="4" w:space="0" w:color="004D8F"/>
            </w:tcBorders>
            <w:shd w:val="clear" w:color="auto" w:fill="auto"/>
            <w:vAlign w:val="bottom"/>
          </w:tcPr>
          <w:p w:rsidR="004C6851" w:rsidRPr="004C6851" w:rsidRDefault="004C6851" w:rsidP="004C6851">
            <w:pPr>
              <w:pStyle w:val="TableParagraph"/>
              <w:ind w:right="86"/>
              <w:jc w:val="right"/>
              <w:rPr>
                <w:rFonts w:ascii="Gill Sans MT" w:hAnsi="Gill Sans MT"/>
                <w:b/>
                <w:sz w:val="18"/>
              </w:rPr>
            </w:pPr>
            <w:r w:rsidRPr="004C6851">
              <w:rPr>
                <w:rFonts w:ascii="Gill Sans MT" w:hAnsi="Gill Sans MT"/>
                <w:b/>
                <w:sz w:val="18"/>
              </w:rPr>
              <w:t>Note</w:t>
            </w:r>
          </w:p>
        </w:tc>
        <w:tc>
          <w:tcPr>
            <w:tcW w:w="1201" w:type="dxa"/>
            <w:tcBorders>
              <w:top w:val="single" w:sz="4" w:space="0" w:color="004D8F"/>
              <w:bottom w:val="single" w:sz="4" w:space="0" w:color="004D8F"/>
            </w:tcBorders>
            <w:shd w:val="clear" w:color="auto" w:fill="auto"/>
            <w:vAlign w:val="bottom"/>
          </w:tcPr>
          <w:p w:rsidR="004C6851" w:rsidRPr="004C6851" w:rsidRDefault="004C6851" w:rsidP="004C6851">
            <w:pPr>
              <w:pStyle w:val="TableParagraph"/>
              <w:spacing w:before="41" w:line="207" w:lineRule="exact"/>
              <w:ind w:left="320"/>
              <w:jc w:val="right"/>
              <w:rPr>
                <w:rFonts w:ascii="Gill Sans MT" w:hAnsi="Gill Sans MT"/>
                <w:b/>
                <w:sz w:val="18"/>
              </w:rPr>
            </w:pPr>
            <w:r w:rsidRPr="004C6851">
              <w:rPr>
                <w:rFonts w:ascii="Gill Sans MT" w:hAnsi="Gill Sans MT"/>
                <w:b/>
                <w:sz w:val="18"/>
              </w:rPr>
              <w:t>2016</w:t>
            </w:r>
          </w:p>
          <w:p w:rsidR="004C6851" w:rsidRPr="004C6851" w:rsidRDefault="004C6851" w:rsidP="004C6851">
            <w:pPr>
              <w:pStyle w:val="TableParagraph"/>
              <w:spacing w:line="200" w:lineRule="exact"/>
              <w:ind w:left="330"/>
              <w:jc w:val="right"/>
              <w:rPr>
                <w:rFonts w:ascii="Gill Sans MT" w:hAnsi="Gill Sans MT"/>
                <w:b/>
                <w:sz w:val="18"/>
              </w:rPr>
            </w:pPr>
            <w:r w:rsidRPr="004C6851">
              <w:rPr>
                <w:rFonts w:ascii="Gill Sans MT" w:hAnsi="Gill Sans MT"/>
                <w:b/>
                <w:sz w:val="18"/>
              </w:rPr>
              <w:t>Budget</w:t>
            </w:r>
          </w:p>
          <w:p w:rsidR="004C6851" w:rsidRPr="004C6851" w:rsidRDefault="004C6851" w:rsidP="004C6851">
            <w:pPr>
              <w:pStyle w:val="TableParagraph"/>
              <w:spacing w:line="207" w:lineRule="exact"/>
              <w:ind w:left="330"/>
              <w:jc w:val="right"/>
              <w:rPr>
                <w:rFonts w:ascii="Gill Sans MT" w:hAnsi="Gill Sans MT"/>
                <w:b/>
                <w:sz w:val="18"/>
              </w:rPr>
            </w:pPr>
            <w:r w:rsidRPr="004C6851">
              <w:rPr>
                <w:rFonts w:ascii="Gill Sans MT" w:hAnsi="Gill Sans MT"/>
                <w:b/>
                <w:sz w:val="18"/>
              </w:rPr>
              <w:t>$’000</w:t>
            </w:r>
          </w:p>
        </w:tc>
        <w:tc>
          <w:tcPr>
            <w:tcW w:w="1191" w:type="dxa"/>
            <w:tcBorders>
              <w:top w:val="single" w:sz="4" w:space="0" w:color="004D8F"/>
              <w:bottom w:val="single" w:sz="4" w:space="0" w:color="004D8F"/>
            </w:tcBorders>
            <w:shd w:val="clear" w:color="auto" w:fill="auto"/>
            <w:vAlign w:val="bottom"/>
          </w:tcPr>
          <w:p w:rsidR="004C6851" w:rsidRPr="004C6851" w:rsidRDefault="004C6851" w:rsidP="004C6851">
            <w:pPr>
              <w:pStyle w:val="TableParagraph"/>
              <w:spacing w:before="41" w:line="207" w:lineRule="exact"/>
              <w:ind w:left="443"/>
              <w:jc w:val="right"/>
              <w:rPr>
                <w:rFonts w:ascii="Gill Sans MT" w:hAnsi="Gill Sans MT"/>
                <w:b/>
                <w:sz w:val="18"/>
              </w:rPr>
            </w:pPr>
            <w:r w:rsidRPr="004C6851">
              <w:rPr>
                <w:rFonts w:ascii="Gill Sans MT" w:hAnsi="Gill Sans MT"/>
                <w:b/>
                <w:sz w:val="18"/>
              </w:rPr>
              <w:t>2016</w:t>
            </w:r>
          </w:p>
          <w:p w:rsidR="004C6851" w:rsidRPr="004C6851" w:rsidRDefault="004C6851" w:rsidP="004C6851">
            <w:pPr>
              <w:pStyle w:val="TableParagraph"/>
              <w:spacing w:line="200" w:lineRule="exact"/>
              <w:ind w:left="371"/>
              <w:jc w:val="right"/>
              <w:rPr>
                <w:rFonts w:ascii="Gill Sans MT" w:hAnsi="Gill Sans MT"/>
                <w:b/>
                <w:sz w:val="18"/>
              </w:rPr>
            </w:pPr>
            <w:r w:rsidRPr="004C6851">
              <w:rPr>
                <w:rFonts w:ascii="Gill Sans MT" w:hAnsi="Gill Sans MT"/>
                <w:b/>
                <w:sz w:val="18"/>
              </w:rPr>
              <w:t>Actual</w:t>
            </w:r>
          </w:p>
          <w:p w:rsidR="004C6851" w:rsidRPr="004C6851" w:rsidRDefault="004C6851" w:rsidP="004C6851">
            <w:pPr>
              <w:pStyle w:val="TableParagraph"/>
              <w:spacing w:line="207" w:lineRule="exact"/>
              <w:ind w:left="405"/>
              <w:jc w:val="right"/>
              <w:rPr>
                <w:rFonts w:ascii="Gill Sans MT" w:hAnsi="Gill Sans MT"/>
                <w:b/>
                <w:sz w:val="18"/>
              </w:rPr>
            </w:pPr>
            <w:r w:rsidRPr="004C6851">
              <w:rPr>
                <w:rFonts w:ascii="Gill Sans MT" w:hAnsi="Gill Sans MT"/>
                <w:b/>
                <w:sz w:val="18"/>
              </w:rPr>
              <w:t>$’000</w:t>
            </w:r>
          </w:p>
        </w:tc>
        <w:tc>
          <w:tcPr>
            <w:tcW w:w="1022" w:type="dxa"/>
            <w:tcBorders>
              <w:top w:val="single" w:sz="4" w:space="0" w:color="004D8F"/>
              <w:bottom w:val="single" w:sz="4" w:space="0" w:color="004D8F"/>
            </w:tcBorders>
            <w:shd w:val="clear" w:color="auto" w:fill="auto"/>
            <w:vAlign w:val="bottom"/>
          </w:tcPr>
          <w:p w:rsidR="004C6851" w:rsidRPr="004C6851" w:rsidRDefault="004C6851" w:rsidP="004C6851">
            <w:pPr>
              <w:pStyle w:val="TableParagraph"/>
              <w:tabs>
                <w:tab w:val="left" w:pos="1134"/>
              </w:tabs>
              <w:spacing w:line="207" w:lineRule="exact"/>
              <w:ind w:left="112"/>
              <w:jc w:val="right"/>
              <w:rPr>
                <w:rFonts w:ascii="Gill Sans MT" w:hAnsi="Gill Sans MT"/>
                <w:b/>
                <w:sz w:val="18"/>
              </w:rPr>
            </w:pPr>
            <w:r w:rsidRPr="004C6851">
              <w:rPr>
                <w:rFonts w:ascii="Gill Sans MT" w:hAnsi="Gill Sans MT"/>
                <w:b/>
                <w:spacing w:val="-3"/>
                <w:sz w:val="18"/>
              </w:rPr>
              <w:t>Variance</w:t>
            </w:r>
            <w:r w:rsidRPr="004C6851">
              <w:rPr>
                <w:rFonts w:ascii="Gill Sans MT" w:hAnsi="Gill Sans MT"/>
                <w:b/>
                <w:spacing w:val="-3"/>
                <w:sz w:val="18"/>
              </w:rPr>
              <w:br/>
              <w:t>$’000</w:t>
            </w:r>
          </w:p>
        </w:tc>
        <w:tc>
          <w:tcPr>
            <w:tcW w:w="1023" w:type="dxa"/>
            <w:gridSpan w:val="2"/>
            <w:tcBorders>
              <w:top w:val="single" w:sz="4" w:space="0" w:color="004D8F"/>
              <w:bottom w:val="single" w:sz="4" w:space="0" w:color="004D8F"/>
            </w:tcBorders>
            <w:shd w:val="clear" w:color="auto" w:fill="auto"/>
            <w:vAlign w:val="bottom"/>
          </w:tcPr>
          <w:p w:rsidR="004C6851" w:rsidRPr="004C6851" w:rsidRDefault="004C6851" w:rsidP="004C6851">
            <w:pPr>
              <w:pStyle w:val="TableParagraph"/>
              <w:tabs>
                <w:tab w:val="left" w:pos="1177"/>
              </w:tabs>
              <w:spacing w:line="207" w:lineRule="exact"/>
              <w:ind w:right="41"/>
              <w:jc w:val="right"/>
              <w:rPr>
                <w:rFonts w:ascii="Gill Sans MT" w:hAnsi="Gill Sans MT"/>
                <w:b/>
                <w:sz w:val="18"/>
              </w:rPr>
            </w:pPr>
            <w:r w:rsidRPr="004C6851">
              <w:rPr>
                <w:rFonts w:ascii="Gill Sans MT" w:hAnsi="Gill Sans MT"/>
                <w:b/>
                <w:sz w:val="18"/>
              </w:rPr>
              <w:t>Variance</w:t>
            </w:r>
            <w:r w:rsidRPr="004C6851">
              <w:rPr>
                <w:rFonts w:ascii="Gill Sans MT" w:hAnsi="Gill Sans MT"/>
                <w:b/>
                <w:sz w:val="18"/>
              </w:rPr>
              <w:br/>
              <w:t>%</w:t>
            </w:r>
          </w:p>
        </w:tc>
      </w:tr>
      <w:tr w:rsidR="004C6851" w:rsidRPr="004C6851" w:rsidTr="004C6851">
        <w:trPr>
          <w:trHeight w:hRule="exact" w:val="287"/>
        </w:trPr>
        <w:tc>
          <w:tcPr>
            <w:tcW w:w="3828" w:type="dxa"/>
            <w:tcBorders>
              <w:top w:val="single" w:sz="4" w:space="0" w:color="004D8F"/>
            </w:tcBorders>
            <w:shd w:val="clear" w:color="auto" w:fill="auto"/>
          </w:tcPr>
          <w:p w:rsidR="004C6851" w:rsidRPr="004C6851" w:rsidRDefault="004C6851" w:rsidP="000B23D3">
            <w:pPr>
              <w:pStyle w:val="TableParagraph"/>
              <w:spacing w:before="42"/>
              <w:ind w:left="80"/>
              <w:rPr>
                <w:rFonts w:ascii="Gill Sans MT" w:hAnsi="Gill Sans MT"/>
                <w:sz w:val="18"/>
              </w:rPr>
            </w:pPr>
            <w:r w:rsidRPr="004C6851">
              <w:rPr>
                <w:rFonts w:ascii="Gill Sans MT" w:hAnsi="Gill Sans MT"/>
                <w:sz w:val="18"/>
              </w:rPr>
              <w:t>Sales of goods and services</w:t>
            </w:r>
          </w:p>
        </w:tc>
        <w:tc>
          <w:tcPr>
            <w:tcW w:w="1048" w:type="dxa"/>
            <w:tcBorders>
              <w:top w:val="single" w:sz="4" w:space="0" w:color="004D8F"/>
            </w:tcBorders>
            <w:shd w:val="clear" w:color="auto" w:fill="auto"/>
          </w:tcPr>
          <w:p w:rsidR="004C6851" w:rsidRPr="004C6851" w:rsidRDefault="004C6851" w:rsidP="000B23D3">
            <w:pPr>
              <w:pStyle w:val="TableParagraph"/>
              <w:spacing w:before="42"/>
              <w:ind w:right="314"/>
              <w:jc w:val="right"/>
              <w:rPr>
                <w:rFonts w:ascii="Gill Sans MT" w:hAnsi="Gill Sans MT"/>
                <w:sz w:val="18"/>
              </w:rPr>
            </w:pPr>
            <w:r w:rsidRPr="004C6851">
              <w:rPr>
                <w:rFonts w:ascii="Gill Sans MT" w:hAnsi="Gill Sans MT"/>
                <w:sz w:val="18"/>
              </w:rPr>
              <w:t>(a)</w:t>
            </w:r>
          </w:p>
        </w:tc>
        <w:tc>
          <w:tcPr>
            <w:tcW w:w="1201" w:type="dxa"/>
            <w:tcBorders>
              <w:top w:val="single" w:sz="4" w:space="0" w:color="004D8F"/>
            </w:tcBorders>
            <w:shd w:val="clear" w:color="auto" w:fill="auto"/>
          </w:tcPr>
          <w:p w:rsidR="004C6851" w:rsidRPr="004C6851" w:rsidRDefault="004C6851" w:rsidP="000B23D3">
            <w:pPr>
              <w:pStyle w:val="TableParagraph"/>
              <w:spacing w:before="42"/>
              <w:ind w:right="111"/>
              <w:jc w:val="right"/>
              <w:rPr>
                <w:rFonts w:ascii="Gill Sans MT" w:hAnsi="Gill Sans MT"/>
                <w:sz w:val="18"/>
              </w:rPr>
            </w:pPr>
            <w:r w:rsidRPr="004C6851">
              <w:rPr>
                <w:rFonts w:ascii="Gill Sans MT" w:hAnsi="Gill Sans MT"/>
                <w:sz w:val="18"/>
              </w:rPr>
              <w:t>137 038</w:t>
            </w:r>
          </w:p>
        </w:tc>
        <w:tc>
          <w:tcPr>
            <w:tcW w:w="1191" w:type="dxa"/>
            <w:tcBorders>
              <w:top w:val="single" w:sz="4" w:space="0" w:color="004D8F"/>
            </w:tcBorders>
            <w:shd w:val="clear" w:color="auto" w:fill="auto"/>
          </w:tcPr>
          <w:p w:rsidR="004C6851" w:rsidRPr="004C6851" w:rsidRDefault="004C6851" w:rsidP="000B23D3">
            <w:pPr>
              <w:pStyle w:val="TableParagraph"/>
              <w:spacing w:before="42"/>
              <w:ind w:right="125"/>
              <w:jc w:val="right"/>
              <w:rPr>
                <w:rFonts w:ascii="Gill Sans MT" w:hAnsi="Gill Sans MT"/>
                <w:sz w:val="18"/>
              </w:rPr>
            </w:pPr>
            <w:r w:rsidRPr="004C6851">
              <w:rPr>
                <w:rFonts w:ascii="Gill Sans MT" w:hAnsi="Gill Sans MT"/>
                <w:sz w:val="18"/>
              </w:rPr>
              <w:t>156 713</w:t>
            </w:r>
          </w:p>
        </w:tc>
        <w:tc>
          <w:tcPr>
            <w:tcW w:w="1126" w:type="dxa"/>
            <w:gridSpan w:val="2"/>
            <w:tcBorders>
              <w:top w:val="single" w:sz="4" w:space="0" w:color="004D8F"/>
            </w:tcBorders>
            <w:shd w:val="clear" w:color="auto" w:fill="auto"/>
          </w:tcPr>
          <w:p w:rsidR="004C6851" w:rsidRPr="004C6851" w:rsidRDefault="004C6851" w:rsidP="000B23D3">
            <w:pPr>
              <w:pStyle w:val="TableParagraph"/>
              <w:spacing w:before="42"/>
              <w:ind w:right="103"/>
              <w:jc w:val="right"/>
              <w:rPr>
                <w:rFonts w:ascii="Gill Sans MT" w:hAnsi="Gill Sans MT"/>
                <w:sz w:val="18"/>
              </w:rPr>
            </w:pPr>
            <w:r w:rsidRPr="004C6851">
              <w:rPr>
                <w:rFonts w:ascii="Gill Sans MT" w:hAnsi="Gill Sans MT"/>
                <w:sz w:val="18"/>
              </w:rPr>
              <w:t>19 675</w:t>
            </w:r>
          </w:p>
        </w:tc>
        <w:tc>
          <w:tcPr>
            <w:tcW w:w="919" w:type="dxa"/>
            <w:tcBorders>
              <w:top w:val="single" w:sz="4" w:space="0" w:color="004D8F"/>
            </w:tcBorders>
            <w:shd w:val="clear" w:color="auto" w:fill="auto"/>
          </w:tcPr>
          <w:p w:rsidR="004C6851" w:rsidRPr="004C6851" w:rsidRDefault="004C6851" w:rsidP="000B23D3">
            <w:pPr>
              <w:pStyle w:val="TableParagraph"/>
              <w:spacing w:before="42"/>
              <w:ind w:right="210"/>
              <w:jc w:val="right"/>
              <w:rPr>
                <w:rFonts w:ascii="Gill Sans MT" w:hAnsi="Gill Sans MT"/>
                <w:sz w:val="18"/>
              </w:rPr>
            </w:pPr>
            <w:r w:rsidRPr="004C6851">
              <w:rPr>
                <w:rFonts w:ascii="Gill Sans MT" w:hAnsi="Gill Sans MT"/>
                <w:sz w:val="18"/>
              </w:rPr>
              <w:t>14.4%</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80"/>
              <w:rPr>
                <w:rFonts w:ascii="Gill Sans MT" w:hAnsi="Gill Sans MT"/>
                <w:sz w:val="18"/>
              </w:rPr>
            </w:pPr>
            <w:r w:rsidRPr="004C6851">
              <w:rPr>
                <w:rFonts w:ascii="Gill Sans MT" w:hAnsi="Gill Sans MT"/>
                <w:sz w:val="18"/>
              </w:rPr>
              <w:t>GST receipts</w:t>
            </w:r>
          </w:p>
        </w:tc>
        <w:tc>
          <w:tcPr>
            <w:tcW w:w="1048" w:type="dxa"/>
            <w:shd w:val="clear" w:color="auto" w:fill="auto"/>
          </w:tcPr>
          <w:p w:rsidR="004C6851" w:rsidRPr="004C6851" w:rsidRDefault="004C6851" w:rsidP="000B23D3">
            <w:pPr>
              <w:pStyle w:val="TableParagraph"/>
              <w:spacing w:before="40"/>
              <w:ind w:right="297"/>
              <w:jc w:val="right"/>
              <w:rPr>
                <w:rFonts w:ascii="Gill Sans MT" w:hAnsi="Gill Sans MT"/>
                <w:sz w:val="18"/>
              </w:rPr>
            </w:pPr>
            <w:r w:rsidRPr="004C6851">
              <w:rPr>
                <w:rFonts w:ascii="Gill Sans MT" w:hAnsi="Gill Sans MT"/>
                <w:sz w:val="18"/>
              </w:rPr>
              <w:t>(b)</w:t>
            </w:r>
          </w:p>
        </w:tc>
        <w:tc>
          <w:tcPr>
            <w:tcW w:w="1201" w:type="dxa"/>
            <w:shd w:val="clear" w:color="auto" w:fill="auto"/>
          </w:tcPr>
          <w:p w:rsidR="004C6851" w:rsidRPr="004C6851" w:rsidRDefault="004C6851" w:rsidP="000B23D3">
            <w:pPr>
              <w:pStyle w:val="TableParagraph"/>
              <w:spacing w:before="40"/>
              <w:ind w:right="111"/>
              <w:jc w:val="right"/>
              <w:rPr>
                <w:rFonts w:ascii="Gill Sans MT" w:hAnsi="Gill Sans MT"/>
                <w:sz w:val="18"/>
              </w:rPr>
            </w:pPr>
            <w:r w:rsidRPr="004C6851">
              <w:rPr>
                <w:rFonts w:ascii="Gill Sans MT" w:hAnsi="Gill Sans MT"/>
                <w:sz w:val="18"/>
              </w:rPr>
              <w:t>29 369</w:t>
            </w:r>
          </w:p>
        </w:tc>
        <w:tc>
          <w:tcPr>
            <w:tcW w:w="1191" w:type="dxa"/>
            <w:shd w:val="clear" w:color="auto" w:fill="auto"/>
          </w:tcPr>
          <w:p w:rsidR="004C6851" w:rsidRPr="004C6851" w:rsidRDefault="004C6851" w:rsidP="000B23D3">
            <w:pPr>
              <w:pStyle w:val="TableParagraph"/>
              <w:spacing w:before="40"/>
              <w:ind w:right="120"/>
              <w:jc w:val="right"/>
              <w:rPr>
                <w:rFonts w:ascii="Gill Sans MT" w:hAnsi="Gill Sans MT"/>
                <w:sz w:val="18"/>
              </w:rPr>
            </w:pPr>
            <w:r w:rsidRPr="004C6851">
              <w:rPr>
                <w:rFonts w:ascii="Gill Sans MT" w:hAnsi="Gill Sans MT"/>
                <w:sz w:val="18"/>
              </w:rPr>
              <w:t>35 561</w:t>
            </w:r>
          </w:p>
        </w:tc>
        <w:tc>
          <w:tcPr>
            <w:tcW w:w="1126" w:type="dxa"/>
            <w:gridSpan w:val="2"/>
            <w:shd w:val="clear" w:color="auto" w:fill="auto"/>
          </w:tcPr>
          <w:p w:rsidR="004C6851" w:rsidRPr="004C6851" w:rsidRDefault="004C6851" w:rsidP="000B23D3">
            <w:pPr>
              <w:pStyle w:val="TableParagraph"/>
              <w:spacing w:before="40"/>
              <w:ind w:right="160"/>
              <w:jc w:val="right"/>
              <w:rPr>
                <w:rFonts w:ascii="Gill Sans MT" w:hAnsi="Gill Sans MT"/>
                <w:sz w:val="18"/>
              </w:rPr>
            </w:pPr>
            <w:r w:rsidRPr="004C6851">
              <w:rPr>
                <w:rFonts w:ascii="Gill Sans MT" w:hAnsi="Gill Sans MT"/>
                <w:sz w:val="18"/>
              </w:rPr>
              <w:t>6 192</w:t>
            </w:r>
          </w:p>
        </w:tc>
        <w:tc>
          <w:tcPr>
            <w:tcW w:w="919" w:type="dxa"/>
            <w:shd w:val="clear" w:color="auto" w:fill="auto"/>
          </w:tcPr>
          <w:p w:rsidR="004C6851" w:rsidRPr="004C6851" w:rsidRDefault="004C6851" w:rsidP="000B23D3">
            <w:pPr>
              <w:pStyle w:val="TableParagraph"/>
              <w:spacing w:before="40"/>
              <w:ind w:left="269"/>
              <w:rPr>
                <w:rFonts w:ascii="Gill Sans MT" w:hAnsi="Gill Sans MT"/>
                <w:sz w:val="18"/>
              </w:rPr>
            </w:pPr>
            <w:r w:rsidRPr="004C6851">
              <w:rPr>
                <w:rFonts w:ascii="Gill Sans MT" w:hAnsi="Gill Sans MT"/>
                <w:sz w:val="18"/>
              </w:rPr>
              <w:t>21.1%</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Other cash receipts</w:t>
            </w:r>
          </w:p>
        </w:tc>
        <w:tc>
          <w:tcPr>
            <w:tcW w:w="1048" w:type="dxa"/>
            <w:shd w:val="clear" w:color="auto" w:fill="auto"/>
          </w:tcPr>
          <w:p w:rsidR="004C6851" w:rsidRPr="004C6851" w:rsidRDefault="004C6851" w:rsidP="000B23D3">
            <w:pPr>
              <w:pStyle w:val="TableParagraph"/>
              <w:spacing w:before="40"/>
              <w:ind w:right="317"/>
              <w:jc w:val="right"/>
              <w:rPr>
                <w:rFonts w:ascii="Gill Sans MT" w:hAnsi="Gill Sans MT"/>
                <w:sz w:val="18"/>
              </w:rPr>
            </w:pPr>
            <w:r w:rsidRPr="004C6851">
              <w:rPr>
                <w:rFonts w:ascii="Gill Sans MT" w:hAnsi="Gill Sans MT"/>
                <w:sz w:val="18"/>
              </w:rPr>
              <w:t>(c)</w:t>
            </w:r>
          </w:p>
        </w:tc>
        <w:tc>
          <w:tcPr>
            <w:tcW w:w="1201" w:type="dxa"/>
            <w:shd w:val="clear" w:color="auto" w:fill="auto"/>
          </w:tcPr>
          <w:p w:rsidR="004C6851" w:rsidRPr="004C6851" w:rsidRDefault="004C6851" w:rsidP="000B23D3">
            <w:pPr>
              <w:pStyle w:val="TableParagraph"/>
              <w:spacing w:before="40"/>
              <w:ind w:right="111"/>
              <w:jc w:val="right"/>
              <w:rPr>
                <w:rFonts w:ascii="Gill Sans MT" w:hAnsi="Gill Sans MT"/>
                <w:sz w:val="18"/>
              </w:rPr>
            </w:pPr>
            <w:r w:rsidRPr="004C6851">
              <w:rPr>
                <w:rFonts w:ascii="Gill Sans MT" w:hAnsi="Gill Sans MT"/>
                <w:sz w:val="18"/>
              </w:rPr>
              <w:t>29 276</w:t>
            </w:r>
          </w:p>
        </w:tc>
        <w:tc>
          <w:tcPr>
            <w:tcW w:w="1191" w:type="dxa"/>
            <w:shd w:val="clear" w:color="auto" w:fill="auto"/>
          </w:tcPr>
          <w:p w:rsidR="004C6851" w:rsidRPr="004C6851" w:rsidRDefault="004C6851" w:rsidP="000B23D3">
            <w:pPr>
              <w:pStyle w:val="TableParagraph"/>
              <w:spacing w:before="40"/>
              <w:ind w:right="117"/>
              <w:jc w:val="right"/>
              <w:rPr>
                <w:rFonts w:ascii="Gill Sans MT" w:hAnsi="Gill Sans MT"/>
                <w:sz w:val="18"/>
              </w:rPr>
            </w:pPr>
            <w:r w:rsidRPr="004C6851">
              <w:rPr>
                <w:rFonts w:ascii="Gill Sans MT" w:hAnsi="Gill Sans MT"/>
                <w:sz w:val="18"/>
              </w:rPr>
              <w:t>38 043</w:t>
            </w:r>
          </w:p>
        </w:tc>
        <w:tc>
          <w:tcPr>
            <w:tcW w:w="1126" w:type="dxa"/>
            <w:gridSpan w:val="2"/>
            <w:shd w:val="clear" w:color="auto" w:fill="auto"/>
          </w:tcPr>
          <w:p w:rsidR="004C6851" w:rsidRPr="004C6851" w:rsidRDefault="004C6851" w:rsidP="000B23D3">
            <w:pPr>
              <w:pStyle w:val="TableParagraph"/>
              <w:spacing w:before="40"/>
              <w:ind w:right="160"/>
              <w:jc w:val="right"/>
              <w:rPr>
                <w:rFonts w:ascii="Gill Sans MT" w:hAnsi="Gill Sans MT"/>
                <w:sz w:val="18"/>
              </w:rPr>
            </w:pPr>
            <w:r w:rsidRPr="004C6851">
              <w:rPr>
                <w:rFonts w:ascii="Gill Sans MT" w:hAnsi="Gill Sans MT"/>
                <w:sz w:val="18"/>
              </w:rPr>
              <w:t>8 767</w:t>
            </w:r>
          </w:p>
        </w:tc>
        <w:tc>
          <w:tcPr>
            <w:tcW w:w="919" w:type="dxa"/>
            <w:shd w:val="clear" w:color="auto" w:fill="auto"/>
          </w:tcPr>
          <w:p w:rsidR="004C6851" w:rsidRPr="004C6851" w:rsidRDefault="004C6851" w:rsidP="000B23D3">
            <w:pPr>
              <w:pStyle w:val="TableParagraph"/>
              <w:spacing w:before="40"/>
              <w:ind w:left="206"/>
              <w:rPr>
                <w:rFonts w:ascii="Gill Sans MT" w:hAnsi="Gill Sans MT"/>
                <w:sz w:val="18"/>
              </w:rPr>
            </w:pPr>
            <w:r w:rsidRPr="004C6851">
              <w:rPr>
                <w:rFonts w:ascii="Gill Sans MT" w:hAnsi="Gill Sans MT"/>
                <w:sz w:val="18"/>
              </w:rPr>
              <w:t>29.9%</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GST payments</w:t>
            </w:r>
          </w:p>
        </w:tc>
        <w:tc>
          <w:tcPr>
            <w:tcW w:w="1048" w:type="dxa"/>
            <w:shd w:val="clear" w:color="auto" w:fill="auto"/>
          </w:tcPr>
          <w:p w:rsidR="004C6851" w:rsidRPr="004C6851" w:rsidRDefault="004C6851" w:rsidP="000B23D3">
            <w:pPr>
              <w:pStyle w:val="TableParagraph"/>
              <w:spacing w:before="40"/>
              <w:ind w:right="290"/>
              <w:jc w:val="right"/>
              <w:rPr>
                <w:rFonts w:ascii="Gill Sans MT" w:hAnsi="Gill Sans MT"/>
                <w:sz w:val="18"/>
              </w:rPr>
            </w:pPr>
            <w:r w:rsidRPr="004C6851">
              <w:rPr>
                <w:rFonts w:ascii="Gill Sans MT" w:hAnsi="Gill Sans MT"/>
                <w:sz w:val="18"/>
              </w:rPr>
              <w:t>(d)</w:t>
            </w:r>
          </w:p>
        </w:tc>
        <w:tc>
          <w:tcPr>
            <w:tcW w:w="120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(29 369)</w:t>
            </w:r>
          </w:p>
        </w:tc>
        <w:tc>
          <w:tcPr>
            <w:tcW w:w="1191" w:type="dxa"/>
            <w:shd w:val="clear" w:color="auto" w:fill="auto"/>
          </w:tcPr>
          <w:p w:rsidR="004C6851" w:rsidRPr="004C6851" w:rsidRDefault="004C6851" w:rsidP="000B23D3">
            <w:pPr>
              <w:pStyle w:val="TableParagraph"/>
              <w:spacing w:before="40"/>
              <w:ind w:right="56"/>
              <w:jc w:val="right"/>
              <w:rPr>
                <w:rFonts w:ascii="Gill Sans MT" w:hAnsi="Gill Sans MT"/>
                <w:sz w:val="18"/>
              </w:rPr>
            </w:pPr>
            <w:r w:rsidRPr="004C6851">
              <w:rPr>
                <w:rFonts w:ascii="Gill Sans MT" w:hAnsi="Gill Sans MT"/>
                <w:sz w:val="18"/>
              </w:rPr>
              <w:t>(36 456)</w:t>
            </w:r>
          </w:p>
        </w:tc>
        <w:tc>
          <w:tcPr>
            <w:tcW w:w="1126" w:type="dxa"/>
            <w:gridSpan w:val="2"/>
            <w:shd w:val="clear" w:color="auto" w:fill="auto"/>
          </w:tcPr>
          <w:p w:rsidR="004C6851" w:rsidRPr="004C6851" w:rsidRDefault="004C6851" w:rsidP="000B23D3">
            <w:pPr>
              <w:pStyle w:val="TableParagraph"/>
              <w:spacing w:before="40"/>
              <w:ind w:right="103"/>
              <w:jc w:val="right"/>
              <w:rPr>
                <w:rFonts w:ascii="Gill Sans MT" w:hAnsi="Gill Sans MT"/>
                <w:sz w:val="18"/>
              </w:rPr>
            </w:pPr>
            <w:r w:rsidRPr="004C6851">
              <w:rPr>
                <w:rFonts w:ascii="Gill Sans MT" w:hAnsi="Gill Sans MT"/>
                <w:sz w:val="18"/>
              </w:rPr>
              <w:t>7 087</w:t>
            </w:r>
          </w:p>
        </w:tc>
        <w:tc>
          <w:tcPr>
            <w:tcW w:w="919" w:type="dxa"/>
            <w:shd w:val="clear" w:color="auto" w:fill="auto"/>
          </w:tcPr>
          <w:p w:rsidR="004C6851" w:rsidRPr="004C6851" w:rsidRDefault="004C6851" w:rsidP="000B23D3">
            <w:pPr>
              <w:pStyle w:val="TableParagraph"/>
              <w:spacing w:before="40"/>
              <w:ind w:right="199"/>
              <w:jc w:val="right"/>
              <w:rPr>
                <w:rFonts w:ascii="Gill Sans MT" w:hAnsi="Gill Sans MT"/>
                <w:sz w:val="18"/>
              </w:rPr>
            </w:pPr>
            <w:r w:rsidRPr="004C6851">
              <w:rPr>
                <w:rFonts w:ascii="Gill Sans MT" w:hAnsi="Gill Sans MT"/>
                <w:sz w:val="18"/>
              </w:rPr>
              <w:t>(24.1%)</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Grants and transfer payments</w:t>
            </w:r>
          </w:p>
        </w:tc>
        <w:tc>
          <w:tcPr>
            <w:tcW w:w="1048" w:type="dxa"/>
            <w:shd w:val="clear" w:color="auto" w:fill="auto"/>
          </w:tcPr>
          <w:p w:rsidR="004C6851" w:rsidRPr="004C6851" w:rsidRDefault="004C6851" w:rsidP="000B23D3">
            <w:pPr>
              <w:pStyle w:val="TableParagraph"/>
              <w:spacing w:before="40"/>
              <w:ind w:right="306"/>
              <w:jc w:val="right"/>
              <w:rPr>
                <w:rFonts w:ascii="Gill Sans MT" w:hAnsi="Gill Sans MT"/>
                <w:sz w:val="18"/>
              </w:rPr>
            </w:pPr>
            <w:r w:rsidRPr="004C6851">
              <w:rPr>
                <w:rFonts w:ascii="Gill Sans MT" w:hAnsi="Gill Sans MT"/>
                <w:sz w:val="18"/>
              </w:rPr>
              <w:t>(e)</w:t>
            </w:r>
          </w:p>
        </w:tc>
        <w:tc>
          <w:tcPr>
            <w:tcW w:w="120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(40 495)</w:t>
            </w:r>
          </w:p>
        </w:tc>
        <w:tc>
          <w:tcPr>
            <w:tcW w:w="1191" w:type="dxa"/>
            <w:shd w:val="clear" w:color="auto" w:fill="auto"/>
          </w:tcPr>
          <w:p w:rsidR="004C6851" w:rsidRPr="004C6851" w:rsidRDefault="004C6851" w:rsidP="000B23D3">
            <w:pPr>
              <w:pStyle w:val="TableParagraph"/>
              <w:spacing w:before="40"/>
              <w:ind w:right="56"/>
              <w:jc w:val="right"/>
              <w:rPr>
                <w:rFonts w:ascii="Gill Sans MT" w:hAnsi="Gill Sans MT"/>
                <w:sz w:val="18"/>
              </w:rPr>
            </w:pPr>
            <w:r w:rsidRPr="004C6851">
              <w:rPr>
                <w:rFonts w:ascii="Gill Sans MT" w:hAnsi="Gill Sans MT"/>
                <w:sz w:val="18"/>
              </w:rPr>
              <w:t>(7 178)</w:t>
            </w:r>
          </w:p>
        </w:tc>
        <w:tc>
          <w:tcPr>
            <w:tcW w:w="1126" w:type="dxa"/>
            <w:gridSpan w:val="2"/>
            <w:shd w:val="clear" w:color="auto" w:fill="auto"/>
          </w:tcPr>
          <w:p w:rsidR="004C6851" w:rsidRPr="004C6851" w:rsidRDefault="004C6851" w:rsidP="000B23D3">
            <w:pPr>
              <w:pStyle w:val="TableParagraph"/>
              <w:spacing w:before="40"/>
              <w:ind w:right="103"/>
              <w:jc w:val="right"/>
              <w:rPr>
                <w:rFonts w:ascii="Gill Sans MT" w:hAnsi="Gill Sans MT"/>
                <w:sz w:val="18"/>
              </w:rPr>
            </w:pPr>
            <w:r w:rsidRPr="004C6851">
              <w:rPr>
                <w:rFonts w:ascii="Gill Sans MT" w:hAnsi="Gill Sans MT"/>
                <w:sz w:val="18"/>
              </w:rPr>
              <w:t>(33 317)</w:t>
            </w:r>
          </w:p>
        </w:tc>
        <w:tc>
          <w:tcPr>
            <w:tcW w:w="919" w:type="dxa"/>
            <w:shd w:val="clear" w:color="auto" w:fill="auto"/>
          </w:tcPr>
          <w:p w:rsidR="004C6851" w:rsidRPr="004C6851" w:rsidRDefault="004C6851" w:rsidP="000B23D3">
            <w:pPr>
              <w:pStyle w:val="TableParagraph"/>
              <w:spacing w:before="40"/>
              <w:ind w:right="228"/>
              <w:jc w:val="right"/>
              <w:rPr>
                <w:rFonts w:ascii="Gill Sans MT" w:hAnsi="Gill Sans MT"/>
                <w:sz w:val="18"/>
              </w:rPr>
            </w:pPr>
            <w:r w:rsidRPr="004C6851">
              <w:rPr>
                <w:rFonts w:ascii="Gill Sans MT" w:hAnsi="Gill Sans MT"/>
                <w:sz w:val="18"/>
              </w:rPr>
              <w:t>82.3%</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Supplies and consumables</w:t>
            </w:r>
          </w:p>
        </w:tc>
        <w:tc>
          <w:tcPr>
            <w:tcW w:w="1048" w:type="dxa"/>
            <w:shd w:val="clear" w:color="auto" w:fill="auto"/>
          </w:tcPr>
          <w:p w:rsidR="004C6851" w:rsidRPr="004C6851" w:rsidRDefault="004C6851" w:rsidP="000B23D3">
            <w:pPr>
              <w:pStyle w:val="TableParagraph"/>
              <w:spacing w:before="40"/>
              <w:ind w:right="323"/>
              <w:jc w:val="right"/>
              <w:rPr>
                <w:rFonts w:ascii="Gill Sans MT" w:hAnsi="Gill Sans MT"/>
                <w:sz w:val="18"/>
              </w:rPr>
            </w:pPr>
            <w:r w:rsidRPr="004C6851">
              <w:rPr>
                <w:rFonts w:ascii="Gill Sans MT" w:hAnsi="Gill Sans MT"/>
                <w:sz w:val="18"/>
              </w:rPr>
              <w:t>(f )</w:t>
            </w:r>
          </w:p>
        </w:tc>
        <w:tc>
          <w:tcPr>
            <w:tcW w:w="120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(347 330)</w:t>
            </w:r>
          </w:p>
        </w:tc>
        <w:tc>
          <w:tcPr>
            <w:tcW w:w="119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(398 718)</w:t>
            </w:r>
          </w:p>
        </w:tc>
        <w:tc>
          <w:tcPr>
            <w:tcW w:w="1126" w:type="dxa"/>
            <w:gridSpan w:val="2"/>
            <w:shd w:val="clear" w:color="auto" w:fill="auto"/>
          </w:tcPr>
          <w:p w:rsidR="004C6851" w:rsidRPr="004C6851" w:rsidRDefault="004C6851" w:rsidP="000B23D3">
            <w:pPr>
              <w:pStyle w:val="TableParagraph"/>
              <w:spacing w:before="40"/>
              <w:ind w:right="104"/>
              <w:jc w:val="right"/>
              <w:rPr>
                <w:rFonts w:ascii="Gill Sans MT" w:hAnsi="Gill Sans MT"/>
                <w:sz w:val="18"/>
              </w:rPr>
            </w:pPr>
            <w:r w:rsidRPr="004C6851">
              <w:rPr>
                <w:rFonts w:ascii="Gill Sans MT" w:hAnsi="Gill Sans MT"/>
                <w:sz w:val="18"/>
              </w:rPr>
              <w:t>51 388</w:t>
            </w:r>
          </w:p>
        </w:tc>
        <w:tc>
          <w:tcPr>
            <w:tcW w:w="919" w:type="dxa"/>
            <w:shd w:val="clear" w:color="auto" w:fill="auto"/>
          </w:tcPr>
          <w:p w:rsidR="004C6851" w:rsidRPr="004C6851" w:rsidRDefault="004C6851" w:rsidP="000B23D3">
            <w:pPr>
              <w:pStyle w:val="TableParagraph"/>
              <w:spacing w:before="40"/>
              <w:ind w:right="191"/>
              <w:jc w:val="right"/>
              <w:rPr>
                <w:rFonts w:ascii="Gill Sans MT" w:hAnsi="Gill Sans MT"/>
                <w:sz w:val="18"/>
              </w:rPr>
            </w:pPr>
            <w:r w:rsidRPr="004C6851">
              <w:rPr>
                <w:rFonts w:ascii="Gill Sans MT" w:hAnsi="Gill Sans MT"/>
                <w:sz w:val="18"/>
              </w:rPr>
              <w:t>(14.8%)</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Other cash payments</w:t>
            </w:r>
          </w:p>
        </w:tc>
        <w:tc>
          <w:tcPr>
            <w:tcW w:w="1048" w:type="dxa"/>
            <w:shd w:val="clear" w:color="auto" w:fill="auto"/>
          </w:tcPr>
          <w:p w:rsidR="004C6851" w:rsidRPr="004C6851" w:rsidRDefault="004C6851" w:rsidP="000B23D3">
            <w:pPr>
              <w:pStyle w:val="TableParagraph"/>
              <w:spacing w:before="40"/>
              <w:ind w:right="296"/>
              <w:jc w:val="right"/>
              <w:rPr>
                <w:rFonts w:ascii="Gill Sans MT" w:hAnsi="Gill Sans MT"/>
                <w:sz w:val="18"/>
              </w:rPr>
            </w:pPr>
            <w:r w:rsidRPr="004C6851">
              <w:rPr>
                <w:rFonts w:ascii="Gill Sans MT" w:hAnsi="Gill Sans MT"/>
                <w:sz w:val="18"/>
              </w:rPr>
              <w:t>(g)</w:t>
            </w:r>
          </w:p>
        </w:tc>
        <w:tc>
          <w:tcPr>
            <w:tcW w:w="120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(10 157)</w:t>
            </w:r>
          </w:p>
        </w:tc>
        <w:tc>
          <w:tcPr>
            <w:tcW w:w="119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(22 796)</w:t>
            </w:r>
          </w:p>
        </w:tc>
        <w:tc>
          <w:tcPr>
            <w:tcW w:w="1126" w:type="dxa"/>
            <w:gridSpan w:val="2"/>
            <w:shd w:val="clear" w:color="auto" w:fill="auto"/>
          </w:tcPr>
          <w:p w:rsidR="004C6851" w:rsidRPr="004C6851" w:rsidRDefault="004C6851" w:rsidP="000B23D3">
            <w:pPr>
              <w:pStyle w:val="TableParagraph"/>
              <w:spacing w:before="40"/>
              <w:ind w:right="104"/>
              <w:jc w:val="right"/>
              <w:rPr>
                <w:rFonts w:ascii="Gill Sans MT" w:hAnsi="Gill Sans MT"/>
                <w:sz w:val="18"/>
              </w:rPr>
            </w:pPr>
            <w:r w:rsidRPr="004C6851">
              <w:rPr>
                <w:rFonts w:ascii="Gill Sans MT" w:hAnsi="Gill Sans MT"/>
                <w:sz w:val="18"/>
              </w:rPr>
              <w:t>12 639</w:t>
            </w:r>
          </w:p>
        </w:tc>
        <w:tc>
          <w:tcPr>
            <w:tcW w:w="919" w:type="dxa"/>
            <w:shd w:val="clear" w:color="auto" w:fill="auto"/>
          </w:tcPr>
          <w:p w:rsidR="004C6851" w:rsidRPr="004C6851" w:rsidRDefault="004C6851" w:rsidP="000B23D3">
            <w:pPr>
              <w:pStyle w:val="TableParagraph"/>
              <w:spacing w:before="40"/>
              <w:ind w:right="160"/>
              <w:jc w:val="right"/>
              <w:rPr>
                <w:rFonts w:ascii="Gill Sans MT" w:hAnsi="Gill Sans MT"/>
                <w:sz w:val="18"/>
              </w:rPr>
            </w:pPr>
            <w:r w:rsidRPr="004C6851">
              <w:rPr>
                <w:rFonts w:ascii="Gill Sans MT" w:hAnsi="Gill Sans MT"/>
                <w:sz w:val="18"/>
              </w:rPr>
              <w:t>(124.4%)</w:t>
            </w:r>
          </w:p>
        </w:tc>
      </w:tr>
      <w:tr w:rsidR="004C6851" w:rsidRPr="004C6851" w:rsidTr="004C6851">
        <w:trPr>
          <w:trHeight w:hRule="exact" w:val="284"/>
        </w:trPr>
        <w:tc>
          <w:tcPr>
            <w:tcW w:w="3828" w:type="dxa"/>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Payment for acquisition of non-financial assets</w:t>
            </w:r>
          </w:p>
        </w:tc>
        <w:tc>
          <w:tcPr>
            <w:tcW w:w="1048" w:type="dxa"/>
            <w:shd w:val="clear" w:color="auto" w:fill="auto"/>
          </w:tcPr>
          <w:p w:rsidR="004C6851" w:rsidRPr="004C6851" w:rsidRDefault="004C6851" w:rsidP="000B23D3">
            <w:pPr>
              <w:pStyle w:val="TableParagraph"/>
              <w:spacing w:before="40"/>
              <w:ind w:right="301"/>
              <w:jc w:val="right"/>
              <w:rPr>
                <w:rFonts w:ascii="Gill Sans MT" w:hAnsi="Gill Sans MT"/>
                <w:sz w:val="18"/>
              </w:rPr>
            </w:pPr>
            <w:r w:rsidRPr="004C6851">
              <w:rPr>
                <w:rFonts w:ascii="Gill Sans MT" w:hAnsi="Gill Sans MT"/>
                <w:sz w:val="18"/>
              </w:rPr>
              <w:t>(h)</w:t>
            </w:r>
          </w:p>
        </w:tc>
        <w:tc>
          <w:tcPr>
            <w:tcW w:w="1201" w:type="dxa"/>
            <w:shd w:val="clear" w:color="auto" w:fill="auto"/>
          </w:tcPr>
          <w:p w:rsidR="004C6851" w:rsidRPr="004C6851" w:rsidRDefault="004C6851" w:rsidP="000B23D3">
            <w:pPr>
              <w:pStyle w:val="TableParagraph"/>
              <w:spacing w:before="40"/>
              <w:ind w:right="60"/>
              <w:jc w:val="right"/>
              <w:rPr>
                <w:rFonts w:ascii="Gill Sans MT" w:hAnsi="Gill Sans MT"/>
                <w:sz w:val="18"/>
              </w:rPr>
            </w:pPr>
            <w:r w:rsidRPr="004C6851">
              <w:rPr>
                <w:rFonts w:ascii="Gill Sans MT" w:hAnsi="Gill Sans MT"/>
                <w:sz w:val="18"/>
              </w:rPr>
              <w:t>(3 552)</w:t>
            </w:r>
          </w:p>
        </w:tc>
        <w:tc>
          <w:tcPr>
            <w:tcW w:w="1191" w:type="dxa"/>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(1 959)</w:t>
            </w:r>
          </w:p>
        </w:tc>
        <w:tc>
          <w:tcPr>
            <w:tcW w:w="1126" w:type="dxa"/>
            <w:gridSpan w:val="2"/>
            <w:shd w:val="clear" w:color="auto" w:fill="auto"/>
          </w:tcPr>
          <w:p w:rsidR="004C6851" w:rsidRPr="004C6851" w:rsidRDefault="004C6851" w:rsidP="000B23D3">
            <w:pPr>
              <w:pStyle w:val="TableParagraph"/>
              <w:spacing w:before="40"/>
              <w:ind w:right="107"/>
              <w:jc w:val="right"/>
              <w:rPr>
                <w:rFonts w:ascii="Gill Sans MT" w:hAnsi="Gill Sans MT"/>
                <w:sz w:val="18"/>
              </w:rPr>
            </w:pPr>
            <w:r w:rsidRPr="004C6851">
              <w:rPr>
                <w:rFonts w:ascii="Gill Sans MT" w:hAnsi="Gill Sans MT"/>
                <w:sz w:val="18"/>
              </w:rPr>
              <w:t>(1 593)</w:t>
            </w:r>
          </w:p>
        </w:tc>
        <w:tc>
          <w:tcPr>
            <w:tcW w:w="919" w:type="dxa"/>
            <w:shd w:val="clear" w:color="auto" w:fill="auto"/>
          </w:tcPr>
          <w:p w:rsidR="004C6851" w:rsidRPr="004C6851" w:rsidRDefault="004C6851" w:rsidP="000B23D3">
            <w:pPr>
              <w:pStyle w:val="TableParagraph"/>
              <w:spacing w:before="40"/>
              <w:ind w:right="225"/>
              <w:jc w:val="right"/>
              <w:rPr>
                <w:rFonts w:ascii="Gill Sans MT" w:hAnsi="Gill Sans MT"/>
                <w:sz w:val="18"/>
              </w:rPr>
            </w:pPr>
            <w:r w:rsidRPr="004C6851">
              <w:rPr>
                <w:rFonts w:ascii="Gill Sans MT" w:hAnsi="Gill Sans MT"/>
                <w:sz w:val="18"/>
              </w:rPr>
              <w:t>44.8%</w:t>
            </w:r>
          </w:p>
        </w:tc>
      </w:tr>
      <w:tr w:rsidR="004C6851" w:rsidRPr="004C6851" w:rsidTr="004C6851">
        <w:trPr>
          <w:trHeight w:hRule="exact" w:val="281"/>
        </w:trPr>
        <w:tc>
          <w:tcPr>
            <w:tcW w:w="3828" w:type="dxa"/>
            <w:tcBorders>
              <w:bottom w:val="single" w:sz="4" w:space="0" w:color="004D8F"/>
            </w:tcBorders>
            <w:shd w:val="clear" w:color="auto" w:fill="auto"/>
          </w:tcPr>
          <w:p w:rsidR="004C6851" w:rsidRPr="004C6851" w:rsidRDefault="004C6851" w:rsidP="000B23D3">
            <w:pPr>
              <w:pStyle w:val="TableParagraph"/>
              <w:spacing w:before="40"/>
              <w:ind w:left="79"/>
              <w:rPr>
                <w:rFonts w:ascii="Gill Sans MT" w:hAnsi="Gill Sans MT"/>
                <w:sz w:val="18"/>
              </w:rPr>
            </w:pPr>
            <w:r w:rsidRPr="004C6851">
              <w:rPr>
                <w:rFonts w:ascii="Gill Sans MT" w:hAnsi="Gill Sans MT"/>
                <w:sz w:val="18"/>
              </w:rPr>
              <w:t>Repayment of borrowings</w:t>
            </w:r>
          </w:p>
        </w:tc>
        <w:tc>
          <w:tcPr>
            <w:tcW w:w="1048" w:type="dxa"/>
            <w:tcBorders>
              <w:bottom w:val="single" w:sz="4" w:space="0" w:color="004D8F"/>
            </w:tcBorders>
            <w:shd w:val="clear" w:color="auto" w:fill="auto"/>
          </w:tcPr>
          <w:p w:rsidR="004C6851" w:rsidRPr="004C6851" w:rsidRDefault="004C6851" w:rsidP="000B23D3">
            <w:pPr>
              <w:pStyle w:val="TableParagraph"/>
              <w:spacing w:before="40"/>
              <w:ind w:right="335"/>
              <w:jc w:val="right"/>
              <w:rPr>
                <w:rFonts w:ascii="Gill Sans MT" w:hAnsi="Gill Sans MT"/>
                <w:sz w:val="18"/>
              </w:rPr>
            </w:pPr>
            <w:r w:rsidRPr="004C6851">
              <w:rPr>
                <w:rFonts w:ascii="Gill Sans MT" w:hAnsi="Gill Sans MT"/>
                <w:sz w:val="18"/>
              </w:rPr>
              <w:t>(i)</w:t>
            </w:r>
          </w:p>
        </w:tc>
        <w:tc>
          <w:tcPr>
            <w:tcW w:w="1201" w:type="dxa"/>
            <w:tcBorders>
              <w:bottom w:val="single" w:sz="4" w:space="0" w:color="004D8F"/>
            </w:tcBorders>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(1 667)</w:t>
            </w:r>
          </w:p>
        </w:tc>
        <w:tc>
          <w:tcPr>
            <w:tcW w:w="1191" w:type="dxa"/>
            <w:tcBorders>
              <w:bottom w:val="single" w:sz="4" w:space="0" w:color="004D8F"/>
            </w:tcBorders>
            <w:shd w:val="clear" w:color="auto" w:fill="auto"/>
          </w:tcPr>
          <w:p w:rsidR="004C6851" w:rsidRPr="004C6851" w:rsidRDefault="004C6851" w:rsidP="000B23D3">
            <w:pPr>
              <w:pStyle w:val="TableParagraph"/>
              <w:spacing w:before="40"/>
              <w:ind w:right="55"/>
              <w:jc w:val="right"/>
              <w:rPr>
                <w:rFonts w:ascii="Gill Sans MT" w:hAnsi="Gill Sans MT"/>
                <w:sz w:val="18"/>
              </w:rPr>
            </w:pPr>
            <w:r w:rsidRPr="004C6851">
              <w:rPr>
                <w:rFonts w:ascii="Gill Sans MT" w:hAnsi="Gill Sans MT"/>
                <w:sz w:val="18"/>
              </w:rPr>
              <w:t>(5 000)</w:t>
            </w:r>
          </w:p>
        </w:tc>
        <w:tc>
          <w:tcPr>
            <w:tcW w:w="1126" w:type="dxa"/>
            <w:gridSpan w:val="2"/>
            <w:tcBorders>
              <w:bottom w:val="single" w:sz="4" w:space="0" w:color="004D8F"/>
            </w:tcBorders>
            <w:shd w:val="clear" w:color="auto" w:fill="auto"/>
          </w:tcPr>
          <w:p w:rsidR="004C6851" w:rsidRPr="004C6851" w:rsidRDefault="004C6851" w:rsidP="000B23D3">
            <w:pPr>
              <w:pStyle w:val="TableParagraph"/>
              <w:spacing w:before="40"/>
              <w:ind w:right="163"/>
              <w:jc w:val="right"/>
              <w:rPr>
                <w:rFonts w:ascii="Gill Sans MT" w:hAnsi="Gill Sans MT"/>
                <w:sz w:val="18"/>
              </w:rPr>
            </w:pPr>
            <w:r w:rsidRPr="004C6851">
              <w:rPr>
                <w:rFonts w:ascii="Gill Sans MT" w:hAnsi="Gill Sans MT"/>
                <w:sz w:val="18"/>
              </w:rPr>
              <w:t>3 333</w:t>
            </w:r>
          </w:p>
        </w:tc>
        <w:tc>
          <w:tcPr>
            <w:tcW w:w="919" w:type="dxa"/>
            <w:tcBorders>
              <w:bottom w:val="single" w:sz="4" w:space="0" w:color="004D8F"/>
            </w:tcBorders>
            <w:shd w:val="clear" w:color="auto" w:fill="auto"/>
          </w:tcPr>
          <w:p w:rsidR="004C6851" w:rsidRPr="004C6851" w:rsidRDefault="004C6851" w:rsidP="000B23D3">
            <w:pPr>
              <w:pStyle w:val="TableParagraph"/>
              <w:spacing w:before="40"/>
              <w:ind w:right="187"/>
              <w:jc w:val="right"/>
              <w:rPr>
                <w:rFonts w:ascii="Gill Sans MT" w:hAnsi="Gill Sans MT"/>
                <w:sz w:val="18"/>
              </w:rPr>
            </w:pPr>
            <w:r w:rsidRPr="004C6851">
              <w:rPr>
                <w:rFonts w:ascii="Gill Sans MT" w:hAnsi="Gill Sans MT"/>
                <w:sz w:val="18"/>
              </w:rPr>
              <w:t>(199.9%)</w:t>
            </w:r>
          </w:p>
        </w:tc>
      </w:tr>
    </w:tbl>
    <w:p w:rsidR="004C6851" w:rsidRDefault="004C6851" w:rsidP="004C6851">
      <w:pPr>
        <w:pStyle w:val="BodyText"/>
      </w:pPr>
    </w:p>
    <w:p w:rsidR="004C6851" w:rsidRPr="004C6851" w:rsidRDefault="004C6851" w:rsidP="004C6851">
      <w:pPr>
        <w:pStyle w:val="BodyText"/>
        <w:rPr>
          <w:b/>
        </w:rPr>
      </w:pPr>
      <w:r w:rsidRPr="004C6851">
        <w:rPr>
          <w:b/>
        </w:rPr>
        <w:t>Notes to Statement of Cash Flows variances</w:t>
      </w:r>
    </w:p>
    <w:p w:rsidR="004C6851" w:rsidRPr="004C6851" w:rsidRDefault="004C6851" w:rsidP="0018465A">
      <w:pPr>
        <w:pStyle w:val="BodyText"/>
        <w:numPr>
          <w:ilvl w:val="0"/>
          <w:numId w:val="45"/>
        </w:numPr>
        <w:ind w:left="567" w:hanging="567"/>
      </w:pPr>
      <w:r w:rsidRPr="004C6851">
        <w:t>The increase in Sales of goods and services primarily reflects additional revenue as a result of hepatitis C medication being made available on the Pharmaceutical Benefits Scheme (PBS) list.</w:t>
      </w:r>
    </w:p>
    <w:p w:rsidR="004C6851" w:rsidRPr="004C6851" w:rsidRDefault="004C6851" w:rsidP="0018465A">
      <w:pPr>
        <w:pStyle w:val="BodyText"/>
        <w:numPr>
          <w:ilvl w:val="0"/>
          <w:numId w:val="45"/>
        </w:numPr>
        <w:ind w:left="567" w:hanging="567"/>
      </w:pPr>
      <w:r w:rsidRPr="004C6851">
        <w:t>The increase in Goods and Services Tax (GST) receipts is to be offset against the increase in GST payments.</w:t>
      </w:r>
    </w:p>
    <w:p w:rsidR="004C6851" w:rsidRPr="004C6851" w:rsidRDefault="004C6851" w:rsidP="0018465A">
      <w:pPr>
        <w:pStyle w:val="BodyText"/>
        <w:numPr>
          <w:ilvl w:val="0"/>
          <w:numId w:val="45"/>
        </w:numPr>
        <w:ind w:left="567" w:hanging="567"/>
      </w:pPr>
      <w:r w:rsidRPr="004C6851">
        <w:t xml:space="preserve">The increase in </w:t>
      </w:r>
      <w:proofErr w:type="gramStart"/>
      <w:r w:rsidRPr="004C6851">
        <w:t>Other</w:t>
      </w:r>
      <w:proofErr w:type="gramEnd"/>
      <w:r w:rsidRPr="004C6851">
        <w:t xml:space="preserve"> cash receipts primarily reflects additional revenue in relation to the Training More Specialist Doctors in Tasmania initiative which is funded by the Australian Government through the medical profession colleges. The THS also received higher than expected workers compensation and operating recoveries.</w:t>
      </w:r>
    </w:p>
    <w:p w:rsidR="004C6851" w:rsidRPr="004C6851" w:rsidRDefault="004C6851" w:rsidP="0018465A">
      <w:pPr>
        <w:pStyle w:val="BodyText"/>
        <w:numPr>
          <w:ilvl w:val="0"/>
          <w:numId w:val="45"/>
        </w:numPr>
        <w:ind w:left="567" w:hanging="567"/>
      </w:pPr>
      <w:r w:rsidRPr="004C6851">
        <w:t xml:space="preserve">The increase in GST payments is to be offset against the increase in GST receipts. </w:t>
      </w:r>
    </w:p>
    <w:p w:rsidR="004C6851" w:rsidRPr="004C6851" w:rsidRDefault="004C6851" w:rsidP="0018465A">
      <w:pPr>
        <w:pStyle w:val="BodyText"/>
        <w:numPr>
          <w:ilvl w:val="0"/>
          <w:numId w:val="45"/>
        </w:numPr>
        <w:ind w:left="567" w:hanging="567"/>
      </w:pPr>
      <w:r w:rsidRPr="004C6851">
        <w:t>The decrease in Grants and transfer payments reflects the reclassification of cross border payments to Supplies and consumables.</w:t>
      </w:r>
    </w:p>
    <w:p w:rsidR="004C6851" w:rsidRPr="004C6851" w:rsidRDefault="004C6851" w:rsidP="0018465A">
      <w:pPr>
        <w:pStyle w:val="BodyText"/>
        <w:numPr>
          <w:ilvl w:val="0"/>
          <w:numId w:val="45"/>
        </w:numPr>
        <w:ind w:left="567" w:hanging="567"/>
      </w:pPr>
      <w:r w:rsidRPr="004C6851">
        <w:t xml:space="preserve">The increase in Supplies and consumables reflects the inclusion of cross border expenses ($33.1 million) which were originally budgeted against Grants and subsidies and Tasmanian Risk Management Fund (TRMF) premiums ($11.2 million) which have been reclassified against </w:t>
      </w:r>
      <w:proofErr w:type="gramStart"/>
      <w:r w:rsidRPr="004C6851">
        <w:t>Other</w:t>
      </w:r>
      <w:proofErr w:type="gramEnd"/>
      <w:r w:rsidRPr="004C6851">
        <w:t xml:space="preserve"> expenses. Also, an additional $2.4 million of maintenance costs were not budgeted for.</w:t>
      </w:r>
    </w:p>
    <w:p w:rsidR="004C6851" w:rsidRPr="004C6851" w:rsidRDefault="004C6851" w:rsidP="0018465A">
      <w:pPr>
        <w:pStyle w:val="BodyText"/>
        <w:numPr>
          <w:ilvl w:val="0"/>
          <w:numId w:val="45"/>
        </w:numPr>
        <w:ind w:left="567" w:hanging="567"/>
      </w:pPr>
      <w:r w:rsidRPr="004C6851">
        <w:t xml:space="preserve">The increase in </w:t>
      </w:r>
      <w:proofErr w:type="gramStart"/>
      <w:r w:rsidRPr="004C6851">
        <w:t>Other</w:t>
      </w:r>
      <w:proofErr w:type="gramEnd"/>
      <w:r w:rsidRPr="004C6851">
        <w:t xml:space="preserve"> cash payments reflects the reallocation of TRMF premiums from Supplies and consumables ($11.2 million).</w:t>
      </w:r>
    </w:p>
    <w:p w:rsidR="004C6851" w:rsidRPr="004C6851" w:rsidRDefault="004C6851" w:rsidP="0018465A">
      <w:pPr>
        <w:pStyle w:val="BodyText"/>
        <w:numPr>
          <w:ilvl w:val="0"/>
          <w:numId w:val="45"/>
        </w:numPr>
        <w:ind w:left="567" w:hanging="567"/>
      </w:pPr>
      <w:r w:rsidRPr="004C6851">
        <w:t xml:space="preserve">The decrease in the Payment for acquisition of non-financial assets is due to the Department acquiring additional medical equipment and transferring it to the THS through capital grants. It was originally anticipated that this equipment would have to be purchased by the THS. </w:t>
      </w:r>
    </w:p>
    <w:p w:rsidR="004C6851" w:rsidRDefault="004C6851" w:rsidP="0018465A">
      <w:pPr>
        <w:pStyle w:val="BodyText"/>
        <w:numPr>
          <w:ilvl w:val="0"/>
          <w:numId w:val="45"/>
        </w:numPr>
        <w:ind w:left="567" w:hanging="567"/>
      </w:pPr>
      <w:r w:rsidRPr="004C6851">
        <w:t>The increase in the Repayment of borrowings reflects the early repayment of temporary borrowings provided to fund the cost of staff separations in the THO South in 2015-16.</w:t>
      </w:r>
    </w:p>
    <w:p w:rsidR="004C6851" w:rsidRDefault="004C6851">
      <w:pPr>
        <w:rPr>
          <w:rFonts w:ascii="Gill Sans MT" w:eastAsia="GillSans-Light" w:hAnsi="Gill Sans MT" w:cs="GillSans-Light"/>
          <w:lang w:val="en-US"/>
        </w:rPr>
      </w:pPr>
      <w:r>
        <w:br w:type="page"/>
      </w:r>
    </w:p>
    <w:p w:rsidR="004C6851" w:rsidRDefault="004C6851" w:rsidP="004C6851">
      <w:pPr>
        <w:pStyle w:val="Heading4"/>
        <w:tabs>
          <w:tab w:val="left" w:pos="1560"/>
        </w:tabs>
      </w:pPr>
      <w:r>
        <w:lastRenderedPageBreak/>
        <w:t>Note 4</w:t>
      </w:r>
      <w:r>
        <w:tab/>
        <w:t>Underlying Net Operating Balance</w:t>
      </w:r>
    </w:p>
    <w:p w:rsidR="004C6851" w:rsidRDefault="004C6851" w:rsidP="004C6851"/>
    <w:p w:rsidR="004C6851" w:rsidRDefault="004C6851" w:rsidP="004C6851">
      <w:pPr>
        <w:pStyle w:val="BodyText"/>
      </w:pPr>
      <w:r>
        <w:t>Non-operational capital funding is the income from transactions relating to funding for capital projects.</w:t>
      </w:r>
      <w:r w:rsidR="000B23D3">
        <w:t xml:space="preserve"> </w:t>
      </w:r>
      <w:r>
        <w:t>This funding is classified as income from transactions and reflected in the net operating balance. However,</w:t>
      </w:r>
      <w:r w:rsidR="000B23D3">
        <w:t xml:space="preserve"> </w:t>
      </w:r>
      <w:r>
        <w:t>the corresponding capital expenditure is not included in the calculation of the net operating balance.</w:t>
      </w:r>
      <w:r w:rsidR="000B23D3">
        <w:t xml:space="preserve"> </w:t>
      </w:r>
      <w:r>
        <w:t>Accordingly, the net operating balance will portray a position that is better than the true underlying</w:t>
      </w:r>
      <w:r w:rsidR="000B23D3">
        <w:t xml:space="preserve"> </w:t>
      </w:r>
      <w:r>
        <w:t>financial result.</w:t>
      </w:r>
    </w:p>
    <w:p w:rsidR="004C6851" w:rsidRDefault="004C6851" w:rsidP="004C6851">
      <w:pPr>
        <w:pStyle w:val="BodyText"/>
      </w:pPr>
      <w:r>
        <w:t>For this reason, the net operating result is adjusted to remove the effects of funding for capital projects.</w:t>
      </w:r>
    </w:p>
    <w:p w:rsidR="004C6851" w:rsidRDefault="004C6851" w:rsidP="004C6851">
      <w:pPr>
        <w:pStyle w:val="BodyText"/>
      </w:pPr>
      <w:r>
        <w:t>Non-operational expenditure that is removed from the net operating balance consists of capital transfers</w:t>
      </w:r>
      <w:r w:rsidR="000B23D3">
        <w:t xml:space="preserve"> </w:t>
      </w:r>
      <w:r>
        <w:t>to the THS.</w:t>
      </w:r>
    </w:p>
    <w:tbl>
      <w:tblPr>
        <w:tblW w:w="0" w:type="auto"/>
        <w:tblLayout w:type="fixed"/>
        <w:tblCellMar>
          <w:left w:w="0" w:type="dxa"/>
          <w:right w:w="0" w:type="dxa"/>
        </w:tblCellMar>
        <w:tblLook w:val="01E0" w:firstRow="1" w:lastRow="1" w:firstColumn="1" w:lastColumn="1" w:noHBand="0" w:noVBand="0"/>
        <w:tblCaption w:val="Underlying Net Operating Balance"/>
      </w:tblPr>
      <w:tblGrid>
        <w:gridCol w:w="7655"/>
        <w:gridCol w:w="1169"/>
        <w:gridCol w:w="1191"/>
      </w:tblGrid>
      <w:tr w:rsidR="000B23D3" w:rsidRPr="000B23D3" w:rsidTr="000B23D3">
        <w:trPr>
          <w:trHeight w:hRule="exact" w:val="691"/>
          <w:tblHeader/>
        </w:trPr>
        <w:tc>
          <w:tcPr>
            <w:tcW w:w="7655" w:type="dxa"/>
            <w:tcBorders>
              <w:top w:val="single" w:sz="4" w:space="0" w:color="004D8F"/>
              <w:bottom w:val="single" w:sz="4" w:space="0" w:color="004D8F"/>
            </w:tcBorders>
            <w:shd w:val="clear" w:color="auto" w:fill="auto"/>
            <w:vAlign w:val="bottom"/>
          </w:tcPr>
          <w:p w:rsidR="000B23D3" w:rsidRPr="000B23D3" w:rsidRDefault="000B23D3" w:rsidP="000B23D3">
            <w:pPr>
              <w:pStyle w:val="TableParagraph"/>
              <w:spacing w:line="200" w:lineRule="exact"/>
              <w:ind w:right="339"/>
              <w:rPr>
                <w:rFonts w:ascii="GillSans-SemiBold"/>
                <w:b/>
                <w:sz w:val="18"/>
              </w:rPr>
            </w:pPr>
            <w:r>
              <w:rPr>
                <w:rFonts w:ascii="GillSans-SemiBold"/>
                <w:b/>
                <w:sz w:val="18"/>
              </w:rPr>
              <w:t>Description</w:t>
            </w:r>
          </w:p>
        </w:tc>
        <w:tc>
          <w:tcPr>
            <w:tcW w:w="1169" w:type="dxa"/>
            <w:tcBorders>
              <w:top w:val="single" w:sz="4" w:space="0" w:color="004D8F"/>
              <w:bottom w:val="single" w:sz="4" w:space="0" w:color="004D8F"/>
            </w:tcBorders>
            <w:shd w:val="clear" w:color="auto" w:fill="auto"/>
            <w:vAlign w:val="bottom"/>
          </w:tcPr>
          <w:p w:rsidR="000B23D3" w:rsidRPr="000B23D3" w:rsidRDefault="000B23D3" w:rsidP="000B23D3">
            <w:pPr>
              <w:pStyle w:val="TableParagraph"/>
              <w:spacing w:before="41" w:line="207" w:lineRule="exact"/>
              <w:ind w:right="35"/>
              <w:jc w:val="right"/>
              <w:rPr>
                <w:rFonts w:ascii="GillSans-SemiBold"/>
                <w:b/>
                <w:sz w:val="18"/>
              </w:rPr>
            </w:pPr>
            <w:r w:rsidRPr="000B23D3">
              <w:rPr>
                <w:rFonts w:ascii="GillSans-SemiBold"/>
                <w:b/>
                <w:sz w:val="18"/>
              </w:rPr>
              <w:t>2016</w:t>
            </w:r>
          </w:p>
          <w:p w:rsidR="000B23D3" w:rsidRPr="000B23D3" w:rsidRDefault="000B23D3" w:rsidP="000B23D3">
            <w:pPr>
              <w:pStyle w:val="TableParagraph"/>
              <w:spacing w:line="207" w:lineRule="exact"/>
              <w:ind w:right="35"/>
              <w:jc w:val="right"/>
              <w:rPr>
                <w:rFonts w:ascii="GillSans-SemiBold" w:hAnsi="GillSans-SemiBold"/>
                <w:b/>
                <w:sz w:val="18"/>
              </w:rPr>
            </w:pPr>
            <w:r w:rsidRPr="000B23D3">
              <w:rPr>
                <w:rFonts w:ascii="GillSans-SemiBold"/>
                <w:b/>
                <w:sz w:val="18"/>
              </w:rPr>
              <w:t>Budget</w:t>
            </w:r>
            <w:r w:rsidRPr="000B23D3">
              <w:rPr>
                <w:rFonts w:ascii="GillSans-SemiBold" w:hAnsi="GillSans-SemiBold"/>
                <w:b/>
                <w:sz w:val="18"/>
              </w:rPr>
              <w:t xml:space="preserve"> </w:t>
            </w:r>
            <w:r>
              <w:rPr>
                <w:rFonts w:ascii="GillSans-SemiBold" w:hAnsi="GillSans-SemiBold"/>
                <w:b/>
                <w:sz w:val="18"/>
              </w:rPr>
              <w:br/>
            </w:r>
            <w:r w:rsidRPr="000B23D3">
              <w:rPr>
                <w:rFonts w:ascii="GillSans-SemiBold" w:hAnsi="GillSans-SemiBold"/>
                <w:b/>
                <w:sz w:val="18"/>
              </w:rPr>
              <w:t>$’000</w:t>
            </w:r>
          </w:p>
        </w:tc>
        <w:tc>
          <w:tcPr>
            <w:tcW w:w="1191" w:type="dxa"/>
            <w:tcBorders>
              <w:top w:val="single" w:sz="4" w:space="0" w:color="004D8F"/>
              <w:bottom w:val="single" w:sz="4" w:space="0" w:color="004D8F"/>
            </w:tcBorders>
            <w:shd w:val="clear" w:color="auto" w:fill="auto"/>
            <w:vAlign w:val="bottom"/>
          </w:tcPr>
          <w:p w:rsidR="000B23D3" w:rsidRPr="000B23D3" w:rsidRDefault="000B23D3" w:rsidP="000B23D3">
            <w:pPr>
              <w:pStyle w:val="TableParagraph"/>
              <w:spacing w:before="41" w:line="207" w:lineRule="exact"/>
              <w:ind w:left="295" w:right="92"/>
              <w:jc w:val="right"/>
              <w:rPr>
                <w:rFonts w:ascii="GillSans-SemiBold"/>
                <w:b/>
                <w:sz w:val="18"/>
              </w:rPr>
            </w:pPr>
            <w:r w:rsidRPr="000B23D3">
              <w:rPr>
                <w:rFonts w:ascii="GillSans-SemiBold"/>
                <w:b/>
                <w:sz w:val="18"/>
              </w:rPr>
              <w:t>2016</w:t>
            </w:r>
          </w:p>
          <w:p w:rsidR="000B23D3" w:rsidRPr="000B23D3" w:rsidRDefault="000B23D3" w:rsidP="000B23D3">
            <w:pPr>
              <w:pStyle w:val="TableParagraph"/>
              <w:spacing w:line="200" w:lineRule="exact"/>
              <w:ind w:left="304" w:right="92"/>
              <w:jc w:val="right"/>
              <w:rPr>
                <w:rFonts w:ascii="GillSans-SemiBold"/>
                <w:b/>
                <w:sz w:val="18"/>
              </w:rPr>
            </w:pPr>
            <w:r w:rsidRPr="000B23D3">
              <w:rPr>
                <w:rFonts w:ascii="GillSans-SemiBold"/>
                <w:b/>
                <w:sz w:val="18"/>
              </w:rPr>
              <w:t>Actual</w:t>
            </w:r>
          </w:p>
          <w:p w:rsidR="000B23D3" w:rsidRPr="000B23D3" w:rsidRDefault="000B23D3" w:rsidP="000B23D3">
            <w:pPr>
              <w:pStyle w:val="TableParagraph"/>
              <w:spacing w:line="207" w:lineRule="exact"/>
              <w:ind w:left="304" w:right="92"/>
              <w:jc w:val="right"/>
              <w:rPr>
                <w:rFonts w:ascii="GillSans-SemiBold" w:hAnsi="GillSans-SemiBold"/>
                <w:b/>
                <w:sz w:val="18"/>
              </w:rPr>
            </w:pPr>
            <w:r w:rsidRPr="000B23D3">
              <w:rPr>
                <w:rFonts w:ascii="GillSans-SemiBold" w:hAnsi="GillSans-SemiBold"/>
                <w:b/>
                <w:sz w:val="18"/>
              </w:rPr>
              <w:t>$’000</w:t>
            </w:r>
          </w:p>
        </w:tc>
      </w:tr>
      <w:tr w:rsidR="000B23D3" w:rsidTr="000B23D3">
        <w:trPr>
          <w:trHeight w:hRule="exact" w:val="331"/>
        </w:trPr>
        <w:tc>
          <w:tcPr>
            <w:tcW w:w="7655" w:type="dxa"/>
            <w:tcBorders>
              <w:top w:val="single" w:sz="4" w:space="0" w:color="004D8F"/>
            </w:tcBorders>
            <w:shd w:val="clear" w:color="auto" w:fill="auto"/>
          </w:tcPr>
          <w:p w:rsidR="000B23D3" w:rsidRDefault="000B23D3" w:rsidP="000B23D3">
            <w:pPr>
              <w:pStyle w:val="TableParagraph"/>
              <w:spacing w:before="63"/>
              <w:ind w:left="79"/>
              <w:rPr>
                <w:rFonts w:ascii="GillSans-SemiBold"/>
                <w:b/>
                <w:sz w:val="18"/>
              </w:rPr>
            </w:pPr>
            <w:r>
              <w:rPr>
                <w:rFonts w:ascii="GillSans-SemiBold"/>
                <w:b/>
                <w:sz w:val="18"/>
              </w:rPr>
              <w:t>Net result from transactions (net operating balance)</w:t>
            </w:r>
          </w:p>
        </w:tc>
        <w:tc>
          <w:tcPr>
            <w:tcW w:w="1169" w:type="dxa"/>
            <w:tcBorders>
              <w:top w:val="single" w:sz="4" w:space="0" w:color="004D8F"/>
            </w:tcBorders>
            <w:shd w:val="clear" w:color="auto" w:fill="auto"/>
          </w:tcPr>
          <w:p w:rsidR="000B23D3" w:rsidRDefault="000B23D3" w:rsidP="000B23D3">
            <w:pPr>
              <w:pStyle w:val="TableParagraph"/>
              <w:spacing w:before="63"/>
              <w:ind w:right="111"/>
              <w:jc w:val="right"/>
              <w:rPr>
                <w:rFonts w:ascii="GillSans-SemiBold"/>
                <w:b/>
                <w:sz w:val="18"/>
              </w:rPr>
            </w:pPr>
            <w:r>
              <w:rPr>
                <w:rFonts w:ascii="GillSans-SemiBold"/>
                <w:b/>
                <w:sz w:val="18"/>
              </w:rPr>
              <w:t>272 007</w:t>
            </w:r>
          </w:p>
        </w:tc>
        <w:tc>
          <w:tcPr>
            <w:tcW w:w="1191" w:type="dxa"/>
            <w:tcBorders>
              <w:top w:val="single" w:sz="4" w:space="0" w:color="004D8F"/>
            </w:tcBorders>
            <w:shd w:val="clear" w:color="auto" w:fill="auto"/>
          </w:tcPr>
          <w:p w:rsidR="000B23D3" w:rsidRDefault="000B23D3" w:rsidP="000B23D3">
            <w:pPr>
              <w:pStyle w:val="TableParagraph"/>
              <w:spacing w:before="63"/>
              <w:ind w:right="111"/>
              <w:jc w:val="right"/>
              <w:rPr>
                <w:rFonts w:ascii="GillSans-SemiBold"/>
                <w:b/>
                <w:sz w:val="18"/>
              </w:rPr>
            </w:pPr>
            <w:r>
              <w:rPr>
                <w:rFonts w:ascii="GillSans-SemiBold"/>
                <w:b/>
                <w:sz w:val="18"/>
              </w:rPr>
              <w:t>35 127</w:t>
            </w:r>
          </w:p>
        </w:tc>
      </w:tr>
      <w:tr w:rsidR="000B23D3" w:rsidTr="000B23D3">
        <w:trPr>
          <w:trHeight w:hRule="exact" w:val="320"/>
        </w:trPr>
        <w:tc>
          <w:tcPr>
            <w:tcW w:w="7655" w:type="dxa"/>
            <w:tcBorders>
              <w:bottom w:val="dotted" w:sz="4" w:space="0" w:color="auto"/>
            </w:tcBorders>
            <w:shd w:val="clear" w:color="auto" w:fill="auto"/>
          </w:tcPr>
          <w:p w:rsidR="000B23D3" w:rsidRDefault="000B23D3" w:rsidP="000B23D3">
            <w:pPr>
              <w:pStyle w:val="TableParagraph"/>
              <w:spacing w:before="52"/>
              <w:ind w:left="79"/>
              <w:rPr>
                <w:rFonts w:ascii="GillSans-SemiBoldItalic"/>
                <w:b/>
                <w:i/>
                <w:sz w:val="18"/>
              </w:rPr>
            </w:pPr>
            <w:r>
              <w:rPr>
                <w:rFonts w:ascii="GillSans-SemiBoldItalic"/>
                <w:b/>
                <w:i/>
                <w:sz w:val="18"/>
              </w:rPr>
              <w:t>Less impact of:</w:t>
            </w:r>
          </w:p>
        </w:tc>
        <w:tc>
          <w:tcPr>
            <w:tcW w:w="1169" w:type="dxa"/>
            <w:tcBorders>
              <w:bottom w:val="dotted" w:sz="4" w:space="0" w:color="auto"/>
            </w:tcBorders>
            <w:shd w:val="clear" w:color="auto" w:fill="auto"/>
          </w:tcPr>
          <w:p w:rsidR="000B23D3" w:rsidRDefault="000B23D3" w:rsidP="000B23D3"/>
        </w:tc>
        <w:tc>
          <w:tcPr>
            <w:tcW w:w="1191" w:type="dxa"/>
            <w:tcBorders>
              <w:bottom w:val="dotted" w:sz="4" w:space="0" w:color="auto"/>
            </w:tcBorders>
            <w:shd w:val="clear" w:color="auto" w:fill="auto"/>
          </w:tcPr>
          <w:p w:rsidR="000B23D3" w:rsidRDefault="000B23D3" w:rsidP="000B23D3"/>
        </w:tc>
      </w:tr>
      <w:tr w:rsidR="000B23D3" w:rsidTr="000B23D3">
        <w:trPr>
          <w:trHeight w:hRule="exact" w:val="324"/>
        </w:trPr>
        <w:tc>
          <w:tcPr>
            <w:tcW w:w="7655" w:type="dxa"/>
            <w:tcBorders>
              <w:top w:val="dotted" w:sz="4" w:space="0" w:color="auto"/>
              <w:left w:val="dotted" w:sz="4" w:space="0" w:color="auto"/>
              <w:bottom w:val="dotted" w:sz="4" w:space="0" w:color="auto"/>
            </w:tcBorders>
            <w:shd w:val="clear" w:color="auto" w:fill="auto"/>
          </w:tcPr>
          <w:p w:rsidR="000B23D3" w:rsidRDefault="000B23D3" w:rsidP="000B23D3">
            <w:pPr>
              <w:pStyle w:val="TableParagraph"/>
              <w:spacing w:before="52"/>
              <w:ind w:left="79"/>
              <w:rPr>
                <w:rFonts w:ascii="GillSans-SemiBoldItalic"/>
                <w:b/>
                <w:i/>
                <w:sz w:val="18"/>
              </w:rPr>
            </w:pPr>
            <w:r>
              <w:rPr>
                <w:rFonts w:ascii="GillSans-SemiBoldItalic"/>
                <w:b/>
                <w:i/>
                <w:sz w:val="18"/>
              </w:rPr>
              <w:t>Non-operational capital funding</w:t>
            </w:r>
          </w:p>
        </w:tc>
        <w:tc>
          <w:tcPr>
            <w:tcW w:w="1169" w:type="dxa"/>
            <w:tcBorders>
              <w:top w:val="dotted" w:sz="4" w:space="0" w:color="auto"/>
              <w:bottom w:val="dotted" w:sz="4" w:space="0" w:color="auto"/>
            </w:tcBorders>
            <w:shd w:val="clear" w:color="auto" w:fill="auto"/>
          </w:tcPr>
          <w:p w:rsidR="000B23D3" w:rsidRDefault="000B23D3" w:rsidP="000B23D3"/>
        </w:tc>
        <w:tc>
          <w:tcPr>
            <w:tcW w:w="1191" w:type="dxa"/>
            <w:tcBorders>
              <w:top w:val="dotted" w:sz="4" w:space="0" w:color="auto"/>
              <w:bottom w:val="dotted" w:sz="4" w:space="0" w:color="auto"/>
              <w:right w:val="dotted" w:sz="4" w:space="0" w:color="auto"/>
            </w:tcBorders>
            <w:shd w:val="clear" w:color="auto" w:fill="auto"/>
          </w:tcPr>
          <w:p w:rsidR="000B23D3" w:rsidRDefault="000B23D3" w:rsidP="000B23D3"/>
        </w:tc>
      </w:tr>
      <w:tr w:rsidR="000B23D3" w:rsidTr="000B23D3">
        <w:trPr>
          <w:trHeight w:hRule="exact" w:val="337"/>
        </w:trPr>
        <w:tc>
          <w:tcPr>
            <w:tcW w:w="7655" w:type="dxa"/>
            <w:tcBorders>
              <w:top w:val="dotted" w:sz="4" w:space="0" w:color="auto"/>
              <w:bottom w:val="single" w:sz="4" w:space="0" w:color="004D8F"/>
            </w:tcBorders>
            <w:shd w:val="clear" w:color="auto" w:fill="auto"/>
          </w:tcPr>
          <w:p w:rsidR="000B23D3" w:rsidRPr="0018465A" w:rsidRDefault="000B23D3" w:rsidP="000B23D3">
            <w:pPr>
              <w:pStyle w:val="TableParagraph"/>
              <w:spacing w:before="56"/>
              <w:ind w:left="79"/>
              <w:rPr>
                <w:rFonts w:ascii="Gill Sans MT" w:hAnsi="Gill Sans MT"/>
                <w:sz w:val="18"/>
              </w:rPr>
            </w:pPr>
            <w:r w:rsidRPr="0018465A">
              <w:rPr>
                <w:rFonts w:ascii="Gill Sans MT" w:hAnsi="Gill Sans MT"/>
                <w:sz w:val="18"/>
              </w:rPr>
              <w:t>Assets transferred</w:t>
            </w:r>
          </w:p>
        </w:tc>
        <w:tc>
          <w:tcPr>
            <w:tcW w:w="1169" w:type="dxa"/>
            <w:tcBorders>
              <w:top w:val="dotted" w:sz="4" w:space="0" w:color="auto"/>
              <w:bottom w:val="single" w:sz="4" w:space="0" w:color="004D8F"/>
            </w:tcBorders>
            <w:shd w:val="clear" w:color="auto" w:fill="auto"/>
          </w:tcPr>
          <w:p w:rsidR="000B23D3" w:rsidRDefault="000B23D3" w:rsidP="000B23D3">
            <w:pPr>
              <w:pStyle w:val="TableParagraph"/>
              <w:spacing w:before="56"/>
              <w:ind w:right="111"/>
              <w:jc w:val="right"/>
              <w:rPr>
                <w:sz w:val="18"/>
              </w:rPr>
            </w:pPr>
            <w:r>
              <w:rPr>
                <w:sz w:val="18"/>
              </w:rPr>
              <w:t>336 200</w:t>
            </w:r>
          </w:p>
        </w:tc>
        <w:tc>
          <w:tcPr>
            <w:tcW w:w="1191" w:type="dxa"/>
            <w:tcBorders>
              <w:top w:val="dotted" w:sz="4" w:space="0" w:color="auto"/>
              <w:bottom w:val="single" w:sz="4" w:space="0" w:color="004D8F"/>
            </w:tcBorders>
            <w:shd w:val="clear" w:color="auto" w:fill="auto"/>
          </w:tcPr>
          <w:p w:rsidR="000B23D3" w:rsidRDefault="000B23D3" w:rsidP="000B23D3">
            <w:pPr>
              <w:pStyle w:val="TableParagraph"/>
              <w:spacing w:before="56"/>
              <w:ind w:right="111"/>
              <w:jc w:val="right"/>
              <w:rPr>
                <w:sz w:val="18"/>
              </w:rPr>
            </w:pPr>
            <w:r>
              <w:rPr>
                <w:sz w:val="18"/>
              </w:rPr>
              <w:t>72 780</w:t>
            </w:r>
          </w:p>
        </w:tc>
      </w:tr>
      <w:tr w:rsidR="000B23D3" w:rsidTr="000B23D3">
        <w:trPr>
          <w:trHeight w:hRule="exact" w:val="321"/>
        </w:trPr>
        <w:tc>
          <w:tcPr>
            <w:tcW w:w="7655" w:type="dxa"/>
            <w:tcBorders>
              <w:top w:val="single" w:sz="4" w:space="0" w:color="004D8F"/>
              <w:bottom w:val="single" w:sz="4" w:space="0" w:color="004D8F"/>
            </w:tcBorders>
            <w:shd w:val="clear" w:color="auto" w:fill="auto"/>
          </w:tcPr>
          <w:p w:rsidR="000B23D3" w:rsidRDefault="000B23D3" w:rsidP="000B23D3">
            <w:pPr>
              <w:pStyle w:val="TableParagraph"/>
              <w:spacing w:before="71"/>
              <w:ind w:left="79"/>
              <w:rPr>
                <w:rFonts w:ascii="GillSans-SemiBold"/>
                <w:b/>
                <w:sz w:val="18"/>
              </w:rPr>
            </w:pPr>
            <w:r>
              <w:rPr>
                <w:rFonts w:ascii="GillSans-SemiBold"/>
                <w:b/>
                <w:sz w:val="18"/>
              </w:rPr>
              <w:t>Total</w:t>
            </w:r>
          </w:p>
        </w:tc>
        <w:tc>
          <w:tcPr>
            <w:tcW w:w="1169" w:type="dxa"/>
            <w:tcBorders>
              <w:top w:val="single" w:sz="4" w:space="0" w:color="004D8F"/>
              <w:bottom w:val="single" w:sz="4" w:space="0" w:color="004D8F"/>
            </w:tcBorders>
            <w:shd w:val="clear" w:color="auto" w:fill="auto"/>
          </w:tcPr>
          <w:p w:rsidR="000B23D3" w:rsidRDefault="000B23D3" w:rsidP="000B23D3">
            <w:pPr>
              <w:pStyle w:val="TableParagraph"/>
              <w:spacing w:before="67"/>
              <w:ind w:right="111"/>
              <w:jc w:val="right"/>
              <w:rPr>
                <w:rFonts w:ascii="GillSans-SemiBold"/>
                <w:b/>
                <w:sz w:val="18"/>
              </w:rPr>
            </w:pPr>
            <w:r>
              <w:rPr>
                <w:rFonts w:ascii="GillSans-SemiBold"/>
                <w:b/>
                <w:sz w:val="18"/>
              </w:rPr>
              <w:t>336 200</w:t>
            </w:r>
          </w:p>
        </w:tc>
        <w:tc>
          <w:tcPr>
            <w:tcW w:w="1191" w:type="dxa"/>
            <w:tcBorders>
              <w:top w:val="single" w:sz="4" w:space="0" w:color="004D8F"/>
              <w:bottom w:val="single" w:sz="4" w:space="0" w:color="004D8F"/>
            </w:tcBorders>
            <w:shd w:val="clear" w:color="auto" w:fill="auto"/>
          </w:tcPr>
          <w:p w:rsidR="000B23D3" w:rsidRDefault="000B23D3" w:rsidP="000B23D3">
            <w:pPr>
              <w:pStyle w:val="TableParagraph"/>
              <w:spacing w:before="67"/>
              <w:ind w:right="111"/>
              <w:jc w:val="right"/>
              <w:rPr>
                <w:rFonts w:ascii="GillSans-SemiBold"/>
                <w:b/>
                <w:sz w:val="18"/>
              </w:rPr>
            </w:pPr>
            <w:r>
              <w:rPr>
                <w:rFonts w:ascii="GillSans-SemiBold"/>
                <w:b/>
                <w:sz w:val="18"/>
              </w:rPr>
              <w:t>72 780</w:t>
            </w:r>
          </w:p>
        </w:tc>
      </w:tr>
      <w:tr w:rsidR="000B23D3" w:rsidTr="000B23D3">
        <w:trPr>
          <w:trHeight w:hRule="exact" w:val="320"/>
        </w:trPr>
        <w:tc>
          <w:tcPr>
            <w:tcW w:w="7655" w:type="dxa"/>
            <w:tcBorders>
              <w:bottom w:val="single" w:sz="4" w:space="0" w:color="004D8F"/>
            </w:tcBorders>
            <w:shd w:val="clear" w:color="auto" w:fill="auto"/>
          </w:tcPr>
          <w:p w:rsidR="000B23D3" w:rsidRDefault="000B23D3" w:rsidP="000B23D3">
            <w:pPr>
              <w:pStyle w:val="TableParagraph"/>
              <w:spacing w:before="70"/>
              <w:ind w:left="79"/>
              <w:rPr>
                <w:rFonts w:ascii="GillSans-SemiBold"/>
                <w:b/>
                <w:sz w:val="18"/>
              </w:rPr>
            </w:pPr>
            <w:r>
              <w:rPr>
                <w:rFonts w:ascii="GillSans-SemiBold"/>
                <w:b/>
                <w:sz w:val="18"/>
              </w:rPr>
              <w:t>Underlying Net operating  balance</w:t>
            </w:r>
          </w:p>
        </w:tc>
        <w:tc>
          <w:tcPr>
            <w:tcW w:w="1169" w:type="dxa"/>
            <w:tcBorders>
              <w:bottom w:val="single" w:sz="4" w:space="0" w:color="004D8F"/>
            </w:tcBorders>
            <w:shd w:val="clear" w:color="auto" w:fill="auto"/>
          </w:tcPr>
          <w:p w:rsidR="000B23D3" w:rsidRDefault="000B23D3" w:rsidP="000B23D3">
            <w:pPr>
              <w:pStyle w:val="TableParagraph"/>
              <w:spacing w:before="66"/>
              <w:ind w:right="54"/>
              <w:jc w:val="right"/>
              <w:rPr>
                <w:rFonts w:ascii="GillSans-SemiBold"/>
                <w:b/>
                <w:sz w:val="18"/>
              </w:rPr>
            </w:pPr>
            <w:r>
              <w:rPr>
                <w:rFonts w:ascii="GillSans-SemiBold"/>
                <w:b/>
                <w:sz w:val="18"/>
              </w:rPr>
              <w:t>(64 193)</w:t>
            </w:r>
          </w:p>
        </w:tc>
        <w:tc>
          <w:tcPr>
            <w:tcW w:w="1191" w:type="dxa"/>
            <w:tcBorders>
              <w:bottom w:val="single" w:sz="4" w:space="0" w:color="004D8F"/>
            </w:tcBorders>
            <w:shd w:val="clear" w:color="auto" w:fill="auto"/>
          </w:tcPr>
          <w:p w:rsidR="000B23D3" w:rsidRDefault="000B23D3" w:rsidP="000B23D3">
            <w:pPr>
              <w:pStyle w:val="TableParagraph"/>
              <w:spacing w:before="66"/>
              <w:ind w:right="54"/>
              <w:jc w:val="right"/>
              <w:rPr>
                <w:rFonts w:ascii="GillSans-SemiBold"/>
                <w:b/>
                <w:sz w:val="18"/>
              </w:rPr>
            </w:pPr>
            <w:r>
              <w:rPr>
                <w:rFonts w:ascii="GillSans-SemiBold"/>
                <w:b/>
                <w:sz w:val="18"/>
              </w:rPr>
              <w:t>(37 653)</w:t>
            </w:r>
          </w:p>
        </w:tc>
      </w:tr>
    </w:tbl>
    <w:p w:rsidR="000B23D3" w:rsidRDefault="000B23D3" w:rsidP="004C6851">
      <w:pPr>
        <w:pStyle w:val="BodyText"/>
      </w:pPr>
    </w:p>
    <w:p w:rsidR="00797042" w:rsidRDefault="00797042">
      <w:pPr>
        <w:rPr>
          <w:rFonts w:ascii="Gill Sans MT" w:eastAsiaTheme="majorEastAsia" w:hAnsi="Gill Sans MT" w:cstheme="majorBidi"/>
          <w:b/>
          <w:bCs/>
          <w:iCs/>
          <w:sz w:val="24"/>
        </w:rPr>
      </w:pPr>
      <w:r>
        <w:br w:type="page"/>
      </w:r>
    </w:p>
    <w:p w:rsidR="000B752E" w:rsidRDefault="000B752E" w:rsidP="000B752E">
      <w:pPr>
        <w:pStyle w:val="Heading4"/>
        <w:tabs>
          <w:tab w:val="left" w:pos="1560"/>
        </w:tabs>
      </w:pPr>
      <w:r>
        <w:lastRenderedPageBreak/>
        <w:t>Note 5</w:t>
      </w:r>
      <w:r>
        <w:tab/>
        <w:t>Income from Transactions</w:t>
      </w:r>
    </w:p>
    <w:p w:rsidR="000B752E" w:rsidRDefault="000B752E" w:rsidP="000B752E">
      <w:pPr>
        <w:pStyle w:val="BodyText"/>
      </w:pPr>
    </w:p>
    <w:p w:rsidR="000B752E" w:rsidRPr="000B752E" w:rsidRDefault="000B752E" w:rsidP="000B752E">
      <w:pPr>
        <w:pStyle w:val="BodyText"/>
      </w:pPr>
      <w:r>
        <w:t xml:space="preserve">Income is recognised in the Statement of Comprehensive Income when </w:t>
      </w:r>
      <w:proofErr w:type="gramStart"/>
      <w:r>
        <w:t>an increase in future economic benefits</w:t>
      </w:r>
      <w:proofErr w:type="gramEnd"/>
      <w:r>
        <w:t xml:space="preserve"> related to an increase in an asset or a decrease of a liability has arisen that can be measured reliably.</w:t>
      </w:r>
    </w:p>
    <w:p w:rsidR="000B752E" w:rsidRDefault="000B752E" w:rsidP="00F655F3">
      <w:pPr>
        <w:pStyle w:val="Heading5"/>
        <w:tabs>
          <w:tab w:val="left" w:pos="567"/>
        </w:tabs>
      </w:pPr>
      <w:r>
        <w:t xml:space="preserve">5.1 </w:t>
      </w:r>
      <w:r w:rsidR="00F655F3">
        <w:tab/>
      </w:r>
      <w:r>
        <w:t>Grants</w:t>
      </w:r>
    </w:p>
    <w:p w:rsidR="000B752E" w:rsidRDefault="000B752E" w:rsidP="000B752E">
      <w:pPr>
        <w:pStyle w:val="BodyText"/>
      </w:pPr>
      <w:r>
        <w:t>Grants payable by the Australian Government are recognised as revenue when the THS gains control of the underlying assets. Where grants are reciprocal, revenue is recognised as performance occurs under the grant.</w:t>
      </w:r>
    </w:p>
    <w:p w:rsidR="000B752E" w:rsidRPr="000B752E" w:rsidRDefault="000B752E" w:rsidP="000B752E">
      <w:pPr>
        <w:pStyle w:val="BodyText"/>
      </w:pPr>
      <w:r>
        <w:t>Non-reciprocal grants are recognised as revenue when the grant is received or receivable. Conditional grants may be reciprocal or non-reciprocal depending on the terms of the grant.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Continuing Operations"/>
      </w:tblPr>
      <w:tblGrid>
        <w:gridCol w:w="8364"/>
        <w:gridCol w:w="1559"/>
      </w:tblGrid>
      <w:tr w:rsidR="00797042" w:rsidRPr="004D718D" w:rsidTr="009B2960">
        <w:trPr>
          <w:trHeight w:hRule="exact" w:val="520"/>
        </w:trPr>
        <w:tc>
          <w:tcPr>
            <w:tcW w:w="8364" w:type="dxa"/>
            <w:tcBorders>
              <w:top w:val="single" w:sz="4" w:space="0" w:color="004D8F"/>
              <w:bottom w:val="single" w:sz="4" w:space="0" w:color="004D8F"/>
              <w:right w:val="dotted" w:sz="4" w:space="0" w:color="auto"/>
            </w:tcBorders>
            <w:shd w:val="clear" w:color="auto" w:fill="auto"/>
            <w:vAlign w:val="bottom"/>
          </w:tcPr>
          <w:p w:rsidR="00797042" w:rsidRPr="009B2960" w:rsidRDefault="009B2960" w:rsidP="004D718D">
            <w:pPr>
              <w:rPr>
                <w:rFonts w:ascii="Gill Sans MT" w:hAnsi="Gill Sans MT"/>
                <w:b/>
                <w:sz w:val="18"/>
                <w:szCs w:val="18"/>
              </w:rPr>
            </w:pPr>
            <w:r w:rsidRPr="009B2960">
              <w:rPr>
                <w:rFonts w:ascii="Gill Sans MT" w:hAnsi="Gill Sans MT"/>
                <w:b/>
                <w:sz w:val="18"/>
                <w:szCs w:val="18"/>
              </w:rPr>
              <w:t>Description</w:t>
            </w:r>
          </w:p>
        </w:tc>
        <w:tc>
          <w:tcPr>
            <w:tcW w:w="1559" w:type="dxa"/>
            <w:tcBorders>
              <w:top w:val="single" w:sz="4" w:space="0" w:color="004D8F"/>
              <w:left w:val="dotted" w:sz="4" w:space="0" w:color="auto"/>
              <w:bottom w:val="single" w:sz="4" w:space="0" w:color="004D8F"/>
            </w:tcBorders>
            <w:shd w:val="clear" w:color="auto" w:fill="auto"/>
            <w:vAlign w:val="bottom"/>
          </w:tcPr>
          <w:p w:rsidR="00797042" w:rsidRPr="004D718D" w:rsidRDefault="00797042" w:rsidP="00797042">
            <w:pPr>
              <w:pStyle w:val="TableParagraph"/>
              <w:spacing w:before="70" w:line="207" w:lineRule="exact"/>
              <w:ind w:left="380" w:right="142"/>
              <w:jc w:val="right"/>
              <w:rPr>
                <w:rFonts w:ascii="Gill Sans MT" w:hAnsi="Gill Sans MT"/>
                <w:b/>
                <w:sz w:val="18"/>
                <w:szCs w:val="18"/>
              </w:rPr>
            </w:pPr>
            <w:r w:rsidRPr="004D718D">
              <w:rPr>
                <w:rFonts w:ascii="Gill Sans MT" w:hAnsi="Gill Sans MT"/>
                <w:b/>
                <w:sz w:val="18"/>
                <w:szCs w:val="18"/>
              </w:rPr>
              <w:t>2016</w:t>
            </w:r>
          </w:p>
          <w:p w:rsidR="00797042" w:rsidRPr="004D718D" w:rsidRDefault="00797042" w:rsidP="00797042">
            <w:pPr>
              <w:pStyle w:val="TableParagraph"/>
              <w:spacing w:line="207" w:lineRule="exact"/>
              <w:ind w:left="391" w:right="142"/>
              <w:jc w:val="right"/>
              <w:rPr>
                <w:rFonts w:ascii="Gill Sans MT" w:hAnsi="Gill Sans MT"/>
                <w:b/>
                <w:sz w:val="18"/>
                <w:szCs w:val="18"/>
              </w:rPr>
            </w:pPr>
            <w:r w:rsidRPr="004D718D">
              <w:rPr>
                <w:rFonts w:ascii="Gill Sans MT" w:hAnsi="Gill Sans MT"/>
                <w:b/>
                <w:sz w:val="18"/>
                <w:szCs w:val="18"/>
              </w:rPr>
              <w:t>$’000</w:t>
            </w:r>
          </w:p>
        </w:tc>
      </w:tr>
      <w:tr w:rsidR="009B2960" w:rsidRPr="004D718D" w:rsidTr="009B2960">
        <w:trPr>
          <w:trHeight w:hRule="exact" w:val="324"/>
        </w:trPr>
        <w:tc>
          <w:tcPr>
            <w:tcW w:w="8364" w:type="dxa"/>
            <w:tcBorders>
              <w:top w:val="single" w:sz="4" w:space="0" w:color="004D8F"/>
              <w:bottom w:val="dotted" w:sz="4" w:space="0" w:color="auto"/>
            </w:tcBorders>
            <w:shd w:val="clear" w:color="auto" w:fill="auto"/>
          </w:tcPr>
          <w:p w:rsidR="009B2960" w:rsidRPr="004D718D" w:rsidRDefault="009B2960" w:rsidP="00D50E74">
            <w:pPr>
              <w:pStyle w:val="TableParagraph"/>
              <w:spacing w:before="52"/>
              <w:ind w:left="79"/>
              <w:rPr>
                <w:rFonts w:ascii="Gill Sans MT" w:hAnsi="Gill Sans MT"/>
                <w:b/>
                <w:sz w:val="18"/>
                <w:szCs w:val="18"/>
              </w:rPr>
            </w:pPr>
            <w:r w:rsidRPr="004D718D">
              <w:rPr>
                <w:rFonts w:ascii="Gill Sans MT" w:hAnsi="Gill Sans MT"/>
                <w:b/>
                <w:i/>
                <w:sz w:val="18"/>
                <w:szCs w:val="18"/>
              </w:rPr>
              <w:t>Continuing Operations</w:t>
            </w:r>
          </w:p>
        </w:tc>
        <w:tc>
          <w:tcPr>
            <w:tcW w:w="1559" w:type="dxa"/>
            <w:tcBorders>
              <w:top w:val="single" w:sz="4" w:space="0" w:color="004D8F"/>
              <w:bottom w:val="dotted" w:sz="4" w:space="0" w:color="auto"/>
            </w:tcBorders>
            <w:shd w:val="clear" w:color="auto" w:fill="auto"/>
            <w:vAlign w:val="bottom"/>
          </w:tcPr>
          <w:p w:rsidR="009B2960" w:rsidRPr="004D718D" w:rsidRDefault="009B2960" w:rsidP="00797042">
            <w:pPr>
              <w:ind w:right="142"/>
              <w:jc w:val="right"/>
              <w:rPr>
                <w:rFonts w:ascii="Gill Sans MT" w:hAnsi="Gill Sans MT"/>
                <w:sz w:val="18"/>
                <w:szCs w:val="18"/>
              </w:rPr>
            </w:pPr>
          </w:p>
        </w:tc>
      </w:tr>
      <w:tr w:rsidR="00797042" w:rsidRPr="004D718D" w:rsidTr="009B2960">
        <w:trPr>
          <w:trHeight w:hRule="exact" w:val="324"/>
        </w:trPr>
        <w:tc>
          <w:tcPr>
            <w:tcW w:w="8364" w:type="dxa"/>
            <w:tcBorders>
              <w:top w:val="dotted" w:sz="4" w:space="0" w:color="auto"/>
            </w:tcBorders>
            <w:shd w:val="clear" w:color="auto" w:fill="auto"/>
          </w:tcPr>
          <w:p w:rsidR="00797042" w:rsidRPr="004D718D" w:rsidRDefault="00797042" w:rsidP="00D50E74">
            <w:pPr>
              <w:pStyle w:val="TableParagraph"/>
              <w:spacing w:before="52"/>
              <w:ind w:left="79"/>
              <w:rPr>
                <w:rFonts w:ascii="Gill Sans MT" w:hAnsi="Gill Sans MT"/>
                <w:b/>
                <w:sz w:val="18"/>
                <w:szCs w:val="18"/>
              </w:rPr>
            </w:pPr>
            <w:r w:rsidRPr="004D718D">
              <w:rPr>
                <w:rFonts w:ascii="Gill Sans MT" w:hAnsi="Gill Sans MT"/>
                <w:b/>
                <w:sz w:val="18"/>
                <w:szCs w:val="18"/>
              </w:rPr>
              <w:t>Grants from the Australian Government</w:t>
            </w:r>
          </w:p>
        </w:tc>
        <w:tc>
          <w:tcPr>
            <w:tcW w:w="1559" w:type="dxa"/>
            <w:tcBorders>
              <w:top w:val="dotted" w:sz="4" w:space="0" w:color="auto"/>
            </w:tcBorders>
            <w:shd w:val="clear" w:color="auto" w:fill="auto"/>
            <w:vAlign w:val="bottom"/>
          </w:tcPr>
          <w:p w:rsidR="00797042" w:rsidRPr="004D718D" w:rsidRDefault="00797042" w:rsidP="00797042">
            <w:pPr>
              <w:ind w:right="142"/>
              <w:jc w:val="right"/>
              <w:rPr>
                <w:rFonts w:ascii="Gill Sans MT" w:hAnsi="Gill Sans MT"/>
                <w:sz w:val="18"/>
                <w:szCs w:val="18"/>
              </w:rPr>
            </w:pPr>
          </w:p>
        </w:tc>
      </w:tr>
      <w:tr w:rsidR="00797042" w:rsidRPr="004D718D" w:rsidTr="004D718D">
        <w:trPr>
          <w:trHeight w:hRule="exact" w:val="319"/>
        </w:trPr>
        <w:tc>
          <w:tcPr>
            <w:tcW w:w="8364" w:type="dxa"/>
            <w:shd w:val="clear" w:color="auto" w:fill="auto"/>
          </w:tcPr>
          <w:p w:rsidR="00797042" w:rsidRPr="004D718D" w:rsidRDefault="00797042" w:rsidP="00D50E74">
            <w:pPr>
              <w:pStyle w:val="TableParagraph"/>
              <w:spacing w:before="56"/>
              <w:ind w:left="79"/>
              <w:rPr>
                <w:rFonts w:ascii="Gill Sans MT" w:hAnsi="Gill Sans MT"/>
                <w:sz w:val="18"/>
                <w:szCs w:val="18"/>
              </w:rPr>
            </w:pPr>
            <w:r w:rsidRPr="004D718D">
              <w:rPr>
                <w:rFonts w:ascii="Gill Sans MT" w:hAnsi="Gill Sans MT"/>
                <w:sz w:val="18"/>
                <w:szCs w:val="18"/>
              </w:rPr>
              <w:t>Commonwealth Recurrent Grants - Block  Funding</w:t>
            </w:r>
          </w:p>
        </w:tc>
        <w:tc>
          <w:tcPr>
            <w:tcW w:w="1559" w:type="dxa"/>
            <w:shd w:val="clear" w:color="auto" w:fill="auto"/>
            <w:vAlign w:val="bottom"/>
          </w:tcPr>
          <w:p w:rsidR="00797042" w:rsidRPr="004D718D" w:rsidRDefault="00797042" w:rsidP="00797042">
            <w:pPr>
              <w:pStyle w:val="TableParagraph"/>
              <w:spacing w:before="56"/>
              <w:ind w:right="142"/>
              <w:jc w:val="right"/>
              <w:rPr>
                <w:rFonts w:ascii="Gill Sans MT" w:hAnsi="Gill Sans MT"/>
                <w:sz w:val="18"/>
                <w:szCs w:val="18"/>
              </w:rPr>
            </w:pPr>
            <w:r w:rsidRPr="004D718D">
              <w:rPr>
                <w:rFonts w:ascii="Gill Sans MT" w:hAnsi="Gill Sans MT"/>
                <w:sz w:val="18"/>
                <w:szCs w:val="18"/>
              </w:rPr>
              <w:t>55 913</w:t>
            </w:r>
          </w:p>
        </w:tc>
      </w:tr>
      <w:tr w:rsidR="00797042" w:rsidRPr="004D718D" w:rsidTr="004D718D">
        <w:trPr>
          <w:trHeight w:hRule="exact" w:val="320"/>
        </w:trPr>
        <w:tc>
          <w:tcPr>
            <w:tcW w:w="8364" w:type="dxa"/>
            <w:shd w:val="clear" w:color="auto" w:fill="auto"/>
          </w:tcPr>
          <w:p w:rsidR="00797042" w:rsidRPr="004D718D" w:rsidRDefault="00797042" w:rsidP="00D50E74">
            <w:pPr>
              <w:pStyle w:val="TableParagraph"/>
              <w:spacing w:before="57"/>
              <w:ind w:left="79"/>
              <w:rPr>
                <w:rFonts w:ascii="Gill Sans MT" w:hAnsi="Gill Sans MT"/>
                <w:sz w:val="18"/>
                <w:szCs w:val="18"/>
              </w:rPr>
            </w:pPr>
            <w:r w:rsidRPr="004D718D">
              <w:rPr>
                <w:rFonts w:ascii="Gill Sans MT" w:hAnsi="Gill Sans MT"/>
                <w:sz w:val="18"/>
                <w:szCs w:val="18"/>
              </w:rPr>
              <w:t>Commonwealth Recurrent Grants - Activity Based Funding</w:t>
            </w:r>
          </w:p>
        </w:tc>
        <w:tc>
          <w:tcPr>
            <w:tcW w:w="1559" w:type="dxa"/>
            <w:shd w:val="clear" w:color="auto" w:fill="auto"/>
            <w:vAlign w:val="bottom"/>
          </w:tcPr>
          <w:p w:rsidR="00797042" w:rsidRPr="004D718D" w:rsidRDefault="00797042" w:rsidP="00797042">
            <w:pPr>
              <w:pStyle w:val="TableParagraph"/>
              <w:spacing w:before="57"/>
              <w:ind w:right="142"/>
              <w:jc w:val="right"/>
              <w:rPr>
                <w:rFonts w:ascii="Gill Sans MT" w:hAnsi="Gill Sans MT"/>
                <w:sz w:val="18"/>
                <w:szCs w:val="18"/>
              </w:rPr>
            </w:pPr>
            <w:r w:rsidRPr="004D718D">
              <w:rPr>
                <w:rFonts w:ascii="Gill Sans MT" w:hAnsi="Gill Sans MT"/>
                <w:sz w:val="18"/>
                <w:szCs w:val="18"/>
              </w:rPr>
              <w:t>311 424</w:t>
            </w:r>
          </w:p>
        </w:tc>
      </w:tr>
      <w:tr w:rsidR="00797042" w:rsidRPr="004D718D" w:rsidTr="004D718D">
        <w:trPr>
          <w:trHeight w:hRule="exact" w:val="320"/>
        </w:trPr>
        <w:tc>
          <w:tcPr>
            <w:tcW w:w="8364" w:type="dxa"/>
            <w:shd w:val="clear" w:color="auto" w:fill="auto"/>
          </w:tcPr>
          <w:p w:rsidR="00797042" w:rsidRPr="004D718D" w:rsidRDefault="00797042" w:rsidP="00D50E74">
            <w:pPr>
              <w:pStyle w:val="TableParagraph"/>
              <w:spacing w:before="57"/>
              <w:ind w:left="79"/>
              <w:rPr>
                <w:rFonts w:ascii="Gill Sans MT" w:hAnsi="Gill Sans MT"/>
                <w:sz w:val="18"/>
                <w:szCs w:val="18"/>
              </w:rPr>
            </w:pPr>
            <w:r w:rsidRPr="004D718D">
              <w:rPr>
                <w:rFonts w:ascii="Gill Sans MT" w:hAnsi="Gill Sans MT"/>
                <w:sz w:val="18"/>
                <w:szCs w:val="18"/>
              </w:rPr>
              <w:t>COPES Receipts</w:t>
            </w:r>
          </w:p>
        </w:tc>
        <w:tc>
          <w:tcPr>
            <w:tcW w:w="1559" w:type="dxa"/>
            <w:shd w:val="clear" w:color="auto" w:fill="auto"/>
            <w:vAlign w:val="bottom"/>
          </w:tcPr>
          <w:p w:rsidR="00797042" w:rsidRPr="004D718D" w:rsidRDefault="00797042" w:rsidP="00797042">
            <w:pPr>
              <w:pStyle w:val="TableParagraph"/>
              <w:spacing w:before="57"/>
              <w:ind w:right="142"/>
              <w:jc w:val="right"/>
              <w:rPr>
                <w:rFonts w:ascii="Gill Sans MT" w:hAnsi="Gill Sans MT"/>
                <w:sz w:val="18"/>
                <w:szCs w:val="18"/>
              </w:rPr>
            </w:pPr>
            <w:r w:rsidRPr="004D718D">
              <w:rPr>
                <w:rFonts w:ascii="Gill Sans MT" w:hAnsi="Gill Sans MT"/>
                <w:sz w:val="18"/>
                <w:szCs w:val="18"/>
              </w:rPr>
              <w:t>35 798</w:t>
            </w:r>
          </w:p>
        </w:tc>
      </w:tr>
      <w:tr w:rsidR="00797042" w:rsidRPr="004D718D" w:rsidTr="004D718D">
        <w:trPr>
          <w:trHeight w:hRule="exact" w:val="299"/>
        </w:trPr>
        <w:tc>
          <w:tcPr>
            <w:tcW w:w="8364" w:type="dxa"/>
            <w:tcBorders>
              <w:bottom w:val="single" w:sz="4" w:space="0" w:color="004D8F"/>
            </w:tcBorders>
            <w:shd w:val="clear" w:color="auto" w:fill="auto"/>
          </w:tcPr>
          <w:p w:rsidR="00797042" w:rsidRPr="004D718D" w:rsidRDefault="00797042" w:rsidP="00D50E74">
            <w:pPr>
              <w:pStyle w:val="TableParagraph"/>
              <w:spacing w:before="57"/>
              <w:ind w:left="79"/>
              <w:rPr>
                <w:rFonts w:ascii="Gill Sans MT" w:hAnsi="Gill Sans MT"/>
                <w:sz w:val="18"/>
                <w:szCs w:val="18"/>
              </w:rPr>
            </w:pPr>
            <w:r w:rsidRPr="004D718D">
              <w:rPr>
                <w:rFonts w:ascii="Gill Sans MT" w:hAnsi="Gill Sans MT"/>
                <w:sz w:val="18"/>
                <w:szCs w:val="18"/>
              </w:rPr>
              <w:t>Other Commonwealth Grants</w:t>
            </w:r>
          </w:p>
        </w:tc>
        <w:tc>
          <w:tcPr>
            <w:tcW w:w="1559" w:type="dxa"/>
            <w:tcBorders>
              <w:bottom w:val="single" w:sz="4" w:space="0" w:color="004D8F"/>
            </w:tcBorders>
            <w:shd w:val="clear" w:color="auto" w:fill="auto"/>
            <w:vAlign w:val="bottom"/>
          </w:tcPr>
          <w:p w:rsidR="00797042" w:rsidRPr="004D718D" w:rsidRDefault="00797042" w:rsidP="00797042">
            <w:pPr>
              <w:pStyle w:val="TableParagraph"/>
              <w:spacing w:before="57"/>
              <w:ind w:right="142"/>
              <w:jc w:val="right"/>
              <w:rPr>
                <w:rFonts w:ascii="Gill Sans MT" w:hAnsi="Gill Sans MT"/>
                <w:sz w:val="18"/>
                <w:szCs w:val="18"/>
              </w:rPr>
            </w:pPr>
            <w:r w:rsidRPr="004D718D">
              <w:rPr>
                <w:rFonts w:ascii="Gill Sans MT" w:hAnsi="Gill Sans MT"/>
                <w:sz w:val="18"/>
                <w:szCs w:val="18"/>
              </w:rPr>
              <w:t>107 854</w:t>
            </w:r>
          </w:p>
        </w:tc>
      </w:tr>
      <w:tr w:rsidR="00797042" w:rsidRPr="004D718D" w:rsidTr="004D718D">
        <w:trPr>
          <w:trHeight w:hRule="exact" w:val="378"/>
        </w:trPr>
        <w:tc>
          <w:tcPr>
            <w:tcW w:w="8364" w:type="dxa"/>
            <w:tcBorders>
              <w:top w:val="single" w:sz="4" w:space="0" w:color="004D8F"/>
            </w:tcBorders>
            <w:shd w:val="clear" w:color="auto" w:fill="auto"/>
          </w:tcPr>
          <w:p w:rsidR="00797042" w:rsidRPr="004D718D" w:rsidRDefault="00797042" w:rsidP="00D50E74">
            <w:pPr>
              <w:pStyle w:val="TableParagraph"/>
              <w:spacing w:before="70"/>
              <w:ind w:left="79"/>
              <w:rPr>
                <w:rFonts w:ascii="Gill Sans MT" w:hAnsi="Gill Sans MT"/>
                <w:b/>
                <w:sz w:val="18"/>
                <w:szCs w:val="18"/>
              </w:rPr>
            </w:pPr>
            <w:r w:rsidRPr="004D718D">
              <w:rPr>
                <w:rFonts w:ascii="Gill Sans MT" w:hAnsi="Gill Sans MT"/>
                <w:b/>
                <w:sz w:val="18"/>
                <w:szCs w:val="18"/>
              </w:rPr>
              <w:t>Total</w:t>
            </w:r>
          </w:p>
        </w:tc>
        <w:tc>
          <w:tcPr>
            <w:tcW w:w="1559" w:type="dxa"/>
            <w:tcBorders>
              <w:top w:val="single" w:sz="4" w:space="0" w:color="004D8F"/>
            </w:tcBorders>
            <w:shd w:val="clear" w:color="auto" w:fill="auto"/>
            <w:vAlign w:val="bottom"/>
          </w:tcPr>
          <w:p w:rsidR="00797042" w:rsidRPr="004D718D" w:rsidRDefault="00797042" w:rsidP="004D718D">
            <w:pPr>
              <w:pStyle w:val="TableParagraph"/>
              <w:spacing w:before="66"/>
              <w:ind w:left="293" w:right="142"/>
              <w:jc w:val="right"/>
              <w:rPr>
                <w:rFonts w:ascii="Gill Sans MT" w:hAnsi="Gill Sans MT"/>
                <w:sz w:val="18"/>
                <w:szCs w:val="18"/>
              </w:rPr>
            </w:pPr>
            <w:r w:rsidRPr="004D718D">
              <w:rPr>
                <w:rFonts w:ascii="Gill Sans MT" w:hAnsi="Gill Sans MT"/>
                <w:b/>
                <w:sz w:val="18"/>
                <w:szCs w:val="18"/>
              </w:rPr>
              <w:t>510 989</w:t>
            </w:r>
          </w:p>
        </w:tc>
      </w:tr>
      <w:tr w:rsidR="00797042" w:rsidRPr="004D718D" w:rsidTr="004D718D">
        <w:trPr>
          <w:trHeight w:hRule="exact" w:val="364"/>
        </w:trPr>
        <w:tc>
          <w:tcPr>
            <w:tcW w:w="8364" w:type="dxa"/>
            <w:shd w:val="clear" w:color="auto" w:fill="auto"/>
          </w:tcPr>
          <w:p w:rsidR="00797042" w:rsidRPr="004D718D" w:rsidRDefault="00797042" w:rsidP="00D50E74">
            <w:pPr>
              <w:pStyle w:val="TableParagraph"/>
              <w:spacing w:before="92"/>
              <w:ind w:left="79"/>
              <w:rPr>
                <w:rFonts w:ascii="Gill Sans MT" w:hAnsi="Gill Sans MT"/>
                <w:b/>
                <w:sz w:val="18"/>
                <w:szCs w:val="18"/>
              </w:rPr>
            </w:pPr>
            <w:r w:rsidRPr="004D718D">
              <w:rPr>
                <w:rFonts w:ascii="Gill Sans MT" w:hAnsi="Gill Sans MT"/>
                <w:b/>
                <w:sz w:val="18"/>
                <w:szCs w:val="18"/>
              </w:rPr>
              <w:t>Grants from the State Government</w:t>
            </w:r>
          </w:p>
        </w:tc>
        <w:tc>
          <w:tcPr>
            <w:tcW w:w="1559" w:type="dxa"/>
            <w:shd w:val="clear" w:color="auto" w:fill="auto"/>
            <w:vAlign w:val="bottom"/>
          </w:tcPr>
          <w:p w:rsidR="00797042" w:rsidRPr="004D718D" w:rsidRDefault="00797042" w:rsidP="00797042">
            <w:pPr>
              <w:ind w:right="142"/>
              <w:jc w:val="right"/>
              <w:rPr>
                <w:rFonts w:ascii="Gill Sans MT" w:hAnsi="Gill Sans MT"/>
                <w:sz w:val="18"/>
                <w:szCs w:val="18"/>
              </w:rPr>
            </w:pPr>
          </w:p>
        </w:tc>
      </w:tr>
      <w:tr w:rsidR="00797042" w:rsidRPr="004D718D" w:rsidTr="004D718D">
        <w:trPr>
          <w:trHeight w:hRule="exact" w:val="319"/>
        </w:trPr>
        <w:tc>
          <w:tcPr>
            <w:tcW w:w="8364" w:type="dxa"/>
            <w:shd w:val="clear" w:color="auto" w:fill="auto"/>
          </w:tcPr>
          <w:p w:rsidR="00797042" w:rsidRPr="004D718D" w:rsidRDefault="00797042" w:rsidP="00D50E74">
            <w:pPr>
              <w:pStyle w:val="TableParagraph"/>
              <w:spacing w:before="56"/>
              <w:ind w:left="79"/>
              <w:rPr>
                <w:rFonts w:ascii="Gill Sans MT" w:hAnsi="Gill Sans MT"/>
                <w:sz w:val="18"/>
                <w:szCs w:val="18"/>
              </w:rPr>
            </w:pPr>
            <w:r w:rsidRPr="004D718D">
              <w:rPr>
                <w:rFonts w:ascii="Gill Sans MT" w:hAnsi="Gill Sans MT"/>
                <w:sz w:val="18"/>
                <w:szCs w:val="18"/>
              </w:rPr>
              <w:t>State Grants - Block Funding</w:t>
            </w:r>
          </w:p>
        </w:tc>
        <w:tc>
          <w:tcPr>
            <w:tcW w:w="1559" w:type="dxa"/>
            <w:shd w:val="clear" w:color="auto" w:fill="auto"/>
            <w:vAlign w:val="bottom"/>
          </w:tcPr>
          <w:p w:rsidR="00797042" w:rsidRPr="004D718D" w:rsidRDefault="004D718D" w:rsidP="00797042">
            <w:pPr>
              <w:ind w:right="142"/>
              <w:jc w:val="right"/>
              <w:rPr>
                <w:rFonts w:ascii="Gill Sans MT" w:hAnsi="Gill Sans MT"/>
                <w:sz w:val="18"/>
                <w:szCs w:val="18"/>
              </w:rPr>
            </w:pPr>
            <w:r w:rsidRPr="004D718D">
              <w:rPr>
                <w:rFonts w:ascii="Gill Sans MT" w:hAnsi="Gill Sans MT"/>
                <w:sz w:val="18"/>
                <w:szCs w:val="18"/>
              </w:rPr>
              <w:t>366 682</w:t>
            </w:r>
          </w:p>
        </w:tc>
      </w:tr>
      <w:tr w:rsidR="00797042" w:rsidRPr="004D718D" w:rsidTr="004D718D">
        <w:trPr>
          <w:trHeight w:hRule="exact" w:val="299"/>
        </w:trPr>
        <w:tc>
          <w:tcPr>
            <w:tcW w:w="8364" w:type="dxa"/>
            <w:tcBorders>
              <w:bottom w:val="single" w:sz="4" w:space="0" w:color="004D8F"/>
            </w:tcBorders>
            <w:shd w:val="clear" w:color="auto" w:fill="auto"/>
          </w:tcPr>
          <w:p w:rsidR="00797042" w:rsidRPr="004D718D" w:rsidRDefault="00797042" w:rsidP="00D50E74">
            <w:pPr>
              <w:pStyle w:val="TableParagraph"/>
              <w:spacing w:before="57"/>
              <w:ind w:left="79"/>
              <w:rPr>
                <w:rFonts w:ascii="Gill Sans MT" w:hAnsi="Gill Sans MT"/>
                <w:sz w:val="18"/>
                <w:szCs w:val="18"/>
              </w:rPr>
            </w:pPr>
            <w:r w:rsidRPr="004D718D">
              <w:rPr>
                <w:rFonts w:ascii="Gill Sans MT" w:hAnsi="Gill Sans MT"/>
                <w:sz w:val="18"/>
                <w:szCs w:val="18"/>
              </w:rPr>
              <w:t>State Grants - Activity Based Funding</w:t>
            </w:r>
          </w:p>
        </w:tc>
        <w:tc>
          <w:tcPr>
            <w:tcW w:w="1559" w:type="dxa"/>
            <w:tcBorders>
              <w:bottom w:val="single" w:sz="4" w:space="0" w:color="004D8F"/>
            </w:tcBorders>
            <w:shd w:val="clear" w:color="auto" w:fill="auto"/>
            <w:vAlign w:val="bottom"/>
          </w:tcPr>
          <w:p w:rsidR="00797042" w:rsidRPr="004D718D" w:rsidRDefault="004D718D" w:rsidP="00797042">
            <w:pPr>
              <w:ind w:right="142"/>
              <w:jc w:val="right"/>
              <w:rPr>
                <w:rFonts w:ascii="Gill Sans MT" w:hAnsi="Gill Sans MT"/>
                <w:sz w:val="18"/>
                <w:szCs w:val="18"/>
              </w:rPr>
            </w:pPr>
            <w:r w:rsidRPr="004D718D">
              <w:rPr>
                <w:rFonts w:ascii="Gill Sans MT" w:hAnsi="Gill Sans MT"/>
                <w:sz w:val="18"/>
                <w:szCs w:val="18"/>
              </w:rPr>
              <w:t>295 672</w:t>
            </w:r>
          </w:p>
        </w:tc>
      </w:tr>
      <w:tr w:rsidR="00797042" w:rsidRPr="004D718D" w:rsidTr="004D718D">
        <w:trPr>
          <w:trHeight w:hRule="exact" w:val="378"/>
        </w:trPr>
        <w:tc>
          <w:tcPr>
            <w:tcW w:w="8364" w:type="dxa"/>
            <w:tcBorders>
              <w:top w:val="single" w:sz="4" w:space="0" w:color="004D8F"/>
            </w:tcBorders>
            <w:shd w:val="clear" w:color="auto" w:fill="auto"/>
          </w:tcPr>
          <w:p w:rsidR="00797042" w:rsidRPr="004D718D" w:rsidRDefault="00797042" w:rsidP="00D50E74">
            <w:pPr>
              <w:pStyle w:val="TableParagraph"/>
              <w:spacing w:before="70"/>
              <w:ind w:left="79"/>
              <w:rPr>
                <w:rFonts w:ascii="Gill Sans MT" w:hAnsi="Gill Sans MT"/>
                <w:b/>
                <w:sz w:val="18"/>
                <w:szCs w:val="18"/>
              </w:rPr>
            </w:pPr>
            <w:r w:rsidRPr="004D718D">
              <w:rPr>
                <w:rFonts w:ascii="Gill Sans MT" w:hAnsi="Gill Sans MT"/>
                <w:b/>
                <w:sz w:val="18"/>
                <w:szCs w:val="18"/>
              </w:rPr>
              <w:t>Total</w:t>
            </w:r>
          </w:p>
        </w:tc>
        <w:tc>
          <w:tcPr>
            <w:tcW w:w="1559" w:type="dxa"/>
            <w:tcBorders>
              <w:top w:val="single" w:sz="4" w:space="0" w:color="004D8F"/>
            </w:tcBorders>
            <w:shd w:val="clear" w:color="auto" w:fill="auto"/>
            <w:vAlign w:val="bottom"/>
          </w:tcPr>
          <w:p w:rsidR="00797042" w:rsidRPr="004D718D" w:rsidRDefault="00797042" w:rsidP="004D718D">
            <w:pPr>
              <w:pStyle w:val="TableParagraph"/>
              <w:spacing w:before="66"/>
              <w:ind w:left="259" w:right="142"/>
              <w:jc w:val="right"/>
              <w:rPr>
                <w:rFonts w:ascii="Gill Sans MT" w:hAnsi="Gill Sans MT"/>
                <w:sz w:val="18"/>
                <w:szCs w:val="18"/>
              </w:rPr>
            </w:pPr>
            <w:r w:rsidRPr="004D718D">
              <w:rPr>
                <w:rFonts w:ascii="Gill Sans MT" w:hAnsi="Gill Sans MT"/>
                <w:b/>
                <w:sz w:val="18"/>
                <w:szCs w:val="18"/>
              </w:rPr>
              <w:t>662 354</w:t>
            </w:r>
          </w:p>
        </w:tc>
      </w:tr>
      <w:tr w:rsidR="00797042" w:rsidRPr="004D718D" w:rsidTr="004D718D">
        <w:trPr>
          <w:trHeight w:hRule="exact" w:val="364"/>
        </w:trPr>
        <w:tc>
          <w:tcPr>
            <w:tcW w:w="8364" w:type="dxa"/>
            <w:shd w:val="clear" w:color="auto" w:fill="auto"/>
          </w:tcPr>
          <w:p w:rsidR="00797042" w:rsidRPr="004D718D" w:rsidRDefault="00797042" w:rsidP="00D50E74">
            <w:pPr>
              <w:pStyle w:val="TableParagraph"/>
              <w:spacing w:before="92"/>
              <w:ind w:left="79"/>
              <w:rPr>
                <w:rFonts w:ascii="Gill Sans MT" w:hAnsi="Gill Sans MT"/>
                <w:b/>
                <w:sz w:val="18"/>
                <w:szCs w:val="18"/>
              </w:rPr>
            </w:pPr>
            <w:r w:rsidRPr="004D718D">
              <w:rPr>
                <w:rFonts w:ascii="Gill Sans MT" w:hAnsi="Gill Sans MT"/>
                <w:b/>
                <w:sz w:val="18"/>
                <w:szCs w:val="18"/>
              </w:rPr>
              <w:t>Capital Grants</w:t>
            </w:r>
          </w:p>
        </w:tc>
        <w:tc>
          <w:tcPr>
            <w:tcW w:w="1559" w:type="dxa"/>
            <w:shd w:val="clear" w:color="auto" w:fill="auto"/>
            <w:vAlign w:val="bottom"/>
          </w:tcPr>
          <w:p w:rsidR="00797042" w:rsidRPr="004D718D" w:rsidRDefault="00797042" w:rsidP="00797042">
            <w:pPr>
              <w:ind w:right="142"/>
              <w:jc w:val="right"/>
              <w:rPr>
                <w:rFonts w:ascii="Gill Sans MT" w:hAnsi="Gill Sans MT"/>
                <w:sz w:val="18"/>
                <w:szCs w:val="18"/>
              </w:rPr>
            </w:pPr>
          </w:p>
        </w:tc>
      </w:tr>
      <w:tr w:rsidR="00797042" w:rsidRPr="004D718D" w:rsidTr="004D718D">
        <w:trPr>
          <w:trHeight w:hRule="exact" w:val="298"/>
        </w:trPr>
        <w:tc>
          <w:tcPr>
            <w:tcW w:w="8364" w:type="dxa"/>
            <w:tcBorders>
              <w:bottom w:val="single" w:sz="4" w:space="0" w:color="004D8F"/>
            </w:tcBorders>
            <w:shd w:val="clear" w:color="auto" w:fill="auto"/>
          </w:tcPr>
          <w:p w:rsidR="00797042" w:rsidRPr="004D718D" w:rsidRDefault="00797042" w:rsidP="00D50E74">
            <w:pPr>
              <w:pStyle w:val="TableParagraph"/>
              <w:spacing w:before="56"/>
              <w:ind w:left="79"/>
              <w:rPr>
                <w:rFonts w:ascii="Gill Sans MT" w:hAnsi="Gill Sans MT"/>
                <w:sz w:val="18"/>
                <w:szCs w:val="18"/>
              </w:rPr>
            </w:pPr>
            <w:r w:rsidRPr="004D718D">
              <w:rPr>
                <w:rFonts w:ascii="Gill Sans MT" w:hAnsi="Gill Sans MT"/>
                <w:sz w:val="18"/>
                <w:szCs w:val="18"/>
              </w:rPr>
              <w:t>Assets Transferred</w:t>
            </w:r>
          </w:p>
        </w:tc>
        <w:tc>
          <w:tcPr>
            <w:tcW w:w="1559" w:type="dxa"/>
            <w:tcBorders>
              <w:bottom w:val="single" w:sz="4" w:space="0" w:color="004D8F"/>
            </w:tcBorders>
            <w:shd w:val="clear" w:color="auto" w:fill="auto"/>
            <w:vAlign w:val="bottom"/>
          </w:tcPr>
          <w:p w:rsidR="00797042" w:rsidRPr="004D718D" w:rsidRDefault="004D718D" w:rsidP="00797042">
            <w:pPr>
              <w:ind w:right="142"/>
              <w:jc w:val="right"/>
              <w:rPr>
                <w:rFonts w:ascii="Gill Sans MT" w:hAnsi="Gill Sans MT"/>
                <w:sz w:val="18"/>
                <w:szCs w:val="18"/>
              </w:rPr>
            </w:pPr>
            <w:r w:rsidRPr="004D718D">
              <w:rPr>
                <w:rFonts w:ascii="Gill Sans MT" w:hAnsi="Gill Sans MT"/>
                <w:sz w:val="18"/>
                <w:szCs w:val="18"/>
              </w:rPr>
              <w:t>72 780</w:t>
            </w:r>
          </w:p>
        </w:tc>
      </w:tr>
      <w:tr w:rsidR="00797042" w:rsidRPr="004D718D" w:rsidTr="004D718D">
        <w:trPr>
          <w:trHeight w:hRule="exact" w:val="338"/>
        </w:trPr>
        <w:tc>
          <w:tcPr>
            <w:tcW w:w="8364" w:type="dxa"/>
            <w:tcBorders>
              <w:top w:val="single" w:sz="4" w:space="0" w:color="004D8F"/>
            </w:tcBorders>
            <w:shd w:val="clear" w:color="auto" w:fill="auto"/>
          </w:tcPr>
          <w:p w:rsidR="00797042" w:rsidRPr="004D718D" w:rsidRDefault="00797042" w:rsidP="00D50E74">
            <w:pPr>
              <w:pStyle w:val="TableParagraph"/>
              <w:spacing w:before="30"/>
              <w:ind w:left="79"/>
              <w:rPr>
                <w:rFonts w:ascii="Gill Sans MT" w:hAnsi="Gill Sans MT"/>
                <w:b/>
                <w:sz w:val="18"/>
                <w:szCs w:val="18"/>
              </w:rPr>
            </w:pPr>
            <w:r w:rsidRPr="004D718D">
              <w:rPr>
                <w:rFonts w:ascii="Gill Sans MT" w:hAnsi="Gill Sans MT"/>
                <w:b/>
                <w:sz w:val="18"/>
                <w:szCs w:val="18"/>
              </w:rPr>
              <w:t>Total</w:t>
            </w:r>
          </w:p>
        </w:tc>
        <w:tc>
          <w:tcPr>
            <w:tcW w:w="1559" w:type="dxa"/>
            <w:tcBorders>
              <w:top w:val="single" w:sz="4" w:space="0" w:color="004D8F"/>
            </w:tcBorders>
            <w:shd w:val="clear" w:color="auto" w:fill="auto"/>
            <w:vAlign w:val="bottom"/>
          </w:tcPr>
          <w:p w:rsidR="00797042" w:rsidRPr="004D718D" w:rsidRDefault="00797042" w:rsidP="004D718D">
            <w:pPr>
              <w:pStyle w:val="TableParagraph"/>
              <w:spacing w:before="26"/>
              <w:ind w:left="265" w:right="142"/>
              <w:jc w:val="right"/>
              <w:rPr>
                <w:rFonts w:ascii="Gill Sans MT" w:hAnsi="Gill Sans MT"/>
                <w:sz w:val="18"/>
                <w:szCs w:val="18"/>
              </w:rPr>
            </w:pPr>
            <w:r w:rsidRPr="004D718D">
              <w:rPr>
                <w:rFonts w:ascii="Gill Sans MT" w:hAnsi="Gill Sans MT"/>
                <w:b/>
                <w:sz w:val="18"/>
                <w:szCs w:val="18"/>
              </w:rPr>
              <w:t>72 780</w:t>
            </w:r>
          </w:p>
        </w:tc>
      </w:tr>
      <w:tr w:rsidR="00797042" w:rsidRPr="004D718D" w:rsidTr="004D718D">
        <w:trPr>
          <w:trHeight w:hRule="exact" w:val="364"/>
        </w:trPr>
        <w:tc>
          <w:tcPr>
            <w:tcW w:w="8364" w:type="dxa"/>
            <w:shd w:val="clear" w:color="auto" w:fill="auto"/>
          </w:tcPr>
          <w:p w:rsidR="00797042" w:rsidRPr="004D718D" w:rsidRDefault="00797042" w:rsidP="00D50E74">
            <w:pPr>
              <w:pStyle w:val="TableParagraph"/>
              <w:spacing w:before="92"/>
              <w:ind w:left="79"/>
              <w:rPr>
                <w:rFonts w:ascii="Gill Sans MT" w:hAnsi="Gill Sans MT"/>
                <w:b/>
                <w:sz w:val="18"/>
                <w:szCs w:val="18"/>
              </w:rPr>
            </w:pPr>
            <w:r w:rsidRPr="004D718D">
              <w:rPr>
                <w:rFonts w:ascii="Gill Sans MT" w:hAnsi="Gill Sans MT"/>
                <w:b/>
                <w:sz w:val="18"/>
                <w:szCs w:val="18"/>
              </w:rPr>
              <w:t>WIP Expensed Grants</w:t>
            </w:r>
          </w:p>
        </w:tc>
        <w:tc>
          <w:tcPr>
            <w:tcW w:w="1559" w:type="dxa"/>
            <w:shd w:val="clear" w:color="auto" w:fill="auto"/>
            <w:vAlign w:val="bottom"/>
          </w:tcPr>
          <w:p w:rsidR="00797042" w:rsidRPr="004D718D" w:rsidRDefault="00797042" w:rsidP="00797042">
            <w:pPr>
              <w:ind w:right="142"/>
              <w:jc w:val="right"/>
              <w:rPr>
                <w:rFonts w:ascii="Gill Sans MT" w:hAnsi="Gill Sans MT"/>
                <w:sz w:val="18"/>
                <w:szCs w:val="18"/>
              </w:rPr>
            </w:pPr>
          </w:p>
        </w:tc>
      </w:tr>
      <w:tr w:rsidR="00797042" w:rsidRPr="004D718D" w:rsidTr="004D718D">
        <w:trPr>
          <w:trHeight w:hRule="exact" w:val="298"/>
        </w:trPr>
        <w:tc>
          <w:tcPr>
            <w:tcW w:w="8364" w:type="dxa"/>
            <w:tcBorders>
              <w:bottom w:val="single" w:sz="4" w:space="0" w:color="004D8F"/>
            </w:tcBorders>
            <w:shd w:val="clear" w:color="auto" w:fill="auto"/>
          </w:tcPr>
          <w:p w:rsidR="00797042" w:rsidRPr="004D718D" w:rsidRDefault="00797042" w:rsidP="00D50E74">
            <w:pPr>
              <w:pStyle w:val="TableParagraph"/>
              <w:spacing w:before="56"/>
              <w:ind w:left="79"/>
              <w:rPr>
                <w:rFonts w:ascii="Gill Sans MT" w:hAnsi="Gill Sans MT"/>
                <w:sz w:val="18"/>
                <w:szCs w:val="18"/>
              </w:rPr>
            </w:pPr>
            <w:r w:rsidRPr="004D718D">
              <w:rPr>
                <w:rFonts w:ascii="Gill Sans MT" w:hAnsi="Gill Sans MT"/>
                <w:sz w:val="18"/>
                <w:szCs w:val="18"/>
              </w:rPr>
              <w:t>Expenses Transferred</w:t>
            </w:r>
          </w:p>
        </w:tc>
        <w:tc>
          <w:tcPr>
            <w:tcW w:w="1559" w:type="dxa"/>
            <w:tcBorders>
              <w:bottom w:val="single" w:sz="4" w:space="0" w:color="004D8F"/>
            </w:tcBorders>
            <w:shd w:val="clear" w:color="auto" w:fill="auto"/>
            <w:vAlign w:val="bottom"/>
          </w:tcPr>
          <w:p w:rsidR="00797042" w:rsidRPr="004D718D" w:rsidRDefault="004D718D" w:rsidP="00797042">
            <w:pPr>
              <w:ind w:right="142"/>
              <w:jc w:val="right"/>
              <w:rPr>
                <w:rFonts w:ascii="Gill Sans MT" w:hAnsi="Gill Sans MT"/>
                <w:sz w:val="18"/>
                <w:szCs w:val="18"/>
              </w:rPr>
            </w:pPr>
            <w:r w:rsidRPr="004D718D">
              <w:rPr>
                <w:rFonts w:ascii="Gill Sans MT" w:hAnsi="Gill Sans MT"/>
                <w:sz w:val="18"/>
                <w:szCs w:val="18"/>
              </w:rPr>
              <w:t>2 611</w:t>
            </w:r>
          </w:p>
        </w:tc>
      </w:tr>
      <w:tr w:rsidR="00797042" w:rsidRPr="004D718D" w:rsidTr="004D718D">
        <w:trPr>
          <w:trHeight w:hRule="exact" w:val="320"/>
        </w:trPr>
        <w:tc>
          <w:tcPr>
            <w:tcW w:w="8364" w:type="dxa"/>
            <w:tcBorders>
              <w:top w:val="single" w:sz="4" w:space="0" w:color="004D8F"/>
            </w:tcBorders>
            <w:shd w:val="clear" w:color="auto" w:fill="auto"/>
          </w:tcPr>
          <w:p w:rsidR="00797042" w:rsidRPr="004D718D" w:rsidRDefault="00797042" w:rsidP="00D50E74">
            <w:pPr>
              <w:pStyle w:val="TableParagraph"/>
              <w:spacing w:before="70"/>
              <w:ind w:left="79"/>
              <w:rPr>
                <w:rFonts w:ascii="Gill Sans MT" w:hAnsi="Gill Sans MT"/>
                <w:b/>
                <w:sz w:val="18"/>
                <w:szCs w:val="18"/>
              </w:rPr>
            </w:pPr>
            <w:r w:rsidRPr="004D718D">
              <w:rPr>
                <w:rFonts w:ascii="Gill Sans MT" w:hAnsi="Gill Sans MT"/>
                <w:b/>
                <w:sz w:val="18"/>
                <w:szCs w:val="18"/>
              </w:rPr>
              <w:t>Total</w:t>
            </w:r>
          </w:p>
        </w:tc>
        <w:tc>
          <w:tcPr>
            <w:tcW w:w="1559" w:type="dxa"/>
            <w:tcBorders>
              <w:top w:val="single" w:sz="4" w:space="0" w:color="004D8F"/>
            </w:tcBorders>
            <w:shd w:val="clear" w:color="auto" w:fill="auto"/>
            <w:vAlign w:val="bottom"/>
          </w:tcPr>
          <w:p w:rsidR="00797042" w:rsidRPr="004D718D" w:rsidRDefault="00797042" w:rsidP="00797042">
            <w:pPr>
              <w:pStyle w:val="TableParagraph"/>
              <w:spacing w:before="66"/>
              <w:ind w:right="142"/>
              <w:jc w:val="right"/>
              <w:rPr>
                <w:rFonts w:ascii="Gill Sans MT" w:hAnsi="Gill Sans MT"/>
                <w:b/>
                <w:sz w:val="18"/>
                <w:szCs w:val="18"/>
              </w:rPr>
            </w:pPr>
            <w:r w:rsidRPr="004D718D">
              <w:rPr>
                <w:rFonts w:ascii="Gill Sans MT" w:hAnsi="Gill Sans MT"/>
                <w:b/>
                <w:sz w:val="18"/>
                <w:szCs w:val="18"/>
              </w:rPr>
              <w:t>2 611</w:t>
            </w:r>
          </w:p>
        </w:tc>
      </w:tr>
      <w:tr w:rsidR="00797042" w:rsidRPr="004D718D" w:rsidTr="004D718D">
        <w:trPr>
          <w:trHeight w:hRule="exact" w:val="320"/>
        </w:trPr>
        <w:tc>
          <w:tcPr>
            <w:tcW w:w="8364" w:type="dxa"/>
            <w:tcBorders>
              <w:bottom w:val="single" w:sz="4" w:space="0" w:color="004D8F"/>
            </w:tcBorders>
            <w:shd w:val="clear" w:color="auto" w:fill="auto"/>
          </w:tcPr>
          <w:p w:rsidR="00797042" w:rsidRPr="004D718D" w:rsidRDefault="00797042" w:rsidP="00D50E74">
            <w:pPr>
              <w:rPr>
                <w:rFonts w:ascii="Gill Sans MT" w:hAnsi="Gill Sans MT"/>
                <w:sz w:val="18"/>
                <w:szCs w:val="18"/>
              </w:rPr>
            </w:pPr>
          </w:p>
        </w:tc>
        <w:tc>
          <w:tcPr>
            <w:tcW w:w="1559" w:type="dxa"/>
            <w:tcBorders>
              <w:bottom w:val="single" w:sz="4" w:space="0" w:color="004D8F"/>
            </w:tcBorders>
            <w:shd w:val="clear" w:color="auto" w:fill="auto"/>
            <w:vAlign w:val="bottom"/>
          </w:tcPr>
          <w:p w:rsidR="00797042" w:rsidRPr="004D718D" w:rsidRDefault="00797042" w:rsidP="00797042">
            <w:pPr>
              <w:ind w:right="142"/>
              <w:jc w:val="right"/>
              <w:rPr>
                <w:rFonts w:ascii="Gill Sans MT" w:hAnsi="Gill Sans MT"/>
                <w:sz w:val="18"/>
                <w:szCs w:val="18"/>
              </w:rPr>
            </w:pPr>
          </w:p>
        </w:tc>
      </w:tr>
      <w:tr w:rsidR="00797042" w:rsidRPr="004D718D" w:rsidTr="004D718D">
        <w:trPr>
          <w:trHeight w:hRule="exact" w:val="320"/>
        </w:trPr>
        <w:tc>
          <w:tcPr>
            <w:tcW w:w="8364" w:type="dxa"/>
            <w:tcBorders>
              <w:top w:val="single" w:sz="4" w:space="0" w:color="004D8F"/>
              <w:left w:val="dotted" w:sz="4" w:space="0" w:color="auto"/>
              <w:bottom w:val="single" w:sz="4" w:space="0" w:color="004D8F"/>
              <w:right w:val="dotted" w:sz="4" w:space="0" w:color="auto"/>
            </w:tcBorders>
            <w:shd w:val="clear" w:color="auto" w:fill="auto"/>
          </w:tcPr>
          <w:p w:rsidR="00797042" w:rsidRPr="004D718D" w:rsidRDefault="00797042" w:rsidP="00D50E74">
            <w:pPr>
              <w:pStyle w:val="TableParagraph"/>
              <w:spacing w:before="71"/>
              <w:ind w:left="79"/>
              <w:rPr>
                <w:rFonts w:ascii="Gill Sans MT" w:hAnsi="Gill Sans MT"/>
                <w:b/>
                <w:sz w:val="18"/>
                <w:szCs w:val="18"/>
              </w:rPr>
            </w:pPr>
            <w:r w:rsidRPr="004D718D">
              <w:rPr>
                <w:rFonts w:ascii="Gill Sans MT" w:hAnsi="Gill Sans MT"/>
                <w:b/>
                <w:sz w:val="18"/>
                <w:szCs w:val="18"/>
              </w:rPr>
              <w:t>Total Revenue from Grants</w:t>
            </w:r>
          </w:p>
        </w:tc>
        <w:tc>
          <w:tcPr>
            <w:tcW w:w="1559" w:type="dxa"/>
            <w:tcBorders>
              <w:top w:val="single" w:sz="4" w:space="0" w:color="004D8F"/>
              <w:left w:val="dotted" w:sz="4" w:space="0" w:color="auto"/>
              <w:bottom w:val="single" w:sz="4" w:space="0" w:color="004D8F"/>
              <w:right w:val="dotted" w:sz="4" w:space="0" w:color="auto"/>
            </w:tcBorders>
            <w:shd w:val="clear" w:color="auto" w:fill="auto"/>
            <w:vAlign w:val="bottom"/>
          </w:tcPr>
          <w:p w:rsidR="00797042" w:rsidRPr="004D718D" w:rsidRDefault="00797042" w:rsidP="00797042">
            <w:pPr>
              <w:pStyle w:val="TableParagraph"/>
              <w:spacing w:before="67"/>
              <w:ind w:right="142"/>
              <w:jc w:val="right"/>
              <w:rPr>
                <w:rFonts w:ascii="Gill Sans MT" w:hAnsi="Gill Sans MT"/>
                <w:b/>
                <w:sz w:val="18"/>
                <w:szCs w:val="18"/>
              </w:rPr>
            </w:pPr>
            <w:r w:rsidRPr="004D718D">
              <w:rPr>
                <w:rFonts w:ascii="Gill Sans MT" w:hAnsi="Gill Sans MT"/>
                <w:b/>
                <w:sz w:val="18"/>
                <w:szCs w:val="18"/>
              </w:rPr>
              <w:t>1 248 734</w:t>
            </w:r>
          </w:p>
        </w:tc>
      </w:tr>
    </w:tbl>
    <w:p w:rsidR="009B2960" w:rsidRDefault="009B2960" w:rsidP="004C6851">
      <w:pPr>
        <w:pStyle w:val="BodyText"/>
      </w:pPr>
    </w:p>
    <w:p w:rsidR="009B2960" w:rsidRDefault="009B2960">
      <w:pPr>
        <w:rPr>
          <w:rFonts w:ascii="Gill Sans MT" w:eastAsia="GillSans-Light" w:hAnsi="Gill Sans MT" w:cs="GillSans-Light"/>
          <w:lang w:val="en-US"/>
        </w:rPr>
      </w:pPr>
      <w:r>
        <w:br w:type="page"/>
      </w:r>
    </w:p>
    <w:p w:rsidR="000B752E" w:rsidRDefault="009B2960" w:rsidP="00F655F3">
      <w:pPr>
        <w:pStyle w:val="Heading5"/>
        <w:tabs>
          <w:tab w:val="left" w:pos="851"/>
        </w:tabs>
      </w:pPr>
      <w:r>
        <w:lastRenderedPageBreak/>
        <w:t xml:space="preserve">5.2 </w:t>
      </w:r>
      <w:r w:rsidR="00F655F3">
        <w:tab/>
      </w:r>
      <w:r>
        <w:t>Sales of Goods and Services</w:t>
      </w:r>
    </w:p>
    <w:p w:rsidR="009B2960" w:rsidRDefault="009B2960" w:rsidP="009B2960">
      <w:pPr>
        <w:pStyle w:val="BodyText"/>
      </w:pPr>
      <w:r>
        <w:t>Amounts earned in exchange for the provision of goods are recognised when the significant risks and rewards of ownership have been transferred to the buyer. Revenue from the provision of services is recognised in proportion to the stage of completion of the transaction at the reporting date. The stage of completion is assessed by reference to surveys of work performed.</w:t>
      </w:r>
    </w:p>
    <w:tbl>
      <w:tblPr>
        <w:tblW w:w="0" w:type="auto"/>
        <w:tblLayout w:type="fixed"/>
        <w:tblCellMar>
          <w:left w:w="0" w:type="dxa"/>
          <w:right w:w="0" w:type="dxa"/>
        </w:tblCellMar>
        <w:tblLook w:val="01E0" w:firstRow="1" w:lastRow="1" w:firstColumn="1" w:lastColumn="1" w:noHBand="0" w:noVBand="0"/>
        <w:tblCaption w:val="Sales of Goods and Services"/>
      </w:tblPr>
      <w:tblGrid>
        <w:gridCol w:w="8505"/>
        <w:gridCol w:w="1456"/>
      </w:tblGrid>
      <w:tr w:rsidR="00F655F3" w:rsidRPr="00F655F3" w:rsidTr="00F655F3">
        <w:trPr>
          <w:trHeight w:hRule="exact" w:val="520"/>
        </w:trPr>
        <w:tc>
          <w:tcPr>
            <w:tcW w:w="8505" w:type="dxa"/>
            <w:tcBorders>
              <w:top w:val="single" w:sz="4" w:space="0" w:color="004D8F"/>
              <w:left w:val="dotted" w:sz="4" w:space="0" w:color="auto"/>
              <w:bottom w:val="single" w:sz="4" w:space="0" w:color="004D8F"/>
              <w:right w:val="dotted" w:sz="4" w:space="0" w:color="auto"/>
            </w:tcBorders>
            <w:shd w:val="clear" w:color="auto" w:fill="auto"/>
            <w:vAlign w:val="bottom"/>
          </w:tcPr>
          <w:p w:rsidR="00F655F3" w:rsidRPr="00F655F3" w:rsidRDefault="00F655F3" w:rsidP="00F655F3">
            <w:pPr>
              <w:rPr>
                <w:rFonts w:ascii="Gill Sans MT" w:hAnsi="Gill Sans MT"/>
                <w:b/>
                <w:sz w:val="18"/>
                <w:szCs w:val="18"/>
              </w:rPr>
            </w:pPr>
            <w:r>
              <w:rPr>
                <w:rFonts w:ascii="Gill Sans MT" w:hAnsi="Gill Sans MT"/>
                <w:b/>
                <w:sz w:val="18"/>
                <w:szCs w:val="18"/>
              </w:rPr>
              <w:br/>
            </w:r>
            <w:r w:rsidRPr="00F655F3">
              <w:rPr>
                <w:rFonts w:ascii="Gill Sans MT" w:hAnsi="Gill Sans MT"/>
                <w:b/>
                <w:sz w:val="18"/>
                <w:szCs w:val="18"/>
              </w:rPr>
              <w:t>Description</w:t>
            </w:r>
          </w:p>
        </w:tc>
        <w:tc>
          <w:tcPr>
            <w:tcW w:w="1456" w:type="dxa"/>
            <w:tcBorders>
              <w:top w:val="single" w:sz="4" w:space="0" w:color="004D8F"/>
              <w:left w:val="dotted" w:sz="4" w:space="0" w:color="auto"/>
              <w:bottom w:val="single" w:sz="4" w:space="0" w:color="004D8F"/>
              <w:right w:val="dotted" w:sz="4" w:space="0" w:color="auto"/>
            </w:tcBorders>
            <w:shd w:val="clear" w:color="auto" w:fill="auto"/>
            <w:vAlign w:val="bottom"/>
          </w:tcPr>
          <w:p w:rsidR="00F655F3" w:rsidRPr="00F655F3" w:rsidRDefault="00F655F3" w:rsidP="00F655F3">
            <w:pPr>
              <w:pStyle w:val="TableParagraph"/>
              <w:spacing w:before="70" w:line="207" w:lineRule="exact"/>
              <w:ind w:left="374" w:right="175"/>
              <w:jc w:val="right"/>
              <w:rPr>
                <w:rFonts w:ascii="Gill Sans MT" w:hAnsi="Gill Sans MT"/>
                <w:b/>
                <w:sz w:val="18"/>
              </w:rPr>
            </w:pPr>
            <w:r w:rsidRPr="00F655F3">
              <w:rPr>
                <w:rFonts w:ascii="Gill Sans MT" w:hAnsi="Gill Sans MT"/>
                <w:b/>
                <w:sz w:val="18"/>
              </w:rPr>
              <w:t>2016</w:t>
            </w:r>
          </w:p>
          <w:p w:rsidR="00F655F3" w:rsidRPr="00F655F3" w:rsidRDefault="00F655F3" w:rsidP="00F655F3">
            <w:pPr>
              <w:pStyle w:val="TableParagraph"/>
              <w:spacing w:line="207" w:lineRule="exact"/>
              <w:ind w:left="334" w:right="175"/>
              <w:jc w:val="right"/>
              <w:rPr>
                <w:rFonts w:ascii="Gill Sans MT" w:hAnsi="Gill Sans MT"/>
                <w:b/>
                <w:sz w:val="18"/>
              </w:rPr>
            </w:pPr>
            <w:r w:rsidRPr="00F655F3">
              <w:rPr>
                <w:rFonts w:ascii="Gill Sans MT" w:hAnsi="Gill Sans MT"/>
                <w:b/>
                <w:sz w:val="18"/>
              </w:rPr>
              <w:t>$’000</w:t>
            </w:r>
          </w:p>
        </w:tc>
      </w:tr>
      <w:tr w:rsidR="00F655F3" w:rsidRPr="00F655F3" w:rsidTr="00F655F3">
        <w:trPr>
          <w:trHeight w:hRule="exact" w:val="341"/>
        </w:trPr>
        <w:tc>
          <w:tcPr>
            <w:tcW w:w="8505" w:type="dxa"/>
            <w:tcBorders>
              <w:top w:val="single" w:sz="4" w:space="0" w:color="004D8F"/>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78"/>
              <w:ind w:left="80"/>
              <w:rPr>
                <w:rFonts w:ascii="Gill Sans MT" w:hAnsi="Gill Sans MT"/>
                <w:sz w:val="18"/>
              </w:rPr>
            </w:pPr>
            <w:r w:rsidRPr="00F655F3">
              <w:rPr>
                <w:rFonts w:ascii="Gill Sans MT" w:hAnsi="Gill Sans MT"/>
                <w:sz w:val="18"/>
              </w:rPr>
              <w:t>Residential rent income</w:t>
            </w:r>
          </w:p>
        </w:tc>
        <w:tc>
          <w:tcPr>
            <w:tcW w:w="1456" w:type="dxa"/>
            <w:tcBorders>
              <w:top w:val="single" w:sz="4" w:space="0" w:color="004D8F"/>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78"/>
              <w:ind w:right="224"/>
              <w:jc w:val="right"/>
              <w:rPr>
                <w:rFonts w:ascii="Gill Sans MT" w:hAnsi="Gill Sans MT"/>
                <w:sz w:val="18"/>
              </w:rPr>
            </w:pPr>
            <w:r w:rsidRPr="00F655F3">
              <w:rPr>
                <w:rFonts w:ascii="Gill Sans MT" w:hAnsi="Gill Sans MT"/>
                <w:sz w:val="18"/>
              </w:rPr>
              <w:t>556</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Commercial rent income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33"/>
              <w:jc w:val="right"/>
              <w:rPr>
                <w:rFonts w:ascii="Gill Sans MT" w:hAnsi="Gill Sans MT"/>
                <w:sz w:val="18"/>
              </w:rPr>
            </w:pPr>
            <w:r w:rsidRPr="00F655F3">
              <w:rPr>
                <w:rFonts w:ascii="Gill Sans MT" w:hAnsi="Gill Sans MT"/>
                <w:sz w:val="18"/>
              </w:rPr>
              <w:t>1 031</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Pharmacy non-pharmaceutical benefits scheme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1 409</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Prostheses</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8 209</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Inpatient, outpatient nursing home fees</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50 609</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Dental</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8 085</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Pharmaceutical benefits scheme co-payments</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900</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Pharmaceutical benefits scheme revenue from Medicare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46 260</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Private patient scheme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28 140</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Other client revenue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787</w:t>
            </w:r>
          </w:p>
        </w:tc>
      </w:tr>
      <w:tr w:rsidR="00F655F3" w:rsidRPr="00F655F3" w:rsidTr="00F655F3">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Hobart Private Hospital revenue</w:t>
            </w:r>
          </w:p>
        </w:tc>
        <w:tc>
          <w:tcPr>
            <w:tcW w:w="1456" w:type="dxa"/>
            <w:tcBorders>
              <w:top w:val="dotted" w:sz="4" w:space="0" w:color="auto"/>
              <w:left w:val="dotted" w:sz="4" w:space="0" w:color="auto"/>
              <w:bottom w:val="dotted" w:sz="4" w:space="0" w:color="auto"/>
              <w:right w:val="dotted" w:sz="4" w:space="0" w:color="auto"/>
            </w:tcBorders>
            <w:shd w:val="clear" w:color="auto" w:fill="auto"/>
          </w:tcPr>
          <w:p w:rsidR="00F655F3" w:rsidRPr="00F655F3" w:rsidRDefault="00F655F3" w:rsidP="00D50E74">
            <w:pPr>
              <w:pStyle w:val="TableParagraph"/>
              <w:spacing w:before="57"/>
              <w:ind w:right="226"/>
              <w:jc w:val="right"/>
              <w:rPr>
                <w:rFonts w:ascii="Gill Sans MT" w:hAnsi="Gill Sans MT"/>
                <w:sz w:val="18"/>
              </w:rPr>
            </w:pPr>
            <w:r w:rsidRPr="00F655F3">
              <w:rPr>
                <w:rFonts w:ascii="Gill Sans MT" w:hAnsi="Gill Sans MT"/>
                <w:sz w:val="18"/>
              </w:rPr>
              <w:t>827</w:t>
            </w:r>
          </w:p>
        </w:tc>
      </w:tr>
      <w:tr w:rsidR="00F655F3" w:rsidRPr="00F655F3" w:rsidTr="00F655F3">
        <w:trPr>
          <w:trHeight w:hRule="exact" w:val="299"/>
        </w:trPr>
        <w:tc>
          <w:tcPr>
            <w:tcW w:w="8505" w:type="dxa"/>
            <w:tcBorders>
              <w:top w:val="dotted" w:sz="4" w:space="0" w:color="auto"/>
              <w:left w:val="dotted" w:sz="4" w:space="0" w:color="auto"/>
              <w:bottom w:val="single" w:sz="4" w:space="0" w:color="004D8F"/>
              <w:right w:val="dotted" w:sz="4" w:space="0" w:color="auto"/>
            </w:tcBorders>
            <w:shd w:val="clear" w:color="auto" w:fill="auto"/>
          </w:tcPr>
          <w:p w:rsidR="00F655F3" w:rsidRPr="00F655F3" w:rsidRDefault="00F655F3" w:rsidP="00D50E74">
            <w:pPr>
              <w:pStyle w:val="TableParagraph"/>
              <w:spacing w:before="57"/>
              <w:ind w:left="80"/>
              <w:rPr>
                <w:rFonts w:ascii="Gill Sans MT" w:hAnsi="Gill Sans MT"/>
                <w:sz w:val="18"/>
              </w:rPr>
            </w:pPr>
            <w:r w:rsidRPr="00F655F3">
              <w:rPr>
                <w:rFonts w:ascii="Gill Sans MT" w:hAnsi="Gill Sans MT"/>
                <w:sz w:val="18"/>
              </w:rPr>
              <w:t>Other user charges</w:t>
            </w:r>
          </w:p>
        </w:tc>
        <w:tc>
          <w:tcPr>
            <w:tcW w:w="1456" w:type="dxa"/>
            <w:tcBorders>
              <w:top w:val="dotted" w:sz="4" w:space="0" w:color="auto"/>
              <w:left w:val="dotted" w:sz="4" w:space="0" w:color="auto"/>
              <w:bottom w:val="single" w:sz="4" w:space="0" w:color="004D8F"/>
              <w:right w:val="dotted" w:sz="4" w:space="0" w:color="auto"/>
            </w:tcBorders>
            <w:shd w:val="clear" w:color="auto" w:fill="auto"/>
          </w:tcPr>
          <w:p w:rsidR="00F655F3" w:rsidRPr="00F655F3" w:rsidRDefault="00F655F3" w:rsidP="00D50E74">
            <w:pPr>
              <w:pStyle w:val="TableParagraph"/>
              <w:spacing w:before="57"/>
              <w:ind w:right="224"/>
              <w:jc w:val="right"/>
              <w:rPr>
                <w:rFonts w:ascii="Gill Sans MT" w:hAnsi="Gill Sans MT"/>
                <w:sz w:val="18"/>
              </w:rPr>
            </w:pPr>
            <w:r w:rsidRPr="00F655F3">
              <w:rPr>
                <w:rFonts w:ascii="Gill Sans MT" w:hAnsi="Gill Sans MT"/>
                <w:sz w:val="18"/>
              </w:rPr>
              <w:t>13 981</w:t>
            </w:r>
          </w:p>
        </w:tc>
      </w:tr>
      <w:tr w:rsidR="00F655F3" w:rsidRPr="00F655F3" w:rsidTr="00F655F3">
        <w:trPr>
          <w:trHeight w:hRule="exact" w:val="320"/>
        </w:trPr>
        <w:tc>
          <w:tcPr>
            <w:tcW w:w="8505" w:type="dxa"/>
            <w:tcBorders>
              <w:top w:val="single" w:sz="4" w:space="0" w:color="004D8F"/>
              <w:left w:val="dotted" w:sz="4" w:space="0" w:color="auto"/>
              <w:bottom w:val="single" w:sz="4" w:space="0" w:color="004D8F"/>
              <w:right w:val="dotted" w:sz="4" w:space="0" w:color="auto"/>
            </w:tcBorders>
            <w:shd w:val="clear" w:color="auto" w:fill="auto"/>
          </w:tcPr>
          <w:p w:rsidR="00F655F3" w:rsidRPr="00F655F3" w:rsidRDefault="00F655F3" w:rsidP="00D50E74">
            <w:pPr>
              <w:pStyle w:val="TableParagraph"/>
              <w:spacing w:before="70"/>
              <w:ind w:left="80"/>
              <w:rPr>
                <w:rFonts w:ascii="Gill Sans MT" w:hAnsi="Gill Sans MT"/>
                <w:b/>
                <w:sz w:val="18"/>
              </w:rPr>
            </w:pPr>
            <w:r w:rsidRPr="00F655F3">
              <w:rPr>
                <w:rFonts w:ascii="Gill Sans MT" w:hAnsi="Gill Sans MT"/>
                <w:b/>
                <w:sz w:val="18"/>
              </w:rPr>
              <w:t>Total</w:t>
            </w:r>
          </w:p>
        </w:tc>
        <w:tc>
          <w:tcPr>
            <w:tcW w:w="1456" w:type="dxa"/>
            <w:tcBorders>
              <w:top w:val="single" w:sz="4" w:space="0" w:color="004D8F"/>
              <w:left w:val="dotted" w:sz="4" w:space="0" w:color="auto"/>
              <w:bottom w:val="single" w:sz="4" w:space="0" w:color="004D8F"/>
              <w:right w:val="dotted" w:sz="4" w:space="0" w:color="auto"/>
            </w:tcBorders>
            <w:shd w:val="clear" w:color="auto" w:fill="auto"/>
          </w:tcPr>
          <w:p w:rsidR="00F655F3" w:rsidRPr="00F655F3" w:rsidRDefault="00F655F3" w:rsidP="00D50E74">
            <w:pPr>
              <w:pStyle w:val="TableParagraph"/>
              <w:spacing w:before="66"/>
              <w:ind w:right="224"/>
              <w:jc w:val="right"/>
              <w:rPr>
                <w:rFonts w:ascii="Gill Sans MT" w:hAnsi="Gill Sans MT"/>
                <w:b/>
                <w:sz w:val="18"/>
              </w:rPr>
            </w:pPr>
            <w:r w:rsidRPr="00F655F3">
              <w:rPr>
                <w:rFonts w:ascii="Gill Sans MT" w:hAnsi="Gill Sans MT"/>
                <w:b/>
                <w:sz w:val="18"/>
              </w:rPr>
              <w:t>160 794</w:t>
            </w:r>
          </w:p>
        </w:tc>
      </w:tr>
    </w:tbl>
    <w:p w:rsidR="009B2960" w:rsidRDefault="009B2960" w:rsidP="009B2960">
      <w:pPr>
        <w:pStyle w:val="BodyText"/>
      </w:pPr>
    </w:p>
    <w:p w:rsidR="00F655F3" w:rsidRDefault="00F655F3" w:rsidP="00F655F3">
      <w:pPr>
        <w:pStyle w:val="BodyText"/>
      </w:pPr>
      <w:r>
        <w:t>The THS entered into a lessor arrangement with HPH Developments Pty Ltd in 1999 to lease its Queen Alexandra premises on the corner of Argyle and Collins Streets, Hobart. The lease agreement is for a period of twenty years, due to expire in 2019. Revenue generated from the lease consists of a $15 million lump sum payment made by HPH Developments Pty Ltd at the beginning of the lease period, as well as an annual franchise fee charge for which the THS receives $750,000 p.a.</w:t>
      </w:r>
    </w:p>
    <w:p w:rsidR="00F655F3" w:rsidRDefault="00F655F3" w:rsidP="00F655F3">
      <w:pPr>
        <w:pStyle w:val="Heading5"/>
      </w:pPr>
      <w:r>
        <w:t>5.3</w:t>
      </w:r>
      <w:r>
        <w:tab/>
        <w:t>Contributions Received</w:t>
      </w:r>
    </w:p>
    <w:tbl>
      <w:tblPr>
        <w:tblW w:w="0" w:type="auto"/>
        <w:tblBorders>
          <w:top w:val="single" w:sz="4" w:space="0" w:color="004D8F"/>
          <w:left w:val="dotted" w:sz="4" w:space="0" w:color="auto"/>
          <w:bottom w:val="single" w:sz="4" w:space="0" w:color="004D8F"/>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Contributions Received"/>
      </w:tblPr>
      <w:tblGrid>
        <w:gridCol w:w="8505"/>
        <w:gridCol w:w="1446"/>
      </w:tblGrid>
      <w:tr w:rsidR="00F655F3" w:rsidRPr="003F2B39" w:rsidTr="003F2B39">
        <w:trPr>
          <w:trHeight w:hRule="exact" w:val="520"/>
        </w:trPr>
        <w:tc>
          <w:tcPr>
            <w:tcW w:w="8505" w:type="dxa"/>
            <w:shd w:val="clear" w:color="auto" w:fill="auto"/>
            <w:vAlign w:val="bottom"/>
          </w:tcPr>
          <w:p w:rsidR="00F655F3" w:rsidRPr="003F2B39" w:rsidRDefault="003F2B39" w:rsidP="00F655F3">
            <w:pPr>
              <w:rPr>
                <w:rFonts w:ascii="Gill Sans MT" w:hAnsi="Gill Sans MT"/>
                <w:b/>
                <w:sz w:val="18"/>
                <w:szCs w:val="18"/>
              </w:rPr>
            </w:pPr>
            <w:r w:rsidRPr="003F2B39">
              <w:rPr>
                <w:rFonts w:ascii="Gill Sans MT" w:hAnsi="Gill Sans MT"/>
                <w:b/>
                <w:sz w:val="18"/>
                <w:szCs w:val="18"/>
              </w:rPr>
              <w:br/>
            </w:r>
            <w:r w:rsidR="00F655F3" w:rsidRPr="003F2B39">
              <w:rPr>
                <w:rFonts w:ascii="Gill Sans MT" w:hAnsi="Gill Sans MT"/>
                <w:b/>
                <w:sz w:val="18"/>
                <w:szCs w:val="18"/>
              </w:rPr>
              <w:t>Description</w:t>
            </w:r>
          </w:p>
        </w:tc>
        <w:tc>
          <w:tcPr>
            <w:tcW w:w="1446" w:type="dxa"/>
            <w:shd w:val="clear" w:color="auto" w:fill="auto"/>
            <w:vAlign w:val="bottom"/>
          </w:tcPr>
          <w:p w:rsidR="00F655F3" w:rsidRPr="003F2B39" w:rsidRDefault="00F655F3" w:rsidP="00F655F3">
            <w:pPr>
              <w:pStyle w:val="TableParagraph"/>
              <w:spacing w:before="70" w:line="207" w:lineRule="exact"/>
              <w:ind w:left="383" w:right="312"/>
              <w:jc w:val="right"/>
              <w:rPr>
                <w:rFonts w:ascii="Gill Sans MT" w:hAnsi="Gill Sans MT"/>
                <w:b/>
                <w:sz w:val="18"/>
              </w:rPr>
            </w:pPr>
            <w:r w:rsidRPr="003F2B39">
              <w:rPr>
                <w:rFonts w:ascii="Gill Sans MT" w:hAnsi="Gill Sans MT"/>
                <w:b/>
                <w:sz w:val="18"/>
              </w:rPr>
              <w:t>2016</w:t>
            </w:r>
          </w:p>
          <w:p w:rsidR="00F655F3" w:rsidRPr="003F2B39" w:rsidRDefault="00F655F3" w:rsidP="00F655F3">
            <w:pPr>
              <w:pStyle w:val="TableParagraph"/>
              <w:spacing w:line="207" w:lineRule="exact"/>
              <w:ind w:left="394" w:right="312"/>
              <w:jc w:val="right"/>
              <w:rPr>
                <w:rFonts w:ascii="Gill Sans MT" w:hAnsi="Gill Sans MT"/>
                <w:b/>
                <w:sz w:val="18"/>
              </w:rPr>
            </w:pPr>
            <w:r w:rsidRPr="003F2B39">
              <w:rPr>
                <w:rFonts w:ascii="Gill Sans MT" w:hAnsi="Gill Sans MT"/>
                <w:b/>
                <w:sz w:val="18"/>
              </w:rPr>
              <w:t>$’000</w:t>
            </w:r>
          </w:p>
        </w:tc>
      </w:tr>
      <w:tr w:rsidR="00F655F3" w:rsidRPr="003F2B39" w:rsidTr="003F2B39">
        <w:trPr>
          <w:trHeight w:hRule="exact" w:val="320"/>
        </w:trPr>
        <w:tc>
          <w:tcPr>
            <w:tcW w:w="8505" w:type="dxa"/>
            <w:shd w:val="clear" w:color="auto" w:fill="auto"/>
          </w:tcPr>
          <w:p w:rsidR="00F655F3" w:rsidRPr="003F2B39" w:rsidRDefault="00F655F3" w:rsidP="003F2B39">
            <w:pPr>
              <w:pStyle w:val="TableParagraph"/>
              <w:spacing w:before="78"/>
              <w:ind w:left="79"/>
              <w:rPr>
                <w:rFonts w:ascii="Gill Sans MT" w:hAnsi="Gill Sans MT"/>
                <w:b/>
                <w:sz w:val="18"/>
              </w:rPr>
            </w:pPr>
            <w:r w:rsidRPr="003F2B39">
              <w:rPr>
                <w:rFonts w:ascii="Gill Sans MT" w:hAnsi="Gill Sans MT"/>
                <w:sz w:val="18"/>
              </w:rPr>
              <w:t>Fair Value of assets assumed at no cost or for nominal consideration</w:t>
            </w:r>
          </w:p>
        </w:tc>
        <w:tc>
          <w:tcPr>
            <w:tcW w:w="1446" w:type="dxa"/>
            <w:shd w:val="clear" w:color="auto" w:fill="auto"/>
          </w:tcPr>
          <w:p w:rsidR="00F655F3" w:rsidRPr="003F2B39" w:rsidRDefault="00F655F3" w:rsidP="00F655F3">
            <w:pPr>
              <w:pStyle w:val="TableParagraph"/>
              <w:spacing w:before="78"/>
              <w:ind w:right="312"/>
              <w:jc w:val="right"/>
              <w:rPr>
                <w:rFonts w:ascii="Gill Sans MT" w:hAnsi="Gill Sans MT"/>
                <w:sz w:val="18"/>
              </w:rPr>
            </w:pPr>
            <w:r w:rsidRPr="003F2B39">
              <w:rPr>
                <w:rFonts w:ascii="Gill Sans MT" w:hAnsi="Gill Sans MT"/>
                <w:sz w:val="18"/>
              </w:rPr>
              <w:t>28</w:t>
            </w:r>
          </w:p>
        </w:tc>
      </w:tr>
      <w:tr w:rsidR="00F655F3" w:rsidRPr="003F2B39" w:rsidTr="003F2B39">
        <w:trPr>
          <w:trHeight w:hRule="exact" w:val="320"/>
        </w:trPr>
        <w:tc>
          <w:tcPr>
            <w:tcW w:w="8505" w:type="dxa"/>
            <w:shd w:val="clear" w:color="auto" w:fill="auto"/>
            <w:vAlign w:val="center"/>
          </w:tcPr>
          <w:p w:rsidR="00F655F3" w:rsidRPr="003F2B39" w:rsidRDefault="003F2B39" w:rsidP="003F2B39">
            <w:pPr>
              <w:rPr>
                <w:rFonts w:ascii="Gill Sans MT" w:hAnsi="Gill Sans MT"/>
              </w:rPr>
            </w:pPr>
            <w:r w:rsidRPr="003F2B39">
              <w:rPr>
                <w:rFonts w:ascii="Gill Sans MT" w:hAnsi="Gill Sans MT"/>
                <w:b/>
                <w:sz w:val="18"/>
              </w:rPr>
              <w:t>Total</w:t>
            </w:r>
          </w:p>
        </w:tc>
        <w:tc>
          <w:tcPr>
            <w:tcW w:w="1446" w:type="dxa"/>
            <w:shd w:val="clear" w:color="auto" w:fill="auto"/>
          </w:tcPr>
          <w:p w:rsidR="00F655F3" w:rsidRPr="003F2B39" w:rsidRDefault="00F655F3" w:rsidP="00F655F3">
            <w:pPr>
              <w:pStyle w:val="TableParagraph"/>
              <w:spacing w:before="66"/>
              <w:ind w:right="312"/>
              <w:jc w:val="right"/>
              <w:rPr>
                <w:rFonts w:ascii="Gill Sans MT" w:hAnsi="Gill Sans MT"/>
                <w:b/>
                <w:sz w:val="18"/>
              </w:rPr>
            </w:pPr>
            <w:r w:rsidRPr="003F2B39">
              <w:rPr>
                <w:rFonts w:ascii="Gill Sans MT" w:hAnsi="Gill Sans MT"/>
                <w:b/>
                <w:sz w:val="18"/>
              </w:rPr>
              <w:t>28</w:t>
            </w:r>
          </w:p>
        </w:tc>
      </w:tr>
    </w:tbl>
    <w:p w:rsidR="00D50E74" w:rsidRDefault="00D50E74" w:rsidP="00F655F3"/>
    <w:p w:rsidR="00D50E74" w:rsidRDefault="00D50E74">
      <w:r>
        <w:br w:type="page"/>
      </w:r>
    </w:p>
    <w:p w:rsidR="00F655F3" w:rsidRDefault="00D50E74" w:rsidP="00D50E74">
      <w:pPr>
        <w:pStyle w:val="Heading5"/>
      </w:pPr>
      <w:r>
        <w:lastRenderedPageBreak/>
        <w:t>5.4 Other Revenue</w:t>
      </w:r>
    </w:p>
    <w:p w:rsidR="00D50E74" w:rsidRDefault="00D50E74" w:rsidP="00D50E74">
      <w:pPr>
        <w:pStyle w:val="BodyText"/>
      </w:pPr>
      <w:r>
        <w:t>Other revenue primarily reflects the recovery of costs incurred and is recognised when an increase in future economic benefits relating to an increase in an asset or a decrease of a liability has arisen that can be reliably measured.</w:t>
      </w:r>
    </w:p>
    <w:tbl>
      <w:tblPr>
        <w:tblW w:w="0" w:type="auto"/>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Caption w:val="Other Revenue"/>
      </w:tblPr>
      <w:tblGrid>
        <w:gridCol w:w="8364"/>
        <w:gridCol w:w="1417"/>
      </w:tblGrid>
      <w:tr w:rsidR="00D50E74" w:rsidRPr="00D50E74" w:rsidTr="004E70F8">
        <w:trPr>
          <w:trHeight w:hRule="exact" w:val="520"/>
        </w:trPr>
        <w:tc>
          <w:tcPr>
            <w:tcW w:w="8364" w:type="dxa"/>
            <w:tcBorders>
              <w:top w:val="single" w:sz="4" w:space="0" w:color="auto"/>
              <w:bottom w:val="single" w:sz="4" w:space="0" w:color="auto"/>
            </w:tcBorders>
            <w:shd w:val="clear" w:color="auto" w:fill="auto"/>
            <w:vAlign w:val="bottom"/>
          </w:tcPr>
          <w:p w:rsidR="00D50E74" w:rsidRPr="00D50E74" w:rsidRDefault="00D50E74" w:rsidP="00D50E74">
            <w:pPr>
              <w:rPr>
                <w:rFonts w:ascii="Gill Sans MT" w:hAnsi="Gill Sans MT"/>
                <w:b/>
                <w:sz w:val="18"/>
                <w:szCs w:val="18"/>
              </w:rPr>
            </w:pPr>
            <w:r>
              <w:rPr>
                <w:rFonts w:ascii="Gill Sans MT" w:hAnsi="Gill Sans MT"/>
                <w:b/>
                <w:sz w:val="18"/>
                <w:szCs w:val="18"/>
              </w:rPr>
              <w:br/>
            </w:r>
            <w:r w:rsidRPr="00D50E74">
              <w:rPr>
                <w:rFonts w:ascii="Gill Sans MT" w:hAnsi="Gill Sans MT"/>
                <w:b/>
                <w:sz w:val="18"/>
                <w:szCs w:val="18"/>
              </w:rPr>
              <w:t>Description</w:t>
            </w:r>
          </w:p>
        </w:tc>
        <w:tc>
          <w:tcPr>
            <w:tcW w:w="1417" w:type="dxa"/>
            <w:tcBorders>
              <w:top w:val="single" w:sz="4" w:space="0" w:color="auto"/>
              <w:bottom w:val="single" w:sz="4" w:space="0" w:color="auto"/>
            </w:tcBorders>
            <w:shd w:val="clear" w:color="auto" w:fill="auto"/>
            <w:vAlign w:val="bottom"/>
          </w:tcPr>
          <w:p w:rsidR="00D50E74" w:rsidRPr="00D50E74" w:rsidRDefault="00D50E74" w:rsidP="004E70F8">
            <w:pPr>
              <w:pStyle w:val="TableParagraph"/>
              <w:spacing w:before="70" w:line="207" w:lineRule="exact"/>
              <w:ind w:left="406" w:right="278"/>
              <w:jc w:val="right"/>
              <w:rPr>
                <w:rFonts w:ascii="Gill Sans MT" w:hAnsi="Gill Sans MT"/>
                <w:b/>
                <w:sz w:val="18"/>
                <w:szCs w:val="18"/>
              </w:rPr>
            </w:pPr>
            <w:r w:rsidRPr="00D50E74">
              <w:rPr>
                <w:rFonts w:ascii="Gill Sans MT" w:hAnsi="Gill Sans MT"/>
                <w:b/>
                <w:sz w:val="18"/>
                <w:szCs w:val="18"/>
              </w:rPr>
              <w:t>2016</w:t>
            </w:r>
          </w:p>
          <w:p w:rsidR="00D50E74" w:rsidRPr="00D50E74" w:rsidRDefault="00D50E74" w:rsidP="004E70F8">
            <w:pPr>
              <w:pStyle w:val="TableParagraph"/>
              <w:spacing w:line="207" w:lineRule="exact"/>
              <w:ind w:left="417" w:right="278"/>
              <w:jc w:val="right"/>
              <w:rPr>
                <w:rFonts w:ascii="Gill Sans MT" w:hAnsi="Gill Sans MT"/>
                <w:b/>
                <w:sz w:val="18"/>
                <w:szCs w:val="18"/>
              </w:rPr>
            </w:pPr>
            <w:r w:rsidRPr="00D50E74">
              <w:rPr>
                <w:rFonts w:ascii="Gill Sans MT" w:hAnsi="Gill Sans MT"/>
                <w:b/>
                <w:sz w:val="18"/>
                <w:szCs w:val="18"/>
              </w:rPr>
              <w:t>$’000</w:t>
            </w:r>
          </w:p>
        </w:tc>
      </w:tr>
      <w:tr w:rsidR="00D50E74" w:rsidRPr="00D50E74" w:rsidTr="00901EA7">
        <w:trPr>
          <w:trHeight w:hRule="exact" w:val="341"/>
        </w:trPr>
        <w:tc>
          <w:tcPr>
            <w:tcW w:w="8364" w:type="dxa"/>
            <w:tcBorders>
              <w:top w:val="single" w:sz="4" w:space="0" w:color="auto"/>
            </w:tcBorders>
            <w:shd w:val="clear" w:color="auto" w:fill="FFFFFF"/>
          </w:tcPr>
          <w:p w:rsidR="00D50E74" w:rsidRPr="00D50E74" w:rsidRDefault="00D50E74" w:rsidP="00D50E74">
            <w:pPr>
              <w:pStyle w:val="TableParagraph"/>
              <w:spacing w:before="78"/>
              <w:ind w:left="80"/>
              <w:rPr>
                <w:rFonts w:ascii="Gill Sans MT" w:hAnsi="Gill Sans MT"/>
                <w:sz w:val="18"/>
              </w:rPr>
            </w:pPr>
            <w:r w:rsidRPr="00D50E74">
              <w:rPr>
                <w:rFonts w:ascii="Gill Sans MT" w:hAnsi="Gill Sans MT"/>
                <w:sz w:val="18"/>
              </w:rPr>
              <w:t>Wages and salaries recoveries</w:t>
            </w:r>
          </w:p>
        </w:tc>
        <w:tc>
          <w:tcPr>
            <w:tcW w:w="1417" w:type="dxa"/>
            <w:tcBorders>
              <w:top w:val="single" w:sz="4" w:space="0" w:color="auto"/>
            </w:tcBorders>
            <w:shd w:val="clear" w:color="auto" w:fill="auto"/>
          </w:tcPr>
          <w:p w:rsidR="00D50E74" w:rsidRPr="00D50E74" w:rsidRDefault="00D50E74" w:rsidP="004E70F8">
            <w:pPr>
              <w:pStyle w:val="TableParagraph"/>
              <w:spacing w:before="78"/>
              <w:ind w:right="278"/>
              <w:jc w:val="right"/>
              <w:rPr>
                <w:rFonts w:ascii="Gill Sans MT" w:hAnsi="Gill Sans MT"/>
                <w:sz w:val="18"/>
              </w:rPr>
            </w:pPr>
            <w:r w:rsidRPr="00D50E74">
              <w:rPr>
                <w:rFonts w:ascii="Gill Sans MT" w:hAnsi="Gill Sans MT"/>
                <w:sz w:val="18"/>
              </w:rPr>
              <w:t>18 303</w:t>
            </w:r>
          </w:p>
        </w:tc>
      </w:tr>
      <w:tr w:rsidR="00D50E74" w:rsidRPr="00D50E74" w:rsidTr="00901EA7">
        <w:trPr>
          <w:trHeight w:hRule="exact" w:val="320"/>
        </w:trPr>
        <w:tc>
          <w:tcPr>
            <w:tcW w:w="8364" w:type="dxa"/>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Food recoveries</w:t>
            </w:r>
          </w:p>
        </w:tc>
        <w:tc>
          <w:tcPr>
            <w:tcW w:w="1417" w:type="dxa"/>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5 412</w:t>
            </w:r>
          </w:p>
        </w:tc>
      </w:tr>
      <w:tr w:rsidR="00D50E74" w:rsidRPr="00D50E74" w:rsidTr="00901EA7">
        <w:trPr>
          <w:trHeight w:hRule="exact" w:val="320"/>
        </w:trPr>
        <w:tc>
          <w:tcPr>
            <w:tcW w:w="8364" w:type="dxa"/>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Multipurpose centre recoveries</w:t>
            </w:r>
          </w:p>
        </w:tc>
        <w:tc>
          <w:tcPr>
            <w:tcW w:w="1417" w:type="dxa"/>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255</w:t>
            </w:r>
          </w:p>
        </w:tc>
      </w:tr>
      <w:tr w:rsidR="00D50E74" w:rsidRPr="00D50E74" w:rsidTr="00901EA7">
        <w:trPr>
          <w:trHeight w:hRule="exact" w:val="320"/>
        </w:trPr>
        <w:tc>
          <w:tcPr>
            <w:tcW w:w="8364" w:type="dxa"/>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Workers compensation recoveries</w:t>
            </w:r>
          </w:p>
        </w:tc>
        <w:tc>
          <w:tcPr>
            <w:tcW w:w="1417" w:type="dxa"/>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3 349</w:t>
            </w:r>
          </w:p>
        </w:tc>
      </w:tr>
      <w:tr w:rsidR="00D50E74" w:rsidRPr="00D50E74" w:rsidTr="00901EA7">
        <w:trPr>
          <w:trHeight w:hRule="exact" w:val="320"/>
        </w:trPr>
        <w:tc>
          <w:tcPr>
            <w:tcW w:w="8364" w:type="dxa"/>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Operating recoveries</w:t>
            </w:r>
          </w:p>
        </w:tc>
        <w:tc>
          <w:tcPr>
            <w:tcW w:w="1417" w:type="dxa"/>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5 465</w:t>
            </w:r>
          </w:p>
        </w:tc>
      </w:tr>
      <w:tr w:rsidR="00D50E74" w:rsidRPr="00D50E74" w:rsidTr="00901EA7">
        <w:trPr>
          <w:trHeight w:hRule="exact" w:val="320"/>
        </w:trPr>
        <w:tc>
          <w:tcPr>
            <w:tcW w:w="8364" w:type="dxa"/>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Donations</w:t>
            </w:r>
          </w:p>
        </w:tc>
        <w:tc>
          <w:tcPr>
            <w:tcW w:w="1417" w:type="dxa"/>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1 684</w:t>
            </w:r>
          </w:p>
        </w:tc>
      </w:tr>
      <w:tr w:rsidR="00D50E74" w:rsidRPr="00D50E74" w:rsidTr="00901EA7">
        <w:trPr>
          <w:trHeight w:hRule="exact" w:val="299"/>
        </w:trPr>
        <w:tc>
          <w:tcPr>
            <w:tcW w:w="8364" w:type="dxa"/>
            <w:tcBorders>
              <w:bottom w:val="single" w:sz="4" w:space="0" w:color="auto"/>
            </w:tcBorders>
            <w:shd w:val="clear" w:color="auto" w:fill="FFFFFF"/>
          </w:tcPr>
          <w:p w:rsidR="00D50E74" w:rsidRPr="00D50E74" w:rsidRDefault="00D50E74" w:rsidP="00D50E74">
            <w:pPr>
              <w:pStyle w:val="TableParagraph"/>
              <w:spacing w:before="57"/>
              <w:ind w:left="80"/>
              <w:rPr>
                <w:rFonts w:ascii="Gill Sans MT" w:hAnsi="Gill Sans MT"/>
                <w:sz w:val="18"/>
              </w:rPr>
            </w:pPr>
            <w:r w:rsidRPr="00D50E74">
              <w:rPr>
                <w:rFonts w:ascii="Gill Sans MT" w:hAnsi="Gill Sans MT"/>
                <w:sz w:val="18"/>
              </w:rPr>
              <w:t>Industry funds</w:t>
            </w:r>
          </w:p>
        </w:tc>
        <w:tc>
          <w:tcPr>
            <w:tcW w:w="1417" w:type="dxa"/>
            <w:tcBorders>
              <w:bottom w:val="single" w:sz="4" w:space="0" w:color="auto"/>
            </w:tcBorders>
            <w:shd w:val="clear" w:color="auto" w:fill="auto"/>
          </w:tcPr>
          <w:p w:rsidR="00D50E74" w:rsidRPr="00D50E74" w:rsidRDefault="00D50E74" w:rsidP="004E70F8">
            <w:pPr>
              <w:pStyle w:val="TableParagraph"/>
              <w:spacing w:before="57"/>
              <w:ind w:right="278"/>
              <w:jc w:val="right"/>
              <w:rPr>
                <w:rFonts w:ascii="Gill Sans MT" w:hAnsi="Gill Sans MT"/>
                <w:sz w:val="18"/>
              </w:rPr>
            </w:pPr>
            <w:r w:rsidRPr="00D50E74">
              <w:rPr>
                <w:rFonts w:ascii="Gill Sans MT" w:hAnsi="Gill Sans MT"/>
                <w:sz w:val="18"/>
              </w:rPr>
              <w:t>3 575</w:t>
            </w:r>
          </w:p>
        </w:tc>
      </w:tr>
      <w:tr w:rsidR="00D50E74" w:rsidRPr="00D50E74" w:rsidTr="00901EA7">
        <w:trPr>
          <w:trHeight w:hRule="exact" w:val="320"/>
        </w:trPr>
        <w:tc>
          <w:tcPr>
            <w:tcW w:w="8364" w:type="dxa"/>
            <w:tcBorders>
              <w:top w:val="single" w:sz="4" w:space="0" w:color="auto"/>
              <w:bottom w:val="single" w:sz="4" w:space="0" w:color="auto"/>
            </w:tcBorders>
            <w:shd w:val="clear" w:color="auto" w:fill="FFFFFF"/>
          </w:tcPr>
          <w:p w:rsidR="00D50E74" w:rsidRPr="00D50E74" w:rsidRDefault="00D50E74" w:rsidP="00D50E74">
            <w:pPr>
              <w:pStyle w:val="TableParagraph"/>
              <w:spacing w:before="70"/>
              <w:ind w:left="80"/>
              <w:rPr>
                <w:rFonts w:ascii="Gill Sans MT" w:hAnsi="Gill Sans MT"/>
                <w:b/>
                <w:sz w:val="18"/>
              </w:rPr>
            </w:pPr>
            <w:r w:rsidRPr="00D50E74">
              <w:rPr>
                <w:rFonts w:ascii="Gill Sans MT" w:hAnsi="Gill Sans MT"/>
                <w:b/>
                <w:sz w:val="18"/>
              </w:rPr>
              <w:t>Total</w:t>
            </w:r>
          </w:p>
        </w:tc>
        <w:tc>
          <w:tcPr>
            <w:tcW w:w="1417" w:type="dxa"/>
            <w:tcBorders>
              <w:top w:val="single" w:sz="4" w:space="0" w:color="auto"/>
              <w:bottom w:val="single" w:sz="4" w:space="0" w:color="auto"/>
            </w:tcBorders>
            <w:shd w:val="clear" w:color="auto" w:fill="auto"/>
          </w:tcPr>
          <w:p w:rsidR="00D50E74" w:rsidRPr="00D50E74" w:rsidRDefault="00D50E74" w:rsidP="004E70F8">
            <w:pPr>
              <w:pStyle w:val="TableParagraph"/>
              <w:spacing w:before="67"/>
              <w:ind w:right="278"/>
              <w:jc w:val="right"/>
              <w:rPr>
                <w:rFonts w:ascii="Gill Sans MT" w:hAnsi="Gill Sans MT"/>
                <w:b/>
                <w:sz w:val="18"/>
              </w:rPr>
            </w:pPr>
            <w:r w:rsidRPr="00D50E74">
              <w:rPr>
                <w:rFonts w:ascii="Gill Sans MT" w:hAnsi="Gill Sans MT"/>
                <w:b/>
                <w:sz w:val="18"/>
              </w:rPr>
              <w:t>38 043</w:t>
            </w:r>
          </w:p>
        </w:tc>
      </w:tr>
    </w:tbl>
    <w:p w:rsidR="00D50E74" w:rsidRDefault="00D50E74" w:rsidP="00D50E74">
      <w:pPr>
        <w:pStyle w:val="BodyText"/>
      </w:pPr>
    </w:p>
    <w:p w:rsidR="004E70F8" w:rsidRDefault="004E70F8" w:rsidP="004E70F8">
      <w:pPr>
        <w:pStyle w:val="Heading4"/>
        <w:tabs>
          <w:tab w:val="left" w:pos="1560"/>
        </w:tabs>
      </w:pPr>
      <w:r>
        <w:t xml:space="preserve">Note 6 </w:t>
      </w:r>
      <w:r>
        <w:tab/>
        <w:t>Expenses from Transactions</w:t>
      </w:r>
    </w:p>
    <w:p w:rsidR="004E70F8" w:rsidRPr="004E70F8" w:rsidRDefault="004E70F8" w:rsidP="004E70F8">
      <w:pPr>
        <w:pStyle w:val="BodyText"/>
      </w:pPr>
      <w:r>
        <w:t xml:space="preserve">Expenses are recognised in the Statement of Comprehensive Income when </w:t>
      </w:r>
      <w:proofErr w:type="gramStart"/>
      <w:r>
        <w:t>a decrease in future economic benefits</w:t>
      </w:r>
      <w:proofErr w:type="gramEnd"/>
      <w:r>
        <w:t xml:space="preserve"> related to a decrease in an asset or an increase of a liability has arisen that can be measured reliably.</w:t>
      </w:r>
    </w:p>
    <w:p w:rsidR="004E70F8" w:rsidRDefault="004E70F8" w:rsidP="00D50E74">
      <w:pPr>
        <w:pStyle w:val="BodyText"/>
      </w:pPr>
    </w:p>
    <w:p w:rsidR="004E70F8" w:rsidRDefault="004E70F8" w:rsidP="004E70F8">
      <w:pPr>
        <w:pStyle w:val="Heading5"/>
        <w:tabs>
          <w:tab w:val="left" w:pos="567"/>
        </w:tabs>
      </w:pPr>
      <w:r>
        <w:t xml:space="preserve">6.1 </w:t>
      </w:r>
      <w:r>
        <w:tab/>
        <w:t>Employee Benefits</w:t>
      </w:r>
    </w:p>
    <w:p w:rsidR="004E70F8" w:rsidRDefault="004E70F8" w:rsidP="004E70F8">
      <w:pPr>
        <w:pStyle w:val="BodyText"/>
      </w:pPr>
      <w:r>
        <w:t>Employee benefits include, where applicable, entitlements to wages and salaries, annual leave, sick leave, long service leave, superannuation and any other post-employment benefits.</w:t>
      </w:r>
    </w:p>
    <w:p w:rsidR="004E70F8" w:rsidRDefault="004E70F8" w:rsidP="004E70F8">
      <w:pPr>
        <w:pStyle w:val="BodyText"/>
        <w:numPr>
          <w:ilvl w:val="0"/>
          <w:numId w:val="46"/>
        </w:numPr>
        <w:ind w:left="567" w:hanging="567"/>
      </w:pPr>
      <w:r>
        <w:t>Employee expenses</w:t>
      </w:r>
    </w:p>
    <w:tbl>
      <w:tblPr>
        <w:tblW w:w="0" w:type="auto"/>
        <w:tblLayout w:type="fixed"/>
        <w:tblCellMar>
          <w:left w:w="0" w:type="dxa"/>
          <w:right w:w="0" w:type="dxa"/>
        </w:tblCellMar>
        <w:tblLook w:val="01E0" w:firstRow="1" w:lastRow="1" w:firstColumn="1" w:lastColumn="1" w:noHBand="0" w:noVBand="0"/>
        <w:tblCaption w:val="Employee Expenses"/>
      </w:tblPr>
      <w:tblGrid>
        <w:gridCol w:w="8364"/>
        <w:gridCol w:w="1417"/>
      </w:tblGrid>
      <w:tr w:rsidR="004E70F8" w:rsidRPr="004E70F8" w:rsidTr="004E70F8">
        <w:trPr>
          <w:trHeight w:hRule="exact" w:val="520"/>
        </w:trPr>
        <w:tc>
          <w:tcPr>
            <w:tcW w:w="8364" w:type="dxa"/>
            <w:tcBorders>
              <w:top w:val="single" w:sz="4" w:space="0" w:color="auto"/>
              <w:bottom w:val="single" w:sz="4" w:space="0" w:color="auto"/>
            </w:tcBorders>
            <w:shd w:val="clear" w:color="auto" w:fill="auto"/>
            <w:vAlign w:val="bottom"/>
          </w:tcPr>
          <w:p w:rsidR="004E70F8" w:rsidRPr="004E70F8" w:rsidRDefault="004E70F8" w:rsidP="004E70F8">
            <w:pPr>
              <w:rPr>
                <w:rFonts w:ascii="Gill Sans MT" w:hAnsi="Gill Sans MT"/>
                <w:b/>
                <w:sz w:val="18"/>
                <w:szCs w:val="18"/>
              </w:rPr>
            </w:pPr>
            <w:r>
              <w:rPr>
                <w:rFonts w:ascii="Gill Sans MT" w:hAnsi="Gill Sans MT"/>
                <w:b/>
                <w:sz w:val="18"/>
                <w:szCs w:val="18"/>
              </w:rPr>
              <w:br/>
            </w:r>
            <w:r w:rsidRPr="004E70F8">
              <w:rPr>
                <w:rFonts w:ascii="Gill Sans MT" w:hAnsi="Gill Sans MT"/>
                <w:b/>
                <w:sz w:val="18"/>
                <w:szCs w:val="18"/>
              </w:rPr>
              <w:t>Description</w:t>
            </w:r>
          </w:p>
        </w:tc>
        <w:tc>
          <w:tcPr>
            <w:tcW w:w="1417" w:type="dxa"/>
            <w:tcBorders>
              <w:top w:val="single" w:sz="4" w:space="0" w:color="auto"/>
              <w:bottom w:val="single" w:sz="4" w:space="0" w:color="auto"/>
            </w:tcBorders>
            <w:shd w:val="clear" w:color="auto" w:fill="auto"/>
            <w:vAlign w:val="bottom"/>
          </w:tcPr>
          <w:p w:rsidR="004E70F8" w:rsidRPr="004E70F8" w:rsidRDefault="004E70F8" w:rsidP="004E70F8">
            <w:pPr>
              <w:pStyle w:val="TableParagraph"/>
              <w:spacing w:before="70" w:line="207" w:lineRule="exact"/>
              <w:ind w:left="420" w:right="283"/>
              <w:jc w:val="right"/>
              <w:rPr>
                <w:rFonts w:ascii="Gill Sans MT" w:hAnsi="Gill Sans MT"/>
                <w:b/>
                <w:sz w:val="18"/>
                <w:szCs w:val="18"/>
              </w:rPr>
            </w:pPr>
            <w:r w:rsidRPr="004E70F8">
              <w:rPr>
                <w:rFonts w:ascii="Gill Sans MT" w:hAnsi="Gill Sans MT"/>
                <w:b/>
                <w:sz w:val="18"/>
                <w:szCs w:val="18"/>
              </w:rPr>
              <w:t>2016</w:t>
            </w:r>
          </w:p>
          <w:p w:rsidR="004E70F8" w:rsidRPr="004E70F8" w:rsidRDefault="004E70F8" w:rsidP="004E70F8">
            <w:pPr>
              <w:pStyle w:val="TableParagraph"/>
              <w:spacing w:line="207" w:lineRule="exact"/>
              <w:ind w:left="431" w:right="283"/>
              <w:jc w:val="right"/>
              <w:rPr>
                <w:rFonts w:ascii="Gill Sans MT" w:hAnsi="Gill Sans MT"/>
                <w:b/>
                <w:sz w:val="18"/>
                <w:szCs w:val="18"/>
              </w:rPr>
            </w:pPr>
            <w:r w:rsidRPr="004E70F8">
              <w:rPr>
                <w:rFonts w:ascii="Gill Sans MT" w:hAnsi="Gill Sans MT"/>
                <w:b/>
                <w:sz w:val="18"/>
                <w:szCs w:val="18"/>
              </w:rPr>
              <w:t>$’000</w:t>
            </w:r>
          </w:p>
        </w:tc>
      </w:tr>
      <w:tr w:rsidR="004E70F8" w:rsidRPr="004E70F8" w:rsidTr="004E70F8">
        <w:trPr>
          <w:trHeight w:hRule="exact" w:val="341"/>
        </w:trPr>
        <w:tc>
          <w:tcPr>
            <w:tcW w:w="8364" w:type="dxa"/>
            <w:tcBorders>
              <w:top w:val="single" w:sz="4" w:space="0" w:color="auto"/>
            </w:tcBorders>
            <w:shd w:val="clear" w:color="auto" w:fill="auto"/>
          </w:tcPr>
          <w:p w:rsidR="004E70F8" w:rsidRPr="004E70F8" w:rsidRDefault="004E70F8" w:rsidP="009555B2">
            <w:pPr>
              <w:pStyle w:val="TableParagraph"/>
              <w:spacing w:before="78"/>
              <w:ind w:left="79"/>
              <w:rPr>
                <w:rFonts w:ascii="Gill Sans MT" w:hAnsi="Gill Sans MT"/>
                <w:sz w:val="18"/>
              </w:rPr>
            </w:pPr>
            <w:r w:rsidRPr="004E70F8">
              <w:rPr>
                <w:rFonts w:ascii="Gill Sans MT" w:hAnsi="Gill Sans MT"/>
                <w:sz w:val="18"/>
              </w:rPr>
              <w:t>Wages and salaries including FBT</w:t>
            </w:r>
          </w:p>
        </w:tc>
        <w:tc>
          <w:tcPr>
            <w:tcW w:w="1417" w:type="dxa"/>
            <w:tcBorders>
              <w:top w:val="single" w:sz="4" w:space="0" w:color="auto"/>
            </w:tcBorders>
            <w:shd w:val="clear" w:color="auto" w:fill="auto"/>
          </w:tcPr>
          <w:p w:rsidR="004E70F8" w:rsidRPr="004E70F8" w:rsidRDefault="004E70F8" w:rsidP="004E70F8">
            <w:pPr>
              <w:pStyle w:val="TableParagraph"/>
              <w:spacing w:before="78"/>
              <w:ind w:right="283"/>
              <w:jc w:val="right"/>
              <w:rPr>
                <w:rFonts w:ascii="Gill Sans MT" w:hAnsi="Gill Sans MT"/>
                <w:sz w:val="18"/>
              </w:rPr>
            </w:pPr>
            <w:r w:rsidRPr="004E70F8">
              <w:rPr>
                <w:rFonts w:ascii="Gill Sans MT" w:hAnsi="Gill Sans MT"/>
                <w:sz w:val="18"/>
              </w:rPr>
              <w:t>756 497</w:t>
            </w:r>
          </w:p>
        </w:tc>
      </w:tr>
      <w:tr w:rsidR="004E70F8" w:rsidRPr="004E70F8" w:rsidTr="004E70F8">
        <w:trPr>
          <w:trHeight w:hRule="exact" w:val="320"/>
        </w:trPr>
        <w:tc>
          <w:tcPr>
            <w:tcW w:w="8364" w:type="dxa"/>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Annual leave</w:t>
            </w:r>
          </w:p>
        </w:tc>
        <w:tc>
          <w:tcPr>
            <w:tcW w:w="1417" w:type="dxa"/>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49 439</w:t>
            </w:r>
          </w:p>
        </w:tc>
      </w:tr>
      <w:tr w:rsidR="004E70F8" w:rsidRPr="004E70F8" w:rsidTr="004E70F8">
        <w:trPr>
          <w:trHeight w:hRule="exact" w:val="320"/>
        </w:trPr>
        <w:tc>
          <w:tcPr>
            <w:tcW w:w="8364" w:type="dxa"/>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Long service leave</w:t>
            </w:r>
          </w:p>
        </w:tc>
        <w:tc>
          <w:tcPr>
            <w:tcW w:w="1417" w:type="dxa"/>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14 373</w:t>
            </w:r>
          </w:p>
        </w:tc>
      </w:tr>
      <w:tr w:rsidR="004E70F8" w:rsidRPr="004E70F8" w:rsidTr="004E70F8">
        <w:trPr>
          <w:trHeight w:hRule="exact" w:val="320"/>
        </w:trPr>
        <w:tc>
          <w:tcPr>
            <w:tcW w:w="8364" w:type="dxa"/>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Sick leave</w:t>
            </w:r>
          </w:p>
        </w:tc>
        <w:tc>
          <w:tcPr>
            <w:tcW w:w="1417" w:type="dxa"/>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25 646</w:t>
            </w:r>
          </w:p>
        </w:tc>
      </w:tr>
      <w:tr w:rsidR="004E70F8" w:rsidRPr="004E70F8" w:rsidTr="004E70F8">
        <w:trPr>
          <w:trHeight w:hRule="exact" w:val="320"/>
        </w:trPr>
        <w:tc>
          <w:tcPr>
            <w:tcW w:w="8364" w:type="dxa"/>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Other post-employment benefits</w:t>
            </w:r>
          </w:p>
        </w:tc>
        <w:tc>
          <w:tcPr>
            <w:tcW w:w="1417" w:type="dxa"/>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7 941</w:t>
            </w:r>
          </w:p>
        </w:tc>
      </w:tr>
      <w:tr w:rsidR="004E70F8" w:rsidRPr="004E70F8" w:rsidTr="004E70F8">
        <w:trPr>
          <w:trHeight w:hRule="exact" w:val="320"/>
        </w:trPr>
        <w:tc>
          <w:tcPr>
            <w:tcW w:w="8364" w:type="dxa"/>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Other employee expenses - other staff allowances</w:t>
            </w:r>
          </w:p>
        </w:tc>
        <w:tc>
          <w:tcPr>
            <w:tcW w:w="1417" w:type="dxa"/>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929</w:t>
            </w:r>
          </w:p>
        </w:tc>
      </w:tr>
      <w:tr w:rsidR="004E70F8" w:rsidRPr="004E70F8" w:rsidTr="004E70F8">
        <w:trPr>
          <w:trHeight w:hRule="exact" w:val="299"/>
        </w:trPr>
        <w:tc>
          <w:tcPr>
            <w:tcW w:w="8364" w:type="dxa"/>
            <w:tcBorders>
              <w:bottom w:val="single" w:sz="4" w:space="0" w:color="auto"/>
            </w:tcBorders>
            <w:shd w:val="clear" w:color="auto" w:fill="auto"/>
          </w:tcPr>
          <w:p w:rsidR="004E70F8" w:rsidRPr="004E70F8" w:rsidRDefault="004E70F8" w:rsidP="009555B2">
            <w:pPr>
              <w:pStyle w:val="TableParagraph"/>
              <w:spacing w:before="57"/>
              <w:ind w:left="79"/>
              <w:rPr>
                <w:rFonts w:ascii="Gill Sans MT" w:hAnsi="Gill Sans MT"/>
                <w:sz w:val="18"/>
              </w:rPr>
            </w:pPr>
            <w:r w:rsidRPr="004E70F8">
              <w:rPr>
                <w:rFonts w:ascii="Gill Sans MT" w:hAnsi="Gill Sans MT"/>
                <w:sz w:val="18"/>
              </w:rPr>
              <w:t>Superannuation expenses - defined contribution and benefits schemes</w:t>
            </w:r>
          </w:p>
        </w:tc>
        <w:tc>
          <w:tcPr>
            <w:tcW w:w="1417" w:type="dxa"/>
            <w:tcBorders>
              <w:bottom w:val="single" w:sz="4" w:space="0" w:color="auto"/>
            </w:tcBorders>
            <w:shd w:val="clear" w:color="auto" w:fill="auto"/>
          </w:tcPr>
          <w:p w:rsidR="004E70F8" w:rsidRPr="004E70F8" w:rsidRDefault="004E70F8" w:rsidP="004E70F8">
            <w:pPr>
              <w:pStyle w:val="TableParagraph"/>
              <w:spacing w:before="57"/>
              <w:ind w:right="283"/>
              <w:jc w:val="right"/>
              <w:rPr>
                <w:rFonts w:ascii="Gill Sans MT" w:hAnsi="Gill Sans MT"/>
                <w:sz w:val="18"/>
              </w:rPr>
            </w:pPr>
            <w:r w:rsidRPr="004E70F8">
              <w:rPr>
                <w:rFonts w:ascii="Gill Sans MT" w:hAnsi="Gill Sans MT"/>
                <w:sz w:val="18"/>
              </w:rPr>
              <w:t>94 148</w:t>
            </w:r>
          </w:p>
        </w:tc>
      </w:tr>
      <w:tr w:rsidR="004E70F8" w:rsidRPr="004E70F8" w:rsidTr="004E70F8">
        <w:trPr>
          <w:trHeight w:hRule="exact" w:val="320"/>
        </w:trPr>
        <w:tc>
          <w:tcPr>
            <w:tcW w:w="8364" w:type="dxa"/>
            <w:tcBorders>
              <w:top w:val="single" w:sz="4" w:space="0" w:color="auto"/>
              <w:bottom w:val="single" w:sz="4" w:space="0" w:color="auto"/>
            </w:tcBorders>
            <w:shd w:val="clear" w:color="auto" w:fill="auto"/>
          </w:tcPr>
          <w:p w:rsidR="004E70F8" w:rsidRPr="004E70F8" w:rsidRDefault="004E70F8" w:rsidP="009555B2">
            <w:pPr>
              <w:pStyle w:val="TableParagraph"/>
              <w:spacing w:before="70"/>
              <w:ind w:left="79"/>
              <w:rPr>
                <w:rFonts w:ascii="Gill Sans MT" w:hAnsi="Gill Sans MT"/>
                <w:b/>
                <w:sz w:val="18"/>
              </w:rPr>
            </w:pPr>
            <w:r w:rsidRPr="004E70F8">
              <w:rPr>
                <w:rFonts w:ascii="Gill Sans MT" w:hAnsi="Gill Sans MT"/>
                <w:b/>
                <w:sz w:val="18"/>
              </w:rPr>
              <w:t>Total</w:t>
            </w:r>
          </w:p>
        </w:tc>
        <w:tc>
          <w:tcPr>
            <w:tcW w:w="1417" w:type="dxa"/>
            <w:tcBorders>
              <w:top w:val="single" w:sz="4" w:space="0" w:color="auto"/>
              <w:bottom w:val="single" w:sz="4" w:space="0" w:color="auto"/>
            </w:tcBorders>
            <w:shd w:val="clear" w:color="auto" w:fill="auto"/>
          </w:tcPr>
          <w:p w:rsidR="004E70F8" w:rsidRPr="004E70F8" w:rsidRDefault="004E70F8" w:rsidP="004E70F8">
            <w:pPr>
              <w:pStyle w:val="TableParagraph"/>
              <w:spacing w:before="66"/>
              <w:ind w:right="283"/>
              <w:jc w:val="right"/>
              <w:rPr>
                <w:rFonts w:ascii="Gill Sans MT" w:hAnsi="Gill Sans MT"/>
                <w:b/>
                <w:sz w:val="18"/>
              </w:rPr>
            </w:pPr>
            <w:r w:rsidRPr="004E70F8">
              <w:rPr>
                <w:rFonts w:ascii="Gill Sans MT" w:hAnsi="Gill Sans MT"/>
                <w:b/>
                <w:sz w:val="18"/>
              </w:rPr>
              <w:t>948 973</w:t>
            </w:r>
          </w:p>
        </w:tc>
      </w:tr>
    </w:tbl>
    <w:p w:rsidR="004E70F8" w:rsidRDefault="004E70F8" w:rsidP="004E70F8">
      <w:pPr>
        <w:pStyle w:val="BodyText"/>
      </w:pPr>
    </w:p>
    <w:p w:rsidR="004E70F8" w:rsidRDefault="004E70F8">
      <w:pPr>
        <w:rPr>
          <w:rFonts w:ascii="Gill Sans MT" w:eastAsia="GillSans-Light" w:hAnsi="Gill Sans MT" w:cs="GillSans-Light"/>
          <w:lang w:val="en-US"/>
        </w:rPr>
      </w:pPr>
      <w:r>
        <w:br w:type="page"/>
      </w:r>
    </w:p>
    <w:p w:rsidR="004E70F8" w:rsidRDefault="004E70F8" w:rsidP="004E70F8">
      <w:pPr>
        <w:pStyle w:val="BodyText"/>
        <w:numPr>
          <w:ilvl w:val="0"/>
          <w:numId w:val="46"/>
        </w:numPr>
        <w:ind w:left="567" w:hanging="567"/>
      </w:pPr>
      <w:r>
        <w:lastRenderedPageBreak/>
        <w:t>Remuneration of Key management personnel</w:t>
      </w:r>
    </w:p>
    <w:p w:rsidR="004E70F8" w:rsidRDefault="004E70F8" w:rsidP="004E70F8">
      <w:pPr>
        <w:pStyle w:val="BodyText"/>
      </w:pPr>
      <w:r>
        <w:t>Key management personnel are those persons having authority and responsibility for planning, directing and controlling the activities of the THS, directly or indirectly.</w:t>
      </w:r>
    </w:p>
    <w:p w:rsidR="004E70F8" w:rsidRDefault="004E70F8" w:rsidP="004E70F8">
      <w:pPr>
        <w:pStyle w:val="BodyText"/>
      </w:pPr>
      <w:r>
        <w:t xml:space="preserve">Remuneration during </w:t>
      </w:r>
      <w:r>
        <w:rPr>
          <w:spacing w:val="-7"/>
        </w:rPr>
        <w:t xml:space="preserve">2015-16 </w:t>
      </w:r>
      <w:r>
        <w:t xml:space="preserve">for key personnel is set by the </w:t>
      </w:r>
      <w:r>
        <w:rPr>
          <w:rFonts w:ascii="GillSans-LightItalic"/>
          <w:i/>
        </w:rPr>
        <w:t>State Service Act 2000</w:t>
      </w:r>
      <w:r>
        <w:t xml:space="preserve">. Remuneration and other terms of employment </w:t>
      </w:r>
      <w:r>
        <w:rPr>
          <w:spacing w:val="2"/>
        </w:rPr>
        <w:t xml:space="preserve">are </w:t>
      </w:r>
      <w:r>
        <w:t xml:space="preserve">specified in employment </w:t>
      </w:r>
      <w:r>
        <w:rPr>
          <w:spacing w:val="2"/>
        </w:rPr>
        <w:t xml:space="preserve">contracts. </w:t>
      </w:r>
      <w:r>
        <w:t xml:space="preserve">Remuneration includes salary, motor vehicle and other </w:t>
      </w:r>
      <w:r>
        <w:rPr>
          <w:spacing w:val="2"/>
        </w:rPr>
        <w:t xml:space="preserve">non-monetary </w:t>
      </w:r>
      <w:r>
        <w:rPr>
          <w:spacing w:val="3"/>
        </w:rPr>
        <w:t xml:space="preserve">benefits. </w:t>
      </w:r>
      <w:r>
        <w:t xml:space="preserve">Long </w:t>
      </w:r>
      <w:r>
        <w:rPr>
          <w:spacing w:val="2"/>
        </w:rPr>
        <w:t xml:space="preserve">term </w:t>
      </w:r>
      <w:r>
        <w:t xml:space="preserve">employee expenses include long </w:t>
      </w:r>
      <w:r>
        <w:rPr>
          <w:spacing w:val="2"/>
        </w:rPr>
        <w:t xml:space="preserve">service </w:t>
      </w:r>
      <w:r>
        <w:t>leave, superannuation obligations and payments made on</w:t>
      </w:r>
      <w:r>
        <w:rPr>
          <w:spacing w:val="52"/>
        </w:rPr>
        <w:t xml:space="preserve"> </w:t>
      </w:r>
      <w:r>
        <w:rPr>
          <w:spacing w:val="3"/>
        </w:rPr>
        <w:t>departure.</w:t>
      </w:r>
    </w:p>
    <w:p w:rsidR="004E70F8" w:rsidRPr="004E70F8" w:rsidRDefault="004E70F8" w:rsidP="004E70F8">
      <w:pPr>
        <w:pStyle w:val="BodyText"/>
        <w:rPr>
          <w:rFonts w:ascii="GillSans-LightItalic"/>
          <w:i/>
        </w:rPr>
      </w:pPr>
      <w:r w:rsidRPr="004E70F8">
        <w:rPr>
          <w:rFonts w:ascii="GillSans-LightItalic"/>
          <w:i/>
        </w:rPr>
        <w:t>Acting arrangements</w:t>
      </w:r>
    </w:p>
    <w:p w:rsidR="004E70F8" w:rsidRDefault="004E70F8" w:rsidP="004E70F8">
      <w:pPr>
        <w:pStyle w:val="BodyText"/>
      </w:pPr>
      <w:r>
        <w:t>When members of key management personnel are unable to fulfil their duties, consideration is given to appointing other members of senior staff to their position during their period of absence. Individuals are considered members of key management personnel when acting arrangements are for more than a period of four weeks.</w:t>
      </w:r>
    </w:p>
    <w:p w:rsidR="004E70F8" w:rsidRDefault="004E70F8" w:rsidP="004E70F8">
      <w:pPr>
        <w:pStyle w:val="BodyText"/>
        <w:rPr>
          <w:spacing w:val="-3"/>
        </w:rPr>
      </w:pPr>
      <w:r>
        <w:t xml:space="preserve">The following were key management personnel of the THS at any time during the financial year and unless </w:t>
      </w:r>
      <w:r>
        <w:rPr>
          <w:spacing w:val="2"/>
        </w:rPr>
        <w:t xml:space="preserve">otherwise </w:t>
      </w:r>
      <w:r>
        <w:t>indicated were key management personnel for the entire</w:t>
      </w:r>
      <w:r>
        <w:rPr>
          <w:spacing w:val="55"/>
        </w:rPr>
        <w:t xml:space="preserve"> </w:t>
      </w:r>
      <w:r>
        <w:rPr>
          <w:spacing w:val="-3"/>
        </w:rPr>
        <w:t>year.</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Remuneration of Key Management Personnel 2016"/>
        <w:tblDescription w:val="Governing Council members"/>
      </w:tblPr>
      <w:tblGrid>
        <w:gridCol w:w="3246"/>
        <w:gridCol w:w="1007"/>
        <w:gridCol w:w="902"/>
        <w:gridCol w:w="1224"/>
        <w:gridCol w:w="14"/>
        <w:gridCol w:w="1238"/>
        <w:gridCol w:w="1209"/>
        <w:gridCol w:w="1083"/>
      </w:tblGrid>
      <w:tr w:rsidR="00E34136" w:rsidRPr="00E34136" w:rsidTr="00E34136">
        <w:trPr>
          <w:trHeight w:hRule="exact" w:val="1627"/>
        </w:trPr>
        <w:tc>
          <w:tcPr>
            <w:tcW w:w="3246" w:type="dxa"/>
            <w:tcBorders>
              <w:top w:val="single"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pPr>
          </w:p>
          <w:p w:rsidR="00E34136" w:rsidRPr="00E34136" w:rsidRDefault="00E34136" w:rsidP="001F36E8">
            <w:pPr>
              <w:pStyle w:val="Heading6"/>
            </w:pPr>
            <w:r w:rsidRPr="00E34136">
              <w:t>Key management personnel</w:t>
            </w:r>
          </w:p>
          <w:p w:rsidR="00E34136" w:rsidRPr="00E34136" w:rsidRDefault="00E34136" w:rsidP="001F36E8">
            <w:pPr>
              <w:pStyle w:val="Heading6"/>
            </w:pPr>
            <w:r w:rsidRPr="00E34136">
              <w:t>Governing Council</w:t>
            </w:r>
            <w:r w:rsidR="001F36E8">
              <w:br/>
            </w:r>
            <w:r w:rsidRPr="00E34136">
              <w:t>2016</w:t>
            </w:r>
          </w:p>
        </w:tc>
        <w:tc>
          <w:tcPr>
            <w:tcW w:w="1007" w:type="dxa"/>
            <w:tcBorders>
              <w:top w:val="single" w:sz="4" w:space="0" w:color="auto"/>
              <w:left w:val="dotted"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rPr>
                <w:sz w:val="16"/>
                <w:szCs w:val="16"/>
              </w:rPr>
            </w:pPr>
            <w:r w:rsidRPr="00E34136">
              <w:rPr>
                <w:sz w:val="16"/>
                <w:szCs w:val="16"/>
              </w:rPr>
              <w:t>Short-term benefits</w:t>
            </w:r>
            <w:r w:rsidRPr="00E34136">
              <w:rPr>
                <w:sz w:val="16"/>
                <w:szCs w:val="16"/>
              </w:rPr>
              <w:br/>
            </w:r>
            <w:r w:rsidRPr="00E34136">
              <w:rPr>
                <w:sz w:val="16"/>
                <w:szCs w:val="16"/>
              </w:rPr>
              <w:br/>
            </w:r>
            <w:r w:rsidRPr="00E34136">
              <w:rPr>
                <w:sz w:val="16"/>
                <w:szCs w:val="16"/>
              </w:rPr>
              <w:br/>
              <w:t>Salary</w:t>
            </w:r>
            <w:r w:rsidRPr="00E34136">
              <w:rPr>
                <w:position w:val="6"/>
                <w:sz w:val="16"/>
                <w:szCs w:val="16"/>
              </w:rPr>
              <w:t xml:space="preserve">1 </w:t>
            </w:r>
            <w:r w:rsidRPr="00E34136">
              <w:rPr>
                <w:sz w:val="16"/>
                <w:szCs w:val="16"/>
              </w:rPr>
              <w:br/>
              <w:t>$’000</w:t>
            </w:r>
          </w:p>
        </w:tc>
        <w:tc>
          <w:tcPr>
            <w:tcW w:w="902" w:type="dxa"/>
            <w:tcBorders>
              <w:top w:val="single" w:sz="4" w:space="0" w:color="auto"/>
              <w:left w:val="dotted"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rPr>
                <w:sz w:val="16"/>
                <w:szCs w:val="16"/>
              </w:rPr>
            </w:pPr>
            <w:r w:rsidRPr="00E34136">
              <w:rPr>
                <w:sz w:val="16"/>
                <w:szCs w:val="16"/>
              </w:rPr>
              <w:t>Short-term benefits</w:t>
            </w:r>
            <w:r w:rsidRPr="00E34136">
              <w:rPr>
                <w:sz w:val="16"/>
                <w:szCs w:val="16"/>
              </w:rPr>
              <w:br/>
            </w:r>
            <w:r w:rsidRPr="00E34136">
              <w:rPr>
                <w:sz w:val="16"/>
                <w:szCs w:val="16"/>
              </w:rPr>
              <w:br/>
              <w:t>Other Benefits</w:t>
            </w:r>
            <w:r w:rsidRPr="00E34136">
              <w:rPr>
                <w:sz w:val="16"/>
                <w:szCs w:val="16"/>
                <w:vertAlign w:val="superscript"/>
              </w:rPr>
              <w:t>2</w:t>
            </w:r>
            <w:r w:rsidRPr="00E34136">
              <w:rPr>
                <w:sz w:val="16"/>
                <w:szCs w:val="16"/>
              </w:rPr>
              <w:br/>
              <w:t>$’000</w:t>
            </w:r>
          </w:p>
        </w:tc>
        <w:tc>
          <w:tcPr>
            <w:tcW w:w="1238" w:type="dxa"/>
            <w:gridSpan w:val="2"/>
            <w:tcBorders>
              <w:top w:val="single" w:sz="4" w:space="0" w:color="auto"/>
              <w:left w:val="dotted"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rPr>
                <w:sz w:val="16"/>
                <w:szCs w:val="16"/>
              </w:rPr>
            </w:pPr>
            <w:r w:rsidRPr="00E34136">
              <w:rPr>
                <w:sz w:val="16"/>
                <w:szCs w:val="16"/>
              </w:rPr>
              <w:t>Long-term Benefits</w:t>
            </w:r>
            <w:r w:rsidRPr="00E34136">
              <w:rPr>
                <w:sz w:val="16"/>
                <w:szCs w:val="16"/>
              </w:rPr>
              <w:br/>
            </w:r>
            <w:r w:rsidRPr="00E34136">
              <w:rPr>
                <w:sz w:val="16"/>
                <w:szCs w:val="16"/>
              </w:rPr>
              <w:br/>
              <w:t>Super-annuation</w:t>
            </w:r>
            <w:r w:rsidRPr="00E34136">
              <w:rPr>
                <w:sz w:val="16"/>
                <w:szCs w:val="16"/>
                <w:vertAlign w:val="superscript"/>
              </w:rPr>
              <w:t>3</w:t>
            </w:r>
            <w:r w:rsidRPr="00E34136">
              <w:rPr>
                <w:sz w:val="16"/>
                <w:szCs w:val="16"/>
                <w:vertAlign w:val="superscript"/>
              </w:rPr>
              <w:br/>
            </w:r>
            <w:r w:rsidRPr="00E34136">
              <w:rPr>
                <w:sz w:val="16"/>
                <w:szCs w:val="16"/>
              </w:rPr>
              <w:t>$’000</w:t>
            </w:r>
          </w:p>
        </w:tc>
        <w:tc>
          <w:tcPr>
            <w:tcW w:w="1238" w:type="dxa"/>
            <w:tcBorders>
              <w:top w:val="single" w:sz="4" w:space="0" w:color="auto"/>
              <w:left w:val="dotted"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rPr>
                <w:sz w:val="16"/>
                <w:szCs w:val="16"/>
              </w:rPr>
            </w:pPr>
            <w:r w:rsidRPr="00E34136">
              <w:rPr>
                <w:sz w:val="16"/>
                <w:szCs w:val="16"/>
              </w:rPr>
              <w:t>Long-term Benefits</w:t>
            </w:r>
          </w:p>
          <w:p w:rsidR="00E34136" w:rsidRPr="00E34136" w:rsidRDefault="00E34136" w:rsidP="001F36E8">
            <w:pPr>
              <w:pStyle w:val="Heading6"/>
              <w:rPr>
                <w:sz w:val="16"/>
                <w:szCs w:val="16"/>
              </w:rPr>
            </w:pPr>
          </w:p>
          <w:p w:rsidR="00E34136" w:rsidRPr="00E34136" w:rsidRDefault="00E34136" w:rsidP="001F36E8">
            <w:pPr>
              <w:pStyle w:val="Heading6"/>
              <w:rPr>
                <w:sz w:val="16"/>
                <w:szCs w:val="16"/>
              </w:rPr>
            </w:pPr>
            <w:r w:rsidRPr="00E34136">
              <w:rPr>
                <w:sz w:val="16"/>
                <w:szCs w:val="16"/>
              </w:rPr>
              <w:t>Other Benefits and Long-Service Leave</w:t>
            </w:r>
            <w:r w:rsidRPr="00E34136">
              <w:rPr>
                <w:sz w:val="16"/>
                <w:szCs w:val="16"/>
                <w:vertAlign w:val="superscript"/>
              </w:rPr>
              <w:t>4</w:t>
            </w:r>
            <w:r w:rsidRPr="00E34136">
              <w:rPr>
                <w:sz w:val="16"/>
                <w:szCs w:val="16"/>
                <w:vertAlign w:val="superscript"/>
              </w:rPr>
              <w:br/>
            </w:r>
            <w:r w:rsidRPr="00E34136">
              <w:rPr>
                <w:sz w:val="16"/>
                <w:szCs w:val="16"/>
              </w:rPr>
              <w:t>$’000</w:t>
            </w:r>
          </w:p>
        </w:tc>
        <w:tc>
          <w:tcPr>
            <w:tcW w:w="1209" w:type="dxa"/>
            <w:tcBorders>
              <w:top w:val="single" w:sz="4" w:space="0" w:color="auto"/>
              <w:left w:val="dotted"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rPr>
                <w:sz w:val="16"/>
                <w:szCs w:val="16"/>
              </w:rPr>
            </w:pPr>
          </w:p>
          <w:p w:rsidR="00E34136" w:rsidRPr="00E34136" w:rsidRDefault="00E34136" w:rsidP="001F36E8">
            <w:pPr>
              <w:pStyle w:val="Heading6"/>
              <w:rPr>
                <w:sz w:val="16"/>
                <w:szCs w:val="16"/>
              </w:rPr>
            </w:pPr>
          </w:p>
          <w:p w:rsidR="00E34136" w:rsidRPr="00E34136" w:rsidRDefault="00E34136" w:rsidP="001F36E8">
            <w:pPr>
              <w:pStyle w:val="Heading6"/>
              <w:rPr>
                <w:sz w:val="16"/>
                <w:szCs w:val="16"/>
              </w:rPr>
            </w:pPr>
            <w:r w:rsidRPr="00E34136">
              <w:rPr>
                <w:sz w:val="16"/>
                <w:szCs w:val="16"/>
              </w:rPr>
              <w:t>Termination Benefits</w:t>
            </w:r>
            <w:r w:rsidRPr="00E34136">
              <w:rPr>
                <w:sz w:val="16"/>
                <w:szCs w:val="16"/>
                <w:vertAlign w:val="superscript"/>
              </w:rPr>
              <w:t>5</w:t>
            </w:r>
          </w:p>
          <w:p w:rsidR="00E34136" w:rsidRPr="00E34136" w:rsidRDefault="00E34136" w:rsidP="001F36E8">
            <w:pPr>
              <w:pStyle w:val="Heading6"/>
              <w:rPr>
                <w:sz w:val="16"/>
                <w:szCs w:val="16"/>
              </w:rPr>
            </w:pPr>
            <w:r w:rsidRPr="00E34136">
              <w:rPr>
                <w:sz w:val="16"/>
                <w:szCs w:val="16"/>
              </w:rPr>
              <w:t>$’000</w:t>
            </w:r>
          </w:p>
        </w:tc>
        <w:tc>
          <w:tcPr>
            <w:tcW w:w="1083" w:type="dxa"/>
            <w:tcBorders>
              <w:top w:val="single" w:sz="4" w:space="0" w:color="auto"/>
              <w:left w:val="dotted" w:sz="4" w:space="0" w:color="auto"/>
              <w:bottom w:val="single" w:sz="4" w:space="0" w:color="004D8F"/>
            </w:tcBorders>
            <w:shd w:val="clear" w:color="auto" w:fill="auto"/>
            <w:vAlign w:val="bottom"/>
          </w:tcPr>
          <w:p w:rsidR="00E34136" w:rsidRPr="00E34136" w:rsidRDefault="00E34136" w:rsidP="001F36E8">
            <w:pPr>
              <w:pStyle w:val="Heading6"/>
              <w:rPr>
                <w:sz w:val="16"/>
                <w:szCs w:val="16"/>
              </w:rPr>
            </w:pPr>
          </w:p>
          <w:p w:rsidR="00E34136" w:rsidRPr="00E34136" w:rsidRDefault="00E34136" w:rsidP="001F36E8">
            <w:pPr>
              <w:pStyle w:val="Heading6"/>
              <w:rPr>
                <w:sz w:val="16"/>
                <w:szCs w:val="16"/>
              </w:rPr>
            </w:pPr>
          </w:p>
          <w:p w:rsidR="00E34136" w:rsidRPr="00E34136" w:rsidRDefault="00E34136" w:rsidP="001F36E8">
            <w:pPr>
              <w:pStyle w:val="Heading6"/>
              <w:rPr>
                <w:sz w:val="16"/>
                <w:szCs w:val="16"/>
              </w:rPr>
            </w:pPr>
          </w:p>
          <w:p w:rsidR="00E34136" w:rsidRPr="00E34136" w:rsidRDefault="00E34136" w:rsidP="001F36E8">
            <w:pPr>
              <w:pStyle w:val="Heading6"/>
              <w:rPr>
                <w:sz w:val="16"/>
                <w:szCs w:val="16"/>
              </w:rPr>
            </w:pPr>
            <w:r w:rsidRPr="00E34136">
              <w:rPr>
                <w:sz w:val="16"/>
                <w:szCs w:val="16"/>
              </w:rPr>
              <w:t>Total</w:t>
            </w:r>
          </w:p>
          <w:p w:rsidR="00E34136" w:rsidRPr="00E34136" w:rsidRDefault="00E34136" w:rsidP="001F36E8">
            <w:pPr>
              <w:pStyle w:val="Heading6"/>
              <w:rPr>
                <w:sz w:val="16"/>
                <w:szCs w:val="16"/>
              </w:rPr>
            </w:pPr>
            <w:r w:rsidRPr="00E34136">
              <w:rPr>
                <w:sz w:val="16"/>
                <w:szCs w:val="16"/>
              </w:rPr>
              <w:t>$’000</w:t>
            </w:r>
          </w:p>
        </w:tc>
      </w:tr>
      <w:tr w:rsidR="00E34136" w:rsidRPr="00E34136" w:rsidTr="00E34136">
        <w:trPr>
          <w:trHeight w:hRule="exact" w:val="666"/>
        </w:trPr>
        <w:tc>
          <w:tcPr>
            <w:tcW w:w="3246" w:type="dxa"/>
            <w:tcBorders>
              <w:top w:val="single" w:sz="4" w:space="0" w:color="004D8F"/>
              <w:left w:val="dotted" w:sz="4" w:space="0" w:color="auto"/>
              <w:bottom w:val="dotted" w:sz="4" w:space="0" w:color="auto"/>
              <w:right w:val="dotted" w:sz="4" w:space="0" w:color="auto"/>
            </w:tcBorders>
            <w:shd w:val="clear" w:color="auto" w:fill="auto"/>
          </w:tcPr>
          <w:p w:rsidR="004E70F8" w:rsidRPr="00E34136" w:rsidRDefault="004E70F8" w:rsidP="00E34136">
            <w:pPr>
              <w:pStyle w:val="TableParagraph"/>
              <w:tabs>
                <w:tab w:val="left" w:pos="157"/>
              </w:tabs>
              <w:spacing w:before="113" w:line="202" w:lineRule="exact"/>
              <w:ind w:left="156"/>
              <w:rPr>
                <w:rFonts w:ascii="Gill Sans MT" w:hAnsi="Gill Sans MT"/>
                <w:sz w:val="18"/>
              </w:rPr>
            </w:pPr>
            <w:r w:rsidRPr="00E34136">
              <w:rPr>
                <w:rFonts w:ascii="Gill Sans MT" w:hAnsi="Gill Sans MT"/>
                <w:spacing w:val="2"/>
                <w:sz w:val="18"/>
              </w:rPr>
              <w:t>John</w:t>
            </w:r>
            <w:r w:rsidRPr="00E34136">
              <w:rPr>
                <w:rFonts w:ascii="Gill Sans MT" w:hAnsi="Gill Sans MT"/>
                <w:spacing w:val="12"/>
                <w:sz w:val="18"/>
              </w:rPr>
              <w:t xml:space="preserve"> </w:t>
            </w:r>
            <w:r w:rsidRPr="00E34136">
              <w:rPr>
                <w:rFonts w:ascii="Gill Sans MT" w:hAnsi="Gill Sans MT"/>
                <w:sz w:val="18"/>
              </w:rPr>
              <w:t>Ramsay</w:t>
            </w:r>
          </w:p>
          <w:p w:rsidR="004E70F8" w:rsidRPr="00E34136" w:rsidRDefault="004E70F8" w:rsidP="009555B2">
            <w:pPr>
              <w:pStyle w:val="TableParagraph"/>
              <w:spacing w:line="202" w:lineRule="exact"/>
              <w:ind w:left="156"/>
              <w:rPr>
                <w:rFonts w:ascii="Gill Sans MT" w:hAnsi="Gill Sans MT"/>
                <w:sz w:val="18"/>
              </w:rPr>
            </w:pPr>
            <w:r w:rsidRPr="00E34136">
              <w:rPr>
                <w:rFonts w:ascii="Gill Sans MT" w:hAnsi="Gill Sans MT"/>
                <w:sz w:val="18"/>
              </w:rPr>
              <w:t>(Governing Council Chair)</w:t>
            </w:r>
          </w:p>
          <w:p w:rsidR="004E70F8" w:rsidRPr="00E34136" w:rsidRDefault="004E70F8" w:rsidP="009555B2">
            <w:pPr>
              <w:pStyle w:val="TableParagraph"/>
              <w:spacing w:line="202" w:lineRule="exact"/>
              <w:ind w:left="155"/>
              <w:rPr>
                <w:rFonts w:ascii="Gill Sans MT" w:hAnsi="Gill Sans MT"/>
                <w:sz w:val="18"/>
              </w:rPr>
            </w:pPr>
          </w:p>
        </w:tc>
        <w:tc>
          <w:tcPr>
            <w:tcW w:w="1007" w:type="dxa"/>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right="395"/>
              <w:jc w:val="center"/>
              <w:rPr>
                <w:rFonts w:ascii="Gill Sans MT" w:hAnsi="Gill Sans MT"/>
                <w:sz w:val="18"/>
              </w:rPr>
            </w:pPr>
            <w:r w:rsidRPr="00E34136">
              <w:rPr>
                <w:rFonts w:ascii="Gill Sans MT" w:hAnsi="Gill Sans MT"/>
                <w:sz w:val="18"/>
              </w:rPr>
              <w:t>160</w:t>
            </w:r>
          </w:p>
        </w:tc>
        <w:tc>
          <w:tcPr>
            <w:tcW w:w="902" w:type="dxa"/>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right="173"/>
              <w:jc w:val="center"/>
              <w:rPr>
                <w:rFonts w:ascii="Gill Sans MT" w:hAnsi="Gill Sans MT"/>
                <w:sz w:val="18"/>
              </w:rPr>
            </w:pPr>
            <w:r w:rsidRPr="00E34136">
              <w:rPr>
                <w:rFonts w:ascii="Gill Sans MT" w:hAnsi="Gill Sans MT"/>
                <w:sz w:val="18"/>
              </w:rPr>
              <w:t>10</w:t>
            </w:r>
          </w:p>
        </w:tc>
        <w:tc>
          <w:tcPr>
            <w:tcW w:w="1224" w:type="dxa"/>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right="658"/>
              <w:jc w:val="center"/>
              <w:rPr>
                <w:rFonts w:ascii="Gill Sans MT" w:hAnsi="Gill Sans MT"/>
                <w:sz w:val="18"/>
              </w:rPr>
            </w:pPr>
            <w:r w:rsidRPr="00E34136">
              <w:rPr>
                <w:rFonts w:ascii="Gill Sans MT" w:hAnsi="Gill Sans MT"/>
                <w:sz w:val="18"/>
              </w:rPr>
              <w:t>15</w:t>
            </w:r>
          </w:p>
        </w:tc>
        <w:tc>
          <w:tcPr>
            <w:tcW w:w="1252" w:type="dxa"/>
            <w:gridSpan w:val="2"/>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right="168"/>
              <w:jc w:val="center"/>
              <w:rPr>
                <w:rFonts w:ascii="Gill Sans MT" w:hAnsi="Gill Sans MT"/>
                <w:sz w:val="18"/>
              </w:rPr>
            </w:pPr>
            <w:r w:rsidRPr="00E34136">
              <w:rPr>
                <w:rFonts w:ascii="Gill Sans MT" w:hAnsi="Gill Sans MT"/>
                <w:sz w:val="18"/>
              </w:rPr>
              <w:t>0</w:t>
            </w:r>
          </w:p>
        </w:tc>
        <w:tc>
          <w:tcPr>
            <w:tcW w:w="1209" w:type="dxa"/>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right="168"/>
              <w:jc w:val="center"/>
              <w:rPr>
                <w:rFonts w:ascii="Gill Sans MT" w:hAnsi="Gill Sans MT"/>
                <w:sz w:val="18"/>
              </w:rPr>
            </w:pPr>
            <w:r w:rsidRPr="00E34136">
              <w:rPr>
                <w:rFonts w:ascii="Gill Sans MT" w:hAnsi="Gill Sans MT"/>
                <w:sz w:val="18"/>
              </w:rPr>
              <w:t>0</w:t>
            </w:r>
          </w:p>
        </w:tc>
        <w:tc>
          <w:tcPr>
            <w:tcW w:w="1083" w:type="dxa"/>
            <w:tcBorders>
              <w:top w:val="single" w:sz="4" w:space="0" w:color="004D8F"/>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ind w:left="134" w:right="125"/>
              <w:jc w:val="center"/>
              <w:rPr>
                <w:rFonts w:ascii="Gill Sans MT" w:hAnsi="Gill Sans MT"/>
                <w:sz w:val="18"/>
              </w:rPr>
            </w:pPr>
            <w:r w:rsidRPr="00E34136">
              <w:rPr>
                <w:rFonts w:ascii="Gill Sans MT" w:hAnsi="Gill Sans MT"/>
                <w:sz w:val="18"/>
              </w:rPr>
              <w:t>185</w:t>
            </w:r>
          </w:p>
        </w:tc>
      </w:tr>
      <w:tr w:rsidR="00E34136" w:rsidRPr="00E34136" w:rsidTr="00E34136">
        <w:trPr>
          <w:trHeight w:hRule="exact" w:val="420"/>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7"/>
              </w:tabs>
              <w:spacing w:before="116"/>
              <w:ind w:left="156"/>
              <w:rPr>
                <w:rFonts w:ascii="Gill Sans MT" w:hAnsi="Gill Sans MT"/>
                <w:sz w:val="18"/>
              </w:rPr>
            </w:pPr>
            <w:r w:rsidRPr="00E34136">
              <w:rPr>
                <w:rFonts w:ascii="Gill Sans MT" w:hAnsi="Gill Sans MT"/>
                <w:sz w:val="18"/>
              </w:rPr>
              <w:t>Dr Emil</w:t>
            </w:r>
            <w:r w:rsidRPr="00E34136">
              <w:rPr>
                <w:rFonts w:ascii="Gill Sans MT" w:hAnsi="Gill Sans MT"/>
                <w:spacing w:val="13"/>
                <w:sz w:val="18"/>
              </w:rPr>
              <w:t xml:space="preserve"> </w:t>
            </w:r>
            <w:r w:rsidRPr="00E34136">
              <w:rPr>
                <w:rFonts w:ascii="Gill Sans MT" w:hAnsi="Gill Sans MT"/>
                <w:spacing w:val="2"/>
                <w:sz w:val="18"/>
              </w:rPr>
              <w:t>Djakic</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395"/>
              <w:jc w:val="center"/>
              <w:rPr>
                <w:rFonts w:ascii="Gill Sans MT" w:hAnsi="Gill Sans MT"/>
                <w:sz w:val="18"/>
              </w:rPr>
            </w:pPr>
            <w:r w:rsidRPr="00E34136">
              <w:rPr>
                <w:rFonts w:ascii="Gill Sans MT" w:hAnsi="Gill Sans MT"/>
                <w:sz w:val="18"/>
              </w:rPr>
              <w:t>34</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2</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left="134" w:right="42"/>
              <w:jc w:val="center"/>
              <w:rPr>
                <w:rFonts w:ascii="Gill Sans MT" w:hAnsi="Gill Sans MT"/>
                <w:sz w:val="18"/>
              </w:rPr>
            </w:pPr>
            <w:r w:rsidRPr="00E34136">
              <w:rPr>
                <w:rFonts w:ascii="Gill Sans MT" w:hAnsi="Gill Sans MT"/>
                <w:sz w:val="18"/>
              </w:rPr>
              <w:t>39</w:t>
            </w:r>
          </w:p>
        </w:tc>
      </w:tr>
      <w:tr w:rsidR="00E34136" w:rsidRPr="00E34136" w:rsidTr="00E34136">
        <w:trPr>
          <w:trHeight w:hRule="exact" w:val="320"/>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7"/>
              </w:tabs>
              <w:spacing w:before="115"/>
              <w:ind w:left="156"/>
              <w:rPr>
                <w:rFonts w:ascii="Gill Sans MT" w:hAnsi="Gill Sans MT"/>
                <w:sz w:val="18"/>
              </w:rPr>
            </w:pPr>
            <w:r w:rsidRPr="00E34136">
              <w:rPr>
                <w:rFonts w:ascii="Gill Sans MT" w:hAnsi="Gill Sans MT"/>
                <w:sz w:val="18"/>
              </w:rPr>
              <w:t>Professor Denise</w:t>
            </w:r>
            <w:r w:rsidRPr="00E34136">
              <w:rPr>
                <w:rFonts w:ascii="Gill Sans MT" w:hAnsi="Gill Sans MT"/>
                <w:spacing w:val="28"/>
                <w:sz w:val="18"/>
              </w:rPr>
              <w:t xml:space="preserve"> </w:t>
            </w:r>
            <w:r w:rsidRPr="00E34136">
              <w:rPr>
                <w:rFonts w:ascii="Gill Sans MT" w:hAnsi="Gill Sans MT"/>
                <w:spacing w:val="2"/>
                <w:sz w:val="18"/>
              </w:rPr>
              <w:t>Fasset</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395"/>
              <w:jc w:val="center"/>
              <w:rPr>
                <w:rFonts w:ascii="Gill Sans MT" w:hAnsi="Gill Sans MT"/>
                <w:sz w:val="18"/>
              </w:rPr>
            </w:pPr>
            <w:r w:rsidRPr="00E34136">
              <w:rPr>
                <w:rFonts w:ascii="Gill Sans MT" w:hAnsi="Gill Sans MT"/>
                <w:sz w:val="18"/>
              </w:rPr>
              <w:t>34</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9</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left="134" w:right="42"/>
              <w:jc w:val="center"/>
              <w:rPr>
                <w:rFonts w:ascii="Gill Sans MT" w:hAnsi="Gill Sans MT"/>
                <w:sz w:val="18"/>
              </w:rPr>
            </w:pPr>
            <w:r w:rsidRPr="00E34136">
              <w:rPr>
                <w:rFonts w:ascii="Gill Sans MT" w:hAnsi="Gill Sans MT"/>
                <w:sz w:val="18"/>
              </w:rPr>
              <w:t>46</w:t>
            </w:r>
          </w:p>
        </w:tc>
      </w:tr>
      <w:tr w:rsidR="00E34136" w:rsidRPr="00E34136" w:rsidTr="00E34136">
        <w:trPr>
          <w:trHeight w:hRule="exact" w:val="320"/>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7"/>
              </w:tabs>
              <w:spacing w:before="115"/>
              <w:ind w:left="156"/>
              <w:rPr>
                <w:rFonts w:ascii="Gill Sans MT" w:hAnsi="Gill Sans MT"/>
                <w:sz w:val="18"/>
              </w:rPr>
            </w:pPr>
            <w:r w:rsidRPr="00E34136">
              <w:rPr>
                <w:rFonts w:ascii="Gill Sans MT" w:hAnsi="Gill Sans MT"/>
                <w:spacing w:val="3"/>
                <w:sz w:val="18"/>
              </w:rPr>
              <w:t>Barbara</w:t>
            </w:r>
            <w:r w:rsidRPr="00E34136">
              <w:rPr>
                <w:rFonts w:ascii="Gill Sans MT" w:hAnsi="Gill Sans MT"/>
                <w:spacing w:val="5"/>
                <w:sz w:val="18"/>
              </w:rPr>
              <w:t xml:space="preserve"> </w:t>
            </w:r>
            <w:r w:rsidRPr="00E34136">
              <w:rPr>
                <w:rFonts w:ascii="Gill Sans MT" w:hAnsi="Gill Sans MT"/>
                <w:spacing w:val="2"/>
                <w:sz w:val="18"/>
              </w:rPr>
              <w:t>Hingston</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398"/>
              <w:jc w:val="center"/>
              <w:rPr>
                <w:rFonts w:ascii="Gill Sans MT" w:hAnsi="Gill Sans MT"/>
                <w:sz w:val="18"/>
              </w:rPr>
            </w:pPr>
            <w:r w:rsidRPr="00E34136">
              <w:rPr>
                <w:rFonts w:ascii="Gill Sans MT" w:hAnsi="Gill Sans MT"/>
                <w:sz w:val="18"/>
              </w:rPr>
              <w:t>33</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left="134" w:right="42"/>
              <w:jc w:val="center"/>
              <w:rPr>
                <w:rFonts w:ascii="Gill Sans MT" w:hAnsi="Gill Sans MT"/>
                <w:sz w:val="18"/>
              </w:rPr>
            </w:pPr>
            <w:r w:rsidRPr="00E34136">
              <w:rPr>
                <w:rFonts w:ascii="Gill Sans MT" w:hAnsi="Gill Sans MT"/>
                <w:sz w:val="18"/>
              </w:rPr>
              <w:t>36</w:t>
            </w:r>
          </w:p>
        </w:tc>
      </w:tr>
      <w:tr w:rsidR="00E34136" w:rsidRPr="00E34136" w:rsidTr="00E34136">
        <w:trPr>
          <w:trHeight w:hRule="exact" w:val="648"/>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6"/>
              </w:tabs>
              <w:spacing w:before="115" w:line="202" w:lineRule="exact"/>
              <w:ind w:left="155"/>
              <w:rPr>
                <w:rFonts w:ascii="Gill Sans MT" w:hAnsi="Gill Sans MT"/>
                <w:sz w:val="18"/>
              </w:rPr>
            </w:pPr>
            <w:r w:rsidRPr="00E34136">
              <w:rPr>
                <w:rFonts w:ascii="Gill Sans MT" w:hAnsi="Gill Sans MT"/>
                <w:spacing w:val="3"/>
                <w:sz w:val="18"/>
              </w:rPr>
              <w:t>Mark</w:t>
            </w:r>
            <w:r w:rsidRPr="00E34136">
              <w:rPr>
                <w:rFonts w:ascii="Gill Sans MT" w:hAnsi="Gill Sans MT"/>
                <w:spacing w:val="1"/>
                <w:sz w:val="18"/>
              </w:rPr>
              <w:t xml:space="preserve"> </w:t>
            </w:r>
            <w:r w:rsidRPr="00E34136">
              <w:rPr>
                <w:rFonts w:ascii="Gill Sans MT" w:hAnsi="Gill Sans MT"/>
                <w:spacing w:val="2"/>
                <w:sz w:val="18"/>
              </w:rPr>
              <w:t>Scanlon</w:t>
            </w:r>
          </w:p>
          <w:p w:rsidR="00025D0E" w:rsidRPr="00E34136" w:rsidRDefault="00025D0E" w:rsidP="00025D0E">
            <w:pPr>
              <w:pStyle w:val="TableParagraph"/>
              <w:spacing w:line="202" w:lineRule="exact"/>
              <w:ind w:left="155"/>
              <w:rPr>
                <w:rFonts w:ascii="Gill Sans MT" w:hAnsi="Gill Sans MT"/>
                <w:sz w:val="18"/>
              </w:rPr>
            </w:pPr>
            <w:r w:rsidRPr="00E34136">
              <w:rPr>
                <w:rFonts w:ascii="Gill Sans MT" w:hAnsi="Gill Sans MT"/>
                <w:sz w:val="18"/>
              </w:rPr>
              <w:t>(Chair Audit and Risk Sub-Committee)</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395"/>
              <w:jc w:val="center"/>
              <w:rPr>
                <w:rFonts w:ascii="Gill Sans MT" w:hAnsi="Gill Sans MT"/>
                <w:sz w:val="18"/>
              </w:rPr>
            </w:pPr>
            <w:r w:rsidRPr="00E34136">
              <w:rPr>
                <w:rFonts w:ascii="Gill Sans MT" w:hAnsi="Gill Sans MT"/>
                <w:sz w:val="18"/>
              </w:rPr>
              <w:t>34</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2</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57"/>
              <w:ind w:left="134" w:right="42"/>
              <w:jc w:val="center"/>
              <w:rPr>
                <w:rFonts w:ascii="Gill Sans MT" w:hAnsi="Gill Sans MT"/>
                <w:sz w:val="18"/>
              </w:rPr>
            </w:pPr>
            <w:r w:rsidRPr="00E34136">
              <w:rPr>
                <w:rFonts w:ascii="Gill Sans MT" w:hAnsi="Gill Sans MT"/>
                <w:sz w:val="18"/>
              </w:rPr>
              <w:t>39</w:t>
            </w:r>
          </w:p>
        </w:tc>
      </w:tr>
      <w:tr w:rsidR="00E34136" w:rsidRPr="00E34136" w:rsidTr="00E34136">
        <w:trPr>
          <w:trHeight w:hRule="exact" w:val="714"/>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7"/>
              </w:tabs>
              <w:spacing w:before="116" w:line="202" w:lineRule="exact"/>
              <w:ind w:left="156"/>
              <w:rPr>
                <w:rFonts w:ascii="Gill Sans MT" w:hAnsi="Gill Sans MT"/>
                <w:sz w:val="18"/>
              </w:rPr>
            </w:pPr>
            <w:r w:rsidRPr="00E34136">
              <w:rPr>
                <w:rFonts w:ascii="Gill Sans MT" w:hAnsi="Gill Sans MT"/>
                <w:sz w:val="18"/>
              </w:rPr>
              <w:t xml:space="preserve">Professor </w:t>
            </w:r>
            <w:r w:rsidRPr="00E34136">
              <w:rPr>
                <w:rFonts w:ascii="Gill Sans MT" w:hAnsi="Gill Sans MT"/>
                <w:spacing w:val="2"/>
                <w:sz w:val="18"/>
              </w:rPr>
              <w:t>Judith</w:t>
            </w:r>
            <w:r w:rsidRPr="00E34136">
              <w:rPr>
                <w:rFonts w:ascii="Gill Sans MT" w:hAnsi="Gill Sans MT"/>
                <w:spacing w:val="23"/>
                <w:sz w:val="18"/>
              </w:rPr>
              <w:t xml:space="preserve"> </w:t>
            </w:r>
            <w:r w:rsidRPr="00E34136">
              <w:rPr>
                <w:rFonts w:ascii="Gill Sans MT" w:hAnsi="Gill Sans MT"/>
                <w:sz w:val="18"/>
              </w:rPr>
              <w:t>Walker</w:t>
            </w:r>
          </w:p>
          <w:p w:rsidR="00025D0E" w:rsidRPr="00E34136" w:rsidRDefault="00025D0E" w:rsidP="00025D0E">
            <w:pPr>
              <w:pStyle w:val="TableParagraph"/>
              <w:spacing w:line="202" w:lineRule="exact"/>
              <w:ind w:left="156"/>
              <w:rPr>
                <w:rFonts w:ascii="Gill Sans MT" w:hAnsi="Gill Sans MT"/>
                <w:sz w:val="18"/>
              </w:rPr>
            </w:pPr>
            <w:r w:rsidRPr="00E34136">
              <w:rPr>
                <w:rFonts w:ascii="Gill Sans MT" w:hAnsi="Gill Sans MT"/>
                <w:sz w:val="18"/>
              </w:rPr>
              <w:t>(Chair of Partnerships Sub Committee)</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398"/>
              <w:jc w:val="center"/>
              <w:rPr>
                <w:rFonts w:ascii="Gill Sans MT" w:hAnsi="Gill Sans MT"/>
                <w:sz w:val="18"/>
              </w:rPr>
            </w:pPr>
            <w:r w:rsidRPr="00E34136">
              <w:rPr>
                <w:rFonts w:ascii="Gill Sans MT" w:hAnsi="Gill Sans MT"/>
                <w:sz w:val="18"/>
              </w:rPr>
              <w:t>33</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3</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left="134" w:right="42"/>
              <w:jc w:val="center"/>
              <w:rPr>
                <w:rFonts w:ascii="Gill Sans MT" w:hAnsi="Gill Sans MT"/>
                <w:sz w:val="18"/>
              </w:rPr>
            </w:pPr>
            <w:r w:rsidRPr="00E34136">
              <w:rPr>
                <w:rFonts w:ascii="Gill Sans MT" w:hAnsi="Gill Sans MT"/>
                <w:sz w:val="18"/>
              </w:rPr>
              <w:t>40</w:t>
            </w:r>
          </w:p>
        </w:tc>
      </w:tr>
      <w:tr w:rsidR="00E34136" w:rsidRPr="00E34136" w:rsidTr="00E34136">
        <w:trPr>
          <w:trHeight w:hRule="exact" w:val="838"/>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6"/>
              </w:tabs>
              <w:spacing w:before="115" w:line="202" w:lineRule="exact"/>
              <w:ind w:left="155"/>
              <w:rPr>
                <w:rFonts w:ascii="Gill Sans MT" w:hAnsi="Gill Sans MT"/>
                <w:sz w:val="18"/>
              </w:rPr>
            </w:pPr>
            <w:r w:rsidRPr="00E34136">
              <w:rPr>
                <w:rFonts w:ascii="Gill Sans MT" w:hAnsi="Gill Sans MT"/>
                <w:spacing w:val="4"/>
                <w:sz w:val="18"/>
              </w:rPr>
              <w:t xml:space="preserve">Martin </w:t>
            </w:r>
            <w:r w:rsidRPr="00E34136">
              <w:rPr>
                <w:rFonts w:ascii="Gill Sans MT" w:hAnsi="Gill Sans MT"/>
                <w:sz w:val="18"/>
              </w:rPr>
              <w:t>Wallace</w:t>
            </w:r>
          </w:p>
          <w:p w:rsidR="00025D0E" w:rsidRPr="00E34136" w:rsidRDefault="00025D0E" w:rsidP="00025D0E">
            <w:pPr>
              <w:pStyle w:val="TableParagraph"/>
              <w:spacing w:line="235" w:lineRule="auto"/>
              <w:ind w:left="155"/>
              <w:rPr>
                <w:rFonts w:ascii="Gill Sans MT" w:hAnsi="Gill Sans MT"/>
                <w:sz w:val="18"/>
              </w:rPr>
            </w:pPr>
            <w:r w:rsidRPr="00E34136">
              <w:rPr>
                <w:rFonts w:ascii="Gill Sans MT" w:hAnsi="Gill Sans MT"/>
                <w:sz w:val="18"/>
              </w:rPr>
              <w:t>(Chair Financial Management and Performance Sub-Committee)</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398"/>
              <w:jc w:val="center"/>
              <w:rPr>
                <w:rFonts w:ascii="Gill Sans MT" w:hAnsi="Gill Sans MT"/>
                <w:sz w:val="18"/>
              </w:rPr>
            </w:pPr>
            <w:r w:rsidRPr="00E34136">
              <w:rPr>
                <w:rFonts w:ascii="Gill Sans MT" w:hAnsi="Gill Sans MT"/>
                <w:sz w:val="18"/>
              </w:rPr>
              <w:t>33</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2</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157"/>
              <w:ind w:left="134" w:right="42"/>
              <w:jc w:val="center"/>
              <w:rPr>
                <w:rFonts w:ascii="Gill Sans MT" w:hAnsi="Gill Sans MT"/>
                <w:sz w:val="18"/>
              </w:rPr>
            </w:pPr>
            <w:r w:rsidRPr="00E34136">
              <w:rPr>
                <w:rFonts w:ascii="Gill Sans MT" w:hAnsi="Gill Sans MT"/>
                <w:sz w:val="18"/>
              </w:rPr>
              <w:t>39</w:t>
            </w:r>
          </w:p>
        </w:tc>
      </w:tr>
      <w:tr w:rsidR="00E34136" w:rsidRPr="00E34136" w:rsidTr="00E34136">
        <w:trPr>
          <w:trHeight w:hRule="exact" w:val="520"/>
        </w:trPr>
        <w:tc>
          <w:tcPr>
            <w:tcW w:w="3246" w:type="dxa"/>
            <w:tcBorders>
              <w:top w:val="dotted" w:sz="4" w:space="0" w:color="auto"/>
              <w:left w:val="dotted" w:sz="4" w:space="0" w:color="auto"/>
              <w:bottom w:val="dotted" w:sz="4" w:space="0" w:color="auto"/>
              <w:right w:val="dotted" w:sz="4" w:space="0" w:color="auto"/>
            </w:tcBorders>
            <w:shd w:val="clear" w:color="auto" w:fill="auto"/>
          </w:tcPr>
          <w:p w:rsidR="00025D0E" w:rsidRPr="00E34136" w:rsidRDefault="00025D0E" w:rsidP="00E34136">
            <w:pPr>
              <w:pStyle w:val="TableParagraph"/>
              <w:tabs>
                <w:tab w:val="left" w:pos="156"/>
              </w:tabs>
              <w:spacing w:before="116"/>
              <w:ind w:left="155"/>
              <w:rPr>
                <w:rFonts w:ascii="Gill Sans MT" w:hAnsi="Gill Sans MT"/>
                <w:sz w:val="18"/>
              </w:rPr>
            </w:pPr>
            <w:r w:rsidRPr="00E34136">
              <w:rPr>
                <w:rFonts w:ascii="Gill Sans MT" w:hAnsi="Gill Sans MT"/>
                <w:sz w:val="18"/>
              </w:rPr>
              <w:t xml:space="preserve">Dr </w:t>
            </w:r>
            <w:r w:rsidRPr="00E34136">
              <w:rPr>
                <w:rFonts w:ascii="Gill Sans MT" w:hAnsi="Gill Sans MT"/>
                <w:spacing w:val="2"/>
                <w:sz w:val="18"/>
              </w:rPr>
              <w:t>Judith</w:t>
            </w:r>
            <w:r w:rsidRPr="00E34136">
              <w:rPr>
                <w:rFonts w:ascii="Gill Sans MT" w:hAnsi="Gill Sans MT"/>
                <w:spacing w:val="15"/>
                <w:sz w:val="18"/>
              </w:rPr>
              <w:t xml:space="preserve"> </w:t>
            </w:r>
            <w:r w:rsidRPr="00E34136">
              <w:rPr>
                <w:rFonts w:ascii="Gill Sans MT" w:hAnsi="Gill Sans MT"/>
                <w:sz w:val="18"/>
              </w:rPr>
              <w:t>Watson</w:t>
            </w:r>
          </w:p>
          <w:p w:rsidR="004E70F8" w:rsidRPr="00E34136" w:rsidRDefault="004E70F8" w:rsidP="009555B2">
            <w:pPr>
              <w:rPr>
                <w:rFonts w:ascii="Gill Sans MT" w:hAnsi="Gill Sans MT"/>
              </w:rPr>
            </w:pPr>
          </w:p>
        </w:tc>
        <w:tc>
          <w:tcPr>
            <w:tcW w:w="1007"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right="398"/>
              <w:jc w:val="center"/>
              <w:rPr>
                <w:rFonts w:ascii="Gill Sans MT" w:hAnsi="Gill Sans MT"/>
                <w:sz w:val="18"/>
              </w:rPr>
            </w:pPr>
            <w:r w:rsidRPr="00E34136">
              <w:rPr>
                <w:rFonts w:ascii="Gill Sans MT" w:hAnsi="Gill Sans MT"/>
                <w:sz w:val="18"/>
              </w:rPr>
              <w:t>33</w:t>
            </w:r>
          </w:p>
        </w:tc>
        <w:tc>
          <w:tcPr>
            <w:tcW w:w="902"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right="168"/>
              <w:jc w:val="center"/>
              <w:rPr>
                <w:rFonts w:ascii="Gill Sans MT" w:hAnsi="Gill Sans MT"/>
                <w:sz w:val="18"/>
              </w:rPr>
            </w:pPr>
            <w:r w:rsidRPr="00E34136">
              <w:rPr>
                <w:rFonts w:ascii="Gill Sans MT" w:hAnsi="Gill Sans MT"/>
                <w:sz w:val="18"/>
              </w:rPr>
              <w:t>9</w:t>
            </w:r>
          </w:p>
        </w:tc>
        <w:tc>
          <w:tcPr>
            <w:tcW w:w="1224"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dotted" w:sz="4" w:space="0" w:color="auto"/>
              <w:right w:val="dotted" w:sz="4" w:space="0" w:color="auto"/>
            </w:tcBorders>
            <w:shd w:val="clear" w:color="auto" w:fill="auto"/>
            <w:vAlign w:val="center"/>
          </w:tcPr>
          <w:p w:rsidR="004E70F8" w:rsidRPr="00E34136" w:rsidRDefault="004E70F8" w:rsidP="00025D0E">
            <w:pPr>
              <w:pStyle w:val="TableParagraph"/>
              <w:spacing w:before="7"/>
              <w:jc w:val="center"/>
              <w:rPr>
                <w:rFonts w:ascii="Gill Sans MT" w:hAnsi="Gill Sans MT"/>
              </w:rPr>
            </w:pPr>
          </w:p>
          <w:p w:rsidR="004E70F8" w:rsidRPr="00E34136" w:rsidRDefault="004E70F8" w:rsidP="00025D0E">
            <w:pPr>
              <w:pStyle w:val="TableParagraph"/>
              <w:ind w:left="134" w:right="42"/>
              <w:jc w:val="center"/>
              <w:rPr>
                <w:rFonts w:ascii="Gill Sans MT" w:hAnsi="Gill Sans MT"/>
                <w:sz w:val="18"/>
              </w:rPr>
            </w:pPr>
            <w:r w:rsidRPr="00E34136">
              <w:rPr>
                <w:rFonts w:ascii="Gill Sans MT" w:hAnsi="Gill Sans MT"/>
                <w:sz w:val="18"/>
              </w:rPr>
              <w:t>46</w:t>
            </w:r>
          </w:p>
        </w:tc>
      </w:tr>
      <w:tr w:rsidR="00E34136" w:rsidRPr="00E34136" w:rsidTr="00E34136">
        <w:trPr>
          <w:trHeight w:hRule="exact" w:val="758"/>
        </w:trPr>
        <w:tc>
          <w:tcPr>
            <w:tcW w:w="3246" w:type="dxa"/>
            <w:tcBorders>
              <w:top w:val="dotted" w:sz="4" w:space="0" w:color="auto"/>
              <w:left w:val="dotted" w:sz="4" w:space="0" w:color="auto"/>
              <w:bottom w:val="single" w:sz="4" w:space="0" w:color="004D8F"/>
              <w:right w:val="dotted" w:sz="4" w:space="0" w:color="auto"/>
            </w:tcBorders>
            <w:shd w:val="clear" w:color="auto" w:fill="auto"/>
          </w:tcPr>
          <w:p w:rsidR="00025D0E" w:rsidRPr="00E34136" w:rsidRDefault="00025D0E" w:rsidP="00E34136">
            <w:pPr>
              <w:pStyle w:val="TableParagraph"/>
              <w:tabs>
                <w:tab w:val="left" w:pos="156"/>
              </w:tabs>
              <w:spacing w:before="115" w:line="202" w:lineRule="exact"/>
              <w:ind w:left="155"/>
              <w:rPr>
                <w:rFonts w:ascii="Gill Sans MT" w:hAnsi="Gill Sans MT"/>
                <w:sz w:val="18"/>
              </w:rPr>
            </w:pPr>
            <w:r w:rsidRPr="00E34136">
              <w:rPr>
                <w:rFonts w:ascii="Gill Sans MT" w:hAnsi="Gill Sans MT"/>
                <w:spacing w:val="2"/>
                <w:sz w:val="18"/>
              </w:rPr>
              <w:t xml:space="preserve">Assoc. </w:t>
            </w:r>
            <w:r w:rsidRPr="00E34136">
              <w:rPr>
                <w:rFonts w:ascii="Gill Sans MT" w:hAnsi="Gill Sans MT"/>
                <w:sz w:val="18"/>
              </w:rPr>
              <w:t xml:space="preserve">Professor </w:t>
            </w:r>
            <w:r w:rsidRPr="00E34136">
              <w:rPr>
                <w:rFonts w:ascii="Gill Sans MT" w:hAnsi="Gill Sans MT"/>
                <w:spacing w:val="2"/>
                <w:sz w:val="18"/>
              </w:rPr>
              <w:t>Deborah</w:t>
            </w:r>
            <w:r w:rsidRPr="00E34136">
              <w:rPr>
                <w:rFonts w:ascii="Gill Sans MT" w:hAnsi="Gill Sans MT"/>
                <w:spacing w:val="32"/>
                <w:sz w:val="18"/>
              </w:rPr>
              <w:t xml:space="preserve"> </w:t>
            </w:r>
            <w:r w:rsidRPr="00E34136">
              <w:rPr>
                <w:rFonts w:ascii="Gill Sans MT" w:hAnsi="Gill Sans MT"/>
                <w:sz w:val="18"/>
              </w:rPr>
              <w:t>Wilson</w:t>
            </w:r>
          </w:p>
          <w:p w:rsidR="004E70F8" w:rsidRPr="00E34136" w:rsidRDefault="00025D0E" w:rsidP="00025D0E">
            <w:pPr>
              <w:rPr>
                <w:rFonts w:ascii="Gill Sans MT" w:hAnsi="Gill Sans MT"/>
              </w:rPr>
            </w:pPr>
            <w:r w:rsidRPr="00E34136">
              <w:rPr>
                <w:rFonts w:ascii="Gill Sans MT" w:hAnsi="Gill Sans MT"/>
                <w:sz w:val="18"/>
              </w:rPr>
              <w:t>(Chair Quality and Safety Sub-Committee)</w:t>
            </w:r>
          </w:p>
        </w:tc>
        <w:tc>
          <w:tcPr>
            <w:tcW w:w="1007" w:type="dxa"/>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right="396"/>
              <w:jc w:val="center"/>
              <w:rPr>
                <w:rFonts w:ascii="Gill Sans MT" w:hAnsi="Gill Sans MT"/>
                <w:sz w:val="18"/>
              </w:rPr>
            </w:pPr>
            <w:r w:rsidRPr="00E34136">
              <w:rPr>
                <w:rFonts w:ascii="Gill Sans MT" w:hAnsi="Gill Sans MT"/>
                <w:sz w:val="18"/>
              </w:rPr>
              <w:t>34</w:t>
            </w:r>
          </w:p>
        </w:tc>
        <w:tc>
          <w:tcPr>
            <w:tcW w:w="902" w:type="dxa"/>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24" w:type="dxa"/>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right="649"/>
              <w:jc w:val="center"/>
              <w:rPr>
                <w:rFonts w:ascii="Gill Sans MT" w:hAnsi="Gill Sans MT"/>
                <w:sz w:val="18"/>
              </w:rPr>
            </w:pPr>
            <w:r w:rsidRPr="00E34136">
              <w:rPr>
                <w:rFonts w:ascii="Gill Sans MT" w:hAnsi="Gill Sans MT"/>
                <w:sz w:val="18"/>
              </w:rPr>
              <w:t>3</w:t>
            </w:r>
          </w:p>
        </w:tc>
        <w:tc>
          <w:tcPr>
            <w:tcW w:w="1252" w:type="dxa"/>
            <w:gridSpan w:val="2"/>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209" w:type="dxa"/>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right="168"/>
              <w:jc w:val="center"/>
              <w:rPr>
                <w:rFonts w:ascii="Gill Sans MT" w:hAnsi="Gill Sans MT"/>
                <w:sz w:val="18"/>
              </w:rPr>
            </w:pPr>
            <w:r w:rsidRPr="00E34136">
              <w:rPr>
                <w:rFonts w:ascii="Gill Sans MT" w:hAnsi="Gill Sans MT"/>
                <w:sz w:val="18"/>
              </w:rPr>
              <w:t>0</w:t>
            </w:r>
          </w:p>
        </w:tc>
        <w:tc>
          <w:tcPr>
            <w:tcW w:w="1083" w:type="dxa"/>
            <w:tcBorders>
              <w:top w:val="dotted" w:sz="4" w:space="0" w:color="auto"/>
              <w:left w:val="dotted" w:sz="4" w:space="0" w:color="auto"/>
              <w:bottom w:val="single" w:sz="4" w:space="0" w:color="004D8F"/>
              <w:right w:val="dotted" w:sz="4" w:space="0" w:color="auto"/>
            </w:tcBorders>
            <w:shd w:val="clear" w:color="auto" w:fill="auto"/>
            <w:vAlign w:val="center"/>
          </w:tcPr>
          <w:p w:rsidR="004E70F8" w:rsidRPr="00E34136" w:rsidRDefault="004E70F8" w:rsidP="00025D0E">
            <w:pPr>
              <w:pStyle w:val="TableParagraph"/>
              <w:spacing w:before="57"/>
              <w:ind w:left="134" w:right="42"/>
              <w:jc w:val="center"/>
              <w:rPr>
                <w:rFonts w:ascii="Gill Sans MT" w:hAnsi="Gill Sans MT"/>
                <w:sz w:val="18"/>
              </w:rPr>
            </w:pPr>
            <w:r w:rsidRPr="00E34136">
              <w:rPr>
                <w:rFonts w:ascii="Gill Sans MT" w:hAnsi="Gill Sans MT"/>
                <w:sz w:val="18"/>
              </w:rPr>
              <w:t>38</w:t>
            </w:r>
          </w:p>
        </w:tc>
      </w:tr>
      <w:tr w:rsidR="00E34136" w:rsidRPr="00E34136" w:rsidTr="00E34136">
        <w:trPr>
          <w:trHeight w:hRule="exact" w:val="520"/>
        </w:trPr>
        <w:tc>
          <w:tcPr>
            <w:tcW w:w="3246"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76" w:line="200" w:lineRule="exact"/>
              <w:ind w:left="79" w:right="120"/>
              <w:rPr>
                <w:rFonts w:ascii="Gill Sans MT" w:hAnsi="Gill Sans MT"/>
                <w:b/>
                <w:sz w:val="18"/>
              </w:rPr>
            </w:pPr>
            <w:r w:rsidRPr="00E34136">
              <w:rPr>
                <w:rFonts w:ascii="Gill Sans MT" w:hAnsi="Gill Sans MT"/>
                <w:b/>
                <w:sz w:val="18"/>
              </w:rPr>
              <w:t>Total Governing Council Remuneration</w:t>
            </w:r>
          </w:p>
        </w:tc>
        <w:tc>
          <w:tcPr>
            <w:tcW w:w="1007"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right="395"/>
              <w:jc w:val="right"/>
              <w:rPr>
                <w:rFonts w:ascii="Gill Sans MT" w:hAnsi="Gill Sans MT"/>
                <w:b/>
                <w:sz w:val="18"/>
              </w:rPr>
            </w:pPr>
            <w:r w:rsidRPr="00E34136">
              <w:rPr>
                <w:rFonts w:ascii="Gill Sans MT" w:hAnsi="Gill Sans MT"/>
                <w:b/>
                <w:sz w:val="18"/>
              </w:rPr>
              <w:t>429</w:t>
            </w:r>
          </w:p>
        </w:tc>
        <w:tc>
          <w:tcPr>
            <w:tcW w:w="902"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right="168"/>
              <w:jc w:val="right"/>
              <w:rPr>
                <w:rFonts w:ascii="Gill Sans MT" w:hAnsi="Gill Sans MT"/>
                <w:b/>
                <w:sz w:val="18"/>
              </w:rPr>
            </w:pPr>
            <w:r w:rsidRPr="00E34136">
              <w:rPr>
                <w:rFonts w:ascii="Gill Sans MT" w:hAnsi="Gill Sans MT"/>
                <w:b/>
                <w:sz w:val="18"/>
              </w:rPr>
              <w:t>37</w:t>
            </w:r>
          </w:p>
        </w:tc>
        <w:tc>
          <w:tcPr>
            <w:tcW w:w="1224"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right="649"/>
              <w:jc w:val="right"/>
              <w:rPr>
                <w:rFonts w:ascii="Gill Sans MT" w:hAnsi="Gill Sans MT"/>
                <w:b/>
                <w:sz w:val="18"/>
              </w:rPr>
            </w:pPr>
            <w:r w:rsidRPr="00E34136">
              <w:rPr>
                <w:rFonts w:ascii="Gill Sans MT" w:hAnsi="Gill Sans MT"/>
                <w:b/>
                <w:sz w:val="18"/>
              </w:rPr>
              <w:t>42</w:t>
            </w:r>
          </w:p>
        </w:tc>
        <w:tc>
          <w:tcPr>
            <w:tcW w:w="1252" w:type="dxa"/>
            <w:gridSpan w:val="2"/>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right="168"/>
              <w:jc w:val="right"/>
              <w:rPr>
                <w:rFonts w:ascii="Gill Sans MT" w:hAnsi="Gill Sans MT"/>
                <w:b/>
                <w:sz w:val="18"/>
              </w:rPr>
            </w:pPr>
            <w:r w:rsidRPr="00E34136">
              <w:rPr>
                <w:rFonts w:ascii="Gill Sans MT" w:hAnsi="Gill Sans MT"/>
                <w:b/>
                <w:sz w:val="18"/>
              </w:rPr>
              <w:t>0</w:t>
            </w:r>
          </w:p>
        </w:tc>
        <w:tc>
          <w:tcPr>
            <w:tcW w:w="1209"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right="168"/>
              <w:jc w:val="right"/>
              <w:rPr>
                <w:rFonts w:ascii="Gill Sans MT" w:hAnsi="Gill Sans MT"/>
                <w:b/>
                <w:sz w:val="18"/>
              </w:rPr>
            </w:pPr>
            <w:r w:rsidRPr="00E34136">
              <w:rPr>
                <w:rFonts w:ascii="Gill Sans MT" w:hAnsi="Gill Sans MT"/>
                <w:b/>
                <w:sz w:val="18"/>
              </w:rPr>
              <w:t>0</w:t>
            </w:r>
          </w:p>
        </w:tc>
        <w:tc>
          <w:tcPr>
            <w:tcW w:w="1083" w:type="dxa"/>
            <w:tcBorders>
              <w:top w:val="single" w:sz="4" w:space="0" w:color="004D8F"/>
              <w:bottom w:val="single" w:sz="4" w:space="0" w:color="004D8F"/>
            </w:tcBorders>
            <w:shd w:val="clear" w:color="auto" w:fill="auto"/>
          </w:tcPr>
          <w:p w:rsidR="004E70F8" w:rsidRPr="00E34136" w:rsidRDefault="004E70F8" w:rsidP="009555B2">
            <w:pPr>
              <w:pStyle w:val="TableParagraph"/>
              <w:spacing w:before="66"/>
              <w:ind w:left="127" w:right="147"/>
              <w:jc w:val="center"/>
              <w:rPr>
                <w:rFonts w:ascii="Gill Sans MT" w:hAnsi="Gill Sans MT"/>
                <w:b/>
                <w:sz w:val="18"/>
              </w:rPr>
            </w:pPr>
            <w:r w:rsidRPr="00E34136">
              <w:rPr>
                <w:rFonts w:ascii="Gill Sans MT" w:hAnsi="Gill Sans MT"/>
                <w:b/>
                <w:sz w:val="18"/>
              </w:rPr>
              <w:t>508</w:t>
            </w:r>
          </w:p>
        </w:tc>
      </w:tr>
    </w:tbl>
    <w:p w:rsidR="00E34136" w:rsidRDefault="00E34136" w:rsidP="004E70F8">
      <w:pPr>
        <w:pStyle w:val="BodyText"/>
      </w:pPr>
    </w:p>
    <w:p w:rsidR="00E34136" w:rsidRDefault="00E34136">
      <w:pPr>
        <w:rPr>
          <w:rFonts w:ascii="Gill Sans MT" w:eastAsia="GillSans-Light" w:hAnsi="Gill Sans MT" w:cs="GillSans-Light"/>
          <w:lang w:val="en-US"/>
        </w:rPr>
      </w:pPr>
      <w:r>
        <w:br w:type="page"/>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Remuneration of Key Management Personnel 2016"/>
        <w:tblDescription w:val="Governing Council members"/>
      </w:tblPr>
      <w:tblGrid>
        <w:gridCol w:w="3261"/>
        <w:gridCol w:w="992"/>
        <w:gridCol w:w="992"/>
        <w:gridCol w:w="1134"/>
        <w:gridCol w:w="1418"/>
        <w:gridCol w:w="1134"/>
        <w:gridCol w:w="992"/>
      </w:tblGrid>
      <w:tr w:rsidR="001F36E8" w:rsidRPr="00E34136" w:rsidTr="001F36E8">
        <w:trPr>
          <w:trHeight w:hRule="exact" w:val="1427"/>
        </w:trPr>
        <w:tc>
          <w:tcPr>
            <w:tcW w:w="3261" w:type="dxa"/>
            <w:tcBorders>
              <w:top w:val="single" w:sz="4" w:space="0" w:color="auto"/>
              <w:bottom w:val="single" w:sz="4" w:space="0" w:color="004D8F"/>
              <w:right w:val="dotted" w:sz="4" w:space="0" w:color="auto"/>
            </w:tcBorders>
            <w:shd w:val="clear" w:color="auto" w:fill="auto"/>
            <w:vAlign w:val="bottom"/>
          </w:tcPr>
          <w:p w:rsidR="00E34136" w:rsidRPr="00E34136" w:rsidRDefault="00E34136" w:rsidP="001F36E8">
            <w:pPr>
              <w:pStyle w:val="Heading6"/>
            </w:pPr>
          </w:p>
          <w:p w:rsidR="00E34136" w:rsidRPr="00BF415C" w:rsidRDefault="00E34136" w:rsidP="001F36E8">
            <w:pPr>
              <w:pStyle w:val="Heading6"/>
              <w:rPr>
                <w:szCs w:val="18"/>
              </w:rPr>
            </w:pPr>
            <w:r w:rsidRPr="00BF415C">
              <w:rPr>
                <w:szCs w:val="18"/>
              </w:rPr>
              <w:t>Key management personnel</w:t>
            </w:r>
          </w:p>
          <w:p w:rsidR="00E34136" w:rsidRPr="00E34136" w:rsidRDefault="00BF415C" w:rsidP="001F36E8">
            <w:pPr>
              <w:pStyle w:val="Heading6"/>
            </w:pPr>
            <w:r w:rsidRPr="001F36E8">
              <w:rPr>
                <w:rStyle w:val="BodyTextChar"/>
                <w:szCs w:val="18"/>
              </w:rPr>
              <w:t>Executive Directors</w:t>
            </w:r>
            <w:r w:rsidRPr="00BF415C">
              <w:rPr>
                <w:color w:val="004D8F"/>
                <w:szCs w:val="18"/>
              </w:rPr>
              <w:t xml:space="preserve"> </w:t>
            </w:r>
            <w:r w:rsidRPr="00BF415C">
              <w:rPr>
                <w:szCs w:val="18"/>
              </w:rPr>
              <w:t>2016</w:t>
            </w:r>
          </w:p>
        </w:tc>
        <w:tc>
          <w:tcPr>
            <w:tcW w:w="992" w:type="dxa"/>
            <w:tcBorders>
              <w:top w:val="single" w:sz="4" w:space="0" w:color="auto"/>
              <w:left w:val="dotted" w:sz="4" w:space="0" w:color="auto"/>
              <w:bottom w:val="single" w:sz="4" w:space="0" w:color="004D8F"/>
              <w:right w:val="dotted" w:sz="4" w:space="0" w:color="auto"/>
            </w:tcBorders>
            <w:shd w:val="clear" w:color="auto" w:fill="auto"/>
            <w:vAlign w:val="center"/>
          </w:tcPr>
          <w:p w:rsidR="00E34136" w:rsidRPr="00E34136" w:rsidRDefault="00E34136" w:rsidP="001F36E8">
            <w:pPr>
              <w:pStyle w:val="Heading6"/>
              <w:jc w:val="center"/>
              <w:rPr>
                <w:sz w:val="16"/>
                <w:szCs w:val="16"/>
              </w:rPr>
            </w:pPr>
            <w:r w:rsidRPr="00E34136">
              <w:rPr>
                <w:sz w:val="16"/>
                <w:szCs w:val="16"/>
              </w:rPr>
              <w:t>Short-term benefits</w:t>
            </w:r>
            <w:r w:rsidRPr="00E34136">
              <w:rPr>
                <w:sz w:val="16"/>
                <w:szCs w:val="16"/>
              </w:rPr>
              <w:br/>
            </w:r>
            <w:r w:rsidRPr="00E34136">
              <w:rPr>
                <w:sz w:val="16"/>
                <w:szCs w:val="16"/>
              </w:rPr>
              <w:br/>
            </w:r>
            <w:r w:rsidRPr="00E34136">
              <w:rPr>
                <w:sz w:val="16"/>
                <w:szCs w:val="16"/>
              </w:rPr>
              <w:br/>
              <w:t>Salary</w:t>
            </w:r>
            <w:r w:rsidRPr="00E34136">
              <w:rPr>
                <w:position w:val="6"/>
                <w:sz w:val="16"/>
                <w:szCs w:val="16"/>
              </w:rPr>
              <w:t xml:space="preserve">1 </w:t>
            </w:r>
            <w:r w:rsidRPr="00E34136">
              <w:rPr>
                <w:sz w:val="16"/>
                <w:szCs w:val="16"/>
              </w:rPr>
              <w:br/>
              <w:t>$’000</w:t>
            </w:r>
          </w:p>
        </w:tc>
        <w:tc>
          <w:tcPr>
            <w:tcW w:w="992" w:type="dxa"/>
            <w:tcBorders>
              <w:top w:val="single" w:sz="4" w:space="0" w:color="auto"/>
              <w:left w:val="dotted" w:sz="4" w:space="0" w:color="auto"/>
              <w:bottom w:val="single" w:sz="4" w:space="0" w:color="004D8F"/>
              <w:right w:val="dotted" w:sz="4" w:space="0" w:color="auto"/>
            </w:tcBorders>
            <w:shd w:val="clear" w:color="auto" w:fill="auto"/>
            <w:vAlign w:val="center"/>
          </w:tcPr>
          <w:p w:rsidR="00E34136" w:rsidRPr="00E34136" w:rsidRDefault="00E34136" w:rsidP="001F36E8">
            <w:pPr>
              <w:pStyle w:val="Heading6"/>
              <w:jc w:val="center"/>
              <w:rPr>
                <w:sz w:val="16"/>
                <w:szCs w:val="16"/>
              </w:rPr>
            </w:pPr>
            <w:r w:rsidRPr="00E34136">
              <w:rPr>
                <w:sz w:val="16"/>
                <w:szCs w:val="16"/>
              </w:rPr>
              <w:t>Short-term benefits</w:t>
            </w:r>
            <w:r w:rsidRPr="00E34136">
              <w:rPr>
                <w:sz w:val="16"/>
                <w:szCs w:val="16"/>
              </w:rPr>
              <w:br/>
            </w:r>
            <w:r w:rsidRPr="00E34136">
              <w:rPr>
                <w:sz w:val="16"/>
                <w:szCs w:val="16"/>
              </w:rPr>
              <w:br/>
              <w:t>Other Benefits</w:t>
            </w:r>
            <w:r w:rsidRPr="00E34136">
              <w:rPr>
                <w:sz w:val="16"/>
                <w:szCs w:val="16"/>
                <w:vertAlign w:val="superscript"/>
              </w:rPr>
              <w:t>2</w:t>
            </w:r>
            <w:r w:rsidRPr="00E34136">
              <w:rPr>
                <w:sz w:val="16"/>
                <w:szCs w:val="16"/>
              </w:rPr>
              <w:br/>
              <w:t>$’000</w:t>
            </w:r>
          </w:p>
        </w:tc>
        <w:tc>
          <w:tcPr>
            <w:tcW w:w="1134" w:type="dxa"/>
            <w:tcBorders>
              <w:top w:val="single" w:sz="4" w:space="0" w:color="auto"/>
              <w:left w:val="dotted" w:sz="4" w:space="0" w:color="auto"/>
              <w:bottom w:val="single" w:sz="4" w:space="0" w:color="004D8F"/>
              <w:right w:val="dotted" w:sz="4" w:space="0" w:color="auto"/>
            </w:tcBorders>
            <w:shd w:val="clear" w:color="auto" w:fill="auto"/>
            <w:vAlign w:val="center"/>
          </w:tcPr>
          <w:p w:rsidR="00E34136" w:rsidRPr="00E34136" w:rsidRDefault="00E34136" w:rsidP="001F36E8">
            <w:pPr>
              <w:pStyle w:val="Heading6"/>
              <w:jc w:val="center"/>
              <w:rPr>
                <w:sz w:val="16"/>
                <w:szCs w:val="16"/>
              </w:rPr>
            </w:pPr>
            <w:r w:rsidRPr="00E34136">
              <w:rPr>
                <w:sz w:val="16"/>
                <w:szCs w:val="16"/>
              </w:rPr>
              <w:t>Long-term Benefits</w:t>
            </w:r>
            <w:r w:rsidRPr="00E34136">
              <w:rPr>
                <w:sz w:val="16"/>
                <w:szCs w:val="16"/>
              </w:rPr>
              <w:br/>
            </w:r>
            <w:r w:rsidRPr="00E34136">
              <w:rPr>
                <w:sz w:val="16"/>
                <w:szCs w:val="16"/>
              </w:rPr>
              <w:br/>
              <w:t>Super-annuation</w:t>
            </w:r>
            <w:r w:rsidRPr="00E34136">
              <w:rPr>
                <w:sz w:val="16"/>
                <w:szCs w:val="16"/>
                <w:vertAlign w:val="superscript"/>
              </w:rPr>
              <w:t>3</w:t>
            </w:r>
            <w:r w:rsidRPr="00E34136">
              <w:rPr>
                <w:sz w:val="16"/>
                <w:szCs w:val="16"/>
                <w:vertAlign w:val="superscript"/>
              </w:rPr>
              <w:br/>
            </w:r>
            <w:r w:rsidRPr="00E34136">
              <w:rPr>
                <w:sz w:val="16"/>
                <w:szCs w:val="16"/>
              </w:rPr>
              <w:t>$’000</w:t>
            </w:r>
          </w:p>
        </w:tc>
        <w:tc>
          <w:tcPr>
            <w:tcW w:w="1418" w:type="dxa"/>
            <w:tcBorders>
              <w:top w:val="single" w:sz="4" w:space="0" w:color="auto"/>
              <w:left w:val="dotted" w:sz="4" w:space="0" w:color="auto"/>
              <w:bottom w:val="single" w:sz="4" w:space="0" w:color="004D8F"/>
              <w:right w:val="dotted" w:sz="4" w:space="0" w:color="auto"/>
            </w:tcBorders>
            <w:shd w:val="clear" w:color="auto" w:fill="auto"/>
            <w:vAlign w:val="center"/>
          </w:tcPr>
          <w:p w:rsidR="00E34136" w:rsidRPr="00E34136" w:rsidRDefault="00E34136" w:rsidP="001F36E8">
            <w:pPr>
              <w:pStyle w:val="Heading6"/>
              <w:jc w:val="center"/>
              <w:rPr>
                <w:sz w:val="16"/>
                <w:szCs w:val="16"/>
              </w:rPr>
            </w:pPr>
            <w:r w:rsidRPr="00E34136">
              <w:rPr>
                <w:sz w:val="16"/>
                <w:szCs w:val="16"/>
              </w:rPr>
              <w:t xml:space="preserve">Long-term </w:t>
            </w:r>
            <w:r w:rsidR="001F36E8">
              <w:rPr>
                <w:sz w:val="16"/>
                <w:szCs w:val="16"/>
              </w:rPr>
              <w:br/>
            </w:r>
            <w:r w:rsidRPr="00E34136">
              <w:rPr>
                <w:sz w:val="16"/>
                <w:szCs w:val="16"/>
              </w:rPr>
              <w:t>Benefits</w:t>
            </w:r>
          </w:p>
          <w:p w:rsidR="00E34136" w:rsidRPr="00E34136" w:rsidRDefault="00E34136" w:rsidP="001F36E8">
            <w:pPr>
              <w:pStyle w:val="Heading6"/>
              <w:jc w:val="center"/>
              <w:rPr>
                <w:sz w:val="16"/>
                <w:szCs w:val="16"/>
              </w:rPr>
            </w:pPr>
            <w:r w:rsidRPr="00E34136">
              <w:rPr>
                <w:sz w:val="16"/>
                <w:szCs w:val="16"/>
              </w:rPr>
              <w:t>Other Benefits and Long-Service Leave</w:t>
            </w:r>
            <w:r w:rsidRPr="00E34136">
              <w:rPr>
                <w:sz w:val="16"/>
                <w:szCs w:val="16"/>
                <w:vertAlign w:val="superscript"/>
              </w:rPr>
              <w:t>4</w:t>
            </w:r>
            <w:r w:rsidRPr="00E34136">
              <w:rPr>
                <w:sz w:val="16"/>
                <w:szCs w:val="16"/>
                <w:vertAlign w:val="superscript"/>
              </w:rPr>
              <w:br/>
            </w:r>
            <w:r w:rsidRPr="00E34136">
              <w:rPr>
                <w:sz w:val="16"/>
                <w:szCs w:val="16"/>
              </w:rPr>
              <w:t>$’000</w:t>
            </w:r>
          </w:p>
        </w:tc>
        <w:tc>
          <w:tcPr>
            <w:tcW w:w="1134" w:type="dxa"/>
            <w:tcBorders>
              <w:top w:val="single" w:sz="4" w:space="0" w:color="auto"/>
              <w:left w:val="dotted" w:sz="4" w:space="0" w:color="auto"/>
              <w:bottom w:val="single" w:sz="4" w:space="0" w:color="004D8F"/>
              <w:right w:val="dotted" w:sz="4" w:space="0" w:color="auto"/>
            </w:tcBorders>
            <w:shd w:val="clear" w:color="auto" w:fill="auto"/>
            <w:vAlign w:val="center"/>
          </w:tcPr>
          <w:p w:rsidR="00E34136" w:rsidRPr="00E34136" w:rsidRDefault="00E34136" w:rsidP="001F36E8">
            <w:pPr>
              <w:pStyle w:val="Heading6"/>
              <w:jc w:val="center"/>
              <w:rPr>
                <w:sz w:val="16"/>
                <w:szCs w:val="16"/>
              </w:rPr>
            </w:pPr>
          </w:p>
          <w:p w:rsidR="00E34136" w:rsidRPr="00E34136" w:rsidRDefault="00E34136" w:rsidP="001F36E8">
            <w:pPr>
              <w:pStyle w:val="Heading6"/>
              <w:jc w:val="center"/>
              <w:rPr>
                <w:sz w:val="16"/>
                <w:szCs w:val="16"/>
              </w:rPr>
            </w:pPr>
          </w:p>
          <w:p w:rsidR="00E34136" w:rsidRPr="00E34136" w:rsidRDefault="00E34136" w:rsidP="001F36E8">
            <w:pPr>
              <w:pStyle w:val="Heading6"/>
              <w:jc w:val="center"/>
              <w:rPr>
                <w:sz w:val="16"/>
                <w:szCs w:val="16"/>
              </w:rPr>
            </w:pPr>
            <w:r w:rsidRPr="00E34136">
              <w:rPr>
                <w:sz w:val="16"/>
                <w:szCs w:val="16"/>
              </w:rPr>
              <w:t>Termination Benefits</w:t>
            </w:r>
            <w:r w:rsidRPr="00E34136">
              <w:rPr>
                <w:sz w:val="16"/>
                <w:szCs w:val="16"/>
                <w:vertAlign w:val="superscript"/>
              </w:rPr>
              <w:t>5</w:t>
            </w:r>
          </w:p>
          <w:p w:rsidR="00E34136" w:rsidRPr="00E34136" w:rsidRDefault="00E34136" w:rsidP="001F36E8">
            <w:pPr>
              <w:pStyle w:val="Heading6"/>
              <w:jc w:val="center"/>
              <w:rPr>
                <w:sz w:val="16"/>
                <w:szCs w:val="16"/>
              </w:rPr>
            </w:pPr>
            <w:r w:rsidRPr="00E34136">
              <w:rPr>
                <w:sz w:val="16"/>
                <w:szCs w:val="16"/>
              </w:rPr>
              <w:t>$’000</w:t>
            </w:r>
          </w:p>
        </w:tc>
        <w:tc>
          <w:tcPr>
            <w:tcW w:w="992" w:type="dxa"/>
            <w:tcBorders>
              <w:top w:val="single" w:sz="4" w:space="0" w:color="auto"/>
              <w:left w:val="dotted" w:sz="4" w:space="0" w:color="auto"/>
              <w:bottom w:val="single" w:sz="4" w:space="0" w:color="004D8F"/>
            </w:tcBorders>
            <w:shd w:val="clear" w:color="auto" w:fill="auto"/>
            <w:vAlign w:val="center"/>
          </w:tcPr>
          <w:p w:rsidR="00E34136" w:rsidRPr="00E34136" w:rsidRDefault="00E34136" w:rsidP="001F36E8">
            <w:pPr>
              <w:pStyle w:val="Heading6"/>
              <w:jc w:val="center"/>
              <w:rPr>
                <w:sz w:val="16"/>
                <w:szCs w:val="16"/>
              </w:rPr>
            </w:pPr>
          </w:p>
          <w:p w:rsidR="00E34136" w:rsidRPr="00E34136" w:rsidRDefault="00E34136" w:rsidP="001F36E8">
            <w:pPr>
              <w:pStyle w:val="Heading6"/>
              <w:jc w:val="center"/>
              <w:rPr>
                <w:sz w:val="16"/>
                <w:szCs w:val="16"/>
              </w:rPr>
            </w:pPr>
          </w:p>
          <w:p w:rsidR="00E34136" w:rsidRPr="00E34136" w:rsidRDefault="00E34136" w:rsidP="001F36E8">
            <w:pPr>
              <w:pStyle w:val="Heading6"/>
              <w:jc w:val="center"/>
              <w:rPr>
                <w:sz w:val="16"/>
                <w:szCs w:val="16"/>
              </w:rPr>
            </w:pPr>
            <w:r w:rsidRPr="00E34136">
              <w:rPr>
                <w:sz w:val="16"/>
                <w:szCs w:val="16"/>
              </w:rPr>
              <w:t>Total</w:t>
            </w:r>
          </w:p>
          <w:p w:rsidR="00E34136" w:rsidRPr="00E34136" w:rsidRDefault="00E34136" w:rsidP="001F36E8">
            <w:pPr>
              <w:pStyle w:val="Heading6"/>
              <w:jc w:val="center"/>
              <w:rPr>
                <w:sz w:val="16"/>
                <w:szCs w:val="16"/>
              </w:rPr>
            </w:pPr>
            <w:r w:rsidRPr="00E34136">
              <w:rPr>
                <w:sz w:val="16"/>
                <w:szCs w:val="16"/>
              </w:rPr>
              <w:t>$’000</w:t>
            </w:r>
          </w:p>
        </w:tc>
      </w:tr>
      <w:tr w:rsidR="00BF415C" w:rsidRPr="00E34136" w:rsidTr="001F36E8">
        <w:trPr>
          <w:trHeight w:hRule="exact" w:val="373"/>
        </w:trPr>
        <w:tc>
          <w:tcPr>
            <w:tcW w:w="3261" w:type="dxa"/>
            <w:tcBorders>
              <w:top w:val="single" w:sz="3" w:space="0" w:color="004D8F"/>
              <w:bottom w:val="single" w:sz="3" w:space="0" w:color="004D8F"/>
            </w:tcBorders>
            <w:shd w:val="clear" w:color="auto" w:fill="auto"/>
          </w:tcPr>
          <w:p w:rsidR="00BF415C" w:rsidRPr="001F36E8" w:rsidRDefault="00BF415C" w:rsidP="001F36E8">
            <w:pPr>
              <w:pStyle w:val="Heading7"/>
              <w:rPr>
                <w:sz w:val="16"/>
                <w:szCs w:val="16"/>
              </w:rPr>
            </w:pPr>
            <w:r w:rsidRPr="001F36E8">
              <w:rPr>
                <w:sz w:val="16"/>
                <w:szCs w:val="16"/>
              </w:rPr>
              <w:t xml:space="preserve">Chief </w:t>
            </w:r>
            <w:proofErr w:type="gramStart"/>
            <w:r w:rsidRPr="001F36E8">
              <w:rPr>
                <w:sz w:val="16"/>
                <w:szCs w:val="16"/>
              </w:rPr>
              <w:t>Executive  Officer</w:t>
            </w:r>
            <w:proofErr w:type="gramEnd"/>
          </w:p>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r>
      <w:tr w:rsidR="00E34136" w:rsidRPr="00E34136" w:rsidTr="00933457">
        <w:trPr>
          <w:trHeight w:val="494"/>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19" w:line="200" w:lineRule="exact"/>
              <w:ind w:left="236" w:right="142" w:hanging="107"/>
              <w:rPr>
                <w:rFonts w:ascii="Gill Sans MT" w:hAnsi="Gill Sans MT"/>
                <w:sz w:val="16"/>
                <w:szCs w:val="16"/>
              </w:rPr>
            </w:pPr>
            <w:r w:rsidRPr="001F36E8">
              <w:rPr>
                <w:rFonts w:ascii="Gill Sans MT" w:hAnsi="Gill Sans MT"/>
                <w:sz w:val="16"/>
                <w:szCs w:val="16"/>
              </w:rPr>
              <w:t xml:space="preserve">Dr Anne Brand </w:t>
            </w:r>
            <w:r w:rsidR="00BF415C" w:rsidRPr="001F36E8">
              <w:rPr>
                <w:rFonts w:ascii="Gill Sans MT" w:hAnsi="Gill Sans MT"/>
                <w:sz w:val="16"/>
                <w:szCs w:val="16"/>
              </w:rPr>
              <w:br/>
            </w:r>
            <w:r w:rsidRPr="001F36E8">
              <w:rPr>
                <w:rFonts w:ascii="Gill Sans MT" w:hAnsi="Gill Sans MT"/>
                <w:sz w:val="16"/>
                <w:szCs w:val="16"/>
              </w:rPr>
              <w:t>(01/07/2015 - 31/01/2016)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3"/>
              <w:jc w:val="center"/>
              <w:rPr>
                <w:rFonts w:ascii="Gill Sans MT" w:hAnsi="Gill Sans MT"/>
                <w:sz w:val="16"/>
                <w:szCs w:val="16"/>
              </w:rPr>
            </w:pPr>
            <w:r w:rsidRPr="001F36E8">
              <w:rPr>
                <w:rFonts w:ascii="Gill Sans MT" w:hAnsi="Gill Sans MT"/>
                <w:sz w:val="16"/>
                <w:szCs w:val="16"/>
              </w:rPr>
              <w:t>144</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98</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21</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8"/>
              <w:jc w:val="center"/>
              <w:rPr>
                <w:rFonts w:ascii="Gill Sans MT" w:hAnsi="Gill Sans MT"/>
                <w:sz w:val="16"/>
                <w:szCs w:val="16"/>
              </w:rPr>
            </w:pPr>
            <w:r w:rsidRPr="001F36E8">
              <w:rPr>
                <w:rFonts w:ascii="Gill Sans MT" w:hAnsi="Gill Sans MT"/>
                <w:sz w:val="16"/>
                <w:szCs w:val="16"/>
              </w:rPr>
              <w:t>10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8"/>
              <w:jc w:val="center"/>
              <w:rPr>
                <w:rFonts w:ascii="Gill Sans MT" w:hAnsi="Gill Sans MT"/>
                <w:sz w:val="16"/>
                <w:szCs w:val="16"/>
              </w:rPr>
            </w:pPr>
            <w:r w:rsidRPr="001F36E8">
              <w:rPr>
                <w:rFonts w:ascii="Gill Sans MT" w:hAnsi="Gill Sans MT"/>
                <w:sz w:val="16"/>
                <w:szCs w:val="16"/>
              </w:rPr>
              <w:t>274</w:t>
            </w:r>
          </w:p>
        </w:tc>
      </w:tr>
      <w:tr w:rsidR="00E34136" w:rsidRPr="00E34136" w:rsidTr="00933457">
        <w:trPr>
          <w:trHeight w:val="383"/>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235" w:lineRule="auto"/>
              <w:ind w:left="236" w:right="142" w:hanging="107"/>
              <w:rPr>
                <w:rFonts w:ascii="Gill Sans MT" w:hAnsi="Gill Sans MT"/>
                <w:sz w:val="16"/>
                <w:szCs w:val="16"/>
              </w:rPr>
            </w:pPr>
            <w:r w:rsidRPr="001F36E8">
              <w:rPr>
                <w:rFonts w:ascii="Gill Sans MT" w:hAnsi="Gill Sans MT"/>
                <w:sz w:val="16"/>
                <w:szCs w:val="16"/>
              </w:rPr>
              <w:t>Dr David Alcorn</w:t>
            </w:r>
            <w:r w:rsidR="00BF415C" w:rsidRPr="001F36E8">
              <w:rPr>
                <w:rFonts w:ascii="Gill Sans MT" w:hAnsi="Gill Sans MT"/>
                <w:sz w:val="16"/>
                <w:szCs w:val="16"/>
              </w:rPr>
              <w:br/>
            </w:r>
            <w:r w:rsidRPr="001F36E8">
              <w:rPr>
                <w:rFonts w:ascii="Gill Sans MT" w:hAnsi="Gill Sans MT"/>
                <w:sz w:val="16"/>
                <w:szCs w:val="16"/>
              </w:rPr>
              <w:t xml:space="preserve"> (01/02/2016 - 30/06/2016)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7"/>
              <w:jc w:val="center"/>
              <w:rPr>
                <w:rFonts w:ascii="Gill Sans MT" w:hAnsi="Gill Sans MT"/>
                <w:sz w:val="16"/>
                <w:szCs w:val="16"/>
              </w:rPr>
            </w:pPr>
            <w:r w:rsidRPr="001F36E8">
              <w:rPr>
                <w:rFonts w:ascii="Gill Sans MT" w:hAnsi="Gill Sans MT"/>
                <w:sz w:val="16"/>
                <w:szCs w:val="16"/>
              </w:rPr>
              <w:t>155</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8"/>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15</w:t>
            </w:r>
          </w:p>
        </w:tc>
        <w:tc>
          <w:tcPr>
            <w:tcW w:w="1418" w:type="dxa"/>
            <w:tcBorders>
              <w:top w:val="single" w:sz="3" w:space="0" w:color="004D8F"/>
              <w:bottom w:val="single" w:sz="3" w:space="0" w:color="004D8F"/>
            </w:tcBorders>
            <w:shd w:val="clear" w:color="auto" w:fill="auto"/>
            <w:vAlign w:val="center"/>
          </w:tcPr>
          <w:p w:rsidR="00E34136" w:rsidRPr="001F36E8" w:rsidRDefault="00BF415C" w:rsidP="001F36E8">
            <w:pPr>
              <w:pStyle w:val="TableParagraph"/>
              <w:ind w:right="173"/>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8"/>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7"/>
              <w:jc w:val="center"/>
              <w:rPr>
                <w:rFonts w:ascii="Gill Sans MT" w:hAnsi="Gill Sans MT"/>
                <w:sz w:val="16"/>
                <w:szCs w:val="16"/>
              </w:rPr>
            </w:pPr>
            <w:r w:rsidRPr="001F36E8">
              <w:rPr>
                <w:rFonts w:ascii="Gill Sans MT" w:hAnsi="Gill Sans MT"/>
                <w:sz w:val="16"/>
                <w:szCs w:val="16"/>
              </w:rPr>
              <w:t>169</w:t>
            </w:r>
          </w:p>
        </w:tc>
      </w:tr>
      <w:tr w:rsidR="00BF415C" w:rsidRPr="00E34136" w:rsidTr="00933457">
        <w:trPr>
          <w:trHeight w:val="426"/>
        </w:trPr>
        <w:tc>
          <w:tcPr>
            <w:tcW w:w="3261" w:type="dxa"/>
            <w:tcBorders>
              <w:top w:val="single" w:sz="3" w:space="0" w:color="004D8F"/>
              <w:bottom w:val="single" w:sz="3" w:space="0" w:color="004D8F"/>
            </w:tcBorders>
            <w:shd w:val="clear" w:color="auto" w:fill="auto"/>
          </w:tcPr>
          <w:p w:rsidR="00BF415C" w:rsidRPr="001F36E8" w:rsidRDefault="00BF415C" w:rsidP="00933457">
            <w:pPr>
              <w:pStyle w:val="Heading7"/>
              <w:rPr>
                <w:sz w:val="16"/>
                <w:szCs w:val="16"/>
              </w:rPr>
            </w:pPr>
            <w:r w:rsidRPr="001F36E8">
              <w:rPr>
                <w:sz w:val="16"/>
                <w:szCs w:val="16"/>
              </w:rPr>
              <w:t>Chief Operating Officer</w:t>
            </w: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r>
      <w:tr w:rsidR="00E34136" w:rsidRPr="00E34136" w:rsidTr="00933457">
        <w:trPr>
          <w:trHeight w:hRule="exact" w:val="434"/>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235" w:lineRule="auto"/>
              <w:ind w:left="236" w:right="142" w:hanging="107"/>
              <w:rPr>
                <w:rFonts w:ascii="Gill Sans MT" w:hAnsi="Gill Sans MT"/>
                <w:sz w:val="16"/>
                <w:szCs w:val="16"/>
              </w:rPr>
            </w:pPr>
            <w:r w:rsidRPr="001F36E8">
              <w:rPr>
                <w:rFonts w:ascii="Gill Sans MT" w:hAnsi="Gill Sans MT"/>
                <w:spacing w:val="2"/>
                <w:sz w:val="16"/>
                <w:szCs w:val="16"/>
              </w:rPr>
              <w:t xml:space="preserve">Craig </w:t>
            </w:r>
            <w:r w:rsidRPr="001F36E8">
              <w:rPr>
                <w:rFonts w:ascii="Gill Sans MT" w:hAnsi="Gill Sans MT"/>
                <w:sz w:val="16"/>
                <w:szCs w:val="16"/>
              </w:rPr>
              <w:t xml:space="preserve">Watson </w:t>
            </w:r>
            <w:r w:rsidR="00BF415C" w:rsidRPr="001F36E8">
              <w:rPr>
                <w:rFonts w:ascii="Gill Sans MT" w:hAnsi="Gill Sans MT"/>
                <w:sz w:val="16"/>
                <w:szCs w:val="16"/>
              </w:rPr>
              <w:br/>
            </w:r>
            <w:r w:rsidRPr="001F36E8">
              <w:rPr>
                <w:rFonts w:ascii="Gill Sans MT" w:hAnsi="Gill Sans MT"/>
                <w:sz w:val="16"/>
                <w:szCs w:val="16"/>
              </w:rPr>
              <w:t>(18/04/2016 -</w:t>
            </w:r>
            <w:r w:rsidRPr="001F36E8">
              <w:rPr>
                <w:rFonts w:ascii="Gill Sans MT" w:hAnsi="Gill Sans MT"/>
                <w:spacing w:val="-13"/>
                <w:sz w:val="16"/>
                <w:szCs w:val="16"/>
              </w:rPr>
              <w:t xml:space="preserve"> </w:t>
            </w:r>
            <w:r w:rsidRPr="001F36E8">
              <w:rPr>
                <w:rFonts w:ascii="Gill Sans MT" w:hAnsi="Gill Sans MT"/>
                <w:sz w:val="16"/>
                <w:szCs w:val="16"/>
              </w:rPr>
              <w:t>30/06/2016)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1"/>
              <w:jc w:val="center"/>
              <w:rPr>
                <w:rFonts w:ascii="Gill Sans MT" w:hAnsi="Gill Sans MT"/>
                <w:sz w:val="16"/>
                <w:szCs w:val="16"/>
              </w:rPr>
            </w:pPr>
            <w:r w:rsidRPr="001F36E8">
              <w:rPr>
                <w:rFonts w:ascii="Gill Sans MT" w:hAnsi="Gill Sans MT"/>
                <w:sz w:val="16"/>
                <w:szCs w:val="16"/>
              </w:rPr>
              <w:t>53</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9"/>
              <w:jc w:val="center"/>
              <w:rPr>
                <w:rFonts w:ascii="Gill Sans MT" w:hAnsi="Gill Sans MT"/>
                <w:sz w:val="16"/>
                <w:szCs w:val="16"/>
              </w:rPr>
            </w:pPr>
            <w:r w:rsidRPr="001F36E8">
              <w:rPr>
                <w:rFonts w:ascii="Gill Sans MT" w:hAnsi="Gill Sans MT"/>
                <w:sz w:val="16"/>
                <w:szCs w:val="16"/>
              </w:rPr>
              <w:t>5</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5</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-1</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8"/>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61</w:t>
            </w:r>
          </w:p>
        </w:tc>
      </w:tr>
      <w:tr w:rsidR="00BF415C" w:rsidRPr="00E34136" w:rsidTr="001F36E8">
        <w:trPr>
          <w:trHeight w:hRule="exact" w:val="419"/>
        </w:trPr>
        <w:tc>
          <w:tcPr>
            <w:tcW w:w="3261" w:type="dxa"/>
            <w:tcBorders>
              <w:top w:val="single" w:sz="3" w:space="0" w:color="004D8F"/>
              <w:bottom w:val="single" w:sz="3" w:space="0" w:color="004D8F"/>
            </w:tcBorders>
            <w:shd w:val="clear" w:color="auto" w:fill="auto"/>
          </w:tcPr>
          <w:p w:rsidR="00BF415C" w:rsidRPr="001F36E8" w:rsidRDefault="00BF415C" w:rsidP="001F36E8">
            <w:pPr>
              <w:pStyle w:val="Heading7"/>
              <w:rPr>
                <w:sz w:val="16"/>
                <w:szCs w:val="16"/>
              </w:rPr>
            </w:pPr>
            <w:r w:rsidRPr="001F36E8">
              <w:rPr>
                <w:sz w:val="16"/>
                <w:szCs w:val="16"/>
              </w:rPr>
              <w:t>Chief Financial Officer</w:t>
            </w: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r>
      <w:tr w:rsidR="00E34136" w:rsidRPr="00E34136" w:rsidTr="00933457">
        <w:trPr>
          <w:trHeight w:hRule="exact" w:val="574"/>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200" w:lineRule="exact"/>
              <w:ind w:left="236" w:right="142" w:hanging="107"/>
              <w:rPr>
                <w:rFonts w:ascii="Gill Sans MT" w:hAnsi="Gill Sans MT"/>
                <w:sz w:val="16"/>
                <w:szCs w:val="16"/>
              </w:rPr>
            </w:pPr>
            <w:r w:rsidRPr="001F36E8">
              <w:rPr>
                <w:rFonts w:ascii="Gill Sans MT" w:hAnsi="Gill Sans MT"/>
                <w:sz w:val="16"/>
                <w:szCs w:val="16"/>
              </w:rPr>
              <w:t xml:space="preserve">Eleanor Patterson </w:t>
            </w:r>
            <w:r w:rsidR="00BF415C" w:rsidRPr="001F36E8">
              <w:rPr>
                <w:rFonts w:ascii="Gill Sans MT" w:hAnsi="Gill Sans MT"/>
                <w:sz w:val="16"/>
                <w:szCs w:val="16"/>
              </w:rPr>
              <w:br/>
            </w:r>
            <w:r w:rsidRPr="001F36E8">
              <w:rPr>
                <w:rFonts w:ascii="Gill Sans MT" w:hAnsi="Gill Sans MT"/>
                <w:sz w:val="16"/>
                <w:szCs w:val="16"/>
              </w:rPr>
              <w:t>(04/01/2016 - 30/06/2016)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3"/>
              <w:jc w:val="center"/>
              <w:rPr>
                <w:rFonts w:ascii="Gill Sans MT" w:hAnsi="Gill Sans MT"/>
                <w:sz w:val="16"/>
                <w:szCs w:val="16"/>
              </w:rPr>
            </w:pPr>
            <w:r w:rsidRPr="001F36E8">
              <w:rPr>
                <w:rFonts w:ascii="Gill Sans MT" w:hAnsi="Gill Sans MT"/>
                <w:sz w:val="16"/>
                <w:szCs w:val="16"/>
              </w:rPr>
              <w:t>79</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81"/>
              <w:jc w:val="center"/>
              <w:rPr>
                <w:rFonts w:ascii="Gill Sans MT" w:hAnsi="Gill Sans MT"/>
                <w:sz w:val="16"/>
                <w:szCs w:val="16"/>
              </w:rPr>
            </w:pPr>
            <w:r w:rsidRPr="001F36E8">
              <w:rPr>
                <w:rFonts w:ascii="Gill Sans MT" w:hAnsi="Gill Sans MT"/>
                <w:sz w:val="16"/>
                <w:szCs w:val="16"/>
              </w:rPr>
              <w:t>12</w:t>
            </w:r>
          </w:p>
        </w:tc>
        <w:tc>
          <w:tcPr>
            <w:tcW w:w="1134" w:type="dxa"/>
            <w:tcBorders>
              <w:top w:val="single" w:sz="3" w:space="0" w:color="004D8F"/>
              <w:bottom w:val="single" w:sz="3" w:space="0" w:color="004D8F"/>
            </w:tcBorders>
            <w:shd w:val="clear" w:color="auto" w:fill="auto"/>
            <w:vAlign w:val="center"/>
          </w:tcPr>
          <w:p w:rsidR="00E34136" w:rsidRPr="001F36E8" w:rsidRDefault="00BF415C" w:rsidP="001F36E8">
            <w:pPr>
              <w:pStyle w:val="TableParagraph"/>
              <w:ind w:right="142"/>
              <w:jc w:val="center"/>
              <w:rPr>
                <w:rFonts w:ascii="Gill Sans MT" w:hAnsi="Gill Sans MT"/>
                <w:sz w:val="16"/>
                <w:szCs w:val="16"/>
              </w:rPr>
            </w:pPr>
            <w:r w:rsidRPr="001F36E8">
              <w:rPr>
                <w:rFonts w:ascii="Gill Sans MT" w:hAnsi="Gill Sans MT"/>
                <w:sz w:val="16"/>
                <w:szCs w:val="16"/>
              </w:rPr>
              <w:t>8</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4</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103</w:t>
            </w:r>
          </w:p>
        </w:tc>
      </w:tr>
      <w:tr w:rsidR="00BF415C" w:rsidRPr="00E34136" w:rsidTr="00933457">
        <w:trPr>
          <w:trHeight w:hRule="exact" w:val="694"/>
        </w:trPr>
        <w:tc>
          <w:tcPr>
            <w:tcW w:w="3261" w:type="dxa"/>
            <w:tcBorders>
              <w:top w:val="single" w:sz="3" w:space="0" w:color="004D8F"/>
              <w:bottom w:val="single" w:sz="3" w:space="0" w:color="004D8F"/>
            </w:tcBorders>
            <w:shd w:val="clear" w:color="auto" w:fill="auto"/>
          </w:tcPr>
          <w:p w:rsidR="00BF415C" w:rsidRPr="001F36E8" w:rsidRDefault="00BF415C" w:rsidP="001F36E8">
            <w:pPr>
              <w:pStyle w:val="Heading7"/>
              <w:rPr>
                <w:sz w:val="16"/>
                <w:szCs w:val="16"/>
              </w:rPr>
            </w:pPr>
            <w:proofErr w:type="gramStart"/>
            <w:r w:rsidRPr="001F36E8">
              <w:rPr>
                <w:sz w:val="16"/>
                <w:szCs w:val="16"/>
              </w:rPr>
              <w:t>Executive  Director</w:t>
            </w:r>
            <w:proofErr w:type="gramEnd"/>
            <w:r w:rsidRPr="001F36E8">
              <w:rPr>
                <w:sz w:val="16"/>
                <w:szCs w:val="16"/>
              </w:rPr>
              <w:t xml:space="preserve">  Human Resources and Organisational  Design</w:t>
            </w:r>
          </w:p>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BF415C" w:rsidRPr="001F36E8" w:rsidRDefault="00BF415C" w:rsidP="001F36E8">
            <w:pPr>
              <w:pStyle w:val="Heading7"/>
              <w:rPr>
                <w:sz w:val="16"/>
                <w:szCs w:val="16"/>
              </w:rPr>
            </w:pPr>
          </w:p>
        </w:tc>
      </w:tr>
      <w:tr w:rsidR="00E34136" w:rsidRPr="00E34136" w:rsidTr="001F36E8">
        <w:trPr>
          <w:trHeight w:hRule="exact" w:val="571"/>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200" w:lineRule="exact"/>
              <w:ind w:left="236" w:right="142" w:hanging="107"/>
              <w:rPr>
                <w:rFonts w:ascii="Gill Sans MT" w:hAnsi="Gill Sans MT"/>
                <w:sz w:val="16"/>
                <w:szCs w:val="16"/>
              </w:rPr>
            </w:pPr>
            <w:r w:rsidRPr="001F36E8">
              <w:rPr>
                <w:rFonts w:ascii="Gill Sans MT" w:hAnsi="Gill Sans MT"/>
                <w:sz w:val="16"/>
                <w:szCs w:val="16"/>
              </w:rPr>
              <w:t xml:space="preserve">Matthew Double </w:t>
            </w:r>
            <w:r w:rsidR="00BF415C" w:rsidRPr="001F36E8">
              <w:rPr>
                <w:rFonts w:ascii="Gill Sans MT" w:hAnsi="Gill Sans MT"/>
                <w:sz w:val="16"/>
                <w:szCs w:val="16"/>
              </w:rPr>
              <w:br/>
            </w:r>
            <w:r w:rsidRPr="001F36E8">
              <w:rPr>
                <w:rFonts w:ascii="Gill Sans MT" w:hAnsi="Gill Sans MT"/>
                <w:sz w:val="16"/>
                <w:szCs w:val="16"/>
              </w:rPr>
              <w:t>(02/10/2015 - 30/06/2016)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23"/>
              <w:jc w:val="center"/>
              <w:rPr>
                <w:rFonts w:ascii="Gill Sans MT" w:hAnsi="Gill Sans MT"/>
                <w:sz w:val="16"/>
                <w:szCs w:val="16"/>
              </w:rPr>
            </w:pPr>
            <w:r w:rsidRPr="001F36E8">
              <w:rPr>
                <w:rFonts w:ascii="Gill Sans MT" w:hAnsi="Gill Sans MT"/>
                <w:sz w:val="16"/>
                <w:szCs w:val="16"/>
              </w:rPr>
              <w:t>114</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13</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11</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4</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9"/>
              <w:jc w:val="center"/>
              <w:rPr>
                <w:rFonts w:ascii="Gill Sans MT" w:hAnsi="Gill Sans MT"/>
                <w:sz w:val="16"/>
                <w:szCs w:val="16"/>
              </w:rPr>
            </w:pPr>
            <w:r w:rsidRPr="001F36E8">
              <w:rPr>
                <w:rFonts w:ascii="Gill Sans MT" w:hAnsi="Gill Sans MT"/>
                <w:sz w:val="16"/>
                <w:szCs w:val="16"/>
              </w:rPr>
              <w:t>142</w:t>
            </w:r>
          </w:p>
        </w:tc>
      </w:tr>
      <w:tr w:rsidR="00E34136" w:rsidRPr="00E34136" w:rsidTr="00933457">
        <w:trPr>
          <w:trHeight w:hRule="exact" w:val="572"/>
        </w:trPr>
        <w:tc>
          <w:tcPr>
            <w:tcW w:w="3261" w:type="dxa"/>
            <w:tcBorders>
              <w:top w:val="single" w:sz="3" w:space="0" w:color="004D8F"/>
              <w:bottom w:val="single" w:sz="3" w:space="0" w:color="004D8F"/>
            </w:tcBorders>
            <w:shd w:val="clear" w:color="auto" w:fill="auto"/>
          </w:tcPr>
          <w:p w:rsidR="00E34136" w:rsidRPr="001F36E8" w:rsidRDefault="00E34136" w:rsidP="001F36E8">
            <w:pPr>
              <w:pStyle w:val="Heading7"/>
              <w:rPr>
                <w:sz w:val="16"/>
                <w:szCs w:val="16"/>
              </w:rPr>
            </w:pPr>
            <w:r w:rsidRPr="001F36E8">
              <w:rPr>
                <w:sz w:val="16"/>
                <w:szCs w:val="16"/>
              </w:rPr>
              <w:t>Executive Director Nursing, Midwifery &amp; Allied Health</w:t>
            </w:r>
          </w:p>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r>
      <w:tr w:rsidR="00481E26" w:rsidRPr="00E34136" w:rsidTr="00933457">
        <w:trPr>
          <w:trHeight w:hRule="exact" w:val="424"/>
        </w:trPr>
        <w:tc>
          <w:tcPr>
            <w:tcW w:w="3261" w:type="dxa"/>
            <w:tcBorders>
              <w:top w:val="single" w:sz="3" w:space="0" w:color="004D8F"/>
              <w:bottom w:val="single" w:sz="3" w:space="0" w:color="004D8F"/>
            </w:tcBorders>
            <w:shd w:val="clear" w:color="auto" w:fill="auto"/>
          </w:tcPr>
          <w:p w:rsidR="00481E26" w:rsidRPr="001F36E8" w:rsidRDefault="00481E26" w:rsidP="001F36E8">
            <w:pPr>
              <w:pStyle w:val="TableParagraph"/>
              <w:spacing w:before="49" w:line="211" w:lineRule="exact"/>
              <w:ind w:left="80" w:right="142"/>
              <w:rPr>
                <w:rFonts w:ascii="Gill Sans MT" w:hAnsi="Gill Sans MT"/>
                <w:b/>
                <w:sz w:val="16"/>
                <w:szCs w:val="16"/>
              </w:rPr>
            </w:pPr>
            <w:r w:rsidRPr="001F36E8">
              <w:rPr>
                <w:rFonts w:ascii="Gill Sans MT" w:hAnsi="Gill Sans MT"/>
                <w:sz w:val="16"/>
                <w:szCs w:val="16"/>
              </w:rPr>
              <w:t>Catherine Schofield (18/04/2016 -30/06/2016)</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21</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4</w:t>
            </w:r>
          </w:p>
        </w:tc>
        <w:tc>
          <w:tcPr>
            <w:tcW w:w="1134"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ind w:right="142"/>
              <w:jc w:val="center"/>
              <w:rPr>
                <w:rFonts w:ascii="Gill Sans MT" w:hAnsi="Gill Sans MT"/>
                <w:b/>
                <w:sz w:val="16"/>
                <w:szCs w:val="16"/>
              </w:rPr>
            </w:pPr>
            <w:r w:rsidRPr="001F36E8">
              <w:rPr>
                <w:rFonts w:ascii="Gill Sans MT" w:hAnsi="Gill Sans MT"/>
                <w:sz w:val="16"/>
                <w:szCs w:val="16"/>
              </w:rPr>
              <w:t>2</w:t>
            </w:r>
          </w:p>
        </w:tc>
        <w:tc>
          <w:tcPr>
            <w:tcW w:w="1418"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27</w:t>
            </w:r>
          </w:p>
        </w:tc>
      </w:tr>
      <w:tr w:rsidR="00E34136" w:rsidRPr="00E34136" w:rsidTr="001F36E8">
        <w:trPr>
          <w:trHeight w:hRule="exact" w:val="438"/>
        </w:trPr>
        <w:tc>
          <w:tcPr>
            <w:tcW w:w="3261" w:type="dxa"/>
            <w:tcBorders>
              <w:top w:val="single" w:sz="3" w:space="0" w:color="004D8F"/>
              <w:bottom w:val="single" w:sz="3" w:space="0" w:color="004D8F"/>
            </w:tcBorders>
            <w:shd w:val="clear" w:color="auto" w:fill="auto"/>
          </w:tcPr>
          <w:p w:rsidR="00E34136" w:rsidRPr="001F36E8" w:rsidRDefault="00E34136" w:rsidP="001F36E8">
            <w:pPr>
              <w:pStyle w:val="Heading7"/>
              <w:rPr>
                <w:sz w:val="16"/>
                <w:szCs w:val="16"/>
              </w:rPr>
            </w:pPr>
            <w:r w:rsidRPr="001F36E8">
              <w:rPr>
                <w:sz w:val="16"/>
                <w:szCs w:val="16"/>
              </w:rPr>
              <w:t>Executive Director Patient Safety</w:t>
            </w:r>
          </w:p>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p w:rsidR="00E34136" w:rsidRPr="001F36E8" w:rsidRDefault="00E34136" w:rsidP="001F36E8">
            <w:pPr>
              <w:pStyle w:val="Heading7"/>
              <w:rPr>
                <w:sz w:val="16"/>
                <w:szCs w:val="16"/>
              </w:rPr>
            </w:pPr>
          </w:p>
        </w:tc>
      </w:tr>
      <w:tr w:rsidR="00481E26" w:rsidRPr="00E34136" w:rsidTr="001F36E8">
        <w:trPr>
          <w:trHeight w:hRule="exact" w:val="550"/>
        </w:trPr>
        <w:tc>
          <w:tcPr>
            <w:tcW w:w="3261" w:type="dxa"/>
            <w:tcBorders>
              <w:top w:val="single" w:sz="3" w:space="0" w:color="004D8F"/>
              <w:bottom w:val="single" w:sz="3" w:space="0" w:color="004D8F"/>
            </w:tcBorders>
            <w:shd w:val="clear" w:color="auto" w:fill="auto"/>
          </w:tcPr>
          <w:p w:rsidR="00481E26" w:rsidRPr="001F36E8" w:rsidRDefault="00481E26" w:rsidP="001F36E8">
            <w:pPr>
              <w:pStyle w:val="TableParagraph"/>
              <w:spacing w:before="49" w:line="211" w:lineRule="exact"/>
              <w:ind w:left="80" w:right="142"/>
              <w:rPr>
                <w:rFonts w:ascii="Gill Sans MT" w:hAnsi="Gill Sans MT"/>
                <w:b/>
                <w:sz w:val="16"/>
                <w:szCs w:val="16"/>
              </w:rPr>
            </w:pPr>
            <w:r w:rsidRPr="001F36E8">
              <w:rPr>
                <w:rFonts w:ascii="Gill Sans MT" w:hAnsi="Gill Sans MT"/>
                <w:sz w:val="16"/>
                <w:szCs w:val="16"/>
              </w:rPr>
              <w:t xml:space="preserve">Dr Annette Pantle </w:t>
            </w:r>
            <w:r w:rsidR="001F36E8" w:rsidRPr="001F36E8">
              <w:rPr>
                <w:rFonts w:ascii="Gill Sans MT" w:hAnsi="Gill Sans MT"/>
                <w:sz w:val="16"/>
                <w:szCs w:val="16"/>
              </w:rPr>
              <w:br/>
            </w:r>
            <w:r w:rsidRPr="001F36E8">
              <w:rPr>
                <w:rFonts w:ascii="Gill Sans MT" w:hAnsi="Gill Sans MT"/>
                <w:sz w:val="16"/>
                <w:szCs w:val="16"/>
              </w:rPr>
              <w:t>(23/05/2016 -30/06/2016)</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27</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4</w:t>
            </w:r>
          </w:p>
        </w:tc>
        <w:tc>
          <w:tcPr>
            <w:tcW w:w="1134"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ind w:right="142"/>
              <w:jc w:val="center"/>
              <w:rPr>
                <w:rFonts w:ascii="Gill Sans MT" w:hAnsi="Gill Sans MT"/>
                <w:b/>
                <w:sz w:val="16"/>
                <w:szCs w:val="16"/>
              </w:rPr>
            </w:pPr>
            <w:r w:rsidRPr="001F36E8">
              <w:rPr>
                <w:rFonts w:ascii="Gill Sans MT" w:hAnsi="Gill Sans MT"/>
                <w:sz w:val="16"/>
                <w:szCs w:val="16"/>
              </w:rPr>
              <w:t>3</w:t>
            </w:r>
          </w:p>
        </w:tc>
        <w:tc>
          <w:tcPr>
            <w:tcW w:w="1418"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481E26" w:rsidRPr="001F36E8" w:rsidRDefault="00481E26" w:rsidP="001F36E8">
            <w:pPr>
              <w:pStyle w:val="TableParagraph"/>
              <w:jc w:val="center"/>
              <w:rPr>
                <w:rFonts w:ascii="Gill Sans MT" w:hAnsi="Gill Sans MT"/>
                <w:b/>
                <w:sz w:val="16"/>
                <w:szCs w:val="16"/>
              </w:rPr>
            </w:pPr>
            <w:r w:rsidRPr="001F36E8">
              <w:rPr>
                <w:rFonts w:ascii="Gill Sans MT" w:hAnsi="Gill Sans MT"/>
                <w:sz w:val="16"/>
                <w:szCs w:val="16"/>
              </w:rPr>
              <w:t>34</w:t>
            </w:r>
          </w:p>
        </w:tc>
      </w:tr>
      <w:tr w:rsidR="001F36E8" w:rsidRPr="00E34136" w:rsidTr="00933457">
        <w:trPr>
          <w:trHeight w:hRule="exact" w:val="431"/>
        </w:trPr>
        <w:tc>
          <w:tcPr>
            <w:tcW w:w="3261" w:type="dxa"/>
            <w:tcBorders>
              <w:top w:val="single" w:sz="3" w:space="0" w:color="004D8F"/>
              <w:bottom w:val="single" w:sz="3" w:space="0" w:color="004D8F"/>
            </w:tcBorders>
            <w:shd w:val="clear" w:color="auto" w:fill="auto"/>
          </w:tcPr>
          <w:p w:rsidR="001F36E8" w:rsidRPr="001F36E8" w:rsidRDefault="001F36E8" w:rsidP="001F36E8">
            <w:pPr>
              <w:pStyle w:val="Heading7"/>
              <w:rPr>
                <w:sz w:val="16"/>
                <w:szCs w:val="16"/>
              </w:rPr>
            </w:pPr>
            <w:r w:rsidRPr="001F36E8">
              <w:rPr>
                <w:sz w:val="16"/>
                <w:szCs w:val="16"/>
              </w:rPr>
              <w:t>Executive Director Corporate Systems</w:t>
            </w: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r>
      <w:tr w:rsidR="00E34136" w:rsidRPr="00E34136" w:rsidTr="001F36E8">
        <w:trPr>
          <w:trHeight w:hRule="exact" w:val="421"/>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199" w:lineRule="exact"/>
              <w:ind w:left="80" w:right="142"/>
              <w:rPr>
                <w:rFonts w:ascii="Gill Sans MT" w:hAnsi="Gill Sans MT"/>
                <w:sz w:val="16"/>
                <w:szCs w:val="16"/>
              </w:rPr>
            </w:pPr>
            <w:r w:rsidRPr="001F36E8">
              <w:rPr>
                <w:rFonts w:ascii="Gill Sans MT" w:hAnsi="Gill Sans MT"/>
                <w:sz w:val="16"/>
                <w:szCs w:val="16"/>
              </w:rPr>
              <w:t>Scott Adams</w:t>
            </w:r>
          </w:p>
          <w:p w:rsidR="00E34136" w:rsidRPr="001F36E8" w:rsidRDefault="00E34136" w:rsidP="001F36E8">
            <w:pPr>
              <w:pStyle w:val="TableParagraph"/>
              <w:spacing w:line="235" w:lineRule="auto"/>
              <w:ind w:left="237" w:right="142" w:hanging="107"/>
              <w:rPr>
                <w:rFonts w:ascii="Gill Sans MT" w:hAnsi="Gill Sans MT"/>
                <w:sz w:val="16"/>
                <w:szCs w:val="16"/>
              </w:rPr>
            </w:pPr>
            <w:r w:rsidRPr="001F36E8">
              <w:rPr>
                <w:rFonts w:ascii="Gill Sans MT" w:hAnsi="Gill Sans MT"/>
                <w:sz w:val="16"/>
                <w:szCs w:val="16"/>
              </w:rPr>
              <w:t>(18/04/2016 - 30/06/2016)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24"/>
              <w:jc w:val="center"/>
              <w:rPr>
                <w:rFonts w:ascii="Gill Sans MT" w:hAnsi="Gill Sans MT"/>
                <w:sz w:val="16"/>
                <w:szCs w:val="16"/>
              </w:rPr>
            </w:pPr>
            <w:r w:rsidRPr="001F36E8">
              <w:rPr>
                <w:rFonts w:ascii="Gill Sans MT" w:hAnsi="Gill Sans MT"/>
                <w:sz w:val="16"/>
                <w:szCs w:val="16"/>
              </w:rPr>
              <w:t>30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5"/>
              <w:jc w:val="center"/>
              <w:rPr>
                <w:rFonts w:ascii="Gill Sans MT" w:hAnsi="Gill Sans MT"/>
                <w:sz w:val="16"/>
                <w:szCs w:val="16"/>
              </w:rPr>
            </w:pPr>
            <w:r w:rsidRPr="001F36E8">
              <w:rPr>
                <w:rFonts w:ascii="Gill Sans MT" w:hAnsi="Gill Sans MT"/>
                <w:sz w:val="16"/>
                <w:szCs w:val="16"/>
              </w:rPr>
              <w:t>7</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3</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40</w:t>
            </w:r>
          </w:p>
        </w:tc>
      </w:tr>
      <w:tr w:rsidR="001F36E8" w:rsidRPr="00E34136" w:rsidTr="001F36E8">
        <w:trPr>
          <w:trHeight w:hRule="exact" w:val="440"/>
        </w:trPr>
        <w:tc>
          <w:tcPr>
            <w:tcW w:w="3261" w:type="dxa"/>
            <w:tcBorders>
              <w:top w:val="single" w:sz="3" w:space="0" w:color="004D8F"/>
              <w:bottom w:val="single" w:sz="3" w:space="0" w:color="004D8F"/>
            </w:tcBorders>
            <w:shd w:val="clear" w:color="auto" w:fill="auto"/>
          </w:tcPr>
          <w:p w:rsidR="001F36E8" w:rsidRPr="001F36E8" w:rsidRDefault="001F36E8" w:rsidP="001F36E8">
            <w:pPr>
              <w:pStyle w:val="Heading7"/>
              <w:rPr>
                <w:sz w:val="16"/>
                <w:szCs w:val="16"/>
              </w:rPr>
            </w:pPr>
            <w:r w:rsidRPr="001F36E8">
              <w:rPr>
                <w:sz w:val="16"/>
                <w:szCs w:val="16"/>
              </w:rPr>
              <w:t>Executive Director of Services</w:t>
            </w: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418"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1134"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c>
          <w:tcPr>
            <w:tcW w:w="992" w:type="dxa"/>
            <w:tcBorders>
              <w:top w:val="single" w:sz="3" w:space="0" w:color="004D8F"/>
              <w:bottom w:val="single" w:sz="3" w:space="0" w:color="004D8F"/>
            </w:tcBorders>
            <w:shd w:val="clear" w:color="auto" w:fill="auto"/>
            <w:vAlign w:val="center"/>
          </w:tcPr>
          <w:p w:rsidR="001F36E8" w:rsidRPr="001F36E8" w:rsidRDefault="001F36E8" w:rsidP="001F36E8">
            <w:pPr>
              <w:pStyle w:val="Heading7"/>
              <w:rPr>
                <w:sz w:val="16"/>
                <w:szCs w:val="16"/>
              </w:rPr>
            </w:pPr>
          </w:p>
        </w:tc>
      </w:tr>
      <w:tr w:rsidR="00E34136" w:rsidRPr="00E34136" w:rsidTr="001F36E8">
        <w:trPr>
          <w:trHeight w:hRule="exact" w:val="440"/>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19" w:line="200" w:lineRule="exact"/>
              <w:ind w:left="237" w:right="142" w:hanging="107"/>
              <w:rPr>
                <w:rFonts w:ascii="Gill Sans MT" w:hAnsi="Gill Sans MT"/>
                <w:sz w:val="16"/>
                <w:szCs w:val="16"/>
              </w:rPr>
            </w:pPr>
            <w:r w:rsidRPr="001F36E8">
              <w:rPr>
                <w:rFonts w:ascii="Gill Sans MT" w:hAnsi="Gill Sans MT"/>
                <w:sz w:val="16"/>
                <w:szCs w:val="16"/>
              </w:rPr>
              <w:t xml:space="preserve">Craig Watson </w:t>
            </w:r>
            <w:r w:rsidR="001F36E8" w:rsidRPr="001F36E8">
              <w:rPr>
                <w:rFonts w:ascii="Gill Sans MT" w:hAnsi="Gill Sans MT"/>
                <w:sz w:val="16"/>
                <w:szCs w:val="16"/>
              </w:rPr>
              <w:br/>
            </w:r>
            <w:r w:rsidRPr="001F36E8">
              <w:rPr>
                <w:rFonts w:ascii="Gill Sans MT" w:hAnsi="Gill Sans MT"/>
                <w:sz w:val="16"/>
                <w:szCs w:val="16"/>
              </w:rPr>
              <w:t>(South, 01/07/2015 - 17/04/2016)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23"/>
              <w:jc w:val="center"/>
              <w:rPr>
                <w:rFonts w:ascii="Gill Sans MT" w:hAnsi="Gill Sans MT"/>
                <w:sz w:val="16"/>
                <w:szCs w:val="16"/>
              </w:rPr>
            </w:pPr>
            <w:r w:rsidRPr="001F36E8">
              <w:rPr>
                <w:rFonts w:ascii="Gill Sans MT" w:hAnsi="Gill Sans MT"/>
                <w:sz w:val="16"/>
                <w:szCs w:val="16"/>
              </w:rPr>
              <w:t>212</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6"/>
              <w:jc w:val="center"/>
              <w:rPr>
                <w:rFonts w:ascii="Gill Sans MT" w:hAnsi="Gill Sans MT"/>
                <w:sz w:val="16"/>
                <w:szCs w:val="16"/>
              </w:rPr>
            </w:pPr>
            <w:r w:rsidRPr="001F36E8">
              <w:rPr>
                <w:rFonts w:ascii="Gill Sans MT" w:hAnsi="Gill Sans MT"/>
                <w:sz w:val="16"/>
                <w:szCs w:val="16"/>
              </w:rPr>
              <w:t>18</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20</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-6</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245</w:t>
            </w:r>
          </w:p>
        </w:tc>
      </w:tr>
      <w:tr w:rsidR="00E34136" w:rsidRPr="00E34136" w:rsidTr="001F36E8">
        <w:trPr>
          <w:trHeight w:hRule="exact" w:val="440"/>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19" w:line="200" w:lineRule="exact"/>
              <w:ind w:left="237" w:right="142" w:hanging="107"/>
              <w:rPr>
                <w:rFonts w:ascii="Gill Sans MT" w:hAnsi="Gill Sans MT"/>
                <w:sz w:val="16"/>
                <w:szCs w:val="16"/>
              </w:rPr>
            </w:pPr>
            <w:r w:rsidRPr="001F36E8">
              <w:rPr>
                <w:rFonts w:ascii="Gill Sans MT" w:hAnsi="Gill Sans MT"/>
                <w:sz w:val="16"/>
                <w:szCs w:val="16"/>
              </w:rPr>
              <w:t>Sonia Purse</w:t>
            </w:r>
            <w:r w:rsidR="001F36E8" w:rsidRPr="001F36E8">
              <w:rPr>
                <w:rFonts w:ascii="Gill Sans MT" w:hAnsi="Gill Sans MT"/>
                <w:sz w:val="16"/>
                <w:szCs w:val="16"/>
              </w:rPr>
              <w:br/>
            </w:r>
            <w:r w:rsidRPr="001F36E8">
              <w:rPr>
                <w:rFonts w:ascii="Gill Sans MT" w:hAnsi="Gill Sans MT"/>
                <w:sz w:val="16"/>
                <w:szCs w:val="16"/>
              </w:rPr>
              <w:t>(North, 01/07/2015 - 18/04/2016)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2"/>
              <w:jc w:val="center"/>
              <w:rPr>
                <w:rFonts w:ascii="Gill Sans MT" w:hAnsi="Gill Sans MT"/>
                <w:sz w:val="16"/>
                <w:szCs w:val="16"/>
              </w:rPr>
            </w:pPr>
            <w:r w:rsidRPr="001F36E8">
              <w:rPr>
                <w:rFonts w:ascii="Gill Sans MT" w:hAnsi="Gill Sans MT"/>
                <w:sz w:val="16"/>
                <w:szCs w:val="16"/>
              </w:rPr>
              <w:t>217</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19</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21</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3</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6"/>
              <w:jc w:val="center"/>
              <w:rPr>
                <w:rFonts w:ascii="Gill Sans MT" w:hAnsi="Gill Sans MT"/>
                <w:sz w:val="16"/>
                <w:szCs w:val="16"/>
              </w:rPr>
            </w:pPr>
            <w:r w:rsidRPr="001F36E8">
              <w:rPr>
                <w:rFonts w:ascii="Gill Sans MT" w:hAnsi="Gill Sans MT"/>
                <w:sz w:val="16"/>
                <w:szCs w:val="16"/>
              </w:rPr>
              <w:t>260</w:t>
            </w:r>
          </w:p>
        </w:tc>
      </w:tr>
      <w:tr w:rsidR="00E34136" w:rsidRPr="00E34136" w:rsidTr="001F36E8">
        <w:trPr>
          <w:trHeight w:hRule="exact" w:val="440"/>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19" w:line="200" w:lineRule="exact"/>
              <w:ind w:left="237" w:right="142" w:hanging="107"/>
              <w:rPr>
                <w:rFonts w:ascii="Gill Sans MT" w:hAnsi="Gill Sans MT"/>
                <w:sz w:val="16"/>
                <w:szCs w:val="16"/>
              </w:rPr>
            </w:pPr>
            <w:r w:rsidRPr="001F36E8">
              <w:rPr>
                <w:rFonts w:ascii="Gill Sans MT" w:hAnsi="Gill Sans MT"/>
                <w:sz w:val="16"/>
                <w:szCs w:val="16"/>
              </w:rPr>
              <w:t xml:space="preserve">Dr Anne Brand </w:t>
            </w:r>
            <w:r w:rsidR="00933457">
              <w:rPr>
                <w:rFonts w:ascii="Gill Sans MT" w:hAnsi="Gill Sans MT"/>
                <w:sz w:val="16"/>
                <w:szCs w:val="16"/>
              </w:rPr>
              <w:br/>
            </w:r>
            <w:r w:rsidRPr="001F36E8">
              <w:rPr>
                <w:rFonts w:ascii="Gill Sans MT" w:hAnsi="Gill Sans MT"/>
                <w:sz w:val="16"/>
                <w:szCs w:val="16"/>
              </w:rPr>
              <w:t>(North West, 01/07/2015 - 12/07/2015)</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22"/>
              <w:jc w:val="center"/>
              <w:rPr>
                <w:rFonts w:ascii="Gill Sans MT" w:hAnsi="Gill Sans MT"/>
                <w:sz w:val="16"/>
                <w:szCs w:val="16"/>
              </w:rPr>
            </w:pPr>
            <w:r w:rsidRPr="001F36E8">
              <w:rPr>
                <w:rFonts w:ascii="Gill Sans MT" w:hAnsi="Gill Sans MT"/>
                <w:sz w:val="16"/>
                <w:szCs w:val="16"/>
              </w:rPr>
              <w:t>8</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5</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1</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14</w:t>
            </w:r>
          </w:p>
        </w:tc>
      </w:tr>
      <w:tr w:rsidR="00E34136" w:rsidRPr="00E34136" w:rsidTr="001F36E8">
        <w:trPr>
          <w:trHeight w:hRule="exact" w:val="440"/>
        </w:trPr>
        <w:tc>
          <w:tcPr>
            <w:tcW w:w="3261" w:type="dxa"/>
            <w:tcBorders>
              <w:top w:val="single" w:sz="3" w:space="0" w:color="004D8F"/>
              <w:bottom w:val="single" w:sz="3" w:space="0" w:color="004D8F"/>
            </w:tcBorders>
            <w:shd w:val="clear" w:color="auto" w:fill="auto"/>
          </w:tcPr>
          <w:p w:rsidR="00E34136" w:rsidRPr="001F36E8" w:rsidRDefault="00E34136" w:rsidP="00933457">
            <w:pPr>
              <w:pStyle w:val="TableParagraph"/>
              <w:spacing w:before="19" w:line="200" w:lineRule="exact"/>
              <w:ind w:left="237" w:right="142" w:hanging="107"/>
              <w:rPr>
                <w:rFonts w:ascii="Gill Sans MT" w:hAnsi="Gill Sans MT"/>
                <w:sz w:val="16"/>
                <w:szCs w:val="16"/>
              </w:rPr>
            </w:pPr>
            <w:r w:rsidRPr="001F36E8">
              <w:rPr>
                <w:rFonts w:ascii="Gill Sans MT" w:hAnsi="Gill Sans MT"/>
                <w:sz w:val="16"/>
                <w:szCs w:val="16"/>
              </w:rPr>
              <w:t xml:space="preserve">Pat Martin </w:t>
            </w:r>
            <w:r w:rsidR="00933457">
              <w:rPr>
                <w:rFonts w:ascii="Gill Sans MT" w:hAnsi="Gill Sans MT"/>
                <w:sz w:val="16"/>
                <w:szCs w:val="16"/>
              </w:rPr>
              <w:br/>
            </w:r>
            <w:r w:rsidRPr="001F36E8">
              <w:rPr>
                <w:rFonts w:ascii="Gill Sans MT" w:hAnsi="Gill Sans MT"/>
                <w:sz w:val="16"/>
                <w:szCs w:val="16"/>
              </w:rPr>
              <w:t>(North West, 13/07/2015 - 31/10/2015)</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21"/>
              <w:jc w:val="center"/>
              <w:rPr>
                <w:rFonts w:ascii="Gill Sans MT" w:hAnsi="Gill Sans MT"/>
                <w:sz w:val="16"/>
                <w:szCs w:val="16"/>
              </w:rPr>
            </w:pPr>
            <w:r w:rsidRPr="001F36E8">
              <w:rPr>
                <w:rFonts w:ascii="Gill Sans MT" w:hAnsi="Gill Sans MT"/>
                <w:sz w:val="16"/>
                <w:szCs w:val="16"/>
              </w:rPr>
              <w:t>61</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34</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8</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sz w:val="16"/>
                <w:szCs w:val="16"/>
              </w:rPr>
              <w:t>2</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3"/>
              <w:jc w:val="center"/>
              <w:rPr>
                <w:rFonts w:ascii="Gill Sans MT" w:hAnsi="Gill Sans MT"/>
                <w:sz w:val="16"/>
                <w:szCs w:val="16"/>
              </w:rPr>
            </w:pPr>
            <w:r w:rsidRPr="001F36E8">
              <w:rPr>
                <w:rFonts w:ascii="Gill Sans MT" w:hAnsi="Gill Sans MT"/>
                <w:sz w:val="16"/>
                <w:szCs w:val="16"/>
              </w:rPr>
              <w:t>105</w:t>
            </w:r>
          </w:p>
        </w:tc>
      </w:tr>
      <w:tr w:rsidR="00E34136" w:rsidRPr="00E34136" w:rsidTr="001F36E8">
        <w:trPr>
          <w:trHeight w:hRule="exact" w:val="440"/>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19" w:line="200" w:lineRule="exact"/>
              <w:ind w:left="237" w:right="142" w:hanging="107"/>
              <w:rPr>
                <w:rFonts w:ascii="Gill Sans MT" w:hAnsi="Gill Sans MT"/>
                <w:sz w:val="16"/>
                <w:szCs w:val="16"/>
              </w:rPr>
            </w:pPr>
            <w:r w:rsidRPr="001F36E8">
              <w:rPr>
                <w:rFonts w:ascii="Gill Sans MT" w:hAnsi="Gill Sans MT"/>
                <w:sz w:val="16"/>
                <w:szCs w:val="16"/>
              </w:rPr>
              <w:t>Sue Wyeth</w:t>
            </w:r>
            <w:r w:rsidR="00933457">
              <w:rPr>
                <w:rFonts w:ascii="Gill Sans MT" w:hAnsi="Gill Sans MT"/>
                <w:sz w:val="16"/>
                <w:szCs w:val="16"/>
              </w:rPr>
              <w:br/>
            </w:r>
            <w:r w:rsidRPr="001F36E8">
              <w:rPr>
                <w:rFonts w:ascii="Gill Sans MT" w:hAnsi="Gill Sans MT"/>
                <w:sz w:val="16"/>
                <w:szCs w:val="16"/>
              </w:rPr>
              <w:t xml:space="preserve"> (North West,</w:t>
            </w:r>
            <w:r w:rsidR="001F36E8" w:rsidRPr="001F36E8">
              <w:rPr>
                <w:rFonts w:ascii="Gill Sans MT" w:hAnsi="Gill Sans MT"/>
                <w:sz w:val="16"/>
                <w:szCs w:val="16"/>
              </w:rPr>
              <w:br/>
            </w:r>
            <w:r w:rsidRPr="001F36E8">
              <w:rPr>
                <w:rFonts w:ascii="Gill Sans MT" w:hAnsi="Gill Sans MT"/>
                <w:sz w:val="16"/>
                <w:szCs w:val="16"/>
              </w:rPr>
              <w:t xml:space="preserve"> 09/11/2015 - 03/01/2016)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3"/>
              <w:jc w:val="center"/>
              <w:rPr>
                <w:rFonts w:ascii="Gill Sans MT" w:hAnsi="Gill Sans MT"/>
                <w:sz w:val="16"/>
                <w:szCs w:val="16"/>
              </w:rPr>
            </w:pPr>
            <w:r w:rsidRPr="001F36E8">
              <w:rPr>
                <w:rFonts w:ascii="Gill Sans MT" w:hAnsi="Gill Sans MT"/>
                <w:sz w:val="16"/>
                <w:szCs w:val="16"/>
              </w:rPr>
              <w:t>41</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6"/>
              <w:jc w:val="center"/>
              <w:rPr>
                <w:rFonts w:ascii="Gill Sans MT" w:hAnsi="Gill Sans MT"/>
                <w:sz w:val="16"/>
                <w:szCs w:val="16"/>
              </w:rPr>
            </w:pPr>
            <w:r w:rsidRPr="001F36E8">
              <w:rPr>
                <w:rFonts w:ascii="Gill Sans MT" w:hAnsi="Gill Sans MT"/>
                <w:sz w:val="16"/>
                <w:szCs w:val="16"/>
              </w:rPr>
              <w:t>1</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sz w:val="16"/>
                <w:szCs w:val="16"/>
              </w:rPr>
              <w:t>4</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6"/>
              <w:jc w:val="center"/>
              <w:rPr>
                <w:rFonts w:ascii="Gill Sans MT" w:hAnsi="Gill Sans MT"/>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6"/>
              <w:jc w:val="center"/>
              <w:rPr>
                <w:rFonts w:ascii="Gill Sans MT" w:hAnsi="Gill Sans MT"/>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6"/>
              <w:jc w:val="center"/>
              <w:rPr>
                <w:rFonts w:ascii="Gill Sans MT" w:hAnsi="Gill Sans MT"/>
                <w:sz w:val="16"/>
                <w:szCs w:val="16"/>
              </w:rPr>
            </w:pPr>
            <w:r w:rsidRPr="001F36E8">
              <w:rPr>
                <w:rFonts w:ascii="Gill Sans MT" w:hAnsi="Gill Sans MT"/>
                <w:sz w:val="16"/>
                <w:szCs w:val="16"/>
              </w:rPr>
              <w:t>46</w:t>
            </w:r>
          </w:p>
        </w:tc>
      </w:tr>
      <w:tr w:rsidR="00E34136" w:rsidRPr="00E34136" w:rsidTr="001F36E8">
        <w:trPr>
          <w:trHeight w:hRule="exact" w:val="480"/>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before="59" w:line="200" w:lineRule="exact"/>
              <w:ind w:left="81" w:right="142"/>
              <w:rPr>
                <w:rFonts w:ascii="Gill Sans MT" w:hAnsi="Gill Sans MT"/>
                <w:b/>
                <w:sz w:val="16"/>
                <w:szCs w:val="16"/>
              </w:rPr>
            </w:pPr>
            <w:r w:rsidRPr="001F36E8">
              <w:rPr>
                <w:rFonts w:ascii="Gill Sans MT" w:hAnsi="Gill Sans MT"/>
                <w:sz w:val="16"/>
                <w:szCs w:val="16"/>
              </w:rPr>
              <w:t xml:space="preserve">Dr Annette Pantle </w:t>
            </w:r>
            <w:r w:rsidR="00933457">
              <w:rPr>
                <w:rFonts w:ascii="Gill Sans MT" w:hAnsi="Gill Sans MT"/>
                <w:sz w:val="16"/>
                <w:szCs w:val="16"/>
              </w:rPr>
              <w:br/>
            </w:r>
            <w:r w:rsidRPr="001F36E8">
              <w:rPr>
                <w:rFonts w:ascii="Gill Sans MT" w:hAnsi="Gill Sans MT"/>
                <w:sz w:val="16"/>
                <w:szCs w:val="16"/>
              </w:rPr>
              <w:t>(North West, 04/01/2016 -22/05/2016)</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2"/>
              <w:jc w:val="center"/>
              <w:rPr>
                <w:rFonts w:ascii="Gill Sans MT" w:hAnsi="Gill Sans MT"/>
                <w:b/>
                <w:sz w:val="16"/>
                <w:szCs w:val="16"/>
              </w:rPr>
            </w:pPr>
            <w:r w:rsidRPr="001F36E8">
              <w:rPr>
                <w:rFonts w:ascii="Gill Sans MT" w:hAnsi="Gill Sans MT"/>
                <w:sz w:val="16"/>
                <w:szCs w:val="16"/>
              </w:rPr>
              <w:t>97</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6"/>
              <w:jc w:val="center"/>
              <w:rPr>
                <w:rFonts w:ascii="Gill Sans MT" w:hAnsi="Gill Sans MT"/>
                <w:b/>
                <w:sz w:val="16"/>
                <w:szCs w:val="16"/>
              </w:rPr>
            </w:pPr>
            <w:r w:rsidRPr="001F36E8">
              <w:rPr>
                <w:rFonts w:ascii="Gill Sans MT" w:hAnsi="Gill Sans MT"/>
                <w:sz w:val="16"/>
                <w:szCs w:val="16"/>
              </w:rPr>
              <w:t>14</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b/>
                <w:sz w:val="16"/>
                <w:szCs w:val="16"/>
              </w:rPr>
            </w:pPr>
            <w:r w:rsidRPr="001F36E8">
              <w:rPr>
                <w:rFonts w:ascii="Gill Sans MT" w:hAnsi="Gill Sans MT"/>
                <w:sz w:val="16"/>
                <w:szCs w:val="16"/>
              </w:rPr>
              <w:t>10</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b/>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83"/>
              <w:jc w:val="center"/>
              <w:rPr>
                <w:rFonts w:ascii="Gill Sans MT" w:hAnsi="Gill Sans MT"/>
                <w:b/>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b/>
                <w:sz w:val="16"/>
                <w:szCs w:val="16"/>
              </w:rPr>
            </w:pPr>
            <w:r w:rsidRPr="001F36E8">
              <w:rPr>
                <w:rFonts w:ascii="Gill Sans MT" w:hAnsi="Gill Sans MT"/>
                <w:sz w:val="16"/>
                <w:szCs w:val="16"/>
              </w:rPr>
              <w:t>120</w:t>
            </w:r>
          </w:p>
        </w:tc>
      </w:tr>
      <w:tr w:rsidR="00E34136" w:rsidRPr="00E34136" w:rsidTr="001F36E8">
        <w:trPr>
          <w:trHeight w:hRule="exact" w:val="558"/>
        </w:trPr>
        <w:tc>
          <w:tcPr>
            <w:tcW w:w="3261" w:type="dxa"/>
            <w:tcBorders>
              <w:top w:val="single" w:sz="3" w:space="0" w:color="004D8F"/>
              <w:bottom w:val="single" w:sz="3" w:space="0" w:color="004D8F"/>
            </w:tcBorders>
            <w:shd w:val="clear" w:color="auto" w:fill="auto"/>
          </w:tcPr>
          <w:p w:rsidR="00E34136" w:rsidRPr="001F36E8" w:rsidRDefault="00E34136" w:rsidP="001F36E8">
            <w:pPr>
              <w:pStyle w:val="TableParagraph"/>
              <w:spacing w:line="201" w:lineRule="exact"/>
              <w:ind w:left="187" w:right="142"/>
              <w:rPr>
                <w:rFonts w:ascii="Gill Sans MT" w:hAnsi="Gill Sans MT"/>
                <w:sz w:val="16"/>
                <w:szCs w:val="16"/>
              </w:rPr>
            </w:pPr>
            <w:r w:rsidRPr="001F36E8">
              <w:rPr>
                <w:rFonts w:ascii="Gill Sans MT" w:hAnsi="Gill Sans MT"/>
                <w:b/>
                <w:sz w:val="16"/>
                <w:szCs w:val="16"/>
              </w:rPr>
              <w:t>Total Executive Management Remuneration</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4"/>
              <w:jc w:val="center"/>
              <w:rPr>
                <w:rFonts w:ascii="Gill Sans MT" w:hAnsi="Gill Sans MT"/>
                <w:sz w:val="16"/>
                <w:szCs w:val="16"/>
              </w:rPr>
            </w:pPr>
            <w:r w:rsidRPr="001F36E8">
              <w:rPr>
                <w:rFonts w:ascii="Gill Sans MT" w:hAnsi="Gill Sans MT"/>
                <w:b/>
                <w:sz w:val="16"/>
                <w:szCs w:val="16"/>
              </w:rPr>
              <w:t>1 259</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b/>
                <w:sz w:val="16"/>
                <w:szCs w:val="16"/>
              </w:rPr>
              <w:t>235</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sz w:val="16"/>
                <w:szCs w:val="16"/>
              </w:rPr>
            </w:pPr>
            <w:r w:rsidRPr="001F36E8">
              <w:rPr>
                <w:rFonts w:ascii="Gill Sans MT" w:hAnsi="Gill Sans MT"/>
                <w:b/>
                <w:sz w:val="16"/>
                <w:szCs w:val="16"/>
              </w:rPr>
              <w:t>131</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b/>
                <w:sz w:val="16"/>
                <w:szCs w:val="16"/>
              </w:rPr>
              <w:t>4</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sz w:val="16"/>
                <w:szCs w:val="16"/>
              </w:rPr>
            </w:pPr>
            <w:r w:rsidRPr="001F36E8">
              <w:rPr>
                <w:rFonts w:ascii="Gill Sans MT" w:hAnsi="Gill Sans MT"/>
                <w:b/>
                <w:sz w:val="16"/>
                <w:szCs w:val="16"/>
              </w:rPr>
              <w:t>11</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76"/>
              <w:jc w:val="center"/>
              <w:rPr>
                <w:rFonts w:ascii="Gill Sans MT" w:hAnsi="Gill Sans MT"/>
                <w:sz w:val="16"/>
                <w:szCs w:val="16"/>
              </w:rPr>
            </w:pPr>
            <w:r w:rsidRPr="001F36E8">
              <w:rPr>
                <w:rFonts w:ascii="Gill Sans MT" w:hAnsi="Gill Sans MT"/>
                <w:b/>
                <w:sz w:val="16"/>
                <w:szCs w:val="16"/>
              </w:rPr>
              <w:t>1 640</w:t>
            </w:r>
          </w:p>
        </w:tc>
      </w:tr>
      <w:tr w:rsidR="00E34136" w:rsidRPr="00E34136" w:rsidTr="00933457">
        <w:trPr>
          <w:trHeight w:hRule="exact" w:val="634"/>
        </w:trPr>
        <w:tc>
          <w:tcPr>
            <w:tcW w:w="3261" w:type="dxa"/>
            <w:tcBorders>
              <w:top w:val="single" w:sz="3" w:space="0" w:color="004D8F"/>
              <w:bottom w:val="single" w:sz="3" w:space="0" w:color="004D8F"/>
            </w:tcBorders>
            <w:shd w:val="clear" w:color="auto" w:fill="auto"/>
          </w:tcPr>
          <w:p w:rsidR="00E34136" w:rsidRPr="001F36E8" w:rsidRDefault="00E34136" w:rsidP="00BF415C">
            <w:pPr>
              <w:pStyle w:val="TableParagraph"/>
              <w:spacing w:before="49" w:line="211" w:lineRule="exact"/>
              <w:ind w:left="80" w:right="284"/>
              <w:rPr>
                <w:rFonts w:ascii="Gill Sans MT" w:hAnsi="Gill Sans MT"/>
                <w:b/>
                <w:i/>
                <w:sz w:val="16"/>
                <w:szCs w:val="16"/>
              </w:rPr>
            </w:pPr>
            <w:r w:rsidRPr="001F36E8">
              <w:rPr>
                <w:rFonts w:ascii="Gill Sans MT" w:hAnsi="Gill Sans MT"/>
                <w:b/>
                <w:i/>
                <w:sz w:val="16"/>
                <w:szCs w:val="16"/>
              </w:rPr>
              <w:t>Acting Key management personnel</w:t>
            </w:r>
          </w:p>
          <w:p w:rsidR="00E34136" w:rsidRPr="001F36E8" w:rsidRDefault="00E34136" w:rsidP="00BF415C">
            <w:pPr>
              <w:pStyle w:val="TableParagraph"/>
              <w:spacing w:line="235" w:lineRule="auto"/>
              <w:ind w:left="187" w:right="284" w:hanging="107"/>
              <w:rPr>
                <w:rFonts w:ascii="Gill Sans MT" w:hAnsi="Gill Sans MT"/>
                <w:sz w:val="16"/>
                <w:szCs w:val="16"/>
              </w:rPr>
            </w:pPr>
            <w:r w:rsidRPr="001F36E8">
              <w:rPr>
                <w:rFonts w:ascii="Gill Sans MT" w:hAnsi="Gill Sans MT"/>
                <w:sz w:val="16"/>
                <w:szCs w:val="16"/>
              </w:rPr>
              <w:t>- Adrianne Belchamber (Executive Director of Services, South, 28/09/2015</w:t>
            </w:r>
          </w:p>
          <w:p w:rsidR="00E34136" w:rsidRPr="001F36E8" w:rsidRDefault="00E34136" w:rsidP="00BF415C">
            <w:pPr>
              <w:pStyle w:val="TableParagraph"/>
              <w:spacing w:before="59" w:line="200" w:lineRule="exact"/>
              <w:ind w:left="80" w:right="284"/>
              <w:rPr>
                <w:rFonts w:ascii="Gill Sans MT" w:hAnsi="Gill Sans MT"/>
                <w:b/>
                <w:sz w:val="16"/>
                <w:szCs w:val="16"/>
              </w:rPr>
            </w:pPr>
            <w:r w:rsidRPr="001F36E8">
              <w:rPr>
                <w:rFonts w:ascii="Gill Sans MT" w:hAnsi="Gill Sans MT"/>
                <w:sz w:val="16"/>
                <w:szCs w:val="16"/>
              </w:rPr>
              <w:t>- 13/11/2015)</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313"/>
              <w:jc w:val="center"/>
              <w:rPr>
                <w:rFonts w:ascii="Gill Sans MT" w:hAnsi="Gill Sans MT"/>
                <w:b/>
                <w:sz w:val="16"/>
                <w:szCs w:val="16"/>
              </w:rPr>
            </w:pPr>
            <w:r w:rsidRPr="001F36E8">
              <w:rPr>
                <w:rFonts w:ascii="Gill Sans MT" w:hAnsi="Gill Sans MT"/>
                <w:sz w:val="16"/>
                <w:szCs w:val="16"/>
              </w:rPr>
              <w:t>27</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b/>
                <w:sz w:val="16"/>
                <w:szCs w:val="16"/>
              </w:rPr>
            </w:pPr>
            <w:r w:rsidRPr="001F36E8">
              <w:rPr>
                <w:rFonts w:ascii="Gill Sans MT" w:hAnsi="Gill Sans MT"/>
                <w:sz w:val="16"/>
                <w:szCs w:val="16"/>
              </w:rPr>
              <w:t>2</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42"/>
              <w:jc w:val="center"/>
              <w:rPr>
                <w:rFonts w:ascii="Gill Sans MT" w:hAnsi="Gill Sans MT"/>
                <w:b/>
                <w:sz w:val="16"/>
                <w:szCs w:val="16"/>
              </w:rPr>
            </w:pPr>
            <w:r w:rsidRPr="001F36E8">
              <w:rPr>
                <w:rFonts w:ascii="Gill Sans MT" w:hAnsi="Gill Sans MT"/>
                <w:sz w:val="16"/>
                <w:szCs w:val="16"/>
              </w:rPr>
              <w:t>3</w:t>
            </w:r>
          </w:p>
        </w:tc>
        <w:tc>
          <w:tcPr>
            <w:tcW w:w="1418"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b/>
                <w:sz w:val="16"/>
                <w:szCs w:val="16"/>
              </w:rPr>
            </w:pPr>
            <w:r w:rsidRPr="001F36E8">
              <w:rPr>
                <w:rFonts w:ascii="Gill Sans MT" w:hAnsi="Gill Sans MT"/>
                <w:sz w:val="16"/>
                <w:szCs w:val="16"/>
              </w:rPr>
              <w:t>0</w:t>
            </w:r>
          </w:p>
        </w:tc>
        <w:tc>
          <w:tcPr>
            <w:tcW w:w="1134"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84"/>
              <w:jc w:val="center"/>
              <w:rPr>
                <w:rFonts w:ascii="Gill Sans MT" w:hAnsi="Gill Sans MT"/>
                <w:b/>
                <w:sz w:val="16"/>
                <w:szCs w:val="16"/>
              </w:rPr>
            </w:pPr>
            <w:r w:rsidRPr="001F36E8">
              <w:rPr>
                <w:rFonts w:ascii="Gill Sans MT" w:hAnsi="Gill Sans MT"/>
                <w:sz w:val="16"/>
                <w:szCs w:val="16"/>
              </w:rPr>
              <w:t>0</w:t>
            </w:r>
          </w:p>
        </w:tc>
        <w:tc>
          <w:tcPr>
            <w:tcW w:w="992" w:type="dxa"/>
            <w:tcBorders>
              <w:top w:val="single" w:sz="3" w:space="0" w:color="004D8F"/>
              <w:bottom w:val="single" w:sz="3" w:space="0" w:color="004D8F"/>
            </w:tcBorders>
            <w:shd w:val="clear" w:color="auto" w:fill="auto"/>
            <w:vAlign w:val="center"/>
          </w:tcPr>
          <w:p w:rsidR="00E34136" w:rsidRPr="001F36E8" w:rsidRDefault="00E34136" w:rsidP="001F36E8">
            <w:pPr>
              <w:pStyle w:val="TableParagraph"/>
              <w:ind w:right="167"/>
              <w:jc w:val="center"/>
              <w:rPr>
                <w:rFonts w:ascii="Gill Sans MT" w:hAnsi="Gill Sans MT"/>
                <w:b/>
                <w:sz w:val="16"/>
                <w:szCs w:val="16"/>
              </w:rPr>
            </w:pPr>
            <w:r w:rsidRPr="001F36E8">
              <w:rPr>
                <w:rFonts w:ascii="Gill Sans MT" w:hAnsi="Gill Sans MT"/>
                <w:sz w:val="16"/>
                <w:szCs w:val="16"/>
              </w:rPr>
              <w:t>31</w:t>
            </w:r>
          </w:p>
        </w:tc>
      </w:tr>
      <w:tr w:rsidR="00E34136" w:rsidRPr="00E34136" w:rsidTr="001F36E8">
        <w:trPr>
          <w:trHeight w:hRule="exact" w:val="480"/>
        </w:trPr>
        <w:tc>
          <w:tcPr>
            <w:tcW w:w="3261" w:type="dxa"/>
            <w:tcBorders>
              <w:top w:val="single" w:sz="3" w:space="0" w:color="004D8F"/>
              <w:bottom w:val="single" w:sz="4" w:space="0" w:color="004D8F"/>
            </w:tcBorders>
            <w:shd w:val="clear" w:color="auto" w:fill="auto"/>
          </w:tcPr>
          <w:p w:rsidR="00E34136" w:rsidRPr="001F36E8" w:rsidRDefault="00E34136" w:rsidP="00BF415C">
            <w:pPr>
              <w:pStyle w:val="TableParagraph"/>
              <w:spacing w:before="59" w:line="200" w:lineRule="exact"/>
              <w:ind w:left="80" w:right="284"/>
              <w:rPr>
                <w:rFonts w:ascii="Gill Sans MT" w:hAnsi="Gill Sans MT"/>
                <w:b/>
                <w:sz w:val="16"/>
                <w:szCs w:val="16"/>
              </w:rPr>
            </w:pPr>
            <w:r w:rsidRPr="001F36E8">
              <w:rPr>
                <w:rFonts w:ascii="Gill Sans MT" w:hAnsi="Gill Sans MT"/>
                <w:b/>
                <w:sz w:val="16"/>
                <w:szCs w:val="16"/>
              </w:rPr>
              <w:t>Total Key Management Personnel Remuneration</w:t>
            </w:r>
          </w:p>
        </w:tc>
        <w:tc>
          <w:tcPr>
            <w:tcW w:w="992"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jc w:val="center"/>
              <w:rPr>
                <w:rFonts w:ascii="Gill Sans MT" w:hAnsi="Gill Sans MT"/>
                <w:b/>
                <w:sz w:val="16"/>
                <w:szCs w:val="16"/>
              </w:rPr>
            </w:pPr>
          </w:p>
          <w:p w:rsidR="00E34136" w:rsidRPr="001F36E8" w:rsidRDefault="00E34136" w:rsidP="001F36E8">
            <w:pPr>
              <w:pStyle w:val="TableParagraph"/>
              <w:spacing w:before="6"/>
              <w:jc w:val="center"/>
              <w:rPr>
                <w:rFonts w:ascii="Gill Sans MT" w:hAnsi="Gill Sans MT"/>
                <w:b/>
                <w:sz w:val="16"/>
                <w:szCs w:val="16"/>
              </w:rPr>
            </w:pPr>
            <w:r w:rsidRPr="001F36E8">
              <w:rPr>
                <w:rFonts w:ascii="Gill Sans MT" w:hAnsi="Gill Sans MT"/>
                <w:b/>
                <w:sz w:val="16"/>
                <w:szCs w:val="16"/>
              </w:rPr>
              <w:t>1 715</w:t>
            </w:r>
          </w:p>
        </w:tc>
        <w:tc>
          <w:tcPr>
            <w:tcW w:w="992"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jc w:val="center"/>
              <w:rPr>
                <w:rFonts w:ascii="Gill Sans MT" w:hAnsi="Gill Sans MT"/>
                <w:b/>
                <w:sz w:val="16"/>
                <w:szCs w:val="16"/>
              </w:rPr>
            </w:pPr>
          </w:p>
          <w:p w:rsidR="00E34136" w:rsidRPr="001F36E8" w:rsidRDefault="00E34136" w:rsidP="001F36E8">
            <w:pPr>
              <w:pStyle w:val="TableParagraph"/>
              <w:spacing w:before="6"/>
              <w:jc w:val="center"/>
              <w:rPr>
                <w:rFonts w:ascii="Gill Sans MT" w:hAnsi="Gill Sans MT"/>
                <w:b/>
                <w:sz w:val="16"/>
                <w:szCs w:val="16"/>
              </w:rPr>
            </w:pPr>
            <w:r w:rsidRPr="001F36E8">
              <w:rPr>
                <w:rFonts w:ascii="Gill Sans MT" w:hAnsi="Gill Sans MT"/>
                <w:b/>
                <w:sz w:val="16"/>
                <w:szCs w:val="16"/>
              </w:rPr>
              <w:t>274</w:t>
            </w:r>
          </w:p>
        </w:tc>
        <w:tc>
          <w:tcPr>
            <w:tcW w:w="1134"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ind w:right="142"/>
              <w:jc w:val="center"/>
              <w:rPr>
                <w:rFonts w:ascii="Gill Sans MT" w:hAnsi="Gill Sans MT"/>
                <w:b/>
                <w:sz w:val="16"/>
                <w:szCs w:val="16"/>
              </w:rPr>
            </w:pPr>
          </w:p>
          <w:p w:rsidR="00E34136" w:rsidRPr="001F36E8" w:rsidRDefault="00E34136" w:rsidP="001F36E8">
            <w:pPr>
              <w:pStyle w:val="TableParagraph"/>
              <w:spacing w:before="6"/>
              <w:ind w:right="142"/>
              <w:jc w:val="center"/>
              <w:rPr>
                <w:rFonts w:ascii="Gill Sans MT" w:hAnsi="Gill Sans MT"/>
                <w:b/>
                <w:sz w:val="16"/>
                <w:szCs w:val="16"/>
              </w:rPr>
            </w:pPr>
            <w:r w:rsidRPr="001F36E8">
              <w:rPr>
                <w:rFonts w:ascii="Gill Sans MT" w:hAnsi="Gill Sans MT"/>
                <w:b/>
                <w:sz w:val="16"/>
                <w:szCs w:val="16"/>
              </w:rPr>
              <w:t>176</w:t>
            </w:r>
          </w:p>
        </w:tc>
        <w:tc>
          <w:tcPr>
            <w:tcW w:w="1418"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jc w:val="center"/>
              <w:rPr>
                <w:rFonts w:ascii="Gill Sans MT" w:hAnsi="Gill Sans MT"/>
                <w:b/>
                <w:sz w:val="16"/>
                <w:szCs w:val="16"/>
              </w:rPr>
            </w:pPr>
          </w:p>
          <w:p w:rsidR="00E34136" w:rsidRPr="001F36E8" w:rsidRDefault="00E34136" w:rsidP="001F36E8">
            <w:pPr>
              <w:pStyle w:val="TableParagraph"/>
              <w:spacing w:before="6"/>
              <w:jc w:val="center"/>
              <w:rPr>
                <w:rFonts w:ascii="Gill Sans MT" w:hAnsi="Gill Sans MT"/>
                <w:b/>
                <w:sz w:val="16"/>
                <w:szCs w:val="16"/>
              </w:rPr>
            </w:pPr>
            <w:r w:rsidRPr="001F36E8">
              <w:rPr>
                <w:rFonts w:ascii="Gill Sans MT" w:hAnsi="Gill Sans MT"/>
                <w:b/>
                <w:sz w:val="16"/>
                <w:szCs w:val="16"/>
              </w:rPr>
              <w:t>4</w:t>
            </w:r>
          </w:p>
        </w:tc>
        <w:tc>
          <w:tcPr>
            <w:tcW w:w="1134"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jc w:val="center"/>
              <w:rPr>
                <w:rFonts w:ascii="Gill Sans MT" w:hAnsi="Gill Sans MT"/>
                <w:b/>
                <w:sz w:val="16"/>
                <w:szCs w:val="16"/>
              </w:rPr>
            </w:pPr>
          </w:p>
          <w:p w:rsidR="00E34136" w:rsidRPr="001F36E8" w:rsidRDefault="00E34136" w:rsidP="001F36E8">
            <w:pPr>
              <w:pStyle w:val="TableParagraph"/>
              <w:spacing w:before="6"/>
              <w:jc w:val="center"/>
              <w:rPr>
                <w:rFonts w:ascii="Gill Sans MT" w:hAnsi="Gill Sans MT"/>
                <w:b/>
                <w:sz w:val="16"/>
                <w:szCs w:val="16"/>
              </w:rPr>
            </w:pPr>
            <w:r w:rsidRPr="001F36E8">
              <w:rPr>
                <w:rFonts w:ascii="Gill Sans MT" w:hAnsi="Gill Sans MT"/>
                <w:b/>
                <w:sz w:val="16"/>
                <w:szCs w:val="16"/>
              </w:rPr>
              <w:t>11</w:t>
            </w:r>
          </w:p>
        </w:tc>
        <w:tc>
          <w:tcPr>
            <w:tcW w:w="992" w:type="dxa"/>
            <w:tcBorders>
              <w:top w:val="single" w:sz="3" w:space="0" w:color="004D8F"/>
              <w:bottom w:val="single" w:sz="4" w:space="0" w:color="004D8F"/>
            </w:tcBorders>
            <w:shd w:val="clear" w:color="auto" w:fill="auto"/>
            <w:vAlign w:val="center"/>
          </w:tcPr>
          <w:p w:rsidR="00E34136" w:rsidRPr="001F36E8" w:rsidRDefault="00E34136" w:rsidP="001F36E8">
            <w:pPr>
              <w:pStyle w:val="TableParagraph"/>
              <w:spacing w:before="6"/>
              <w:jc w:val="center"/>
              <w:rPr>
                <w:rFonts w:ascii="Gill Sans MT" w:hAnsi="Gill Sans MT"/>
                <w:b/>
                <w:sz w:val="16"/>
                <w:szCs w:val="16"/>
              </w:rPr>
            </w:pPr>
          </w:p>
          <w:p w:rsidR="00E34136" w:rsidRPr="001F36E8" w:rsidRDefault="00E34136" w:rsidP="001F36E8">
            <w:pPr>
              <w:pStyle w:val="TableParagraph"/>
              <w:spacing w:before="6"/>
              <w:jc w:val="center"/>
              <w:rPr>
                <w:rFonts w:ascii="Gill Sans MT" w:hAnsi="Gill Sans MT"/>
                <w:b/>
                <w:sz w:val="16"/>
                <w:szCs w:val="16"/>
              </w:rPr>
            </w:pPr>
            <w:r w:rsidRPr="001F36E8">
              <w:rPr>
                <w:rFonts w:ascii="Gill Sans MT" w:hAnsi="Gill Sans MT"/>
                <w:b/>
                <w:sz w:val="16"/>
                <w:szCs w:val="16"/>
              </w:rPr>
              <w:t>2 180</w:t>
            </w:r>
          </w:p>
        </w:tc>
      </w:tr>
    </w:tbl>
    <w:p w:rsidR="001F36E8" w:rsidRDefault="001F36E8" w:rsidP="004E70F8">
      <w:pPr>
        <w:pStyle w:val="BodyText"/>
      </w:pPr>
    </w:p>
    <w:p w:rsidR="001F36E8" w:rsidRDefault="001F36E8">
      <w:pPr>
        <w:rPr>
          <w:rFonts w:ascii="Gill Sans MT" w:eastAsia="GillSans-Light" w:hAnsi="Gill Sans MT" w:cs="GillSans-Light"/>
          <w:lang w:val="en-US"/>
        </w:rPr>
      </w:pPr>
      <w:r>
        <w:br w:type="page"/>
      </w:r>
    </w:p>
    <w:p w:rsidR="00933457" w:rsidRPr="00933457" w:rsidRDefault="00933457" w:rsidP="00621B34">
      <w:pPr>
        <w:pStyle w:val="BodyText"/>
        <w:numPr>
          <w:ilvl w:val="0"/>
          <w:numId w:val="47"/>
        </w:numPr>
        <w:rPr>
          <w:sz w:val="16"/>
          <w:szCs w:val="16"/>
        </w:rPr>
      </w:pPr>
      <w:r w:rsidRPr="00933457">
        <w:rPr>
          <w:sz w:val="16"/>
          <w:szCs w:val="16"/>
        </w:rPr>
        <w:lastRenderedPageBreak/>
        <w:t>1 Salary includes all forms of consideration paid and payable for services rendered and compensated absences during the period.</w:t>
      </w:r>
    </w:p>
    <w:p w:rsidR="00933457" w:rsidRPr="00933457" w:rsidRDefault="00933457" w:rsidP="00621B34">
      <w:pPr>
        <w:pStyle w:val="BodyText"/>
        <w:numPr>
          <w:ilvl w:val="0"/>
          <w:numId w:val="47"/>
        </w:numPr>
        <w:rPr>
          <w:sz w:val="16"/>
          <w:szCs w:val="16"/>
        </w:rPr>
      </w:pPr>
      <w:r w:rsidRPr="00933457">
        <w:rPr>
          <w:sz w:val="16"/>
          <w:szCs w:val="16"/>
        </w:rPr>
        <w:t>Other benefits includes all other forms of non-salary benefits such as motor vehicles, parking and salary packaging, fringe benefit tax payable in respect of these benefits, payments in lieu of leave, annual leave movements and any other compensation paid or payable.</w:t>
      </w:r>
    </w:p>
    <w:p w:rsidR="00933457" w:rsidRPr="00933457" w:rsidRDefault="00933457" w:rsidP="00621B34">
      <w:pPr>
        <w:pStyle w:val="BodyText"/>
        <w:numPr>
          <w:ilvl w:val="0"/>
          <w:numId w:val="47"/>
        </w:numPr>
        <w:rPr>
          <w:sz w:val="16"/>
          <w:szCs w:val="16"/>
        </w:rPr>
      </w:pPr>
      <w:r w:rsidRPr="00933457">
        <w:rPr>
          <w:sz w:val="16"/>
          <w:szCs w:val="16"/>
        </w:rPr>
        <w:t>Superannuation means the contribution to the superannuation fund of the individual.</w:t>
      </w:r>
    </w:p>
    <w:p w:rsidR="00933457" w:rsidRPr="00933457" w:rsidRDefault="00933457" w:rsidP="00621B34">
      <w:pPr>
        <w:pStyle w:val="BodyText"/>
        <w:numPr>
          <w:ilvl w:val="0"/>
          <w:numId w:val="47"/>
        </w:numPr>
        <w:rPr>
          <w:sz w:val="16"/>
          <w:szCs w:val="16"/>
        </w:rPr>
      </w:pPr>
      <w:r w:rsidRPr="00933457">
        <w:rPr>
          <w:sz w:val="16"/>
          <w:szCs w:val="16"/>
        </w:rPr>
        <w:t>Other long term benefits and long service leave includes the movements in the discounted long service leave balances.</w:t>
      </w:r>
    </w:p>
    <w:p w:rsidR="004E70F8" w:rsidRDefault="00933457" w:rsidP="00621B34">
      <w:pPr>
        <w:pStyle w:val="BodyText"/>
        <w:numPr>
          <w:ilvl w:val="0"/>
          <w:numId w:val="47"/>
        </w:numPr>
      </w:pPr>
      <w:r w:rsidRPr="00933457">
        <w:rPr>
          <w:sz w:val="16"/>
          <w:szCs w:val="16"/>
        </w:rPr>
        <w:t>Termination Benefits for 2015-16 totalled $11,115 which includes accrued annual and long service leave entitlements and payments in accordance with Clause 11.3(a</w:t>
      </w:r>
      <w:proofErr w:type="gramStart"/>
      <w:r w:rsidRPr="00933457">
        <w:rPr>
          <w:sz w:val="16"/>
          <w:szCs w:val="16"/>
        </w:rPr>
        <w:t>)(</w:t>
      </w:r>
      <w:proofErr w:type="gramEnd"/>
      <w:r w:rsidRPr="00933457">
        <w:rPr>
          <w:sz w:val="16"/>
          <w:szCs w:val="16"/>
        </w:rPr>
        <w:t>ii) of Employment Direction No. 17 and Instrument of appointments</w:t>
      </w:r>
      <w:r>
        <w:t>.</w:t>
      </w:r>
    </w:p>
    <w:p w:rsidR="00933457" w:rsidRDefault="00933457" w:rsidP="00933457">
      <w:pPr>
        <w:pStyle w:val="Heading5"/>
      </w:pPr>
      <w:r>
        <w:t>6.2</w:t>
      </w:r>
      <w:r>
        <w:tab/>
        <w:t>Depreciation and Amortisation</w:t>
      </w:r>
    </w:p>
    <w:p w:rsidR="00933457" w:rsidRDefault="00933457" w:rsidP="00933457"/>
    <w:p w:rsidR="00933457" w:rsidRDefault="00933457" w:rsidP="00933457">
      <w:pPr>
        <w:pStyle w:val="BodyText"/>
      </w:pPr>
      <w:r>
        <w:t>All applicable non-financial assets having a limited useful life are systematically depreciated over their useful lives in a manner which reflects the consumption of their service potential. Land and artwork, being assets with unlimited useful lives, are not depreciated.</w:t>
      </w:r>
    </w:p>
    <w:p w:rsidR="00933457" w:rsidRPr="00933457" w:rsidRDefault="00933457" w:rsidP="00933457">
      <w:pPr>
        <w:pStyle w:val="BodyText"/>
        <w:rPr>
          <w:rFonts w:cs="GillSans-LightItalic"/>
          <w:i/>
          <w:iCs/>
        </w:rPr>
      </w:pPr>
      <w:r w:rsidRPr="00933457">
        <w:rPr>
          <w:rFonts w:cs="GillSans-LightItalic"/>
          <w:i/>
          <w:iCs/>
        </w:rPr>
        <w:t>Key estimate and judgment</w:t>
      </w:r>
    </w:p>
    <w:p w:rsidR="00933457" w:rsidRDefault="00933457" w:rsidP="00933457">
      <w:pPr>
        <w:pStyle w:val="BodyText"/>
      </w:pPr>
      <w:r>
        <w:t>Depreciation is provided for on a straight line basis, using rates which are reviewed annually. Major</w:t>
      </w:r>
    </w:p>
    <w:p w:rsidR="00933457" w:rsidRDefault="00933457" w:rsidP="00933457">
      <w:pPr>
        <w:pStyle w:val="BodyText"/>
      </w:pPr>
      <w:proofErr w:type="gramStart"/>
      <w:r>
        <w:t>depreciation</w:t>
      </w:r>
      <w:proofErr w:type="gramEnd"/>
      <w:r>
        <w:t xml:space="preserve"> periods are:</w:t>
      </w:r>
    </w:p>
    <w:p w:rsidR="00933457" w:rsidRDefault="00933457" w:rsidP="00621B34">
      <w:pPr>
        <w:pStyle w:val="BodyText"/>
        <w:numPr>
          <w:ilvl w:val="0"/>
          <w:numId w:val="48"/>
        </w:numPr>
        <w:ind w:left="567" w:hanging="567"/>
      </w:pPr>
      <w:r>
        <w:t>Vehicles 5 years</w:t>
      </w:r>
    </w:p>
    <w:p w:rsidR="00933457" w:rsidRDefault="00933457" w:rsidP="00621B34">
      <w:pPr>
        <w:pStyle w:val="BodyText"/>
        <w:numPr>
          <w:ilvl w:val="0"/>
          <w:numId w:val="48"/>
        </w:numPr>
        <w:ind w:left="567" w:hanging="567"/>
      </w:pPr>
      <w:r>
        <w:t>Plant and equipment 2-20 years</w:t>
      </w:r>
    </w:p>
    <w:p w:rsidR="00933457" w:rsidRDefault="00933457" w:rsidP="00621B34">
      <w:pPr>
        <w:pStyle w:val="BodyText"/>
        <w:numPr>
          <w:ilvl w:val="0"/>
          <w:numId w:val="48"/>
        </w:numPr>
        <w:ind w:left="567" w:hanging="567"/>
      </w:pPr>
      <w:r>
        <w:t>Medical equipment 4-20 years</w:t>
      </w:r>
    </w:p>
    <w:p w:rsidR="00933457" w:rsidRDefault="00933457" w:rsidP="00621B34">
      <w:pPr>
        <w:pStyle w:val="BodyText"/>
        <w:numPr>
          <w:ilvl w:val="0"/>
          <w:numId w:val="48"/>
        </w:numPr>
        <w:ind w:left="567" w:hanging="567"/>
      </w:pPr>
      <w:r>
        <w:t>Buildings 40-50 years</w:t>
      </w:r>
    </w:p>
    <w:p w:rsidR="00933457" w:rsidRDefault="00933457" w:rsidP="00933457">
      <w:pPr>
        <w:pStyle w:val="BodyText"/>
      </w:pPr>
      <w:r>
        <w:t>All intangible assets having a limited useful life are systematically amortised over their useful lives reflecting the pattern in which the asset’s future economic benefits are expected to be consumed by the THS.</w:t>
      </w:r>
    </w:p>
    <w:p w:rsidR="00933457" w:rsidRDefault="00933457" w:rsidP="00933457">
      <w:pPr>
        <w:pStyle w:val="BodyText"/>
      </w:pPr>
      <w:r>
        <w:t>Major amortisation periods are:</w:t>
      </w:r>
    </w:p>
    <w:p w:rsidR="00933457" w:rsidRDefault="00933457" w:rsidP="00621B34">
      <w:pPr>
        <w:pStyle w:val="BodyText"/>
        <w:numPr>
          <w:ilvl w:val="0"/>
          <w:numId w:val="49"/>
        </w:numPr>
        <w:ind w:left="567" w:hanging="567"/>
      </w:pPr>
      <w:r>
        <w:t>Software 3-20 years</w:t>
      </w:r>
    </w:p>
    <w:p w:rsidR="00787370" w:rsidRPr="00933457" w:rsidRDefault="00787370" w:rsidP="00621B34">
      <w:pPr>
        <w:pStyle w:val="BodyText"/>
        <w:numPr>
          <w:ilvl w:val="0"/>
          <w:numId w:val="50"/>
        </w:numPr>
        <w:ind w:left="567" w:hanging="567"/>
      </w:pPr>
      <w:r>
        <w:t>Depreciation</w:t>
      </w:r>
    </w:p>
    <w:tbl>
      <w:tblPr>
        <w:tblW w:w="0" w:type="auto"/>
        <w:tblLayout w:type="fixed"/>
        <w:tblCellMar>
          <w:left w:w="0" w:type="dxa"/>
          <w:right w:w="0" w:type="dxa"/>
        </w:tblCellMar>
        <w:tblLook w:val="01E0" w:firstRow="1" w:lastRow="1" w:firstColumn="1" w:lastColumn="1" w:noHBand="0" w:noVBand="0"/>
        <w:tblCaption w:val="Depreciation"/>
      </w:tblPr>
      <w:tblGrid>
        <w:gridCol w:w="8364"/>
        <w:gridCol w:w="1559"/>
      </w:tblGrid>
      <w:tr w:rsidR="00787370" w:rsidRPr="00787370" w:rsidTr="00787370">
        <w:trPr>
          <w:trHeight w:hRule="exact" w:val="560"/>
        </w:trPr>
        <w:tc>
          <w:tcPr>
            <w:tcW w:w="8364" w:type="dxa"/>
            <w:tcBorders>
              <w:top w:val="single" w:sz="4" w:space="0" w:color="004D8F"/>
              <w:bottom w:val="single" w:sz="4" w:space="0" w:color="004D8F"/>
            </w:tcBorders>
            <w:shd w:val="clear" w:color="auto" w:fill="auto"/>
            <w:vAlign w:val="bottom"/>
          </w:tcPr>
          <w:p w:rsidR="00787370" w:rsidRPr="00787370" w:rsidRDefault="00787370" w:rsidP="00787370">
            <w:pPr>
              <w:pStyle w:val="TableParagraph"/>
              <w:spacing w:before="51"/>
              <w:ind w:right="555"/>
              <w:rPr>
                <w:rFonts w:ascii="Gill Sans MT" w:hAnsi="Gill Sans MT"/>
                <w:b/>
                <w:sz w:val="18"/>
                <w:szCs w:val="18"/>
              </w:rPr>
            </w:pPr>
            <w:r w:rsidRPr="00787370">
              <w:rPr>
                <w:rFonts w:ascii="Gill Sans MT" w:hAnsi="Gill Sans MT"/>
                <w:b/>
                <w:sz w:val="18"/>
                <w:szCs w:val="18"/>
              </w:rPr>
              <w:t>Description</w:t>
            </w:r>
          </w:p>
        </w:tc>
        <w:tc>
          <w:tcPr>
            <w:tcW w:w="1559" w:type="dxa"/>
            <w:tcBorders>
              <w:top w:val="single" w:sz="4" w:space="0" w:color="004D8F"/>
              <w:bottom w:val="single" w:sz="4" w:space="0" w:color="004D8F"/>
            </w:tcBorders>
            <w:shd w:val="clear" w:color="auto" w:fill="auto"/>
            <w:vAlign w:val="bottom"/>
          </w:tcPr>
          <w:p w:rsidR="00787370" w:rsidRPr="00787370" w:rsidRDefault="00787370" w:rsidP="00787370">
            <w:pPr>
              <w:pStyle w:val="TableParagraph"/>
              <w:spacing w:before="1"/>
              <w:ind w:right="567"/>
              <w:jc w:val="right"/>
              <w:rPr>
                <w:rFonts w:ascii="Gill Sans MT" w:hAnsi="Gill Sans MT"/>
                <w:b/>
                <w:sz w:val="18"/>
                <w:szCs w:val="18"/>
              </w:rPr>
            </w:pPr>
            <w:r w:rsidRPr="00787370">
              <w:rPr>
                <w:rFonts w:ascii="Gill Sans MT" w:hAnsi="Gill Sans MT"/>
                <w:b/>
                <w:sz w:val="18"/>
                <w:szCs w:val="18"/>
              </w:rPr>
              <w:t>2016</w:t>
            </w:r>
            <w:r w:rsidRPr="00787370">
              <w:rPr>
                <w:rFonts w:ascii="Gill Sans MT" w:hAnsi="Gill Sans MT"/>
                <w:b/>
                <w:sz w:val="18"/>
                <w:szCs w:val="18"/>
              </w:rPr>
              <w:br/>
              <w:t>$’000</w:t>
            </w:r>
          </w:p>
        </w:tc>
      </w:tr>
      <w:tr w:rsidR="00787370" w:rsidRPr="00787370" w:rsidTr="00E8457F">
        <w:trPr>
          <w:trHeight w:hRule="exact" w:val="383"/>
        </w:trPr>
        <w:tc>
          <w:tcPr>
            <w:tcW w:w="8364" w:type="dxa"/>
            <w:tcBorders>
              <w:top w:val="single" w:sz="4" w:space="0" w:color="004D8F"/>
              <w:bottom w:val="dotted" w:sz="4" w:space="0" w:color="auto"/>
            </w:tcBorders>
            <w:shd w:val="clear" w:color="auto" w:fill="auto"/>
          </w:tcPr>
          <w:p w:rsidR="00787370" w:rsidRPr="00E8457F" w:rsidRDefault="00787370" w:rsidP="00E8457F">
            <w:pPr>
              <w:pStyle w:val="TableParagraph"/>
              <w:spacing w:before="60" w:line="338" w:lineRule="auto"/>
              <w:ind w:right="5028"/>
              <w:rPr>
                <w:rFonts w:ascii="Gill Sans MT" w:hAnsi="Gill Sans MT"/>
                <w:sz w:val="18"/>
                <w:szCs w:val="18"/>
              </w:rPr>
            </w:pPr>
            <w:r w:rsidRPr="00787370">
              <w:rPr>
                <w:rFonts w:ascii="Gill Sans MT" w:hAnsi="Gill Sans MT"/>
                <w:sz w:val="18"/>
                <w:szCs w:val="18"/>
              </w:rPr>
              <w:t xml:space="preserve">Plant, equipment and vehicles </w:t>
            </w:r>
          </w:p>
        </w:tc>
        <w:tc>
          <w:tcPr>
            <w:tcW w:w="1559" w:type="dxa"/>
            <w:tcBorders>
              <w:top w:val="single" w:sz="4" w:space="0" w:color="004D8F"/>
              <w:bottom w:val="dotted" w:sz="4" w:space="0" w:color="auto"/>
            </w:tcBorders>
            <w:shd w:val="clear" w:color="auto" w:fill="auto"/>
          </w:tcPr>
          <w:p w:rsidR="00787370" w:rsidRPr="00787370" w:rsidRDefault="00787370" w:rsidP="00E8457F">
            <w:pPr>
              <w:pStyle w:val="TableParagraph"/>
              <w:spacing w:before="60"/>
              <w:ind w:left="479" w:right="425"/>
              <w:rPr>
                <w:rFonts w:ascii="Gill Sans MT" w:hAnsi="Gill Sans MT"/>
                <w:sz w:val="18"/>
                <w:szCs w:val="18"/>
              </w:rPr>
            </w:pPr>
            <w:r w:rsidRPr="00787370">
              <w:rPr>
                <w:rFonts w:ascii="Gill Sans MT" w:hAnsi="Gill Sans MT"/>
                <w:sz w:val="18"/>
                <w:szCs w:val="18"/>
              </w:rPr>
              <w:t>10 304</w:t>
            </w:r>
          </w:p>
        </w:tc>
      </w:tr>
      <w:tr w:rsidR="00787370" w:rsidRPr="00787370" w:rsidTr="00E8457F">
        <w:trPr>
          <w:trHeight w:hRule="exact" w:val="418"/>
        </w:trPr>
        <w:tc>
          <w:tcPr>
            <w:tcW w:w="8364" w:type="dxa"/>
            <w:tcBorders>
              <w:top w:val="dotted" w:sz="4" w:space="0" w:color="auto"/>
              <w:bottom w:val="single" w:sz="4" w:space="0" w:color="004D8F"/>
            </w:tcBorders>
            <w:shd w:val="clear" w:color="auto" w:fill="auto"/>
          </w:tcPr>
          <w:p w:rsidR="00787370" w:rsidRPr="00787370" w:rsidRDefault="00787370" w:rsidP="00787370">
            <w:pPr>
              <w:pStyle w:val="TableParagraph"/>
              <w:spacing w:before="60" w:line="338" w:lineRule="auto"/>
              <w:ind w:right="5028"/>
              <w:rPr>
                <w:rFonts w:ascii="Gill Sans MT" w:hAnsi="Gill Sans MT"/>
                <w:sz w:val="18"/>
                <w:szCs w:val="18"/>
              </w:rPr>
            </w:pPr>
            <w:r w:rsidRPr="00787370">
              <w:rPr>
                <w:rFonts w:ascii="Gill Sans MT" w:hAnsi="Gill Sans MT"/>
                <w:sz w:val="18"/>
                <w:szCs w:val="18"/>
              </w:rPr>
              <w:t>Buildings</w:t>
            </w:r>
          </w:p>
        </w:tc>
        <w:tc>
          <w:tcPr>
            <w:tcW w:w="1559" w:type="dxa"/>
            <w:tcBorders>
              <w:top w:val="dotted" w:sz="4" w:space="0" w:color="auto"/>
              <w:bottom w:val="single" w:sz="4" w:space="0" w:color="004D8F"/>
            </w:tcBorders>
            <w:shd w:val="clear" w:color="auto" w:fill="auto"/>
          </w:tcPr>
          <w:p w:rsidR="00787370" w:rsidRPr="00787370" w:rsidRDefault="00E8457F" w:rsidP="00787370">
            <w:pPr>
              <w:pStyle w:val="TableParagraph"/>
              <w:spacing w:before="60"/>
              <w:ind w:left="479" w:right="425"/>
              <w:rPr>
                <w:rFonts w:ascii="Gill Sans MT" w:hAnsi="Gill Sans MT"/>
                <w:sz w:val="18"/>
                <w:szCs w:val="18"/>
              </w:rPr>
            </w:pPr>
            <w:r w:rsidRPr="00787370">
              <w:rPr>
                <w:rFonts w:ascii="Gill Sans MT" w:hAnsi="Gill Sans MT"/>
                <w:sz w:val="18"/>
                <w:szCs w:val="18"/>
              </w:rPr>
              <w:t>28 801</w:t>
            </w:r>
          </w:p>
        </w:tc>
      </w:tr>
      <w:tr w:rsidR="00787370" w:rsidRPr="00787370" w:rsidTr="00E8457F">
        <w:trPr>
          <w:trHeight w:hRule="exact" w:val="351"/>
        </w:trPr>
        <w:tc>
          <w:tcPr>
            <w:tcW w:w="8364" w:type="dxa"/>
            <w:tcBorders>
              <w:top w:val="single" w:sz="4" w:space="0" w:color="004D8F"/>
              <w:bottom w:val="single" w:sz="4" w:space="0" w:color="004D8F"/>
            </w:tcBorders>
            <w:shd w:val="clear" w:color="auto" w:fill="auto"/>
          </w:tcPr>
          <w:p w:rsidR="00787370" w:rsidRPr="00787370" w:rsidRDefault="00787370" w:rsidP="009555B2">
            <w:pPr>
              <w:rPr>
                <w:rFonts w:ascii="Gill Sans MT" w:hAnsi="Gill Sans MT"/>
                <w:sz w:val="18"/>
                <w:szCs w:val="18"/>
              </w:rPr>
            </w:pPr>
            <w:r w:rsidRPr="00787370">
              <w:rPr>
                <w:rFonts w:ascii="Gill Sans MT" w:hAnsi="Gill Sans MT"/>
                <w:b/>
                <w:sz w:val="18"/>
                <w:szCs w:val="18"/>
              </w:rPr>
              <w:t>Total</w:t>
            </w:r>
          </w:p>
        </w:tc>
        <w:tc>
          <w:tcPr>
            <w:tcW w:w="1559" w:type="dxa"/>
            <w:tcBorders>
              <w:top w:val="single" w:sz="4" w:space="0" w:color="004D8F"/>
              <w:bottom w:val="single" w:sz="4" w:space="0" w:color="004D8F"/>
            </w:tcBorders>
            <w:shd w:val="clear" w:color="auto" w:fill="auto"/>
          </w:tcPr>
          <w:p w:rsidR="00787370" w:rsidRPr="00787370" w:rsidRDefault="00787370" w:rsidP="00787370">
            <w:pPr>
              <w:pStyle w:val="TableParagraph"/>
              <w:spacing w:before="47"/>
              <w:ind w:left="460" w:right="425"/>
              <w:rPr>
                <w:rFonts w:ascii="Gill Sans MT" w:hAnsi="Gill Sans MT"/>
                <w:b/>
                <w:sz w:val="18"/>
                <w:szCs w:val="18"/>
              </w:rPr>
            </w:pPr>
            <w:r w:rsidRPr="00787370">
              <w:rPr>
                <w:rFonts w:ascii="Gill Sans MT" w:hAnsi="Gill Sans MT"/>
                <w:b/>
                <w:sz w:val="18"/>
                <w:szCs w:val="18"/>
              </w:rPr>
              <w:t>39 105</w:t>
            </w:r>
          </w:p>
        </w:tc>
      </w:tr>
    </w:tbl>
    <w:p w:rsidR="00933457" w:rsidRDefault="00787370" w:rsidP="00621B34">
      <w:pPr>
        <w:pStyle w:val="BodyText"/>
        <w:numPr>
          <w:ilvl w:val="0"/>
          <w:numId w:val="50"/>
        </w:numPr>
        <w:ind w:left="567" w:hanging="567"/>
      </w:pPr>
      <w:r>
        <w:t>Amortisation</w:t>
      </w:r>
    </w:p>
    <w:tbl>
      <w:tblPr>
        <w:tblW w:w="0" w:type="auto"/>
        <w:tblLayout w:type="fixed"/>
        <w:tblCellMar>
          <w:left w:w="0" w:type="dxa"/>
          <w:right w:w="0" w:type="dxa"/>
        </w:tblCellMar>
        <w:tblLook w:val="01E0" w:firstRow="1" w:lastRow="1" w:firstColumn="1" w:lastColumn="1" w:noHBand="0" w:noVBand="0"/>
        <w:tblCaption w:val="Amortisation"/>
      </w:tblPr>
      <w:tblGrid>
        <w:gridCol w:w="8364"/>
        <w:gridCol w:w="1559"/>
      </w:tblGrid>
      <w:tr w:rsidR="00787370" w:rsidRPr="00787370" w:rsidTr="00787370">
        <w:trPr>
          <w:trHeight w:hRule="exact" w:val="560"/>
        </w:trPr>
        <w:tc>
          <w:tcPr>
            <w:tcW w:w="8364" w:type="dxa"/>
            <w:tcBorders>
              <w:top w:val="single" w:sz="4" w:space="0" w:color="004D8F"/>
              <w:bottom w:val="single" w:sz="4" w:space="0" w:color="004D8F"/>
            </w:tcBorders>
            <w:shd w:val="clear" w:color="auto" w:fill="auto"/>
            <w:vAlign w:val="bottom"/>
          </w:tcPr>
          <w:p w:rsidR="00787370" w:rsidRPr="00787370" w:rsidRDefault="00787370" w:rsidP="009555B2">
            <w:pPr>
              <w:pStyle w:val="TableParagraph"/>
              <w:spacing w:before="51"/>
              <w:ind w:right="555"/>
              <w:rPr>
                <w:rFonts w:ascii="Gill Sans MT" w:hAnsi="Gill Sans MT"/>
                <w:b/>
                <w:sz w:val="18"/>
                <w:szCs w:val="18"/>
              </w:rPr>
            </w:pPr>
            <w:r w:rsidRPr="00787370">
              <w:rPr>
                <w:rFonts w:ascii="Gill Sans MT" w:hAnsi="Gill Sans MT"/>
                <w:b/>
                <w:sz w:val="18"/>
                <w:szCs w:val="18"/>
              </w:rPr>
              <w:t>Description</w:t>
            </w:r>
          </w:p>
        </w:tc>
        <w:tc>
          <w:tcPr>
            <w:tcW w:w="1559" w:type="dxa"/>
            <w:tcBorders>
              <w:top w:val="single" w:sz="4" w:space="0" w:color="004D8F"/>
              <w:bottom w:val="single" w:sz="4" w:space="0" w:color="004D8F"/>
            </w:tcBorders>
            <w:shd w:val="clear" w:color="auto" w:fill="auto"/>
            <w:vAlign w:val="bottom"/>
          </w:tcPr>
          <w:p w:rsidR="00787370" w:rsidRPr="00787370" w:rsidRDefault="00787370" w:rsidP="009555B2">
            <w:pPr>
              <w:pStyle w:val="TableParagraph"/>
              <w:spacing w:before="1"/>
              <w:ind w:right="567"/>
              <w:jc w:val="right"/>
              <w:rPr>
                <w:rFonts w:ascii="Gill Sans MT" w:hAnsi="Gill Sans MT"/>
                <w:b/>
                <w:sz w:val="18"/>
                <w:szCs w:val="18"/>
              </w:rPr>
            </w:pPr>
            <w:r w:rsidRPr="00787370">
              <w:rPr>
                <w:rFonts w:ascii="Gill Sans MT" w:hAnsi="Gill Sans MT"/>
                <w:b/>
                <w:sz w:val="18"/>
                <w:szCs w:val="18"/>
              </w:rPr>
              <w:t>2016</w:t>
            </w:r>
            <w:r w:rsidRPr="00787370">
              <w:rPr>
                <w:rFonts w:ascii="Gill Sans MT" w:hAnsi="Gill Sans MT"/>
                <w:b/>
                <w:sz w:val="18"/>
                <w:szCs w:val="18"/>
              </w:rPr>
              <w:br/>
              <w:t>$’000</w:t>
            </w:r>
          </w:p>
        </w:tc>
      </w:tr>
      <w:tr w:rsidR="00787370" w:rsidRPr="00787370" w:rsidTr="00787370">
        <w:trPr>
          <w:trHeight w:hRule="exact" w:val="369"/>
        </w:trPr>
        <w:tc>
          <w:tcPr>
            <w:tcW w:w="8364" w:type="dxa"/>
            <w:tcBorders>
              <w:top w:val="single" w:sz="4" w:space="0" w:color="004D8F"/>
              <w:bottom w:val="dotted" w:sz="4" w:space="0" w:color="auto"/>
            </w:tcBorders>
            <w:shd w:val="clear" w:color="auto" w:fill="auto"/>
          </w:tcPr>
          <w:p w:rsidR="00787370" w:rsidRPr="00787370" w:rsidRDefault="00787370" w:rsidP="00787370">
            <w:pPr>
              <w:pStyle w:val="TableParagraph"/>
              <w:spacing w:line="229" w:lineRule="exact"/>
              <w:rPr>
                <w:rFonts w:ascii="Gill Sans MT" w:hAnsi="Gill Sans MT"/>
                <w:b/>
                <w:sz w:val="18"/>
                <w:szCs w:val="18"/>
              </w:rPr>
            </w:pPr>
            <w:r>
              <w:rPr>
                <w:rFonts w:ascii="Gill Sans MT" w:hAnsi="Gill Sans MT"/>
                <w:b/>
                <w:sz w:val="18"/>
                <w:szCs w:val="18"/>
              </w:rPr>
              <w:t>Intangibles</w:t>
            </w:r>
          </w:p>
        </w:tc>
        <w:tc>
          <w:tcPr>
            <w:tcW w:w="1559" w:type="dxa"/>
            <w:tcBorders>
              <w:top w:val="single" w:sz="4" w:space="0" w:color="004D8F"/>
            </w:tcBorders>
            <w:shd w:val="clear" w:color="auto" w:fill="auto"/>
            <w:vAlign w:val="bottom"/>
          </w:tcPr>
          <w:p w:rsidR="00787370" w:rsidRPr="00787370" w:rsidRDefault="00787370" w:rsidP="00787370">
            <w:pPr>
              <w:pStyle w:val="TableParagraph"/>
              <w:spacing w:before="92"/>
              <w:ind w:left="486" w:right="425"/>
              <w:jc w:val="right"/>
              <w:rPr>
                <w:rFonts w:ascii="Gill Sans MT" w:hAnsi="Gill Sans MT"/>
                <w:sz w:val="18"/>
                <w:szCs w:val="18"/>
              </w:rPr>
            </w:pPr>
            <w:r>
              <w:rPr>
                <w:rFonts w:ascii="Gill Sans MT" w:hAnsi="Gill Sans MT"/>
                <w:sz w:val="18"/>
                <w:szCs w:val="18"/>
              </w:rPr>
              <w:t>113</w:t>
            </w:r>
          </w:p>
        </w:tc>
      </w:tr>
      <w:tr w:rsidR="00787370" w:rsidRPr="00787370" w:rsidTr="00787370">
        <w:trPr>
          <w:trHeight w:hRule="exact" w:val="351"/>
        </w:trPr>
        <w:tc>
          <w:tcPr>
            <w:tcW w:w="8364" w:type="dxa"/>
            <w:tcBorders>
              <w:top w:val="dotted" w:sz="4" w:space="0" w:color="auto"/>
              <w:bottom w:val="single" w:sz="4" w:space="0" w:color="004D8F"/>
            </w:tcBorders>
            <w:shd w:val="clear" w:color="auto" w:fill="auto"/>
          </w:tcPr>
          <w:p w:rsidR="00787370" w:rsidRPr="00787370" w:rsidRDefault="00787370" w:rsidP="009555B2">
            <w:pPr>
              <w:rPr>
                <w:rFonts w:ascii="Gill Sans MT" w:hAnsi="Gill Sans MT"/>
                <w:sz w:val="18"/>
                <w:szCs w:val="18"/>
              </w:rPr>
            </w:pPr>
            <w:r w:rsidRPr="00787370">
              <w:rPr>
                <w:rFonts w:ascii="Gill Sans MT" w:hAnsi="Gill Sans MT"/>
                <w:b/>
                <w:sz w:val="18"/>
                <w:szCs w:val="18"/>
              </w:rPr>
              <w:t>Total</w:t>
            </w:r>
          </w:p>
        </w:tc>
        <w:tc>
          <w:tcPr>
            <w:tcW w:w="1559" w:type="dxa"/>
            <w:tcBorders>
              <w:bottom w:val="single" w:sz="4" w:space="0" w:color="004D8F"/>
            </w:tcBorders>
            <w:shd w:val="clear" w:color="auto" w:fill="auto"/>
            <w:vAlign w:val="bottom"/>
          </w:tcPr>
          <w:p w:rsidR="00787370" w:rsidRPr="00787370" w:rsidRDefault="00787370" w:rsidP="00787370">
            <w:pPr>
              <w:pStyle w:val="TableParagraph"/>
              <w:spacing w:before="47"/>
              <w:ind w:left="460" w:right="425"/>
              <w:jc w:val="right"/>
              <w:rPr>
                <w:rFonts w:ascii="Gill Sans MT" w:hAnsi="Gill Sans MT"/>
                <w:b/>
                <w:sz w:val="18"/>
                <w:szCs w:val="18"/>
              </w:rPr>
            </w:pPr>
            <w:r>
              <w:rPr>
                <w:rFonts w:ascii="Gill Sans MT" w:hAnsi="Gill Sans MT"/>
                <w:sz w:val="18"/>
                <w:szCs w:val="18"/>
              </w:rPr>
              <w:t>113</w:t>
            </w:r>
          </w:p>
        </w:tc>
      </w:tr>
      <w:tr w:rsidR="00787370" w:rsidRPr="00787370" w:rsidTr="00787370">
        <w:trPr>
          <w:trHeight w:hRule="exact" w:val="351"/>
        </w:trPr>
        <w:tc>
          <w:tcPr>
            <w:tcW w:w="8364" w:type="dxa"/>
            <w:tcBorders>
              <w:top w:val="single" w:sz="4" w:space="0" w:color="004D8F"/>
              <w:bottom w:val="single" w:sz="4" w:space="0" w:color="004D8F"/>
            </w:tcBorders>
            <w:shd w:val="clear" w:color="auto" w:fill="auto"/>
          </w:tcPr>
          <w:p w:rsidR="00787370" w:rsidRPr="00787370" w:rsidRDefault="00787370" w:rsidP="009555B2">
            <w:pPr>
              <w:rPr>
                <w:rFonts w:ascii="Gill Sans MT" w:hAnsi="Gill Sans MT"/>
                <w:b/>
                <w:sz w:val="18"/>
                <w:szCs w:val="18"/>
              </w:rPr>
            </w:pPr>
            <w:r w:rsidRPr="00787370">
              <w:rPr>
                <w:rFonts w:ascii="Gill Sans MT" w:hAnsi="Gill Sans MT"/>
                <w:b/>
                <w:sz w:val="18"/>
                <w:szCs w:val="18"/>
              </w:rPr>
              <w:t>Total depreciation and amortisation</w:t>
            </w:r>
          </w:p>
        </w:tc>
        <w:tc>
          <w:tcPr>
            <w:tcW w:w="1559" w:type="dxa"/>
            <w:tcBorders>
              <w:top w:val="single" w:sz="4" w:space="0" w:color="004D8F"/>
              <w:bottom w:val="single" w:sz="4" w:space="0" w:color="004D8F"/>
            </w:tcBorders>
            <w:shd w:val="clear" w:color="auto" w:fill="auto"/>
            <w:vAlign w:val="bottom"/>
          </w:tcPr>
          <w:p w:rsidR="00787370" w:rsidRPr="00787370" w:rsidRDefault="00787370" w:rsidP="00787370">
            <w:pPr>
              <w:pStyle w:val="TableParagraph"/>
              <w:spacing w:before="47"/>
              <w:ind w:left="460" w:right="425"/>
              <w:jc w:val="right"/>
              <w:rPr>
                <w:rFonts w:ascii="Gill Sans MT" w:hAnsi="Gill Sans MT"/>
                <w:b/>
                <w:sz w:val="18"/>
                <w:szCs w:val="18"/>
              </w:rPr>
            </w:pPr>
            <w:r>
              <w:rPr>
                <w:rFonts w:ascii="Gill Sans MT" w:hAnsi="Gill Sans MT"/>
                <w:b/>
                <w:sz w:val="18"/>
                <w:szCs w:val="18"/>
              </w:rPr>
              <w:t>39 218</w:t>
            </w:r>
          </w:p>
        </w:tc>
      </w:tr>
    </w:tbl>
    <w:p w:rsidR="00E8457F" w:rsidRDefault="00E8457F" w:rsidP="00787370">
      <w:pPr>
        <w:pStyle w:val="BodyText"/>
      </w:pPr>
    </w:p>
    <w:p w:rsidR="00E8457F" w:rsidRDefault="00E8457F">
      <w:pPr>
        <w:rPr>
          <w:rFonts w:ascii="Gill Sans MT" w:eastAsia="GillSans-Light" w:hAnsi="Gill Sans MT" w:cs="GillSans-Light"/>
          <w:lang w:val="en-US"/>
        </w:rPr>
      </w:pPr>
      <w:r>
        <w:br w:type="page"/>
      </w:r>
    </w:p>
    <w:p w:rsidR="00787370" w:rsidRDefault="00E8457F" w:rsidP="00E8457F">
      <w:pPr>
        <w:pStyle w:val="Heading5"/>
        <w:tabs>
          <w:tab w:val="left" w:pos="567"/>
        </w:tabs>
      </w:pPr>
      <w:r>
        <w:lastRenderedPageBreak/>
        <w:t>6.3</w:t>
      </w:r>
      <w:r>
        <w:tab/>
        <w:t>Supplies and Consumables</w:t>
      </w:r>
    </w:p>
    <w:p w:rsidR="00E8457F" w:rsidRDefault="00E8457F" w:rsidP="00E8457F"/>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Supplies and Consumables"/>
      </w:tblPr>
      <w:tblGrid>
        <w:gridCol w:w="8080"/>
        <w:gridCol w:w="17"/>
        <w:gridCol w:w="1246"/>
      </w:tblGrid>
      <w:tr w:rsidR="00E8457F" w:rsidRPr="00E8457F" w:rsidTr="00E8457F">
        <w:trPr>
          <w:trHeight w:hRule="exact" w:val="560"/>
        </w:trPr>
        <w:tc>
          <w:tcPr>
            <w:tcW w:w="8080" w:type="dxa"/>
            <w:tcBorders>
              <w:top w:val="single" w:sz="4" w:space="0" w:color="004D8F"/>
              <w:left w:val="nil"/>
              <w:bottom w:val="single" w:sz="4" w:space="0" w:color="004D8F"/>
              <w:right w:val="nil"/>
            </w:tcBorders>
            <w:shd w:val="clear" w:color="auto" w:fill="auto"/>
            <w:vAlign w:val="bottom"/>
          </w:tcPr>
          <w:p w:rsidR="00E8457F" w:rsidRPr="00E8457F" w:rsidRDefault="00E8457F" w:rsidP="00E8457F">
            <w:pPr>
              <w:pStyle w:val="TableParagraph"/>
              <w:spacing w:before="51"/>
              <w:ind w:right="432"/>
              <w:rPr>
                <w:rFonts w:ascii="Gill Sans MT" w:hAnsi="Gill Sans MT"/>
                <w:b/>
                <w:sz w:val="20"/>
              </w:rPr>
            </w:pPr>
            <w:r>
              <w:rPr>
                <w:rFonts w:ascii="Gill Sans MT" w:hAnsi="Gill Sans MT"/>
                <w:b/>
                <w:sz w:val="20"/>
              </w:rPr>
              <w:t>Description</w:t>
            </w:r>
          </w:p>
        </w:tc>
        <w:tc>
          <w:tcPr>
            <w:tcW w:w="1263" w:type="dxa"/>
            <w:gridSpan w:val="2"/>
            <w:tcBorders>
              <w:top w:val="single" w:sz="4" w:space="0" w:color="004D8F"/>
              <w:left w:val="nil"/>
              <w:bottom w:val="single" w:sz="4" w:space="0" w:color="004D8F"/>
              <w:right w:val="nil"/>
            </w:tcBorders>
            <w:shd w:val="clear" w:color="auto" w:fill="auto"/>
            <w:vAlign w:val="bottom"/>
          </w:tcPr>
          <w:p w:rsidR="00E8457F" w:rsidRPr="00E8457F" w:rsidRDefault="00E8457F" w:rsidP="00E8457F">
            <w:pPr>
              <w:pStyle w:val="TableParagraph"/>
              <w:spacing w:before="1"/>
              <w:ind w:right="271"/>
              <w:jc w:val="right"/>
              <w:rPr>
                <w:rFonts w:ascii="Gill Sans MT" w:hAnsi="Gill Sans MT"/>
                <w:b/>
                <w:sz w:val="20"/>
              </w:rPr>
            </w:pPr>
            <w:r w:rsidRPr="00E8457F">
              <w:rPr>
                <w:rFonts w:ascii="Gill Sans MT" w:hAnsi="Gill Sans MT"/>
                <w:b/>
                <w:sz w:val="20"/>
              </w:rPr>
              <w:t>2016</w:t>
            </w:r>
            <w:r>
              <w:rPr>
                <w:rFonts w:ascii="Gill Sans MT" w:hAnsi="Gill Sans MT"/>
                <w:b/>
                <w:sz w:val="20"/>
              </w:rPr>
              <w:br/>
            </w:r>
            <w:r w:rsidRPr="00E8457F">
              <w:rPr>
                <w:rFonts w:ascii="Gill Sans MT" w:hAnsi="Gill Sans MT"/>
                <w:b/>
                <w:sz w:val="20"/>
              </w:rPr>
              <w:t>$’000</w:t>
            </w:r>
          </w:p>
        </w:tc>
      </w:tr>
      <w:tr w:rsidR="00E8457F" w:rsidRPr="00E8457F" w:rsidTr="00E8457F">
        <w:trPr>
          <w:trHeight w:hRule="exact" w:val="334"/>
        </w:trPr>
        <w:tc>
          <w:tcPr>
            <w:tcW w:w="8097" w:type="dxa"/>
            <w:gridSpan w:val="2"/>
            <w:tcBorders>
              <w:top w:val="single" w:sz="4" w:space="0" w:color="004D8F"/>
            </w:tcBorders>
            <w:shd w:val="clear" w:color="auto" w:fill="auto"/>
          </w:tcPr>
          <w:p w:rsidR="00E8457F" w:rsidRPr="00E8457F" w:rsidRDefault="00E8457F" w:rsidP="009555B2">
            <w:pPr>
              <w:pStyle w:val="TableParagraph"/>
              <w:spacing w:before="60"/>
              <w:ind w:left="79"/>
              <w:rPr>
                <w:rFonts w:ascii="Gill Sans MT" w:hAnsi="Gill Sans MT"/>
                <w:sz w:val="20"/>
              </w:rPr>
            </w:pPr>
            <w:r w:rsidRPr="00E8457F">
              <w:rPr>
                <w:rFonts w:ascii="Gill Sans MT" w:hAnsi="Gill Sans MT"/>
                <w:sz w:val="20"/>
              </w:rPr>
              <w:t>Consultants</w:t>
            </w:r>
          </w:p>
        </w:tc>
        <w:tc>
          <w:tcPr>
            <w:tcW w:w="1246" w:type="dxa"/>
            <w:tcBorders>
              <w:top w:val="single" w:sz="4" w:space="0" w:color="004D8F"/>
            </w:tcBorders>
            <w:shd w:val="clear" w:color="auto" w:fill="auto"/>
          </w:tcPr>
          <w:p w:rsidR="00E8457F" w:rsidRPr="00E8457F" w:rsidRDefault="00E8457F" w:rsidP="009555B2">
            <w:pPr>
              <w:pStyle w:val="TableParagraph"/>
              <w:spacing w:before="60"/>
              <w:ind w:right="224"/>
              <w:jc w:val="right"/>
              <w:rPr>
                <w:rFonts w:ascii="Gill Sans MT" w:hAnsi="Gill Sans MT"/>
                <w:sz w:val="20"/>
              </w:rPr>
            </w:pPr>
            <w:r w:rsidRPr="00E8457F">
              <w:rPr>
                <w:rFonts w:ascii="Gill Sans MT" w:hAnsi="Gill Sans MT"/>
                <w:sz w:val="20"/>
              </w:rPr>
              <w:t>934</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Property services</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31 967</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Maintenance</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17 193</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Communications</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6 431</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Information technology</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5 132</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Travel and transport</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10 209</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Medical, surgical and pharmacy supplies</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235 914</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Advertising and promotion</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171</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Patient and client services</w:t>
            </w:r>
          </w:p>
        </w:tc>
        <w:tc>
          <w:tcPr>
            <w:tcW w:w="1246" w:type="dxa"/>
            <w:shd w:val="clear" w:color="auto" w:fill="auto"/>
          </w:tcPr>
          <w:p w:rsidR="00E8457F" w:rsidRPr="00E8457F" w:rsidRDefault="00E8457F" w:rsidP="009555B2">
            <w:pPr>
              <w:pStyle w:val="TableParagraph"/>
              <w:spacing w:before="46"/>
              <w:ind w:right="219"/>
              <w:jc w:val="right"/>
              <w:rPr>
                <w:rFonts w:ascii="Gill Sans MT" w:hAnsi="Gill Sans MT"/>
                <w:sz w:val="20"/>
              </w:rPr>
            </w:pPr>
            <w:r w:rsidRPr="00E8457F">
              <w:rPr>
                <w:rFonts w:ascii="Gill Sans MT" w:hAnsi="Gill Sans MT"/>
                <w:sz w:val="20"/>
              </w:rPr>
              <w:t>28 222</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Leasing costs</w:t>
            </w:r>
          </w:p>
        </w:tc>
        <w:tc>
          <w:tcPr>
            <w:tcW w:w="1246" w:type="dxa"/>
            <w:shd w:val="clear" w:color="auto" w:fill="auto"/>
          </w:tcPr>
          <w:p w:rsidR="00E8457F" w:rsidRPr="00E8457F" w:rsidRDefault="00E8457F" w:rsidP="009555B2">
            <w:pPr>
              <w:pStyle w:val="TableParagraph"/>
              <w:spacing w:before="46"/>
              <w:ind w:right="229"/>
              <w:jc w:val="right"/>
              <w:rPr>
                <w:rFonts w:ascii="Gill Sans MT" w:hAnsi="Gill Sans MT"/>
                <w:sz w:val="20"/>
              </w:rPr>
            </w:pPr>
            <w:r w:rsidRPr="00E8457F">
              <w:rPr>
                <w:rFonts w:ascii="Gill Sans MT" w:hAnsi="Gill Sans MT"/>
                <w:sz w:val="20"/>
              </w:rPr>
              <w:t>3 524</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Equipment and furniture</w:t>
            </w:r>
          </w:p>
        </w:tc>
        <w:tc>
          <w:tcPr>
            <w:tcW w:w="1246" w:type="dxa"/>
            <w:shd w:val="clear" w:color="auto" w:fill="auto"/>
          </w:tcPr>
          <w:p w:rsidR="00E8457F" w:rsidRPr="00E8457F" w:rsidRDefault="00E8457F" w:rsidP="009555B2">
            <w:pPr>
              <w:pStyle w:val="TableParagraph"/>
              <w:spacing w:before="46"/>
              <w:ind w:right="225"/>
              <w:jc w:val="right"/>
              <w:rPr>
                <w:rFonts w:ascii="Gill Sans MT" w:hAnsi="Gill Sans MT"/>
                <w:sz w:val="20"/>
              </w:rPr>
            </w:pPr>
            <w:r w:rsidRPr="00E8457F">
              <w:rPr>
                <w:rFonts w:ascii="Gill Sans MT" w:hAnsi="Gill Sans MT"/>
                <w:sz w:val="20"/>
              </w:rPr>
              <w:t>5 049</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Administration</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6 899</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Food production costs</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9 208</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Other supplies and consumables</w:t>
            </w:r>
          </w:p>
        </w:tc>
        <w:tc>
          <w:tcPr>
            <w:tcW w:w="1246" w:type="dxa"/>
            <w:shd w:val="clear" w:color="auto" w:fill="auto"/>
          </w:tcPr>
          <w:p w:rsidR="00E8457F" w:rsidRPr="00E8457F" w:rsidRDefault="00E8457F" w:rsidP="009555B2">
            <w:pPr>
              <w:pStyle w:val="TableParagraph"/>
              <w:spacing w:before="46"/>
              <w:ind w:right="235"/>
              <w:jc w:val="right"/>
              <w:rPr>
                <w:rFonts w:ascii="Gill Sans MT" w:hAnsi="Gill Sans MT"/>
                <w:sz w:val="20"/>
              </w:rPr>
            </w:pPr>
            <w:r w:rsidRPr="00E8457F">
              <w:rPr>
                <w:rFonts w:ascii="Gill Sans MT" w:hAnsi="Gill Sans MT"/>
                <w:sz w:val="20"/>
              </w:rPr>
              <w:t>5 241</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Corporate overhead charge</w:t>
            </w:r>
          </w:p>
        </w:tc>
        <w:tc>
          <w:tcPr>
            <w:tcW w:w="1246" w:type="dxa"/>
            <w:shd w:val="clear" w:color="auto" w:fill="auto"/>
          </w:tcPr>
          <w:p w:rsidR="00E8457F" w:rsidRPr="00E8457F" w:rsidRDefault="00E8457F" w:rsidP="009555B2">
            <w:pPr>
              <w:pStyle w:val="TableParagraph"/>
              <w:spacing w:before="46"/>
              <w:ind w:right="224"/>
              <w:jc w:val="right"/>
              <w:rPr>
                <w:rFonts w:ascii="Gill Sans MT" w:hAnsi="Gill Sans MT"/>
                <w:sz w:val="20"/>
              </w:rPr>
            </w:pPr>
            <w:r w:rsidRPr="00E8457F">
              <w:rPr>
                <w:rFonts w:ascii="Gill Sans MT" w:hAnsi="Gill Sans MT"/>
                <w:sz w:val="20"/>
              </w:rPr>
              <w:t>26 600</w:t>
            </w:r>
          </w:p>
        </w:tc>
      </w:tr>
      <w:tr w:rsidR="00E8457F" w:rsidRPr="00E8457F" w:rsidTr="00E8457F">
        <w:trPr>
          <w:trHeight w:hRule="exact" w:val="320"/>
        </w:trPr>
        <w:tc>
          <w:tcPr>
            <w:tcW w:w="8097" w:type="dxa"/>
            <w:gridSpan w:val="2"/>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Service fees</w:t>
            </w:r>
          </w:p>
        </w:tc>
        <w:tc>
          <w:tcPr>
            <w:tcW w:w="1246" w:type="dxa"/>
            <w:shd w:val="clear" w:color="auto" w:fill="auto"/>
          </w:tcPr>
          <w:p w:rsidR="00E8457F" w:rsidRPr="00E8457F" w:rsidRDefault="00E8457F" w:rsidP="009555B2">
            <w:pPr>
              <w:pStyle w:val="TableParagraph"/>
              <w:spacing w:before="46"/>
              <w:ind w:right="228"/>
              <w:jc w:val="right"/>
              <w:rPr>
                <w:rFonts w:ascii="Gill Sans MT" w:hAnsi="Gill Sans MT"/>
                <w:sz w:val="20"/>
              </w:rPr>
            </w:pPr>
            <w:r w:rsidRPr="00E8457F">
              <w:rPr>
                <w:rFonts w:ascii="Gill Sans MT" w:hAnsi="Gill Sans MT"/>
                <w:sz w:val="20"/>
              </w:rPr>
              <w:t>1 642</w:t>
            </w:r>
          </w:p>
        </w:tc>
      </w:tr>
      <w:tr w:rsidR="00E8457F" w:rsidRPr="00E8457F" w:rsidTr="00E8457F">
        <w:trPr>
          <w:trHeight w:hRule="exact" w:val="306"/>
        </w:trPr>
        <w:tc>
          <w:tcPr>
            <w:tcW w:w="8097" w:type="dxa"/>
            <w:gridSpan w:val="2"/>
            <w:tcBorders>
              <w:bottom w:val="single" w:sz="4" w:space="0" w:color="004D8F"/>
            </w:tcBorders>
            <w:shd w:val="clear" w:color="auto" w:fill="auto"/>
          </w:tcPr>
          <w:p w:rsidR="00E8457F" w:rsidRPr="00E8457F" w:rsidRDefault="00E8457F" w:rsidP="009555B2">
            <w:pPr>
              <w:pStyle w:val="TableParagraph"/>
              <w:spacing w:before="46"/>
              <w:ind w:left="79"/>
              <w:rPr>
                <w:rFonts w:ascii="Gill Sans MT" w:hAnsi="Gill Sans MT"/>
                <w:sz w:val="20"/>
              </w:rPr>
            </w:pPr>
            <w:r w:rsidRPr="00E8457F">
              <w:rPr>
                <w:rFonts w:ascii="Gill Sans MT" w:hAnsi="Gill Sans MT"/>
                <w:sz w:val="20"/>
              </w:rPr>
              <w:t>Audit fees - Financial Audit</w:t>
            </w:r>
          </w:p>
        </w:tc>
        <w:tc>
          <w:tcPr>
            <w:tcW w:w="1246" w:type="dxa"/>
            <w:tcBorders>
              <w:bottom w:val="single" w:sz="4" w:space="0" w:color="004D8F"/>
            </w:tcBorders>
            <w:shd w:val="clear" w:color="auto" w:fill="auto"/>
          </w:tcPr>
          <w:p w:rsidR="00E8457F" w:rsidRPr="00E8457F" w:rsidRDefault="00E8457F" w:rsidP="009555B2">
            <w:pPr>
              <w:pStyle w:val="TableParagraph"/>
              <w:spacing w:before="46"/>
              <w:ind w:right="223"/>
              <w:jc w:val="right"/>
              <w:rPr>
                <w:rFonts w:ascii="Gill Sans MT" w:hAnsi="Gill Sans MT"/>
                <w:sz w:val="20"/>
              </w:rPr>
            </w:pPr>
            <w:r w:rsidRPr="00E8457F">
              <w:rPr>
                <w:rFonts w:ascii="Gill Sans MT" w:hAnsi="Gill Sans MT"/>
                <w:sz w:val="20"/>
              </w:rPr>
              <w:t>239</w:t>
            </w:r>
          </w:p>
        </w:tc>
      </w:tr>
      <w:tr w:rsidR="00E8457F" w:rsidRPr="00E8457F" w:rsidTr="00E8457F">
        <w:trPr>
          <w:trHeight w:hRule="exact" w:val="320"/>
        </w:trPr>
        <w:tc>
          <w:tcPr>
            <w:tcW w:w="8097" w:type="dxa"/>
            <w:gridSpan w:val="2"/>
            <w:tcBorders>
              <w:top w:val="single" w:sz="4" w:space="0" w:color="004D8F"/>
              <w:bottom w:val="single" w:sz="4" w:space="0" w:color="004D8F"/>
            </w:tcBorders>
            <w:shd w:val="clear" w:color="auto" w:fill="auto"/>
          </w:tcPr>
          <w:p w:rsidR="00E8457F" w:rsidRPr="00E8457F" w:rsidRDefault="00E8457F" w:rsidP="009555B2">
            <w:pPr>
              <w:pStyle w:val="TableParagraph"/>
              <w:spacing w:before="51"/>
              <w:ind w:left="79"/>
              <w:rPr>
                <w:rFonts w:ascii="Gill Sans MT" w:hAnsi="Gill Sans MT"/>
                <w:b/>
                <w:sz w:val="20"/>
              </w:rPr>
            </w:pPr>
            <w:r w:rsidRPr="00E8457F">
              <w:rPr>
                <w:rFonts w:ascii="Gill Sans MT" w:hAnsi="Gill Sans MT"/>
                <w:b/>
                <w:sz w:val="20"/>
              </w:rPr>
              <w:t>Total</w:t>
            </w:r>
          </w:p>
        </w:tc>
        <w:tc>
          <w:tcPr>
            <w:tcW w:w="1246" w:type="dxa"/>
            <w:tcBorders>
              <w:top w:val="single" w:sz="4" w:space="0" w:color="004D8F"/>
              <w:bottom w:val="single" w:sz="4" w:space="0" w:color="004D8F"/>
            </w:tcBorders>
            <w:shd w:val="clear" w:color="auto" w:fill="auto"/>
          </w:tcPr>
          <w:p w:rsidR="00E8457F" w:rsidRPr="00E8457F" w:rsidRDefault="00E8457F" w:rsidP="009555B2">
            <w:pPr>
              <w:pStyle w:val="TableParagraph"/>
              <w:spacing w:before="47"/>
              <w:ind w:right="224"/>
              <w:jc w:val="right"/>
              <w:rPr>
                <w:rFonts w:ascii="Gill Sans MT" w:hAnsi="Gill Sans MT"/>
                <w:b/>
                <w:sz w:val="20"/>
              </w:rPr>
            </w:pPr>
            <w:r w:rsidRPr="00E8457F">
              <w:rPr>
                <w:rFonts w:ascii="Gill Sans MT" w:hAnsi="Gill Sans MT"/>
                <w:b/>
                <w:sz w:val="20"/>
              </w:rPr>
              <w:t>394 575</w:t>
            </w:r>
          </w:p>
        </w:tc>
      </w:tr>
    </w:tbl>
    <w:p w:rsidR="00E8457F" w:rsidRDefault="00E8457F" w:rsidP="00E8457F"/>
    <w:p w:rsidR="00E8457F" w:rsidRDefault="00E8457F" w:rsidP="00E8457F">
      <w:pPr>
        <w:pStyle w:val="Heading5"/>
        <w:tabs>
          <w:tab w:val="left" w:pos="567"/>
        </w:tabs>
      </w:pPr>
      <w:r>
        <w:t xml:space="preserve">6.4 </w:t>
      </w:r>
      <w:r>
        <w:tab/>
        <w:t>Grants and Subsidies</w:t>
      </w:r>
    </w:p>
    <w:p w:rsidR="00E8457F" w:rsidRDefault="00E8457F" w:rsidP="00E8457F">
      <w:pPr>
        <w:pStyle w:val="BodyText"/>
      </w:pPr>
      <w:r>
        <w:t>Grant and subsidies expenditure is recognised to the extent that:</w:t>
      </w:r>
    </w:p>
    <w:p w:rsidR="00E8457F" w:rsidRDefault="00E8457F" w:rsidP="00580D66">
      <w:pPr>
        <w:pStyle w:val="BodyText"/>
        <w:ind w:left="567" w:hanging="567"/>
      </w:pPr>
      <w:r>
        <w:t xml:space="preserve">• </w:t>
      </w:r>
      <w:r w:rsidR="00580D66">
        <w:tab/>
      </w:r>
      <w:proofErr w:type="gramStart"/>
      <w:r>
        <w:t>the</w:t>
      </w:r>
      <w:proofErr w:type="gramEnd"/>
      <w:r>
        <w:t xml:space="preserve"> services required to be performed by the grantee have been performed; or</w:t>
      </w:r>
    </w:p>
    <w:p w:rsidR="00E8457F" w:rsidRDefault="00E8457F" w:rsidP="00580D66">
      <w:pPr>
        <w:pStyle w:val="BodyText"/>
        <w:ind w:left="567" w:hanging="567"/>
      </w:pPr>
      <w:r>
        <w:t xml:space="preserve">• </w:t>
      </w:r>
      <w:r w:rsidR="00580D66">
        <w:tab/>
      </w:r>
      <w:proofErr w:type="gramStart"/>
      <w:r>
        <w:t>the</w:t>
      </w:r>
      <w:proofErr w:type="gramEnd"/>
      <w:r>
        <w:t xml:space="preserve"> grant eligibility criteria have been satisfied.</w:t>
      </w:r>
    </w:p>
    <w:p w:rsidR="00E8457F" w:rsidRDefault="00E8457F" w:rsidP="00E8457F">
      <w:pPr>
        <w:pStyle w:val="BodyText"/>
      </w:pPr>
      <w:r>
        <w:t>A liability is recorded when the THS has a binding agreement to make the grants but services have not been performed or criteria satisfied. Where grant monies are paid in advance of performance or eligibility, a prepayment is recognised.</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Grants and Subsidies"/>
      </w:tblPr>
      <w:tblGrid>
        <w:gridCol w:w="8080"/>
        <w:gridCol w:w="17"/>
        <w:gridCol w:w="1259"/>
      </w:tblGrid>
      <w:tr w:rsidR="009555B2" w:rsidRPr="00232305" w:rsidTr="00232305">
        <w:trPr>
          <w:trHeight w:hRule="exact" w:val="560"/>
        </w:trPr>
        <w:tc>
          <w:tcPr>
            <w:tcW w:w="8080" w:type="dxa"/>
            <w:tcBorders>
              <w:top w:val="single" w:sz="4" w:space="0" w:color="004D8F"/>
              <w:left w:val="nil"/>
              <w:bottom w:val="single" w:sz="4" w:space="0" w:color="004D8F"/>
              <w:right w:val="nil"/>
            </w:tcBorders>
            <w:shd w:val="clear" w:color="auto" w:fill="auto"/>
          </w:tcPr>
          <w:p w:rsidR="009555B2" w:rsidRPr="00232305" w:rsidRDefault="009555B2" w:rsidP="009555B2">
            <w:pPr>
              <w:pStyle w:val="TableParagraph"/>
              <w:spacing w:before="51"/>
              <w:ind w:right="428"/>
              <w:rPr>
                <w:rFonts w:ascii="Gill Sans MT" w:hAnsi="Gill Sans MT"/>
                <w:b/>
                <w:sz w:val="18"/>
                <w:szCs w:val="18"/>
              </w:rPr>
            </w:pPr>
            <w:r w:rsidRPr="00232305">
              <w:rPr>
                <w:rFonts w:ascii="Gill Sans MT" w:hAnsi="Gill Sans MT"/>
                <w:b/>
                <w:sz w:val="18"/>
                <w:szCs w:val="18"/>
              </w:rPr>
              <w:t>Description</w:t>
            </w:r>
          </w:p>
        </w:tc>
        <w:tc>
          <w:tcPr>
            <w:tcW w:w="1276" w:type="dxa"/>
            <w:gridSpan w:val="2"/>
            <w:tcBorders>
              <w:top w:val="single" w:sz="4" w:space="0" w:color="004D8F"/>
              <w:left w:val="nil"/>
              <w:bottom w:val="single" w:sz="4" w:space="0" w:color="004D8F"/>
              <w:right w:val="nil"/>
            </w:tcBorders>
            <w:shd w:val="clear" w:color="auto" w:fill="auto"/>
          </w:tcPr>
          <w:p w:rsidR="009555B2" w:rsidRPr="00232305" w:rsidRDefault="009555B2" w:rsidP="009555B2">
            <w:pPr>
              <w:pStyle w:val="TableParagraph"/>
              <w:spacing w:before="1"/>
              <w:ind w:right="376"/>
              <w:jc w:val="right"/>
              <w:rPr>
                <w:rFonts w:ascii="Gill Sans MT" w:hAnsi="Gill Sans MT"/>
                <w:b/>
                <w:sz w:val="18"/>
                <w:szCs w:val="18"/>
              </w:rPr>
            </w:pPr>
            <w:r w:rsidRPr="00232305">
              <w:rPr>
                <w:rFonts w:ascii="Gill Sans MT" w:hAnsi="Gill Sans MT"/>
                <w:b/>
                <w:sz w:val="18"/>
                <w:szCs w:val="18"/>
              </w:rPr>
              <w:t>2016</w:t>
            </w:r>
            <w:r w:rsidRPr="00232305">
              <w:rPr>
                <w:rFonts w:ascii="Gill Sans MT" w:hAnsi="Gill Sans MT"/>
                <w:b/>
                <w:sz w:val="18"/>
                <w:szCs w:val="18"/>
              </w:rPr>
              <w:br/>
              <w:t>$’000</w:t>
            </w:r>
          </w:p>
        </w:tc>
      </w:tr>
      <w:tr w:rsidR="009555B2" w:rsidRPr="00232305" w:rsidTr="00232305">
        <w:trPr>
          <w:trHeight w:hRule="exact" w:val="352"/>
        </w:trPr>
        <w:tc>
          <w:tcPr>
            <w:tcW w:w="8097" w:type="dxa"/>
            <w:gridSpan w:val="2"/>
            <w:tcBorders>
              <w:top w:val="single" w:sz="4" w:space="0" w:color="004D8F"/>
              <w:bottom w:val="dotted" w:sz="4" w:space="0" w:color="auto"/>
            </w:tcBorders>
            <w:shd w:val="clear" w:color="auto" w:fill="auto"/>
          </w:tcPr>
          <w:p w:rsidR="009555B2" w:rsidRPr="00232305" w:rsidRDefault="00232305" w:rsidP="00232305">
            <w:pPr>
              <w:pStyle w:val="TableParagraph"/>
              <w:spacing w:before="51"/>
              <w:rPr>
                <w:rFonts w:ascii="Gill Sans MT" w:hAnsi="Gill Sans MT"/>
                <w:b/>
                <w:sz w:val="18"/>
                <w:szCs w:val="18"/>
              </w:rPr>
            </w:pPr>
            <w:r>
              <w:rPr>
                <w:rFonts w:ascii="Gill Sans MT" w:hAnsi="Gill Sans MT"/>
                <w:b/>
                <w:sz w:val="18"/>
                <w:szCs w:val="18"/>
              </w:rPr>
              <w:t>Other Grants</w:t>
            </w:r>
          </w:p>
        </w:tc>
        <w:tc>
          <w:tcPr>
            <w:tcW w:w="1259" w:type="dxa"/>
            <w:tcBorders>
              <w:top w:val="single" w:sz="4" w:space="0" w:color="004D8F"/>
              <w:bottom w:val="dotted" w:sz="4" w:space="0" w:color="auto"/>
            </w:tcBorders>
            <w:shd w:val="clear" w:color="auto" w:fill="auto"/>
          </w:tcPr>
          <w:p w:rsidR="009555B2" w:rsidRPr="00232305" w:rsidRDefault="009555B2" w:rsidP="009555B2">
            <w:pPr>
              <w:pStyle w:val="TableParagraph"/>
              <w:spacing w:before="1"/>
              <w:ind w:right="224"/>
              <w:jc w:val="right"/>
              <w:rPr>
                <w:rFonts w:ascii="Gill Sans MT" w:hAnsi="Gill Sans MT"/>
                <w:sz w:val="18"/>
                <w:szCs w:val="18"/>
              </w:rPr>
            </w:pPr>
            <w:r w:rsidRPr="00232305">
              <w:rPr>
                <w:rFonts w:ascii="Gill Sans MT" w:hAnsi="Gill Sans MT"/>
                <w:sz w:val="18"/>
                <w:szCs w:val="18"/>
              </w:rPr>
              <w:t>7 178</w:t>
            </w:r>
          </w:p>
        </w:tc>
      </w:tr>
      <w:tr w:rsidR="009555B2" w:rsidRPr="00232305" w:rsidTr="00232305">
        <w:trPr>
          <w:trHeight w:hRule="exact" w:val="420"/>
        </w:trPr>
        <w:tc>
          <w:tcPr>
            <w:tcW w:w="8097" w:type="dxa"/>
            <w:gridSpan w:val="2"/>
            <w:tcBorders>
              <w:top w:val="dotted" w:sz="4" w:space="0" w:color="auto"/>
              <w:bottom w:val="single" w:sz="4" w:space="0" w:color="004D8F"/>
            </w:tcBorders>
            <w:shd w:val="clear" w:color="auto" w:fill="auto"/>
          </w:tcPr>
          <w:p w:rsidR="00232305" w:rsidRPr="00232305" w:rsidRDefault="00232305" w:rsidP="00232305">
            <w:pPr>
              <w:pStyle w:val="TableParagraph"/>
              <w:spacing w:before="90"/>
              <w:rPr>
                <w:rFonts w:ascii="Gill Sans MT" w:hAnsi="Gill Sans MT"/>
                <w:sz w:val="18"/>
                <w:szCs w:val="18"/>
              </w:rPr>
            </w:pPr>
            <w:r w:rsidRPr="00232305">
              <w:rPr>
                <w:rFonts w:ascii="Gill Sans MT" w:hAnsi="Gill Sans MT"/>
                <w:sz w:val="18"/>
                <w:szCs w:val="18"/>
              </w:rPr>
              <w:t>Grant - Other</w:t>
            </w:r>
          </w:p>
          <w:p w:rsidR="009555B2" w:rsidRPr="00232305" w:rsidRDefault="009555B2" w:rsidP="009555B2">
            <w:pPr>
              <w:rPr>
                <w:rFonts w:ascii="Gill Sans MT" w:hAnsi="Gill Sans MT"/>
                <w:sz w:val="18"/>
                <w:szCs w:val="18"/>
              </w:rPr>
            </w:pPr>
          </w:p>
        </w:tc>
        <w:tc>
          <w:tcPr>
            <w:tcW w:w="1259" w:type="dxa"/>
            <w:tcBorders>
              <w:top w:val="dotted" w:sz="4" w:space="0" w:color="auto"/>
              <w:bottom w:val="single" w:sz="4" w:space="0" w:color="004D8F"/>
            </w:tcBorders>
            <w:shd w:val="clear" w:color="auto" w:fill="auto"/>
          </w:tcPr>
          <w:p w:rsidR="009555B2" w:rsidRPr="00232305" w:rsidRDefault="009555B2" w:rsidP="009555B2">
            <w:pPr>
              <w:pStyle w:val="TableParagraph"/>
              <w:spacing w:before="56"/>
              <w:ind w:right="224"/>
              <w:jc w:val="right"/>
              <w:rPr>
                <w:rFonts w:ascii="Gill Sans MT" w:hAnsi="Gill Sans MT"/>
                <w:sz w:val="18"/>
                <w:szCs w:val="18"/>
              </w:rPr>
            </w:pPr>
            <w:r w:rsidRPr="00232305">
              <w:rPr>
                <w:rFonts w:ascii="Gill Sans MT" w:hAnsi="Gill Sans MT"/>
                <w:sz w:val="18"/>
                <w:szCs w:val="18"/>
              </w:rPr>
              <w:t>7 178</w:t>
            </w:r>
          </w:p>
        </w:tc>
      </w:tr>
      <w:tr w:rsidR="009555B2" w:rsidRPr="00232305" w:rsidTr="00232305">
        <w:trPr>
          <w:trHeight w:hRule="exact" w:val="320"/>
        </w:trPr>
        <w:tc>
          <w:tcPr>
            <w:tcW w:w="8097" w:type="dxa"/>
            <w:gridSpan w:val="2"/>
            <w:tcBorders>
              <w:top w:val="single" w:sz="4" w:space="0" w:color="004D8F"/>
              <w:bottom w:val="single" w:sz="4" w:space="0" w:color="004D8F"/>
            </w:tcBorders>
            <w:shd w:val="clear" w:color="auto" w:fill="auto"/>
          </w:tcPr>
          <w:p w:rsidR="009555B2" w:rsidRPr="00232305" w:rsidRDefault="00232305" w:rsidP="009555B2">
            <w:pPr>
              <w:rPr>
                <w:rFonts w:ascii="Gill Sans MT" w:hAnsi="Gill Sans MT"/>
                <w:sz w:val="18"/>
                <w:szCs w:val="18"/>
              </w:rPr>
            </w:pPr>
            <w:r w:rsidRPr="00232305">
              <w:rPr>
                <w:rFonts w:ascii="Gill Sans MT" w:hAnsi="Gill Sans MT"/>
                <w:sz w:val="18"/>
                <w:szCs w:val="18"/>
              </w:rPr>
              <w:t>Total</w:t>
            </w:r>
          </w:p>
        </w:tc>
        <w:tc>
          <w:tcPr>
            <w:tcW w:w="1259" w:type="dxa"/>
            <w:tcBorders>
              <w:top w:val="single" w:sz="4" w:space="0" w:color="004D8F"/>
              <w:bottom w:val="single" w:sz="4" w:space="0" w:color="004D8F"/>
            </w:tcBorders>
            <w:shd w:val="clear" w:color="auto" w:fill="auto"/>
          </w:tcPr>
          <w:p w:rsidR="009555B2" w:rsidRPr="00232305" w:rsidRDefault="009555B2" w:rsidP="009555B2">
            <w:pPr>
              <w:pStyle w:val="TableParagraph"/>
              <w:spacing w:before="47"/>
              <w:ind w:right="224"/>
              <w:jc w:val="right"/>
              <w:rPr>
                <w:rFonts w:ascii="Gill Sans MT" w:hAnsi="Gill Sans MT"/>
                <w:b/>
                <w:sz w:val="18"/>
                <w:szCs w:val="18"/>
              </w:rPr>
            </w:pPr>
            <w:r w:rsidRPr="00232305">
              <w:rPr>
                <w:rFonts w:ascii="Gill Sans MT" w:hAnsi="Gill Sans MT"/>
                <w:b/>
                <w:sz w:val="18"/>
                <w:szCs w:val="18"/>
              </w:rPr>
              <w:t>7 178</w:t>
            </w:r>
          </w:p>
        </w:tc>
      </w:tr>
    </w:tbl>
    <w:p w:rsidR="00232305" w:rsidRDefault="00232305" w:rsidP="00E8457F">
      <w:pPr>
        <w:pStyle w:val="BodyText"/>
      </w:pPr>
    </w:p>
    <w:p w:rsidR="00232305" w:rsidRDefault="00232305">
      <w:pPr>
        <w:rPr>
          <w:rFonts w:ascii="Gill Sans MT" w:eastAsia="GillSans-Light" w:hAnsi="Gill Sans MT" w:cs="GillSans-Light"/>
          <w:lang w:val="en-US"/>
        </w:rPr>
      </w:pPr>
      <w:r>
        <w:br w:type="page"/>
      </w:r>
    </w:p>
    <w:p w:rsidR="00E8457F" w:rsidRDefault="00232305" w:rsidP="00232305">
      <w:pPr>
        <w:pStyle w:val="Heading5"/>
        <w:tabs>
          <w:tab w:val="left" w:pos="567"/>
        </w:tabs>
      </w:pPr>
      <w:r>
        <w:lastRenderedPageBreak/>
        <w:t xml:space="preserve">6.5 </w:t>
      </w:r>
      <w:r>
        <w:tab/>
        <w:t>Other Expenses</w:t>
      </w:r>
    </w:p>
    <w:p w:rsidR="00232305" w:rsidRDefault="00232305" w:rsidP="00232305"/>
    <w:p w:rsidR="00232305" w:rsidRDefault="00232305" w:rsidP="00232305">
      <w:pPr>
        <w:pStyle w:val="BodyText"/>
      </w:pPr>
      <w:r>
        <w:t xml:space="preserve">Other expenses are recognised when </w:t>
      </w:r>
      <w:proofErr w:type="gramStart"/>
      <w:r>
        <w:t>a decrease in future economic benefits</w:t>
      </w:r>
      <w:proofErr w:type="gramEnd"/>
      <w:r>
        <w:t xml:space="preserve"> related to a decrease in an asset or an increase of a liability has arisen that can be reliably measured.</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Other Expenses"/>
      </w:tblPr>
      <w:tblGrid>
        <w:gridCol w:w="8222"/>
        <w:gridCol w:w="1417"/>
      </w:tblGrid>
      <w:tr w:rsidR="00837A83" w:rsidRPr="00837A83" w:rsidTr="00966F46">
        <w:trPr>
          <w:trHeight w:hRule="exact" w:val="560"/>
        </w:trPr>
        <w:tc>
          <w:tcPr>
            <w:tcW w:w="8222" w:type="dxa"/>
            <w:tcBorders>
              <w:top w:val="single" w:sz="4" w:space="0" w:color="004D8F"/>
              <w:left w:val="nil"/>
              <w:bottom w:val="single" w:sz="4" w:space="0" w:color="004D8F"/>
              <w:right w:val="nil"/>
            </w:tcBorders>
            <w:shd w:val="clear" w:color="auto" w:fill="auto"/>
            <w:vAlign w:val="bottom"/>
          </w:tcPr>
          <w:p w:rsidR="00837A83" w:rsidRPr="00837A83" w:rsidRDefault="00837A83" w:rsidP="00837A83">
            <w:pPr>
              <w:pStyle w:val="TableParagraph"/>
              <w:spacing w:before="51"/>
              <w:ind w:right="456"/>
              <w:rPr>
                <w:rFonts w:ascii="GillSans-SemiBold"/>
                <w:b/>
                <w:sz w:val="20"/>
              </w:rPr>
            </w:pPr>
            <w:r>
              <w:rPr>
                <w:rFonts w:ascii="GillSans-SemiBold"/>
                <w:b/>
                <w:sz w:val="20"/>
              </w:rPr>
              <w:t>Description</w:t>
            </w:r>
          </w:p>
        </w:tc>
        <w:tc>
          <w:tcPr>
            <w:tcW w:w="1417" w:type="dxa"/>
            <w:tcBorders>
              <w:top w:val="single" w:sz="4" w:space="0" w:color="004D8F"/>
              <w:left w:val="nil"/>
              <w:bottom w:val="single" w:sz="4" w:space="0" w:color="004D8F"/>
              <w:right w:val="nil"/>
            </w:tcBorders>
            <w:shd w:val="clear" w:color="auto" w:fill="auto"/>
            <w:vAlign w:val="bottom"/>
          </w:tcPr>
          <w:p w:rsidR="00837A83" w:rsidRPr="00837A83" w:rsidRDefault="00837A83" w:rsidP="00837A83">
            <w:pPr>
              <w:pStyle w:val="TableParagraph"/>
              <w:spacing w:before="1"/>
              <w:ind w:right="405"/>
              <w:jc w:val="right"/>
              <w:rPr>
                <w:rFonts w:ascii="GillSans-SemiBold" w:hAnsi="GillSans-SemiBold"/>
                <w:b/>
                <w:sz w:val="20"/>
              </w:rPr>
            </w:pPr>
            <w:r w:rsidRPr="00837A83">
              <w:rPr>
                <w:rFonts w:ascii="GillSans-SemiBold"/>
                <w:b/>
                <w:sz w:val="20"/>
              </w:rPr>
              <w:t>2016</w:t>
            </w:r>
            <w:r>
              <w:rPr>
                <w:rFonts w:ascii="GillSans-SemiBold" w:hAnsi="GillSans-SemiBold"/>
                <w:b/>
                <w:sz w:val="20"/>
              </w:rPr>
              <w:br/>
            </w:r>
            <w:r w:rsidRPr="00837A83">
              <w:rPr>
                <w:rFonts w:ascii="GillSans-SemiBold" w:hAnsi="GillSans-SemiBold"/>
                <w:b/>
                <w:sz w:val="20"/>
              </w:rPr>
              <w:t>$’000</w:t>
            </w:r>
          </w:p>
        </w:tc>
      </w:tr>
      <w:tr w:rsidR="00966F46" w:rsidRPr="00837A83" w:rsidTr="00966F46">
        <w:trPr>
          <w:trHeight w:hRule="exact" w:val="449"/>
        </w:trPr>
        <w:tc>
          <w:tcPr>
            <w:tcW w:w="8222" w:type="dxa"/>
            <w:tcBorders>
              <w:top w:val="single" w:sz="4" w:space="0" w:color="004D8F"/>
              <w:bottom w:val="dotted" w:sz="4" w:space="0" w:color="auto"/>
            </w:tcBorders>
            <w:shd w:val="clear" w:color="auto" w:fill="auto"/>
          </w:tcPr>
          <w:p w:rsidR="00966F46" w:rsidRPr="00837A83" w:rsidRDefault="00966F46" w:rsidP="00966F46">
            <w:pPr>
              <w:pStyle w:val="TableParagraph"/>
              <w:spacing w:before="60"/>
              <w:ind w:left="79"/>
              <w:rPr>
                <w:rFonts w:ascii="Gill Sans MT" w:hAnsi="Gill Sans MT"/>
                <w:sz w:val="20"/>
              </w:rPr>
            </w:pPr>
            <w:r w:rsidRPr="00837A83">
              <w:rPr>
                <w:rFonts w:ascii="Gill Sans MT" w:hAnsi="Gill Sans MT"/>
                <w:sz w:val="20"/>
              </w:rPr>
              <w:t>Salary on-costs</w:t>
            </w:r>
          </w:p>
          <w:p w:rsidR="00966F46" w:rsidRPr="00837A83" w:rsidRDefault="00966F46" w:rsidP="00837A83">
            <w:pPr>
              <w:pStyle w:val="TableParagraph"/>
              <w:spacing w:before="60"/>
              <w:ind w:left="79"/>
              <w:rPr>
                <w:rFonts w:ascii="Gill Sans MT" w:hAnsi="Gill Sans MT"/>
                <w:sz w:val="20"/>
              </w:rPr>
            </w:pPr>
          </w:p>
        </w:tc>
        <w:tc>
          <w:tcPr>
            <w:tcW w:w="1417" w:type="dxa"/>
            <w:tcBorders>
              <w:top w:val="single" w:sz="4" w:space="0" w:color="004D8F"/>
              <w:bottom w:val="dotted" w:sz="4" w:space="0" w:color="auto"/>
            </w:tcBorders>
            <w:shd w:val="clear" w:color="auto" w:fill="auto"/>
          </w:tcPr>
          <w:p w:rsidR="00966F46" w:rsidRPr="00837A83" w:rsidRDefault="00966F46" w:rsidP="00966F46">
            <w:pPr>
              <w:pStyle w:val="TableParagraph"/>
              <w:spacing w:before="60"/>
              <w:ind w:left="500" w:right="119"/>
              <w:jc w:val="center"/>
              <w:rPr>
                <w:rFonts w:ascii="Gill Sans MT" w:hAnsi="Gill Sans MT"/>
                <w:sz w:val="20"/>
              </w:rPr>
            </w:pPr>
            <w:r w:rsidRPr="00837A83">
              <w:rPr>
                <w:rFonts w:ascii="Gill Sans MT" w:hAnsi="Gill Sans MT"/>
                <w:sz w:val="20"/>
              </w:rPr>
              <w:t>8 994</w:t>
            </w:r>
          </w:p>
          <w:p w:rsidR="00966F46" w:rsidRPr="00837A83" w:rsidRDefault="00966F46" w:rsidP="00837A83">
            <w:pPr>
              <w:pStyle w:val="TableParagraph"/>
              <w:spacing w:before="60"/>
              <w:ind w:left="500" w:right="119"/>
              <w:jc w:val="center"/>
              <w:rPr>
                <w:rFonts w:ascii="Gill Sans MT" w:hAnsi="Gill Sans MT"/>
                <w:sz w:val="20"/>
              </w:rPr>
            </w:pPr>
          </w:p>
        </w:tc>
      </w:tr>
      <w:tr w:rsidR="00966F46" w:rsidRPr="00837A83" w:rsidTr="00966F46">
        <w:trPr>
          <w:trHeight w:hRule="exact" w:val="427"/>
        </w:trPr>
        <w:tc>
          <w:tcPr>
            <w:tcW w:w="8222" w:type="dxa"/>
            <w:tcBorders>
              <w:top w:val="dotted" w:sz="4" w:space="0" w:color="auto"/>
              <w:bottom w:val="dotted" w:sz="4" w:space="0" w:color="auto"/>
            </w:tcBorders>
            <w:shd w:val="clear" w:color="auto" w:fill="auto"/>
          </w:tcPr>
          <w:p w:rsidR="00966F46" w:rsidRPr="00837A83" w:rsidRDefault="00966F46" w:rsidP="00837A83">
            <w:pPr>
              <w:pStyle w:val="TableParagraph"/>
              <w:spacing w:before="60"/>
              <w:ind w:left="79"/>
              <w:rPr>
                <w:rFonts w:ascii="Gill Sans MT" w:hAnsi="Gill Sans MT"/>
                <w:sz w:val="20"/>
              </w:rPr>
            </w:pPr>
            <w:r w:rsidRPr="00837A83">
              <w:rPr>
                <w:rFonts w:ascii="Gill Sans MT" w:hAnsi="Gill Sans MT"/>
                <w:sz w:val="20"/>
              </w:rPr>
              <w:t>Tasmanian Risk Management Fund premium</w:t>
            </w:r>
          </w:p>
        </w:tc>
        <w:tc>
          <w:tcPr>
            <w:tcW w:w="1417" w:type="dxa"/>
            <w:tcBorders>
              <w:top w:val="dotted" w:sz="4" w:space="0" w:color="auto"/>
              <w:bottom w:val="dotted" w:sz="4" w:space="0" w:color="auto"/>
            </w:tcBorders>
            <w:shd w:val="clear" w:color="auto" w:fill="auto"/>
          </w:tcPr>
          <w:p w:rsidR="00966F46" w:rsidRPr="00837A83" w:rsidRDefault="00966F46" w:rsidP="00966F46">
            <w:pPr>
              <w:pStyle w:val="TableParagraph"/>
              <w:spacing w:before="92"/>
              <w:ind w:left="537"/>
              <w:rPr>
                <w:rFonts w:ascii="Gill Sans MT" w:hAnsi="Gill Sans MT"/>
                <w:sz w:val="20"/>
              </w:rPr>
            </w:pPr>
            <w:r w:rsidRPr="00837A83">
              <w:rPr>
                <w:rFonts w:ascii="Gill Sans MT" w:hAnsi="Gill Sans MT"/>
                <w:sz w:val="20"/>
              </w:rPr>
              <w:t>13 242</w:t>
            </w:r>
          </w:p>
          <w:p w:rsidR="00966F46" w:rsidRPr="00837A83" w:rsidRDefault="00966F46" w:rsidP="00837A83">
            <w:pPr>
              <w:pStyle w:val="TableParagraph"/>
              <w:spacing w:before="60"/>
              <w:ind w:left="500" w:right="119"/>
              <w:jc w:val="center"/>
              <w:rPr>
                <w:rFonts w:ascii="Gill Sans MT" w:hAnsi="Gill Sans MT"/>
                <w:sz w:val="20"/>
              </w:rPr>
            </w:pPr>
          </w:p>
        </w:tc>
      </w:tr>
      <w:tr w:rsidR="00966F46" w:rsidRPr="00837A83" w:rsidTr="00966F46">
        <w:trPr>
          <w:trHeight w:hRule="exact" w:val="433"/>
        </w:trPr>
        <w:tc>
          <w:tcPr>
            <w:tcW w:w="8222" w:type="dxa"/>
            <w:tcBorders>
              <w:top w:val="dotted" w:sz="4" w:space="0" w:color="auto"/>
              <w:bottom w:val="single" w:sz="4" w:space="0" w:color="004D8F"/>
            </w:tcBorders>
            <w:shd w:val="clear" w:color="auto" w:fill="auto"/>
          </w:tcPr>
          <w:p w:rsidR="00966F46" w:rsidRPr="00837A83" w:rsidRDefault="00966F46" w:rsidP="00966F46">
            <w:pPr>
              <w:pStyle w:val="TableParagraph"/>
              <w:spacing w:before="92" w:line="338" w:lineRule="auto"/>
              <w:ind w:left="79" w:right="4027"/>
              <w:rPr>
                <w:rFonts w:ascii="Gill Sans MT" w:hAnsi="Gill Sans MT"/>
                <w:sz w:val="20"/>
              </w:rPr>
            </w:pPr>
            <w:r w:rsidRPr="00837A83">
              <w:rPr>
                <w:rFonts w:ascii="Gill Sans MT" w:hAnsi="Gill Sans MT"/>
                <w:sz w:val="20"/>
              </w:rPr>
              <w:t>Other</w:t>
            </w:r>
          </w:p>
          <w:p w:rsidR="00966F46" w:rsidRPr="00837A83" w:rsidRDefault="00966F46" w:rsidP="00837A83">
            <w:pPr>
              <w:pStyle w:val="TableParagraph"/>
              <w:spacing w:before="60"/>
              <w:ind w:left="79"/>
              <w:rPr>
                <w:rFonts w:ascii="Gill Sans MT" w:hAnsi="Gill Sans MT"/>
                <w:sz w:val="20"/>
              </w:rPr>
            </w:pPr>
          </w:p>
        </w:tc>
        <w:tc>
          <w:tcPr>
            <w:tcW w:w="1417" w:type="dxa"/>
            <w:tcBorders>
              <w:top w:val="dotted" w:sz="4" w:space="0" w:color="auto"/>
              <w:bottom w:val="single" w:sz="4" w:space="0" w:color="004D8F"/>
            </w:tcBorders>
            <w:shd w:val="clear" w:color="auto" w:fill="auto"/>
          </w:tcPr>
          <w:p w:rsidR="00966F46" w:rsidRPr="00837A83" w:rsidRDefault="00966F46" w:rsidP="00837A83">
            <w:pPr>
              <w:pStyle w:val="TableParagraph"/>
              <w:spacing w:before="60"/>
              <w:ind w:left="500" w:right="119"/>
              <w:jc w:val="center"/>
              <w:rPr>
                <w:rFonts w:ascii="Gill Sans MT" w:hAnsi="Gill Sans MT"/>
                <w:sz w:val="20"/>
              </w:rPr>
            </w:pPr>
            <w:r w:rsidRPr="00837A83">
              <w:rPr>
                <w:rFonts w:ascii="Gill Sans MT" w:hAnsi="Gill Sans MT"/>
                <w:sz w:val="20"/>
              </w:rPr>
              <w:t>550</w:t>
            </w:r>
          </w:p>
        </w:tc>
      </w:tr>
      <w:tr w:rsidR="00966F46" w:rsidRPr="00837A83" w:rsidTr="00966F46">
        <w:trPr>
          <w:trHeight w:val="406"/>
        </w:trPr>
        <w:tc>
          <w:tcPr>
            <w:tcW w:w="8222" w:type="dxa"/>
            <w:tcBorders>
              <w:top w:val="single" w:sz="4" w:space="0" w:color="004D8F"/>
              <w:bottom w:val="single" w:sz="4" w:space="0" w:color="004D8F"/>
            </w:tcBorders>
            <w:shd w:val="clear" w:color="auto" w:fill="auto"/>
          </w:tcPr>
          <w:p w:rsidR="00966F46" w:rsidRPr="00837A83" w:rsidRDefault="00966F46" w:rsidP="00837A83">
            <w:pPr>
              <w:pStyle w:val="TableParagraph"/>
              <w:spacing w:line="229" w:lineRule="exact"/>
              <w:ind w:left="79"/>
              <w:rPr>
                <w:rFonts w:ascii="Gill Sans MT" w:hAnsi="Gill Sans MT"/>
                <w:b/>
                <w:sz w:val="20"/>
              </w:rPr>
            </w:pPr>
            <w:r w:rsidRPr="00837A83">
              <w:rPr>
                <w:rFonts w:ascii="Gill Sans MT" w:hAnsi="Gill Sans MT"/>
                <w:b/>
                <w:sz w:val="20"/>
              </w:rPr>
              <w:t>Total</w:t>
            </w:r>
          </w:p>
        </w:tc>
        <w:tc>
          <w:tcPr>
            <w:tcW w:w="1417" w:type="dxa"/>
            <w:tcBorders>
              <w:top w:val="single" w:sz="4" w:space="0" w:color="004D8F"/>
              <w:bottom w:val="single" w:sz="4" w:space="0" w:color="004D8F"/>
            </w:tcBorders>
            <w:shd w:val="clear" w:color="auto" w:fill="auto"/>
          </w:tcPr>
          <w:p w:rsidR="00966F46" w:rsidRPr="00837A83" w:rsidRDefault="00966F46" w:rsidP="00837A83">
            <w:pPr>
              <w:pStyle w:val="TableParagraph"/>
              <w:spacing w:before="47"/>
              <w:ind w:left="478"/>
              <w:rPr>
                <w:rFonts w:ascii="Gill Sans MT" w:hAnsi="Gill Sans MT"/>
                <w:sz w:val="20"/>
              </w:rPr>
            </w:pPr>
            <w:r>
              <w:rPr>
                <w:rFonts w:ascii="GillSans-SemiBold"/>
                <w:b/>
                <w:sz w:val="20"/>
              </w:rPr>
              <w:t>22 786</w:t>
            </w:r>
          </w:p>
        </w:tc>
      </w:tr>
    </w:tbl>
    <w:p w:rsidR="00232305" w:rsidRDefault="00232305" w:rsidP="00232305">
      <w:pPr>
        <w:pStyle w:val="BodyText"/>
      </w:pPr>
    </w:p>
    <w:p w:rsidR="00CA193E" w:rsidRDefault="00CA193E" w:rsidP="00CA193E">
      <w:pPr>
        <w:pStyle w:val="Heading4"/>
      </w:pPr>
      <w:r>
        <w:t>Note 7</w:t>
      </w:r>
      <w:r>
        <w:tab/>
        <w:t>Other Economic Flows included in Net Result</w:t>
      </w:r>
      <w:r>
        <w:tab/>
      </w:r>
    </w:p>
    <w:p w:rsidR="00CA193E" w:rsidRDefault="00CA193E" w:rsidP="00CA193E"/>
    <w:p w:rsidR="00CA193E" w:rsidRDefault="00CA193E" w:rsidP="00CA193E">
      <w:pPr>
        <w:pStyle w:val="BodyText"/>
      </w:pPr>
      <w:r>
        <w:t>Other economic flows measure the change in volume or value of assets or liabilities that do not result from transactions.</w:t>
      </w:r>
    </w:p>
    <w:p w:rsidR="002440C0" w:rsidRDefault="002440C0" w:rsidP="001D06B8">
      <w:pPr>
        <w:pStyle w:val="Heading5"/>
      </w:pPr>
      <w:r>
        <w:t>7.1</w:t>
      </w:r>
      <w:r>
        <w:tab/>
        <w:t>Net gain</w:t>
      </w:r>
      <w:proofErr w:type="gramStart"/>
      <w:r>
        <w:t>/(</w:t>
      </w:r>
      <w:proofErr w:type="gramEnd"/>
      <w:r>
        <w:t>loss) on Non-Financial Assets</w:t>
      </w:r>
    </w:p>
    <w:p w:rsidR="002440C0" w:rsidRDefault="002440C0" w:rsidP="002440C0">
      <w:pPr>
        <w:pStyle w:val="BodyText"/>
      </w:pPr>
      <w:r>
        <w:t>Gains or losses from the sale of non-financial assets are recognised when control of the assets has passed to the buyer.</w:t>
      </w:r>
    </w:p>
    <w:p w:rsidR="002440C0" w:rsidRDefault="002440C0" w:rsidP="002440C0">
      <w:pPr>
        <w:pStyle w:val="BodyText"/>
        <w:rPr>
          <w:rFonts w:ascii="GillSans-LightItalic" w:hAnsi="GillSans-LightItalic" w:cs="GillSans-LightItalic"/>
          <w:i/>
          <w:iCs/>
        </w:rPr>
      </w:pPr>
      <w:r>
        <w:rPr>
          <w:rFonts w:ascii="GillSans-LightItalic" w:hAnsi="GillSans-LightItalic" w:cs="GillSans-LightItalic"/>
          <w:i/>
          <w:iCs/>
        </w:rPr>
        <w:t>Key Judgement</w:t>
      </w:r>
    </w:p>
    <w:p w:rsidR="002440C0" w:rsidRDefault="002440C0" w:rsidP="002440C0">
      <w:pPr>
        <w:pStyle w:val="BodyText"/>
      </w:pPr>
      <w:r>
        <w:t>All non-financial assets are assessed to determine whether any impairment exists. Impairment exists when the recoverable amount of an asset is less than its carrying amount. Recoverable amount is the higher of fair value less costs to sell and value in use. The THS’ assets are not used for the purpose of generating cash flows</w:t>
      </w:r>
      <w:proofErr w:type="gramStart"/>
      <w:r>
        <w:t>;  therefore</w:t>
      </w:r>
      <w:proofErr w:type="gramEnd"/>
      <w:r>
        <w:t xml:space="preserve"> value in use is based on depreciated replacement cost where the asset would be replaced if deprived of it.</w:t>
      </w:r>
    </w:p>
    <w:p w:rsidR="002440C0" w:rsidRDefault="002440C0" w:rsidP="002440C0">
      <w:pPr>
        <w:pStyle w:val="BodyText"/>
      </w:pPr>
      <w:r>
        <w:t>All impairment losses are recognised in the Statement of Comprehensive Income.</w:t>
      </w:r>
    </w:p>
    <w:p w:rsidR="002440C0" w:rsidRDefault="002440C0" w:rsidP="002440C0">
      <w:pPr>
        <w:pStyle w:val="BodyText"/>
      </w:pPr>
      <w:r>
        <w:t>In respect of other assets, impairment losses recognised in prior periods are assessed at each reporting date for any indications that the loss has decreased or no longer exists.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amortisation, if no impairment loss had been recognised.</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Net gain/loss on non-financial assets"/>
      </w:tblPr>
      <w:tblGrid>
        <w:gridCol w:w="8222"/>
        <w:gridCol w:w="1417"/>
      </w:tblGrid>
      <w:tr w:rsidR="002440C0" w:rsidRPr="002440C0" w:rsidTr="002440C0">
        <w:trPr>
          <w:trHeight w:hRule="exact" w:val="560"/>
        </w:trPr>
        <w:tc>
          <w:tcPr>
            <w:tcW w:w="8222" w:type="dxa"/>
            <w:tcBorders>
              <w:top w:val="single" w:sz="4" w:space="0" w:color="004D8F"/>
              <w:left w:val="nil"/>
              <w:bottom w:val="single" w:sz="4" w:space="0" w:color="004D8F"/>
              <w:right w:val="nil"/>
            </w:tcBorders>
            <w:shd w:val="clear" w:color="auto" w:fill="auto"/>
            <w:vAlign w:val="bottom"/>
          </w:tcPr>
          <w:p w:rsidR="002440C0" w:rsidRPr="002440C0" w:rsidRDefault="002440C0" w:rsidP="002440C0">
            <w:pPr>
              <w:pStyle w:val="TableParagraph"/>
              <w:spacing w:before="51"/>
              <w:ind w:right="465"/>
              <w:rPr>
                <w:rFonts w:ascii="GillSans-SemiBold"/>
                <w:b/>
                <w:sz w:val="20"/>
              </w:rPr>
            </w:pPr>
            <w:r>
              <w:rPr>
                <w:rFonts w:ascii="GillSans-SemiBold"/>
                <w:b/>
                <w:sz w:val="20"/>
              </w:rPr>
              <w:t>Description</w:t>
            </w:r>
          </w:p>
        </w:tc>
        <w:tc>
          <w:tcPr>
            <w:tcW w:w="1417" w:type="dxa"/>
            <w:tcBorders>
              <w:top w:val="single" w:sz="4" w:space="0" w:color="004D8F"/>
              <w:left w:val="nil"/>
              <w:bottom w:val="single" w:sz="4" w:space="0" w:color="004D8F"/>
              <w:right w:val="nil"/>
            </w:tcBorders>
            <w:shd w:val="clear" w:color="auto" w:fill="auto"/>
            <w:vAlign w:val="bottom"/>
          </w:tcPr>
          <w:p w:rsidR="002440C0" w:rsidRPr="002440C0" w:rsidRDefault="002440C0" w:rsidP="002440C0">
            <w:pPr>
              <w:pStyle w:val="TableParagraph"/>
              <w:spacing w:before="1"/>
              <w:ind w:right="414"/>
              <w:jc w:val="right"/>
              <w:rPr>
                <w:rFonts w:ascii="GillSans-SemiBold" w:hAnsi="GillSans-SemiBold"/>
                <w:b/>
                <w:sz w:val="20"/>
              </w:rPr>
            </w:pPr>
            <w:r w:rsidRPr="002440C0">
              <w:rPr>
                <w:rFonts w:ascii="GillSans-SemiBold"/>
                <w:b/>
                <w:sz w:val="20"/>
              </w:rPr>
              <w:t>2016</w:t>
            </w:r>
            <w:r>
              <w:rPr>
                <w:rFonts w:ascii="GillSans-SemiBold" w:hAnsi="GillSans-SemiBold"/>
                <w:b/>
                <w:sz w:val="20"/>
              </w:rPr>
              <w:br/>
            </w:r>
            <w:r w:rsidRPr="002440C0">
              <w:rPr>
                <w:rFonts w:ascii="GillSans-SemiBold" w:hAnsi="GillSans-SemiBold"/>
                <w:b/>
                <w:sz w:val="20"/>
              </w:rPr>
              <w:t>$’000</w:t>
            </w:r>
          </w:p>
        </w:tc>
      </w:tr>
      <w:tr w:rsidR="002440C0" w:rsidTr="002440C0">
        <w:trPr>
          <w:trHeight w:hRule="exact" w:val="320"/>
        </w:trPr>
        <w:tc>
          <w:tcPr>
            <w:tcW w:w="8222" w:type="dxa"/>
            <w:tcBorders>
              <w:top w:val="single" w:sz="4" w:space="0" w:color="004D8F"/>
              <w:bottom w:val="single" w:sz="4" w:space="0" w:color="004D8F"/>
            </w:tcBorders>
            <w:shd w:val="clear" w:color="auto" w:fill="auto"/>
          </w:tcPr>
          <w:p w:rsidR="002440C0" w:rsidRPr="001D06B8" w:rsidRDefault="002440C0" w:rsidP="001D06B8">
            <w:pPr>
              <w:pStyle w:val="TableParagraph"/>
              <w:spacing w:before="60"/>
              <w:ind w:left="79"/>
              <w:rPr>
                <w:rFonts w:ascii="Gill Sans MT" w:hAnsi="Gill Sans MT"/>
                <w:sz w:val="20"/>
              </w:rPr>
            </w:pPr>
            <w:r w:rsidRPr="001D06B8">
              <w:rPr>
                <w:rFonts w:ascii="Gill Sans MT" w:hAnsi="Gill Sans MT"/>
                <w:sz w:val="20"/>
              </w:rPr>
              <w:t>Net gain/(loss) on disposal of physical assets</w:t>
            </w:r>
          </w:p>
        </w:tc>
        <w:tc>
          <w:tcPr>
            <w:tcW w:w="1417" w:type="dxa"/>
            <w:tcBorders>
              <w:top w:val="single" w:sz="4" w:space="0" w:color="004D8F"/>
              <w:bottom w:val="single" w:sz="4" w:space="0" w:color="004D8F"/>
            </w:tcBorders>
            <w:shd w:val="clear" w:color="auto" w:fill="auto"/>
          </w:tcPr>
          <w:p w:rsidR="002440C0" w:rsidRDefault="002440C0" w:rsidP="001D06B8">
            <w:pPr>
              <w:pStyle w:val="TableParagraph"/>
              <w:spacing w:before="60"/>
              <w:ind w:right="224"/>
              <w:jc w:val="right"/>
              <w:rPr>
                <w:sz w:val="20"/>
              </w:rPr>
            </w:pPr>
            <w:r>
              <w:rPr>
                <w:sz w:val="20"/>
              </w:rPr>
              <w:t>208</w:t>
            </w:r>
          </w:p>
        </w:tc>
      </w:tr>
      <w:tr w:rsidR="002440C0" w:rsidTr="002440C0">
        <w:trPr>
          <w:trHeight w:val="473"/>
        </w:trPr>
        <w:tc>
          <w:tcPr>
            <w:tcW w:w="8222" w:type="dxa"/>
            <w:tcBorders>
              <w:top w:val="single" w:sz="4" w:space="0" w:color="004D8F"/>
              <w:bottom w:val="single" w:sz="4" w:space="0" w:color="004D8F"/>
            </w:tcBorders>
            <w:shd w:val="clear" w:color="auto" w:fill="auto"/>
          </w:tcPr>
          <w:p w:rsidR="002440C0" w:rsidRDefault="002440C0" w:rsidP="001D06B8">
            <w:pPr>
              <w:pStyle w:val="TableParagraph"/>
              <w:spacing w:before="83"/>
              <w:ind w:left="79"/>
              <w:rPr>
                <w:rFonts w:ascii="GillSans-SemiBold"/>
                <w:b/>
                <w:sz w:val="20"/>
              </w:rPr>
            </w:pPr>
            <w:r>
              <w:rPr>
                <w:rFonts w:ascii="GillSans-SemiBold"/>
                <w:b/>
                <w:sz w:val="20"/>
              </w:rPr>
              <w:t>Total net gain/(loss) on non-financial assets</w:t>
            </w:r>
          </w:p>
        </w:tc>
        <w:tc>
          <w:tcPr>
            <w:tcW w:w="1417" w:type="dxa"/>
            <w:tcBorders>
              <w:top w:val="single" w:sz="4" w:space="0" w:color="004D8F"/>
              <w:bottom w:val="single" w:sz="4" w:space="0" w:color="004D8F"/>
            </w:tcBorders>
            <w:shd w:val="clear" w:color="auto" w:fill="auto"/>
          </w:tcPr>
          <w:p w:rsidR="002440C0" w:rsidRDefault="002440C0" w:rsidP="001D06B8">
            <w:pPr>
              <w:pStyle w:val="TableParagraph"/>
              <w:spacing w:before="47"/>
              <w:ind w:right="224"/>
              <w:jc w:val="right"/>
              <w:rPr>
                <w:sz w:val="20"/>
              </w:rPr>
            </w:pPr>
            <w:r>
              <w:rPr>
                <w:rFonts w:ascii="GillSans-SemiBold"/>
                <w:b/>
                <w:sz w:val="20"/>
              </w:rPr>
              <w:t>208</w:t>
            </w:r>
          </w:p>
        </w:tc>
      </w:tr>
    </w:tbl>
    <w:p w:rsidR="002440C0" w:rsidRDefault="002440C0" w:rsidP="002440C0">
      <w:pPr>
        <w:pStyle w:val="BodyText"/>
      </w:pPr>
    </w:p>
    <w:p w:rsidR="002440C0" w:rsidRDefault="002440C0">
      <w:pPr>
        <w:rPr>
          <w:rFonts w:ascii="Gill Sans MT" w:eastAsia="GillSans-Light" w:hAnsi="Gill Sans MT" w:cs="GillSans-Light"/>
          <w:lang w:val="en-US"/>
        </w:rPr>
      </w:pPr>
      <w:r>
        <w:br w:type="page"/>
      </w:r>
    </w:p>
    <w:p w:rsidR="002440C0" w:rsidRDefault="001D06B8" w:rsidP="001D06B8">
      <w:pPr>
        <w:pStyle w:val="Heading5"/>
      </w:pPr>
      <w:r>
        <w:lastRenderedPageBreak/>
        <w:t>7.2</w:t>
      </w:r>
      <w:r>
        <w:tab/>
        <w:t>Net gain</w:t>
      </w:r>
      <w:proofErr w:type="gramStart"/>
      <w:r>
        <w:t>/(</w:t>
      </w:r>
      <w:proofErr w:type="gramEnd"/>
      <w:r>
        <w:t>loss) on Financial Instruments and Statutory Receivables/Payables</w:t>
      </w:r>
    </w:p>
    <w:p w:rsidR="001D06B8" w:rsidRDefault="001D06B8" w:rsidP="001D06B8">
      <w:pPr>
        <w:pStyle w:val="BodyText"/>
      </w:pPr>
    </w:p>
    <w:p w:rsidR="001D06B8" w:rsidRDefault="001D06B8" w:rsidP="001D06B8">
      <w:pPr>
        <w:pStyle w:val="BodyText"/>
      </w:pPr>
      <w:r>
        <w:t>Financial assets are assessed at each reporting date to determine whether there is any objective evidence that there are any financial assets that are impaired. A financial asset is considered to be impaired if objective evidence indicates that one or more events have had a negative effect on the estimated future cash flows of that asset.</w:t>
      </w:r>
    </w:p>
    <w:p w:rsidR="001D06B8" w:rsidRDefault="001D06B8" w:rsidP="001D06B8">
      <w:pPr>
        <w:pStyle w:val="BodyText"/>
        <w:rPr>
          <w:rFonts w:ascii="GillSans-LightItalic" w:hAnsi="GillSans-LightItalic" w:cs="GillSans-LightItalic"/>
          <w:i/>
          <w:iCs/>
        </w:rPr>
      </w:pPr>
      <w:r>
        <w:rPr>
          <w:rFonts w:ascii="GillSans-LightItalic" w:hAnsi="GillSans-LightItalic" w:cs="GillSans-LightItalic"/>
          <w:i/>
          <w:iCs/>
        </w:rPr>
        <w:t>Key Judgement</w:t>
      </w:r>
    </w:p>
    <w:p w:rsidR="001D06B8" w:rsidRDefault="001D06B8" w:rsidP="001D06B8">
      <w:pPr>
        <w:pStyle w:val="BodyText"/>
      </w:pPr>
      <w:r>
        <w:t>An impairment loss, in respect of a financial asset measured at amortised cost, is calculated as the difference between its carrying amount, and the present value of the estimated future cash flows discounted at the original effective interest rate.</w:t>
      </w:r>
    </w:p>
    <w:p w:rsidR="001D06B8" w:rsidRDefault="001D06B8" w:rsidP="001D06B8">
      <w:pPr>
        <w:pStyle w:val="BodyText"/>
      </w:pPr>
      <w:r>
        <w:t>Impairment losses are recognised in the Statement of Comprehensive Income.</w:t>
      </w:r>
    </w:p>
    <w:p w:rsidR="001D06B8" w:rsidRDefault="001D06B8" w:rsidP="001D06B8">
      <w:pPr>
        <w:pStyle w:val="BodyText"/>
      </w:pPr>
      <w:r>
        <w:t>An impairment loss is reversed if the reversal can be related objectively to an event occurring after the impairment loss was recognised. For financial assets measured at amortised cost, the reversal is recognised in the Statement of Comprehensive Income.</w:t>
      </w:r>
    </w:p>
    <w:tbl>
      <w:tblPr>
        <w:tblW w:w="0" w:type="auto"/>
        <w:tblLayout w:type="fixed"/>
        <w:tblCellMar>
          <w:left w:w="0" w:type="dxa"/>
          <w:right w:w="0" w:type="dxa"/>
        </w:tblCellMar>
        <w:tblLook w:val="01E0" w:firstRow="1" w:lastRow="1" w:firstColumn="1" w:lastColumn="1" w:noHBand="0" w:noVBand="0"/>
        <w:tblCaption w:val="Net gain/(loss) on Financial Instruments and Statutory Receivables/Payables"/>
      </w:tblPr>
      <w:tblGrid>
        <w:gridCol w:w="6946"/>
        <w:gridCol w:w="1418"/>
        <w:gridCol w:w="1559"/>
      </w:tblGrid>
      <w:tr w:rsidR="001D06B8" w:rsidRPr="001D06B8" w:rsidTr="003E2CE6">
        <w:trPr>
          <w:trHeight w:hRule="exact" w:val="560"/>
          <w:tblHeader/>
        </w:trPr>
        <w:tc>
          <w:tcPr>
            <w:tcW w:w="6946" w:type="dxa"/>
            <w:tcBorders>
              <w:top w:val="single" w:sz="4" w:space="0" w:color="auto"/>
              <w:left w:val="dotted" w:sz="4" w:space="0" w:color="auto"/>
              <w:bottom w:val="single" w:sz="4" w:space="0" w:color="auto"/>
              <w:right w:val="dotted" w:sz="4" w:space="0" w:color="auto"/>
            </w:tcBorders>
            <w:shd w:val="clear" w:color="auto" w:fill="auto"/>
            <w:vAlign w:val="bottom"/>
          </w:tcPr>
          <w:p w:rsidR="001D06B8" w:rsidRPr="001D06B8" w:rsidRDefault="001D06B8" w:rsidP="001D06B8">
            <w:pPr>
              <w:rPr>
                <w:rFonts w:ascii="Gill Sans MT" w:hAnsi="Gill Sans MT"/>
                <w:b/>
                <w:sz w:val="18"/>
                <w:szCs w:val="18"/>
              </w:rPr>
            </w:pPr>
            <w:r>
              <w:rPr>
                <w:rFonts w:ascii="Gill Sans MT" w:hAnsi="Gill Sans MT"/>
                <w:b/>
                <w:sz w:val="18"/>
                <w:szCs w:val="18"/>
              </w:rPr>
              <w:br/>
            </w:r>
            <w:r w:rsidRPr="001D06B8">
              <w:rPr>
                <w:rFonts w:ascii="Gill Sans MT" w:hAnsi="Gill Sans MT"/>
                <w:b/>
                <w:sz w:val="18"/>
                <w:szCs w:val="18"/>
              </w:rPr>
              <w:t>Description</w:t>
            </w:r>
          </w:p>
        </w:tc>
        <w:tc>
          <w:tcPr>
            <w:tcW w:w="1418" w:type="dxa"/>
            <w:tcBorders>
              <w:top w:val="single" w:sz="4" w:space="0" w:color="auto"/>
              <w:left w:val="dotted" w:sz="4" w:space="0" w:color="auto"/>
              <w:bottom w:val="single" w:sz="4" w:space="0" w:color="auto"/>
              <w:right w:val="dotted" w:sz="4" w:space="0" w:color="auto"/>
            </w:tcBorders>
            <w:shd w:val="clear" w:color="auto" w:fill="auto"/>
            <w:vAlign w:val="bottom"/>
          </w:tcPr>
          <w:p w:rsidR="001D06B8" w:rsidRPr="001D06B8" w:rsidRDefault="001D06B8" w:rsidP="001D06B8">
            <w:pPr>
              <w:pStyle w:val="TableParagraph"/>
              <w:spacing w:before="2"/>
              <w:rPr>
                <w:rFonts w:ascii="Gill Sans MT" w:hAnsi="Gill Sans MT"/>
                <w:b/>
                <w:sz w:val="18"/>
                <w:szCs w:val="18"/>
              </w:rPr>
            </w:pPr>
          </w:p>
          <w:p w:rsidR="001D06B8" w:rsidRPr="001D06B8" w:rsidRDefault="001D06B8" w:rsidP="001D06B8">
            <w:pPr>
              <w:pStyle w:val="TableParagraph"/>
              <w:ind w:left="357"/>
              <w:rPr>
                <w:rFonts w:ascii="Gill Sans MT" w:hAnsi="Gill Sans MT"/>
                <w:b/>
                <w:sz w:val="18"/>
                <w:szCs w:val="18"/>
              </w:rPr>
            </w:pPr>
            <w:r w:rsidRPr="001D06B8">
              <w:rPr>
                <w:rFonts w:ascii="Gill Sans MT" w:hAnsi="Gill Sans MT"/>
                <w:b/>
                <w:sz w:val="18"/>
                <w:szCs w:val="18"/>
              </w:rPr>
              <w:t>Notes</w:t>
            </w:r>
          </w:p>
        </w:tc>
        <w:tc>
          <w:tcPr>
            <w:tcW w:w="1559" w:type="dxa"/>
            <w:tcBorders>
              <w:top w:val="single" w:sz="4" w:space="0" w:color="auto"/>
              <w:left w:val="dotted" w:sz="4" w:space="0" w:color="auto"/>
              <w:bottom w:val="single" w:sz="4" w:space="0" w:color="auto"/>
              <w:right w:val="dotted" w:sz="4" w:space="0" w:color="auto"/>
            </w:tcBorders>
            <w:shd w:val="clear" w:color="auto" w:fill="auto"/>
            <w:vAlign w:val="bottom"/>
          </w:tcPr>
          <w:p w:rsidR="001D06B8" w:rsidRPr="001D06B8" w:rsidRDefault="001D06B8" w:rsidP="001D06B8">
            <w:pPr>
              <w:pStyle w:val="TableParagraph"/>
              <w:spacing w:before="51"/>
              <w:ind w:left="345" w:right="279"/>
              <w:jc w:val="right"/>
              <w:rPr>
                <w:rFonts w:ascii="Gill Sans MT" w:hAnsi="Gill Sans MT"/>
                <w:b/>
                <w:sz w:val="18"/>
                <w:szCs w:val="18"/>
              </w:rPr>
            </w:pPr>
            <w:r w:rsidRPr="001D06B8">
              <w:rPr>
                <w:rFonts w:ascii="Gill Sans MT" w:hAnsi="Gill Sans MT"/>
                <w:b/>
                <w:sz w:val="18"/>
                <w:szCs w:val="18"/>
              </w:rPr>
              <w:t>2016</w:t>
            </w:r>
          </w:p>
          <w:p w:rsidR="001D06B8" w:rsidRPr="001D06B8" w:rsidRDefault="001D06B8" w:rsidP="001D06B8">
            <w:pPr>
              <w:pStyle w:val="TableParagraph"/>
              <w:spacing w:before="1"/>
              <w:ind w:left="301" w:right="279"/>
              <w:jc w:val="right"/>
              <w:rPr>
                <w:rFonts w:ascii="Gill Sans MT" w:hAnsi="Gill Sans MT"/>
                <w:b/>
                <w:sz w:val="18"/>
                <w:szCs w:val="18"/>
              </w:rPr>
            </w:pPr>
            <w:r w:rsidRPr="001D06B8">
              <w:rPr>
                <w:rFonts w:ascii="Gill Sans MT" w:hAnsi="Gill Sans MT"/>
                <w:b/>
                <w:sz w:val="18"/>
                <w:szCs w:val="18"/>
              </w:rPr>
              <w:t>$’000</w:t>
            </w:r>
          </w:p>
        </w:tc>
      </w:tr>
      <w:tr w:rsidR="001D06B8" w:rsidRPr="001D06B8" w:rsidTr="001D06B8">
        <w:trPr>
          <w:trHeight w:hRule="exact" w:val="320"/>
        </w:trPr>
        <w:tc>
          <w:tcPr>
            <w:tcW w:w="6946" w:type="dxa"/>
            <w:tcBorders>
              <w:top w:val="single" w:sz="4" w:space="0" w:color="auto"/>
              <w:bottom w:val="single" w:sz="4" w:space="0" w:color="auto"/>
            </w:tcBorders>
            <w:shd w:val="clear" w:color="auto" w:fill="auto"/>
          </w:tcPr>
          <w:p w:rsidR="001D06B8" w:rsidRPr="001D06B8" w:rsidRDefault="001D06B8" w:rsidP="001D06B8">
            <w:pPr>
              <w:pStyle w:val="TableParagraph"/>
              <w:tabs>
                <w:tab w:val="right" w:pos="7516"/>
              </w:tabs>
              <w:spacing w:before="60"/>
              <w:ind w:left="80"/>
              <w:rPr>
                <w:rFonts w:ascii="Gill Sans MT" w:hAnsi="Gill Sans MT"/>
                <w:spacing w:val="2"/>
                <w:sz w:val="18"/>
                <w:szCs w:val="18"/>
              </w:rPr>
            </w:pPr>
            <w:r w:rsidRPr="001D06B8">
              <w:rPr>
                <w:rFonts w:ascii="Gill Sans MT" w:hAnsi="Gill Sans MT"/>
                <w:spacing w:val="2"/>
                <w:sz w:val="18"/>
                <w:szCs w:val="18"/>
              </w:rPr>
              <w:t xml:space="preserve">Impairment </w:t>
            </w:r>
            <w:r w:rsidRPr="001D06B8">
              <w:rPr>
                <w:rFonts w:ascii="Gill Sans MT" w:hAnsi="Gill Sans MT"/>
                <w:sz w:val="18"/>
                <w:szCs w:val="18"/>
              </w:rPr>
              <w:t>of loans</w:t>
            </w:r>
            <w:r w:rsidRPr="001D06B8">
              <w:rPr>
                <w:rFonts w:ascii="Gill Sans MT" w:hAnsi="Gill Sans MT"/>
                <w:spacing w:val="-1"/>
                <w:sz w:val="18"/>
                <w:szCs w:val="18"/>
              </w:rPr>
              <w:t xml:space="preserve"> </w:t>
            </w:r>
            <w:r w:rsidRPr="001D06B8">
              <w:rPr>
                <w:rFonts w:ascii="Gill Sans MT" w:hAnsi="Gill Sans MT"/>
                <w:sz w:val="18"/>
                <w:szCs w:val="18"/>
              </w:rPr>
              <w:t>and receivables</w:t>
            </w:r>
          </w:p>
        </w:tc>
        <w:tc>
          <w:tcPr>
            <w:tcW w:w="1418" w:type="dxa"/>
            <w:tcBorders>
              <w:top w:val="single" w:sz="4" w:space="0" w:color="auto"/>
              <w:bottom w:val="single" w:sz="4" w:space="0" w:color="auto"/>
            </w:tcBorders>
            <w:shd w:val="clear" w:color="auto" w:fill="auto"/>
          </w:tcPr>
          <w:p w:rsidR="001D06B8" w:rsidRPr="001D06B8" w:rsidRDefault="001D06B8" w:rsidP="001D06B8">
            <w:pPr>
              <w:pStyle w:val="TableParagraph"/>
              <w:tabs>
                <w:tab w:val="right" w:pos="7516"/>
              </w:tabs>
              <w:spacing w:before="60"/>
              <w:ind w:left="80"/>
              <w:jc w:val="center"/>
              <w:rPr>
                <w:rFonts w:ascii="Gill Sans MT" w:hAnsi="Gill Sans MT"/>
                <w:spacing w:val="2"/>
                <w:sz w:val="18"/>
                <w:szCs w:val="18"/>
              </w:rPr>
            </w:pPr>
            <w:r w:rsidRPr="001D06B8">
              <w:rPr>
                <w:rFonts w:ascii="Gill Sans MT" w:hAnsi="Gill Sans MT"/>
                <w:spacing w:val="2"/>
                <w:sz w:val="18"/>
                <w:szCs w:val="18"/>
              </w:rPr>
              <w:t>8.1</w:t>
            </w:r>
          </w:p>
        </w:tc>
        <w:tc>
          <w:tcPr>
            <w:tcW w:w="1559" w:type="dxa"/>
            <w:tcBorders>
              <w:top w:val="single" w:sz="4" w:space="0" w:color="auto"/>
              <w:bottom w:val="single" w:sz="4" w:space="0" w:color="auto"/>
            </w:tcBorders>
            <w:shd w:val="clear" w:color="auto" w:fill="auto"/>
          </w:tcPr>
          <w:p w:rsidR="001D06B8" w:rsidRPr="001D06B8" w:rsidRDefault="001D06B8" w:rsidP="001D06B8">
            <w:pPr>
              <w:pStyle w:val="TableParagraph"/>
              <w:spacing w:before="60"/>
              <w:ind w:right="279"/>
              <w:jc w:val="right"/>
              <w:rPr>
                <w:rFonts w:ascii="Gill Sans MT" w:hAnsi="Gill Sans MT"/>
                <w:sz w:val="18"/>
                <w:szCs w:val="18"/>
              </w:rPr>
            </w:pPr>
            <w:r w:rsidRPr="001D06B8">
              <w:rPr>
                <w:rFonts w:ascii="Gill Sans MT" w:hAnsi="Gill Sans MT"/>
                <w:sz w:val="18"/>
                <w:szCs w:val="18"/>
              </w:rPr>
              <w:t>(446)</w:t>
            </w:r>
          </w:p>
        </w:tc>
      </w:tr>
      <w:tr w:rsidR="001D06B8" w:rsidRPr="001D06B8" w:rsidTr="001D06B8">
        <w:trPr>
          <w:trHeight w:val="317"/>
        </w:trPr>
        <w:tc>
          <w:tcPr>
            <w:tcW w:w="6946" w:type="dxa"/>
            <w:tcBorders>
              <w:top w:val="single" w:sz="4" w:space="0" w:color="auto"/>
              <w:left w:val="dotted" w:sz="4" w:space="0" w:color="auto"/>
              <w:bottom w:val="single" w:sz="4" w:space="0" w:color="auto"/>
              <w:right w:val="dotted" w:sz="4" w:space="0" w:color="auto"/>
            </w:tcBorders>
            <w:shd w:val="clear" w:color="auto" w:fill="auto"/>
          </w:tcPr>
          <w:p w:rsidR="001D06B8" w:rsidRPr="001D06B8" w:rsidRDefault="001D06B8" w:rsidP="001D06B8">
            <w:pPr>
              <w:pStyle w:val="TableParagraph"/>
              <w:spacing w:before="83"/>
              <w:ind w:left="80"/>
              <w:rPr>
                <w:rFonts w:ascii="Gill Sans MT" w:hAnsi="Gill Sans MT"/>
                <w:b/>
                <w:sz w:val="18"/>
                <w:szCs w:val="18"/>
              </w:rPr>
            </w:pPr>
            <w:r w:rsidRPr="001D06B8">
              <w:rPr>
                <w:rFonts w:ascii="Gill Sans MT" w:hAnsi="Gill Sans MT"/>
                <w:b/>
                <w:sz w:val="18"/>
                <w:szCs w:val="18"/>
              </w:rPr>
              <w:t>Total</w:t>
            </w:r>
          </w:p>
        </w:tc>
        <w:tc>
          <w:tcPr>
            <w:tcW w:w="1418" w:type="dxa"/>
            <w:tcBorders>
              <w:top w:val="single" w:sz="4" w:space="0" w:color="auto"/>
              <w:left w:val="dotted" w:sz="4" w:space="0" w:color="auto"/>
              <w:bottom w:val="single" w:sz="4" w:space="0" w:color="auto"/>
              <w:right w:val="dotted" w:sz="4" w:space="0" w:color="auto"/>
            </w:tcBorders>
            <w:shd w:val="clear" w:color="auto" w:fill="auto"/>
          </w:tcPr>
          <w:p w:rsidR="001D06B8" w:rsidRPr="001D06B8" w:rsidRDefault="001D06B8" w:rsidP="001D06B8">
            <w:pPr>
              <w:pStyle w:val="TableParagraph"/>
              <w:spacing w:before="83"/>
              <w:ind w:left="80"/>
              <w:jc w:val="center"/>
              <w:rPr>
                <w:rFonts w:ascii="Gill Sans MT" w:hAnsi="Gill Sans MT"/>
                <w:b/>
                <w:sz w:val="18"/>
                <w:szCs w:val="18"/>
              </w:rPr>
            </w:pPr>
          </w:p>
        </w:tc>
        <w:tc>
          <w:tcPr>
            <w:tcW w:w="1559" w:type="dxa"/>
            <w:tcBorders>
              <w:top w:val="single" w:sz="4" w:space="0" w:color="auto"/>
              <w:left w:val="dotted" w:sz="4" w:space="0" w:color="auto"/>
              <w:bottom w:val="single" w:sz="4" w:space="0" w:color="auto"/>
              <w:right w:val="dotted" w:sz="4" w:space="0" w:color="auto"/>
            </w:tcBorders>
            <w:shd w:val="clear" w:color="auto" w:fill="auto"/>
          </w:tcPr>
          <w:p w:rsidR="001D06B8" w:rsidRPr="001D06B8" w:rsidRDefault="001D06B8" w:rsidP="001D06B8">
            <w:pPr>
              <w:pStyle w:val="TableParagraph"/>
              <w:spacing w:before="47"/>
              <w:ind w:right="279"/>
              <w:jc w:val="right"/>
              <w:rPr>
                <w:rFonts w:ascii="Gill Sans MT" w:hAnsi="Gill Sans MT"/>
                <w:sz w:val="18"/>
                <w:szCs w:val="18"/>
              </w:rPr>
            </w:pPr>
            <w:r w:rsidRPr="001D06B8">
              <w:rPr>
                <w:rFonts w:ascii="Gill Sans MT" w:hAnsi="Gill Sans MT"/>
                <w:b/>
                <w:sz w:val="18"/>
                <w:szCs w:val="18"/>
              </w:rPr>
              <w:t>(446)</w:t>
            </w:r>
          </w:p>
        </w:tc>
      </w:tr>
    </w:tbl>
    <w:p w:rsidR="001D06B8" w:rsidRDefault="001D06B8" w:rsidP="001D06B8">
      <w:pPr>
        <w:pStyle w:val="BodyText"/>
      </w:pPr>
    </w:p>
    <w:p w:rsidR="001D06B8" w:rsidRDefault="001D06B8" w:rsidP="001D06B8">
      <w:pPr>
        <w:pStyle w:val="Heading4"/>
      </w:pPr>
      <w:r>
        <w:t>Note 8</w:t>
      </w:r>
      <w:r>
        <w:tab/>
        <w:t>Assets</w:t>
      </w:r>
    </w:p>
    <w:p w:rsidR="001D06B8" w:rsidRDefault="001D06B8" w:rsidP="001D06B8">
      <w:pPr>
        <w:pStyle w:val="BodyText"/>
      </w:pPr>
      <w:r>
        <w:t>Assets are recognised in the Statement of Financial Position when it is probable that the future economic benefits will flow to the THS and the asset has a cost or value that can be measured reliably.</w:t>
      </w:r>
    </w:p>
    <w:p w:rsidR="001D06B8" w:rsidRDefault="001D06B8" w:rsidP="001D06B8">
      <w:pPr>
        <w:pStyle w:val="BodyText"/>
      </w:pPr>
    </w:p>
    <w:p w:rsidR="001D06B8" w:rsidRDefault="001D06B8" w:rsidP="001D06B8">
      <w:pPr>
        <w:pStyle w:val="Heading5"/>
        <w:tabs>
          <w:tab w:val="left" w:pos="567"/>
        </w:tabs>
      </w:pPr>
      <w:r>
        <w:t xml:space="preserve">8.1 </w:t>
      </w:r>
      <w:r>
        <w:tab/>
        <w:t>Receivables</w:t>
      </w:r>
    </w:p>
    <w:p w:rsidR="001D06B8" w:rsidRDefault="001D06B8" w:rsidP="001D06B8">
      <w:pPr>
        <w:pStyle w:val="BodyText"/>
      </w:pPr>
      <w:r>
        <w:t>Receivables are recognised at amortised cost, less any impairment losses, however, due to the short settlement period, receivables are not discounted back to their present value.</w:t>
      </w:r>
    </w:p>
    <w:tbl>
      <w:tblPr>
        <w:tblpPr w:leftFromText="180" w:rightFromText="180" w:vertAnchor="text" w:horzAnchor="margin" w:tblpY="219"/>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364"/>
        <w:gridCol w:w="1559"/>
      </w:tblGrid>
      <w:tr w:rsidR="001D06B8" w:rsidRPr="004A44C6" w:rsidTr="003E2CE6">
        <w:trPr>
          <w:trHeight w:hRule="exact" w:val="560"/>
          <w:tblHeader/>
        </w:trPr>
        <w:tc>
          <w:tcPr>
            <w:tcW w:w="8364" w:type="dxa"/>
            <w:tcBorders>
              <w:top w:val="single" w:sz="4" w:space="0" w:color="004D8F"/>
              <w:left w:val="nil"/>
              <w:bottom w:val="single" w:sz="4" w:space="0" w:color="004D8F"/>
              <w:right w:val="nil"/>
            </w:tcBorders>
            <w:shd w:val="clear" w:color="auto" w:fill="auto"/>
          </w:tcPr>
          <w:p w:rsidR="001D06B8" w:rsidRPr="004A44C6" w:rsidRDefault="001D06B8" w:rsidP="001D06B8">
            <w:pPr>
              <w:pStyle w:val="TableParagraph"/>
              <w:spacing w:before="51"/>
              <w:ind w:right="451"/>
              <w:rPr>
                <w:rFonts w:ascii="Gill Sans MT" w:hAnsi="Gill Sans MT"/>
                <w:b/>
                <w:sz w:val="18"/>
                <w:szCs w:val="18"/>
              </w:rPr>
            </w:pPr>
            <w:r w:rsidRPr="004A44C6">
              <w:rPr>
                <w:rFonts w:ascii="Gill Sans MT" w:hAnsi="Gill Sans MT"/>
                <w:b/>
                <w:sz w:val="18"/>
                <w:szCs w:val="18"/>
              </w:rPr>
              <w:t>Description</w:t>
            </w:r>
          </w:p>
        </w:tc>
        <w:tc>
          <w:tcPr>
            <w:tcW w:w="1559" w:type="dxa"/>
            <w:tcBorders>
              <w:top w:val="single" w:sz="4" w:space="0" w:color="004D8F"/>
              <w:left w:val="nil"/>
              <w:bottom w:val="single" w:sz="4" w:space="0" w:color="004D8F"/>
              <w:right w:val="nil"/>
            </w:tcBorders>
            <w:shd w:val="clear" w:color="auto" w:fill="auto"/>
          </w:tcPr>
          <w:p w:rsidR="001D06B8" w:rsidRPr="004A44C6" w:rsidRDefault="001D06B8" w:rsidP="004A44C6">
            <w:pPr>
              <w:pStyle w:val="TableParagraph"/>
              <w:tabs>
                <w:tab w:val="left" w:pos="1275"/>
              </w:tabs>
              <w:spacing w:before="1"/>
              <w:ind w:right="400"/>
              <w:jc w:val="right"/>
              <w:rPr>
                <w:rFonts w:ascii="Gill Sans MT" w:hAnsi="Gill Sans MT"/>
                <w:b/>
                <w:sz w:val="18"/>
                <w:szCs w:val="18"/>
              </w:rPr>
            </w:pPr>
            <w:r w:rsidRPr="004A44C6">
              <w:rPr>
                <w:rFonts w:ascii="Gill Sans MT" w:hAnsi="Gill Sans MT"/>
                <w:b/>
                <w:sz w:val="18"/>
                <w:szCs w:val="18"/>
              </w:rPr>
              <w:t>2016</w:t>
            </w:r>
            <w:r w:rsidR="004A44C6">
              <w:rPr>
                <w:rFonts w:ascii="Gill Sans MT" w:hAnsi="Gill Sans MT"/>
                <w:b/>
                <w:sz w:val="18"/>
                <w:szCs w:val="18"/>
              </w:rPr>
              <w:br/>
            </w:r>
            <w:r w:rsidRPr="004A44C6">
              <w:rPr>
                <w:rFonts w:ascii="Gill Sans MT" w:hAnsi="Gill Sans MT"/>
                <w:b/>
                <w:sz w:val="18"/>
                <w:szCs w:val="18"/>
              </w:rPr>
              <w:t>$’000</w:t>
            </w:r>
          </w:p>
        </w:tc>
      </w:tr>
      <w:tr w:rsidR="001D06B8" w:rsidRPr="004A44C6" w:rsidTr="004A44C6">
        <w:trPr>
          <w:trHeight w:hRule="exact" w:val="334"/>
        </w:trPr>
        <w:tc>
          <w:tcPr>
            <w:tcW w:w="8364" w:type="dxa"/>
            <w:tcBorders>
              <w:top w:val="single" w:sz="4" w:space="0" w:color="004D8F"/>
              <w:bottom w:val="dotted" w:sz="4" w:space="0" w:color="auto"/>
              <w:right w:val="dotted" w:sz="4" w:space="0" w:color="auto"/>
            </w:tcBorders>
            <w:shd w:val="clear" w:color="auto" w:fill="auto"/>
          </w:tcPr>
          <w:p w:rsidR="001D06B8" w:rsidRPr="004A44C6" w:rsidRDefault="001D06B8" w:rsidP="001D06B8">
            <w:pPr>
              <w:pStyle w:val="TableParagraph"/>
              <w:spacing w:before="60"/>
              <w:ind w:left="79"/>
              <w:rPr>
                <w:rFonts w:ascii="Gill Sans MT" w:hAnsi="Gill Sans MT"/>
                <w:sz w:val="18"/>
                <w:szCs w:val="18"/>
              </w:rPr>
            </w:pPr>
            <w:r w:rsidRPr="004A44C6">
              <w:rPr>
                <w:rFonts w:ascii="Gill Sans MT" w:hAnsi="Gill Sans MT"/>
                <w:sz w:val="18"/>
                <w:szCs w:val="18"/>
              </w:rPr>
              <w:t>Receivables</w:t>
            </w:r>
          </w:p>
        </w:tc>
        <w:tc>
          <w:tcPr>
            <w:tcW w:w="1559" w:type="dxa"/>
            <w:tcBorders>
              <w:top w:val="single" w:sz="4" w:space="0" w:color="004D8F"/>
              <w:left w:val="dotted" w:sz="4" w:space="0" w:color="auto"/>
              <w:bottom w:val="dotted" w:sz="4" w:space="0" w:color="auto"/>
              <w:right w:val="dotted" w:sz="4" w:space="0" w:color="auto"/>
            </w:tcBorders>
            <w:shd w:val="clear" w:color="auto" w:fill="auto"/>
          </w:tcPr>
          <w:p w:rsidR="001D06B8" w:rsidRPr="004A44C6" w:rsidRDefault="001D06B8" w:rsidP="004A44C6">
            <w:pPr>
              <w:pStyle w:val="TableParagraph"/>
              <w:spacing w:before="60"/>
              <w:ind w:right="284"/>
              <w:jc w:val="right"/>
              <w:rPr>
                <w:rFonts w:ascii="Gill Sans MT" w:hAnsi="Gill Sans MT"/>
                <w:sz w:val="18"/>
                <w:szCs w:val="18"/>
              </w:rPr>
            </w:pPr>
            <w:r w:rsidRPr="004A44C6">
              <w:rPr>
                <w:rFonts w:ascii="Gill Sans MT" w:hAnsi="Gill Sans MT"/>
                <w:sz w:val="18"/>
                <w:szCs w:val="18"/>
              </w:rPr>
              <w:t>22 292</w:t>
            </w:r>
          </w:p>
        </w:tc>
      </w:tr>
      <w:tr w:rsidR="001D06B8" w:rsidRPr="004A44C6" w:rsidTr="004A44C6">
        <w:trPr>
          <w:trHeight w:hRule="exact" w:val="306"/>
        </w:trPr>
        <w:tc>
          <w:tcPr>
            <w:tcW w:w="8364" w:type="dxa"/>
            <w:tcBorders>
              <w:top w:val="dotted" w:sz="4" w:space="0" w:color="auto"/>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46"/>
              <w:ind w:left="79"/>
              <w:rPr>
                <w:rFonts w:ascii="Gill Sans MT" w:hAnsi="Gill Sans MT"/>
                <w:sz w:val="18"/>
                <w:szCs w:val="18"/>
              </w:rPr>
            </w:pPr>
            <w:r w:rsidRPr="004A44C6">
              <w:rPr>
                <w:rFonts w:ascii="Gill Sans MT" w:hAnsi="Gill Sans MT"/>
                <w:sz w:val="18"/>
                <w:szCs w:val="18"/>
              </w:rPr>
              <w:t>Less: Provision for impairment</w:t>
            </w:r>
          </w:p>
        </w:tc>
        <w:tc>
          <w:tcPr>
            <w:tcW w:w="1559" w:type="dxa"/>
            <w:tcBorders>
              <w:top w:val="dotted" w:sz="4" w:space="0" w:color="auto"/>
              <w:left w:val="dotted" w:sz="4" w:space="0" w:color="auto"/>
              <w:bottom w:val="single" w:sz="4" w:space="0" w:color="004D8F"/>
              <w:right w:val="dotted" w:sz="4" w:space="0" w:color="auto"/>
            </w:tcBorders>
            <w:shd w:val="clear" w:color="auto" w:fill="auto"/>
          </w:tcPr>
          <w:p w:rsidR="001D06B8" w:rsidRPr="004A44C6" w:rsidRDefault="001D06B8" w:rsidP="004A44C6">
            <w:pPr>
              <w:pStyle w:val="TableParagraph"/>
              <w:spacing w:before="46"/>
              <w:ind w:right="284"/>
              <w:jc w:val="right"/>
              <w:rPr>
                <w:rFonts w:ascii="Gill Sans MT" w:hAnsi="Gill Sans MT"/>
                <w:sz w:val="18"/>
                <w:szCs w:val="18"/>
              </w:rPr>
            </w:pPr>
            <w:r w:rsidRPr="004A44C6">
              <w:rPr>
                <w:rFonts w:ascii="Gill Sans MT" w:hAnsi="Gill Sans MT"/>
                <w:sz w:val="18"/>
                <w:szCs w:val="18"/>
              </w:rPr>
              <w:t>(1 012)</w:t>
            </w:r>
          </w:p>
        </w:tc>
      </w:tr>
      <w:tr w:rsidR="001D06B8" w:rsidRPr="004A44C6" w:rsidTr="00417E06">
        <w:trPr>
          <w:trHeight w:hRule="exact" w:val="320"/>
        </w:trPr>
        <w:tc>
          <w:tcPr>
            <w:tcW w:w="8364" w:type="dxa"/>
            <w:tcBorders>
              <w:top w:val="single" w:sz="4" w:space="0" w:color="004D8F"/>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51"/>
              <w:ind w:left="79"/>
              <w:rPr>
                <w:rFonts w:ascii="Gill Sans MT" w:hAnsi="Gill Sans MT"/>
                <w:b/>
                <w:sz w:val="18"/>
                <w:szCs w:val="18"/>
              </w:rPr>
            </w:pPr>
            <w:r w:rsidRPr="004A44C6">
              <w:rPr>
                <w:rFonts w:ascii="Gill Sans MT" w:hAnsi="Gill Sans MT"/>
                <w:b/>
                <w:sz w:val="18"/>
                <w:szCs w:val="18"/>
              </w:rPr>
              <w:t>Total</w:t>
            </w:r>
          </w:p>
        </w:tc>
        <w:tc>
          <w:tcPr>
            <w:tcW w:w="1559" w:type="dxa"/>
            <w:tcBorders>
              <w:top w:val="single" w:sz="4" w:space="0" w:color="004D8F"/>
              <w:left w:val="dotted" w:sz="4" w:space="0" w:color="auto"/>
              <w:bottom w:val="single" w:sz="4" w:space="0" w:color="004D8F"/>
            </w:tcBorders>
            <w:shd w:val="clear" w:color="auto" w:fill="auto"/>
          </w:tcPr>
          <w:p w:rsidR="001D06B8" w:rsidRPr="004A44C6" w:rsidRDefault="001D06B8" w:rsidP="004A44C6">
            <w:pPr>
              <w:pStyle w:val="TableParagraph"/>
              <w:spacing w:before="47"/>
              <w:ind w:right="284"/>
              <w:jc w:val="right"/>
              <w:rPr>
                <w:rFonts w:ascii="Gill Sans MT" w:hAnsi="Gill Sans MT"/>
                <w:b/>
                <w:sz w:val="18"/>
                <w:szCs w:val="18"/>
              </w:rPr>
            </w:pPr>
            <w:r w:rsidRPr="004A44C6">
              <w:rPr>
                <w:rFonts w:ascii="Gill Sans MT" w:hAnsi="Gill Sans MT"/>
                <w:b/>
                <w:sz w:val="18"/>
                <w:szCs w:val="18"/>
              </w:rPr>
              <w:t>21 280</w:t>
            </w:r>
          </w:p>
        </w:tc>
      </w:tr>
      <w:tr w:rsidR="001D06B8" w:rsidRPr="004A44C6" w:rsidTr="00417E06">
        <w:trPr>
          <w:trHeight w:hRule="exact" w:val="334"/>
        </w:trPr>
        <w:tc>
          <w:tcPr>
            <w:tcW w:w="8364" w:type="dxa"/>
            <w:tcBorders>
              <w:top w:val="single" w:sz="4" w:space="0" w:color="004D8F"/>
              <w:left w:val="dotted" w:sz="4" w:space="0" w:color="auto"/>
              <w:bottom w:val="dotted" w:sz="4" w:space="0" w:color="auto"/>
              <w:right w:val="dotted" w:sz="4" w:space="0" w:color="auto"/>
            </w:tcBorders>
            <w:shd w:val="clear" w:color="auto" w:fill="auto"/>
          </w:tcPr>
          <w:p w:rsidR="001D06B8" w:rsidRPr="004A44C6" w:rsidRDefault="001D06B8" w:rsidP="001D06B8">
            <w:pPr>
              <w:pStyle w:val="TableParagraph"/>
              <w:spacing w:before="60"/>
              <w:ind w:left="79"/>
              <w:rPr>
                <w:rFonts w:ascii="Gill Sans MT" w:hAnsi="Gill Sans MT"/>
                <w:sz w:val="18"/>
                <w:szCs w:val="18"/>
              </w:rPr>
            </w:pPr>
            <w:r w:rsidRPr="004A44C6">
              <w:rPr>
                <w:rFonts w:ascii="Gill Sans MT" w:hAnsi="Gill Sans MT"/>
                <w:sz w:val="18"/>
                <w:szCs w:val="18"/>
              </w:rPr>
              <w:t>Sales of goods and services (inclusive of GST)</w:t>
            </w:r>
          </w:p>
        </w:tc>
        <w:tc>
          <w:tcPr>
            <w:tcW w:w="1559" w:type="dxa"/>
            <w:tcBorders>
              <w:top w:val="single" w:sz="4" w:space="0" w:color="004D8F"/>
              <w:left w:val="dotted" w:sz="4" w:space="0" w:color="auto"/>
              <w:bottom w:val="dotted" w:sz="4" w:space="0" w:color="auto"/>
            </w:tcBorders>
            <w:shd w:val="clear" w:color="auto" w:fill="auto"/>
          </w:tcPr>
          <w:p w:rsidR="001D06B8" w:rsidRPr="004A44C6" w:rsidRDefault="001D06B8" w:rsidP="004A44C6">
            <w:pPr>
              <w:pStyle w:val="TableParagraph"/>
              <w:spacing w:before="56"/>
              <w:ind w:right="284"/>
              <w:jc w:val="right"/>
              <w:rPr>
                <w:rFonts w:ascii="Gill Sans MT" w:hAnsi="Gill Sans MT"/>
                <w:sz w:val="18"/>
                <w:szCs w:val="18"/>
              </w:rPr>
            </w:pPr>
            <w:r w:rsidRPr="004A44C6">
              <w:rPr>
                <w:rFonts w:ascii="Gill Sans MT" w:hAnsi="Gill Sans MT"/>
                <w:sz w:val="18"/>
                <w:szCs w:val="18"/>
              </w:rPr>
              <w:t>15 170</w:t>
            </w:r>
          </w:p>
        </w:tc>
      </w:tr>
      <w:tr w:rsidR="001D06B8" w:rsidRPr="004A44C6" w:rsidTr="00417E06">
        <w:trPr>
          <w:trHeight w:hRule="exact" w:val="306"/>
        </w:trPr>
        <w:tc>
          <w:tcPr>
            <w:tcW w:w="8364" w:type="dxa"/>
            <w:tcBorders>
              <w:top w:val="dotted" w:sz="4" w:space="0" w:color="auto"/>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46"/>
              <w:ind w:left="79"/>
              <w:rPr>
                <w:rFonts w:ascii="Gill Sans MT" w:hAnsi="Gill Sans MT"/>
                <w:sz w:val="18"/>
                <w:szCs w:val="18"/>
              </w:rPr>
            </w:pPr>
            <w:r w:rsidRPr="004A44C6">
              <w:rPr>
                <w:rFonts w:ascii="Gill Sans MT" w:hAnsi="Gill Sans MT"/>
                <w:sz w:val="18"/>
                <w:szCs w:val="18"/>
              </w:rPr>
              <w:t>Tax assets</w:t>
            </w:r>
          </w:p>
        </w:tc>
        <w:tc>
          <w:tcPr>
            <w:tcW w:w="1559" w:type="dxa"/>
            <w:tcBorders>
              <w:top w:val="dotted" w:sz="4" w:space="0" w:color="auto"/>
              <w:left w:val="dotted" w:sz="4" w:space="0" w:color="auto"/>
              <w:bottom w:val="single" w:sz="4" w:space="0" w:color="004D8F"/>
            </w:tcBorders>
            <w:shd w:val="clear" w:color="auto" w:fill="auto"/>
          </w:tcPr>
          <w:p w:rsidR="001D06B8" w:rsidRPr="004A44C6" w:rsidRDefault="004A44C6" w:rsidP="004A44C6">
            <w:pPr>
              <w:ind w:right="284"/>
              <w:jc w:val="right"/>
              <w:rPr>
                <w:rFonts w:ascii="Gill Sans MT" w:hAnsi="Gill Sans MT"/>
                <w:sz w:val="18"/>
                <w:szCs w:val="18"/>
              </w:rPr>
            </w:pPr>
            <w:r w:rsidRPr="004A44C6">
              <w:rPr>
                <w:rFonts w:ascii="Gill Sans MT" w:hAnsi="Gill Sans MT"/>
                <w:sz w:val="18"/>
                <w:szCs w:val="18"/>
              </w:rPr>
              <w:t>6 110</w:t>
            </w:r>
          </w:p>
        </w:tc>
      </w:tr>
      <w:tr w:rsidR="001D06B8" w:rsidRPr="004A44C6" w:rsidTr="004A44C6">
        <w:trPr>
          <w:trHeight w:hRule="exact" w:val="320"/>
        </w:trPr>
        <w:tc>
          <w:tcPr>
            <w:tcW w:w="8364" w:type="dxa"/>
            <w:tcBorders>
              <w:top w:val="single" w:sz="4" w:space="0" w:color="004D8F"/>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51"/>
              <w:ind w:left="79"/>
              <w:rPr>
                <w:rFonts w:ascii="Gill Sans MT" w:hAnsi="Gill Sans MT"/>
                <w:b/>
                <w:sz w:val="18"/>
                <w:szCs w:val="18"/>
              </w:rPr>
            </w:pPr>
            <w:r w:rsidRPr="004A44C6">
              <w:rPr>
                <w:rFonts w:ascii="Gill Sans MT" w:hAnsi="Gill Sans MT"/>
                <w:b/>
                <w:sz w:val="18"/>
                <w:szCs w:val="18"/>
              </w:rPr>
              <w:t>Total</w:t>
            </w:r>
          </w:p>
        </w:tc>
        <w:tc>
          <w:tcPr>
            <w:tcW w:w="1559" w:type="dxa"/>
            <w:tcBorders>
              <w:top w:val="single" w:sz="4" w:space="0" w:color="004D8F"/>
              <w:left w:val="dotted" w:sz="4" w:space="0" w:color="auto"/>
              <w:bottom w:val="single" w:sz="4" w:space="0" w:color="004D8F"/>
            </w:tcBorders>
            <w:shd w:val="clear" w:color="auto" w:fill="auto"/>
          </w:tcPr>
          <w:p w:rsidR="001D06B8" w:rsidRPr="004A44C6" w:rsidRDefault="001D06B8" w:rsidP="004A44C6">
            <w:pPr>
              <w:pStyle w:val="TableParagraph"/>
              <w:spacing w:before="47"/>
              <w:ind w:right="284"/>
              <w:jc w:val="right"/>
              <w:rPr>
                <w:rFonts w:ascii="Gill Sans MT" w:hAnsi="Gill Sans MT"/>
                <w:b/>
                <w:sz w:val="18"/>
                <w:szCs w:val="18"/>
              </w:rPr>
            </w:pPr>
            <w:r w:rsidRPr="004A44C6">
              <w:rPr>
                <w:rFonts w:ascii="Gill Sans MT" w:hAnsi="Gill Sans MT"/>
                <w:b/>
                <w:sz w:val="18"/>
                <w:szCs w:val="18"/>
              </w:rPr>
              <w:t>21 280</w:t>
            </w:r>
          </w:p>
        </w:tc>
      </w:tr>
      <w:tr w:rsidR="001D06B8" w:rsidRPr="004A44C6" w:rsidTr="004A44C6">
        <w:trPr>
          <w:trHeight w:hRule="exact" w:val="368"/>
        </w:trPr>
        <w:tc>
          <w:tcPr>
            <w:tcW w:w="8364" w:type="dxa"/>
            <w:tcBorders>
              <w:top w:val="single" w:sz="4" w:space="0" w:color="004D8F"/>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130"/>
              <w:ind w:left="79"/>
              <w:rPr>
                <w:rFonts w:ascii="Gill Sans MT" w:hAnsi="Gill Sans MT"/>
                <w:sz w:val="18"/>
                <w:szCs w:val="18"/>
              </w:rPr>
            </w:pPr>
            <w:r w:rsidRPr="004A44C6">
              <w:rPr>
                <w:rFonts w:ascii="Gill Sans MT" w:hAnsi="Gill Sans MT"/>
                <w:sz w:val="18"/>
                <w:szCs w:val="18"/>
              </w:rPr>
              <w:t>Settled within 12 months</w:t>
            </w:r>
          </w:p>
        </w:tc>
        <w:tc>
          <w:tcPr>
            <w:tcW w:w="1559" w:type="dxa"/>
            <w:tcBorders>
              <w:top w:val="single" w:sz="4" w:space="0" w:color="004D8F"/>
              <w:left w:val="dotted" w:sz="4" w:space="0" w:color="auto"/>
              <w:bottom w:val="single" w:sz="4" w:space="0" w:color="004D8F"/>
            </w:tcBorders>
            <w:shd w:val="clear" w:color="auto" w:fill="auto"/>
          </w:tcPr>
          <w:p w:rsidR="001D06B8" w:rsidRPr="004A44C6" w:rsidRDefault="001D06B8" w:rsidP="004A44C6">
            <w:pPr>
              <w:pStyle w:val="TableParagraph"/>
              <w:spacing w:before="126"/>
              <w:ind w:right="284"/>
              <w:jc w:val="right"/>
              <w:rPr>
                <w:rFonts w:ascii="Gill Sans MT" w:hAnsi="Gill Sans MT"/>
                <w:sz w:val="18"/>
                <w:szCs w:val="18"/>
              </w:rPr>
            </w:pPr>
            <w:r w:rsidRPr="004A44C6">
              <w:rPr>
                <w:rFonts w:ascii="Gill Sans MT" w:hAnsi="Gill Sans MT"/>
                <w:sz w:val="18"/>
                <w:szCs w:val="18"/>
              </w:rPr>
              <w:t>21 280</w:t>
            </w:r>
          </w:p>
        </w:tc>
      </w:tr>
      <w:tr w:rsidR="001D06B8" w:rsidRPr="004A44C6" w:rsidTr="001D06B8">
        <w:trPr>
          <w:trHeight w:hRule="exact" w:val="320"/>
        </w:trPr>
        <w:tc>
          <w:tcPr>
            <w:tcW w:w="8364" w:type="dxa"/>
            <w:tcBorders>
              <w:top w:val="single" w:sz="4" w:space="0" w:color="004D8F"/>
              <w:left w:val="dotted" w:sz="4" w:space="0" w:color="auto"/>
              <w:bottom w:val="single" w:sz="4" w:space="0" w:color="004D8F"/>
              <w:right w:val="dotted" w:sz="4" w:space="0" w:color="auto"/>
            </w:tcBorders>
            <w:shd w:val="clear" w:color="auto" w:fill="auto"/>
          </w:tcPr>
          <w:p w:rsidR="001D06B8" w:rsidRPr="004A44C6" w:rsidRDefault="001D06B8" w:rsidP="001D06B8">
            <w:pPr>
              <w:pStyle w:val="TableParagraph"/>
              <w:spacing w:before="51"/>
              <w:ind w:left="79"/>
              <w:rPr>
                <w:rFonts w:ascii="Gill Sans MT" w:hAnsi="Gill Sans MT"/>
                <w:b/>
                <w:sz w:val="18"/>
                <w:szCs w:val="18"/>
              </w:rPr>
            </w:pPr>
            <w:r w:rsidRPr="004A44C6">
              <w:rPr>
                <w:rFonts w:ascii="Gill Sans MT" w:hAnsi="Gill Sans MT"/>
                <w:b/>
                <w:sz w:val="18"/>
                <w:szCs w:val="18"/>
              </w:rPr>
              <w:t>Total</w:t>
            </w:r>
          </w:p>
        </w:tc>
        <w:tc>
          <w:tcPr>
            <w:tcW w:w="1559" w:type="dxa"/>
            <w:tcBorders>
              <w:top w:val="single" w:sz="4" w:space="0" w:color="004D8F"/>
              <w:left w:val="dotted" w:sz="4" w:space="0" w:color="auto"/>
              <w:bottom w:val="single" w:sz="4" w:space="0" w:color="004D8F"/>
            </w:tcBorders>
            <w:shd w:val="clear" w:color="auto" w:fill="auto"/>
          </w:tcPr>
          <w:p w:rsidR="001D06B8" w:rsidRPr="004A44C6" w:rsidRDefault="001D06B8" w:rsidP="004A44C6">
            <w:pPr>
              <w:pStyle w:val="TableParagraph"/>
              <w:spacing w:before="47"/>
              <w:ind w:right="284"/>
              <w:jc w:val="right"/>
              <w:rPr>
                <w:rFonts w:ascii="Gill Sans MT" w:hAnsi="Gill Sans MT"/>
                <w:b/>
                <w:sz w:val="18"/>
                <w:szCs w:val="18"/>
              </w:rPr>
            </w:pPr>
            <w:r w:rsidRPr="004A44C6">
              <w:rPr>
                <w:rFonts w:ascii="Gill Sans MT" w:hAnsi="Gill Sans MT"/>
                <w:b/>
                <w:sz w:val="18"/>
                <w:szCs w:val="18"/>
              </w:rPr>
              <w:t>21 280</w:t>
            </w:r>
          </w:p>
        </w:tc>
      </w:tr>
    </w:tbl>
    <w:p w:rsidR="004A44C6" w:rsidRDefault="004A44C6" w:rsidP="001D06B8">
      <w:pPr>
        <w:pStyle w:val="BodyText"/>
      </w:pPr>
    </w:p>
    <w:p w:rsidR="004A44C6" w:rsidRDefault="004A44C6">
      <w:pPr>
        <w:rPr>
          <w:rFonts w:ascii="Gill Sans MT" w:eastAsia="GillSans-Light" w:hAnsi="Gill Sans MT" w:cs="GillSans-Light"/>
          <w:lang w:val="en-US"/>
        </w:rPr>
      </w:pPr>
      <w:r>
        <w:br w:type="page"/>
      </w:r>
    </w:p>
    <w:tbl>
      <w:tblPr>
        <w:tblW w:w="0" w:type="auto"/>
        <w:tblInd w:w="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REconciliation of movement in provision for impairment of receivables"/>
      </w:tblPr>
      <w:tblGrid>
        <w:gridCol w:w="8784"/>
        <w:gridCol w:w="1243"/>
      </w:tblGrid>
      <w:tr w:rsidR="004A44C6" w:rsidRPr="004A44C6" w:rsidTr="003E2CE6">
        <w:trPr>
          <w:trHeight w:hRule="exact" w:val="560"/>
          <w:tblHeader/>
        </w:trPr>
        <w:tc>
          <w:tcPr>
            <w:tcW w:w="8784" w:type="dxa"/>
            <w:tcBorders>
              <w:top w:val="single" w:sz="4" w:space="0" w:color="004D8F"/>
              <w:left w:val="dotted" w:sz="4" w:space="0" w:color="auto"/>
              <w:bottom w:val="single" w:sz="4" w:space="0" w:color="004D8F"/>
              <w:right w:val="dotted" w:sz="4" w:space="0" w:color="auto"/>
            </w:tcBorders>
            <w:shd w:val="clear" w:color="auto" w:fill="auto"/>
          </w:tcPr>
          <w:p w:rsidR="004A44C6" w:rsidRPr="004A44C6" w:rsidRDefault="004A44C6" w:rsidP="004A44C6">
            <w:pPr>
              <w:pStyle w:val="TableParagraph"/>
              <w:spacing w:before="51"/>
              <w:ind w:right="451"/>
              <w:rPr>
                <w:rFonts w:ascii="Gill Sans MT" w:hAnsi="Gill Sans MT"/>
                <w:b/>
                <w:sz w:val="20"/>
              </w:rPr>
            </w:pPr>
            <w:r w:rsidRPr="004A44C6">
              <w:rPr>
                <w:rFonts w:ascii="Gill Sans MT" w:hAnsi="Gill Sans MT"/>
                <w:b/>
                <w:sz w:val="20"/>
              </w:rPr>
              <w:lastRenderedPageBreak/>
              <w:t>Reconciliation of movement in provision for impairment</w:t>
            </w:r>
            <w:r w:rsidRPr="004A44C6">
              <w:rPr>
                <w:rFonts w:ascii="Gill Sans MT" w:hAnsi="Gill Sans MT"/>
                <w:b/>
                <w:spacing w:val="38"/>
                <w:sz w:val="20"/>
              </w:rPr>
              <w:t xml:space="preserve"> </w:t>
            </w:r>
            <w:r w:rsidRPr="004A44C6">
              <w:rPr>
                <w:rFonts w:ascii="Gill Sans MT" w:hAnsi="Gill Sans MT"/>
                <w:b/>
                <w:sz w:val="20"/>
              </w:rPr>
              <w:t>of</w:t>
            </w:r>
            <w:r w:rsidRPr="004A44C6">
              <w:rPr>
                <w:rFonts w:ascii="Gill Sans MT" w:hAnsi="Gill Sans MT"/>
                <w:b/>
                <w:spacing w:val="5"/>
                <w:sz w:val="20"/>
              </w:rPr>
              <w:t xml:space="preserve"> </w:t>
            </w:r>
            <w:r w:rsidRPr="004A44C6">
              <w:rPr>
                <w:rFonts w:ascii="Gill Sans MT" w:hAnsi="Gill Sans MT"/>
                <w:b/>
                <w:sz w:val="20"/>
              </w:rPr>
              <w:t xml:space="preserve">receivables </w:t>
            </w:r>
          </w:p>
        </w:tc>
        <w:tc>
          <w:tcPr>
            <w:tcW w:w="1243" w:type="dxa"/>
            <w:tcBorders>
              <w:top w:val="single" w:sz="4" w:space="0" w:color="004D8F"/>
              <w:left w:val="dotted" w:sz="4" w:space="0" w:color="auto"/>
              <w:bottom w:val="single" w:sz="4" w:space="0" w:color="004D8F"/>
            </w:tcBorders>
            <w:shd w:val="clear" w:color="auto" w:fill="auto"/>
          </w:tcPr>
          <w:p w:rsidR="004A44C6" w:rsidRPr="004A44C6" w:rsidRDefault="004A44C6" w:rsidP="004A44C6">
            <w:pPr>
              <w:pStyle w:val="TableParagraph"/>
              <w:tabs>
                <w:tab w:val="left" w:pos="8346"/>
              </w:tabs>
              <w:spacing w:before="1"/>
              <w:ind w:right="246"/>
              <w:jc w:val="right"/>
              <w:rPr>
                <w:rFonts w:ascii="Gill Sans MT" w:hAnsi="Gill Sans MT"/>
                <w:b/>
                <w:sz w:val="20"/>
              </w:rPr>
            </w:pPr>
            <w:r w:rsidRPr="004A44C6">
              <w:rPr>
                <w:rFonts w:ascii="Gill Sans MT" w:hAnsi="Gill Sans MT"/>
                <w:b/>
                <w:sz w:val="20"/>
              </w:rPr>
              <w:t>2016</w:t>
            </w:r>
            <w:r w:rsidRPr="004A44C6">
              <w:rPr>
                <w:rFonts w:ascii="Gill Sans MT" w:hAnsi="Gill Sans MT"/>
                <w:b/>
                <w:sz w:val="20"/>
              </w:rPr>
              <w:br/>
            </w:r>
            <w:r w:rsidRPr="004A44C6">
              <w:rPr>
                <w:rFonts w:ascii="Gill Sans MT" w:hAnsi="Gill Sans MT"/>
                <w:b/>
                <w:spacing w:val="5"/>
                <w:sz w:val="20"/>
              </w:rPr>
              <w:t>$’000</w:t>
            </w:r>
          </w:p>
        </w:tc>
      </w:tr>
      <w:tr w:rsidR="004A44C6" w:rsidRPr="004A44C6" w:rsidTr="004A44C6">
        <w:trPr>
          <w:trHeight w:hRule="exact" w:val="320"/>
        </w:trPr>
        <w:tc>
          <w:tcPr>
            <w:tcW w:w="8784" w:type="dxa"/>
            <w:tcBorders>
              <w:top w:val="single" w:sz="4" w:space="0" w:color="004D8F"/>
              <w:left w:val="dotted" w:sz="4" w:space="0" w:color="auto"/>
              <w:bottom w:val="dotted" w:sz="4" w:space="0" w:color="auto"/>
              <w:right w:val="dotted" w:sz="4" w:space="0" w:color="auto"/>
            </w:tcBorders>
            <w:shd w:val="clear" w:color="auto" w:fill="auto"/>
          </w:tcPr>
          <w:p w:rsidR="004A44C6" w:rsidRPr="004A44C6" w:rsidRDefault="004A44C6" w:rsidP="004A44C6">
            <w:pPr>
              <w:pStyle w:val="TableParagraph"/>
              <w:spacing w:before="51" w:line="333" w:lineRule="auto"/>
              <w:ind w:left="79" w:right="5028"/>
              <w:rPr>
                <w:rFonts w:ascii="Gill Sans MT" w:hAnsi="Gill Sans MT"/>
                <w:b/>
                <w:sz w:val="20"/>
              </w:rPr>
            </w:pPr>
            <w:r w:rsidRPr="004A44C6">
              <w:rPr>
                <w:rFonts w:ascii="Gill Sans MT" w:hAnsi="Gill Sans MT"/>
                <w:b/>
                <w:sz w:val="20"/>
              </w:rPr>
              <w:t xml:space="preserve">Carrying amount at 1 July </w:t>
            </w:r>
          </w:p>
        </w:tc>
        <w:tc>
          <w:tcPr>
            <w:tcW w:w="1243" w:type="dxa"/>
            <w:tcBorders>
              <w:top w:val="single" w:sz="4" w:space="0" w:color="004D8F"/>
              <w:left w:val="dotted" w:sz="4" w:space="0" w:color="auto"/>
              <w:bottom w:val="single" w:sz="4" w:space="0" w:color="004D8F"/>
            </w:tcBorders>
            <w:shd w:val="clear" w:color="auto" w:fill="auto"/>
          </w:tcPr>
          <w:p w:rsidR="004A44C6" w:rsidRPr="004A44C6" w:rsidRDefault="004A44C6" w:rsidP="004A44C6">
            <w:pPr>
              <w:pStyle w:val="TableParagraph"/>
              <w:spacing w:before="47"/>
              <w:ind w:right="246"/>
              <w:jc w:val="right"/>
              <w:rPr>
                <w:rFonts w:ascii="Gill Sans MT" w:hAnsi="Gill Sans MT"/>
                <w:b/>
                <w:sz w:val="20"/>
              </w:rPr>
            </w:pPr>
            <w:r w:rsidRPr="004A44C6">
              <w:rPr>
                <w:rFonts w:ascii="Gill Sans MT" w:hAnsi="Gill Sans MT"/>
                <w:b/>
                <w:sz w:val="20"/>
              </w:rPr>
              <w:t>0</w:t>
            </w:r>
          </w:p>
        </w:tc>
      </w:tr>
      <w:tr w:rsidR="004A44C6" w:rsidRPr="004A44C6" w:rsidTr="004A44C6">
        <w:trPr>
          <w:trHeight w:hRule="exact" w:val="320"/>
        </w:trPr>
        <w:tc>
          <w:tcPr>
            <w:tcW w:w="8784" w:type="dxa"/>
            <w:tcBorders>
              <w:top w:val="nil"/>
              <w:left w:val="dotted" w:sz="4" w:space="0" w:color="auto"/>
              <w:bottom w:val="dotted" w:sz="4" w:space="0" w:color="auto"/>
              <w:right w:val="dotted" w:sz="4" w:space="0" w:color="auto"/>
            </w:tcBorders>
            <w:shd w:val="clear" w:color="auto" w:fill="auto"/>
          </w:tcPr>
          <w:p w:rsidR="004A44C6" w:rsidRPr="004A44C6" w:rsidRDefault="004A44C6" w:rsidP="00992AA6">
            <w:pPr>
              <w:pStyle w:val="TableParagraph"/>
              <w:spacing w:before="51" w:line="333" w:lineRule="auto"/>
              <w:ind w:left="79" w:right="5028"/>
              <w:rPr>
                <w:rFonts w:ascii="Gill Sans MT" w:hAnsi="Gill Sans MT"/>
                <w:b/>
                <w:sz w:val="20"/>
              </w:rPr>
            </w:pPr>
            <w:r w:rsidRPr="004A44C6">
              <w:rPr>
                <w:rFonts w:ascii="Gill Sans MT" w:hAnsi="Gill Sans MT"/>
                <w:sz w:val="20"/>
              </w:rPr>
              <w:t>Amounts written off during the year</w:t>
            </w:r>
          </w:p>
        </w:tc>
        <w:tc>
          <w:tcPr>
            <w:tcW w:w="1243" w:type="dxa"/>
            <w:tcBorders>
              <w:top w:val="single" w:sz="4" w:space="0" w:color="004D8F"/>
              <w:left w:val="dotted" w:sz="4" w:space="0" w:color="auto"/>
              <w:bottom w:val="dotted" w:sz="4" w:space="0" w:color="auto"/>
            </w:tcBorders>
            <w:shd w:val="clear" w:color="auto" w:fill="auto"/>
          </w:tcPr>
          <w:p w:rsidR="004A44C6" w:rsidRPr="004A44C6" w:rsidRDefault="004A44C6" w:rsidP="004A44C6">
            <w:pPr>
              <w:pStyle w:val="TableParagraph"/>
              <w:spacing w:before="56"/>
              <w:ind w:right="246"/>
              <w:jc w:val="right"/>
              <w:rPr>
                <w:rFonts w:ascii="Gill Sans MT" w:hAnsi="Gill Sans MT"/>
                <w:sz w:val="20"/>
              </w:rPr>
            </w:pPr>
            <w:r w:rsidRPr="004A44C6">
              <w:rPr>
                <w:rFonts w:ascii="Gill Sans MT" w:hAnsi="Gill Sans MT"/>
                <w:sz w:val="20"/>
              </w:rPr>
              <w:t>(24</w:t>
            </w:r>
            <w:r>
              <w:rPr>
                <w:rFonts w:ascii="Gill Sans MT" w:hAnsi="Gill Sans MT"/>
                <w:sz w:val="20"/>
              </w:rPr>
              <w:t>6)</w:t>
            </w:r>
          </w:p>
          <w:p w:rsidR="004A44C6" w:rsidRPr="004A44C6" w:rsidRDefault="004A44C6" w:rsidP="004A44C6">
            <w:pPr>
              <w:pStyle w:val="TableParagraph"/>
              <w:spacing w:before="47"/>
              <w:ind w:right="246"/>
              <w:jc w:val="right"/>
              <w:rPr>
                <w:rFonts w:ascii="Gill Sans MT" w:hAnsi="Gill Sans MT"/>
                <w:b/>
                <w:sz w:val="20"/>
              </w:rPr>
            </w:pPr>
          </w:p>
        </w:tc>
      </w:tr>
      <w:tr w:rsidR="004A44C6" w:rsidRPr="004A44C6" w:rsidTr="004A44C6">
        <w:trPr>
          <w:trHeight w:hRule="exact" w:val="320"/>
        </w:trPr>
        <w:tc>
          <w:tcPr>
            <w:tcW w:w="8784" w:type="dxa"/>
            <w:tcBorders>
              <w:top w:val="nil"/>
              <w:left w:val="dotted" w:sz="4" w:space="0" w:color="auto"/>
              <w:bottom w:val="dotted" w:sz="4" w:space="0" w:color="auto"/>
              <w:right w:val="dotted" w:sz="4" w:space="0" w:color="auto"/>
            </w:tcBorders>
            <w:shd w:val="clear" w:color="auto" w:fill="auto"/>
          </w:tcPr>
          <w:p w:rsidR="004A44C6" w:rsidRPr="004A44C6" w:rsidRDefault="004A44C6" w:rsidP="004A44C6">
            <w:pPr>
              <w:pStyle w:val="TableParagraph"/>
              <w:spacing w:before="51" w:line="333" w:lineRule="auto"/>
              <w:ind w:left="79" w:right="5028"/>
              <w:rPr>
                <w:rFonts w:ascii="Gill Sans MT" w:hAnsi="Gill Sans MT"/>
                <w:sz w:val="20"/>
              </w:rPr>
            </w:pPr>
            <w:r w:rsidRPr="004A44C6">
              <w:rPr>
                <w:rFonts w:ascii="Gill Sans MT" w:hAnsi="Gill Sans MT"/>
                <w:sz w:val="20"/>
              </w:rPr>
              <w:t>Net transfer in upon establishment</w:t>
            </w:r>
          </w:p>
          <w:p w:rsidR="004A44C6" w:rsidRPr="004A44C6" w:rsidRDefault="004A44C6" w:rsidP="00992AA6">
            <w:pPr>
              <w:pStyle w:val="TableParagraph"/>
              <w:spacing w:before="51" w:line="333" w:lineRule="auto"/>
              <w:ind w:left="79" w:right="5028"/>
              <w:rPr>
                <w:rFonts w:ascii="Gill Sans MT" w:hAnsi="Gill Sans MT"/>
                <w:b/>
                <w:sz w:val="20"/>
              </w:rPr>
            </w:pPr>
          </w:p>
        </w:tc>
        <w:tc>
          <w:tcPr>
            <w:tcW w:w="1243" w:type="dxa"/>
            <w:tcBorders>
              <w:top w:val="dotted" w:sz="4" w:space="0" w:color="auto"/>
              <w:left w:val="dotted" w:sz="4" w:space="0" w:color="auto"/>
              <w:bottom w:val="dotted" w:sz="4" w:space="0" w:color="auto"/>
            </w:tcBorders>
            <w:shd w:val="clear" w:color="auto" w:fill="auto"/>
          </w:tcPr>
          <w:p w:rsidR="004A44C6" w:rsidRPr="004A44C6" w:rsidRDefault="004A44C6" w:rsidP="004A44C6">
            <w:pPr>
              <w:pStyle w:val="TableParagraph"/>
              <w:spacing w:before="92"/>
              <w:ind w:right="246"/>
              <w:jc w:val="right"/>
              <w:rPr>
                <w:rFonts w:ascii="Gill Sans MT" w:hAnsi="Gill Sans MT"/>
                <w:sz w:val="20"/>
              </w:rPr>
            </w:pPr>
            <w:r w:rsidRPr="004A44C6">
              <w:rPr>
                <w:rFonts w:ascii="Gill Sans MT" w:hAnsi="Gill Sans MT"/>
                <w:sz w:val="20"/>
              </w:rPr>
              <w:t>812</w:t>
            </w:r>
          </w:p>
          <w:p w:rsidR="004A44C6" w:rsidRPr="004A44C6" w:rsidRDefault="004A44C6" w:rsidP="004A44C6">
            <w:pPr>
              <w:pStyle w:val="TableParagraph"/>
              <w:spacing w:before="47"/>
              <w:ind w:right="246"/>
              <w:jc w:val="right"/>
              <w:rPr>
                <w:rFonts w:ascii="Gill Sans MT" w:hAnsi="Gill Sans MT"/>
                <w:b/>
                <w:sz w:val="20"/>
              </w:rPr>
            </w:pPr>
          </w:p>
        </w:tc>
      </w:tr>
      <w:tr w:rsidR="004A44C6" w:rsidRPr="004A44C6" w:rsidTr="004A44C6">
        <w:trPr>
          <w:trHeight w:hRule="exact" w:val="320"/>
        </w:trPr>
        <w:tc>
          <w:tcPr>
            <w:tcW w:w="8784" w:type="dxa"/>
            <w:tcBorders>
              <w:top w:val="nil"/>
              <w:left w:val="dotted" w:sz="4" w:space="0" w:color="auto"/>
              <w:bottom w:val="dotted" w:sz="4" w:space="0" w:color="auto"/>
              <w:right w:val="dotted" w:sz="4" w:space="0" w:color="auto"/>
            </w:tcBorders>
            <w:shd w:val="clear" w:color="auto" w:fill="auto"/>
          </w:tcPr>
          <w:p w:rsidR="004A44C6" w:rsidRPr="004A44C6" w:rsidRDefault="004A44C6" w:rsidP="004A44C6">
            <w:pPr>
              <w:pStyle w:val="TableParagraph"/>
              <w:spacing w:before="3"/>
              <w:ind w:left="79"/>
              <w:rPr>
                <w:rFonts w:ascii="Gill Sans MT" w:hAnsi="Gill Sans MT"/>
                <w:sz w:val="20"/>
              </w:rPr>
            </w:pPr>
            <w:r w:rsidRPr="004A44C6">
              <w:rPr>
                <w:rFonts w:ascii="Gill Sans MT" w:hAnsi="Gill Sans MT"/>
                <w:sz w:val="20"/>
              </w:rPr>
              <w:t>Increase/(decrease) in provision recognised in profit or loss</w:t>
            </w:r>
          </w:p>
          <w:p w:rsidR="004A44C6" w:rsidRPr="004A44C6" w:rsidRDefault="004A44C6" w:rsidP="00992AA6">
            <w:pPr>
              <w:pStyle w:val="TableParagraph"/>
              <w:spacing w:before="3"/>
              <w:ind w:left="79"/>
              <w:rPr>
                <w:rFonts w:ascii="Gill Sans MT" w:hAnsi="Gill Sans MT"/>
                <w:sz w:val="20"/>
              </w:rPr>
            </w:pPr>
          </w:p>
        </w:tc>
        <w:tc>
          <w:tcPr>
            <w:tcW w:w="1243" w:type="dxa"/>
            <w:tcBorders>
              <w:top w:val="dotted" w:sz="4" w:space="0" w:color="auto"/>
              <w:left w:val="dotted" w:sz="4" w:space="0" w:color="auto"/>
              <w:bottom w:val="single" w:sz="4" w:space="0" w:color="004D8F"/>
            </w:tcBorders>
            <w:shd w:val="clear" w:color="auto" w:fill="auto"/>
          </w:tcPr>
          <w:p w:rsidR="004A44C6" w:rsidRPr="004A44C6" w:rsidRDefault="004A44C6" w:rsidP="004A44C6">
            <w:pPr>
              <w:pStyle w:val="TableParagraph"/>
              <w:spacing w:before="47"/>
              <w:ind w:right="246"/>
              <w:jc w:val="right"/>
              <w:rPr>
                <w:rFonts w:ascii="Gill Sans MT" w:hAnsi="Gill Sans MT"/>
                <w:b/>
                <w:sz w:val="20"/>
              </w:rPr>
            </w:pPr>
            <w:r w:rsidRPr="004A44C6">
              <w:rPr>
                <w:rFonts w:ascii="Gill Sans MT" w:hAnsi="Gill Sans MT"/>
                <w:sz w:val="20"/>
              </w:rPr>
              <w:t>446</w:t>
            </w:r>
          </w:p>
        </w:tc>
      </w:tr>
      <w:tr w:rsidR="004A44C6" w:rsidRPr="004A44C6" w:rsidTr="004A44C6">
        <w:trPr>
          <w:trHeight w:val="425"/>
        </w:trPr>
        <w:tc>
          <w:tcPr>
            <w:tcW w:w="8784" w:type="dxa"/>
            <w:tcBorders>
              <w:top w:val="nil"/>
              <w:left w:val="dotted" w:sz="4" w:space="0" w:color="auto"/>
              <w:bottom w:val="dotted" w:sz="4" w:space="0" w:color="auto"/>
              <w:right w:val="dotted" w:sz="4" w:space="0" w:color="auto"/>
            </w:tcBorders>
            <w:shd w:val="clear" w:color="auto" w:fill="auto"/>
          </w:tcPr>
          <w:p w:rsidR="004A44C6" w:rsidRPr="004A44C6" w:rsidRDefault="004A44C6" w:rsidP="00992AA6">
            <w:pPr>
              <w:pStyle w:val="TableParagraph"/>
              <w:spacing w:before="83"/>
              <w:ind w:left="79"/>
              <w:rPr>
                <w:rFonts w:ascii="Gill Sans MT" w:hAnsi="Gill Sans MT"/>
                <w:b/>
                <w:sz w:val="20"/>
              </w:rPr>
            </w:pPr>
            <w:r w:rsidRPr="004A44C6">
              <w:rPr>
                <w:rFonts w:ascii="Gill Sans MT" w:hAnsi="Gill Sans MT"/>
                <w:b/>
                <w:sz w:val="20"/>
              </w:rPr>
              <w:t>Carrying amount at 30 June</w:t>
            </w:r>
          </w:p>
        </w:tc>
        <w:tc>
          <w:tcPr>
            <w:tcW w:w="1243" w:type="dxa"/>
            <w:tcBorders>
              <w:top w:val="single" w:sz="4" w:space="0" w:color="004D8F"/>
              <w:left w:val="dotted" w:sz="4" w:space="0" w:color="auto"/>
              <w:bottom w:val="single" w:sz="4" w:space="0" w:color="004D8F"/>
              <w:right w:val="dotted" w:sz="4" w:space="0" w:color="auto"/>
            </w:tcBorders>
            <w:shd w:val="clear" w:color="auto" w:fill="auto"/>
          </w:tcPr>
          <w:p w:rsidR="004A44C6" w:rsidRPr="004A44C6" w:rsidRDefault="004A44C6" w:rsidP="004A44C6">
            <w:pPr>
              <w:pStyle w:val="TableParagraph"/>
              <w:spacing w:before="47"/>
              <w:ind w:right="246"/>
              <w:jc w:val="right"/>
              <w:rPr>
                <w:rFonts w:ascii="Gill Sans MT" w:hAnsi="Gill Sans MT"/>
                <w:b/>
                <w:sz w:val="20"/>
              </w:rPr>
            </w:pPr>
            <w:r w:rsidRPr="004A44C6">
              <w:rPr>
                <w:rFonts w:ascii="Gill Sans MT" w:hAnsi="Gill Sans MT"/>
                <w:b/>
                <w:sz w:val="20"/>
              </w:rPr>
              <w:t>1 012</w:t>
            </w:r>
          </w:p>
        </w:tc>
      </w:tr>
    </w:tbl>
    <w:p w:rsidR="001D06B8" w:rsidRDefault="001D06B8" w:rsidP="001D06B8">
      <w:pPr>
        <w:pStyle w:val="BodyText"/>
      </w:pPr>
    </w:p>
    <w:p w:rsidR="001D06B8" w:rsidRDefault="004A44C6" w:rsidP="004A44C6">
      <w:pPr>
        <w:pStyle w:val="Heading5"/>
      </w:pPr>
      <w:r>
        <w:t>8.2</w:t>
      </w:r>
      <w:r>
        <w:tab/>
        <w:t>Other Financial Assets</w:t>
      </w:r>
    </w:p>
    <w:p w:rsidR="004A44C6" w:rsidRDefault="004A44C6" w:rsidP="004A44C6">
      <w:pPr>
        <w:pStyle w:val="BodyText"/>
      </w:pPr>
      <w:r w:rsidRPr="004A44C6">
        <w:t>Other financial assets are recorded at fair value.</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Other Financial Assets"/>
      </w:tblPr>
      <w:tblGrid>
        <w:gridCol w:w="8789"/>
        <w:gridCol w:w="1276"/>
      </w:tblGrid>
      <w:tr w:rsidR="00A24BFF" w:rsidRPr="00A24BFF" w:rsidTr="003E2CE6">
        <w:trPr>
          <w:trHeight w:hRule="exact" w:val="560"/>
          <w:tblHeader/>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51"/>
              <w:ind w:right="451"/>
              <w:rPr>
                <w:rFonts w:ascii="Gill Sans MT" w:hAnsi="Gill Sans MT"/>
                <w:b/>
                <w:sz w:val="20"/>
              </w:rPr>
            </w:pPr>
            <w:r w:rsidRPr="00A24BFF">
              <w:rPr>
                <w:rFonts w:ascii="Gill Sans MT" w:hAnsi="Gill Sans MT"/>
                <w:b/>
                <w:sz w:val="20"/>
              </w:rPr>
              <w:t>Description</w:t>
            </w:r>
          </w:p>
        </w:tc>
        <w:tc>
          <w:tcPr>
            <w:tcW w:w="1276"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992AA6">
            <w:pPr>
              <w:pStyle w:val="TableParagraph"/>
              <w:spacing w:before="1"/>
              <w:ind w:right="400"/>
              <w:jc w:val="right"/>
              <w:rPr>
                <w:rFonts w:ascii="Gill Sans MT" w:hAnsi="Gill Sans MT"/>
                <w:b/>
                <w:sz w:val="20"/>
              </w:rPr>
            </w:pPr>
            <w:r w:rsidRPr="00A24BFF">
              <w:rPr>
                <w:rFonts w:ascii="Gill Sans MT" w:hAnsi="Gill Sans MT"/>
                <w:b/>
                <w:sz w:val="20"/>
              </w:rPr>
              <w:t>2016</w:t>
            </w:r>
            <w:r w:rsidRPr="00A24BFF">
              <w:rPr>
                <w:rFonts w:ascii="Gill Sans MT" w:hAnsi="Gill Sans MT"/>
                <w:b/>
                <w:sz w:val="20"/>
              </w:rPr>
              <w:br/>
              <w:t>$’000</w:t>
            </w:r>
          </w:p>
        </w:tc>
      </w:tr>
      <w:tr w:rsidR="00A24BFF" w:rsidRPr="00A24BFF" w:rsidTr="00A24BFF">
        <w:trPr>
          <w:trHeight w:hRule="exact" w:val="478"/>
        </w:trPr>
        <w:tc>
          <w:tcPr>
            <w:tcW w:w="8789" w:type="dxa"/>
            <w:tcBorders>
              <w:top w:val="single" w:sz="4" w:space="0" w:color="004D8F"/>
              <w:left w:val="dotted" w:sz="4" w:space="0" w:color="auto"/>
              <w:bottom w:val="dotted" w:sz="4" w:space="0" w:color="auto"/>
              <w:right w:val="dotted" w:sz="4" w:space="0" w:color="auto"/>
            </w:tcBorders>
            <w:shd w:val="clear" w:color="auto" w:fill="auto"/>
          </w:tcPr>
          <w:p w:rsidR="00A24BFF" w:rsidRPr="00A24BFF" w:rsidRDefault="00A24BFF" w:rsidP="00992AA6">
            <w:pPr>
              <w:pStyle w:val="TableParagraph"/>
              <w:spacing w:before="60" w:line="333" w:lineRule="auto"/>
              <w:ind w:left="80" w:right="6231"/>
              <w:rPr>
                <w:rFonts w:ascii="Gill Sans MT" w:hAnsi="Gill Sans MT"/>
                <w:sz w:val="20"/>
              </w:rPr>
            </w:pPr>
            <w:r w:rsidRPr="00A24BFF">
              <w:rPr>
                <w:rFonts w:ascii="Gill Sans MT" w:hAnsi="Gill Sans MT"/>
                <w:sz w:val="20"/>
              </w:rPr>
              <w:t>Accrued Revenue</w:t>
            </w:r>
          </w:p>
        </w:tc>
        <w:tc>
          <w:tcPr>
            <w:tcW w:w="1276" w:type="dxa"/>
            <w:tcBorders>
              <w:top w:val="single" w:sz="4" w:space="0" w:color="004D8F"/>
              <w:left w:val="dotted" w:sz="4" w:space="0" w:color="auto"/>
              <w:bottom w:val="dotted" w:sz="4" w:space="0" w:color="auto"/>
              <w:right w:val="dotted" w:sz="4" w:space="0" w:color="auto"/>
            </w:tcBorders>
            <w:shd w:val="clear" w:color="auto" w:fill="auto"/>
          </w:tcPr>
          <w:p w:rsidR="00A24BFF" w:rsidRPr="00A24BFF" w:rsidRDefault="00A24BFF" w:rsidP="00A24BFF">
            <w:pPr>
              <w:pStyle w:val="TableParagraph"/>
              <w:spacing w:before="60"/>
              <w:ind w:left="535"/>
              <w:rPr>
                <w:rFonts w:ascii="Gill Sans MT" w:hAnsi="Gill Sans MT"/>
                <w:sz w:val="20"/>
              </w:rPr>
            </w:pPr>
            <w:r w:rsidRPr="00A24BFF">
              <w:rPr>
                <w:rFonts w:ascii="Gill Sans MT" w:hAnsi="Gill Sans MT"/>
                <w:sz w:val="20"/>
              </w:rPr>
              <w:t>12 210</w:t>
            </w:r>
          </w:p>
          <w:p w:rsidR="00A24BFF" w:rsidRPr="00A24BFF" w:rsidRDefault="00A24BFF" w:rsidP="00992AA6">
            <w:pPr>
              <w:pStyle w:val="TableParagraph"/>
              <w:spacing w:before="60"/>
              <w:ind w:left="535"/>
              <w:rPr>
                <w:rFonts w:ascii="Gill Sans MT" w:hAnsi="Gill Sans MT"/>
                <w:sz w:val="20"/>
              </w:rPr>
            </w:pPr>
          </w:p>
        </w:tc>
      </w:tr>
      <w:tr w:rsidR="00A24BFF" w:rsidRPr="00A24BFF" w:rsidTr="00A24BFF">
        <w:trPr>
          <w:trHeight w:hRule="exact" w:val="414"/>
        </w:trPr>
        <w:tc>
          <w:tcPr>
            <w:tcW w:w="8789" w:type="dxa"/>
            <w:tcBorders>
              <w:top w:val="dotted" w:sz="4" w:space="0" w:color="auto"/>
              <w:left w:val="dotted" w:sz="4" w:space="0" w:color="auto"/>
              <w:bottom w:val="dotted" w:sz="4" w:space="0" w:color="auto"/>
              <w:right w:val="dotted" w:sz="4" w:space="0" w:color="auto"/>
            </w:tcBorders>
            <w:shd w:val="clear" w:color="auto" w:fill="auto"/>
          </w:tcPr>
          <w:p w:rsidR="00A24BFF" w:rsidRPr="00A24BFF" w:rsidRDefault="00A24BFF" w:rsidP="00992AA6">
            <w:pPr>
              <w:pStyle w:val="TableParagraph"/>
              <w:spacing w:before="60" w:line="333" w:lineRule="auto"/>
              <w:ind w:left="80" w:right="6231"/>
              <w:rPr>
                <w:rFonts w:ascii="Gill Sans MT" w:hAnsi="Gill Sans MT"/>
                <w:sz w:val="20"/>
              </w:rPr>
            </w:pPr>
            <w:r w:rsidRPr="00A24BFF">
              <w:rPr>
                <w:rFonts w:ascii="Gill Sans MT" w:hAnsi="Gill Sans MT"/>
                <w:sz w:val="20"/>
              </w:rPr>
              <w:t>Inter Entity Balance</w:t>
            </w: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A24BFF" w:rsidRPr="00A24BFF" w:rsidRDefault="00A24BFF" w:rsidP="00992AA6">
            <w:pPr>
              <w:pStyle w:val="TableParagraph"/>
              <w:spacing w:before="92"/>
              <w:ind w:left="600"/>
              <w:rPr>
                <w:rFonts w:ascii="Gill Sans MT" w:hAnsi="Gill Sans MT"/>
                <w:sz w:val="20"/>
              </w:rPr>
            </w:pPr>
            <w:r w:rsidRPr="00A24BFF">
              <w:rPr>
                <w:rFonts w:ascii="Gill Sans MT" w:hAnsi="Gill Sans MT"/>
                <w:sz w:val="20"/>
              </w:rPr>
              <w:t>3 663</w:t>
            </w:r>
          </w:p>
        </w:tc>
      </w:tr>
      <w:tr w:rsidR="00A24BFF" w:rsidRPr="00A24BFF" w:rsidTr="00A24BFF">
        <w:trPr>
          <w:trHeight w:hRule="exact" w:val="419"/>
        </w:trPr>
        <w:tc>
          <w:tcPr>
            <w:tcW w:w="8789" w:type="dxa"/>
            <w:tcBorders>
              <w:top w:val="dotted" w:sz="4" w:space="0" w:color="auto"/>
              <w:left w:val="dotted" w:sz="4" w:space="0" w:color="auto"/>
              <w:bottom w:val="dotted" w:sz="4" w:space="0" w:color="auto"/>
              <w:right w:val="dotted" w:sz="4" w:space="0" w:color="auto"/>
            </w:tcBorders>
            <w:shd w:val="clear" w:color="auto" w:fill="auto"/>
          </w:tcPr>
          <w:p w:rsidR="00A24BFF" w:rsidRPr="00A24BFF" w:rsidRDefault="00A24BFF" w:rsidP="00A24BFF">
            <w:pPr>
              <w:pStyle w:val="TableParagraph"/>
              <w:spacing w:before="60" w:line="333" w:lineRule="auto"/>
              <w:ind w:left="80" w:right="6231"/>
              <w:rPr>
                <w:rFonts w:ascii="Gill Sans MT" w:hAnsi="Gill Sans MT"/>
                <w:b/>
                <w:sz w:val="20"/>
              </w:rPr>
            </w:pPr>
            <w:r w:rsidRPr="00A24BFF">
              <w:rPr>
                <w:rFonts w:ascii="Gill Sans MT" w:hAnsi="Gill Sans MT"/>
                <w:b/>
                <w:sz w:val="20"/>
              </w:rPr>
              <w:t>Total</w:t>
            </w:r>
          </w:p>
          <w:p w:rsidR="00A24BFF" w:rsidRPr="00A24BFF" w:rsidRDefault="00A24BFF" w:rsidP="00992AA6">
            <w:pPr>
              <w:pStyle w:val="TableParagraph"/>
              <w:spacing w:before="60" w:line="333" w:lineRule="auto"/>
              <w:ind w:left="80" w:right="6231"/>
              <w:rPr>
                <w:rFonts w:ascii="Gill Sans MT" w:hAnsi="Gill Sans MT"/>
                <w:sz w:val="20"/>
              </w:rPr>
            </w:pP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A24BFF" w:rsidRPr="00A24BFF" w:rsidRDefault="00A24BFF" w:rsidP="00992AA6">
            <w:pPr>
              <w:pStyle w:val="TableParagraph"/>
              <w:spacing w:before="60"/>
              <w:ind w:left="535"/>
              <w:rPr>
                <w:rFonts w:ascii="Gill Sans MT" w:hAnsi="Gill Sans MT"/>
                <w:sz w:val="20"/>
              </w:rPr>
            </w:pPr>
            <w:r w:rsidRPr="00A24BFF">
              <w:rPr>
                <w:rFonts w:ascii="Gill Sans MT" w:hAnsi="Gill Sans MT"/>
                <w:b/>
                <w:sz w:val="20"/>
              </w:rPr>
              <w:t>15 873</w:t>
            </w:r>
          </w:p>
        </w:tc>
      </w:tr>
      <w:tr w:rsidR="00A24BFF" w:rsidRPr="00A24BFF" w:rsidTr="00A24BFF">
        <w:trPr>
          <w:trHeight w:hRule="exact" w:val="425"/>
        </w:trPr>
        <w:tc>
          <w:tcPr>
            <w:tcW w:w="8789" w:type="dxa"/>
            <w:tcBorders>
              <w:top w:val="dotted" w:sz="4" w:space="0" w:color="auto"/>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ind w:left="80"/>
              <w:rPr>
                <w:rFonts w:ascii="Gill Sans MT" w:hAnsi="Gill Sans MT"/>
                <w:sz w:val="20"/>
              </w:rPr>
            </w:pPr>
            <w:r w:rsidRPr="00A24BFF">
              <w:rPr>
                <w:rFonts w:ascii="Gill Sans MT" w:hAnsi="Gill Sans MT"/>
                <w:sz w:val="20"/>
              </w:rPr>
              <w:t>Settled within 12 months</w:t>
            </w:r>
          </w:p>
          <w:p w:rsidR="00A24BFF" w:rsidRPr="00A24BFF" w:rsidRDefault="00A24BFF" w:rsidP="00992AA6">
            <w:pPr>
              <w:pStyle w:val="TableParagraph"/>
              <w:spacing w:before="60" w:line="333" w:lineRule="auto"/>
              <w:ind w:left="80" w:right="6231"/>
              <w:rPr>
                <w:rFonts w:ascii="Gill Sans MT" w:hAnsi="Gill Sans MT"/>
                <w:sz w:val="20"/>
              </w:rPr>
            </w:pPr>
          </w:p>
        </w:tc>
        <w:tc>
          <w:tcPr>
            <w:tcW w:w="1276" w:type="dxa"/>
            <w:tcBorders>
              <w:top w:val="dotted" w:sz="4" w:space="0" w:color="auto"/>
              <w:left w:val="dotted" w:sz="4" w:space="0" w:color="auto"/>
              <w:bottom w:val="single" w:sz="4" w:space="0" w:color="004D8F"/>
              <w:right w:val="dotted" w:sz="4" w:space="0" w:color="auto"/>
            </w:tcBorders>
            <w:shd w:val="clear" w:color="auto" w:fill="auto"/>
          </w:tcPr>
          <w:p w:rsidR="00A24BFF" w:rsidRPr="00A24BFF" w:rsidRDefault="00A24BFF" w:rsidP="00992AA6">
            <w:pPr>
              <w:pStyle w:val="TableParagraph"/>
              <w:spacing w:before="60"/>
              <w:ind w:left="535"/>
              <w:rPr>
                <w:rFonts w:ascii="Gill Sans MT" w:hAnsi="Gill Sans MT"/>
                <w:sz w:val="20"/>
              </w:rPr>
            </w:pPr>
            <w:r w:rsidRPr="00A24BFF">
              <w:rPr>
                <w:rFonts w:ascii="Gill Sans MT" w:hAnsi="Gill Sans MT"/>
                <w:sz w:val="20"/>
              </w:rPr>
              <w:t>15 873</w:t>
            </w:r>
          </w:p>
        </w:tc>
      </w:tr>
      <w:tr w:rsidR="00A24BFF" w:rsidRPr="00A24BFF" w:rsidTr="00A24BFF">
        <w:trPr>
          <w:trHeight w:val="411"/>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992AA6">
            <w:pPr>
              <w:pStyle w:val="TableParagraph"/>
              <w:spacing w:before="83"/>
              <w:ind w:left="80"/>
              <w:rPr>
                <w:rFonts w:ascii="Gill Sans MT" w:hAnsi="Gill Sans MT"/>
                <w:b/>
                <w:sz w:val="20"/>
              </w:rPr>
            </w:pPr>
            <w:r w:rsidRPr="00A24BFF">
              <w:rPr>
                <w:rFonts w:ascii="Gill Sans MT" w:hAnsi="Gill Sans MT"/>
                <w:b/>
                <w:sz w:val="20"/>
              </w:rPr>
              <w:t>Total</w:t>
            </w:r>
          </w:p>
        </w:tc>
        <w:tc>
          <w:tcPr>
            <w:tcW w:w="1276"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92"/>
              <w:ind w:left="600"/>
              <w:rPr>
                <w:rFonts w:ascii="Gill Sans MT" w:hAnsi="Gill Sans MT"/>
                <w:sz w:val="20"/>
              </w:rPr>
            </w:pPr>
            <w:r w:rsidRPr="00A24BFF">
              <w:rPr>
                <w:rFonts w:ascii="Gill Sans MT" w:hAnsi="Gill Sans MT"/>
                <w:b/>
                <w:sz w:val="20"/>
              </w:rPr>
              <w:t>15 873</w:t>
            </w:r>
          </w:p>
        </w:tc>
      </w:tr>
    </w:tbl>
    <w:p w:rsidR="004A44C6" w:rsidRDefault="004A44C6" w:rsidP="004A44C6">
      <w:pPr>
        <w:pStyle w:val="BodyText"/>
      </w:pPr>
    </w:p>
    <w:p w:rsidR="00A24BFF" w:rsidRDefault="00A24BFF" w:rsidP="00A24BFF">
      <w:pPr>
        <w:pStyle w:val="BodyText"/>
      </w:pPr>
      <w:r>
        <w:t>The Inter entity balance represents the net balance of shared service transactions that have taken place between the THS and the Department.</w:t>
      </w:r>
    </w:p>
    <w:p w:rsidR="00A24BFF" w:rsidRDefault="00A24BFF" w:rsidP="00A24BFF">
      <w:pPr>
        <w:pStyle w:val="Heading5"/>
      </w:pPr>
      <w:r>
        <w:t xml:space="preserve">8.3 </w:t>
      </w:r>
      <w:r>
        <w:tab/>
        <w:t>Inventories</w:t>
      </w:r>
    </w:p>
    <w:p w:rsidR="00A24BFF" w:rsidRDefault="00A24BFF" w:rsidP="00A24BFF">
      <w:pPr>
        <w:pStyle w:val="BodyText"/>
      </w:pPr>
      <w:r>
        <w:t xml:space="preserve">Inventories held for distribution are valued at cost adjusted, when applicable, for any loss of service potential. Inventories acquired for no cost or nominal </w:t>
      </w:r>
      <w:proofErr w:type="gramStart"/>
      <w:r>
        <w:t>consideration are</w:t>
      </w:r>
      <w:proofErr w:type="gramEnd"/>
      <w:r>
        <w:t xml:space="preserve"> valued at current replacement cost.</w:t>
      </w:r>
    </w:p>
    <w:tbl>
      <w:tblPr>
        <w:tblpPr w:leftFromText="180" w:rightFromText="180" w:vertAnchor="text" w:horzAnchor="margin" w:tblpY="354"/>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Inventories"/>
      </w:tblPr>
      <w:tblGrid>
        <w:gridCol w:w="8789"/>
        <w:gridCol w:w="1276"/>
      </w:tblGrid>
      <w:tr w:rsidR="00A24BFF" w:rsidRPr="00A24BFF" w:rsidTr="003E2CE6">
        <w:trPr>
          <w:trHeight w:hRule="exact" w:val="560"/>
          <w:tblHeader/>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51"/>
              <w:ind w:right="451"/>
              <w:rPr>
                <w:rFonts w:ascii="Gill Sans MT" w:hAnsi="Gill Sans MT"/>
                <w:b/>
                <w:sz w:val="20"/>
              </w:rPr>
            </w:pPr>
            <w:r w:rsidRPr="00A24BFF">
              <w:rPr>
                <w:rFonts w:ascii="Gill Sans MT" w:hAnsi="Gill Sans MT"/>
                <w:b/>
                <w:sz w:val="20"/>
              </w:rPr>
              <w:t>Description</w:t>
            </w:r>
          </w:p>
        </w:tc>
        <w:tc>
          <w:tcPr>
            <w:tcW w:w="1276"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1"/>
              <w:ind w:right="400"/>
              <w:jc w:val="right"/>
              <w:rPr>
                <w:rFonts w:ascii="Gill Sans MT" w:hAnsi="Gill Sans MT"/>
                <w:b/>
                <w:sz w:val="20"/>
              </w:rPr>
            </w:pPr>
            <w:r w:rsidRPr="00A24BFF">
              <w:rPr>
                <w:rFonts w:ascii="Gill Sans MT" w:hAnsi="Gill Sans MT"/>
                <w:b/>
                <w:sz w:val="20"/>
              </w:rPr>
              <w:t>2016</w:t>
            </w:r>
            <w:r w:rsidRPr="00A24BFF">
              <w:rPr>
                <w:rFonts w:ascii="Gill Sans MT" w:hAnsi="Gill Sans MT"/>
                <w:b/>
                <w:sz w:val="20"/>
              </w:rPr>
              <w:br/>
              <w:t>$’000</w:t>
            </w:r>
          </w:p>
        </w:tc>
      </w:tr>
      <w:tr w:rsidR="00A24BFF" w:rsidRPr="00A24BFF" w:rsidTr="00A24BFF">
        <w:trPr>
          <w:trHeight w:hRule="exact" w:val="334"/>
        </w:trPr>
        <w:tc>
          <w:tcPr>
            <w:tcW w:w="8789" w:type="dxa"/>
            <w:tcBorders>
              <w:top w:val="single" w:sz="4" w:space="0" w:color="004D8F"/>
            </w:tcBorders>
            <w:shd w:val="clear" w:color="auto" w:fill="auto"/>
          </w:tcPr>
          <w:p w:rsidR="00A24BFF" w:rsidRPr="00A24BFF" w:rsidRDefault="00A24BFF" w:rsidP="00A24BFF">
            <w:pPr>
              <w:pStyle w:val="TableParagraph"/>
              <w:spacing w:before="60"/>
              <w:ind w:left="80"/>
              <w:rPr>
                <w:rFonts w:ascii="Gill Sans MT" w:hAnsi="Gill Sans MT"/>
                <w:sz w:val="20"/>
              </w:rPr>
            </w:pPr>
            <w:r w:rsidRPr="00A24BFF">
              <w:rPr>
                <w:rFonts w:ascii="Gill Sans MT" w:hAnsi="Gill Sans MT"/>
                <w:sz w:val="20"/>
              </w:rPr>
              <w:t>Pharmacy</w:t>
            </w:r>
          </w:p>
        </w:tc>
        <w:tc>
          <w:tcPr>
            <w:tcW w:w="1276" w:type="dxa"/>
            <w:tcBorders>
              <w:top w:val="single" w:sz="4" w:space="0" w:color="004D8F"/>
            </w:tcBorders>
            <w:shd w:val="clear" w:color="auto" w:fill="auto"/>
          </w:tcPr>
          <w:p w:rsidR="00A24BFF" w:rsidRPr="00A24BFF" w:rsidRDefault="00A24BFF" w:rsidP="00A24BFF">
            <w:pPr>
              <w:pStyle w:val="TableParagraph"/>
              <w:spacing w:before="60"/>
              <w:ind w:right="224"/>
              <w:jc w:val="right"/>
              <w:rPr>
                <w:rFonts w:ascii="Gill Sans MT" w:hAnsi="Gill Sans MT"/>
                <w:sz w:val="20"/>
              </w:rPr>
            </w:pPr>
            <w:r w:rsidRPr="00A24BFF">
              <w:rPr>
                <w:rFonts w:ascii="Gill Sans MT" w:hAnsi="Gill Sans MT"/>
                <w:sz w:val="20"/>
              </w:rPr>
              <w:t>6 935</w:t>
            </w:r>
          </w:p>
        </w:tc>
      </w:tr>
      <w:tr w:rsidR="00A24BFF" w:rsidRPr="00A24BFF" w:rsidTr="00A24BFF">
        <w:trPr>
          <w:trHeight w:hRule="exact" w:val="320"/>
        </w:trPr>
        <w:tc>
          <w:tcPr>
            <w:tcW w:w="8789" w:type="dxa"/>
            <w:shd w:val="clear" w:color="auto" w:fill="auto"/>
          </w:tcPr>
          <w:p w:rsidR="00A24BFF" w:rsidRPr="00A24BFF" w:rsidRDefault="00A24BFF" w:rsidP="00A24BFF">
            <w:pPr>
              <w:pStyle w:val="TableParagraph"/>
              <w:spacing w:before="46"/>
              <w:ind w:left="80"/>
              <w:rPr>
                <w:rFonts w:ascii="Gill Sans MT" w:hAnsi="Gill Sans MT"/>
                <w:sz w:val="20"/>
              </w:rPr>
            </w:pPr>
            <w:r w:rsidRPr="00A24BFF">
              <w:rPr>
                <w:rFonts w:ascii="Gill Sans MT" w:hAnsi="Gill Sans MT"/>
                <w:sz w:val="20"/>
              </w:rPr>
              <w:t>Catering</w:t>
            </w:r>
          </w:p>
        </w:tc>
        <w:tc>
          <w:tcPr>
            <w:tcW w:w="1276" w:type="dxa"/>
            <w:shd w:val="clear" w:color="auto" w:fill="auto"/>
          </w:tcPr>
          <w:p w:rsidR="00A24BFF" w:rsidRPr="00A24BFF" w:rsidRDefault="00A24BFF" w:rsidP="00A24BFF">
            <w:pPr>
              <w:pStyle w:val="TableParagraph"/>
              <w:spacing w:before="46"/>
              <w:ind w:right="224"/>
              <w:jc w:val="right"/>
              <w:rPr>
                <w:rFonts w:ascii="Gill Sans MT" w:hAnsi="Gill Sans MT"/>
                <w:sz w:val="20"/>
              </w:rPr>
            </w:pPr>
            <w:r w:rsidRPr="00A24BFF">
              <w:rPr>
                <w:rFonts w:ascii="Gill Sans MT" w:hAnsi="Gill Sans MT"/>
                <w:sz w:val="20"/>
              </w:rPr>
              <w:t>344</w:t>
            </w:r>
          </w:p>
        </w:tc>
      </w:tr>
      <w:tr w:rsidR="00A24BFF" w:rsidRPr="00A24BFF" w:rsidTr="00A24BFF">
        <w:trPr>
          <w:trHeight w:hRule="exact" w:val="320"/>
        </w:trPr>
        <w:tc>
          <w:tcPr>
            <w:tcW w:w="8789" w:type="dxa"/>
            <w:tcBorders>
              <w:bottom w:val="dotted" w:sz="4" w:space="0" w:color="auto"/>
              <w:right w:val="dotted" w:sz="4" w:space="0" w:color="auto"/>
            </w:tcBorders>
            <w:shd w:val="clear" w:color="auto" w:fill="auto"/>
          </w:tcPr>
          <w:p w:rsidR="00A24BFF" w:rsidRPr="00A24BFF" w:rsidRDefault="00A24BFF" w:rsidP="00A24BFF">
            <w:pPr>
              <w:pStyle w:val="TableParagraph"/>
              <w:spacing w:before="46"/>
              <w:ind w:left="80"/>
              <w:rPr>
                <w:rFonts w:ascii="Gill Sans MT" w:hAnsi="Gill Sans MT"/>
                <w:sz w:val="20"/>
              </w:rPr>
            </w:pPr>
            <w:r w:rsidRPr="00A24BFF">
              <w:rPr>
                <w:rFonts w:ascii="Gill Sans MT" w:hAnsi="Gill Sans MT"/>
                <w:sz w:val="20"/>
              </w:rPr>
              <w:t>Linen</w:t>
            </w:r>
          </w:p>
        </w:tc>
        <w:tc>
          <w:tcPr>
            <w:tcW w:w="1276" w:type="dxa"/>
            <w:tcBorders>
              <w:left w:val="dotted" w:sz="4" w:space="0" w:color="auto"/>
              <w:bottom w:val="dotted" w:sz="4" w:space="0" w:color="auto"/>
              <w:right w:val="dotted" w:sz="4" w:space="0" w:color="auto"/>
            </w:tcBorders>
            <w:shd w:val="clear" w:color="auto" w:fill="auto"/>
          </w:tcPr>
          <w:p w:rsidR="00A24BFF" w:rsidRPr="00A24BFF" w:rsidRDefault="00A24BFF" w:rsidP="00A24BFF">
            <w:pPr>
              <w:pStyle w:val="TableParagraph"/>
              <w:spacing w:before="46"/>
              <w:ind w:right="224"/>
              <w:jc w:val="right"/>
              <w:rPr>
                <w:rFonts w:ascii="Gill Sans MT" w:hAnsi="Gill Sans MT"/>
                <w:sz w:val="20"/>
              </w:rPr>
            </w:pPr>
            <w:r w:rsidRPr="00A24BFF">
              <w:rPr>
                <w:rFonts w:ascii="Gill Sans MT" w:hAnsi="Gill Sans MT"/>
                <w:sz w:val="20"/>
              </w:rPr>
              <w:t>1 693</w:t>
            </w:r>
          </w:p>
        </w:tc>
      </w:tr>
      <w:tr w:rsidR="00A24BFF" w:rsidRPr="00A24BFF" w:rsidTr="00A24BFF">
        <w:trPr>
          <w:trHeight w:hRule="exact" w:val="306"/>
        </w:trPr>
        <w:tc>
          <w:tcPr>
            <w:tcW w:w="8789" w:type="dxa"/>
            <w:tcBorders>
              <w:top w:val="dotted" w:sz="4" w:space="0" w:color="auto"/>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46"/>
              <w:ind w:left="80"/>
              <w:rPr>
                <w:rFonts w:ascii="Gill Sans MT" w:hAnsi="Gill Sans MT"/>
                <w:sz w:val="20"/>
              </w:rPr>
            </w:pPr>
            <w:r w:rsidRPr="00A24BFF">
              <w:rPr>
                <w:rFonts w:ascii="Gill Sans MT" w:hAnsi="Gill Sans MT"/>
                <w:sz w:val="20"/>
              </w:rPr>
              <w:t>General supplies</w:t>
            </w:r>
          </w:p>
        </w:tc>
        <w:tc>
          <w:tcPr>
            <w:tcW w:w="1276" w:type="dxa"/>
            <w:tcBorders>
              <w:top w:val="dotted" w:sz="4" w:space="0" w:color="auto"/>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46"/>
              <w:ind w:right="227"/>
              <w:jc w:val="right"/>
              <w:rPr>
                <w:rFonts w:ascii="Gill Sans MT" w:hAnsi="Gill Sans MT"/>
                <w:sz w:val="20"/>
              </w:rPr>
            </w:pPr>
            <w:r w:rsidRPr="00A24BFF">
              <w:rPr>
                <w:rFonts w:ascii="Gill Sans MT" w:hAnsi="Gill Sans MT"/>
                <w:sz w:val="20"/>
              </w:rPr>
              <w:t>2 083</w:t>
            </w:r>
          </w:p>
        </w:tc>
      </w:tr>
      <w:tr w:rsidR="00A24BFF" w:rsidRPr="00A24BFF" w:rsidTr="00A24BFF">
        <w:trPr>
          <w:trHeight w:hRule="exact" w:val="320"/>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51"/>
              <w:ind w:left="80"/>
              <w:rPr>
                <w:rFonts w:ascii="Gill Sans MT" w:hAnsi="Gill Sans MT"/>
                <w:b/>
                <w:sz w:val="20"/>
              </w:rPr>
            </w:pPr>
            <w:r w:rsidRPr="00A24BFF">
              <w:rPr>
                <w:rFonts w:ascii="Gill Sans MT" w:hAnsi="Gill Sans MT"/>
                <w:b/>
                <w:sz w:val="20"/>
              </w:rPr>
              <w:t>Total</w:t>
            </w:r>
          </w:p>
        </w:tc>
        <w:tc>
          <w:tcPr>
            <w:tcW w:w="1276" w:type="dxa"/>
            <w:tcBorders>
              <w:top w:val="single" w:sz="4" w:space="0" w:color="004D8F"/>
              <w:left w:val="dotted" w:sz="4" w:space="0" w:color="auto"/>
              <w:bottom w:val="single" w:sz="4" w:space="0" w:color="004D8F"/>
            </w:tcBorders>
            <w:shd w:val="clear" w:color="auto" w:fill="auto"/>
          </w:tcPr>
          <w:p w:rsidR="00A24BFF" w:rsidRPr="00A24BFF" w:rsidRDefault="00A24BFF" w:rsidP="00A24BFF">
            <w:pPr>
              <w:pStyle w:val="TableParagraph"/>
              <w:spacing w:before="47"/>
              <w:ind w:right="224"/>
              <w:jc w:val="right"/>
              <w:rPr>
                <w:rFonts w:ascii="Gill Sans MT" w:hAnsi="Gill Sans MT"/>
                <w:b/>
                <w:sz w:val="20"/>
              </w:rPr>
            </w:pPr>
            <w:r w:rsidRPr="00A24BFF">
              <w:rPr>
                <w:rFonts w:ascii="Gill Sans MT" w:hAnsi="Gill Sans MT"/>
                <w:b/>
                <w:sz w:val="20"/>
              </w:rPr>
              <w:t>11 055</w:t>
            </w:r>
          </w:p>
        </w:tc>
      </w:tr>
      <w:tr w:rsidR="00A24BFF" w:rsidRPr="00A24BFF" w:rsidTr="00A24BFF">
        <w:trPr>
          <w:trHeight w:hRule="exact" w:val="398"/>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1"/>
              <w:ind w:left="80"/>
              <w:rPr>
                <w:rFonts w:ascii="Gill Sans MT" w:hAnsi="Gill Sans MT"/>
                <w:sz w:val="20"/>
              </w:rPr>
            </w:pPr>
            <w:r w:rsidRPr="00A24BFF">
              <w:rPr>
                <w:rFonts w:ascii="Gill Sans MT" w:hAnsi="Gill Sans MT"/>
                <w:sz w:val="20"/>
              </w:rPr>
              <w:t>Consumed within 12 months</w:t>
            </w:r>
          </w:p>
        </w:tc>
        <w:tc>
          <w:tcPr>
            <w:tcW w:w="1276" w:type="dxa"/>
            <w:tcBorders>
              <w:top w:val="single" w:sz="4" w:space="0" w:color="004D8F"/>
              <w:left w:val="dotted" w:sz="4" w:space="0" w:color="auto"/>
              <w:bottom w:val="single" w:sz="4" w:space="0" w:color="004D8F"/>
            </w:tcBorders>
            <w:shd w:val="clear" w:color="auto" w:fill="auto"/>
          </w:tcPr>
          <w:p w:rsidR="00A24BFF" w:rsidRPr="00A24BFF" w:rsidRDefault="00A24BFF" w:rsidP="00A24BFF">
            <w:pPr>
              <w:pStyle w:val="TableParagraph"/>
              <w:spacing w:before="1"/>
              <w:ind w:right="224"/>
              <w:jc w:val="right"/>
              <w:rPr>
                <w:rFonts w:ascii="Gill Sans MT" w:hAnsi="Gill Sans MT"/>
                <w:sz w:val="20"/>
              </w:rPr>
            </w:pPr>
            <w:r w:rsidRPr="00A24BFF">
              <w:rPr>
                <w:rFonts w:ascii="Gill Sans MT" w:hAnsi="Gill Sans MT"/>
                <w:sz w:val="20"/>
              </w:rPr>
              <w:t>11 055</w:t>
            </w:r>
          </w:p>
        </w:tc>
      </w:tr>
      <w:tr w:rsidR="00A24BFF" w:rsidRPr="00A24BFF" w:rsidTr="00A24BFF">
        <w:trPr>
          <w:trHeight w:hRule="exact" w:val="320"/>
        </w:trPr>
        <w:tc>
          <w:tcPr>
            <w:tcW w:w="8789" w:type="dxa"/>
            <w:tcBorders>
              <w:top w:val="single" w:sz="4" w:space="0" w:color="004D8F"/>
              <w:left w:val="dotted" w:sz="4" w:space="0" w:color="auto"/>
              <w:bottom w:val="single" w:sz="4" w:space="0" w:color="004D8F"/>
              <w:right w:val="dotted" w:sz="4" w:space="0" w:color="auto"/>
            </w:tcBorders>
            <w:shd w:val="clear" w:color="auto" w:fill="auto"/>
          </w:tcPr>
          <w:p w:rsidR="00A24BFF" w:rsidRPr="00A24BFF" w:rsidRDefault="00A24BFF" w:rsidP="00A24BFF">
            <w:pPr>
              <w:pStyle w:val="TableParagraph"/>
              <w:spacing w:before="51"/>
              <w:ind w:left="80"/>
              <w:rPr>
                <w:rFonts w:ascii="Gill Sans MT" w:hAnsi="Gill Sans MT"/>
                <w:b/>
                <w:sz w:val="20"/>
              </w:rPr>
            </w:pPr>
            <w:r w:rsidRPr="00A24BFF">
              <w:rPr>
                <w:rFonts w:ascii="Gill Sans MT" w:hAnsi="Gill Sans MT"/>
                <w:b/>
                <w:sz w:val="20"/>
              </w:rPr>
              <w:t>Total</w:t>
            </w:r>
          </w:p>
        </w:tc>
        <w:tc>
          <w:tcPr>
            <w:tcW w:w="1276" w:type="dxa"/>
            <w:tcBorders>
              <w:top w:val="single" w:sz="4" w:space="0" w:color="004D8F"/>
              <w:left w:val="dotted" w:sz="4" w:space="0" w:color="auto"/>
              <w:bottom w:val="single" w:sz="4" w:space="0" w:color="004D8F"/>
            </w:tcBorders>
            <w:shd w:val="clear" w:color="auto" w:fill="auto"/>
          </w:tcPr>
          <w:p w:rsidR="00A24BFF" w:rsidRPr="00A24BFF" w:rsidRDefault="00A24BFF" w:rsidP="00A24BFF">
            <w:pPr>
              <w:pStyle w:val="TableParagraph"/>
              <w:spacing w:before="47"/>
              <w:ind w:right="224"/>
              <w:jc w:val="right"/>
              <w:rPr>
                <w:rFonts w:ascii="Gill Sans MT" w:hAnsi="Gill Sans MT"/>
                <w:b/>
                <w:sz w:val="20"/>
              </w:rPr>
            </w:pPr>
            <w:r w:rsidRPr="00A24BFF">
              <w:rPr>
                <w:rFonts w:ascii="Gill Sans MT" w:hAnsi="Gill Sans MT"/>
                <w:b/>
                <w:sz w:val="20"/>
              </w:rPr>
              <w:t>11 055</w:t>
            </w:r>
          </w:p>
        </w:tc>
      </w:tr>
    </w:tbl>
    <w:p w:rsidR="00A24BFF" w:rsidRDefault="00A24BFF" w:rsidP="00A24BFF">
      <w:pPr>
        <w:pStyle w:val="BodyText"/>
      </w:pPr>
    </w:p>
    <w:p w:rsidR="00A24BFF" w:rsidRDefault="00A24BFF">
      <w:pPr>
        <w:rPr>
          <w:rFonts w:ascii="Gill Sans MT" w:eastAsia="GillSans-Light" w:hAnsi="Gill Sans MT" w:cs="GillSans-Light"/>
          <w:lang w:val="en-US"/>
        </w:rPr>
      </w:pPr>
      <w:r>
        <w:br w:type="page"/>
      </w:r>
    </w:p>
    <w:p w:rsidR="00A24BFF" w:rsidRDefault="00417E06" w:rsidP="00417E06">
      <w:pPr>
        <w:pStyle w:val="Heading5"/>
      </w:pPr>
      <w:r>
        <w:lastRenderedPageBreak/>
        <w:t xml:space="preserve">8.4 </w:t>
      </w:r>
      <w:r>
        <w:tab/>
        <w:t>Assets Held for Sale</w:t>
      </w:r>
    </w:p>
    <w:p w:rsidR="00417E06" w:rsidRDefault="00417E06" w:rsidP="00417E06">
      <w:pPr>
        <w:pStyle w:val="BodyText"/>
      </w:pPr>
      <w:r>
        <w:t>Assets held for sale (or disposal groups comprising assets and liabilities) that are expected to be recovered primarily through sale rather than continuing use are classified as held for sale. Immediately before classification as held for sale, the assets (or components of a disposal group) are remeasured at the lower of carrying amount and fair value less costs to sell.</w:t>
      </w:r>
    </w:p>
    <w:p w:rsidR="00417E06" w:rsidRPr="00417E06" w:rsidRDefault="00417E06" w:rsidP="00621B34">
      <w:pPr>
        <w:pStyle w:val="BodyText"/>
        <w:numPr>
          <w:ilvl w:val="0"/>
          <w:numId w:val="51"/>
        </w:numPr>
        <w:ind w:left="567" w:hanging="567"/>
        <w:rPr>
          <w:b/>
        </w:rPr>
      </w:pPr>
      <w:r w:rsidRPr="00417E06">
        <w:rPr>
          <w:b/>
        </w:rPr>
        <w:t>Carrying amount</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47"/>
        <w:gridCol w:w="1418"/>
      </w:tblGrid>
      <w:tr w:rsidR="00417E06" w:rsidRPr="00417E06" w:rsidTr="00E242B4">
        <w:trPr>
          <w:trHeight w:hRule="exact" w:val="560"/>
          <w:tblHeader/>
        </w:trPr>
        <w:tc>
          <w:tcPr>
            <w:tcW w:w="8647" w:type="dxa"/>
            <w:tcBorders>
              <w:top w:val="single" w:sz="4" w:space="0" w:color="004D8F"/>
              <w:left w:val="dotted" w:sz="4" w:space="0" w:color="auto"/>
              <w:bottom w:val="single" w:sz="4" w:space="0" w:color="004D8F"/>
              <w:right w:val="dotted" w:sz="4" w:space="0" w:color="auto"/>
            </w:tcBorders>
            <w:shd w:val="clear" w:color="auto" w:fill="auto"/>
          </w:tcPr>
          <w:p w:rsidR="00417E06" w:rsidRPr="00417E06" w:rsidRDefault="00417E06" w:rsidP="00417E06">
            <w:pPr>
              <w:pStyle w:val="TableParagraph"/>
              <w:spacing w:before="51"/>
              <w:ind w:right="451"/>
              <w:rPr>
                <w:rFonts w:ascii="Gill Sans MT" w:hAnsi="Gill Sans MT"/>
                <w:b/>
                <w:sz w:val="20"/>
              </w:rPr>
            </w:pPr>
            <w:r w:rsidRPr="00417E06">
              <w:rPr>
                <w:rFonts w:ascii="Gill Sans MT" w:hAnsi="Gill Sans MT"/>
                <w:b/>
                <w:sz w:val="20"/>
              </w:rPr>
              <w:t>Description</w:t>
            </w:r>
          </w:p>
        </w:tc>
        <w:tc>
          <w:tcPr>
            <w:tcW w:w="1418" w:type="dxa"/>
            <w:tcBorders>
              <w:top w:val="single" w:sz="4" w:space="0" w:color="004D8F"/>
              <w:left w:val="dotted" w:sz="4" w:space="0" w:color="auto"/>
              <w:bottom w:val="single" w:sz="4" w:space="0" w:color="004D8F"/>
              <w:right w:val="dotted" w:sz="4" w:space="0" w:color="auto"/>
            </w:tcBorders>
            <w:shd w:val="clear" w:color="auto" w:fill="auto"/>
          </w:tcPr>
          <w:p w:rsidR="00417E06" w:rsidRPr="00417E06" w:rsidRDefault="00417E06" w:rsidP="00417E06">
            <w:pPr>
              <w:pStyle w:val="TableParagraph"/>
              <w:spacing w:before="1"/>
              <w:ind w:right="400"/>
              <w:jc w:val="right"/>
              <w:rPr>
                <w:rFonts w:ascii="Gill Sans MT" w:hAnsi="Gill Sans MT"/>
                <w:b/>
                <w:sz w:val="20"/>
              </w:rPr>
            </w:pPr>
            <w:r w:rsidRPr="00417E06">
              <w:rPr>
                <w:rFonts w:ascii="Gill Sans MT" w:hAnsi="Gill Sans MT"/>
                <w:b/>
                <w:sz w:val="20"/>
              </w:rPr>
              <w:t>2016</w:t>
            </w:r>
            <w:r w:rsidRPr="00417E06">
              <w:rPr>
                <w:rFonts w:ascii="Gill Sans MT" w:hAnsi="Gill Sans MT"/>
                <w:b/>
                <w:sz w:val="20"/>
              </w:rPr>
              <w:br/>
              <w:t>$’000</w:t>
            </w:r>
          </w:p>
        </w:tc>
      </w:tr>
      <w:tr w:rsidR="00417E06" w:rsidRPr="00417E06" w:rsidTr="00417E06">
        <w:trPr>
          <w:trHeight w:hRule="exact" w:val="357"/>
        </w:trPr>
        <w:tc>
          <w:tcPr>
            <w:tcW w:w="8647" w:type="dxa"/>
            <w:tcBorders>
              <w:top w:val="single" w:sz="4" w:space="0" w:color="004D8F"/>
              <w:left w:val="dotted" w:sz="4" w:space="0" w:color="auto"/>
              <w:bottom w:val="dotted" w:sz="4" w:space="0" w:color="auto"/>
              <w:right w:val="dotted" w:sz="4" w:space="0" w:color="auto"/>
            </w:tcBorders>
            <w:shd w:val="clear" w:color="auto" w:fill="auto"/>
          </w:tcPr>
          <w:p w:rsidR="00417E06" w:rsidRPr="00417E06" w:rsidRDefault="00417E06" w:rsidP="00992AA6">
            <w:pPr>
              <w:pStyle w:val="TableParagraph"/>
              <w:spacing w:before="60" w:line="333" w:lineRule="auto"/>
              <w:ind w:left="80" w:right="6942"/>
              <w:rPr>
                <w:rFonts w:ascii="Gill Sans MT" w:hAnsi="Gill Sans MT"/>
                <w:sz w:val="20"/>
              </w:rPr>
            </w:pPr>
            <w:r w:rsidRPr="00417E06">
              <w:rPr>
                <w:rFonts w:ascii="Gill Sans MT" w:hAnsi="Gill Sans MT"/>
                <w:sz w:val="20"/>
              </w:rPr>
              <w:t>Land</w:t>
            </w:r>
          </w:p>
        </w:tc>
        <w:tc>
          <w:tcPr>
            <w:tcW w:w="1418" w:type="dxa"/>
            <w:tcBorders>
              <w:top w:val="single" w:sz="4" w:space="0" w:color="004D8F"/>
              <w:left w:val="dotted" w:sz="4" w:space="0" w:color="auto"/>
              <w:bottom w:val="dotted" w:sz="4" w:space="0" w:color="auto"/>
              <w:right w:val="dotted" w:sz="4" w:space="0" w:color="auto"/>
            </w:tcBorders>
            <w:shd w:val="clear" w:color="auto" w:fill="auto"/>
          </w:tcPr>
          <w:p w:rsidR="00417E06" w:rsidRPr="00417E06" w:rsidRDefault="00417E06" w:rsidP="00417E06">
            <w:pPr>
              <w:pStyle w:val="TableParagraph"/>
              <w:spacing w:before="60"/>
              <w:ind w:left="699"/>
              <w:rPr>
                <w:rFonts w:ascii="Gill Sans MT" w:hAnsi="Gill Sans MT"/>
                <w:sz w:val="20"/>
              </w:rPr>
            </w:pPr>
            <w:r w:rsidRPr="00417E06">
              <w:rPr>
                <w:rFonts w:ascii="Gill Sans MT" w:hAnsi="Gill Sans MT"/>
                <w:sz w:val="20"/>
              </w:rPr>
              <w:t>71</w:t>
            </w:r>
          </w:p>
        </w:tc>
      </w:tr>
      <w:tr w:rsidR="00417E06" w:rsidRPr="00417E06" w:rsidTr="00417E06">
        <w:trPr>
          <w:trHeight w:hRule="exact" w:val="420"/>
        </w:trPr>
        <w:tc>
          <w:tcPr>
            <w:tcW w:w="8647"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992AA6">
            <w:pPr>
              <w:pStyle w:val="TableParagraph"/>
              <w:spacing w:before="60" w:line="333" w:lineRule="auto"/>
              <w:ind w:left="80" w:right="6942"/>
              <w:rPr>
                <w:rFonts w:ascii="Gill Sans MT" w:hAnsi="Gill Sans MT"/>
                <w:sz w:val="20"/>
              </w:rPr>
            </w:pPr>
            <w:r w:rsidRPr="00417E06">
              <w:rPr>
                <w:rFonts w:ascii="Gill Sans MT" w:hAnsi="Gill Sans MT"/>
                <w:sz w:val="20"/>
              </w:rPr>
              <w:t>Buildings</w:t>
            </w:r>
          </w:p>
        </w:tc>
        <w:tc>
          <w:tcPr>
            <w:tcW w:w="1418"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992AA6">
            <w:pPr>
              <w:pStyle w:val="TableParagraph"/>
              <w:spacing w:before="60"/>
              <w:ind w:left="699"/>
              <w:rPr>
                <w:rFonts w:ascii="Gill Sans MT" w:hAnsi="Gill Sans MT"/>
                <w:sz w:val="20"/>
              </w:rPr>
            </w:pPr>
            <w:r w:rsidRPr="00417E06">
              <w:rPr>
                <w:rFonts w:ascii="Gill Sans MT" w:hAnsi="Gill Sans MT"/>
                <w:sz w:val="20"/>
              </w:rPr>
              <w:t>24</w:t>
            </w:r>
          </w:p>
        </w:tc>
      </w:tr>
      <w:tr w:rsidR="00417E06" w:rsidRPr="00417E06" w:rsidTr="00417E06">
        <w:trPr>
          <w:trHeight w:hRule="exact" w:val="426"/>
        </w:trPr>
        <w:tc>
          <w:tcPr>
            <w:tcW w:w="8647"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417E06">
            <w:pPr>
              <w:pStyle w:val="TableParagraph"/>
              <w:spacing w:before="60" w:line="333" w:lineRule="auto"/>
              <w:ind w:left="80" w:right="6942"/>
              <w:rPr>
                <w:rFonts w:ascii="Gill Sans MT" w:hAnsi="Gill Sans MT"/>
                <w:b/>
                <w:sz w:val="20"/>
              </w:rPr>
            </w:pPr>
            <w:r w:rsidRPr="00417E06">
              <w:rPr>
                <w:rFonts w:ascii="Gill Sans MT" w:hAnsi="Gill Sans MT"/>
                <w:b/>
                <w:sz w:val="20"/>
              </w:rPr>
              <w:t>Total</w:t>
            </w:r>
          </w:p>
        </w:tc>
        <w:tc>
          <w:tcPr>
            <w:tcW w:w="1418"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992AA6">
            <w:pPr>
              <w:pStyle w:val="TableParagraph"/>
              <w:spacing w:before="60"/>
              <w:ind w:left="699"/>
              <w:rPr>
                <w:rFonts w:ascii="Gill Sans MT" w:hAnsi="Gill Sans MT"/>
                <w:sz w:val="20"/>
              </w:rPr>
            </w:pPr>
            <w:r w:rsidRPr="00417E06">
              <w:rPr>
                <w:rFonts w:ascii="Gill Sans MT" w:hAnsi="Gill Sans MT"/>
                <w:b/>
                <w:sz w:val="20"/>
              </w:rPr>
              <w:t>95</w:t>
            </w:r>
          </w:p>
        </w:tc>
      </w:tr>
      <w:tr w:rsidR="00417E06" w:rsidRPr="00417E06" w:rsidTr="00417E06">
        <w:trPr>
          <w:trHeight w:hRule="exact" w:val="431"/>
        </w:trPr>
        <w:tc>
          <w:tcPr>
            <w:tcW w:w="8647"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417E06">
            <w:pPr>
              <w:pStyle w:val="TableParagraph"/>
              <w:spacing w:before="60" w:line="333" w:lineRule="auto"/>
              <w:ind w:left="80" w:right="137"/>
              <w:rPr>
                <w:rFonts w:ascii="Gill Sans MT" w:hAnsi="Gill Sans MT"/>
                <w:sz w:val="20"/>
              </w:rPr>
            </w:pPr>
            <w:r w:rsidRPr="00417E06">
              <w:rPr>
                <w:rFonts w:ascii="Gill Sans MT" w:hAnsi="Gill Sans MT"/>
                <w:spacing w:val="2"/>
                <w:sz w:val="20"/>
              </w:rPr>
              <w:t xml:space="preserve">Settled within </w:t>
            </w:r>
            <w:r w:rsidRPr="00417E06">
              <w:rPr>
                <w:rFonts w:ascii="Gill Sans MT" w:hAnsi="Gill Sans MT"/>
                <w:spacing w:val="-7"/>
                <w:sz w:val="20"/>
              </w:rPr>
              <w:t xml:space="preserve">12 </w:t>
            </w:r>
            <w:r w:rsidRPr="00417E06">
              <w:rPr>
                <w:rFonts w:ascii="Gill Sans MT" w:hAnsi="Gill Sans MT"/>
                <w:sz w:val="20"/>
              </w:rPr>
              <w:t>months</w:t>
            </w:r>
          </w:p>
        </w:tc>
        <w:tc>
          <w:tcPr>
            <w:tcW w:w="1418" w:type="dxa"/>
            <w:tcBorders>
              <w:top w:val="dotted" w:sz="4" w:space="0" w:color="auto"/>
              <w:left w:val="dotted" w:sz="4" w:space="0" w:color="auto"/>
              <w:bottom w:val="dotted" w:sz="4" w:space="0" w:color="auto"/>
              <w:right w:val="dotted" w:sz="4" w:space="0" w:color="auto"/>
            </w:tcBorders>
            <w:shd w:val="clear" w:color="auto" w:fill="auto"/>
          </w:tcPr>
          <w:p w:rsidR="00417E06" w:rsidRPr="00417E06" w:rsidRDefault="00417E06" w:rsidP="00417E06">
            <w:pPr>
              <w:pStyle w:val="TableParagraph"/>
              <w:spacing w:before="56"/>
              <w:ind w:left="689"/>
              <w:rPr>
                <w:rFonts w:ascii="Gill Sans MT" w:hAnsi="Gill Sans MT"/>
                <w:sz w:val="20"/>
              </w:rPr>
            </w:pPr>
            <w:r w:rsidRPr="00417E06">
              <w:rPr>
                <w:rFonts w:ascii="Gill Sans MT" w:hAnsi="Gill Sans MT"/>
                <w:sz w:val="20"/>
              </w:rPr>
              <w:t>95</w:t>
            </w:r>
          </w:p>
        </w:tc>
      </w:tr>
      <w:tr w:rsidR="00417E06" w:rsidRPr="00417E06" w:rsidTr="00417E06">
        <w:trPr>
          <w:trHeight w:hRule="exact" w:val="423"/>
        </w:trPr>
        <w:tc>
          <w:tcPr>
            <w:tcW w:w="8647" w:type="dxa"/>
            <w:tcBorders>
              <w:top w:val="dotted" w:sz="4" w:space="0" w:color="auto"/>
              <w:left w:val="dotted" w:sz="4" w:space="0" w:color="auto"/>
              <w:bottom w:val="single" w:sz="4" w:space="0" w:color="004D8F"/>
              <w:right w:val="dotted" w:sz="4" w:space="0" w:color="auto"/>
            </w:tcBorders>
            <w:shd w:val="clear" w:color="auto" w:fill="auto"/>
          </w:tcPr>
          <w:p w:rsidR="00417E06" w:rsidRPr="00417E06" w:rsidRDefault="00417E06" w:rsidP="00417E06">
            <w:pPr>
              <w:pStyle w:val="TableParagraph"/>
              <w:spacing w:before="60" w:line="333" w:lineRule="auto"/>
              <w:ind w:left="80" w:right="137"/>
              <w:rPr>
                <w:rFonts w:ascii="Gill Sans MT" w:hAnsi="Gill Sans MT"/>
                <w:sz w:val="20"/>
              </w:rPr>
            </w:pPr>
            <w:r w:rsidRPr="00417E06">
              <w:rPr>
                <w:rFonts w:ascii="Gill Sans MT" w:hAnsi="Gill Sans MT"/>
                <w:spacing w:val="2"/>
                <w:sz w:val="20"/>
              </w:rPr>
              <w:t xml:space="preserve">Settled </w:t>
            </w:r>
            <w:r w:rsidRPr="00417E06">
              <w:rPr>
                <w:rFonts w:ascii="Gill Sans MT" w:hAnsi="Gill Sans MT"/>
                <w:sz w:val="20"/>
              </w:rPr>
              <w:t xml:space="preserve">in more than </w:t>
            </w:r>
            <w:r w:rsidRPr="00417E06">
              <w:rPr>
                <w:rFonts w:ascii="Gill Sans MT" w:hAnsi="Gill Sans MT"/>
                <w:spacing w:val="-7"/>
                <w:sz w:val="20"/>
              </w:rPr>
              <w:t xml:space="preserve">12 </w:t>
            </w:r>
            <w:r w:rsidRPr="00417E06">
              <w:rPr>
                <w:rFonts w:ascii="Gill Sans MT" w:hAnsi="Gill Sans MT"/>
                <w:sz w:val="20"/>
              </w:rPr>
              <w:t>months</w:t>
            </w:r>
          </w:p>
        </w:tc>
        <w:tc>
          <w:tcPr>
            <w:tcW w:w="1418" w:type="dxa"/>
            <w:tcBorders>
              <w:top w:val="dotted" w:sz="4" w:space="0" w:color="auto"/>
              <w:left w:val="dotted" w:sz="4" w:space="0" w:color="auto"/>
              <w:bottom w:val="single" w:sz="4" w:space="0" w:color="004D8F"/>
              <w:right w:val="dotted" w:sz="4" w:space="0" w:color="auto"/>
            </w:tcBorders>
            <w:shd w:val="clear" w:color="auto" w:fill="auto"/>
          </w:tcPr>
          <w:p w:rsidR="00417E06" w:rsidRPr="00417E06" w:rsidRDefault="00417E06" w:rsidP="00992AA6">
            <w:pPr>
              <w:pStyle w:val="TableParagraph"/>
              <w:spacing w:before="60"/>
              <w:ind w:left="699"/>
              <w:rPr>
                <w:rFonts w:ascii="Gill Sans MT" w:hAnsi="Gill Sans MT"/>
                <w:sz w:val="20"/>
              </w:rPr>
            </w:pPr>
            <w:r w:rsidRPr="00417E06">
              <w:rPr>
                <w:rFonts w:ascii="Gill Sans MT" w:hAnsi="Gill Sans MT"/>
                <w:sz w:val="20"/>
              </w:rPr>
              <w:t>0</w:t>
            </w:r>
          </w:p>
        </w:tc>
      </w:tr>
      <w:tr w:rsidR="00417E06" w:rsidRPr="00417E06" w:rsidTr="00417E06">
        <w:trPr>
          <w:trHeight w:hRule="exact" w:val="430"/>
        </w:trPr>
        <w:tc>
          <w:tcPr>
            <w:tcW w:w="8647" w:type="dxa"/>
            <w:tcBorders>
              <w:top w:val="single" w:sz="4" w:space="0" w:color="004D8F"/>
              <w:left w:val="dotted" w:sz="4" w:space="0" w:color="auto"/>
              <w:bottom w:val="single" w:sz="4" w:space="0" w:color="004D8F"/>
              <w:right w:val="dotted" w:sz="4" w:space="0" w:color="auto"/>
            </w:tcBorders>
            <w:shd w:val="clear" w:color="auto" w:fill="auto"/>
          </w:tcPr>
          <w:p w:rsidR="00417E06" w:rsidRPr="00417E06" w:rsidRDefault="00417E06" w:rsidP="00992AA6">
            <w:pPr>
              <w:pStyle w:val="TableParagraph"/>
              <w:spacing w:before="60" w:line="333" w:lineRule="auto"/>
              <w:ind w:left="80" w:right="6942"/>
              <w:rPr>
                <w:rFonts w:ascii="Gill Sans MT" w:hAnsi="Gill Sans MT"/>
                <w:sz w:val="20"/>
              </w:rPr>
            </w:pPr>
            <w:r w:rsidRPr="00417E06">
              <w:rPr>
                <w:rFonts w:ascii="Gill Sans MT" w:hAnsi="Gill Sans MT"/>
                <w:b/>
                <w:sz w:val="20"/>
              </w:rPr>
              <w:t>Total</w:t>
            </w:r>
          </w:p>
        </w:tc>
        <w:tc>
          <w:tcPr>
            <w:tcW w:w="1418" w:type="dxa"/>
            <w:tcBorders>
              <w:top w:val="single" w:sz="4" w:space="0" w:color="004D8F"/>
              <w:left w:val="dotted" w:sz="4" w:space="0" w:color="auto"/>
              <w:bottom w:val="single" w:sz="4" w:space="0" w:color="004D8F"/>
              <w:right w:val="dotted" w:sz="4" w:space="0" w:color="auto"/>
            </w:tcBorders>
            <w:shd w:val="clear" w:color="auto" w:fill="auto"/>
          </w:tcPr>
          <w:p w:rsidR="00417E06" w:rsidRPr="00417E06" w:rsidRDefault="00417E06" w:rsidP="00992AA6">
            <w:pPr>
              <w:pStyle w:val="TableParagraph"/>
              <w:spacing w:before="60"/>
              <w:ind w:left="699"/>
              <w:rPr>
                <w:rFonts w:ascii="Gill Sans MT" w:hAnsi="Gill Sans MT"/>
                <w:sz w:val="20"/>
              </w:rPr>
            </w:pPr>
            <w:r w:rsidRPr="00417E06">
              <w:rPr>
                <w:rFonts w:ascii="Gill Sans MT" w:hAnsi="Gill Sans MT"/>
                <w:b/>
                <w:sz w:val="20"/>
              </w:rPr>
              <w:t>95</w:t>
            </w:r>
          </w:p>
        </w:tc>
      </w:tr>
    </w:tbl>
    <w:p w:rsidR="00417E06" w:rsidRDefault="00417E06" w:rsidP="00417E06">
      <w:pPr>
        <w:pStyle w:val="BodyText"/>
      </w:pPr>
    </w:p>
    <w:p w:rsidR="00417E06" w:rsidRPr="00417E06" w:rsidRDefault="00417E06" w:rsidP="00621B34">
      <w:pPr>
        <w:pStyle w:val="BodyText"/>
        <w:numPr>
          <w:ilvl w:val="0"/>
          <w:numId w:val="51"/>
        </w:numPr>
        <w:ind w:left="567" w:hanging="567"/>
        <w:rPr>
          <w:b/>
        </w:rPr>
      </w:pPr>
      <w:r w:rsidRPr="00417E06">
        <w:rPr>
          <w:b/>
        </w:rPr>
        <w:t>Fair value measurement of assets held for sale (including fair value levels)</w:t>
      </w:r>
    </w:p>
    <w:tbl>
      <w:tblPr>
        <w:tblW w:w="0" w:type="auto"/>
        <w:tblInd w:w="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Fair value measurement of assets held for sale"/>
        <w:tblDescription w:val="(including fair value levels)"/>
      </w:tblPr>
      <w:tblGrid>
        <w:gridCol w:w="3562"/>
        <w:gridCol w:w="1400"/>
        <w:gridCol w:w="1701"/>
        <w:gridCol w:w="1701"/>
        <w:gridCol w:w="1701"/>
      </w:tblGrid>
      <w:tr w:rsidR="00E242B4" w:rsidRPr="00E242B4" w:rsidTr="00E242B4">
        <w:trPr>
          <w:trHeight w:hRule="exact" w:val="1511"/>
          <w:tblHeader/>
        </w:trPr>
        <w:tc>
          <w:tcPr>
            <w:tcW w:w="3562" w:type="dxa"/>
            <w:tcBorders>
              <w:top w:val="single" w:sz="4" w:space="0" w:color="004D8F"/>
              <w:left w:val="dotted" w:sz="4" w:space="0" w:color="auto"/>
              <w:bottom w:val="single" w:sz="4" w:space="0" w:color="004D8F"/>
              <w:right w:val="dotted" w:sz="4" w:space="0" w:color="auto"/>
            </w:tcBorders>
            <w:shd w:val="clear" w:color="auto" w:fill="auto"/>
          </w:tcPr>
          <w:p w:rsidR="00E242B4" w:rsidRPr="00E242B4" w:rsidRDefault="00E242B4" w:rsidP="00992AA6">
            <w:pPr>
              <w:pStyle w:val="TableParagraph"/>
              <w:spacing w:before="49"/>
              <w:ind w:left="79"/>
              <w:rPr>
                <w:rFonts w:ascii="Gill Sans MT" w:hAnsi="Gill Sans MT"/>
                <w:b/>
                <w:sz w:val="18"/>
                <w:szCs w:val="18"/>
              </w:rPr>
            </w:pPr>
            <w:r w:rsidRPr="00E242B4">
              <w:rPr>
                <w:rFonts w:ascii="Gill Sans MT" w:hAnsi="Gill Sans MT"/>
                <w:b/>
                <w:sz w:val="18"/>
                <w:szCs w:val="18"/>
              </w:rPr>
              <w:t>Description</w:t>
            </w:r>
          </w:p>
        </w:tc>
        <w:tc>
          <w:tcPr>
            <w:tcW w:w="1400" w:type="dxa"/>
            <w:tcBorders>
              <w:top w:val="single" w:sz="4" w:space="0" w:color="004D8F"/>
              <w:left w:val="dotted" w:sz="4" w:space="0" w:color="auto"/>
              <w:bottom w:val="single" w:sz="4" w:space="0" w:color="004D8F"/>
              <w:right w:val="dotted" w:sz="4" w:space="0" w:color="auto"/>
            </w:tcBorders>
            <w:shd w:val="clear" w:color="auto" w:fill="auto"/>
          </w:tcPr>
          <w:p w:rsidR="00E242B4" w:rsidRPr="00E242B4" w:rsidRDefault="00E242B4" w:rsidP="00992AA6">
            <w:pPr>
              <w:pStyle w:val="TableParagraph"/>
              <w:spacing w:before="49"/>
              <w:ind w:right="407"/>
              <w:jc w:val="right"/>
              <w:rPr>
                <w:rFonts w:ascii="Gill Sans MT" w:hAnsi="Gill Sans MT"/>
                <w:b/>
                <w:sz w:val="18"/>
                <w:szCs w:val="18"/>
              </w:rPr>
            </w:pPr>
            <w:r w:rsidRPr="00E242B4">
              <w:rPr>
                <w:rFonts w:ascii="Gill Sans MT" w:hAnsi="Gill Sans MT"/>
                <w:b/>
                <w:sz w:val="18"/>
                <w:szCs w:val="18"/>
              </w:rPr>
              <w:t>Carrying value at 30 June</w:t>
            </w:r>
            <w:r w:rsidRPr="00E242B4">
              <w:rPr>
                <w:rFonts w:ascii="Gill Sans MT" w:hAnsi="Gill Sans MT"/>
                <w:b/>
                <w:sz w:val="18"/>
                <w:szCs w:val="18"/>
              </w:rPr>
              <w:br/>
              <w:t>$’000</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E242B4" w:rsidRPr="00E242B4" w:rsidRDefault="00E242B4" w:rsidP="00992AA6">
            <w:pPr>
              <w:pStyle w:val="TableParagraph"/>
              <w:spacing w:before="49"/>
              <w:ind w:right="394"/>
              <w:jc w:val="right"/>
              <w:rPr>
                <w:rFonts w:ascii="Gill Sans MT" w:hAnsi="Gill Sans MT"/>
                <w:b/>
                <w:sz w:val="18"/>
                <w:szCs w:val="18"/>
              </w:rPr>
            </w:pPr>
            <w:r w:rsidRPr="00E242B4">
              <w:rPr>
                <w:rFonts w:ascii="Gill Sans MT" w:hAnsi="Gill Sans MT"/>
                <w:b/>
                <w:sz w:val="18"/>
                <w:szCs w:val="18"/>
              </w:rPr>
              <w:t>Fair Value measurement at end of reporting period</w:t>
            </w:r>
            <w:r w:rsidRPr="00E242B4">
              <w:rPr>
                <w:rFonts w:ascii="Gill Sans MT" w:hAnsi="Gill Sans MT"/>
                <w:b/>
                <w:sz w:val="18"/>
                <w:szCs w:val="18"/>
              </w:rPr>
              <w:br/>
              <w:t>Level 1</w:t>
            </w:r>
          </w:p>
          <w:p w:rsidR="00E242B4" w:rsidRPr="00E242B4" w:rsidRDefault="00E242B4" w:rsidP="00992AA6">
            <w:pPr>
              <w:pStyle w:val="TableParagraph"/>
              <w:spacing w:before="49"/>
              <w:ind w:right="394"/>
              <w:jc w:val="right"/>
              <w:rPr>
                <w:rFonts w:ascii="Gill Sans MT" w:hAnsi="Gill Sans MT"/>
                <w:b/>
                <w:sz w:val="18"/>
                <w:szCs w:val="18"/>
              </w:rPr>
            </w:pPr>
            <w:r w:rsidRPr="00E242B4">
              <w:rPr>
                <w:rFonts w:ascii="Gill Sans MT" w:hAnsi="Gill Sans MT"/>
                <w:b/>
                <w:sz w:val="18"/>
                <w:szCs w:val="18"/>
              </w:rPr>
              <w:t>$’000</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E242B4" w:rsidRPr="00E242B4" w:rsidRDefault="00E242B4" w:rsidP="00E242B4">
            <w:pPr>
              <w:pStyle w:val="TableParagraph"/>
              <w:spacing w:before="49"/>
              <w:ind w:right="394"/>
              <w:jc w:val="right"/>
              <w:rPr>
                <w:rFonts w:ascii="Gill Sans MT" w:hAnsi="Gill Sans MT"/>
                <w:b/>
                <w:sz w:val="18"/>
                <w:szCs w:val="18"/>
              </w:rPr>
            </w:pPr>
            <w:r w:rsidRPr="00E242B4">
              <w:rPr>
                <w:rFonts w:ascii="Gill Sans MT" w:hAnsi="Gill Sans MT"/>
                <w:b/>
                <w:sz w:val="18"/>
                <w:szCs w:val="18"/>
              </w:rPr>
              <w:t>Fair Value measurement at end of reporting period</w:t>
            </w:r>
            <w:r w:rsidRPr="00E242B4">
              <w:rPr>
                <w:rFonts w:ascii="Gill Sans MT" w:hAnsi="Gill Sans MT"/>
                <w:b/>
                <w:sz w:val="18"/>
                <w:szCs w:val="18"/>
              </w:rPr>
              <w:br/>
              <w:t>Level 2</w:t>
            </w:r>
          </w:p>
          <w:p w:rsidR="00E242B4" w:rsidRPr="00E242B4" w:rsidRDefault="00E242B4" w:rsidP="00E242B4">
            <w:pPr>
              <w:pStyle w:val="TableParagraph"/>
              <w:spacing w:before="49"/>
              <w:ind w:right="407"/>
              <w:jc w:val="right"/>
              <w:rPr>
                <w:rFonts w:ascii="Gill Sans MT" w:hAnsi="Gill Sans MT"/>
                <w:b/>
                <w:sz w:val="18"/>
                <w:szCs w:val="18"/>
              </w:rPr>
            </w:pPr>
            <w:r w:rsidRPr="00E242B4">
              <w:rPr>
                <w:rFonts w:ascii="Gill Sans MT" w:hAnsi="Gill Sans MT"/>
                <w:b/>
                <w:sz w:val="18"/>
                <w:szCs w:val="18"/>
              </w:rPr>
              <w:t>$’000</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E242B4" w:rsidRPr="00E242B4" w:rsidRDefault="00E242B4" w:rsidP="00E242B4">
            <w:pPr>
              <w:pStyle w:val="TableParagraph"/>
              <w:spacing w:before="49"/>
              <w:ind w:right="394"/>
              <w:jc w:val="right"/>
              <w:rPr>
                <w:rFonts w:ascii="Gill Sans MT" w:hAnsi="Gill Sans MT"/>
                <w:b/>
                <w:sz w:val="18"/>
                <w:szCs w:val="18"/>
              </w:rPr>
            </w:pPr>
            <w:r w:rsidRPr="00E242B4">
              <w:rPr>
                <w:rFonts w:ascii="Gill Sans MT" w:hAnsi="Gill Sans MT"/>
                <w:b/>
                <w:sz w:val="18"/>
                <w:szCs w:val="18"/>
              </w:rPr>
              <w:t>Fair Value measurement at end of reporting period</w:t>
            </w:r>
            <w:r w:rsidRPr="00E242B4">
              <w:rPr>
                <w:rFonts w:ascii="Gill Sans MT" w:hAnsi="Gill Sans MT"/>
                <w:b/>
                <w:sz w:val="18"/>
                <w:szCs w:val="18"/>
              </w:rPr>
              <w:br/>
              <w:t>Level 3</w:t>
            </w:r>
          </w:p>
          <w:p w:rsidR="00E242B4" w:rsidRPr="00E242B4" w:rsidRDefault="00E242B4" w:rsidP="00E242B4">
            <w:pPr>
              <w:pStyle w:val="TableParagraph"/>
              <w:spacing w:before="49"/>
              <w:ind w:right="394"/>
              <w:jc w:val="right"/>
              <w:rPr>
                <w:rFonts w:ascii="Gill Sans MT" w:hAnsi="Gill Sans MT"/>
                <w:b/>
                <w:sz w:val="18"/>
                <w:szCs w:val="18"/>
              </w:rPr>
            </w:pPr>
            <w:r w:rsidRPr="00E242B4">
              <w:rPr>
                <w:rFonts w:ascii="Gill Sans MT" w:hAnsi="Gill Sans MT"/>
                <w:b/>
                <w:sz w:val="18"/>
                <w:szCs w:val="18"/>
              </w:rPr>
              <w:t>$’000</w:t>
            </w:r>
          </w:p>
        </w:tc>
      </w:tr>
      <w:tr w:rsidR="001C71AE" w:rsidRPr="00E242B4" w:rsidTr="00E242B4">
        <w:trPr>
          <w:trHeight w:hRule="exact" w:val="323"/>
        </w:trPr>
        <w:tc>
          <w:tcPr>
            <w:tcW w:w="3562" w:type="dxa"/>
            <w:tcBorders>
              <w:top w:val="single" w:sz="4" w:space="0" w:color="004D8F"/>
            </w:tcBorders>
            <w:shd w:val="clear" w:color="auto" w:fill="auto"/>
          </w:tcPr>
          <w:p w:rsidR="001C71AE" w:rsidRPr="00E242B4" w:rsidRDefault="001C71AE" w:rsidP="00992AA6">
            <w:pPr>
              <w:pStyle w:val="TableParagraph"/>
              <w:spacing w:before="49"/>
              <w:ind w:left="79"/>
              <w:rPr>
                <w:rFonts w:ascii="Gill Sans MT" w:hAnsi="Gill Sans MT"/>
                <w:sz w:val="20"/>
              </w:rPr>
            </w:pPr>
            <w:r w:rsidRPr="00E242B4">
              <w:rPr>
                <w:rFonts w:ascii="Gill Sans MT" w:hAnsi="Gill Sans MT"/>
                <w:sz w:val="20"/>
              </w:rPr>
              <w:t>Land</w:t>
            </w:r>
          </w:p>
        </w:tc>
        <w:tc>
          <w:tcPr>
            <w:tcW w:w="1400" w:type="dxa"/>
            <w:tcBorders>
              <w:top w:val="single" w:sz="4" w:space="0" w:color="004D8F"/>
            </w:tcBorders>
            <w:shd w:val="clear" w:color="auto" w:fill="auto"/>
          </w:tcPr>
          <w:p w:rsidR="001C71AE" w:rsidRPr="00E242B4" w:rsidRDefault="001C71AE" w:rsidP="00992AA6">
            <w:pPr>
              <w:pStyle w:val="TableParagraph"/>
              <w:spacing w:before="49"/>
              <w:ind w:right="407"/>
              <w:jc w:val="right"/>
              <w:rPr>
                <w:rFonts w:ascii="Gill Sans MT" w:hAnsi="Gill Sans MT"/>
                <w:sz w:val="20"/>
              </w:rPr>
            </w:pPr>
            <w:r w:rsidRPr="00E242B4">
              <w:rPr>
                <w:rFonts w:ascii="Gill Sans MT" w:hAnsi="Gill Sans MT"/>
                <w:sz w:val="20"/>
              </w:rPr>
              <w:t>71</w:t>
            </w:r>
          </w:p>
        </w:tc>
        <w:tc>
          <w:tcPr>
            <w:tcW w:w="1701" w:type="dxa"/>
            <w:tcBorders>
              <w:top w:val="single" w:sz="4" w:space="0" w:color="004D8F"/>
            </w:tcBorders>
            <w:shd w:val="clear" w:color="auto" w:fill="auto"/>
          </w:tcPr>
          <w:p w:rsidR="001C71AE" w:rsidRPr="00E242B4" w:rsidRDefault="001C71AE" w:rsidP="00992AA6">
            <w:pPr>
              <w:pStyle w:val="TableParagraph"/>
              <w:spacing w:before="49"/>
              <w:ind w:right="394"/>
              <w:jc w:val="right"/>
              <w:rPr>
                <w:rFonts w:ascii="Gill Sans MT" w:hAnsi="Gill Sans MT"/>
                <w:sz w:val="20"/>
              </w:rPr>
            </w:pPr>
            <w:r w:rsidRPr="00E242B4">
              <w:rPr>
                <w:rFonts w:ascii="Gill Sans MT" w:hAnsi="Gill Sans MT"/>
                <w:sz w:val="20"/>
              </w:rPr>
              <w:t>0</w:t>
            </w:r>
          </w:p>
        </w:tc>
        <w:tc>
          <w:tcPr>
            <w:tcW w:w="1701" w:type="dxa"/>
            <w:tcBorders>
              <w:top w:val="single" w:sz="4" w:space="0" w:color="004D8F"/>
            </w:tcBorders>
            <w:shd w:val="clear" w:color="auto" w:fill="auto"/>
          </w:tcPr>
          <w:p w:rsidR="001C71AE" w:rsidRPr="00E242B4" w:rsidRDefault="001C71AE" w:rsidP="00992AA6">
            <w:pPr>
              <w:pStyle w:val="TableParagraph"/>
              <w:spacing w:before="49"/>
              <w:ind w:right="407"/>
              <w:jc w:val="right"/>
              <w:rPr>
                <w:rFonts w:ascii="Gill Sans MT" w:hAnsi="Gill Sans MT"/>
                <w:sz w:val="20"/>
              </w:rPr>
            </w:pPr>
            <w:r w:rsidRPr="00E242B4">
              <w:rPr>
                <w:rFonts w:ascii="Gill Sans MT" w:hAnsi="Gill Sans MT"/>
                <w:sz w:val="20"/>
              </w:rPr>
              <w:t>71</w:t>
            </w:r>
          </w:p>
        </w:tc>
        <w:tc>
          <w:tcPr>
            <w:tcW w:w="1701" w:type="dxa"/>
            <w:tcBorders>
              <w:top w:val="single" w:sz="4" w:space="0" w:color="004D8F"/>
            </w:tcBorders>
            <w:shd w:val="clear" w:color="auto" w:fill="auto"/>
          </w:tcPr>
          <w:p w:rsidR="001C71AE" w:rsidRPr="00E242B4" w:rsidRDefault="001C71AE" w:rsidP="00992AA6">
            <w:pPr>
              <w:pStyle w:val="TableParagraph"/>
              <w:spacing w:before="49"/>
              <w:ind w:right="394"/>
              <w:jc w:val="right"/>
              <w:rPr>
                <w:rFonts w:ascii="Gill Sans MT" w:hAnsi="Gill Sans MT"/>
                <w:sz w:val="20"/>
              </w:rPr>
            </w:pPr>
            <w:r w:rsidRPr="00E242B4">
              <w:rPr>
                <w:rFonts w:ascii="Gill Sans MT" w:hAnsi="Gill Sans MT"/>
                <w:sz w:val="20"/>
              </w:rPr>
              <w:t>0</w:t>
            </w:r>
          </w:p>
        </w:tc>
      </w:tr>
      <w:tr w:rsidR="001C71AE" w:rsidRPr="00E242B4" w:rsidTr="00E242B4">
        <w:trPr>
          <w:trHeight w:hRule="exact" w:val="306"/>
        </w:trPr>
        <w:tc>
          <w:tcPr>
            <w:tcW w:w="3562" w:type="dxa"/>
            <w:tcBorders>
              <w:bottom w:val="single" w:sz="4" w:space="0" w:color="004D8F"/>
            </w:tcBorders>
            <w:shd w:val="clear" w:color="auto" w:fill="auto"/>
          </w:tcPr>
          <w:p w:rsidR="001C71AE" w:rsidRPr="00E242B4" w:rsidRDefault="001C71AE" w:rsidP="00992AA6">
            <w:pPr>
              <w:pStyle w:val="TableParagraph"/>
              <w:spacing w:before="46"/>
              <w:ind w:left="80"/>
              <w:rPr>
                <w:rFonts w:ascii="Gill Sans MT" w:hAnsi="Gill Sans MT"/>
                <w:sz w:val="20"/>
              </w:rPr>
            </w:pPr>
            <w:r w:rsidRPr="00E242B4">
              <w:rPr>
                <w:rFonts w:ascii="Gill Sans MT" w:hAnsi="Gill Sans MT"/>
                <w:sz w:val="20"/>
              </w:rPr>
              <w:t>Buildings</w:t>
            </w:r>
          </w:p>
        </w:tc>
        <w:tc>
          <w:tcPr>
            <w:tcW w:w="1400" w:type="dxa"/>
            <w:tcBorders>
              <w:bottom w:val="single" w:sz="4" w:space="0" w:color="004D8F"/>
            </w:tcBorders>
            <w:shd w:val="clear" w:color="auto" w:fill="auto"/>
          </w:tcPr>
          <w:p w:rsidR="001C71AE" w:rsidRPr="00E242B4" w:rsidRDefault="001C71AE" w:rsidP="00992AA6">
            <w:pPr>
              <w:pStyle w:val="TableParagraph"/>
              <w:spacing w:before="46"/>
              <w:ind w:right="399"/>
              <w:jc w:val="right"/>
              <w:rPr>
                <w:rFonts w:ascii="Gill Sans MT" w:hAnsi="Gill Sans MT"/>
                <w:sz w:val="20"/>
              </w:rPr>
            </w:pPr>
            <w:r w:rsidRPr="00E242B4">
              <w:rPr>
                <w:rFonts w:ascii="Gill Sans MT" w:hAnsi="Gill Sans MT"/>
                <w:sz w:val="20"/>
              </w:rPr>
              <w:t>24</w:t>
            </w:r>
          </w:p>
        </w:tc>
        <w:tc>
          <w:tcPr>
            <w:tcW w:w="1701" w:type="dxa"/>
            <w:tcBorders>
              <w:bottom w:val="single" w:sz="4" w:space="0" w:color="004D8F"/>
            </w:tcBorders>
            <w:shd w:val="clear" w:color="auto" w:fill="auto"/>
          </w:tcPr>
          <w:p w:rsidR="001C71AE" w:rsidRPr="00E242B4" w:rsidRDefault="001C71AE" w:rsidP="00992AA6">
            <w:pPr>
              <w:pStyle w:val="TableParagraph"/>
              <w:spacing w:before="46"/>
              <w:ind w:right="394"/>
              <w:jc w:val="right"/>
              <w:rPr>
                <w:rFonts w:ascii="Gill Sans MT" w:hAnsi="Gill Sans MT"/>
                <w:sz w:val="20"/>
              </w:rPr>
            </w:pPr>
            <w:r w:rsidRPr="00E242B4">
              <w:rPr>
                <w:rFonts w:ascii="Gill Sans MT" w:hAnsi="Gill Sans MT"/>
                <w:sz w:val="20"/>
              </w:rPr>
              <w:t>0</w:t>
            </w:r>
          </w:p>
        </w:tc>
        <w:tc>
          <w:tcPr>
            <w:tcW w:w="1701" w:type="dxa"/>
            <w:tcBorders>
              <w:bottom w:val="single" w:sz="4" w:space="0" w:color="004D8F"/>
            </w:tcBorders>
            <w:shd w:val="clear" w:color="auto" w:fill="auto"/>
          </w:tcPr>
          <w:p w:rsidR="001C71AE" w:rsidRPr="00E242B4" w:rsidRDefault="001C71AE" w:rsidP="00992AA6">
            <w:pPr>
              <w:pStyle w:val="TableParagraph"/>
              <w:spacing w:before="46"/>
              <w:ind w:right="399"/>
              <w:jc w:val="right"/>
              <w:rPr>
                <w:rFonts w:ascii="Gill Sans MT" w:hAnsi="Gill Sans MT"/>
                <w:sz w:val="20"/>
              </w:rPr>
            </w:pPr>
            <w:r w:rsidRPr="00E242B4">
              <w:rPr>
                <w:rFonts w:ascii="Gill Sans MT" w:hAnsi="Gill Sans MT"/>
                <w:sz w:val="20"/>
              </w:rPr>
              <w:t>24</w:t>
            </w:r>
          </w:p>
        </w:tc>
        <w:tc>
          <w:tcPr>
            <w:tcW w:w="1701" w:type="dxa"/>
            <w:tcBorders>
              <w:bottom w:val="single" w:sz="4" w:space="0" w:color="004D8F"/>
            </w:tcBorders>
            <w:shd w:val="clear" w:color="auto" w:fill="auto"/>
          </w:tcPr>
          <w:p w:rsidR="001C71AE" w:rsidRPr="00E242B4" w:rsidRDefault="001C71AE" w:rsidP="00992AA6">
            <w:pPr>
              <w:pStyle w:val="TableParagraph"/>
              <w:spacing w:before="46"/>
              <w:ind w:right="394"/>
              <w:jc w:val="right"/>
              <w:rPr>
                <w:rFonts w:ascii="Gill Sans MT" w:hAnsi="Gill Sans MT"/>
                <w:sz w:val="20"/>
              </w:rPr>
            </w:pPr>
            <w:r w:rsidRPr="00E242B4">
              <w:rPr>
                <w:rFonts w:ascii="Gill Sans MT" w:hAnsi="Gill Sans MT"/>
                <w:sz w:val="20"/>
              </w:rPr>
              <w:t>0</w:t>
            </w:r>
          </w:p>
        </w:tc>
      </w:tr>
      <w:tr w:rsidR="001C71AE" w:rsidRPr="00E242B4" w:rsidTr="00E242B4">
        <w:trPr>
          <w:trHeight w:hRule="exact" w:val="320"/>
        </w:trPr>
        <w:tc>
          <w:tcPr>
            <w:tcW w:w="3562" w:type="dxa"/>
            <w:tcBorders>
              <w:top w:val="single" w:sz="4" w:space="0" w:color="004D8F"/>
              <w:left w:val="dotted" w:sz="4" w:space="0" w:color="auto"/>
              <w:bottom w:val="single" w:sz="4" w:space="0" w:color="004D8F"/>
              <w:right w:val="dotted" w:sz="4" w:space="0" w:color="auto"/>
            </w:tcBorders>
            <w:shd w:val="clear" w:color="auto" w:fill="auto"/>
          </w:tcPr>
          <w:p w:rsidR="001C71AE" w:rsidRPr="00E242B4" w:rsidRDefault="001C71AE" w:rsidP="00992AA6">
            <w:pPr>
              <w:pStyle w:val="TableParagraph"/>
              <w:spacing w:before="51"/>
              <w:ind w:left="80"/>
              <w:rPr>
                <w:rFonts w:ascii="Gill Sans MT" w:hAnsi="Gill Sans MT"/>
                <w:b/>
                <w:sz w:val="20"/>
              </w:rPr>
            </w:pPr>
            <w:r w:rsidRPr="00E242B4">
              <w:rPr>
                <w:rFonts w:ascii="Gill Sans MT" w:hAnsi="Gill Sans MT"/>
                <w:b/>
                <w:sz w:val="20"/>
              </w:rPr>
              <w:t>Total</w:t>
            </w:r>
          </w:p>
        </w:tc>
        <w:tc>
          <w:tcPr>
            <w:tcW w:w="1400" w:type="dxa"/>
            <w:tcBorders>
              <w:top w:val="single" w:sz="4" w:space="0" w:color="004D8F"/>
              <w:left w:val="dotted" w:sz="4" w:space="0" w:color="auto"/>
              <w:bottom w:val="single" w:sz="4" w:space="0" w:color="004D8F"/>
              <w:right w:val="dotted" w:sz="4" w:space="0" w:color="auto"/>
            </w:tcBorders>
            <w:shd w:val="clear" w:color="auto" w:fill="auto"/>
          </w:tcPr>
          <w:p w:rsidR="001C71AE" w:rsidRPr="00E242B4" w:rsidRDefault="001C71AE" w:rsidP="00992AA6">
            <w:pPr>
              <w:pStyle w:val="TableParagraph"/>
              <w:spacing w:before="47"/>
              <w:ind w:right="394"/>
              <w:jc w:val="right"/>
              <w:rPr>
                <w:rFonts w:ascii="Gill Sans MT" w:hAnsi="Gill Sans MT"/>
                <w:b/>
                <w:sz w:val="20"/>
              </w:rPr>
            </w:pPr>
            <w:r w:rsidRPr="00E242B4">
              <w:rPr>
                <w:rFonts w:ascii="Gill Sans MT" w:hAnsi="Gill Sans MT"/>
                <w:b/>
                <w:sz w:val="20"/>
              </w:rPr>
              <w:t>95</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1C71AE" w:rsidRPr="00E242B4" w:rsidRDefault="001C71AE" w:rsidP="00992AA6">
            <w:pPr>
              <w:pStyle w:val="TableParagraph"/>
              <w:spacing w:before="47"/>
              <w:ind w:right="394"/>
              <w:jc w:val="right"/>
              <w:rPr>
                <w:rFonts w:ascii="Gill Sans MT" w:hAnsi="Gill Sans MT"/>
                <w:b/>
                <w:sz w:val="20"/>
              </w:rPr>
            </w:pPr>
            <w:r w:rsidRPr="00E242B4">
              <w:rPr>
                <w:rFonts w:ascii="Gill Sans MT" w:hAnsi="Gill Sans MT"/>
                <w:b/>
                <w:sz w:val="20"/>
              </w:rPr>
              <w:t>0</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1C71AE" w:rsidRPr="00E242B4" w:rsidRDefault="001C71AE" w:rsidP="00992AA6">
            <w:pPr>
              <w:pStyle w:val="TableParagraph"/>
              <w:spacing w:before="47"/>
              <w:ind w:right="394"/>
              <w:jc w:val="right"/>
              <w:rPr>
                <w:rFonts w:ascii="Gill Sans MT" w:hAnsi="Gill Sans MT"/>
                <w:b/>
                <w:sz w:val="20"/>
              </w:rPr>
            </w:pPr>
            <w:r w:rsidRPr="00E242B4">
              <w:rPr>
                <w:rFonts w:ascii="Gill Sans MT" w:hAnsi="Gill Sans MT"/>
                <w:b/>
                <w:sz w:val="20"/>
              </w:rPr>
              <w:t>95</w:t>
            </w:r>
          </w:p>
        </w:tc>
        <w:tc>
          <w:tcPr>
            <w:tcW w:w="1701" w:type="dxa"/>
            <w:tcBorders>
              <w:top w:val="single" w:sz="4" w:space="0" w:color="004D8F"/>
              <w:left w:val="dotted" w:sz="4" w:space="0" w:color="auto"/>
              <w:bottom w:val="single" w:sz="4" w:space="0" w:color="004D8F"/>
              <w:right w:val="dotted" w:sz="4" w:space="0" w:color="auto"/>
            </w:tcBorders>
            <w:shd w:val="clear" w:color="auto" w:fill="auto"/>
          </w:tcPr>
          <w:p w:rsidR="001C71AE" w:rsidRPr="00E242B4" w:rsidRDefault="001C71AE" w:rsidP="00992AA6">
            <w:pPr>
              <w:pStyle w:val="TableParagraph"/>
              <w:spacing w:before="47"/>
              <w:ind w:right="394"/>
              <w:jc w:val="right"/>
              <w:rPr>
                <w:rFonts w:ascii="Gill Sans MT" w:hAnsi="Gill Sans MT"/>
                <w:b/>
                <w:sz w:val="20"/>
              </w:rPr>
            </w:pPr>
            <w:r w:rsidRPr="00E242B4">
              <w:rPr>
                <w:rFonts w:ascii="Gill Sans MT" w:hAnsi="Gill Sans MT"/>
                <w:b/>
                <w:sz w:val="20"/>
              </w:rPr>
              <w:t>0</w:t>
            </w:r>
          </w:p>
        </w:tc>
      </w:tr>
    </w:tbl>
    <w:p w:rsidR="00417E06" w:rsidRDefault="00417E06" w:rsidP="00417E06">
      <w:pPr>
        <w:pStyle w:val="BodyText"/>
      </w:pPr>
    </w:p>
    <w:p w:rsidR="00693B7C" w:rsidRDefault="00693B7C">
      <w:pPr>
        <w:rPr>
          <w:rFonts w:ascii="Gill Sans MT" w:eastAsiaTheme="majorEastAsia" w:hAnsi="Gill Sans MT" w:cstheme="majorBidi"/>
          <w:b/>
          <w:color w:val="243F60" w:themeColor="accent1" w:themeShade="7F"/>
        </w:rPr>
      </w:pPr>
      <w:r>
        <w:br w:type="page"/>
      </w:r>
    </w:p>
    <w:p w:rsidR="003E2CE6" w:rsidRDefault="003E2CE6" w:rsidP="003E2CE6">
      <w:pPr>
        <w:pStyle w:val="Heading5"/>
      </w:pPr>
      <w:r>
        <w:lastRenderedPageBreak/>
        <w:t xml:space="preserve">8.5 </w:t>
      </w:r>
      <w:r>
        <w:tab/>
        <w:t>Property, Plant and Equipment</w:t>
      </w:r>
    </w:p>
    <w:p w:rsidR="003E2CE6" w:rsidRPr="003E2CE6" w:rsidRDefault="003E2CE6" w:rsidP="003E2CE6">
      <w:pPr>
        <w:pStyle w:val="BodyText"/>
      </w:pPr>
      <w:r w:rsidRPr="003E2CE6">
        <w:t>Key estimate and judgement</w:t>
      </w:r>
    </w:p>
    <w:p w:rsidR="003E2CE6" w:rsidRPr="003E2CE6" w:rsidRDefault="003E2CE6" w:rsidP="003E2CE6">
      <w:pPr>
        <w:pStyle w:val="BodyText"/>
      </w:pPr>
      <w:r w:rsidRPr="003E2CE6">
        <w:t>(i) Valuation basis</w:t>
      </w:r>
    </w:p>
    <w:p w:rsidR="003E2CE6" w:rsidRPr="003E2CE6" w:rsidRDefault="003E2CE6" w:rsidP="003E2CE6">
      <w:pPr>
        <w:pStyle w:val="BodyText"/>
      </w:pPr>
      <w:r w:rsidRPr="003E2CE6">
        <w:t>Land and buildings is recorded at fair value less accumulated depreciation. All other non-current physical</w:t>
      </w:r>
      <w:r>
        <w:t xml:space="preserve"> </w:t>
      </w:r>
      <w:r w:rsidRPr="003E2CE6">
        <w:t>assets, including work in progress, are recorded at historic cost less accumulated depreciation and</w:t>
      </w:r>
      <w:r>
        <w:t xml:space="preserve"> </w:t>
      </w:r>
      <w:r w:rsidRPr="003E2CE6">
        <w:t>accumulated impairment losses. All assets within a class of assets are measured on the same basis.</w:t>
      </w:r>
    </w:p>
    <w:p w:rsidR="003E2CE6" w:rsidRPr="003E2CE6" w:rsidRDefault="003E2CE6" w:rsidP="003E2CE6">
      <w:pPr>
        <w:pStyle w:val="BodyText"/>
      </w:pPr>
      <w:r w:rsidRPr="003E2CE6">
        <w:t>Cost includes expenditure that is directly attributable to the acquisition of the asset. The costs of</w:t>
      </w:r>
      <w:r>
        <w:t xml:space="preserve"> </w:t>
      </w:r>
      <w:r w:rsidRPr="003E2CE6">
        <w:t>self</w:t>
      </w:r>
      <w:r w:rsidRPr="003E2CE6">
        <w:rPr>
          <w:rFonts w:ascii="MS Gothic" w:eastAsia="MS Gothic" w:hAnsi="MS Gothic" w:cs="MS Gothic" w:hint="eastAsia"/>
        </w:rPr>
        <w:t>‑</w:t>
      </w:r>
      <w:r w:rsidRPr="003E2CE6">
        <w:t>constructed assets includes the cost of materials and direct labour, any other costs directly attributable</w:t>
      </w:r>
      <w:r>
        <w:t xml:space="preserve"> </w:t>
      </w:r>
      <w:r w:rsidRPr="003E2CE6">
        <w:t>to bringing the asset to a working condition for its intended use, and the costs of dismantling and removing</w:t>
      </w:r>
      <w:r>
        <w:t xml:space="preserve"> </w:t>
      </w:r>
      <w:r w:rsidRPr="003E2CE6">
        <w:t>the items and restoring the site on which they are located. Purchased software that is integral to the</w:t>
      </w:r>
      <w:r>
        <w:t xml:space="preserve"> </w:t>
      </w:r>
      <w:r w:rsidRPr="003E2CE6">
        <w:t>functionality of the related equipment is capitalised as part of that equipment.</w:t>
      </w:r>
    </w:p>
    <w:p w:rsidR="003E2CE6" w:rsidRPr="003E2CE6" w:rsidRDefault="003E2CE6" w:rsidP="003E2CE6">
      <w:pPr>
        <w:pStyle w:val="BodyText"/>
      </w:pPr>
      <w:r w:rsidRPr="003E2CE6">
        <w:t>When parts of an item of property, plant and equipment have different useful lives, they are accounted for</w:t>
      </w:r>
      <w:r>
        <w:t xml:space="preserve"> </w:t>
      </w:r>
      <w:r w:rsidRPr="003E2CE6">
        <w:t>as separate items (major components) of property, plant and equipment.</w:t>
      </w:r>
    </w:p>
    <w:p w:rsidR="003E2CE6" w:rsidRPr="003E2CE6" w:rsidRDefault="003E2CE6" w:rsidP="003E2CE6">
      <w:pPr>
        <w:pStyle w:val="BodyText"/>
      </w:pPr>
      <w:r w:rsidRPr="003E2CE6">
        <w:t>Fair value is based on the highest and best use of the asset. Unless there is an explicit Government policy</w:t>
      </w:r>
      <w:r>
        <w:t xml:space="preserve"> </w:t>
      </w:r>
      <w:r w:rsidRPr="003E2CE6">
        <w:t>to the contrary, the highest and best use of an asset is the current purpose for which the asset is being</w:t>
      </w:r>
      <w:r>
        <w:t xml:space="preserve"> </w:t>
      </w:r>
      <w:r w:rsidRPr="003E2CE6">
        <w:t>used or occupied.</w:t>
      </w:r>
    </w:p>
    <w:p w:rsidR="003E2CE6" w:rsidRPr="003E2CE6" w:rsidRDefault="003E2CE6" w:rsidP="003E2CE6">
      <w:pPr>
        <w:pStyle w:val="BodyText"/>
      </w:pPr>
      <w:r w:rsidRPr="003E2CE6">
        <w:t>(ii) Subsequent costs</w:t>
      </w:r>
    </w:p>
    <w:p w:rsidR="003E2CE6" w:rsidRPr="003E2CE6" w:rsidRDefault="003E2CE6" w:rsidP="003E2CE6">
      <w:pPr>
        <w:pStyle w:val="BodyText"/>
      </w:pPr>
      <w:r w:rsidRPr="003E2CE6">
        <w:t>The cost of replacing part of an item of property, plant and equipment is recognised in the carrying</w:t>
      </w:r>
      <w:r>
        <w:t xml:space="preserve"> </w:t>
      </w:r>
      <w:r w:rsidRPr="003E2CE6">
        <w:t>amount of the item if it is probable that the future economic benefits embodied within the part will</w:t>
      </w:r>
      <w:r>
        <w:t xml:space="preserve"> </w:t>
      </w:r>
      <w:r w:rsidRPr="003E2CE6">
        <w:t>flow to the THS and its costs can be measured reliably. The carrying amount of the replaced part is</w:t>
      </w:r>
      <w:r>
        <w:t xml:space="preserve"> </w:t>
      </w:r>
      <w:r w:rsidRPr="003E2CE6">
        <w:t>derecognised. The costs of day-to-day servicing of property, plant and equipment are recognised in the</w:t>
      </w:r>
      <w:r>
        <w:t xml:space="preserve"> </w:t>
      </w:r>
      <w:r w:rsidRPr="003E2CE6">
        <w:t>Statement of Comprehensive Income as incurred.</w:t>
      </w:r>
    </w:p>
    <w:p w:rsidR="003E2CE6" w:rsidRPr="003E2CE6" w:rsidRDefault="003E2CE6" w:rsidP="003E2CE6">
      <w:pPr>
        <w:pStyle w:val="BodyText"/>
      </w:pPr>
      <w:r w:rsidRPr="003E2CE6">
        <w:t>(iii) Asset recognition threshold</w:t>
      </w:r>
    </w:p>
    <w:p w:rsidR="003E2CE6" w:rsidRPr="003E2CE6" w:rsidRDefault="003E2CE6" w:rsidP="003E2CE6">
      <w:pPr>
        <w:pStyle w:val="BodyText"/>
      </w:pPr>
      <w:r w:rsidRPr="003E2CE6">
        <w:t>The asset capitalisation threshold adopted by the THS is:</w:t>
      </w:r>
    </w:p>
    <w:p w:rsidR="003E2CE6" w:rsidRPr="003E2CE6" w:rsidRDefault="003E2CE6" w:rsidP="00621B34">
      <w:pPr>
        <w:pStyle w:val="BodyText"/>
        <w:numPr>
          <w:ilvl w:val="0"/>
          <w:numId w:val="49"/>
        </w:numPr>
        <w:ind w:left="567" w:hanging="567"/>
      </w:pPr>
      <w:r w:rsidRPr="003E2CE6">
        <w:t>Vehicles $10,000</w:t>
      </w:r>
    </w:p>
    <w:p w:rsidR="003E2CE6" w:rsidRPr="003E2CE6" w:rsidRDefault="003E2CE6" w:rsidP="00621B34">
      <w:pPr>
        <w:pStyle w:val="BodyText"/>
        <w:numPr>
          <w:ilvl w:val="0"/>
          <w:numId w:val="49"/>
        </w:numPr>
        <w:ind w:left="567" w:hanging="567"/>
      </w:pPr>
      <w:r w:rsidRPr="003E2CE6">
        <w:t>Plant and equipment $10,000</w:t>
      </w:r>
    </w:p>
    <w:p w:rsidR="003E2CE6" w:rsidRPr="003E2CE6" w:rsidRDefault="003E2CE6" w:rsidP="00621B34">
      <w:pPr>
        <w:pStyle w:val="BodyText"/>
        <w:numPr>
          <w:ilvl w:val="0"/>
          <w:numId w:val="49"/>
        </w:numPr>
        <w:ind w:left="567" w:hanging="567"/>
      </w:pPr>
      <w:r w:rsidRPr="003E2CE6">
        <w:t>Land and buildings $10,000</w:t>
      </w:r>
    </w:p>
    <w:p w:rsidR="003E2CE6" w:rsidRPr="003E2CE6" w:rsidRDefault="003E2CE6" w:rsidP="00621B34">
      <w:pPr>
        <w:pStyle w:val="BodyText"/>
        <w:numPr>
          <w:ilvl w:val="0"/>
          <w:numId w:val="49"/>
        </w:numPr>
        <w:ind w:left="567" w:hanging="567"/>
      </w:pPr>
      <w:r w:rsidRPr="003E2CE6">
        <w:t>Intangibles $50,000</w:t>
      </w:r>
    </w:p>
    <w:p w:rsidR="003E2CE6" w:rsidRPr="003E2CE6" w:rsidRDefault="003E2CE6" w:rsidP="003E2CE6">
      <w:pPr>
        <w:pStyle w:val="BodyText"/>
      </w:pPr>
      <w:r w:rsidRPr="003E2CE6">
        <w:t xml:space="preserve">Assets valued at less than $10,000 (or $50,000 for intangible assets) </w:t>
      </w:r>
      <w:proofErr w:type="gramStart"/>
      <w:r w:rsidRPr="003E2CE6">
        <w:t>are</w:t>
      </w:r>
      <w:proofErr w:type="gramEnd"/>
      <w:r w:rsidRPr="003E2CE6">
        <w:t xml:space="preserve"> charged to the Statement of</w:t>
      </w:r>
      <w:r>
        <w:t xml:space="preserve"> </w:t>
      </w:r>
      <w:r w:rsidRPr="003E2CE6">
        <w:t>Comprehensive Income in the year of purchase (other than where they form part of a group of similar</w:t>
      </w:r>
      <w:r>
        <w:t xml:space="preserve"> </w:t>
      </w:r>
      <w:r w:rsidRPr="003E2CE6">
        <w:t>items which are material in total).</w:t>
      </w:r>
    </w:p>
    <w:p w:rsidR="003E2CE6" w:rsidRPr="003E2CE6" w:rsidRDefault="003E2CE6" w:rsidP="003E2CE6">
      <w:pPr>
        <w:pStyle w:val="BodyText"/>
      </w:pPr>
      <w:proofErr w:type="gramStart"/>
      <w:r w:rsidRPr="003E2CE6">
        <w:t>(iv) Revaluations</w:t>
      </w:r>
      <w:proofErr w:type="gramEnd"/>
    </w:p>
    <w:p w:rsidR="00693B7C" w:rsidRDefault="003E2CE6" w:rsidP="003E2CE6">
      <w:pPr>
        <w:pStyle w:val="BodyText"/>
      </w:pPr>
      <w:r w:rsidRPr="003E2CE6">
        <w:t>The THS’ land and building assets were revalued independently by the Valuer-General of Tasmania</w:t>
      </w:r>
      <w:r>
        <w:t xml:space="preserve"> </w:t>
      </w:r>
      <w:r w:rsidRPr="003E2CE6">
        <w:t>as at 30 June 2016 using an adjustment indice of 1.035 for land and 1.045 for buildings. This was based</w:t>
      </w:r>
      <w:r>
        <w:t xml:space="preserve"> </w:t>
      </w:r>
      <w:r w:rsidRPr="003E2CE6">
        <w:t>on market movement factors and building cost indices. This revaluation was in accordance with the</w:t>
      </w:r>
      <w:r>
        <w:t xml:space="preserve"> </w:t>
      </w:r>
      <w:r w:rsidRPr="003E2CE6">
        <w:t>Treasurer’s Instruction 303 Recognition and Measurement of Non-Current Assets and the Australian</w:t>
      </w:r>
      <w:r>
        <w:t xml:space="preserve"> </w:t>
      </w:r>
      <w:r w:rsidRPr="003E2CE6">
        <w:t>Accounting Standard (AASB 116). Revaluations are shown on a net basis and will continue to do so until</w:t>
      </w:r>
      <w:r>
        <w:t xml:space="preserve"> </w:t>
      </w:r>
      <w:r w:rsidRPr="003E2CE6">
        <w:t>the next full revaluation is performed. This is due to occur as at 30 June 2018.</w:t>
      </w:r>
    </w:p>
    <w:p w:rsidR="00693B7C" w:rsidRDefault="00693B7C">
      <w:pPr>
        <w:rPr>
          <w:rFonts w:ascii="Gill Sans MT" w:eastAsia="GillSans-Light" w:hAnsi="Gill Sans MT" w:cs="GillSans-Light"/>
          <w:lang w:val="en-US"/>
        </w:rPr>
      </w:pPr>
      <w:r>
        <w:br w:type="page"/>
      </w:r>
    </w:p>
    <w:p w:rsidR="003E2CE6" w:rsidRDefault="003E2CE6" w:rsidP="003E2CE6">
      <w:pPr>
        <w:pStyle w:val="BodyText"/>
      </w:pPr>
    </w:p>
    <w:p w:rsidR="00992AA6" w:rsidRPr="000B6ABD" w:rsidRDefault="00992AA6" w:rsidP="00621B34">
      <w:pPr>
        <w:pStyle w:val="BodyText"/>
        <w:numPr>
          <w:ilvl w:val="0"/>
          <w:numId w:val="52"/>
        </w:numPr>
        <w:ind w:left="567" w:hanging="567"/>
        <w:rPr>
          <w:b/>
        </w:rPr>
      </w:pPr>
      <w:r w:rsidRPr="000B6ABD">
        <w:rPr>
          <w:b/>
        </w:rPr>
        <w:t>Carrying amount</w:t>
      </w:r>
    </w:p>
    <w:tbl>
      <w:tblPr>
        <w:tblW w:w="0" w:type="auto"/>
        <w:tblLayout w:type="fixed"/>
        <w:tblCellMar>
          <w:left w:w="0" w:type="dxa"/>
          <w:right w:w="0" w:type="dxa"/>
        </w:tblCellMar>
        <w:tblLook w:val="01E0" w:firstRow="1" w:lastRow="1" w:firstColumn="1" w:lastColumn="1" w:noHBand="0" w:noVBand="0"/>
        <w:tblCaption w:val="Property, Plant and Equipment"/>
        <w:tblDescription w:val="Carrying Amount"/>
      </w:tblPr>
      <w:tblGrid>
        <w:gridCol w:w="8505"/>
        <w:gridCol w:w="1276"/>
      </w:tblGrid>
      <w:tr w:rsidR="00693B7C" w:rsidRPr="00693B7C" w:rsidTr="000B6ABD">
        <w:trPr>
          <w:trHeight w:hRule="exact" w:val="820"/>
        </w:trPr>
        <w:tc>
          <w:tcPr>
            <w:tcW w:w="8505" w:type="dxa"/>
            <w:tcBorders>
              <w:bottom w:val="dotted" w:sz="4" w:space="0" w:color="auto"/>
            </w:tcBorders>
            <w:shd w:val="clear" w:color="auto" w:fill="auto"/>
          </w:tcPr>
          <w:p w:rsidR="00693B7C" w:rsidRPr="00693B7C" w:rsidRDefault="00693B7C" w:rsidP="00DA439E">
            <w:pPr>
              <w:pStyle w:val="Heading6"/>
            </w:pPr>
            <w:r w:rsidRPr="00693B7C">
              <w:t>Description</w:t>
            </w:r>
          </w:p>
        </w:tc>
        <w:tc>
          <w:tcPr>
            <w:tcW w:w="1276" w:type="dxa"/>
            <w:tcBorders>
              <w:bottom w:val="dotted" w:sz="4" w:space="0" w:color="auto"/>
            </w:tcBorders>
            <w:shd w:val="clear" w:color="auto" w:fill="auto"/>
          </w:tcPr>
          <w:p w:rsidR="00693B7C" w:rsidRPr="00693B7C" w:rsidRDefault="00693B7C" w:rsidP="00DA439E">
            <w:pPr>
              <w:pStyle w:val="Heading6"/>
              <w:ind w:right="283"/>
              <w:jc w:val="right"/>
            </w:pPr>
            <w:r w:rsidRPr="00693B7C">
              <w:t>2016</w:t>
            </w:r>
            <w:r w:rsidRPr="00693B7C">
              <w:br/>
              <w:t>$’000</w:t>
            </w:r>
          </w:p>
        </w:tc>
      </w:tr>
      <w:tr w:rsidR="00002DDD" w:rsidRPr="00DA439E" w:rsidTr="00BD3B2F">
        <w:trPr>
          <w:trHeight w:hRule="exact" w:val="64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002DDD" w:rsidRPr="00DA439E" w:rsidRDefault="00002DDD" w:rsidP="00DA439E">
            <w:pPr>
              <w:pStyle w:val="BodyText"/>
              <w:rPr>
                <w:b/>
              </w:rPr>
            </w:pPr>
            <w:r w:rsidRPr="00DA439E">
              <w:rPr>
                <w:b/>
              </w:rPr>
              <w:t>Land</w:t>
            </w:r>
          </w:p>
          <w:p w:rsidR="00002DDD" w:rsidRPr="00DA439E" w:rsidRDefault="00002DDD" w:rsidP="00DA439E">
            <w:pPr>
              <w:pStyle w:val="BodyText"/>
              <w:rPr>
                <w:b/>
              </w:rPr>
            </w:pP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002DDD" w:rsidRPr="00DA439E" w:rsidRDefault="00002DDD" w:rsidP="00DA439E">
            <w:pPr>
              <w:pStyle w:val="BodyText"/>
              <w:ind w:right="283"/>
              <w:jc w:val="right"/>
              <w:rPr>
                <w:b/>
                <w:sz w:val="31"/>
              </w:rPr>
            </w:pPr>
          </w:p>
        </w:tc>
      </w:tr>
      <w:tr w:rsidR="00992AA6" w:rsidRPr="00693B7C" w:rsidTr="00E95A4D">
        <w:trPr>
          <w:trHeight w:hRule="exact" w:val="477"/>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992AA6" w:rsidP="00DA439E">
            <w:pPr>
              <w:pStyle w:val="BodyText"/>
              <w:rPr>
                <w:sz w:val="20"/>
              </w:rPr>
            </w:pPr>
            <w:r w:rsidRPr="00693B7C">
              <w:rPr>
                <w:sz w:val="20"/>
              </w:rPr>
              <w:t>Land at fair value</w:t>
            </w:r>
          </w:p>
        </w:tc>
        <w:tc>
          <w:tcPr>
            <w:tcW w:w="1276" w:type="dxa"/>
            <w:tcBorders>
              <w:top w:val="dotted" w:sz="4" w:space="0" w:color="auto"/>
              <w:left w:val="dotted" w:sz="4" w:space="0" w:color="auto"/>
              <w:bottom w:val="single" w:sz="4" w:space="0" w:color="auto"/>
              <w:right w:val="dotted" w:sz="4" w:space="0" w:color="auto"/>
            </w:tcBorders>
            <w:shd w:val="clear" w:color="auto" w:fill="auto"/>
          </w:tcPr>
          <w:p w:rsidR="00992AA6" w:rsidRPr="00693B7C" w:rsidRDefault="00992AA6" w:rsidP="00DA439E">
            <w:pPr>
              <w:pStyle w:val="BodyText"/>
              <w:ind w:right="283"/>
              <w:jc w:val="right"/>
              <w:rPr>
                <w:sz w:val="20"/>
              </w:rPr>
            </w:pPr>
            <w:r w:rsidRPr="00693B7C">
              <w:rPr>
                <w:sz w:val="20"/>
              </w:rPr>
              <w:t>56 428</w:t>
            </w:r>
          </w:p>
        </w:tc>
      </w:tr>
      <w:tr w:rsidR="00992AA6" w:rsidRPr="00DA439E" w:rsidTr="00E95A4D">
        <w:trPr>
          <w:trHeight w:hRule="exact" w:val="297"/>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DA439E" w:rsidRDefault="00002DDD" w:rsidP="00DA439E">
            <w:pPr>
              <w:pStyle w:val="BodyText"/>
              <w:rPr>
                <w:b/>
              </w:rPr>
            </w:pPr>
            <w:r w:rsidRPr="00DA439E">
              <w:rPr>
                <w:b/>
              </w:rPr>
              <w:t>Total Land</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DA439E" w:rsidRDefault="00992AA6" w:rsidP="00DA439E">
            <w:pPr>
              <w:pStyle w:val="BodyText"/>
              <w:ind w:right="283"/>
              <w:jc w:val="right"/>
              <w:rPr>
                <w:b/>
                <w:sz w:val="20"/>
              </w:rPr>
            </w:pPr>
            <w:r w:rsidRPr="00DA439E">
              <w:rPr>
                <w:b/>
                <w:sz w:val="20"/>
              </w:rPr>
              <w:t>56 428</w:t>
            </w:r>
          </w:p>
        </w:tc>
      </w:tr>
      <w:tr w:rsidR="00002DDD" w:rsidRPr="00DA439E" w:rsidTr="00E95A4D">
        <w:trPr>
          <w:trHeight w:hRule="exact" w:val="563"/>
        </w:trPr>
        <w:tc>
          <w:tcPr>
            <w:tcW w:w="8505" w:type="dxa"/>
            <w:tcBorders>
              <w:top w:val="dotted" w:sz="4" w:space="0" w:color="auto"/>
              <w:left w:val="dotted" w:sz="4" w:space="0" w:color="auto"/>
              <w:bottom w:val="dotted" w:sz="4" w:space="0" w:color="auto"/>
              <w:right w:val="dotted" w:sz="4" w:space="0" w:color="auto"/>
            </w:tcBorders>
            <w:shd w:val="clear" w:color="auto" w:fill="auto"/>
          </w:tcPr>
          <w:p w:rsidR="00002DDD" w:rsidRPr="00DA439E" w:rsidRDefault="00002DDD" w:rsidP="00DA439E">
            <w:pPr>
              <w:pStyle w:val="BodyText"/>
              <w:rPr>
                <w:b/>
              </w:rPr>
            </w:pPr>
            <w:r w:rsidRPr="00DA439E">
              <w:rPr>
                <w:b/>
              </w:rPr>
              <w:t>Buildings</w:t>
            </w:r>
          </w:p>
        </w:tc>
        <w:tc>
          <w:tcPr>
            <w:tcW w:w="1276" w:type="dxa"/>
            <w:tcBorders>
              <w:top w:val="single" w:sz="4" w:space="0" w:color="auto"/>
              <w:left w:val="dotted" w:sz="4" w:space="0" w:color="auto"/>
              <w:bottom w:val="dotted" w:sz="4" w:space="0" w:color="auto"/>
              <w:right w:val="dotted" w:sz="4" w:space="0" w:color="auto"/>
            </w:tcBorders>
            <w:shd w:val="clear" w:color="auto" w:fill="auto"/>
          </w:tcPr>
          <w:p w:rsidR="00002DDD" w:rsidRPr="00DA439E" w:rsidRDefault="00002DDD" w:rsidP="00DA439E">
            <w:pPr>
              <w:pStyle w:val="BodyText"/>
              <w:ind w:right="283"/>
              <w:jc w:val="right"/>
              <w:rPr>
                <w:b/>
              </w:rPr>
            </w:pPr>
          </w:p>
        </w:tc>
      </w:tr>
      <w:tr w:rsidR="00992AA6" w:rsidRPr="00693B7C" w:rsidTr="000B6ABD">
        <w:trPr>
          <w:trHeight w:hRule="exact" w:val="423"/>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002DDD" w:rsidP="00DA439E">
            <w:pPr>
              <w:pStyle w:val="BodyText"/>
            </w:pPr>
            <w:r>
              <w:t>Buildings at net fair value</w:t>
            </w: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0B6ABD" w:rsidP="00DA439E">
            <w:pPr>
              <w:pStyle w:val="BodyText"/>
              <w:ind w:right="283"/>
              <w:jc w:val="right"/>
              <w:rPr>
                <w:sz w:val="20"/>
              </w:rPr>
            </w:pPr>
            <w:r>
              <w:rPr>
                <w:sz w:val="20"/>
              </w:rPr>
              <w:t>848 080</w:t>
            </w:r>
          </w:p>
        </w:tc>
      </w:tr>
      <w:tr w:rsidR="00002DDD" w:rsidRPr="00693B7C" w:rsidTr="00E95A4D">
        <w:trPr>
          <w:trHeight w:hRule="exact" w:val="429"/>
        </w:trPr>
        <w:tc>
          <w:tcPr>
            <w:tcW w:w="8505" w:type="dxa"/>
            <w:tcBorders>
              <w:top w:val="dotted" w:sz="4" w:space="0" w:color="auto"/>
              <w:left w:val="dotted" w:sz="4" w:space="0" w:color="auto"/>
              <w:bottom w:val="dotted" w:sz="4" w:space="0" w:color="auto"/>
              <w:right w:val="dotted" w:sz="4" w:space="0" w:color="auto"/>
            </w:tcBorders>
            <w:shd w:val="clear" w:color="auto" w:fill="auto"/>
          </w:tcPr>
          <w:p w:rsidR="00002DDD" w:rsidRDefault="00002DDD" w:rsidP="00DA439E">
            <w:pPr>
              <w:pStyle w:val="BodyText"/>
            </w:pPr>
            <w:r>
              <w:t>Less: Accumulated depreciation</w:t>
            </w:r>
          </w:p>
        </w:tc>
        <w:tc>
          <w:tcPr>
            <w:tcW w:w="1276" w:type="dxa"/>
            <w:tcBorders>
              <w:top w:val="dotted" w:sz="4" w:space="0" w:color="auto"/>
              <w:left w:val="dotted" w:sz="4" w:space="0" w:color="auto"/>
              <w:bottom w:val="single" w:sz="4" w:space="0" w:color="auto"/>
              <w:right w:val="dotted" w:sz="4" w:space="0" w:color="auto"/>
            </w:tcBorders>
            <w:shd w:val="clear" w:color="auto" w:fill="auto"/>
          </w:tcPr>
          <w:p w:rsidR="00002DDD" w:rsidRPr="00693B7C" w:rsidRDefault="00002DDD" w:rsidP="00DA439E">
            <w:pPr>
              <w:pStyle w:val="BodyText"/>
              <w:ind w:right="283"/>
              <w:jc w:val="right"/>
              <w:rPr>
                <w:sz w:val="20"/>
              </w:rPr>
            </w:pPr>
            <w:r w:rsidRPr="00693B7C">
              <w:rPr>
                <w:sz w:val="20"/>
              </w:rPr>
              <w:t>(72)</w:t>
            </w:r>
          </w:p>
        </w:tc>
      </w:tr>
      <w:tr w:rsidR="00002DDD" w:rsidRPr="00DA439E" w:rsidTr="00E95A4D">
        <w:trPr>
          <w:trHeight w:hRule="exact" w:val="421"/>
        </w:trPr>
        <w:tc>
          <w:tcPr>
            <w:tcW w:w="8505" w:type="dxa"/>
            <w:tcBorders>
              <w:top w:val="dotted" w:sz="4" w:space="0" w:color="auto"/>
              <w:left w:val="dotted" w:sz="4" w:space="0" w:color="auto"/>
              <w:bottom w:val="dotted" w:sz="4" w:space="0" w:color="auto"/>
              <w:right w:val="dotted" w:sz="4" w:space="0" w:color="auto"/>
            </w:tcBorders>
            <w:shd w:val="clear" w:color="auto" w:fill="auto"/>
          </w:tcPr>
          <w:p w:rsidR="00002DDD" w:rsidRPr="00DA439E" w:rsidRDefault="00002DDD" w:rsidP="00DA439E">
            <w:pPr>
              <w:pStyle w:val="BodyText"/>
              <w:rPr>
                <w:b/>
              </w:rPr>
            </w:pPr>
            <w:r w:rsidRPr="00DA439E">
              <w:rPr>
                <w:b/>
              </w:rPr>
              <w:t>Total</w:t>
            </w:r>
          </w:p>
        </w:tc>
        <w:tc>
          <w:tcPr>
            <w:tcW w:w="1276" w:type="dxa"/>
            <w:tcBorders>
              <w:top w:val="single" w:sz="4" w:space="0" w:color="auto"/>
              <w:left w:val="dotted" w:sz="4" w:space="0" w:color="auto"/>
              <w:bottom w:val="dotted" w:sz="4" w:space="0" w:color="auto"/>
              <w:right w:val="dotted" w:sz="4" w:space="0" w:color="auto"/>
            </w:tcBorders>
            <w:shd w:val="clear" w:color="auto" w:fill="auto"/>
          </w:tcPr>
          <w:p w:rsidR="00002DDD" w:rsidRPr="00DA439E" w:rsidRDefault="00E95A4D" w:rsidP="00DA439E">
            <w:pPr>
              <w:pStyle w:val="BodyText"/>
              <w:ind w:right="283"/>
              <w:jc w:val="right"/>
              <w:rPr>
                <w:b/>
                <w:sz w:val="20"/>
              </w:rPr>
            </w:pPr>
            <w:r>
              <w:rPr>
                <w:b/>
                <w:sz w:val="20"/>
              </w:rPr>
              <w:t>848 008</w:t>
            </w:r>
          </w:p>
        </w:tc>
      </w:tr>
      <w:tr w:rsidR="00DA439E" w:rsidRPr="00693B7C" w:rsidTr="000B6ABD">
        <w:trPr>
          <w:trHeight w:hRule="exact" w:val="55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Default="00DA439E" w:rsidP="00DA439E">
            <w:pPr>
              <w:pStyle w:val="BodyText"/>
            </w:pPr>
            <w:r>
              <w:t>Leasehold Improvements at fair value</w:t>
            </w: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DA439E" w:rsidRPr="00693B7C" w:rsidRDefault="00DA439E" w:rsidP="00DA439E">
            <w:pPr>
              <w:pStyle w:val="BodyText"/>
              <w:ind w:right="283"/>
              <w:jc w:val="right"/>
              <w:rPr>
                <w:sz w:val="20"/>
              </w:rPr>
            </w:pPr>
            <w:r>
              <w:rPr>
                <w:sz w:val="20"/>
              </w:rPr>
              <w:t>23 160</w:t>
            </w:r>
          </w:p>
        </w:tc>
      </w:tr>
      <w:tr w:rsidR="00DA439E" w:rsidRPr="00693B7C" w:rsidTr="00E95A4D">
        <w:trPr>
          <w:trHeight w:hRule="exact" w:val="55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Default="00DA439E" w:rsidP="00DA439E">
            <w:pPr>
              <w:pStyle w:val="BodyText"/>
            </w:pPr>
            <w:r>
              <w:t>Less: Accumulated depreciation</w:t>
            </w:r>
          </w:p>
        </w:tc>
        <w:tc>
          <w:tcPr>
            <w:tcW w:w="1276" w:type="dxa"/>
            <w:tcBorders>
              <w:top w:val="dotted" w:sz="4" w:space="0" w:color="auto"/>
              <w:left w:val="dotted" w:sz="4" w:space="0" w:color="auto"/>
              <w:bottom w:val="single" w:sz="4" w:space="0" w:color="auto"/>
              <w:right w:val="dotted" w:sz="4" w:space="0" w:color="auto"/>
            </w:tcBorders>
            <w:shd w:val="clear" w:color="auto" w:fill="auto"/>
          </w:tcPr>
          <w:p w:rsidR="00DA439E" w:rsidRPr="00693B7C" w:rsidRDefault="00DA439E" w:rsidP="00DA439E">
            <w:pPr>
              <w:pStyle w:val="BodyText"/>
              <w:ind w:right="283"/>
              <w:jc w:val="right"/>
              <w:rPr>
                <w:sz w:val="20"/>
              </w:rPr>
            </w:pPr>
            <w:r>
              <w:rPr>
                <w:sz w:val="20"/>
              </w:rPr>
              <w:t>(9 118)</w:t>
            </w:r>
          </w:p>
        </w:tc>
      </w:tr>
      <w:tr w:rsidR="00E95A4D" w:rsidRPr="00DA439E" w:rsidTr="00E95A4D">
        <w:trPr>
          <w:trHeight w:hRule="exact" w:val="55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E95A4D" w:rsidRPr="00DA439E" w:rsidRDefault="00E95A4D" w:rsidP="00DA439E">
            <w:pPr>
              <w:pStyle w:val="BodyText"/>
              <w:rPr>
                <w:b/>
              </w:rPr>
            </w:pPr>
            <w:r>
              <w:rPr>
                <w:b/>
              </w:rPr>
              <w:t>Total</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E95A4D" w:rsidRPr="00DA439E" w:rsidRDefault="00E95A4D" w:rsidP="00DA439E">
            <w:pPr>
              <w:pStyle w:val="BodyText"/>
              <w:ind w:right="283"/>
              <w:jc w:val="right"/>
              <w:rPr>
                <w:b/>
                <w:sz w:val="20"/>
              </w:rPr>
            </w:pPr>
            <w:r>
              <w:rPr>
                <w:b/>
                <w:sz w:val="20"/>
              </w:rPr>
              <w:t>14 042</w:t>
            </w:r>
          </w:p>
        </w:tc>
      </w:tr>
      <w:tr w:rsidR="00992AA6" w:rsidRPr="00DA439E" w:rsidTr="00E95A4D">
        <w:trPr>
          <w:trHeight w:hRule="exact" w:val="55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DA439E" w:rsidRDefault="000B6ABD" w:rsidP="00DA439E">
            <w:pPr>
              <w:pStyle w:val="BodyText"/>
              <w:rPr>
                <w:b/>
              </w:rPr>
            </w:pPr>
            <w:r w:rsidRPr="00DA439E">
              <w:rPr>
                <w:b/>
              </w:rPr>
              <w:t>Total buildings</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DA439E" w:rsidRDefault="00992AA6" w:rsidP="00DA439E">
            <w:pPr>
              <w:pStyle w:val="BodyText"/>
              <w:ind w:right="283"/>
              <w:jc w:val="right"/>
              <w:rPr>
                <w:b/>
                <w:sz w:val="20"/>
              </w:rPr>
            </w:pPr>
            <w:r w:rsidRPr="00DA439E">
              <w:rPr>
                <w:b/>
                <w:sz w:val="20"/>
              </w:rPr>
              <w:t>862 050</w:t>
            </w:r>
          </w:p>
        </w:tc>
      </w:tr>
      <w:tr w:rsidR="00DA439E" w:rsidRPr="00DA439E" w:rsidTr="00E95A4D">
        <w:trPr>
          <w:trHeight w:hRule="exact" w:val="441"/>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Pr="00DA439E" w:rsidRDefault="00DA439E" w:rsidP="00DA439E">
            <w:pPr>
              <w:pStyle w:val="BodyText"/>
              <w:rPr>
                <w:b/>
              </w:rPr>
            </w:pPr>
            <w:r w:rsidRPr="00DA439E">
              <w:rPr>
                <w:b/>
              </w:rPr>
              <w:t>Plant, equipment and vehicles</w:t>
            </w:r>
          </w:p>
        </w:tc>
        <w:tc>
          <w:tcPr>
            <w:tcW w:w="1276" w:type="dxa"/>
            <w:tcBorders>
              <w:top w:val="single" w:sz="4" w:space="0" w:color="auto"/>
              <w:left w:val="dotted" w:sz="4" w:space="0" w:color="auto"/>
              <w:bottom w:val="dotted" w:sz="4" w:space="0" w:color="auto"/>
              <w:right w:val="dotted" w:sz="4" w:space="0" w:color="auto"/>
            </w:tcBorders>
            <w:shd w:val="clear" w:color="auto" w:fill="auto"/>
          </w:tcPr>
          <w:p w:rsidR="00DA439E" w:rsidRPr="00DA439E" w:rsidRDefault="00DA439E" w:rsidP="00DA439E">
            <w:pPr>
              <w:pStyle w:val="BodyText"/>
              <w:ind w:right="283"/>
              <w:jc w:val="right"/>
              <w:rPr>
                <w:b/>
              </w:rPr>
            </w:pPr>
          </w:p>
        </w:tc>
      </w:tr>
      <w:tr w:rsidR="00DA439E" w:rsidRPr="00693B7C" w:rsidTr="00DA439E">
        <w:trPr>
          <w:trHeight w:hRule="exact" w:val="419"/>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Pr="00693B7C" w:rsidRDefault="00DA439E" w:rsidP="00DA439E">
            <w:pPr>
              <w:pStyle w:val="BodyText"/>
            </w:pPr>
            <w:r>
              <w:t>At cost</w:t>
            </w: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DA439E" w:rsidRPr="00693B7C" w:rsidRDefault="00DA439E" w:rsidP="00DA439E">
            <w:pPr>
              <w:pStyle w:val="BodyText"/>
              <w:ind w:right="283"/>
              <w:jc w:val="right"/>
              <w:rPr>
                <w:sz w:val="20"/>
              </w:rPr>
            </w:pPr>
            <w:r w:rsidRPr="00693B7C">
              <w:rPr>
                <w:sz w:val="20"/>
              </w:rPr>
              <w:t>97 179</w:t>
            </w:r>
          </w:p>
          <w:p w:rsidR="00DA439E" w:rsidRPr="00693B7C" w:rsidRDefault="00DA439E" w:rsidP="00DA439E">
            <w:pPr>
              <w:pStyle w:val="BodyText"/>
              <w:ind w:right="283"/>
              <w:jc w:val="right"/>
            </w:pPr>
          </w:p>
        </w:tc>
      </w:tr>
      <w:tr w:rsidR="00992AA6" w:rsidRPr="00693B7C" w:rsidTr="00E95A4D">
        <w:trPr>
          <w:trHeight w:hRule="exact" w:val="412"/>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DA439E" w:rsidP="00DA439E">
            <w:pPr>
              <w:pStyle w:val="BodyText"/>
            </w:pPr>
            <w:r>
              <w:t>Less Accumulated depreciation</w:t>
            </w:r>
          </w:p>
        </w:tc>
        <w:tc>
          <w:tcPr>
            <w:tcW w:w="1276" w:type="dxa"/>
            <w:tcBorders>
              <w:top w:val="dotted" w:sz="4" w:space="0" w:color="auto"/>
              <w:left w:val="dotted" w:sz="4" w:space="0" w:color="auto"/>
              <w:bottom w:val="single" w:sz="4" w:space="0" w:color="auto"/>
              <w:right w:val="dotted" w:sz="4" w:space="0" w:color="auto"/>
            </w:tcBorders>
            <w:shd w:val="clear" w:color="auto" w:fill="auto"/>
          </w:tcPr>
          <w:p w:rsidR="00992AA6" w:rsidRPr="00693B7C" w:rsidRDefault="00DA439E" w:rsidP="00DA439E">
            <w:pPr>
              <w:pStyle w:val="BodyText"/>
              <w:ind w:right="283"/>
              <w:jc w:val="right"/>
              <w:rPr>
                <w:sz w:val="20"/>
              </w:rPr>
            </w:pPr>
            <w:r w:rsidRPr="00693B7C">
              <w:rPr>
                <w:sz w:val="20"/>
              </w:rPr>
              <w:t xml:space="preserve"> </w:t>
            </w:r>
            <w:r w:rsidR="00992AA6" w:rsidRPr="00693B7C">
              <w:rPr>
                <w:sz w:val="20"/>
              </w:rPr>
              <w:t>(39 287)</w:t>
            </w:r>
          </w:p>
        </w:tc>
      </w:tr>
      <w:tr w:rsidR="00992AA6" w:rsidRPr="00DA439E" w:rsidTr="00E95A4D">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DA439E" w:rsidRDefault="00DA439E" w:rsidP="00DA439E">
            <w:pPr>
              <w:pStyle w:val="BodyText"/>
              <w:rPr>
                <w:b/>
              </w:rPr>
            </w:pPr>
            <w:r w:rsidRPr="00DA439E">
              <w:rPr>
                <w:b/>
              </w:rPr>
              <w:t>Total plant, equipment and vehicles</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DA439E" w:rsidRDefault="00992AA6" w:rsidP="00DA439E">
            <w:pPr>
              <w:pStyle w:val="BodyText"/>
              <w:ind w:right="283"/>
              <w:jc w:val="right"/>
              <w:rPr>
                <w:b/>
                <w:sz w:val="20"/>
              </w:rPr>
            </w:pPr>
            <w:r w:rsidRPr="00DA439E">
              <w:rPr>
                <w:b/>
                <w:sz w:val="20"/>
              </w:rPr>
              <w:t>57 892</w:t>
            </w:r>
          </w:p>
        </w:tc>
      </w:tr>
      <w:tr w:rsidR="00DA439E" w:rsidRPr="00DA439E" w:rsidTr="00E95A4D">
        <w:trPr>
          <w:trHeight w:hRule="exact" w:val="407"/>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Pr="00DA439E" w:rsidRDefault="00DA439E" w:rsidP="00DA439E">
            <w:pPr>
              <w:pStyle w:val="BodyText"/>
              <w:rPr>
                <w:b/>
              </w:rPr>
            </w:pPr>
            <w:r w:rsidRPr="00DA439E">
              <w:rPr>
                <w:b/>
              </w:rPr>
              <w:t>Work in progress</w:t>
            </w:r>
          </w:p>
        </w:tc>
        <w:tc>
          <w:tcPr>
            <w:tcW w:w="1276" w:type="dxa"/>
            <w:tcBorders>
              <w:top w:val="single" w:sz="4" w:space="0" w:color="auto"/>
              <w:left w:val="dotted" w:sz="4" w:space="0" w:color="auto"/>
              <w:bottom w:val="dotted" w:sz="4" w:space="0" w:color="auto"/>
              <w:right w:val="dotted" w:sz="4" w:space="0" w:color="auto"/>
            </w:tcBorders>
            <w:shd w:val="clear" w:color="auto" w:fill="auto"/>
          </w:tcPr>
          <w:p w:rsidR="00DA439E" w:rsidRPr="00DA439E" w:rsidRDefault="00DA439E" w:rsidP="00DA439E">
            <w:pPr>
              <w:pStyle w:val="BodyText"/>
              <w:ind w:right="283"/>
              <w:jc w:val="right"/>
              <w:rPr>
                <w:b/>
                <w:sz w:val="31"/>
              </w:rPr>
            </w:pPr>
          </w:p>
        </w:tc>
      </w:tr>
      <w:tr w:rsidR="00DA439E" w:rsidRPr="00693B7C" w:rsidTr="00DA439E">
        <w:trPr>
          <w:trHeight w:hRule="exact" w:val="413"/>
        </w:trPr>
        <w:tc>
          <w:tcPr>
            <w:tcW w:w="8505" w:type="dxa"/>
            <w:tcBorders>
              <w:top w:val="dotted" w:sz="4" w:space="0" w:color="auto"/>
              <w:left w:val="dotted" w:sz="4" w:space="0" w:color="auto"/>
              <w:bottom w:val="dotted" w:sz="4" w:space="0" w:color="auto"/>
              <w:right w:val="dotted" w:sz="4" w:space="0" w:color="auto"/>
            </w:tcBorders>
            <w:shd w:val="clear" w:color="auto" w:fill="auto"/>
          </w:tcPr>
          <w:p w:rsidR="00DA439E" w:rsidRDefault="00DA439E" w:rsidP="00DA439E">
            <w:pPr>
              <w:pStyle w:val="BodyText"/>
            </w:pPr>
            <w:r>
              <w:t>Buildings</w:t>
            </w:r>
          </w:p>
        </w:tc>
        <w:tc>
          <w:tcPr>
            <w:tcW w:w="1276" w:type="dxa"/>
            <w:tcBorders>
              <w:top w:val="dotted" w:sz="4" w:space="0" w:color="auto"/>
              <w:left w:val="dotted" w:sz="4" w:space="0" w:color="auto"/>
              <w:bottom w:val="dotted" w:sz="4" w:space="0" w:color="auto"/>
              <w:right w:val="dotted" w:sz="4" w:space="0" w:color="auto"/>
            </w:tcBorders>
            <w:shd w:val="clear" w:color="auto" w:fill="auto"/>
          </w:tcPr>
          <w:p w:rsidR="00DA439E" w:rsidRPr="00693B7C" w:rsidRDefault="00DA439E" w:rsidP="00DA439E">
            <w:pPr>
              <w:pStyle w:val="BodyText"/>
              <w:ind w:right="283"/>
              <w:jc w:val="right"/>
              <w:rPr>
                <w:sz w:val="20"/>
              </w:rPr>
            </w:pPr>
            <w:r w:rsidRPr="00693B7C">
              <w:rPr>
                <w:sz w:val="20"/>
              </w:rPr>
              <w:t>3 438</w:t>
            </w:r>
          </w:p>
          <w:p w:rsidR="00DA439E" w:rsidRPr="00693B7C" w:rsidRDefault="00DA439E" w:rsidP="00DA439E">
            <w:pPr>
              <w:pStyle w:val="BodyText"/>
              <w:ind w:right="283"/>
              <w:jc w:val="right"/>
              <w:rPr>
                <w:sz w:val="20"/>
              </w:rPr>
            </w:pPr>
          </w:p>
        </w:tc>
      </w:tr>
      <w:tr w:rsidR="00992AA6" w:rsidRPr="00693B7C" w:rsidTr="00E95A4D">
        <w:trPr>
          <w:trHeight w:hRule="exact" w:val="4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DA439E" w:rsidP="00DA439E">
            <w:pPr>
              <w:pStyle w:val="BodyText"/>
            </w:pPr>
            <w:r>
              <w:t>Plant, equipment and vehicles</w:t>
            </w:r>
          </w:p>
        </w:tc>
        <w:tc>
          <w:tcPr>
            <w:tcW w:w="1276" w:type="dxa"/>
            <w:tcBorders>
              <w:top w:val="dotted" w:sz="4" w:space="0" w:color="auto"/>
              <w:left w:val="dotted" w:sz="4" w:space="0" w:color="auto"/>
              <w:bottom w:val="single" w:sz="4" w:space="0" w:color="auto"/>
              <w:right w:val="dotted" w:sz="4" w:space="0" w:color="auto"/>
            </w:tcBorders>
            <w:shd w:val="clear" w:color="auto" w:fill="auto"/>
          </w:tcPr>
          <w:p w:rsidR="00992AA6" w:rsidRPr="00693B7C" w:rsidRDefault="00992AA6" w:rsidP="00DA439E">
            <w:pPr>
              <w:pStyle w:val="BodyText"/>
              <w:ind w:right="283"/>
              <w:jc w:val="right"/>
              <w:rPr>
                <w:sz w:val="20"/>
              </w:rPr>
            </w:pPr>
            <w:r w:rsidRPr="00693B7C">
              <w:rPr>
                <w:sz w:val="20"/>
              </w:rPr>
              <w:t>2 414</w:t>
            </w:r>
          </w:p>
        </w:tc>
      </w:tr>
      <w:tr w:rsidR="00992AA6" w:rsidRPr="00DA439E" w:rsidTr="00E95A4D">
        <w:trPr>
          <w:trHeight w:hRule="exact" w:val="320"/>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DA439E" w:rsidRDefault="00DA439E" w:rsidP="00DA439E">
            <w:pPr>
              <w:pStyle w:val="BodyText"/>
              <w:rPr>
                <w:b/>
              </w:rPr>
            </w:pPr>
            <w:r w:rsidRPr="00DA439E">
              <w:rPr>
                <w:b/>
              </w:rPr>
              <w:t xml:space="preserve">Total work in progress </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DA439E" w:rsidRDefault="00992AA6" w:rsidP="00DA439E">
            <w:pPr>
              <w:pStyle w:val="BodyText"/>
              <w:ind w:right="283"/>
              <w:jc w:val="right"/>
              <w:rPr>
                <w:b/>
                <w:sz w:val="20"/>
              </w:rPr>
            </w:pPr>
            <w:r w:rsidRPr="00DA439E">
              <w:rPr>
                <w:b/>
                <w:sz w:val="20"/>
              </w:rPr>
              <w:t>5 852</w:t>
            </w:r>
          </w:p>
        </w:tc>
      </w:tr>
      <w:tr w:rsidR="00992AA6" w:rsidRPr="00693B7C" w:rsidTr="00E95A4D">
        <w:trPr>
          <w:trHeight w:hRule="exact" w:val="324"/>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693B7C" w:rsidRDefault="00992AA6" w:rsidP="00DA439E">
            <w:pPr>
              <w:pStyle w:val="BodyText"/>
            </w:pP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693B7C" w:rsidRDefault="00992AA6" w:rsidP="00DA439E">
            <w:pPr>
              <w:pStyle w:val="BodyText"/>
              <w:ind w:right="283"/>
              <w:jc w:val="right"/>
            </w:pPr>
          </w:p>
        </w:tc>
      </w:tr>
      <w:tr w:rsidR="00992AA6" w:rsidRPr="00DA439E" w:rsidTr="00E95A4D">
        <w:trPr>
          <w:trHeight w:hRule="exact" w:val="316"/>
        </w:trPr>
        <w:tc>
          <w:tcPr>
            <w:tcW w:w="8505" w:type="dxa"/>
            <w:tcBorders>
              <w:top w:val="dotted" w:sz="4" w:space="0" w:color="auto"/>
              <w:left w:val="dotted" w:sz="4" w:space="0" w:color="auto"/>
              <w:bottom w:val="dotted" w:sz="4" w:space="0" w:color="auto"/>
              <w:right w:val="dotted" w:sz="4" w:space="0" w:color="auto"/>
            </w:tcBorders>
            <w:shd w:val="clear" w:color="auto" w:fill="auto"/>
          </w:tcPr>
          <w:p w:rsidR="00992AA6" w:rsidRPr="00DA439E" w:rsidRDefault="00DA439E" w:rsidP="00DA439E">
            <w:pPr>
              <w:pStyle w:val="BodyText"/>
              <w:rPr>
                <w:b/>
              </w:rPr>
            </w:pPr>
            <w:r w:rsidRPr="00DA439E">
              <w:rPr>
                <w:b/>
              </w:rPr>
              <w:t>Total property, plant and equipment</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992AA6" w:rsidRPr="00DA439E" w:rsidRDefault="00992AA6" w:rsidP="00DA439E">
            <w:pPr>
              <w:pStyle w:val="BodyText"/>
              <w:ind w:right="283"/>
              <w:jc w:val="right"/>
              <w:rPr>
                <w:b/>
                <w:sz w:val="20"/>
              </w:rPr>
            </w:pPr>
            <w:r w:rsidRPr="00DA439E">
              <w:rPr>
                <w:b/>
                <w:sz w:val="20"/>
              </w:rPr>
              <w:t>982 222</w:t>
            </w:r>
          </w:p>
        </w:tc>
      </w:tr>
    </w:tbl>
    <w:p w:rsidR="00D04348" w:rsidRDefault="00D04348" w:rsidP="00992AA6">
      <w:pPr>
        <w:pStyle w:val="BodyText"/>
      </w:pPr>
    </w:p>
    <w:p w:rsidR="00D04348" w:rsidRDefault="00D04348">
      <w:pPr>
        <w:rPr>
          <w:rFonts w:ascii="Gill Sans MT" w:eastAsia="GillSans-Light" w:hAnsi="Gill Sans MT" w:cs="GillSans-Light"/>
          <w:lang w:val="en-US"/>
        </w:rPr>
      </w:pPr>
      <w:r>
        <w:br w:type="page"/>
      </w:r>
    </w:p>
    <w:p w:rsidR="00992AA6" w:rsidRPr="00D04348" w:rsidRDefault="00D04348" w:rsidP="00621B34">
      <w:pPr>
        <w:pStyle w:val="BodyText"/>
        <w:numPr>
          <w:ilvl w:val="0"/>
          <w:numId w:val="52"/>
        </w:numPr>
        <w:ind w:left="567" w:hanging="567"/>
        <w:rPr>
          <w:b/>
        </w:rPr>
      </w:pPr>
      <w:r w:rsidRPr="00D04348">
        <w:rPr>
          <w:b/>
        </w:rPr>
        <w:lastRenderedPageBreak/>
        <w:t>Reconciliation of movements (including fair value levels)</w:t>
      </w:r>
    </w:p>
    <w:p w:rsidR="00BD3B2F" w:rsidRDefault="00D04348" w:rsidP="00D04348">
      <w:pPr>
        <w:pStyle w:val="BodyText"/>
      </w:pPr>
      <w:r w:rsidRPr="00D04348">
        <w:t>Reconciliations of the carrying amounts of each class of property, plant and equipment at the beginning</w:t>
      </w:r>
      <w:r>
        <w:t xml:space="preserve"> </w:t>
      </w:r>
      <w:r w:rsidRPr="00D04348">
        <w:t>and end of the current and previous financial year are set out below. Carrying value is defined as the net</w:t>
      </w:r>
      <w:r>
        <w:t xml:space="preserve"> amount after deducting accumulated depreciation and accumulated impairment losses.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3828"/>
        <w:gridCol w:w="1275"/>
        <w:gridCol w:w="1134"/>
        <w:gridCol w:w="1276"/>
        <w:gridCol w:w="1134"/>
        <w:gridCol w:w="1276"/>
      </w:tblGrid>
      <w:tr w:rsidR="00D04348" w:rsidRPr="00E43247" w:rsidTr="00E43247">
        <w:trPr>
          <w:trHeight w:hRule="exact" w:val="1040"/>
        </w:trPr>
        <w:tc>
          <w:tcPr>
            <w:tcW w:w="3828" w:type="dxa"/>
            <w:tcBorders>
              <w:top w:val="single" w:sz="4" w:space="0" w:color="004D8F"/>
              <w:bottom w:val="single" w:sz="4" w:space="0" w:color="004D8F"/>
            </w:tcBorders>
            <w:shd w:val="clear" w:color="auto" w:fill="auto"/>
          </w:tcPr>
          <w:p w:rsidR="00D04348" w:rsidRPr="00E43247" w:rsidRDefault="00D04348" w:rsidP="00BB38BD">
            <w:pPr>
              <w:pStyle w:val="TableParagraph"/>
              <w:rPr>
                <w:rFonts w:ascii="Gill Sans MT" w:hAnsi="Gill Sans MT"/>
                <w:b/>
                <w:sz w:val="24"/>
              </w:rPr>
            </w:pPr>
          </w:p>
          <w:p w:rsidR="00D04348" w:rsidRPr="00E43247" w:rsidRDefault="00D04348" w:rsidP="00BB38BD">
            <w:pPr>
              <w:pStyle w:val="TableParagraph"/>
              <w:rPr>
                <w:rFonts w:ascii="Gill Sans MT" w:hAnsi="Gill Sans MT"/>
                <w:b/>
                <w:sz w:val="24"/>
              </w:rPr>
            </w:pPr>
          </w:p>
          <w:p w:rsidR="00D04348" w:rsidRPr="00E43247" w:rsidRDefault="00D04348" w:rsidP="00BB38BD">
            <w:pPr>
              <w:pStyle w:val="TableParagraph"/>
              <w:spacing w:before="215"/>
              <w:ind w:left="80"/>
              <w:rPr>
                <w:rFonts w:ascii="Gill Sans MT" w:hAnsi="Gill Sans MT"/>
                <w:b/>
                <w:sz w:val="20"/>
              </w:rPr>
            </w:pPr>
            <w:r w:rsidRPr="00E43247">
              <w:rPr>
                <w:rFonts w:ascii="Gill Sans MT" w:hAnsi="Gill Sans MT"/>
                <w:b/>
                <w:sz w:val="20"/>
              </w:rPr>
              <w:t>2016</w:t>
            </w:r>
          </w:p>
        </w:tc>
        <w:tc>
          <w:tcPr>
            <w:tcW w:w="1275"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2"/>
              <w:rPr>
                <w:rFonts w:ascii="Gill Sans MT" w:hAnsi="Gill Sans MT"/>
                <w:b/>
                <w:sz w:val="25"/>
              </w:rPr>
            </w:pPr>
          </w:p>
          <w:p w:rsidR="00D04348" w:rsidRPr="00E43247" w:rsidRDefault="00D04348" w:rsidP="00BB38BD">
            <w:pPr>
              <w:pStyle w:val="TableParagraph"/>
              <w:ind w:left="242" w:right="259" w:firstLine="95"/>
              <w:rPr>
                <w:rFonts w:ascii="Gill Sans MT" w:hAnsi="Gill Sans MT"/>
                <w:b/>
                <w:sz w:val="20"/>
              </w:rPr>
            </w:pPr>
            <w:r w:rsidRPr="00E43247">
              <w:rPr>
                <w:rFonts w:ascii="Gill Sans MT" w:hAnsi="Gill Sans MT"/>
                <w:b/>
                <w:sz w:val="20"/>
              </w:rPr>
              <w:t>Land Level 2</w:t>
            </w:r>
          </w:p>
          <w:p w:rsidR="00D04348" w:rsidRPr="00E43247" w:rsidRDefault="00D04348" w:rsidP="00BB38BD">
            <w:pPr>
              <w:pStyle w:val="TableParagraph"/>
              <w:spacing w:before="1"/>
              <w:ind w:left="307"/>
              <w:rPr>
                <w:rFonts w:ascii="Gill Sans MT" w:hAnsi="Gill Sans MT"/>
                <w:b/>
                <w:sz w:val="20"/>
              </w:rPr>
            </w:pPr>
            <w:r w:rsidRPr="00E43247">
              <w:rPr>
                <w:rFonts w:ascii="Gill Sans MT" w:hAnsi="Gill Sans MT"/>
                <w:b/>
                <w:sz w:val="20"/>
              </w:rPr>
              <w:t>$’000</w:t>
            </w:r>
          </w:p>
        </w:tc>
        <w:tc>
          <w:tcPr>
            <w:tcW w:w="1134"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2"/>
              <w:rPr>
                <w:rFonts w:ascii="Gill Sans MT" w:hAnsi="Gill Sans MT"/>
                <w:b/>
                <w:sz w:val="25"/>
              </w:rPr>
            </w:pPr>
          </w:p>
          <w:p w:rsidR="00D04348" w:rsidRPr="00E43247" w:rsidRDefault="00D04348" w:rsidP="00BB38BD">
            <w:pPr>
              <w:pStyle w:val="TableParagraph"/>
              <w:ind w:left="112" w:right="143"/>
              <w:jc w:val="center"/>
              <w:rPr>
                <w:rFonts w:ascii="Gill Sans MT" w:hAnsi="Gill Sans MT"/>
                <w:b/>
                <w:sz w:val="20"/>
              </w:rPr>
            </w:pPr>
            <w:r w:rsidRPr="00E43247">
              <w:rPr>
                <w:rFonts w:ascii="Gill Sans MT" w:hAnsi="Gill Sans MT"/>
                <w:b/>
                <w:sz w:val="20"/>
              </w:rPr>
              <w:t>Buildings Level 3</w:t>
            </w:r>
          </w:p>
          <w:p w:rsidR="00D04348" w:rsidRPr="00E43247" w:rsidRDefault="00D04348" w:rsidP="00BB38BD">
            <w:pPr>
              <w:pStyle w:val="TableParagraph"/>
              <w:spacing w:before="1"/>
              <w:ind w:left="112" w:right="135"/>
              <w:jc w:val="center"/>
              <w:rPr>
                <w:rFonts w:ascii="Gill Sans MT" w:hAnsi="Gill Sans MT"/>
                <w:b/>
                <w:sz w:val="20"/>
              </w:rPr>
            </w:pPr>
            <w:r w:rsidRPr="00E43247">
              <w:rPr>
                <w:rFonts w:ascii="Gill Sans MT" w:hAnsi="Gill Sans MT"/>
                <w:b/>
                <w:sz w:val="20"/>
              </w:rPr>
              <w:t>$’000</w:t>
            </w:r>
          </w:p>
        </w:tc>
        <w:tc>
          <w:tcPr>
            <w:tcW w:w="1276"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51"/>
              <w:ind w:left="90" w:right="121" w:hanging="1"/>
              <w:jc w:val="center"/>
              <w:rPr>
                <w:rFonts w:ascii="Gill Sans MT" w:hAnsi="Gill Sans MT"/>
                <w:b/>
                <w:sz w:val="20"/>
              </w:rPr>
            </w:pPr>
            <w:r w:rsidRPr="00E43247">
              <w:rPr>
                <w:rFonts w:ascii="Gill Sans MT" w:hAnsi="Gill Sans MT"/>
                <w:b/>
                <w:sz w:val="20"/>
              </w:rPr>
              <w:t>Plant equipment &amp; vehicles</w:t>
            </w:r>
          </w:p>
          <w:p w:rsidR="00D04348" w:rsidRPr="00E43247" w:rsidRDefault="00D04348" w:rsidP="00BB38BD">
            <w:pPr>
              <w:pStyle w:val="TableParagraph"/>
              <w:spacing w:before="1"/>
              <w:ind w:left="75" w:right="98"/>
              <w:jc w:val="center"/>
              <w:rPr>
                <w:rFonts w:ascii="Gill Sans MT" w:hAnsi="Gill Sans MT"/>
                <w:b/>
                <w:sz w:val="20"/>
              </w:rPr>
            </w:pPr>
            <w:r w:rsidRPr="00E43247">
              <w:rPr>
                <w:rFonts w:ascii="Gill Sans MT" w:hAnsi="Gill Sans MT"/>
                <w:b/>
                <w:sz w:val="20"/>
              </w:rPr>
              <w:t>$’000</w:t>
            </w:r>
          </w:p>
        </w:tc>
        <w:tc>
          <w:tcPr>
            <w:tcW w:w="1134"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2"/>
              <w:rPr>
                <w:rFonts w:ascii="Gill Sans MT" w:hAnsi="Gill Sans MT"/>
                <w:b/>
                <w:sz w:val="25"/>
              </w:rPr>
            </w:pPr>
          </w:p>
          <w:p w:rsidR="00D04348" w:rsidRPr="00E43247" w:rsidRDefault="00D04348" w:rsidP="00BB38BD">
            <w:pPr>
              <w:pStyle w:val="TableParagraph"/>
              <w:ind w:left="106" w:right="137" w:hanging="1"/>
              <w:jc w:val="center"/>
              <w:rPr>
                <w:rFonts w:ascii="Gill Sans MT" w:hAnsi="Gill Sans MT"/>
                <w:b/>
                <w:sz w:val="20"/>
              </w:rPr>
            </w:pPr>
            <w:r w:rsidRPr="00E43247">
              <w:rPr>
                <w:rFonts w:ascii="Gill Sans MT" w:hAnsi="Gill Sans MT"/>
                <w:b/>
                <w:sz w:val="20"/>
              </w:rPr>
              <w:t>Work in progress</w:t>
            </w:r>
          </w:p>
          <w:p w:rsidR="00D04348" w:rsidRPr="00E43247" w:rsidRDefault="00D04348" w:rsidP="00BB38BD">
            <w:pPr>
              <w:pStyle w:val="TableParagraph"/>
              <w:spacing w:before="1"/>
              <w:ind w:left="237" w:right="260"/>
              <w:jc w:val="center"/>
              <w:rPr>
                <w:rFonts w:ascii="Gill Sans MT" w:hAnsi="Gill Sans MT"/>
                <w:b/>
                <w:sz w:val="20"/>
              </w:rPr>
            </w:pPr>
            <w:r w:rsidRPr="00E43247">
              <w:rPr>
                <w:rFonts w:ascii="Gill Sans MT" w:hAnsi="Gill Sans MT"/>
                <w:b/>
                <w:sz w:val="20"/>
              </w:rPr>
              <w:t>$’000</w:t>
            </w:r>
          </w:p>
        </w:tc>
        <w:tc>
          <w:tcPr>
            <w:tcW w:w="1276" w:type="dxa"/>
            <w:tcBorders>
              <w:top w:val="single" w:sz="4" w:space="0" w:color="004D8F"/>
              <w:bottom w:val="single" w:sz="4" w:space="0" w:color="004D8F"/>
            </w:tcBorders>
            <w:shd w:val="clear" w:color="auto" w:fill="auto"/>
          </w:tcPr>
          <w:p w:rsidR="00D04348" w:rsidRPr="00E43247" w:rsidRDefault="00D04348" w:rsidP="00BB38BD">
            <w:pPr>
              <w:pStyle w:val="TableParagraph"/>
              <w:rPr>
                <w:rFonts w:ascii="Gill Sans MT" w:hAnsi="Gill Sans MT"/>
                <w:b/>
                <w:sz w:val="24"/>
              </w:rPr>
            </w:pPr>
          </w:p>
          <w:p w:rsidR="00D04348" w:rsidRPr="00E43247" w:rsidRDefault="00D04348" w:rsidP="00BB38BD">
            <w:pPr>
              <w:pStyle w:val="TableParagraph"/>
              <w:spacing w:before="10"/>
              <w:rPr>
                <w:rFonts w:ascii="Gill Sans MT" w:hAnsi="Gill Sans MT"/>
                <w:b/>
                <w:sz w:val="21"/>
              </w:rPr>
            </w:pPr>
          </w:p>
          <w:p w:rsidR="00D04348" w:rsidRPr="00E43247" w:rsidRDefault="00D04348" w:rsidP="00BB38BD">
            <w:pPr>
              <w:pStyle w:val="TableParagraph"/>
              <w:ind w:left="231"/>
              <w:rPr>
                <w:rFonts w:ascii="Gill Sans MT" w:hAnsi="Gill Sans MT"/>
                <w:b/>
                <w:sz w:val="20"/>
              </w:rPr>
            </w:pPr>
            <w:r w:rsidRPr="00E43247">
              <w:rPr>
                <w:rFonts w:ascii="Gill Sans MT" w:hAnsi="Gill Sans MT"/>
                <w:b/>
                <w:sz w:val="20"/>
              </w:rPr>
              <w:t>Total</w:t>
            </w:r>
          </w:p>
          <w:p w:rsidR="00D04348" w:rsidRPr="00E43247" w:rsidRDefault="00D04348" w:rsidP="00BB38BD">
            <w:pPr>
              <w:pStyle w:val="TableParagraph"/>
              <w:spacing w:before="1"/>
              <w:ind w:left="212"/>
              <w:rPr>
                <w:rFonts w:ascii="Gill Sans MT" w:hAnsi="Gill Sans MT"/>
                <w:b/>
                <w:sz w:val="20"/>
              </w:rPr>
            </w:pPr>
            <w:r w:rsidRPr="00E43247">
              <w:rPr>
                <w:rFonts w:ascii="Gill Sans MT" w:hAnsi="Gill Sans MT"/>
                <w:b/>
                <w:sz w:val="20"/>
              </w:rPr>
              <w:t>$’000</w:t>
            </w:r>
          </w:p>
        </w:tc>
      </w:tr>
      <w:tr w:rsidR="00D04348" w:rsidRPr="00E43247" w:rsidTr="00E43247">
        <w:trPr>
          <w:trHeight w:hRule="exact" w:val="455"/>
        </w:trPr>
        <w:tc>
          <w:tcPr>
            <w:tcW w:w="3828" w:type="dxa"/>
            <w:tcBorders>
              <w:top w:val="single" w:sz="4" w:space="0" w:color="004D8F"/>
            </w:tcBorders>
            <w:shd w:val="clear" w:color="auto" w:fill="auto"/>
          </w:tcPr>
          <w:p w:rsidR="00D04348" w:rsidRPr="00E43247" w:rsidRDefault="00D04348" w:rsidP="00BB38BD">
            <w:pPr>
              <w:pStyle w:val="TableParagraph"/>
              <w:spacing w:before="51" w:line="336" w:lineRule="auto"/>
              <w:ind w:left="80" w:right="1155"/>
              <w:rPr>
                <w:rFonts w:ascii="Gill Sans MT" w:hAnsi="Gill Sans MT"/>
                <w:sz w:val="20"/>
              </w:rPr>
            </w:pPr>
            <w:r w:rsidRPr="00E43247">
              <w:rPr>
                <w:rFonts w:ascii="Gill Sans MT" w:hAnsi="Gill Sans MT"/>
                <w:b/>
                <w:sz w:val="20"/>
              </w:rPr>
              <w:t xml:space="preserve">Carrying value at 1 July </w:t>
            </w:r>
          </w:p>
          <w:p w:rsidR="00D04348" w:rsidRPr="00E43247" w:rsidRDefault="00D04348" w:rsidP="00D04348">
            <w:pPr>
              <w:pStyle w:val="TableParagraph"/>
              <w:spacing w:before="1" w:line="338" w:lineRule="auto"/>
              <w:ind w:left="79" w:right="270"/>
              <w:rPr>
                <w:rFonts w:ascii="Gill Sans MT" w:hAnsi="Gill Sans MT"/>
                <w:b/>
                <w:sz w:val="20"/>
              </w:rPr>
            </w:pPr>
          </w:p>
        </w:tc>
        <w:tc>
          <w:tcPr>
            <w:tcW w:w="1275" w:type="dxa"/>
            <w:tcBorders>
              <w:top w:val="single" w:sz="4" w:space="0" w:color="004D8F"/>
            </w:tcBorders>
            <w:shd w:val="clear" w:color="auto" w:fill="auto"/>
          </w:tcPr>
          <w:p w:rsidR="00D04348" w:rsidRPr="00E43247" w:rsidRDefault="00D04348" w:rsidP="00BB38BD">
            <w:pPr>
              <w:pStyle w:val="TableParagraph"/>
              <w:spacing w:before="51"/>
              <w:ind w:right="167"/>
              <w:jc w:val="right"/>
              <w:rPr>
                <w:rFonts w:ascii="Gill Sans MT" w:hAnsi="Gill Sans MT"/>
                <w:b/>
                <w:sz w:val="20"/>
              </w:rPr>
            </w:pPr>
            <w:r w:rsidRPr="00E43247">
              <w:rPr>
                <w:rFonts w:ascii="Gill Sans MT" w:hAnsi="Gill Sans MT"/>
                <w:b/>
                <w:sz w:val="20"/>
              </w:rPr>
              <w:t>0</w:t>
            </w:r>
          </w:p>
        </w:tc>
        <w:tc>
          <w:tcPr>
            <w:tcW w:w="1134" w:type="dxa"/>
            <w:tcBorders>
              <w:top w:val="single" w:sz="4" w:space="0" w:color="004D8F"/>
            </w:tcBorders>
            <w:shd w:val="clear" w:color="auto" w:fill="auto"/>
          </w:tcPr>
          <w:p w:rsidR="00D04348" w:rsidRPr="00E43247" w:rsidRDefault="00D04348" w:rsidP="00BB38BD">
            <w:pPr>
              <w:pStyle w:val="TableParagraph"/>
              <w:spacing w:before="51"/>
              <w:ind w:right="167"/>
              <w:jc w:val="right"/>
              <w:rPr>
                <w:rFonts w:ascii="Gill Sans MT" w:hAnsi="Gill Sans MT"/>
                <w:b/>
                <w:sz w:val="20"/>
              </w:rPr>
            </w:pPr>
            <w:r w:rsidRPr="00E43247">
              <w:rPr>
                <w:rFonts w:ascii="Gill Sans MT" w:hAnsi="Gill Sans MT"/>
                <w:b/>
                <w:sz w:val="20"/>
              </w:rPr>
              <w:t>0</w:t>
            </w:r>
          </w:p>
        </w:tc>
        <w:tc>
          <w:tcPr>
            <w:tcW w:w="1276" w:type="dxa"/>
            <w:tcBorders>
              <w:top w:val="single" w:sz="4" w:space="0" w:color="004D8F"/>
            </w:tcBorders>
            <w:shd w:val="clear" w:color="auto" w:fill="auto"/>
          </w:tcPr>
          <w:p w:rsidR="00D04348" w:rsidRPr="00E43247" w:rsidRDefault="00D04348" w:rsidP="00BB38BD">
            <w:pPr>
              <w:pStyle w:val="TableParagraph"/>
              <w:spacing w:before="51"/>
              <w:ind w:right="167"/>
              <w:jc w:val="right"/>
              <w:rPr>
                <w:rFonts w:ascii="Gill Sans MT" w:hAnsi="Gill Sans MT"/>
                <w:b/>
                <w:sz w:val="20"/>
              </w:rPr>
            </w:pPr>
            <w:r w:rsidRPr="00E43247">
              <w:rPr>
                <w:rFonts w:ascii="Gill Sans MT" w:hAnsi="Gill Sans MT"/>
                <w:b/>
                <w:sz w:val="20"/>
              </w:rPr>
              <w:t>0</w:t>
            </w:r>
          </w:p>
        </w:tc>
        <w:tc>
          <w:tcPr>
            <w:tcW w:w="1134" w:type="dxa"/>
            <w:tcBorders>
              <w:top w:val="single" w:sz="4" w:space="0" w:color="004D8F"/>
            </w:tcBorders>
            <w:shd w:val="clear" w:color="auto" w:fill="auto"/>
          </w:tcPr>
          <w:p w:rsidR="00D04348" w:rsidRPr="00E43247" w:rsidRDefault="00D04348" w:rsidP="00BB38BD">
            <w:pPr>
              <w:pStyle w:val="TableParagraph"/>
              <w:spacing w:before="51"/>
              <w:ind w:right="169"/>
              <w:jc w:val="right"/>
              <w:rPr>
                <w:rFonts w:ascii="Gill Sans MT" w:hAnsi="Gill Sans MT"/>
                <w:b/>
                <w:sz w:val="20"/>
              </w:rPr>
            </w:pPr>
            <w:r w:rsidRPr="00E43247">
              <w:rPr>
                <w:rFonts w:ascii="Gill Sans MT" w:hAnsi="Gill Sans MT"/>
                <w:b/>
                <w:sz w:val="20"/>
              </w:rPr>
              <w:t>0</w:t>
            </w:r>
          </w:p>
        </w:tc>
        <w:tc>
          <w:tcPr>
            <w:tcW w:w="1276" w:type="dxa"/>
            <w:tcBorders>
              <w:top w:val="single" w:sz="4" w:space="0" w:color="004D8F"/>
            </w:tcBorders>
            <w:shd w:val="clear" w:color="auto" w:fill="auto"/>
          </w:tcPr>
          <w:p w:rsidR="00D04348" w:rsidRPr="00E43247" w:rsidRDefault="00D04348" w:rsidP="00E43247">
            <w:pPr>
              <w:pStyle w:val="TableParagraph"/>
              <w:spacing w:before="51"/>
              <w:ind w:right="167"/>
              <w:jc w:val="right"/>
              <w:rPr>
                <w:rFonts w:ascii="Gill Sans MT" w:hAnsi="Gill Sans MT"/>
                <w:b/>
                <w:sz w:val="20"/>
              </w:rPr>
            </w:pPr>
            <w:r w:rsidRPr="00E43247">
              <w:rPr>
                <w:rFonts w:ascii="Gill Sans MT" w:hAnsi="Gill Sans MT"/>
                <w:b/>
                <w:sz w:val="20"/>
              </w:rPr>
              <w:t>0</w:t>
            </w:r>
          </w:p>
        </w:tc>
      </w:tr>
      <w:tr w:rsidR="00D04348" w:rsidRPr="00E43247" w:rsidTr="00E43247">
        <w:trPr>
          <w:trHeight w:val="414"/>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Additions - THS acquisition</w:t>
            </w:r>
          </w:p>
        </w:tc>
        <w:tc>
          <w:tcPr>
            <w:tcW w:w="1275" w:type="dxa"/>
            <w:shd w:val="clear" w:color="auto" w:fill="auto"/>
          </w:tcPr>
          <w:p w:rsidR="00D04348" w:rsidRPr="00E43247" w:rsidRDefault="00D04348" w:rsidP="00D04348">
            <w:pPr>
              <w:pStyle w:val="TableParagraph"/>
              <w:spacing w:before="56"/>
              <w:ind w:right="167"/>
              <w:jc w:val="right"/>
              <w:rPr>
                <w:rFonts w:ascii="Gill Sans MT" w:hAnsi="Gill Sans MT"/>
                <w:sz w:val="20"/>
              </w:rPr>
            </w:pPr>
            <w:r w:rsidRPr="00E43247">
              <w:rPr>
                <w:rFonts w:ascii="Gill Sans MT" w:hAnsi="Gill Sans MT"/>
                <w:sz w:val="20"/>
              </w:rPr>
              <w:t>0</w:t>
            </w:r>
          </w:p>
        </w:tc>
        <w:tc>
          <w:tcPr>
            <w:tcW w:w="1134" w:type="dxa"/>
            <w:shd w:val="clear" w:color="auto" w:fill="auto"/>
          </w:tcPr>
          <w:p w:rsidR="00D04348" w:rsidRPr="00E43247" w:rsidRDefault="00D04348" w:rsidP="00D04348">
            <w:pPr>
              <w:pStyle w:val="TableParagraph"/>
              <w:spacing w:before="56"/>
              <w:ind w:right="168"/>
              <w:jc w:val="right"/>
              <w:rPr>
                <w:rFonts w:ascii="Gill Sans MT" w:hAnsi="Gill Sans MT"/>
                <w:sz w:val="20"/>
              </w:rPr>
            </w:pPr>
            <w:r w:rsidRPr="00E43247">
              <w:rPr>
                <w:rFonts w:ascii="Gill Sans MT" w:hAnsi="Gill Sans MT"/>
                <w:sz w:val="20"/>
              </w:rPr>
              <w:t>0</w:t>
            </w:r>
          </w:p>
        </w:tc>
        <w:tc>
          <w:tcPr>
            <w:tcW w:w="1276" w:type="dxa"/>
            <w:shd w:val="clear" w:color="auto" w:fill="auto"/>
          </w:tcPr>
          <w:p w:rsidR="00D04348" w:rsidRPr="00E43247" w:rsidRDefault="00D04348" w:rsidP="00D04348">
            <w:pPr>
              <w:pStyle w:val="TableParagraph"/>
              <w:spacing w:before="56"/>
              <w:ind w:left="682" w:right="127"/>
              <w:jc w:val="center"/>
              <w:rPr>
                <w:rFonts w:ascii="Gill Sans MT" w:hAnsi="Gill Sans MT"/>
                <w:sz w:val="20"/>
              </w:rPr>
            </w:pPr>
            <w:r w:rsidRPr="00E43247">
              <w:rPr>
                <w:rFonts w:ascii="Gill Sans MT" w:hAnsi="Gill Sans MT"/>
                <w:sz w:val="20"/>
              </w:rPr>
              <w:t>915</w:t>
            </w:r>
          </w:p>
        </w:tc>
        <w:tc>
          <w:tcPr>
            <w:tcW w:w="1134" w:type="dxa"/>
            <w:shd w:val="clear" w:color="auto" w:fill="auto"/>
          </w:tcPr>
          <w:p w:rsidR="00D04348" w:rsidRPr="00E43247" w:rsidRDefault="00D04348" w:rsidP="00D04348">
            <w:pPr>
              <w:pStyle w:val="TableParagraph"/>
              <w:spacing w:before="56"/>
              <w:ind w:right="167"/>
              <w:jc w:val="right"/>
              <w:rPr>
                <w:rFonts w:ascii="Gill Sans MT" w:hAnsi="Gill Sans MT"/>
                <w:sz w:val="20"/>
              </w:rPr>
            </w:pPr>
            <w:r w:rsidRPr="00E43247">
              <w:rPr>
                <w:rFonts w:ascii="Gill Sans MT" w:hAnsi="Gill Sans MT"/>
                <w:sz w:val="20"/>
              </w:rPr>
              <w:t>1 044</w:t>
            </w:r>
          </w:p>
        </w:tc>
        <w:tc>
          <w:tcPr>
            <w:tcW w:w="1276" w:type="dxa"/>
            <w:shd w:val="clear" w:color="auto" w:fill="auto"/>
          </w:tcPr>
          <w:p w:rsidR="00D04348" w:rsidRPr="00E43247" w:rsidRDefault="00D04348" w:rsidP="00E43247">
            <w:pPr>
              <w:pStyle w:val="TableParagraph"/>
              <w:spacing w:before="56"/>
              <w:ind w:left="214" w:right="167"/>
              <w:jc w:val="right"/>
              <w:rPr>
                <w:rFonts w:ascii="Gill Sans MT" w:hAnsi="Gill Sans MT"/>
                <w:sz w:val="20"/>
              </w:rPr>
            </w:pPr>
            <w:r w:rsidRPr="00E43247">
              <w:rPr>
                <w:rFonts w:ascii="Gill Sans MT" w:hAnsi="Gill Sans MT"/>
                <w:sz w:val="20"/>
              </w:rPr>
              <w:t>1 959</w:t>
            </w:r>
          </w:p>
        </w:tc>
      </w:tr>
      <w:tr w:rsidR="00D04348" w:rsidRPr="00E43247" w:rsidTr="00D04348">
        <w:trPr>
          <w:trHeight w:hRule="exact" w:val="318"/>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Additions - DHHS capital grant</w:t>
            </w:r>
          </w:p>
        </w:tc>
        <w:tc>
          <w:tcPr>
            <w:tcW w:w="1275" w:type="dxa"/>
            <w:shd w:val="clear" w:color="auto" w:fill="auto"/>
          </w:tcPr>
          <w:p w:rsidR="00D04348" w:rsidRPr="00E43247" w:rsidRDefault="00D04348" w:rsidP="00D04348">
            <w:pPr>
              <w:pStyle w:val="TableParagraph"/>
              <w:spacing w:before="92"/>
              <w:ind w:right="167"/>
              <w:jc w:val="right"/>
              <w:rPr>
                <w:rFonts w:ascii="Gill Sans MT" w:hAnsi="Gill Sans MT"/>
                <w:sz w:val="20"/>
              </w:rPr>
            </w:pPr>
            <w:r w:rsidRPr="00E43247">
              <w:rPr>
                <w:rFonts w:ascii="Gill Sans MT" w:hAnsi="Gill Sans MT"/>
                <w:sz w:val="20"/>
              </w:rPr>
              <w:t>1 450</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73"/>
              <w:jc w:val="right"/>
              <w:rPr>
                <w:rFonts w:ascii="Gill Sans MT" w:hAnsi="Gill Sans MT"/>
                <w:sz w:val="20"/>
              </w:rPr>
            </w:pPr>
            <w:r w:rsidRPr="00E43247">
              <w:rPr>
                <w:rFonts w:ascii="Gill Sans MT" w:hAnsi="Gill Sans MT"/>
                <w:sz w:val="20"/>
              </w:rPr>
              <w:t>63 924</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left="505" w:right="138"/>
              <w:jc w:val="center"/>
              <w:rPr>
                <w:rFonts w:ascii="Gill Sans MT" w:hAnsi="Gill Sans MT"/>
                <w:sz w:val="20"/>
              </w:rPr>
            </w:pPr>
            <w:r w:rsidRPr="00E43247">
              <w:rPr>
                <w:rFonts w:ascii="Gill Sans MT" w:hAnsi="Gill Sans MT"/>
                <w:sz w:val="20"/>
              </w:rPr>
              <w:t>7 406</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7"/>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147" w:right="167"/>
              <w:jc w:val="right"/>
              <w:rPr>
                <w:rFonts w:ascii="Gill Sans MT" w:hAnsi="Gill Sans MT"/>
                <w:sz w:val="20"/>
              </w:rPr>
            </w:pPr>
            <w:r w:rsidRPr="00E43247">
              <w:rPr>
                <w:rFonts w:ascii="Gill Sans MT" w:hAnsi="Gill Sans MT"/>
                <w:sz w:val="20"/>
              </w:rPr>
              <w:t>72 780</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Disposals</w:t>
            </w:r>
          </w:p>
        </w:tc>
        <w:tc>
          <w:tcPr>
            <w:tcW w:w="1275"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right="111"/>
              <w:jc w:val="right"/>
              <w:rPr>
                <w:rFonts w:ascii="Gill Sans MT" w:hAnsi="Gill Sans MT"/>
                <w:sz w:val="20"/>
              </w:rPr>
            </w:pPr>
            <w:r w:rsidRPr="00E43247">
              <w:rPr>
                <w:rFonts w:ascii="Gill Sans MT" w:hAnsi="Gill Sans MT"/>
                <w:sz w:val="20"/>
              </w:rPr>
              <w:t>(17)</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470" w:right="167"/>
              <w:jc w:val="right"/>
              <w:rPr>
                <w:rFonts w:ascii="Gill Sans MT" w:hAnsi="Gill Sans MT"/>
                <w:sz w:val="20"/>
              </w:rPr>
            </w:pPr>
            <w:r w:rsidRPr="00E43247">
              <w:rPr>
                <w:rFonts w:ascii="Gill Sans MT" w:hAnsi="Gill Sans MT"/>
                <w:sz w:val="20"/>
              </w:rPr>
              <w:t>(17)</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Net transfers upon establishment of the THS</w:t>
            </w:r>
          </w:p>
        </w:tc>
        <w:tc>
          <w:tcPr>
            <w:tcW w:w="1275"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53 119</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812 488</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57 873</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8 760</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61" w:right="167"/>
              <w:jc w:val="right"/>
              <w:rPr>
                <w:rFonts w:ascii="Gill Sans MT" w:hAnsi="Gill Sans MT"/>
                <w:sz w:val="20"/>
              </w:rPr>
            </w:pPr>
            <w:r w:rsidRPr="00E43247">
              <w:rPr>
                <w:rFonts w:ascii="Gill Sans MT" w:hAnsi="Gill Sans MT"/>
                <w:sz w:val="20"/>
              </w:rPr>
              <w:t>932 240</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THS Net transfers through restructuring</w:t>
            </w:r>
          </w:p>
        </w:tc>
        <w:tc>
          <w:tcPr>
            <w:tcW w:w="1275"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134</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left="671" w:right="138"/>
              <w:jc w:val="center"/>
              <w:rPr>
                <w:rFonts w:ascii="Gill Sans MT" w:hAnsi="Gill Sans MT"/>
                <w:sz w:val="20"/>
              </w:rPr>
            </w:pPr>
            <w:r w:rsidRPr="00E43247">
              <w:rPr>
                <w:rFonts w:ascii="Gill Sans MT" w:hAnsi="Gill Sans MT"/>
                <w:sz w:val="20"/>
              </w:rPr>
              <w:t>378</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130</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403" w:right="167"/>
              <w:jc w:val="right"/>
              <w:rPr>
                <w:rFonts w:ascii="Gill Sans MT" w:hAnsi="Gill Sans MT"/>
                <w:sz w:val="20"/>
              </w:rPr>
            </w:pPr>
            <w:r w:rsidRPr="00E43247">
              <w:rPr>
                <w:rFonts w:ascii="Gill Sans MT" w:hAnsi="Gill Sans MT"/>
                <w:sz w:val="20"/>
              </w:rPr>
              <w:t>642</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D04348">
            <w:pPr>
              <w:pStyle w:val="TableParagraph"/>
              <w:spacing w:before="1" w:line="338" w:lineRule="auto"/>
              <w:ind w:right="270"/>
              <w:rPr>
                <w:rFonts w:ascii="Gill Sans MT" w:hAnsi="Gill Sans MT"/>
                <w:sz w:val="20"/>
              </w:rPr>
            </w:pPr>
            <w:r w:rsidRPr="00E43247">
              <w:rPr>
                <w:rFonts w:ascii="Gill Sans MT" w:hAnsi="Gill Sans MT"/>
                <w:sz w:val="20"/>
              </w:rPr>
              <w:t>Revaluation increments (decrements)</w:t>
            </w:r>
          </w:p>
          <w:p w:rsidR="00D04348" w:rsidRPr="00E43247" w:rsidRDefault="00D04348" w:rsidP="00BB38BD">
            <w:pPr>
              <w:rPr>
                <w:rFonts w:ascii="Gill Sans MT" w:hAnsi="Gill Sans MT"/>
              </w:rPr>
            </w:pPr>
          </w:p>
        </w:tc>
        <w:tc>
          <w:tcPr>
            <w:tcW w:w="1275" w:type="dxa"/>
            <w:shd w:val="clear" w:color="auto" w:fill="auto"/>
          </w:tcPr>
          <w:p w:rsidR="00D04348" w:rsidRPr="00E43247" w:rsidRDefault="00D04348" w:rsidP="00D04348">
            <w:pPr>
              <w:pStyle w:val="TableParagraph"/>
              <w:spacing w:before="92"/>
              <w:ind w:right="174"/>
              <w:jc w:val="right"/>
              <w:rPr>
                <w:rFonts w:ascii="Gill Sans MT" w:hAnsi="Gill Sans MT"/>
                <w:sz w:val="20"/>
              </w:rPr>
            </w:pPr>
            <w:r w:rsidRPr="00E43247">
              <w:rPr>
                <w:rFonts w:ascii="Gill Sans MT" w:hAnsi="Gill Sans MT"/>
                <w:sz w:val="20"/>
              </w:rPr>
              <w:t>1 859</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11 890</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179" w:right="167"/>
              <w:jc w:val="right"/>
              <w:rPr>
                <w:rFonts w:ascii="Gill Sans MT" w:hAnsi="Gill Sans MT"/>
                <w:sz w:val="20"/>
              </w:rPr>
            </w:pPr>
            <w:r w:rsidRPr="00E43247">
              <w:rPr>
                <w:rFonts w:ascii="Gill Sans MT" w:hAnsi="Gill Sans MT"/>
                <w:sz w:val="20"/>
              </w:rPr>
              <w:t>13 749</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D04348">
            <w:pPr>
              <w:pStyle w:val="TableParagraph"/>
              <w:spacing w:line="338" w:lineRule="auto"/>
              <w:ind w:right="2511"/>
              <w:rPr>
                <w:rFonts w:ascii="Gill Sans MT" w:hAnsi="Gill Sans MT"/>
                <w:sz w:val="20"/>
              </w:rPr>
            </w:pPr>
            <w:r w:rsidRPr="00E43247">
              <w:rPr>
                <w:rFonts w:ascii="Gill Sans MT" w:hAnsi="Gill Sans MT"/>
                <w:sz w:val="20"/>
              </w:rPr>
              <w:t xml:space="preserve">WIP transfers </w:t>
            </w:r>
          </w:p>
          <w:p w:rsidR="00D04348" w:rsidRPr="00E43247" w:rsidRDefault="00D04348" w:rsidP="00BB38BD">
            <w:pPr>
              <w:rPr>
                <w:rFonts w:ascii="Gill Sans MT" w:hAnsi="Gill Sans MT"/>
              </w:rPr>
            </w:pPr>
          </w:p>
        </w:tc>
        <w:tc>
          <w:tcPr>
            <w:tcW w:w="1275"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80"/>
              <w:jc w:val="right"/>
              <w:rPr>
                <w:rFonts w:ascii="Gill Sans MT" w:hAnsi="Gill Sans MT"/>
                <w:sz w:val="20"/>
              </w:rPr>
            </w:pPr>
            <w:r w:rsidRPr="00E43247">
              <w:rPr>
                <w:rFonts w:ascii="Gill Sans MT" w:hAnsi="Gill Sans MT"/>
                <w:sz w:val="20"/>
              </w:rPr>
              <w:t>2 415</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left="506" w:right="138"/>
              <w:jc w:val="center"/>
              <w:rPr>
                <w:rFonts w:ascii="Gill Sans MT" w:hAnsi="Gill Sans MT"/>
                <w:sz w:val="20"/>
              </w:rPr>
            </w:pPr>
            <w:r w:rsidRPr="00E43247">
              <w:rPr>
                <w:rFonts w:ascii="Gill Sans MT" w:hAnsi="Gill Sans MT"/>
                <w:sz w:val="20"/>
              </w:rPr>
              <w:t>1 641</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12"/>
              <w:jc w:val="right"/>
              <w:rPr>
                <w:rFonts w:ascii="Gill Sans MT" w:hAnsi="Gill Sans MT"/>
                <w:sz w:val="20"/>
              </w:rPr>
            </w:pPr>
            <w:r w:rsidRPr="00E43247">
              <w:rPr>
                <w:rFonts w:ascii="Gill Sans MT" w:hAnsi="Gill Sans MT"/>
                <w:sz w:val="20"/>
              </w:rPr>
              <w:t>(4 056)</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right="167"/>
              <w:jc w:val="right"/>
              <w:rPr>
                <w:rFonts w:ascii="Gill Sans MT" w:hAnsi="Gill Sans MT"/>
                <w:sz w:val="20"/>
              </w:rPr>
            </w:pPr>
            <w:r w:rsidRPr="00E43247">
              <w:rPr>
                <w:rFonts w:ascii="Gill Sans MT" w:hAnsi="Gill Sans MT"/>
                <w:sz w:val="20"/>
              </w:rPr>
              <w:t>0</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D04348">
        <w:trPr>
          <w:trHeight w:hRule="exact" w:val="318"/>
        </w:trPr>
        <w:tc>
          <w:tcPr>
            <w:tcW w:w="3828" w:type="dxa"/>
            <w:shd w:val="clear" w:color="auto" w:fill="auto"/>
          </w:tcPr>
          <w:p w:rsidR="00D04348" w:rsidRPr="00E43247" w:rsidRDefault="00D04348" w:rsidP="00BB38BD">
            <w:pPr>
              <w:rPr>
                <w:rFonts w:ascii="Gill Sans MT" w:hAnsi="Gill Sans MT"/>
              </w:rPr>
            </w:pPr>
            <w:r w:rsidRPr="00E43247">
              <w:rPr>
                <w:rFonts w:ascii="Gill Sans MT" w:hAnsi="Gill Sans MT"/>
                <w:sz w:val="20"/>
              </w:rPr>
              <w:t>WIP expensed</w:t>
            </w:r>
          </w:p>
        </w:tc>
        <w:tc>
          <w:tcPr>
            <w:tcW w:w="1275" w:type="dxa"/>
            <w:shd w:val="clear" w:color="auto" w:fill="auto"/>
          </w:tcPr>
          <w:p w:rsidR="00D04348" w:rsidRPr="00E43247" w:rsidRDefault="00D04348" w:rsidP="00D04348">
            <w:pPr>
              <w:pStyle w:val="TableParagraph"/>
              <w:spacing w:before="92"/>
              <w:ind w:right="168"/>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7"/>
              <w:jc w:val="right"/>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69"/>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right="168"/>
              <w:jc w:val="right"/>
              <w:rPr>
                <w:rFonts w:ascii="Gill Sans MT" w:hAnsi="Gill Sans MT"/>
                <w:sz w:val="20"/>
              </w:rPr>
            </w:pPr>
          </w:p>
        </w:tc>
        <w:tc>
          <w:tcPr>
            <w:tcW w:w="1276" w:type="dxa"/>
            <w:shd w:val="clear" w:color="auto" w:fill="auto"/>
          </w:tcPr>
          <w:p w:rsidR="00D04348" w:rsidRPr="00E43247" w:rsidRDefault="00D04348" w:rsidP="00D04348">
            <w:pPr>
              <w:pStyle w:val="TableParagraph"/>
              <w:spacing w:before="92"/>
              <w:ind w:right="169"/>
              <w:jc w:val="right"/>
              <w:rPr>
                <w:rFonts w:ascii="Gill Sans MT" w:hAnsi="Gill Sans MT"/>
                <w:sz w:val="20"/>
              </w:rPr>
            </w:pPr>
            <w:r w:rsidRPr="00E43247">
              <w:rPr>
                <w:rFonts w:ascii="Gill Sans MT" w:hAnsi="Gill Sans MT"/>
                <w:sz w:val="20"/>
              </w:rPr>
              <w:t>0</w:t>
            </w:r>
          </w:p>
          <w:p w:rsidR="00D04348" w:rsidRPr="00E43247" w:rsidRDefault="00D04348" w:rsidP="00BB38BD">
            <w:pPr>
              <w:pStyle w:val="TableParagraph"/>
              <w:spacing w:before="56"/>
              <w:ind w:left="682" w:right="127"/>
              <w:jc w:val="center"/>
              <w:rPr>
                <w:rFonts w:ascii="Gill Sans MT" w:hAnsi="Gill Sans MT"/>
                <w:sz w:val="20"/>
              </w:rPr>
            </w:pPr>
          </w:p>
        </w:tc>
        <w:tc>
          <w:tcPr>
            <w:tcW w:w="1134" w:type="dxa"/>
            <w:shd w:val="clear" w:color="auto" w:fill="auto"/>
          </w:tcPr>
          <w:p w:rsidR="00D04348" w:rsidRPr="00E43247" w:rsidRDefault="00D04348" w:rsidP="00D04348">
            <w:pPr>
              <w:pStyle w:val="TableParagraph"/>
              <w:spacing w:before="92"/>
              <w:ind w:right="114"/>
              <w:jc w:val="right"/>
              <w:rPr>
                <w:rFonts w:ascii="Gill Sans MT" w:hAnsi="Gill Sans MT"/>
                <w:sz w:val="20"/>
              </w:rPr>
            </w:pPr>
            <w:r w:rsidRPr="00E43247">
              <w:rPr>
                <w:rFonts w:ascii="Gill Sans MT" w:hAnsi="Gill Sans MT"/>
                <w:sz w:val="20"/>
              </w:rPr>
              <w:t>(26)</w:t>
            </w:r>
          </w:p>
          <w:p w:rsidR="00D04348" w:rsidRPr="00E43247" w:rsidRDefault="00D04348" w:rsidP="00BB38BD">
            <w:pPr>
              <w:pStyle w:val="TableParagraph"/>
              <w:spacing w:before="56"/>
              <w:ind w:right="167"/>
              <w:jc w:val="right"/>
              <w:rPr>
                <w:rFonts w:ascii="Gill Sans MT" w:hAnsi="Gill Sans MT"/>
                <w:sz w:val="20"/>
              </w:rPr>
            </w:pPr>
          </w:p>
        </w:tc>
        <w:tc>
          <w:tcPr>
            <w:tcW w:w="1276" w:type="dxa"/>
            <w:shd w:val="clear" w:color="auto" w:fill="auto"/>
          </w:tcPr>
          <w:p w:rsidR="00D04348" w:rsidRPr="00E43247" w:rsidRDefault="00D04348" w:rsidP="00E43247">
            <w:pPr>
              <w:pStyle w:val="TableParagraph"/>
              <w:spacing w:before="92"/>
              <w:ind w:left="470" w:right="167"/>
              <w:jc w:val="right"/>
              <w:rPr>
                <w:rFonts w:ascii="Gill Sans MT" w:hAnsi="Gill Sans MT"/>
                <w:sz w:val="20"/>
              </w:rPr>
            </w:pPr>
            <w:r w:rsidRPr="00E43247">
              <w:rPr>
                <w:rFonts w:ascii="Gill Sans MT" w:hAnsi="Gill Sans MT"/>
                <w:sz w:val="20"/>
              </w:rPr>
              <w:t>(26)</w:t>
            </w:r>
          </w:p>
          <w:p w:rsidR="00D04348" w:rsidRPr="00E43247" w:rsidRDefault="00D04348" w:rsidP="00E43247">
            <w:pPr>
              <w:pStyle w:val="TableParagraph"/>
              <w:spacing w:before="56"/>
              <w:ind w:left="214" w:right="167"/>
              <w:jc w:val="right"/>
              <w:rPr>
                <w:rFonts w:ascii="Gill Sans MT" w:hAnsi="Gill Sans MT"/>
                <w:sz w:val="20"/>
              </w:rPr>
            </w:pPr>
          </w:p>
        </w:tc>
      </w:tr>
      <w:tr w:rsidR="00D04348" w:rsidRPr="00E43247" w:rsidTr="00E43247">
        <w:trPr>
          <w:trHeight w:hRule="exact" w:val="318"/>
        </w:trPr>
        <w:tc>
          <w:tcPr>
            <w:tcW w:w="3828" w:type="dxa"/>
            <w:tcBorders>
              <w:bottom w:val="single" w:sz="4" w:space="0" w:color="004D8F"/>
            </w:tcBorders>
            <w:shd w:val="clear" w:color="auto" w:fill="auto"/>
          </w:tcPr>
          <w:p w:rsidR="00D04348" w:rsidRPr="00E43247" w:rsidRDefault="00D04348" w:rsidP="00BB38BD">
            <w:pPr>
              <w:rPr>
                <w:rFonts w:ascii="Gill Sans MT" w:hAnsi="Gill Sans MT"/>
              </w:rPr>
            </w:pPr>
            <w:r w:rsidRPr="00E43247">
              <w:rPr>
                <w:rFonts w:ascii="Gill Sans MT" w:hAnsi="Gill Sans MT"/>
                <w:sz w:val="20"/>
              </w:rPr>
              <w:t>Depreciation</w:t>
            </w:r>
          </w:p>
        </w:tc>
        <w:tc>
          <w:tcPr>
            <w:tcW w:w="1275" w:type="dxa"/>
            <w:tcBorders>
              <w:bottom w:val="single" w:sz="4" w:space="0" w:color="004D8F"/>
            </w:tcBorders>
            <w:shd w:val="clear" w:color="auto" w:fill="auto"/>
          </w:tcPr>
          <w:p w:rsidR="00D04348" w:rsidRPr="00E43247" w:rsidRDefault="00D04348" w:rsidP="00BB38BD">
            <w:pPr>
              <w:pStyle w:val="TableParagraph"/>
              <w:spacing w:before="56"/>
              <w:ind w:right="167"/>
              <w:jc w:val="right"/>
              <w:rPr>
                <w:rFonts w:ascii="Gill Sans MT" w:hAnsi="Gill Sans MT"/>
                <w:sz w:val="20"/>
              </w:rPr>
            </w:pPr>
            <w:r w:rsidRPr="00E43247">
              <w:rPr>
                <w:rFonts w:ascii="Gill Sans MT" w:hAnsi="Gill Sans MT"/>
                <w:sz w:val="20"/>
              </w:rPr>
              <w:t>0</w:t>
            </w:r>
          </w:p>
        </w:tc>
        <w:tc>
          <w:tcPr>
            <w:tcW w:w="1134" w:type="dxa"/>
            <w:tcBorders>
              <w:bottom w:val="single" w:sz="4" w:space="0" w:color="004D8F"/>
            </w:tcBorders>
            <w:shd w:val="clear" w:color="auto" w:fill="auto"/>
          </w:tcPr>
          <w:p w:rsidR="00D04348" w:rsidRPr="00E43247" w:rsidRDefault="00D04348" w:rsidP="00BB38BD">
            <w:pPr>
              <w:pStyle w:val="TableParagraph"/>
              <w:spacing w:before="56"/>
              <w:ind w:right="168"/>
              <w:jc w:val="right"/>
              <w:rPr>
                <w:rFonts w:ascii="Gill Sans MT" w:hAnsi="Gill Sans MT"/>
                <w:sz w:val="20"/>
              </w:rPr>
            </w:pPr>
            <w:r w:rsidRPr="00E43247">
              <w:rPr>
                <w:rFonts w:ascii="Gill Sans MT" w:hAnsi="Gill Sans MT"/>
                <w:sz w:val="20"/>
              </w:rPr>
              <w:t>(28 801)</w:t>
            </w:r>
          </w:p>
        </w:tc>
        <w:tc>
          <w:tcPr>
            <w:tcW w:w="1276" w:type="dxa"/>
            <w:tcBorders>
              <w:bottom w:val="single" w:sz="4" w:space="0" w:color="004D8F"/>
            </w:tcBorders>
            <w:shd w:val="clear" w:color="auto" w:fill="auto"/>
          </w:tcPr>
          <w:p w:rsidR="00D04348" w:rsidRPr="00E43247" w:rsidRDefault="00D04348" w:rsidP="00D04348">
            <w:pPr>
              <w:pStyle w:val="TableParagraph"/>
              <w:spacing w:before="56"/>
              <w:ind w:left="147" w:right="127"/>
              <w:jc w:val="center"/>
              <w:rPr>
                <w:rFonts w:ascii="Gill Sans MT" w:hAnsi="Gill Sans MT"/>
                <w:sz w:val="20"/>
              </w:rPr>
            </w:pPr>
            <w:r w:rsidRPr="00E43247">
              <w:rPr>
                <w:rFonts w:ascii="Gill Sans MT" w:hAnsi="Gill Sans MT"/>
                <w:sz w:val="20"/>
              </w:rPr>
              <w:t>(10 304)</w:t>
            </w:r>
          </w:p>
        </w:tc>
        <w:tc>
          <w:tcPr>
            <w:tcW w:w="1134" w:type="dxa"/>
            <w:tcBorders>
              <w:bottom w:val="single" w:sz="4" w:space="0" w:color="004D8F"/>
            </w:tcBorders>
            <w:shd w:val="clear" w:color="auto" w:fill="auto"/>
          </w:tcPr>
          <w:p w:rsidR="00D04348" w:rsidRPr="00E43247" w:rsidRDefault="00D04348" w:rsidP="00BB38BD">
            <w:pPr>
              <w:pStyle w:val="TableParagraph"/>
              <w:spacing w:before="56"/>
              <w:ind w:right="167"/>
              <w:jc w:val="right"/>
              <w:rPr>
                <w:rFonts w:ascii="Gill Sans MT" w:hAnsi="Gill Sans MT"/>
                <w:sz w:val="20"/>
              </w:rPr>
            </w:pPr>
            <w:r w:rsidRPr="00E43247">
              <w:rPr>
                <w:rFonts w:ascii="Gill Sans MT" w:hAnsi="Gill Sans MT"/>
                <w:sz w:val="20"/>
              </w:rPr>
              <w:t>0</w:t>
            </w:r>
          </w:p>
        </w:tc>
        <w:tc>
          <w:tcPr>
            <w:tcW w:w="1276" w:type="dxa"/>
            <w:tcBorders>
              <w:bottom w:val="single" w:sz="4" w:space="0" w:color="004D8F"/>
            </w:tcBorders>
            <w:shd w:val="clear" w:color="auto" w:fill="auto"/>
          </w:tcPr>
          <w:p w:rsidR="00D04348" w:rsidRPr="00E43247" w:rsidRDefault="00D04348" w:rsidP="00E43247">
            <w:pPr>
              <w:pStyle w:val="TableParagraph"/>
              <w:spacing w:before="56"/>
              <w:ind w:left="214" w:right="167"/>
              <w:jc w:val="right"/>
              <w:rPr>
                <w:rFonts w:ascii="Gill Sans MT" w:hAnsi="Gill Sans MT"/>
                <w:sz w:val="20"/>
              </w:rPr>
            </w:pPr>
            <w:r w:rsidRPr="00E43247">
              <w:rPr>
                <w:rFonts w:ascii="Gill Sans MT" w:hAnsi="Gill Sans MT"/>
                <w:sz w:val="20"/>
              </w:rPr>
              <w:t>(39 105)</w:t>
            </w:r>
          </w:p>
        </w:tc>
      </w:tr>
      <w:tr w:rsidR="00D04348" w:rsidRPr="00E43247" w:rsidTr="00E43247">
        <w:trPr>
          <w:trHeight w:hRule="exact" w:val="320"/>
        </w:trPr>
        <w:tc>
          <w:tcPr>
            <w:tcW w:w="3828" w:type="dxa"/>
            <w:tcBorders>
              <w:top w:val="single" w:sz="4" w:space="0" w:color="004D8F"/>
              <w:bottom w:val="single" w:sz="4" w:space="0" w:color="004D8F"/>
            </w:tcBorders>
            <w:shd w:val="clear" w:color="auto" w:fill="auto"/>
          </w:tcPr>
          <w:p w:rsidR="00D04348" w:rsidRPr="00E43247" w:rsidRDefault="00D04348" w:rsidP="00BB38BD">
            <w:pPr>
              <w:rPr>
                <w:rFonts w:ascii="Gill Sans MT" w:hAnsi="Gill Sans MT"/>
              </w:rPr>
            </w:pPr>
            <w:r w:rsidRPr="00E43247">
              <w:rPr>
                <w:rFonts w:ascii="Gill Sans MT" w:hAnsi="Gill Sans MT"/>
                <w:b/>
                <w:sz w:val="20"/>
              </w:rPr>
              <w:t>Carrying value at 30 June</w:t>
            </w:r>
          </w:p>
        </w:tc>
        <w:tc>
          <w:tcPr>
            <w:tcW w:w="1275"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47"/>
              <w:ind w:right="169"/>
              <w:jc w:val="right"/>
              <w:rPr>
                <w:rFonts w:ascii="Gill Sans MT" w:hAnsi="Gill Sans MT"/>
                <w:b/>
                <w:sz w:val="20"/>
              </w:rPr>
            </w:pPr>
            <w:r w:rsidRPr="00E43247">
              <w:rPr>
                <w:rFonts w:ascii="Gill Sans MT" w:hAnsi="Gill Sans MT"/>
                <w:b/>
                <w:sz w:val="20"/>
              </w:rPr>
              <w:t>56 428</w:t>
            </w:r>
          </w:p>
        </w:tc>
        <w:tc>
          <w:tcPr>
            <w:tcW w:w="1134"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47"/>
              <w:ind w:right="169"/>
              <w:jc w:val="right"/>
              <w:rPr>
                <w:rFonts w:ascii="Gill Sans MT" w:hAnsi="Gill Sans MT"/>
                <w:b/>
                <w:sz w:val="20"/>
              </w:rPr>
            </w:pPr>
            <w:r w:rsidRPr="00E43247">
              <w:rPr>
                <w:rFonts w:ascii="Gill Sans MT" w:hAnsi="Gill Sans MT"/>
                <w:b/>
                <w:sz w:val="20"/>
              </w:rPr>
              <w:t>862 050</w:t>
            </w:r>
          </w:p>
        </w:tc>
        <w:tc>
          <w:tcPr>
            <w:tcW w:w="1276"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47"/>
              <w:ind w:right="167"/>
              <w:jc w:val="right"/>
              <w:rPr>
                <w:rFonts w:ascii="Gill Sans MT" w:hAnsi="Gill Sans MT"/>
                <w:b/>
                <w:sz w:val="20"/>
              </w:rPr>
            </w:pPr>
            <w:r w:rsidRPr="00E43247">
              <w:rPr>
                <w:rFonts w:ascii="Gill Sans MT" w:hAnsi="Gill Sans MT"/>
                <w:b/>
                <w:sz w:val="20"/>
              </w:rPr>
              <w:t>57 892</w:t>
            </w:r>
          </w:p>
        </w:tc>
        <w:tc>
          <w:tcPr>
            <w:tcW w:w="1134" w:type="dxa"/>
            <w:tcBorders>
              <w:top w:val="single" w:sz="4" w:space="0" w:color="004D8F"/>
              <w:bottom w:val="single" w:sz="4" w:space="0" w:color="004D8F"/>
            </w:tcBorders>
            <w:shd w:val="clear" w:color="auto" w:fill="auto"/>
          </w:tcPr>
          <w:p w:rsidR="00D04348" w:rsidRPr="00E43247" w:rsidRDefault="00D04348" w:rsidP="00BB38BD">
            <w:pPr>
              <w:pStyle w:val="TableParagraph"/>
              <w:spacing w:before="47"/>
              <w:ind w:right="169"/>
              <w:jc w:val="right"/>
              <w:rPr>
                <w:rFonts w:ascii="Gill Sans MT" w:hAnsi="Gill Sans MT"/>
                <w:b/>
                <w:sz w:val="20"/>
              </w:rPr>
            </w:pPr>
            <w:r w:rsidRPr="00E43247">
              <w:rPr>
                <w:rFonts w:ascii="Gill Sans MT" w:hAnsi="Gill Sans MT"/>
                <w:b/>
                <w:sz w:val="20"/>
              </w:rPr>
              <w:t>5 852</w:t>
            </w:r>
          </w:p>
        </w:tc>
        <w:tc>
          <w:tcPr>
            <w:tcW w:w="1276" w:type="dxa"/>
            <w:tcBorders>
              <w:top w:val="single" w:sz="4" w:space="0" w:color="004D8F"/>
              <w:bottom w:val="single" w:sz="4" w:space="0" w:color="004D8F"/>
            </w:tcBorders>
            <w:shd w:val="clear" w:color="auto" w:fill="auto"/>
          </w:tcPr>
          <w:p w:rsidR="00D04348" w:rsidRPr="00E43247" w:rsidRDefault="00D04348" w:rsidP="00E43247">
            <w:pPr>
              <w:pStyle w:val="TableParagraph"/>
              <w:spacing w:before="47"/>
              <w:ind w:right="167"/>
              <w:jc w:val="right"/>
              <w:rPr>
                <w:rFonts w:ascii="Gill Sans MT" w:hAnsi="Gill Sans MT"/>
                <w:b/>
                <w:sz w:val="20"/>
              </w:rPr>
            </w:pPr>
            <w:r w:rsidRPr="00E43247">
              <w:rPr>
                <w:rFonts w:ascii="Gill Sans MT" w:hAnsi="Gill Sans MT"/>
                <w:b/>
                <w:sz w:val="20"/>
              </w:rPr>
              <w:t>982 222</w:t>
            </w:r>
          </w:p>
        </w:tc>
      </w:tr>
    </w:tbl>
    <w:p w:rsidR="00D04348" w:rsidRDefault="00D04348" w:rsidP="00D04348">
      <w:pPr>
        <w:pStyle w:val="BodyText"/>
      </w:pPr>
    </w:p>
    <w:p w:rsidR="00E43247" w:rsidRDefault="00E43247" w:rsidP="00E43247">
      <w:pPr>
        <w:pStyle w:val="BodyText"/>
      </w:pPr>
      <w:r>
        <w:t>Fair value is defined as the price that would be received to sell an asset or paid to transfer a liability in an orderly transaction between market participants at measurement date. It is based on the principle of an exit price, and refers to the price an entity expects to receive when it sells an asset, or the price an entity expects to pay when it transfers a liability.</w:t>
      </w:r>
    </w:p>
    <w:p w:rsidR="00E43247" w:rsidRDefault="00E43247" w:rsidP="00E43247">
      <w:pPr>
        <w:pStyle w:val="BodyText"/>
      </w:pPr>
      <w:r>
        <w:t>Level 1 inputs are quoted prices (unadjusted) in active markets for identical assets or liabilities that the entity can access at the measurement date.</w:t>
      </w:r>
    </w:p>
    <w:p w:rsidR="00E43247" w:rsidRDefault="00E43247" w:rsidP="00E43247">
      <w:pPr>
        <w:pStyle w:val="BodyText"/>
      </w:pPr>
      <w:r>
        <w:t>Level 2 inputs are inputs other than quoted prices included within Level 1 that are observable for the asset or liability, either directly or indirectly.</w:t>
      </w:r>
    </w:p>
    <w:p w:rsidR="00E43247" w:rsidRDefault="00E43247" w:rsidP="00E43247">
      <w:pPr>
        <w:pStyle w:val="BodyText"/>
      </w:pPr>
      <w:r>
        <w:t>Level 3 inputs are unobservable inputs for the asset of liability. Unobservable inputs shall be used to measure the fair value to the extent that relevant observable inputs are not available.</w:t>
      </w:r>
    </w:p>
    <w:p w:rsidR="00E43247" w:rsidRDefault="00E43247">
      <w:pPr>
        <w:rPr>
          <w:rFonts w:ascii="Gill Sans MT" w:eastAsia="GillSans-Light" w:hAnsi="Gill Sans MT" w:cs="GillSans-Light"/>
          <w:lang w:val="en-US"/>
        </w:rPr>
      </w:pPr>
      <w:r>
        <w:br w:type="page"/>
      </w:r>
    </w:p>
    <w:p w:rsidR="00E43247" w:rsidRDefault="00E43247" w:rsidP="00621B34">
      <w:pPr>
        <w:pStyle w:val="BodyText"/>
        <w:numPr>
          <w:ilvl w:val="0"/>
          <w:numId w:val="52"/>
        </w:numPr>
        <w:ind w:left="567" w:hanging="567"/>
        <w:rPr>
          <w:b/>
        </w:rPr>
      </w:pPr>
      <w:r w:rsidRPr="00E43247">
        <w:rPr>
          <w:b/>
        </w:rPr>
        <w:lastRenderedPageBreak/>
        <w:t>Level 3 significant valuation inputs and relationship to fair value</w:t>
      </w:r>
    </w:p>
    <w:tbl>
      <w:tblPr>
        <w:tblStyle w:val="TableGrid"/>
        <w:tblW w:w="0" w:type="auto"/>
        <w:tblBorders>
          <w:left w:val="dotted" w:sz="4" w:space="0" w:color="auto"/>
          <w:right w:val="dotted" w:sz="4" w:space="0" w:color="auto"/>
          <w:insideV w:val="dotted" w:sz="4" w:space="0" w:color="auto"/>
        </w:tblBorders>
        <w:tblLook w:val="04A0" w:firstRow="1" w:lastRow="0" w:firstColumn="1" w:lastColumn="0" w:noHBand="0" w:noVBand="1"/>
        <w:tblCaption w:val="Property, Plant and Equipment"/>
        <w:tblDescription w:val="Level 3 significant valuation inputs and relationship to fair value"/>
      </w:tblPr>
      <w:tblGrid>
        <w:gridCol w:w="1668"/>
        <w:gridCol w:w="1559"/>
        <w:gridCol w:w="2941"/>
        <w:gridCol w:w="2056"/>
        <w:gridCol w:w="2057"/>
      </w:tblGrid>
      <w:tr w:rsidR="00E43247" w:rsidRPr="00E43247" w:rsidTr="00F73312">
        <w:trPr>
          <w:tblHeader/>
        </w:trPr>
        <w:tc>
          <w:tcPr>
            <w:tcW w:w="1668" w:type="dxa"/>
          </w:tcPr>
          <w:p w:rsidR="00E43247" w:rsidRPr="00E43247" w:rsidRDefault="00E43247" w:rsidP="00E43247">
            <w:pPr>
              <w:pStyle w:val="BodyText"/>
              <w:rPr>
                <w:b/>
                <w:sz w:val="18"/>
                <w:szCs w:val="18"/>
              </w:rPr>
            </w:pPr>
            <w:r w:rsidRPr="00E43247">
              <w:rPr>
                <w:b/>
                <w:sz w:val="18"/>
                <w:szCs w:val="18"/>
              </w:rPr>
              <w:t>Description</w:t>
            </w:r>
          </w:p>
        </w:tc>
        <w:tc>
          <w:tcPr>
            <w:tcW w:w="1559" w:type="dxa"/>
          </w:tcPr>
          <w:p w:rsidR="00E43247" w:rsidRPr="00E43247" w:rsidRDefault="00E43247" w:rsidP="00E43247">
            <w:pPr>
              <w:pStyle w:val="BodyText"/>
              <w:rPr>
                <w:b/>
                <w:sz w:val="18"/>
                <w:szCs w:val="18"/>
              </w:rPr>
            </w:pPr>
            <w:r w:rsidRPr="00E43247">
              <w:rPr>
                <w:b/>
                <w:sz w:val="18"/>
                <w:szCs w:val="18"/>
              </w:rPr>
              <w:t xml:space="preserve">Fair Value </w:t>
            </w:r>
            <w:r w:rsidRPr="00E43247">
              <w:rPr>
                <w:b/>
                <w:sz w:val="18"/>
                <w:szCs w:val="18"/>
              </w:rPr>
              <w:br/>
              <w:t>at 30 June</w:t>
            </w:r>
            <w:r w:rsidRPr="00E43247">
              <w:rPr>
                <w:b/>
                <w:sz w:val="18"/>
                <w:szCs w:val="18"/>
              </w:rPr>
              <w:br/>
              <w:t>$’000</w:t>
            </w:r>
          </w:p>
        </w:tc>
        <w:tc>
          <w:tcPr>
            <w:tcW w:w="2941" w:type="dxa"/>
          </w:tcPr>
          <w:p w:rsidR="00E43247" w:rsidRPr="00E43247" w:rsidRDefault="00E43247" w:rsidP="00E43247">
            <w:pPr>
              <w:pStyle w:val="BodyText"/>
              <w:rPr>
                <w:b/>
                <w:sz w:val="18"/>
                <w:szCs w:val="18"/>
              </w:rPr>
            </w:pPr>
            <w:r w:rsidRPr="00E43247">
              <w:rPr>
                <w:b/>
                <w:sz w:val="18"/>
                <w:szCs w:val="18"/>
              </w:rPr>
              <w:t>Significant unobservable inputs used in valuation</w:t>
            </w:r>
          </w:p>
        </w:tc>
        <w:tc>
          <w:tcPr>
            <w:tcW w:w="2056" w:type="dxa"/>
          </w:tcPr>
          <w:p w:rsidR="00E43247" w:rsidRPr="00E43247" w:rsidRDefault="00E43247" w:rsidP="00E43247">
            <w:pPr>
              <w:pStyle w:val="BodyText"/>
              <w:rPr>
                <w:b/>
                <w:sz w:val="18"/>
                <w:szCs w:val="18"/>
              </w:rPr>
            </w:pPr>
            <w:r w:rsidRPr="00E43247">
              <w:rPr>
                <w:b/>
                <w:sz w:val="18"/>
                <w:szCs w:val="18"/>
              </w:rPr>
              <w:t>Possible alternative values for level 3 inputs</w:t>
            </w:r>
          </w:p>
        </w:tc>
        <w:tc>
          <w:tcPr>
            <w:tcW w:w="2057" w:type="dxa"/>
          </w:tcPr>
          <w:p w:rsidR="00E43247" w:rsidRPr="00E43247" w:rsidRDefault="00E43247" w:rsidP="00E43247">
            <w:pPr>
              <w:pStyle w:val="BodyText"/>
              <w:rPr>
                <w:b/>
                <w:sz w:val="18"/>
                <w:szCs w:val="18"/>
              </w:rPr>
            </w:pPr>
            <w:r w:rsidRPr="00E43247">
              <w:rPr>
                <w:b/>
                <w:sz w:val="18"/>
                <w:szCs w:val="18"/>
              </w:rPr>
              <w:t>Sensitivity of fair value to changes in level 3 inputs</w:t>
            </w:r>
          </w:p>
        </w:tc>
      </w:tr>
      <w:tr w:rsidR="00E43247" w:rsidRPr="00E43247" w:rsidTr="00E43247">
        <w:tc>
          <w:tcPr>
            <w:tcW w:w="1668" w:type="dxa"/>
          </w:tcPr>
          <w:p w:rsidR="00E43247" w:rsidRPr="00E43247" w:rsidRDefault="00E43247" w:rsidP="00E43247">
            <w:pPr>
              <w:pStyle w:val="BodyText"/>
              <w:rPr>
                <w:sz w:val="18"/>
                <w:szCs w:val="18"/>
              </w:rPr>
            </w:pPr>
            <w:r w:rsidRPr="00E43247">
              <w:rPr>
                <w:sz w:val="18"/>
                <w:szCs w:val="18"/>
              </w:rPr>
              <w:t>Buildings</w:t>
            </w:r>
          </w:p>
        </w:tc>
        <w:tc>
          <w:tcPr>
            <w:tcW w:w="1559" w:type="dxa"/>
          </w:tcPr>
          <w:p w:rsidR="00E43247" w:rsidRPr="00E43247" w:rsidRDefault="00E43247" w:rsidP="00E43247">
            <w:pPr>
              <w:pStyle w:val="BodyText"/>
              <w:rPr>
                <w:sz w:val="18"/>
                <w:szCs w:val="18"/>
              </w:rPr>
            </w:pPr>
            <w:r w:rsidRPr="00E43247">
              <w:rPr>
                <w:sz w:val="18"/>
                <w:szCs w:val="18"/>
              </w:rPr>
              <w:t xml:space="preserve">862 050 </w:t>
            </w:r>
          </w:p>
        </w:tc>
        <w:tc>
          <w:tcPr>
            <w:tcW w:w="2941" w:type="dxa"/>
          </w:tcPr>
          <w:p w:rsidR="00E43247" w:rsidRPr="00E43247" w:rsidRDefault="00E43247" w:rsidP="00E43247">
            <w:pPr>
              <w:pStyle w:val="BodyText"/>
              <w:rPr>
                <w:sz w:val="18"/>
                <w:szCs w:val="18"/>
              </w:rPr>
            </w:pPr>
            <w:r w:rsidRPr="00E43247">
              <w:rPr>
                <w:sz w:val="18"/>
                <w:szCs w:val="18"/>
              </w:rPr>
              <w:t>A – Construction Costs</w:t>
            </w:r>
            <w:r>
              <w:rPr>
                <w:sz w:val="18"/>
                <w:szCs w:val="18"/>
              </w:rPr>
              <w:br/>
            </w:r>
            <w:r w:rsidRPr="00E43247">
              <w:rPr>
                <w:sz w:val="18"/>
                <w:szCs w:val="18"/>
              </w:rPr>
              <w:t>B – Age and condition of asset</w:t>
            </w:r>
            <w:r>
              <w:rPr>
                <w:sz w:val="18"/>
                <w:szCs w:val="18"/>
              </w:rPr>
              <w:br/>
            </w:r>
            <w:r w:rsidRPr="00E43247">
              <w:rPr>
                <w:sz w:val="18"/>
                <w:szCs w:val="18"/>
              </w:rPr>
              <w:t>C – Remaining useful life</w:t>
            </w:r>
          </w:p>
        </w:tc>
        <w:tc>
          <w:tcPr>
            <w:tcW w:w="2056" w:type="dxa"/>
          </w:tcPr>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When valuing these</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assets, their existing</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and alternative uses</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are taken into account</w:t>
            </w:r>
          </w:p>
          <w:p w:rsidR="00E43247" w:rsidRPr="00E43247" w:rsidRDefault="00E43247" w:rsidP="00E43247">
            <w:pPr>
              <w:autoSpaceDE w:val="0"/>
              <w:autoSpaceDN w:val="0"/>
              <w:adjustRightInd w:val="0"/>
              <w:rPr>
                <w:rFonts w:ascii="Gill Sans MT" w:hAnsi="Gill Sans MT" w:cs="GillSans-Light"/>
                <w:sz w:val="18"/>
                <w:szCs w:val="18"/>
              </w:rPr>
            </w:pPr>
            <w:proofErr w:type="gramStart"/>
            <w:r w:rsidRPr="00E43247">
              <w:rPr>
                <w:rFonts w:ascii="Gill Sans MT" w:hAnsi="Gill Sans MT" w:cs="GillSans-Light"/>
                <w:sz w:val="18"/>
                <w:szCs w:val="18"/>
              </w:rPr>
              <w:t>by</w:t>
            </w:r>
            <w:proofErr w:type="gramEnd"/>
            <w:r w:rsidRPr="00E43247">
              <w:rPr>
                <w:rFonts w:ascii="Gill Sans MT" w:hAnsi="Gill Sans MT" w:cs="GillSans-Light"/>
                <w:sz w:val="18"/>
                <w:szCs w:val="18"/>
              </w:rPr>
              <w:t xml:space="preserve"> valuers. As a</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result, it is unlikely</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that alternative values</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will arise unless there</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are changes in known</w:t>
            </w:r>
          </w:p>
          <w:p w:rsidR="00E43247" w:rsidRPr="00E43247" w:rsidRDefault="00E43247" w:rsidP="00E43247">
            <w:pPr>
              <w:pStyle w:val="BodyText"/>
              <w:rPr>
                <w:sz w:val="18"/>
                <w:szCs w:val="18"/>
              </w:rPr>
            </w:pPr>
            <w:proofErr w:type="gramStart"/>
            <w:r w:rsidRPr="00E43247">
              <w:rPr>
                <w:sz w:val="18"/>
                <w:szCs w:val="18"/>
              </w:rPr>
              <w:t>inputs</w:t>
            </w:r>
            <w:proofErr w:type="gramEnd"/>
            <w:r w:rsidRPr="00E43247">
              <w:rPr>
                <w:sz w:val="18"/>
                <w:szCs w:val="18"/>
              </w:rPr>
              <w:t>.</w:t>
            </w:r>
          </w:p>
        </w:tc>
        <w:tc>
          <w:tcPr>
            <w:tcW w:w="2057" w:type="dxa"/>
          </w:tcPr>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Tasmanian construction</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indexes have remained</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stable over the last</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12 months. Design</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and useful lives are</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reviewed regularly</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but generally remain</w:t>
            </w:r>
          </w:p>
          <w:p w:rsidR="00E43247" w:rsidRPr="00E43247" w:rsidRDefault="00E43247" w:rsidP="00E43247">
            <w:pPr>
              <w:autoSpaceDE w:val="0"/>
              <w:autoSpaceDN w:val="0"/>
              <w:adjustRightInd w:val="0"/>
              <w:rPr>
                <w:rFonts w:ascii="Gill Sans MT" w:hAnsi="Gill Sans MT" w:cs="GillSans-Light"/>
                <w:sz w:val="18"/>
                <w:szCs w:val="18"/>
              </w:rPr>
            </w:pPr>
            <w:proofErr w:type="gramStart"/>
            <w:r w:rsidRPr="00E43247">
              <w:rPr>
                <w:rFonts w:ascii="Gill Sans MT" w:hAnsi="Gill Sans MT" w:cs="GillSans-Light"/>
                <w:sz w:val="18"/>
                <w:szCs w:val="18"/>
              </w:rPr>
              <w:t>unchanged</w:t>
            </w:r>
            <w:proofErr w:type="gramEnd"/>
            <w:r w:rsidRPr="00E43247">
              <w:rPr>
                <w:rFonts w:ascii="Gill Sans MT" w:hAnsi="Gill Sans MT" w:cs="GillSans-Light"/>
                <w:sz w:val="18"/>
                <w:szCs w:val="18"/>
              </w:rPr>
              <w:t>. As a</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result, it is unlikely that</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significant variations in</w:t>
            </w:r>
          </w:p>
          <w:p w:rsidR="00E43247" w:rsidRPr="00E43247" w:rsidRDefault="00E43247" w:rsidP="00E43247">
            <w:pPr>
              <w:autoSpaceDE w:val="0"/>
              <w:autoSpaceDN w:val="0"/>
              <w:adjustRightInd w:val="0"/>
              <w:rPr>
                <w:rFonts w:ascii="Gill Sans MT" w:hAnsi="Gill Sans MT" w:cs="GillSans-Light"/>
                <w:sz w:val="18"/>
                <w:szCs w:val="18"/>
              </w:rPr>
            </w:pPr>
            <w:r w:rsidRPr="00E43247">
              <w:rPr>
                <w:rFonts w:ascii="Gill Sans MT" w:hAnsi="Gill Sans MT" w:cs="GillSans-Light"/>
                <w:sz w:val="18"/>
                <w:szCs w:val="18"/>
              </w:rPr>
              <w:t>values will arise in the</w:t>
            </w:r>
          </w:p>
          <w:p w:rsidR="00E43247" w:rsidRPr="00E43247" w:rsidRDefault="00E43247" w:rsidP="00E43247">
            <w:pPr>
              <w:pStyle w:val="BodyText"/>
              <w:rPr>
                <w:sz w:val="18"/>
                <w:szCs w:val="18"/>
              </w:rPr>
            </w:pPr>
            <w:proofErr w:type="gramStart"/>
            <w:r w:rsidRPr="00E43247">
              <w:rPr>
                <w:sz w:val="18"/>
                <w:szCs w:val="18"/>
              </w:rPr>
              <w:t>short</w:t>
            </w:r>
            <w:proofErr w:type="gramEnd"/>
            <w:r w:rsidRPr="00E43247">
              <w:rPr>
                <w:sz w:val="18"/>
                <w:szCs w:val="18"/>
              </w:rPr>
              <w:t xml:space="preserve"> term.</w:t>
            </w:r>
          </w:p>
        </w:tc>
      </w:tr>
    </w:tbl>
    <w:p w:rsidR="00E43247" w:rsidRDefault="00E43247" w:rsidP="00E43247">
      <w:pPr>
        <w:pStyle w:val="BodyText"/>
        <w:rPr>
          <w:b/>
        </w:rPr>
      </w:pPr>
    </w:p>
    <w:p w:rsidR="00E43247" w:rsidRDefault="00E43247" w:rsidP="00E43247">
      <w:pPr>
        <w:pStyle w:val="Heading5"/>
      </w:pPr>
      <w:r>
        <w:t>8.6 Intangibles</w:t>
      </w:r>
    </w:p>
    <w:p w:rsidR="00E43247" w:rsidRDefault="00E43247" w:rsidP="00E43247">
      <w:pPr>
        <w:pStyle w:val="BodyText"/>
      </w:pPr>
      <w:r>
        <w:t>An intangible asset is recognised where:</w:t>
      </w:r>
    </w:p>
    <w:p w:rsidR="00E43247" w:rsidRDefault="00E43247" w:rsidP="00621B34">
      <w:pPr>
        <w:pStyle w:val="BodyText"/>
        <w:numPr>
          <w:ilvl w:val="0"/>
          <w:numId w:val="53"/>
        </w:numPr>
        <w:ind w:left="567" w:hanging="567"/>
      </w:pPr>
      <w:r>
        <w:t>it is probable that an expected future benefit attributable to the asset will flow to the THS; and</w:t>
      </w:r>
    </w:p>
    <w:p w:rsidR="00E43247" w:rsidRDefault="00E43247" w:rsidP="00621B34">
      <w:pPr>
        <w:pStyle w:val="BodyText"/>
        <w:numPr>
          <w:ilvl w:val="0"/>
          <w:numId w:val="53"/>
        </w:numPr>
        <w:ind w:left="567" w:hanging="567"/>
      </w:pPr>
      <w:proofErr w:type="gramStart"/>
      <w:r>
        <w:t>the</w:t>
      </w:r>
      <w:proofErr w:type="gramEnd"/>
      <w:r>
        <w:t xml:space="preserve"> cost of the asset can be reliably measured.</w:t>
      </w:r>
    </w:p>
    <w:p w:rsidR="00E43247" w:rsidRDefault="00E43247" w:rsidP="00E43247">
      <w:pPr>
        <w:pStyle w:val="BodyText"/>
      </w:pPr>
      <w:r>
        <w:t>Intangible assets held by the THS are valued at fair value less any subsequent accumulated amortisation and any subsequent accumulated impairment losses where an active market exists. Where no active market exists, intangible assets held by the THS are valued at cost less any subsequent accumulated amortization and any subsequent accumulated impairment losses.</w:t>
      </w:r>
    </w:p>
    <w:p w:rsidR="00E43247" w:rsidRDefault="00E43247" w:rsidP="00E43247">
      <w:pPr>
        <w:pStyle w:val="BodyText"/>
        <w:ind w:left="567" w:hanging="567"/>
        <w:rPr>
          <w:b/>
        </w:rPr>
      </w:pPr>
      <w:r w:rsidRPr="00E43247">
        <w:rPr>
          <w:b/>
        </w:rPr>
        <w:t xml:space="preserve">(a) </w:t>
      </w:r>
      <w:r>
        <w:rPr>
          <w:b/>
        </w:rPr>
        <w:tab/>
      </w:r>
      <w:r w:rsidRPr="00E43247">
        <w:rPr>
          <w:b/>
        </w:rPr>
        <w:t>Carrying amount</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Intangibles"/>
        <w:tblDescription w:val="Carrying Amount"/>
      </w:tblPr>
      <w:tblGrid>
        <w:gridCol w:w="8222"/>
        <w:gridCol w:w="2093"/>
      </w:tblGrid>
      <w:tr w:rsidR="00F73312" w:rsidRPr="00F73312" w:rsidTr="00F73312">
        <w:trPr>
          <w:tblHeader/>
        </w:trPr>
        <w:tc>
          <w:tcPr>
            <w:tcW w:w="8222" w:type="dxa"/>
            <w:tcBorders>
              <w:top w:val="single" w:sz="4" w:space="0" w:color="auto"/>
              <w:left w:val="dotted" w:sz="4" w:space="0" w:color="auto"/>
              <w:bottom w:val="single" w:sz="4" w:space="0" w:color="auto"/>
            </w:tcBorders>
          </w:tcPr>
          <w:p w:rsidR="00F73312" w:rsidRPr="00F73312" w:rsidRDefault="00F73312" w:rsidP="00E43247">
            <w:pPr>
              <w:pStyle w:val="BodyText"/>
              <w:rPr>
                <w:b/>
              </w:rPr>
            </w:pPr>
            <w:r w:rsidRPr="00F73312">
              <w:rPr>
                <w:b/>
              </w:rPr>
              <w:t>Intangibles with finite useful life</w:t>
            </w:r>
          </w:p>
        </w:tc>
        <w:tc>
          <w:tcPr>
            <w:tcW w:w="2093" w:type="dxa"/>
            <w:tcBorders>
              <w:top w:val="single" w:sz="4" w:space="0" w:color="auto"/>
              <w:bottom w:val="single" w:sz="4" w:space="0" w:color="auto"/>
              <w:right w:val="dotted" w:sz="4" w:space="0" w:color="auto"/>
            </w:tcBorders>
          </w:tcPr>
          <w:p w:rsidR="00F73312" w:rsidRPr="00F73312" w:rsidRDefault="00F73312" w:rsidP="00F73312">
            <w:pPr>
              <w:pStyle w:val="BodyText"/>
              <w:ind w:right="284"/>
              <w:jc w:val="right"/>
              <w:rPr>
                <w:b/>
              </w:rPr>
            </w:pPr>
            <w:r w:rsidRPr="00F73312">
              <w:rPr>
                <w:b/>
              </w:rPr>
              <w:t>2016</w:t>
            </w:r>
            <w:r w:rsidRPr="00F73312">
              <w:rPr>
                <w:b/>
              </w:rPr>
              <w:br/>
              <w:t>$’000</w:t>
            </w:r>
          </w:p>
        </w:tc>
      </w:tr>
      <w:tr w:rsidR="00F73312" w:rsidRPr="00F73312" w:rsidTr="00F73312">
        <w:tc>
          <w:tcPr>
            <w:tcW w:w="8222" w:type="dxa"/>
            <w:tcBorders>
              <w:top w:val="single" w:sz="4" w:space="0" w:color="auto"/>
              <w:left w:val="dotted" w:sz="4" w:space="0" w:color="auto"/>
            </w:tcBorders>
          </w:tcPr>
          <w:p w:rsidR="00F73312" w:rsidRPr="00F73312" w:rsidRDefault="00F73312" w:rsidP="00E43247">
            <w:pPr>
              <w:pStyle w:val="BodyText"/>
              <w:rPr>
                <w:b/>
              </w:rPr>
            </w:pPr>
            <w:r w:rsidRPr="00F73312">
              <w:rPr>
                <w:sz w:val="20"/>
                <w:szCs w:val="20"/>
              </w:rPr>
              <w:t>Other non-current assets at cost</w:t>
            </w:r>
          </w:p>
        </w:tc>
        <w:tc>
          <w:tcPr>
            <w:tcW w:w="2093" w:type="dxa"/>
            <w:tcBorders>
              <w:top w:val="single" w:sz="4" w:space="0" w:color="auto"/>
              <w:right w:val="dotted" w:sz="4" w:space="0" w:color="auto"/>
            </w:tcBorders>
          </w:tcPr>
          <w:p w:rsidR="00F73312" w:rsidRPr="00F73312" w:rsidRDefault="00F73312" w:rsidP="00F73312">
            <w:pPr>
              <w:pStyle w:val="BodyText"/>
              <w:ind w:right="284"/>
              <w:jc w:val="right"/>
            </w:pPr>
            <w:r w:rsidRPr="00F73312">
              <w:t>937</w:t>
            </w:r>
          </w:p>
        </w:tc>
      </w:tr>
      <w:tr w:rsidR="00F73312" w:rsidRPr="00F73312" w:rsidTr="00F73312">
        <w:tc>
          <w:tcPr>
            <w:tcW w:w="8222" w:type="dxa"/>
            <w:tcBorders>
              <w:left w:val="dotted" w:sz="4" w:space="0" w:color="auto"/>
            </w:tcBorders>
          </w:tcPr>
          <w:p w:rsidR="00F73312" w:rsidRPr="00F73312" w:rsidRDefault="00F73312" w:rsidP="00E43247">
            <w:pPr>
              <w:pStyle w:val="BodyText"/>
              <w:rPr>
                <w:b/>
              </w:rPr>
            </w:pPr>
            <w:r w:rsidRPr="00F73312">
              <w:rPr>
                <w:sz w:val="20"/>
                <w:szCs w:val="20"/>
              </w:rPr>
              <w:t>Less: Accumulated amortisation</w:t>
            </w:r>
          </w:p>
        </w:tc>
        <w:tc>
          <w:tcPr>
            <w:tcW w:w="2093" w:type="dxa"/>
            <w:tcBorders>
              <w:right w:val="dotted" w:sz="4" w:space="0" w:color="auto"/>
            </w:tcBorders>
          </w:tcPr>
          <w:p w:rsidR="00F73312" w:rsidRPr="00F73312" w:rsidRDefault="00F73312" w:rsidP="00F73312">
            <w:pPr>
              <w:pStyle w:val="BodyText"/>
              <w:ind w:right="284"/>
              <w:jc w:val="right"/>
            </w:pPr>
            <w:r w:rsidRPr="00F73312">
              <w:t>(428)</w:t>
            </w:r>
          </w:p>
        </w:tc>
      </w:tr>
      <w:tr w:rsidR="00F73312" w:rsidRPr="00F73312" w:rsidTr="00F73312">
        <w:tc>
          <w:tcPr>
            <w:tcW w:w="8222" w:type="dxa"/>
            <w:tcBorders>
              <w:left w:val="dotted" w:sz="4" w:space="0" w:color="auto"/>
            </w:tcBorders>
          </w:tcPr>
          <w:p w:rsidR="00F73312" w:rsidRPr="00F73312" w:rsidRDefault="00F73312" w:rsidP="00E43247">
            <w:pPr>
              <w:pStyle w:val="BodyText"/>
              <w:rPr>
                <w:b/>
              </w:rPr>
            </w:pPr>
            <w:r w:rsidRPr="00F73312">
              <w:rPr>
                <w:rFonts w:cs="GillSans-SemiBold"/>
                <w:b/>
                <w:bCs/>
                <w:sz w:val="20"/>
                <w:szCs w:val="20"/>
              </w:rPr>
              <w:t>Total</w:t>
            </w:r>
          </w:p>
        </w:tc>
        <w:tc>
          <w:tcPr>
            <w:tcW w:w="2093" w:type="dxa"/>
            <w:tcBorders>
              <w:right w:val="dotted" w:sz="4" w:space="0" w:color="auto"/>
            </w:tcBorders>
          </w:tcPr>
          <w:p w:rsidR="00F73312" w:rsidRPr="00F73312" w:rsidRDefault="00F73312" w:rsidP="00F73312">
            <w:pPr>
              <w:pStyle w:val="BodyText"/>
              <w:ind w:right="284"/>
              <w:jc w:val="right"/>
              <w:rPr>
                <w:b/>
              </w:rPr>
            </w:pPr>
            <w:r w:rsidRPr="00F73312">
              <w:rPr>
                <w:b/>
              </w:rPr>
              <w:t>509</w:t>
            </w:r>
          </w:p>
        </w:tc>
      </w:tr>
      <w:tr w:rsidR="00F73312" w:rsidRPr="00F73312" w:rsidTr="00F73312">
        <w:tc>
          <w:tcPr>
            <w:tcW w:w="8222" w:type="dxa"/>
            <w:tcBorders>
              <w:left w:val="dotted" w:sz="4" w:space="0" w:color="auto"/>
              <w:bottom w:val="single" w:sz="4" w:space="0" w:color="auto"/>
            </w:tcBorders>
          </w:tcPr>
          <w:p w:rsidR="00F73312" w:rsidRPr="00F73312" w:rsidRDefault="00F73312" w:rsidP="00E43247">
            <w:pPr>
              <w:pStyle w:val="BodyText"/>
              <w:rPr>
                <w:b/>
              </w:rPr>
            </w:pPr>
            <w:r w:rsidRPr="00F73312">
              <w:rPr>
                <w:sz w:val="20"/>
                <w:szCs w:val="20"/>
              </w:rPr>
              <w:t>Capital work in progress</w:t>
            </w:r>
          </w:p>
        </w:tc>
        <w:tc>
          <w:tcPr>
            <w:tcW w:w="2093" w:type="dxa"/>
            <w:tcBorders>
              <w:bottom w:val="single" w:sz="4" w:space="0" w:color="auto"/>
              <w:right w:val="dotted" w:sz="4" w:space="0" w:color="auto"/>
            </w:tcBorders>
          </w:tcPr>
          <w:p w:rsidR="00F73312" w:rsidRPr="00F73312" w:rsidRDefault="00F73312" w:rsidP="00F73312">
            <w:pPr>
              <w:pStyle w:val="BodyText"/>
              <w:ind w:right="284"/>
              <w:jc w:val="right"/>
            </w:pPr>
            <w:r w:rsidRPr="00F73312">
              <w:t>191</w:t>
            </w:r>
          </w:p>
        </w:tc>
      </w:tr>
      <w:tr w:rsidR="00F73312" w:rsidRPr="00F73312" w:rsidTr="00F73312">
        <w:tc>
          <w:tcPr>
            <w:tcW w:w="8222" w:type="dxa"/>
            <w:tcBorders>
              <w:top w:val="single" w:sz="4" w:space="0" w:color="auto"/>
              <w:left w:val="dotted" w:sz="4" w:space="0" w:color="auto"/>
              <w:bottom w:val="single" w:sz="4" w:space="0" w:color="auto"/>
            </w:tcBorders>
          </w:tcPr>
          <w:p w:rsidR="00F73312" w:rsidRPr="00F73312" w:rsidRDefault="00F73312" w:rsidP="00F73312">
            <w:pPr>
              <w:pStyle w:val="BodyText"/>
              <w:rPr>
                <w:b/>
              </w:rPr>
            </w:pPr>
            <w:r w:rsidRPr="00F73312">
              <w:rPr>
                <w:rFonts w:cs="GillSans-SemiBold"/>
                <w:b/>
                <w:bCs/>
                <w:sz w:val="20"/>
                <w:szCs w:val="20"/>
              </w:rPr>
              <w:t>Total Intangibles</w:t>
            </w:r>
          </w:p>
        </w:tc>
        <w:tc>
          <w:tcPr>
            <w:tcW w:w="2093" w:type="dxa"/>
            <w:tcBorders>
              <w:top w:val="single" w:sz="4" w:space="0" w:color="auto"/>
              <w:bottom w:val="single" w:sz="4" w:space="0" w:color="auto"/>
              <w:right w:val="dotted" w:sz="4" w:space="0" w:color="auto"/>
            </w:tcBorders>
          </w:tcPr>
          <w:p w:rsidR="00F73312" w:rsidRPr="00F73312" w:rsidRDefault="00F73312" w:rsidP="00F73312">
            <w:pPr>
              <w:pStyle w:val="BodyText"/>
              <w:ind w:right="284"/>
              <w:jc w:val="right"/>
              <w:rPr>
                <w:b/>
              </w:rPr>
            </w:pPr>
            <w:r w:rsidRPr="00F73312">
              <w:rPr>
                <w:b/>
              </w:rPr>
              <w:t>700</w:t>
            </w:r>
          </w:p>
        </w:tc>
      </w:tr>
    </w:tbl>
    <w:p w:rsidR="00F73312" w:rsidRDefault="00F73312" w:rsidP="00E43247">
      <w:pPr>
        <w:pStyle w:val="BodyText"/>
        <w:ind w:left="567" w:hanging="567"/>
        <w:rPr>
          <w:b/>
        </w:rPr>
      </w:pPr>
    </w:p>
    <w:p w:rsidR="00F73312" w:rsidRDefault="00F73312">
      <w:pPr>
        <w:rPr>
          <w:rFonts w:ascii="Gill Sans MT" w:eastAsia="GillSans-Light" w:hAnsi="Gill Sans MT" w:cs="GillSans-Light"/>
          <w:b/>
          <w:lang w:val="en-US"/>
        </w:rPr>
      </w:pPr>
      <w:r>
        <w:rPr>
          <w:b/>
        </w:rPr>
        <w:br w:type="page"/>
      </w:r>
    </w:p>
    <w:p w:rsidR="00E43247" w:rsidRDefault="00F73312" w:rsidP="00E43247">
      <w:pPr>
        <w:pStyle w:val="BodyText"/>
        <w:rPr>
          <w:b/>
        </w:rPr>
      </w:pPr>
      <w:r>
        <w:rPr>
          <w:b/>
        </w:rPr>
        <w:lastRenderedPageBreak/>
        <w:t xml:space="preserve">(b) </w:t>
      </w:r>
      <w:r>
        <w:rPr>
          <w:b/>
        </w:rPr>
        <w:tab/>
        <w:t>Reconciliation of movements</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Intangibles"/>
        <w:tblDescription w:val="Reconciliation of movements"/>
      </w:tblPr>
      <w:tblGrid>
        <w:gridCol w:w="8222"/>
        <w:gridCol w:w="2093"/>
      </w:tblGrid>
      <w:tr w:rsidR="00F73312" w:rsidRPr="00F73312" w:rsidTr="00BB38BD">
        <w:trPr>
          <w:tblHeader/>
        </w:trPr>
        <w:tc>
          <w:tcPr>
            <w:tcW w:w="8222" w:type="dxa"/>
            <w:tcBorders>
              <w:top w:val="single" w:sz="4" w:space="0" w:color="auto"/>
              <w:left w:val="dotted" w:sz="4" w:space="0" w:color="auto"/>
              <w:bottom w:val="single" w:sz="4" w:space="0" w:color="auto"/>
            </w:tcBorders>
          </w:tcPr>
          <w:p w:rsidR="00F73312" w:rsidRPr="00F73312" w:rsidRDefault="00F73312" w:rsidP="00BB38BD">
            <w:pPr>
              <w:pStyle w:val="BodyText"/>
              <w:rPr>
                <w:b/>
              </w:rPr>
            </w:pPr>
            <w:r w:rsidRPr="00F73312">
              <w:rPr>
                <w:b/>
              </w:rPr>
              <w:t>Description</w:t>
            </w:r>
          </w:p>
        </w:tc>
        <w:tc>
          <w:tcPr>
            <w:tcW w:w="2093" w:type="dxa"/>
            <w:tcBorders>
              <w:top w:val="single" w:sz="4" w:space="0" w:color="auto"/>
              <w:bottom w:val="single" w:sz="4" w:space="0" w:color="auto"/>
              <w:right w:val="dotted" w:sz="4" w:space="0" w:color="auto"/>
            </w:tcBorders>
          </w:tcPr>
          <w:p w:rsidR="00F73312" w:rsidRPr="00F73312" w:rsidRDefault="00F73312" w:rsidP="00BB38BD">
            <w:pPr>
              <w:pStyle w:val="BodyText"/>
              <w:ind w:right="284"/>
              <w:jc w:val="right"/>
              <w:rPr>
                <w:b/>
              </w:rPr>
            </w:pPr>
            <w:r w:rsidRPr="00F73312">
              <w:rPr>
                <w:b/>
              </w:rPr>
              <w:t>2016</w:t>
            </w:r>
            <w:r w:rsidRPr="00F73312">
              <w:rPr>
                <w:b/>
              </w:rPr>
              <w:br/>
              <w:t>$’000</w:t>
            </w:r>
          </w:p>
        </w:tc>
      </w:tr>
      <w:tr w:rsidR="00F73312" w:rsidRPr="00F73312" w:rsidTr="00BB38BD">
        <w:tc>
          <w:tcPr>
            <w:tcW w:w="8222" w:type="dxa"/>
            <w:tcBorders>
              <w:top w:val="single" w:sz="4" w:space="0" w:color="auto"/>
              <w:left w:val="dotted" w:sz="4" w:space="0" w:color="auto"/>
            </w:tcBorders>
          </w:tcPr>
          <w:p w:rsidR="00F73312" w:rsidRPr="00F73312" w:rsidRDefault="00F73312" w:rsidP="00BB38BD">
            <w:pPr>
              <w:pStyle w:val="BodyText"/>
              <w:rPr>
                <w:b/>
              </w:rPr>
            </w:pPr>
            <w:r w:rsidRPr="00F73312">
              <w:rPr>
                <w:rFonts w:cs="GillSans-SemiBold"/>
                <w:b/>
                <w:bCs/>
                <w:sz w:val="20"/>
                <w:szCs w:val="20"/>
              </w:rPr>
              <w:t>Carrying amount at 1 July</w:t>
            </w:r>
          </w:p>
        </w:tc>
        <w:tc>
          <w:tcPr>
            <w:tcW w:w="2093" w:type="dxa"/>
            <w:tcBorders>
              <w:top w:val="single" w:sz="4" w:space="0" w:color="auto"/>
              <w:right w:val="dotted" w:sz="4" w:space="0" w:color="auto"/>
            </w:tcBorders>
          </w:tcPr>
          <w:p w:rsidR="00F73312" w:rsidRPr="00F73312" w:rsidRDefault="00F73312" w:rsidP="00BB38BD">
            <w:pPr>
              <w:pStyle w:val="BodyText"/>
              <w:ind w:right="284"/>
              <w:jc w:val="right"/>
            </w:pPr>
            <w:r w:rsidRPr="00F73312">
              <w:t>0</w:t>
            </w:r>
          </w:p>
        </w:tc>
      </w:tr>
      <w:tr w:rsidR="00F73312" w:rsidRPr="00F73312" w:rsidTr="00BB38BD">
        <w:tc>
          <w:tcPr>
            <w:tcW w:w="8222" w:type="dxa"/>
            <w:tcBorders>
              <w:left w:val="dotted" w:sz="4" w:space="0" w:color="auto"/>
            </w:tcBorders>
          </w:tcPr>
          <w:p w:rsidR="00F73312" w:rsidRPr="00F73312" w:rsidRDefault="00F73312" w:rsidP="00BB38BD">
            <w:pPr>
              <w:pStyle w:val="BodyText"/>
              <w:rPr>
                <w:b/>
              </w:rPr>
            </w:pPr>
            <w:r w:rsidRPr="00F73312">
              <w:rPr>
                <w:sz w:val="20"/>
                <w:szCs w:val="20"/>
              </w:rPr>
              <w:t>Intangible Assets - purchases</w:t>
            </w:r>
          </w:p>
        </w:tc>
        <w:tc>
          <w:tcPr>
            <w:tcW w:w="2093" w:type="dxa"/>
            <w:tcBorders>
              <w:right w:val="dotted" w:sz="4" w:space="0" w:color="auto"/>
            </w:tcBorders>
          </w:tcPr>
          <w:p w:rsidR="00F73312" w:rsidRPr="00F73312" w:rsidRDefault="00F73312" w:rsidP="00BB38BD">
            <w:pPr>
              <w:pStyle w:val="BodyText"/>
              <w:ind w:right="284"/>
              <w:jc w:val="right"/>
            </w:pPr>
            <w:r w:rsidRPr="00F73312">
              <w:t>29</w:t>
            </w:r>
          </w:p>
        </w:tc>
      </w:tr>
      <w:tr w:rsidR="00F73312" w:rsidRPr="00F73312" w:rsidTr="00BB38BD">
        <w:tc>
          <w:tcPr>
            <w:tcW w:w="8222" w:type="dxa"/>
            <w:tcBorders>
              <w:left w:val="dotted" w:sz="4" w:space="0" w:color="auto"/>
            </w:tcBorders>
          </w:tcPr>
          <w:p w:rsidR="00F73312" w:rsidRPr="00F73312" w:rsidRDefault="00F73312" w:rsidP="00BB38BD">
            <w:pPr>
              <w:pStyle w:val="BodyText"/>
              <w:rPr>
                <w:b/>
              </w:rPr>
            </w:pPr>
            <w:r w:rsidRPr="00F73312">
              <w:rPr>
                <w:sz w:val="20"/>
                <w:szCs w:val="20"/>
              </w:rPr>
              <w:t>Net transfers through restructuring</w:t>
            </w:r>
          </w:p>
        </w:tc>
        <w:tc>
          <w:tcPr>
            <w:tcW w:w="2093" w:type="dxa"/>
            <w:tcBorders>
              <w:right w:val="dotted" w:sz="4" w:space="0" w:color="auto"/>
            </w:tcBorders>
          </w:tcPr>
          <w:p w:rsidR="00F73312" w:rsidRPr="00F73312" w:rsidRDefault="00F73312" w:rsidP="00BB38BD">
            <w:pPr>
              <w:pStyle w:val="BodyText"/>
              <w:ind w:right="284"/>
              <w:jc w:val="right"/>
            </w:pPr>
            <w:r w:rsidRPr="00F73312">
              <w:t>784</w:t>
            </w:r>
          </w:p>
        </w:tc>
      </w:tr>
      <w:tr w:rsidR="00F73312" w:rsidRPr="00F73312" w:rsidTr="00BB38BD">
        <w:tc>
          <w:tcPr>
            <w:tcW w:w="8222" w:type="dxa"/>
            <w:tcBorders>
              <w:left w:val="dotted" w:sz="4" w:space="0" w:color="auto"/>
              <w:bottom w:val="single" w:sz="4" w:space="0" w:color="auto"/>
            </w:tcBorders>
          </w:tcPr>
          <w:p w:rsidR="00F73312" w:rsidRPr="00F73312" w:rsidRDefault="00F73312" w:rsidP="00BB38BD">
            <w:pPr>
              <w:pStyle w:val="BodyText"/>
              <w:rPr>
                <w:b/>
              </w:rPr>
            </w:pPr>
            <w:r w:rsidRPr="00F73312">
              <w:rPr>
                <w:sz w:val="20"/>
                <w:szCs w:val="20"/>
              </w:rPr>
              <w:t>Amortisation - Intangible Assets</w:t>
            </w:r>
          </w:p>
        </w:tc>
        <w:tc>
          <w:tcPr>
            <w:tcW w:w="2093" w:type="dxa"/>
            <w:tcBorders>
              <w:bottom w:val="single" w:sz="4" w:space="0" w:color="auto"/>
              <w:right w:val="dotted" w:sz="4" w:space="0" w:color="auto"/>
            </w:tcBorders>
          </w:tcPr>
          <w:p w:rsidR="00F73312" w:rsidRPr="00F73312" w:rsidRDefault="00F73312" w:rsidP="00BB38BD">
            <w:pPr>
              <w:pStyle w:val="BodyText"/>
              <w:ind w:right="284"/>
              <w:jc w:val="right"/>
            </w:pPr>
            <w:r w:rsidRPr="00F73312">
              <w:t>(113)</w:t>
            </w:r>
          </w:p>
        </w:tc>
      </w:tr>
      <w:tr w:rsidR="00F73312" w:rsidRPr="00F73312" w:rsidTr="00BB38BD">
        <w:tc>
          <w:tcPr>
            <w:tcW w:w="8222" w:type="dxa"/>
            <w:tcBorders>
              <w:top w:val="single" w:sz="4" w:space="0" w:color="auto"/>
              <w:left w:val="dotted" w:sz="4" w:space="0" w:color="auto"/>
              <w:bottom w:val="single" w:sz="4" w:space="0" w:color="auto"/>
            </w:tcBorders>
          </w:tcPr>
          <w:p w:rsidR="00F73312" w:rsidRPr="00F73312" w:rsidRDefault="00F73312" w:rsidP="00BB38BD">
            <w:pPr>
              <w:pStyle w:val="BodyText"/>
              <w:rPr>
                <w:b/>
              </w:rPr>
            </w:pPr>
            <w:r w:rsidRPr="00F73312">
              <w:rPr>
                <w:rFonts w:cs="GillSans-SemiBold"/>
                <w:b/>
                <w:bCs/>
                <w:sz w:val="20"/>
                <w:szCs w:val="20"/>
              </w:rPr>
              <w:t>Carrying amount at 30 June</w:t>
            </w:r>
          </w:p>
        </w:tc>
        <w:tc>
          <w:tcPr>
            <w:tcW w:w="2093" w:type="dxa"/>
            <w:tcBorders>
              <w:top w:val="single" w:sz="4" w:space="0" w:color="auto"/>
              <w:bottom w:val="single" w:sz="4" w:space="0" w:color="auto"/>
              <w:right w:val="dotted" w:sz="4" w:space="0" w:color="auto"/>
            </w:tcBorders>
          </w:tcPr>
          <w:p w:rsidR="00F73312" w:rsidRPr="00F73312" w:rsidRDefault="00F73312" w:rsidP="00BB38BD">
            <w:pPr>
              <w:pStyle w:val="BodyText"/>
              <w:ind w:right="284"/>
              <w:jc w:val="right"/>
              <w:rPr>
                <w:b/>
              </w:rPr>
            </w:pPr>
            <w:r w:rsidRPr="00F73312">
              <w:rPr>
                <w:b/>
              </w:rPr>
              <w:t>700</w:t>
            </w:r>
          </w:p>
        </w:tc>
      </w:tr>
    </w:tbl>
    <w:p w:rsidR="00F73312" w:rsidRDefault="00F73312" w:rsidP="00E43247">
      <w:pPr>
        <w:pStyle w:val="BodyText"/>
        <w:rPr>
          <w:b/>
        </w:rPr>
      </w:pPr>
    </w:p>
    <w:p w:rsidR="00F73312" w:rsidRDefault="00F73312" w:rsidP="00F73312">
      <w:pPr>
        <w:pStyle w:val="Heading5"/>
      </w:pPr>
      <w:r>
        <w:t>8.7</w:t>
      </w:r>
      <w:r>
        <w:tab/>
        <w:t>Other Assets</w:t>
      </w:r>
    </w:p>
    <w:p w:rsidR="00F73312" w:rsidRDefault="00F73312" w:rsidP="00F73312">
      <w:pPr>
        <w:pStyle w:val="BodyText"/>
      </w:pPr>
      <w:r>
        <w:t>Other assets are recorded at fair value and include prepayments.</w:t>
      </w:r>
    </w:p>
    <w:p w:rsidR="00F73312" w:rsidRPr="008F2289" w:rsidRDefault="00F73312" w:rsidP="00621B34">
      <w:pPr>
        <w:pStyle w:val="BodyText"/>
        <w:numPr>
          <w:ilvl w:val="0"/>
          <w:numId w:val="54"/>
        </w:numPr>
        <w:ind w:left="567" w:hanging="567"/>
        <w:rPr>
          <w:b/>
        </w:rPr>
      </w:pPr>
      <w:r w:rsidRPr="008F2289">
        <w:rPr>
          <w:b/>
        </w:rPr>
        <w:t>Carrying  amount</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Other Assets"/>
        <w:tblDescription w:val="Carrying amount"/>
      </w:tblPr>
      <w:tblGrid>
        <w:gridCol w:w="8222"/>
        <w:gridCol w:w="2093"/>
      </w:tblGrid>
      <w:tr w:rsidR="00F73312" w:rsidRPr="00F73312" w:rsidTr="008F2289">
        <w:trPr>
          <w:tblHeader/>
        </w:trPr>
        <w:tc>
          <w:tcPr>
            <w:tcW w:w="8222" w:type="dxa"/>
            <w:tcBorders>
              <w:top w:val="single" w:sz="4" w:space="0" w:color="auto"/>
              <w:left w:val="dotted" w:sz="4" w:space="0" w:color="auto"/>
              <w:bottom w:val="single" w:sz="4" w:space="0" w:color="auto"/>
            </w:tcBorders>
          </w:tcPr>
          <w:p w:rsidR="00F73312" w:rsidRPr="00F73312" w:rsidRDefault="00F73312" w:rsidP="00BB38BD">
            <w:pPr>
              <w:pStyle w:val="BodyText"/>
              <w:rPr>
                <w:b/>
              </w:rPr>
            </w:pPr>
            <w:r w:rsidRPr="00F73312">
              <w:rPr>
                <w:b/>
              </w:rPr>
              <w:t>Description</w:t>
            </w:r>
          </w:p>
        </w:tc>
        <w:tc>
          <w:tcPr>
            <w:tcW w:w="2093" w:type="dxa"/>
            <w:tcBorders>
              <w:top w:val="single" w:sz="4" w:space="0" w:color="auto"/>
              <w:bottom w:val="single" w:sz="4" w:space="0" w:color="auto"/>
              <w:right w:val="dotted" w:sz="4" w:space="0" w:color="auto"/>
            </w:tcBorders>
          </w:tcPr>
          <w:p w:rsidR="00F73312" w:rsidRPr="00F73312" w:rsidRDefault="00F73312" w:rsidP="00BB38BD">
            <w:pPr>
              <w:pStyle w:val="BodyText"/>
              <w:ind w:right="284"/>
              <w:jc w:val="right"/>
              <w:rPr>
                <w:b/>
              </w:rPr>
            </w:pPr>
            <w:r w:rsidRPr="00F73312">
              <w:rPr>
                <w:b/>
              </w:rPr>
              <w:t>2016</w:t>
            </w:r>
            <w:r w:rsidRPr="00F73312">
              <w:rPr>
                <w:b/>
              </w:rPr>
              <w:br/>
              <w:t>$’000</w:t>
            </w:r>
          </w:p>
        </w:tc>
      </w:tr>
      <w:tr w:rsidR="00F73312" w:rsidRPr="00F73312" w:rsidTr="008F2289">
        <w:tc>
          <w:tcPr>
            <w:tcW w:w="8222" w:type="dxa"/>
            <w:tcBorders>
              <w:top w:val="single" w:sz="4" w:space="0" w:color="auto"/>
              <w:left w:val="dotted" w:sz="4" w:space="0" w:color="auto"/>
            </w:tcBorders>
          </w:tcPr>
          <w:p w:rsidR="00F73312" w:rsidRPr="00F73312" w:rsidRDefault="00F73312" w:rsidP="00BB38BD">
            <w:pPr>
              <w:pStyle w:val="BodyText"/>
            </w:pPr>
            <w:r w:rsidRPr="00F73312">
              <w:rPr>
                <w:rFonts w:cs="GillSans-SemiBold"/>
                <w:bCs/>
                <w:sz w:val="20"/>
                <w:szCs w:val="20"/>
              </w:rPr>
              <w:t>Prepayments</w:t>
            </w:r>
          </w:p>
        </w:tc>
        <w:tc>
          <w:tcPr>
            <w:tcW w:w="2093" w:type="dxa"/>
            <w:tcBorders>
              <w:top w:val="single" w:sz="4" w:space="0" w:color="auto"/>
              <w:right w:val="dotted" w:sz="4" w:space="0" w:color="auto"/>
            </w:tcBorders>
          </w:tcPr>
          <w:p w:rsidR="00F73312" w:rsidRPr="00F73312" w:rsidRDefault="00F73312" w:rsidP="00BB38BD">
            <w:pPr>
              <w:pStyle w:val="BodyText"/>
              <w:ind w:right="284"/>
              <w:jc w:val="right"/>
            </w:pPr>
            <w:r>
              <w:t>4 375</w:t>
            </w:r>
          </w:p>
        </w:tc>
      </w:tr>
      <w:tr w:rsidR="00F73312" w:rsidRPr="00F73312" w:rsidTr="008F2289">
        <w:tc>
          <w:tcPr>
            <w:tcW w:w="8222" w:type="dxa"/>
            <w:tcBorders>
              <w:left w:val="dotted" w:sz="4" w:space="0" w:color="auto"/>
            </w:tcBorders>
          </w:tcPr>
          <w:p w:rsidR="00F73312" w:rsidRPr="00F73312" w:rsidRDefault="00F73312" w:rsidP="00BB38BD">
            <w:pPr>
              <w:pStyle w:val="BodyText"/>
              <w:rPr>
                <w:b/>
              </w:rPr>
            </w:pPr>
            <w:r w:rsidRPr="00F73312">
              <w:rPr>
                <w:b/>
                <w:sz w:val="20"/>
                <w:szCs w:val="20"/>
              </w:rPr>
              <w:t>Total</w:t>
            </w:r>
          </w:p>
        </w:tc>
        <w:tc>
          <w:tcPr>
            <w:tcW w:w="2093" w:type="dxa"/>
            <w:tcBorders>
              <w:right w:val="dotted" w:sz="4" w:space="0" w:color="auto"/>
            </w:tcBorders>
          </w:tcPr>
          <w:p w:rsidR="00F73312" w:rsidRPr="00F73312" w:rsidRDefault="00F73312" w:rsidP="00BB38BD">
            <w:pPr>
              <w:pStyle w:val="BodyText"/>
              <w:ind w:right="284"/>
              <w:jc w:val="right"/>
              <w:rPr>
                <w:b/>
              </w:rPr>
            </w:pPr>
            <w:r w:rsidRPr="00F73312">
              <w:rPr>
                <w:b/>
              </w:rPr>
              <w:t>4 375</w:t>
            </w:r>
          </w:p>
        </w:tc>
      </w:tr>
      <w:tr w:rsidR="00F73312" w:rsidRPr="00F73312" w:rsidTr="008F2289">
        <w:tc>
          <w:tcPr>
            <w:tcW w:w="8222" w:type="dxa"/>
            <w:tcBorders>
              <w:left w:val="dotted" w:sz="4" w:space="0" w:color="auto"/>
            </w:tcBorders>
          </w:tcPr>
          <w:p w:rsidR="00F73312" w:rsidRPr="00F73312" w:rsidRDefault="00F73312" w:rsidP="00BB38BD">
            <w:pPr>
              <w:pStyle w:val="BodyText"/>
              <w:rPr>
                <w:b/>
              </w:rPr>
            </w:pPr>
            <w:r>
              <w:rPr>
                <w:sz w:val="20"/>
                <w:szCs w:val="20"/>
              </w:rPr>
              <w:t>Recovered within 12 months</w:t>
            </w:r>
          </w:p>
        </w:tc>
        <w:tc>
          <w:tcPr>
            <w:tcW w:w="2093" w:type="dxa"/>
            <w:tcBorders>
              <w:right w:val="dotted" w:sz="4" w:space="0" w:color="auto"/>
            </w:tcBorders>
          </w:tcPr>
          <w:p w:rsidR="00F73312" w:rsidRPr="00F73312" w:rsidRDefault="00F73312" w:rsidP="00BB38BD">
            <w:pPr>
              <w:pStyle w:val="BodyText"/>
              <w:ind w:right="284"/>
              <w:jc w:val="right"/>
            </w:pPr>
            <w:r>
              <w:t>3 759</w:t>
            </w:r>
          </w:p>
        </w:tc>
      </w:tr>
      <w:tr w:rsidR="00F73312" w:rsidRPr="00F73312" w:rsidTr="008F2289">
        <w:tc>
          <w:tcPr>
            <w:tcW w:w="8222" w:type="dxa"/>
            <w:tcBorders>
              <w:left w:val="dotted" w:sz="4" w:space="0" w:color="auto"/>
              <w:bottom w:val="single" w:sz="4" w:space="0" w:color="auto"/>
            </w:tcBorders>
          </w:tcPr>
          <w:p w:rsidR="00F73312" w:rsidRPr="00F73312" w:rsidRDefault="00F73312" w:rsidP="00BB38BD">
            <w:pPr>
              <w:pStyle w:val="BodyText"/>
              <w:rPr>
                <w:b/>
              </w:rPr>
            </w:pPr>
            <w:r>
              <w:rPr>
                <w:sz w:val="20"/>
                <w:szCs w:val="20"/>
              </w:rPr>
              <w:t>Recovered in more than 12 months</w:t>
            </w:r>
          </w:p>
        </w:tc>
        <w:tc>
          <w:tcPr>
            <w:tcW w:w="2093" w:type="dxa"/>
            <w:tcBorders>
              <w:bottom w:val="single" w:sz="4" w:space="0" w:color="auto"/>
              <w:right w:val="dotted" w:sz="4" w:space="0" w:color="auto"/>
            </w:tcBorders>
          </w:tcPr>
          <w:p w:rsidR="00F73312" w:rsidRPr="00F73312" w:rsidRDefault="00F73312" w:rsidP="00BB38BD">
            <w:pPr>
              <w:pStyle w:val="BodyText"/>
              <w:ind w:right="284"/>
              <w:jc w:val="right"/>
            </w:pPr>
            <w:r>
              <w:t>616</w:t>
            </w:r>
          </w:p>
        </w:tc>
      </w:tr>
      <w:tr w:rsidR="00F73312" w:rsidRPr="00F73312" w:rsidTr="008F2289">
        <w:tc>
          <w:tcPr>
            <w:tcW w:w="8222" w:type="dxa"/>
            <w:tcBorders>
              <w:top w:val="single" w:sz="4" w:space="0" w:color="auto"/>
              <w:left w:val="dotted" w:sz="4" w:space="0" w:color="auto"/>
              <w:bottom w:val="single" w:sz="4" w:space="0" w:color="auto"/>
            </w:tcBorders>
          </w:tcPr>
          <w:p w:rsidR="00F73312" w:rsidRPr="00F73312" w:rsidRDefault="00F73312" w:rsidP="00BB38BD">
            <w:pPr>
              <w:pStyle w:val="BodyText"/>
              <w:rPr>
                <w:b/>
              </w:rPr>
            </w:pPr>
          </w:p>
        </w:tc>
        <w:tc>
          <w:tcPr>
            <w:tcW w:w="2093" w:type="dxa"/>
            <w:tcBorders>
              <w:top w:val="single" w:sz="4" w:space="0" w:color="auto"/>
              <w:bottom w:val="single" w:sz="4" w:space="0" w:color="auto"/>
              <w:right w:val="dotted" w:sz="4" w:space="0" w:color="auto"/>
            </w:tcBorders>
          </w:tcPr>
          <w:p w:rsidR="00F73312" w:rsidRPr="00F73312" w:rsidRDefault="00F73312" w:rsidP="00BB38BD">
            <w:pPr>
              <w:pStyle w:val="BodyText"/>
              <w:ind w:right="284"/>
              <w:jc w:val="right"/>
              <w:rPr>
                <w:b/>
              </w:rPr>
            </w:pPr>
            <w:r>
              <w:rPr>
                <w:b/>
              </w:rPr>
              <w:t>4 375</w:t>
            </w:r>
          </w:p>
        </w:tc>
      </w:tr>
    </w:tbl>
    <w:p w:rsidR="008F2289" w:rsidRDefault="008F2289" w:rsidP="008F2289">
      <w:pPr>
        <w:pStyle w:val="BodyText"/>
        <w:ind w:left="360"/>
      </w:pPr>
    </w:p>
    <w:p w:rsidR="00F73312" w:rsidRDefault="008F2289" w:rsidP="00621B34">
      <w:pPr>
        <w:pStyle w:val="BodyText"/>
        <w:numPr>
          <w:ilvl w:val="0"/>
          <w:numId w:val="54"/>
        </w:numPr>
        <w:ind w:left="567" w:hanging="567"/>
        <w:rPr>
          <w:b/>
        </w:rPr>
      </w:pPr>
      <w:r w:rsidRPr="008F2289">
        <w:rPr>
          <w:b/>
        </w:rPr>
        <w:t>Reconciliation of movements</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Other Assets"/>
        <w:tblDescription w:val="Reconciliation of movements"/>
      </w:tblPr>
      <w:tblGrid>
        <w:gridCol w:w="8222"/>
        <w:gridCol w:w="2093"/>
      </w:tblGrid>
      <w:tr w:rsidR="008F2289" w:rsidRPr="00F73312" w:rsidTr="00BB38BD">
        <w:trPr>
          <w:tblHeader/>
        </w:trPr>
        <w:tc>
          <w:tcPr>
            <w:tcW w:w="8222" w:type="dxa"/>
            <w:tcBorders>
              <w:top w:val="single" w:sz="4" w:space="0" w:color="auto"/>
              <w:left w:val="dotted" w:sz="4" w:space="0" w:color="auto"/>
              <w:bottom w:val="single" w:sz="4" w:space="0" w:color="auto"/>
            </w:tcBorders>
          </w:tcPr>
          <w:p w:rsidR="008F2289" w:rsidRPr="00F73312" w:rsidRDefault="008F2289" w:rsidP="00BB38BD">
            <w:pPr>
              <w:pStyle w:val="BodyText"/>
              <w:rPr>
                <w:b/>
              </w:rPr>
            </w:pPr>
            <w:r w:rsidRPr="00F73312">
              <w:rPr>
                <w:b/>
              </w:rPr>
              <w:t>Description</w:t>
            </w:r>
          </w:p>
        </w:tc>
        <w:tc>
          <w:tcPr>
            <w:tcW w:w="2093" w:type="dxa"/>
            <w:tcBorders>
              <w:top w:val="single" w:sz="4" w:space="0" w:color="auto"/>
              <w:bottom w:val="single" w:sz="4" w:space="0" w:color="auto"/>
              <w:right w:val="dotted" w:sz="4" w:space="0" w:color="auto"/>
            </w:tcBorders>
          </w:tcPr>
          <w:p w:rsidR="008F2289" w:rsidRPr="00F73312" w:rsidRDefault="008F2289" w:rsidP="00BB38BD">
            <w:pPr>
              <w:pStyle w:val="BodyText"/>
              <w:ind w:right="284"/>
              <w:jc w:val="right"/>
              <w:rPr>
                <w:b/>
              </w:rPr>
            </w:pPr>
            <w:r w:rsidRPr="00F73312">
              <w:rPr>
                <w:b/>
              </w:rPr>
              <w:t>2016</w:t>
            </w:r>
            <w:r w:rsidRPr="00F73312">
              <w:rPr>
                <w:b/>
              </w:rPr>
              <w:br/>
              <w:t>$’000</w:t>
            </w:r>
          </w:p>
        </w:tc>
      </w:tr>
      <w:tr w:rsidR="008F2289" w:rsidRPr="00F73312" w:rsidTr="00BB38BD">
        <w:tc>
          <w:tcPr>
            <w:tcW w:w="8222" w:type="dxa"/>
            <w:tcBorders>
              <w:top w:val="single" w:sz="4" w:space="0" w:color="auto"/>
              <w:left w:val="dotted" w:sz="4" w:space="0" w:color="auto"/>
            </w:tcBorders>
          </w:tcPr>
          <w:p w:rsidR="008F2289" w:rsidRPr="00F73312" w:rsidRDefault="008F2289" w:rsidP="00BB38BD">
            <w:pPr>
              <w:pStyle w:val="BodyText"/>
            </w:pPr>
            <w:r>
              <w:rPr>
                <w:rFonts w:cs="GillSans-SemiBold"/>
                <w:bCs/>
                <w:sz w:val="20"/>
                <w:szCs w:val="20"/>
              </w:rPr>
              <w:t>Carrying amount at 1 July</w:t>
            </w:r>
          </w:p>
        </w:tc>
        <w:tc>
          <w:tcPr>
            <w:tcW w:w="2093" w:type="dxa"/>
            <w:tcBorders>
              <w:top w:val="single" w:sz="4" w:space="0" w:color="auto"/>
              <w:right w:val="dotted" w:sz="4" w:space="0" w:color="auto"/>
            </w:tcBorders>
          </w:tcPr>
          <w:p w:rsidR="008F2289" w:rsidRPr="00F73312" w:rsidRDefault="008F2289" w:rsidP="00BB38BD">
            <w:pPr>
              <w:pStyle w:val="BodyText"/>
              <w:ind w:right="284"/>
              <w:jc w:val="right"/>
            </w:pPr>
            <w:r>
              <w:t>0</w:t>
            </w:r>
          </w:p>
        </w:tc>
      </w:tr>
      <w:tr w:rsidR="008F2289" w:rsidRPr="008F2289" w:rsidTr="00BB38BD">
        <w:tc>
          <w:tcPr>
            <w:tcW w:w="8222" w:type="dxa"/>
            <w:tcBorders>
              <w:left w:val="dotted" w:sz="4" w:space="0" w:color="auto"/>
            </w:tcBorders>
          </w:tcPr>
          <w:p w:rsidR="008F2289" w:rsidRPr="008F2289" w:rsidRDefault="008F2289" w:rsidP="00BB38BD">
            <w:pPr>
              <w:pStyle w:val="BodyText"/>
            </w:pPr>
            <w:r w:rsidRPr="008F2289">
              <w:rPr>
                <w:sz w:val="20"/>
                <w:szCs w:val="20"/>
              </w:rPr>
              <w:t>Additions</w:t>
            </w:r>
          </w:p>
        </w:tc>
        <w:tc>
          <w:tcPr>
            <w:tcW w:w="2093" w:type="dxa"/>
            <w:tcBorders>
              <w:right w:val="dotted" w:sz="4" w:space="0" w:color="auto"/>
            </w:tcBorders>
          </w:tcPr>
          <w:p w:rsidR="008F2289" w:rsidRPr="008F2289" w:rsidRDefault="008F2289" w:rsidP="00BB38BD">
            <w:pPr>
              <w:pStyle w:val="BodyText"/>
              <w:ind w:right="284"/>
              <w:jc w:val="right"/>
            </w:pPr>
            <w:r w:rsidRPr="008F2289">
              <w:t>4 375</w:t>
            </w:r>
          </w:p>
        </w:tc>
      </w:tr>
      <w:tr w:rsidR="008F2289" w:rsidRPr="00F73312" w:rsidTr="008F2289">
        <w:tc>
          <w:tcPr>
            <w:tcW w:w="8222" w:type="dxa"/>
            <w:tcBorders>
              <w:left w:val="dotted" w:sz="4" w:space="0" w:color="auto"/>
              <w:bottom w:val="single" w:sz="4" w:space="0" w:color="auto"/>
            </w:tcBorders>
          </w:tcPr>
          <w:p w:rsidR="008F2289" w:rsidRPr="00F73312" w:rsidRDefault="008F2289" w:rsidP="00BB38BD">
            <w:pPr>
              <w:pStyle w:val="BodyText"/>
              <w:rPr>
                <w:b/>
              </w:rPr>
            </w:pPr>
            <w:r>
              <w:rPr>
                <w:sz w:val="20"/>
                <w:szCs w:val="20"/>
              </w:rPr>
              <w:t>Utilisied</w:t>
            </w:r>
          </w:p>
        </w:tc>
        <w:tc>
          <w:tcPr>
            <w:tcW w:w="2093" w:type="dxa"/>
            <w:tcBorders>
              <w:bottom w:val="single" w:sz="4" w:space="0" w:color="auto"/>
              <w:right w:val="dotted" w:sz="4" w:space="0" w:color="auto"/>
            </w:tcBorders>
          </w:tcPr>
          <w:p w:rsidR="008F2289" w:rsidRPr="00F73312" w:rsidRDefault="008F2289" w:rsidP="00BB38BD">
            <w:pPr>
              <w:pStyle w:val="BodyText"/>
              <w:ind w:right="284"/>
              <w:jc w:val="right"/>
            </w:pPr>
            <w:r>
              <w:t>0</w:t>
            </w:r>
          </w:p>
        </w:tc>
      </w:tr>
      <w:tr w:rsidR="008F2289" w:rsidRPr="008F2289" w:rsidTr="008F2289">
        <w:tc>
          <w:tcPr>
            <w:tcW w:w="8222" w:type="dxa"/>
            <w:tcBorders>
              <w:top w:val="single" w:sz="4" w:space="0" w:color="auto"/>
              <w:left w:val="dotted" w:sz="4" w:space="0" w:color="auto"/>
              <w:bottom w:val="single" w:sz="4" w:space="0" w:color="auto"/>
            </w:tcBorders>
          </w:tcPr>
          <w:p w:rsidR="008F2289" w:rsidRPr="008F2289" w:rsidRDefault="008F2289" w:rsidP="00BB38BD">
            <w:pPr>
              <w:pStyle w:val="BodyText"/>
              <w:rPr>
                <w:b/>
              </w:rPr>
            </w:pPr>
            <w:r w:rsidRPr="008F2289">
              <w:rPr>
                <w:b/>
                <w:sz w:val="20"/>
                <w:szCs w:val="20"/>
              </w:rPr>
              <w:t>Carrying amount at 30 June</w:t>
            </w:r>
          </w:p>
        </w:tc>
        <w:tc>
          <w:tcPr>
            <w:tcW w:w="2093" w:type="dxa"/>
            <w:tcBorders>
              <w:top w:val="single" w:sz="4" w:space="0" w:color="auto"/>
              <w:bottom w:val="single" w:sz="4" w:space="0" w:color="auto"/>
              <w:right w:val="dotted" w:sz="4" w:space="0" w:color="auto"/>
            </w:tcBorders>
          </w:tcPr>
          <w:p w:rsidR="008F2289" w:rsidRPr="008F2289" w:rsidRDefault="008F2289" w:rsidP="00BB38BD">
            <w:pPr>
              <w:pStyle w:val="BodyText"/>
              <w:ind w:right="284"/>
              <w:jc w:val="right"/>
              <w:rPr>
                <w:b/>
              </w:rPr>
            </w:pPr>
            <w:r w:rsidRPr="008F2289">
              <w:rPr>
                <w:b/>
              </w:rPr>
              <w:t>4 375</w:t>
            </w:r>
          </w:p>
        </w:tc>
      </w:tr>
    </w:tbl>
    <w:p w:rsidR="008F2289" w:rsidRDefault="008F2289" w:rsidP="008F2289">
      <w:pPr>
        <w:pStyle w:val="BodyText"/>
        <w:rPr>
          <w:b/>
        </w:rPr>
      </w:pPr>
    </w:p>
    <w:p w:rsidR="008F2289" w:rsidRDefault="008F2289">
      <w:pPr>
        <w:rPr>
          <w:rFonts w:ascii="Gill Sans MT" w:eastAsia="GillSans-Light" w:hAnsi="Gill Sans MT" w:cs="GillSans-Light"/>
          <w:b/>
          <w:lang w:val="en-US"/>
        </w:rPr>
      </w:pPr>
      <w:r>
        <w:rPr>
          <w:b/>
        </w:rPr>
        <w:br w:type="page"/>
      </w:r>
    </w:p>
    <w:p w:rsidR="008F2289" w:rsidRDefault="008F2289" w:rsidP="008F2289">
      <w:pPr>
        <w:pStyle w:val="Heading4"/>
      </w:pPr>
      <w:r>
        <w:lastRenderedPageBreak/>
        <w:t>Note 9</w:t>
      </w:r>
      <w:r>
        <w:tab/>
        <w:t>Liabilities</w:t>
      </w:r>
    </w:p>
    <w:p w:rsidR="008F2289" w:rsidRDefault="008F2289" w:rsidP="008F2289">
      <w:pPr>
        <w:pStyle w:val="BodyText"/>
      </w:pPr>
      <w:r>
        <w:t>Liabilities are recognised in the Statement of Financial Position when it is probable that an outflow of resources embodying economic benefits will result from the settlement of a present obligation and the amount at which the settlement will take place can be measured reliably.</w:t>
      </w:r>
    </w:p>
    <w:p w:rsidR="008F2289" w:rsidRDefault="008F2289" w:rsidP="008F2289">
      <w:pPr>
        <w:pStyle w:val="Heading5"/>
      </w:pPr>
      <w:r>
        <w:t xml:space="preserve">9.1 </w:t>
      </w:r>
      <w:r>
        <w:tab/>
        <w:t>Payables</w:t>
      </w:r>
    </w:p>
    <w:p w:rsidR="008F2289" w:rsidRDefault="008F2289" w:rsidP="008F2289">
      <w:pPr>
        <w:pStyle w:val="BodyText"/>
      </w:pPr>
      <w:r>
        <w:t>Payables, including goods received and services incurred but not yet invoiced, are recognised at amortised cost, which due to the short settlement period, equates to face value, when the THS becomes obliged to make future payments as a result of a purchase of assets or services.</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Liabilities"/>
        <w:tblDescription w:val="Payables"/>
      </w:tblPr>
      <w:tblGrid>
        <w:gridCol w:w="8222"/>
        <w:gridCol w:w="2093"/>
      </w:tblGrid>
      <w:tr w:rsidR="008F2289" w:rsidRPr="00F73312" w:rsidTr="00BB38BD">
        <w:trPr>
          <w:tblHeader/>
        </w:trPr>
        <w:tc>
          <w:tcPr>
            <w:tcW w:w="8222" w:type="dxa"/>
            <w:tcBorders>
              <w:top w:val="single" w:sz="4" w:space="0" w:color="auto"/>
              <w:left w:val="dotted" w:sz="4" w:space="0" w:color="auto"/>
              <w:bottom w:val="single" w:sz="4" w:space="0" w:color="auto"/>
            </w:tcBorders>
          </w:tcPr>
          <w:p w:rsidR="008F2289" w:rsidRPr="00F73312" w:rsidRDefault="008F2289" w:rsidP="00BB38BD">
            <w:pPr>
              <w:pStyle w:val="BodyText"/>
              <w:rPr>
                <w:b/>
              </w:rPr>
            </w:pPr>
            <w:r>
              <w:rPr>
                <w:b/>
              </w:rPr>
              <w:t>Description</w:t>
            </w:r>
          </w:p>
        </w:tc>
        <w:tc>
          <w:tcPr>
            <w:tcW w:w="2093" w:type="dxa"/>
            <w:tcBorders>
              <w:top w:val="single" w:sz="4" w:space="0" w:color="auto"/>
              <w:bottom w:val="single" w:sz="4" w:space="0" w:color="auto"/>
              <w:right w:val="dotted" w:sz="4" w:space="0" w:color="auto"/>
            </w:tcBorders>
          </w:tcPr>
          <w:p w:rsidR="008F2289" w:rsidRPr="00F73312" w:rsidRDefault="008F2289" w:rsidP="00BB38BD">
            <w:pPr>
              <w:pStyle w:val="BodyText"/>
              <w:ind w:right="284"/>
              <w:jc w:val="right"/>
              <w:rPr>
                <w:b/>
              </w:rPr>
            </w:pPr>
            <w:r w:rsidRPr="00F73312">
              <w:rPr>
                <w:b/>
              </w:rPr>
              <w:t>2016</w:t>
            </w:r>
            <w:r w:rsidRPr="00F73312">
              <w:rPr>
                <w:b/>
              </w:rPr>
              <w:br/>
              <w:t>$’000</w:t>
            </w:r>
          </w:p>
        </w:tc>
      </w:tr>
      <w:tr w:rsidR="008F2289" w:rsidRPr="00F73312" w:rsidTr="00BB38BD">
        <w:tc>
          <w:tcPr>
            <w:tcW w:w="8222" w:type="dxa"/>
            <w:tcBorders>
              <w:top w:val="single" w:sz="4" w:space="0" w:color="auto"/>
              <w:left w:val="dotted" w:sz="4" w:space="0" w:color="auto"/>
            </w:tcBorders>
          </w:tcPr>
          <w:p w:rsidR="008F2289" w:rsidRPr="00F73312" w:rsidRDefault="008F2289" w:rsidP="00BB38BD">
            <w:pPr>
              <w:pStyle w:val="BodyText"/>
              <w:rPr>
                <w:b/>
              </w:rPr>
            </w:pPr>
            <w:r>
              <w:rPr>
                <w:sz w:val="20"/>
                <w:szCs w:val="20"/>
              </w:rPr>
              <w:t>Creditors</w:t>
            </w:r>
          </w:p>
        </w:tc>
        <w:tc>
          <w:tcPr>
            <w:tcW w:w="2093" w:type="dxa"/>
            <w:tcBorders>
              <w:top w:val="single" w:sz="4" w:space="0" w:color="auto"/>
              <w:right w:val="dotted" w:sz="4" w:space="0" w:color="auto"/>
            </w:tcBorders>
          </w:tcPr>
          <w:p w:rsidR="008F2289" w:rsidRPr="00F73312" w:rsidRDefault="008F2289" w:rsidP="00BB38BD">
            <w:pPr>
              <w:pStyle w:val="BodyText"/>
              <w:ind w:right="284"/>
              <w:jc w:val="right"/>
            </w:pPr>
            <w:r>
              <w:t>34 541</w:t>
            </w:r>
          </w:p>
        </w:tc>
      </w:tr>
      <w:tr w:rsidR="008F2289" w:rsidRPr="00F73312" w:rsidTr="00BB38BD">
        <w:tc>
          <w:tcPr>
            <w:tcW w:w="8222" w:type="dxa"/>
            <w:tcBorders>
              <w:left w:val="dotted" w:sz="4" w:space="0" w:color="auto"/>
            </w:tcBorders>
          </w:tcPr>
          <w:p w:rsidR="008F2289" w:rsidRPr="00F73312" w:rsidRDefault="008F2289" w:rsidP="00BB38BD">
            <w:pPr>
              <w:pStyle w:val="BodyText"/>
              <w:rPr>
                <w:b/>
              </w:rPr>
            </w:pPr>
            <w:r>
              <w:rPr>
                <w:sz w:val="20"/>
                <w:szCs w:val="20"/>
              </w:rPr>
              <w:t>Accrued Expenses</w:t>
            </w:r>
          </w:p>
        </w:tc>
        <w:tc>
          <w:tcPr>
            <w:tcW w:w="2093" w:type="dxa"/>
            <w:tcBorders>
              <w:right w:val="dotted" w:sz="4" w:space="0" w:color="auto"/>
            </w:tcBorders>
          </w:tcPr>
          <w:p w:rsidR="008F2289" w:rsidRPr="00F73312" w:rsidRDefault="008F2289" w:rsidP="00BB38BD">
            <w:pPr>
              <w:pStyle w:val="BodyText"/>
              <w:ind w:right="284"/>
              <w:jc w:val="right"/>
            </w:pPr>
            <w:r>
              <w:t>29 765</w:t>
            </w:r>
          </w:p>
        </w:tc>
      </w:tr>
      <w:tr w:rsidR="008F2289" w:rsidRPr="00F73312" w:rsidTr="00BB38BD">
        <w:tc>
          <w:tcPr>
            <w:tcW w:w="8222" w:type="dxa"/>
            <w:tcBorders>
              <w:left w:val="dotted" w:sz="4" w:space="0" w:color="auto"/>
            </w:tcBorders>
          </w:tcPr>
          <w:p w:rsidR="008F2289" w:rsidRPr="00F73312" w:rsidRDefault="008F2289" w:rsidP="00BB38BD">
            <w:pPr>
              <w:pStyle w:val="BodyText"/>
              <w:rPr>
                <w:b/>
              </w:rPr>
            </w:pPr>
            <w:r w:rsidRPr="00F73312">
              <w:rPr>
                <w:rFonts w:cs="GillSans-SemiBold"/>
                <w:b/>
                <w:bCs/>
                <w:sz w:val="20"/>
                <w:szCs w:val="20"/>
              </w:rPr>
              <w:t>Total</w:t>
            </w:r>
          </w:p>
        </w:tc>
        <w:tc>
          <w:tcPr>
            <w:tcW w:w="2093" w:type="dxa"/>
            <w:tcBorders>
              <w:right w:val="dotted" w:sz="4" w:space="0" w:color="auto"/>
            </w:tcBorders>
          </w:tcPr>
          <w:p w:rsidR="008F2289" w:rsidRPr="00F73312" w:rsidRDefault="008F2289" w:rsidP="00BB38BD">
            <w:pPr>
              <w:pStyle w:val="BodyText"/>
              <w:ind w:right="284"/>
              <w:jc w:val="right"/>
              <w:rPr>
                <w:b/>
              </w:rPr>
            </w:pPr>
            <w:r>
              <w:rPr>
                <w:b/>
              </w:rPr>
              <w:t>64 306</w:t>
            </w:r>
          </w:p>
        </w:tc>
      </w:tr>
      <w:tr w:rsidR="008F2289" w:rsidRPr="00F73312" w:rsidTr="00BB38BD">
        <w:tc>
          <w:tcPr>
            <w:tcW w:w="8222" w:type="dxa"/>
            <w:tcBorders>
              <w:left w:val="dotted" w:sz="4" w:space="0" w:color="auto"/>
              <w:bottom w:val="single" w:sz="4" w:space="0" w:color="auto"/>
            </w:tcBorders>
          </w:tcPr>
          <w:p w:rsidR="008F2289" w:rsidRPr="00F73312" w:rsidRDefault="008F2289" w:rsidP="00BB38BD">
            <w:pPr>
              <w:pStyle w:val="BodyText"/>
              <w:rPr>
                <w:b/>
              </w:rPr>
            </w:pPr>
            <w:r>
              <w:rPr>
                <w:sz w:val="20"/>
                <w:szCs w:val="20"/>
              </w:rPr>
              <w:t>Settled within 12 months</w:t>
            </w:r>
          </w:p>
        </w:tc>
        <w:tc>
          <w:tcPr>
            <w:tcW w:w="2093" w:type="dxa"/>
            <w:tcBorders>
              <w:bottom w:val="single" w:sz="4" w:space="0" w:color="auto"/>
              <w:right w:val="dotted" w:sz="4" w:space="0" w:color="auto"/>
            </w:tcBorders>
          </w:tcPr>
          <w:p w:rsidR="008F2289" w:rsidRPr="00F73312" w:rsidRDefault="008F2289" w:rsidP="00BB38BD">
            <w:pPr>
              <w:pStyle w:val="BodyText"/>
              <w:ind w:right="284"/>
              <w:jc w:val="right"/>
            </w:pPr>
            <w:r>
              <w:t>64 306</w:t>
            </w:r>
          </w:p>
        </w:tc>
      </w:tr>
      <w:tr w:rsidR="008F2289" w:rsidRPr="00F73312" w:rsidTr="00BB38BD">
        <w:tc>
          <w:tcPr>
            <w:tcW w:w="8222" w:type="dxa"/>
            <w:tcBorders>
              <w:top w:val="single" w:sz="4" w:space="0" w:color="auto"/>
              <w:left w:val="dotted" w:sz="4" w:space="0" w:color="auto"/>
              <w:bottom w:val="single" w:sz="4" w:space="0" w:color="auto"/>
            </w:tcBorders>
          </w:tcPr>
          <w:p w:rsidR="008F2289" w:rsidRPr="00F73312" w:rsidRDefault="008F2289" w:rsidP="00BB38BD">
            <w:pPr>
              <w:pStyle w:val="BodyText"/>
              <w:rPr>
                <w:b/>
              </w:rPr>
            </w:pPr>
            <w:r>
              <w:rPr>
                <w:rFonts w:cs="GillSans-SemiBold"/>
                <w:b/>
                <w:bCs/>
                <w:sz w:val="20"/>
                <w:szCs w:val="20"/>
              </w:rPr>
              <w:t>Total</w:t>
            </w:r>
          </w:p>
        </w:tc>
        <w:tc>
          <w:tcPr>
            <w:tcW w:w="2093" w:type="dxa"/>
            <w:tcBorders>
              <w:top w:val="single" w:sz="4" w:space="0" w:color="auto"/>
              <w:bottom w:val="single" w:sz="4" w:space="0" w:color="auto"/>
              <w:right w:val="dotted" w:sz="4" w:space="0" w:color="auto"/>
            </w:tcBorders>
          </w:tcPr>
          <w:p w:rsidR="008F2289" w:rsidRPr="00F73312" w:rsidRDefault="008F2289" w:rsidP="00BB38BD">
            <w:pPr>
              <w:pStyle w:val="BodyText"/>
              <w:ind w:right="284"/>
              <w:jc w:val="right"/>
              <w:rPr>
                <w:b/>
              </w:rPr>
            </w:pPr>
            <w:r>
              <w:rPr>
                <w:b/>
              </w:rPr>
              <w:t>64 306</w:t>
            </w:r>
          </w:p>
        </w:tc>
      </w:tr>
    </w:tbl>
    <w:p w:rsidR="008F2289" w:rsidRDefault="008F2289" w:rsidP="008F2289">
      <w:pPr>
        <w:pStyle w:val="BodyText"/>
      </w:pPr>
    </w:p>
    <w:p w:rsidR="008F2289" w:rsidRDefault="008F2289" w:rsidP="008F2289">
      <w:pPr>
        <w:pStyle w:val="BodyText"/>
      </w:pPr>
      <w:r>
        <w:t>Bank loans and other loans are initially measured at fair value, net of transaction costs. Bank loans and other loans are subsequently measured at amortised cost using the effective interest rate method, with interest expense recognised on an effective yield basis.</w:t>
      </w:r>
    </w:p>
    <w:p w:rsidR="008F2289" w:rsidRDefault="008F2289" w:rsidP="008F2289">
      <w:pPr>
        <w:pStyle w:val="BodyText"/>
      </w:pPr>
      <w:r>
        <w:t>The effective interest rate method is a method of calculating the amortised cost of a financial liability and allocating interest expense over the relevant period. The effective interest rate is the rate that exactly discounts estimated future cash payments through the expected life of the financial liability, or where appropriate, a shorter period.</w:t>
      </w:r>
    </w:p>
    <w:p w:rsidR="008F2289" w:rsidRDefault="008F2289" w:rsidP="008F2289">
      <w:pPr>
        <w:pStyle w:val="Heading4"/>
      </w:pPr>
      <w:r>
        <w:t xml:space="preserve">9.2 </w:t>
      </w:r>
      <w:r>
        <w:tab/>
        <w:t>Employee Benefits</w:t>
      </w:r>
      <w:r>
        <w:tab/>
      </w:r>
    </w:p>
    <w:p w:rsidR="008F2289" w:rsidRDefault="008F2289" w:rsidP="008F2289">
      <w:pPr>
        <w:pStyle w:val="BodyText"/>
      </w:pPr>
      <w:r>
        <w:t>Liabilities for wages and salaries and annual leave are recognised when an employee becomes entitled to receive a benefit. Those liabilities expected to be realised within 12 months are measured at the amount expected to be paid. Other employee entitlements are measured as the present value of the benefit at 30 June, where the impact of discounting is material, and at the amount expected to be paid if discounting is not material.</w:t>
      </w:r>
    </w:p>
    <w:p w:rsidR="008F2289" w:rsidRDefault="008F2289" w:rsidP="008F2289">
      <w:pPr>
        <w:pStyle w:val="BodyText"/>
      </w:pPr>
      <w:r>
        <w:t>A liability for long service leave is recognised, and is measured as the present value of expected future payments to be made in respect of services provided by employees up to the reporting date.</w:t>
      </w:r>
    </w:p>
    <w:tbl>
      <w:tblPr>
        <w:tblStyle w:val="TableGrid"/>
        <w:tblW w:w="0" w:type="auto"/>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Employee Benefits"/>
        <w:tblDescription w:val="Liabilities for wages, salaries and leave"/>
      </w:tblPr>
      <w:tblGrid>
        <w:gridCol w:w="8188"/>
        <w:gridCol w:w="2093"/>
      </w:tblGrid>
      <w:tr w:rsidR="008F2289" w:rsidRPr="008F2289" w:rsidTr="008F2289">
        <w:trPr>
          <w:tblHeader/>
        </w:trPr>
        <w:tc>
          <w:tcPr>
            <w:tcW w:w="8188" w:type="dxa"/>
            <w:tcBorders>
              <w:top w:val="single" w:sz="4" w:space="0" w:color="auto"/>
              <w:bottom w:val="single" w:sz="4" w:space="0" w:color="auto"/>
            </w:tcBorders>
          </w:tcPr>
          <w:p w:rsidR="008F2289" w:rsidRPr="008F2289" w:rsidRDefault="008F2289" w:rsidP="008F2289">
            <w:pPr>
              <w:pStyle w:val="BodyText"/>
              <w:rPr>
                <w:b/>
              </w:rPr>
            </w:pPr>
            <w:r w:rsidRPr="008F2289">
              <w:rPr>
                <w:b/>
              </w:rPr>
              <w:t>Description</w:t>
            </w:r>
          </w:p>
        </w:tc>
        <w:tc>
          <w:tcPr>
            <w:tcW w:w="2093" w:type="dxa"/>
            <w:tcBorders>
              <w:top w:val="single" w:sz="4" w:space="0" w:color="auto"/>
              <w:bottom w:val="single" w:sz="4" w:space="0" w:color="auto"/>
            </w:tcBorders>
          </w:tcPr>
          <w:p w:rsidR="008F2289" w:rsidRPr="008F2289" w:rsidRDefault="008F2289" w:rsidP="008F2289">
            <w:pPr>
              <w:pStyle w:val="BodyText"/>
              <w:jc w:val="right"/>
              <w:rPr>
                <w:b/>
              </w:rPr>
            </w:pPr>
            <w:r w:rsidRPr="008F2289">
              <w:rPr>
                <w:b/>
              </w:rPr>
              <w:t>2016</w:t>
            </w:r>
            <w:r w:rsidRPr="008F2289">
              <w:rPr>
                <w:b/>
              </w:rPr>
              <w:br/>
              <w:t>$’000</w:t>
            </w:r>
          </w:p>
        </w:tc>
      </w:tr>
      <w:tr w:rsidR="008F2289" w:rsidTr="008F2289">
        <w:tc>
          <w:tcPr>
            <w:tcW w:w="8188" w:type="dxa"/>
            <w:tcBorders>
              <w:top w:val="single" w:sz="4" w:space="0" w:color="auto"/>
            </w:tcBorders>
          </w:tcPr>
          <w:p w:rsidR="008F2289" w:rsidRDefault="008F2289" w:rsidP="008F2289">
            <w:pPr>
              <w:pStyle w:val="BodyText"/>
            </w:pPr>
            <w:r>
              <w:t>Accrued salaries</w:t>
            </w:r>
          </w:p>
        </w:tc>
        <w:tc>
          <w:tcPr>
            <w:tcW w:w="2093" w:type="dxa"/>
            <w:tcBorders>
              <w:top w:val="single" w:sz="4" w:space="0" w:color="auto"/>
            </w:tcBorders>
          </w:tcPr>
          <w:p w:rsidR="008F2289" w:rsidRDefault="008F2289" w:rsidP="008F2289">
            <w:pPr>
              <w:pStyle w:val="BodyText"/>
              <w:jc w:val="right"/>
            </w:pPr>
            <w:r>
              <w:t>31 828</w:t>
            </w:r>
          </w:p>
        </w:tc>
      </w:tr>
      <w:tr w:rsidR="008F2289" w:rsidTr="008F2289">
        <w:tc>
          <w:tcPr>
            <w:tcW w:w="8188" w:type="dxa"/>
          </w:tcPr>
          <w:p w:rsidR="008F2289" w:rsidRDefault="008F2289" w:rsidP="008F2289">
            <w:pPr>
              <w:pStyle w:val="BodyText"/>
            </w:pPr>
            <w:r>
              <w:t>Annual leave</w:t>
            </w:r>
          </w:p>
        </w:tc>
        <w:tc>
          <w:tcPr>
            <w:tcW w:w="2093" w:type="dxa"/>
          </w:tcPr>
          <w:p w:rsidR="008F2289" w:rsidRDefault="008F2289" w:rsidP="008F2289">
            <w:pPr>
              <w:pStyle w:val="BodyText"/>
              <w:jc w:val="right"/>
            </w:pPr>
            <w:r>
              <w:t>72 704</w:t>
            </w:r>
          </w:p>
        </w:tc>
      </w:tr>
      <w:tr w:rsidR="008F2289" w:rsidTr="008F2289">
        <w:tc>
          <w:tcPr>
            <w:tcW w:w="8188" w:type="dxa"/>
          </w:tcPr>
          <w:p w:rsidR="008F2289" w:rsidRDefault="008F2289" w:rsidP="008F2289">
            <w:pPr>
              <w:pStyle w:val="BodyText"/>
            </w:pPr>
            <w:r>
              <w:t>Long service leave</w:t>
            </w:r>
          </w:p>
        </w:tc>
        <w:tc>
          <w:tcPr>
            <w:tcW w:w="2093" w:type="dxa"/>
          </w:tcPr>
          <w:p w:rsidR="008F2289" w:rsidRDefault="008F2289" w:rsidP="008F2289">
            <w:pPr>
              <w:pStyle w:val="BodyText"/>
              <w:jc w:val="right"/>
            </w:pPr>
            <w:r>
              <w:t>107 447</w:t>
            </w:r>
          </w:p>
        </w:tc>
      </w:tr>
      <w:tr w:rsidR="008F2289" w:rsidTr="008F2289">
        <w:tc>
          <w:tcPr>
            <w:tcW w:w="8188" w:type="dxa"/>
          </w:tcPr>
          <w:p w:rsidR="008F2289" w:rsidRDefault="008F2289" w:rsidP="008F2289">
            <w:pPr>
              <w:pStyle w:val="BodyText"/>
            </w:pPr>
            <w:r>
              <w:t>Sabbatical leave</w:t>
            </w:r>
          </w:p>
        </w:tc>
        <w:tc>
          <w:tcPr>
            <w:tcW w:w="2093" w:type="dxa"/>
          </w:tcPr>
          <w:p w:rsidR="008F2289" w:rsidRDefault="008F2289" w:rsidP="008F2289">
            <w:pPr>
              <w:pStyle w:val="BodyText"/>
              <w:jc w:val="right"/>
            </w:pPr>
            <w:r>
              <w:t>6 701</w:t>
            </w:r>
          </w:p>
        </w:tc>
      </w:tr>
      <w:tr w:rsidR="008F2289" w:rsidTr="008F2289">
        <w:tc>
          <w:tcPr>
            <w:tcW w:w="8188" w:type="dxa"/>
            <w:tcBorders>
              <w:bottom w:val="single" w:sz="4" w:space="0" w:color="auto"/>
            </w:tcBorders>
          </w:tcPr>
          <w:p w:rsidR="008F2289" w:rsidRDefault="008F2289" w:rsidP="008F2289">
            <w:pPr>
              <w:pStyle w:val="BodyText"/>
            </w:pPr>
            <w:r>
              <w:t>Other employee benefits</w:t>
            </w:r>
          </w:p>
        </w:tc>
        <w:tc>
          <w:tcPr>
            <w:tcW w:w="2093" w:type="dxa"/>
            <w:tcBorders>
              <w:bottom w:val="single" w:sz="4" w:space="0" w:color="auto"/>
            </w:tcBorders>
          </w:tcPr>
          <w:p w:rsidR="008F2289" w:rsidRDefault="008F2289" w:rsidP="008F2289">
            <w:pPr>
              <w:pStyle w:val="BodyText"/>
              <w:jc w:val="right"/>
            </w:pPr>
            <w:r>
              <w:t>6 215</w:t>
            </w:r>
          </w:p>
        </w:tc>
      </w:tr>
      <w:tr w:rsidR="008F2289" w:rsidRPr="008F2289" w:rsidTr="008F2289">
        <w:tc>
          <w:tcPr>
            <w:tcW w:w="8188" w:type="dxa"/>
            <w:tcBorders>
              <w:top w:val="single" w:sz="4" w:space="0" w:color="auto"/>
              <w:bottom w:val="single" w:sz="4" w:space="0" w:color="auto"/>
            </w:tcBorders>
          </w:tcPr>
          <w:p w:rsidR="008F2289" w:rsidRPr="008F2289" w:rsidRDefault="008F2289" w:rsidP="008F2289">
            <w:pPr>
              <w:pStyle w:val="BodyText"/>
              <w:rPr>
                <w:b/>
              </w:rPr>
            </w:pPr>
            <w:r w:rsidRPr="008F2289">
              <w:rPr>
                <w:b/>
              </w:rPr>
              <w:t>Total</w:t>
            </w:r>
          </w:p>
        </w:tc>
        <w:tc>
          <w:tcPr>
            <w:tcW w:w="2093" w:type="dxa"/>
            <w:tcBorders>
              <w:top w:val="single" w:sz="4" w:space="0" w:color="auto"/>
              <w:bottom w:val="single" w:sz="4" w:space="0" w:color="auto"/>
            </w:tcBorders>
          </w:tcPr>
          <w:p w:rsidR="008F2289" w:rsidRPr="008F2289" w:rsidRDefault="008F2289" w:rsidP="008F2289">
            <w:pPr>
              <w:pStyle w:val="BodyText"/>
              <w:jc w:val="right"/>
              <w:rPr>
                <w:b/>
              </w:rPr>
            </w:pPr>
            <w:r w:rsidRPr="008F2289">
              <w:rPr>
                <w:b/>
              </w:rPr>
              <w:t>224 895</w:t>
            </w:r>
          </w:p>
        </w:tc>
      </w:tr>
      <w:tr w:rsidR="008F2289" w:rsidTr="008F2289">
        <w:tc>
          <w:tcPr>
            <w:tcW w:w="8188" w:type="dxa"/>
            <w:tcBorders>
              <w:top w:val="single" w:sz="4" w:space="0" w:color="auto"/>
            </w:tcBorders>
          </w:tcPr>
          <w:p w:rsidR="008F2289" w:rsidRDefault="008F2289" w:rsidP="008F2289">
            <w:pPr>
              <w:pStyle w:val="BodyText"/>
            </w:pPr>
            <w:r>
              <w:lastRenderedPageBreak/>
              <w:t>Expected to settle wholly within 12 months</w:t>
            </w:r>
          </w:p>
        </w:tc>
        <w:tc>
          <w:tcPr>
            <w:tcW w:w="2093" w:type="dxa"/>
            <w:tcBorders>
              <w:top w:val="single" w:sz="4" w:space="0" w:color="auto"/>
            </w:tcBorders>
          </w:tcPr>
          <w:p w:rsidR="008F2289" w:rsidRDefault="008F2289" w:rsidP="008F2289">
            <w:pPr>
              <w:pStyle w:val="BodyText"/>
              <w:jc w:val="right"/>
            </w:pPr>
            <w:r>
              <w:t>101 652</w:t>
            </w:r>
          </w:p>
        </w:tc>
      </w:tr>
      <w:tr w:rsidR="008F2289" w:rsidTr="008F2289">
        <w:tc>
          <w:tcPr>
            <w:tcW w:w="8188" w:type="dxa"/>
            <w:tcBorders>
              <w:bottom w:val="single" w:sz="4" w:space="0" w:color="auto"/>
            </w:tcBorders>
          </w:tcPr>
          <w:p w:rsidR="008F2289" w:rsidRDefault="008F2289" w:rsidP="008F2289">
            <w:pPr>
              <w:pStyle w:val="BodyText"/>
            </w:pPr>
            <w:r>
              <w:t>Expected to settle wholly after 12 months</w:t>
            </w:r>
          </w:p>
        </w:tc>
        <w:tc>
          <w:tcPr>
            <w:tcW w:w="2093" w:type="dxa"/>
            <w:tcBorders>
              <w:bottom w:val="single" w:sz="4" w:space="0" w:color="auto"/>
            </w:tcBorders>
          </w:tcPr>
          <w:p w:rsidR="008F2289" w:rsidRDefault="008F2289" w:rsidP="008F2289">
            <w:pPr>
              <w:pStyle w:val="BodyText"/>
              <w:jc w:val="right"/>
            </w:pPr>
            <w:r>
              <w:t>123 243</w:t>
            </w:r>
          </w:p>
        </w:tc>
      </w:tr>
      <w:tr w:rsidR="008F2289" w:rsidRPr="008F2289" w:rsidTr="008F2289">
        <w:tc>
          <w:tcPr>
            <w:tcW w:w="8188" w:type="dxa"/>
            <w:tcBorders>
              <w:top w:val="single" w:sz="4" w:space="0" w:color="auto"/>
              <w:bottom w:val="single" w:sz="4" w:space="0" w:color="auto"/>
            </w:tcBorders>
          </w:tcPr>
          <w:p w:rsidR="008F2289" w:rsidRPr="008F2289" w:rsidRDefault="008F2289" w:rsidP="008F2289">
            <w:pPr>
              <w:pStyle w:val="BodyText"/>
              <w:rPr>
                <w:b/>
              </w:rPr>
            </w:pPr>
            <w:r w:rsidRPr="008F2289">
              <w:rPr>
                <w:b/>
              </w:rPr>
              <w:t>Total</w:t>
            </w:r>
          </w:p>
        </w:tc>
        <w:tc>
          <w:tcPr>
            <w:tcW w:w="2093" w:type="dxa"/>
            <w:tcBorders>
              <w:top w:val="single" w:sz="4" w:space="0" w:color="auto"/>
              <w:bottom w:val="single" w:sz="4" w:space="0" w:color="auto"/>
            </w:tcBorders>
          </w:tcPr>
          <w:p w:rsidR="008F2289" w:rsidRPr="008F2289" w:rsidRDefault="008F2289" w:rsidP="008F2289">
            <w:pPr>
              <w:pStyle w:val="BodyText"/>
              <w:jc w:val="right"/>
              <w:rPr>
                <w:b/>
              </w:rPr>
            </w:pPr>
            <w:r w:rsidRPr="008F2289">
              <w:rPr>
                <w:b/>
              </w:rPr>
              <w:t>224 895</w:t>
            </w:r>
          </w:p>
        </w:tc>
      </w:tr>
    </w:tbl>
    <w:p w:rsidR="008F2289" w:rsidRDefault="008F2289" w:rsidP="008F2289">
      <w:pPr>
        <w:pStyle w:val="BodyText"/>
      </w:pPr>
    </w:p>
    <w:p w:rsidR="008F2289" w:rsidRDefault="008F2289" w:rsidP="008F2289">
      <w:pPr>
        <w:pStyle w:val="BodyText"/>
        <w:rPr>
          <w:rFonts w:ascii="GillSans-Light" w:hAnsi="GillSans-Light"/>
        </w:rPr>
      </w:pPr>
      <w:r>
        <w:rPr>
          <w:rFonts w:ascii="GillSans-Light" w:hAnsi="GillSans-Light"/>
        </w:rPr>
        <w:t xml:space="preserve">Other employee </w:t>
      </w:r>
      <w:proofErr w:type="gramStart"/>
      <w:r>
        <w:rPr>
          <w:rFonts w:ascii="GillSans-Light" w:hAnsi="GillSans-Light"/>
        </w:rPr>
        <w:t>benefits is</w:t>
      </w:r>
      <w:proofErr w:type="gramEnd"/>
      <w:r>
        <w:rPr>
          <w:rFonts w:ascii="GillSans-Light" w:hAnsi="GillSans-Light"/>
        </w:rPr>
        <w:t xml:space="preserve"> comprised of Purchased leave, Development leave, TOIl provisions and State Service Accumulated Leave Scheme (SSALS) entitlements.</w:t>
      </w:r>
    </w:p>
    <w:p w:rsidR="008F2289" w:rsidRDefault="008F2289" w:rsidP="001F6DCF">
      <w:pPr>
        <w:pStyle w:val="Heading5"/>
      </w:pPr>
      <w:r>
        <w:t xml:space="preserve">9.3 </w:t>
      </w:r>
      <w:r w:rsidR="001F6DCF">
        <w:tab/>
      </w:r>
      <w:r>
        <w:t>Superannuation</w:t>
      </w:r>
    </w:p>
    <w:p w:rsidR="008F2289" w:rsidRPr="001F6DCF" w:rsidRDefault="008F2289" w:rsidP="001F6DCF">
      <w:pPr>
        <w:pStyle w:val="BodyText"/>
        <w:rPr>
          <w:i/>
        </w:rPr>
      </w:pPr>
      <w:r w:rsidRPr="001F6DCF">
        <w:rPr>
          <w:i/>
        </w:rPr>
        <w:t>(i) Defined contribution plans</w:t>
      </w:r>
    </w:p>
    <w:p w:rsidR="008F2289" w:rsidRPr="001F6DCF" w:rsidRDefault="008F2289" w:rsidP="001F6DCF">
      <w:pPr>
        <w:pStyle w:val="BodyText"/>
      </w:pPr>
      <w:r w:rsidRPr="001F6DCF">
        <w:t>A defined contribution plan is a post</w:t>
      </w:r>
      <w:r w:rsidRPr="001F6DCF">
        <w:rPr>
          <w:rFonts w:ascii="MS Gothic" w:eastAsia="MS Gothic" w:hAnsi="MS Gothic" w:cs="MS Gothic" w:hint="eastAsia"/>
        </w:rPr>
        <w:t>‑</w:t>
      </w:r>
      <w:r w:rsidRPr="001F6DCF">
        <w:t>employment benefit plan under which an entity pays fixed</w:t>
      </w:r>
      <w:r w:rsidR="001F6DCF">
        <w:t xml:space="preserve"> </w:t>
      </w:r>
      <w:r w:rsidRPr="001F6DCF">
        <w:t>contributions into a separate entity and will have no legal or constructive obligation to pay further</w:t>
      </w:r>
      <w:r w:rsidR="001F6DCF">
        <w:t xml:space="preserve"> </w:t>
      </w:r>
      <w:r w:rsidRPr="001F6DCF">
        <w:t>amounts. Obligations for contributions to defined contribution plans are recognised as an expense</w:t>
      </w:r>
      <w:r w:rsidR="001F6DCF">
        <w:t xml:space="preserve"> </w:t>
      </w:r>
      <w:r w:rsidRPr="001F6DCF">
        <w:t>when they fall due.</w:t>
      </w:r>
    </w:p>
    <w:p w:rsidR="008F2289" w:rsidRPr="001F6DCF" w:rsidRDefault="008F2289" w:rsidP="001F6DCF">
      <w:pPr>
        <w:pStyle w:val="BodyText"/>
        <w:rPr>
          <w:i/>
        </w:rPr>
      </w:pPr>
      <w:r w:rsidRPr="001F6DCF">
        <w:rPr>
          <w:i/>
        </w:rPr>
        <w:t>(ii) Defined benefit plans</w:t>
      </w:r>
    </w:p>
    <w:p w:rsidR="008F2289" w:rsidRPr="001F6DCF" w:rsidRDefault="008F2289" w:rsidP="001F6DCF">
      <w:pPr>
        <w:pStyle w:val="BodyText"/>
      </w:pPr>
      <w:r w:rsidRPr="001F6DCF">
        <w:t>A defined benefit plan is a post</w:t>
      </w:r>
      <w:r w:rsidRPr="001F6DCF">
        <w:rPr>
          <w:rFonts w:ascii="MS Gothic" w:eastAsia="MS Gothic" w:hAnsi="MS Gothic" w:cs="MS Gothic" w:hint="eastAsia"/>
        </w:rPr>
        <w:t>‑</w:t>
      </w:r>
      <w:r w:rsidRPr="001F6DCF">
        <w:t>employment benefit plan other than a defined contribution plan.</w:t>
      </w:r>
    </w:p>
    <w:p w:rsidR="001F6DCF" w:rsidRPr="001F6DCF" w:rsidRDefault="008F2289" w:rsidP="001F6DCF">
      <w:pPr>
        <w:pStyle w:val="BodyText"/>
        <w:rPr>
          <w:i/>
        </w:rPr>
      </w:pPr>
      <w:r w:rsidRPr="001F6DCF">
        <w:rPr>
          <w:i/>
        </w:rPr>
        <w:t>Key estimate and judgement</w:t>
      </w:r>
      <w:r w:rsidR="001F6DCF" w:rsidRPr="001F6DCF">
        <w:rPr>
          <w:i/>
        </w:rPr>
        <w:t xml:space="preserve"> </w:t>
      </w:r>
    </w:p>
    <w:p w:rsidR="008F2289" w:rsidRPr="001F6DCF" w:rsidRDefault="008F2289" w:rsidP="001F6DCF">
      <w:pPr>
        <w:pStyle w:val="BodyText"/>
      </w:pPr>
      <w:r w:rsidRPr="001F6DCF">
        <w:t>The THS does not recognise a liability for the accruing superannuation benefits of State Service employees.</w:t>
      </w:r>
    </w:p>
    <w:p w:rsidR="008F2289" w:rsidRDefault="008F2289" w:rsidP="001F6DCF">
      <w:pPr>
        <w:pStyle w:val="BodyText"/>
      </w:pPr>
      <w:r w:rsidRPr="001F6DCF">
        <w:t>This liability is held centrally and is recognised within the Finance</w:t>
      </w:r>
      <w:r w:rsidRPr="001F6DCF">
        <w:rPr>
          <w:rFonts w:ascii="MS Gothic" w:eastAsia="MS Gothic" w:hAnsi="MS Gothic" w:cs="MS Gothic" w:hint="eastAsia"/>
        </w:rPr>
        <w:t>‑</w:t>
      </w:r>
      <w:r w:rsidRPr="001F6DCF">
        <w:t>General Division of the Department of</w:t>
      </w:r>
      <w:r w:rsidR="001F6DCF">
        <w:t xml:space="preserve"> </w:t>
      </w:r>
      <w:r w:rsidRPr="001F6DCF">
        <w:t>Treasury and Finance.</w:t>
      </w:r>
    </w:p>
    <w:p w:rsidR="001F6DCF" w:rsidRDefault="001F6DCF" w:rsidP="001F6DCF">
      <w:pPr>
        <w:pStyle w:val="Heading5"/>
      </w:pPr>
      <w:r>
        <w:t xml:space="preserve">9.4 </w:t>
      </w:r>
      <w:r>
        <w:tab/>
        <w:t>Other Liabilities</w:t>
      </w:r>
    </w:p>
    <w:p w:rsidR="001F6DCF" w:rsidRPr="001F6DCF" w:rsidRDefault="001F6DCF" w:rsidP="001F6DCF">
      <w:pPr>
        <w:pStyle w:val="BodyText"/>
      </w:pPr>
      <w:r w:rsidRPr="001F6DCF">
        <w:t>Other liabilities and other financial liabilities are recognised in the Statement of Financial Position when it is probable that an outflow of resources embodying economic benefits will result from the settlement of a present obligation and the amount at which the settlement will take place can be measured reliably.</w:t>
      </w:r>
    </w:p>
    <w:p w:rsidR="001F6DCF" w:rsidRPr="001F6DCF" w:rsidRDefault="001F6DCF" w:rsidP="001F6DCF">
      <w:pPr>
        <w:pStyle w:val="BodyText"/>
      </w:pPr>
      <w:r w:rsidRPr="001F6DCF">
        <w:t>Other liabilities include revenue received in advance and on-costs associated with employee benefits.</w:t>
      </w:r>
    </w:p>
    <w:p w:rsidR="001F6DCF" w:rsidRPr="001F6DCF" w:rsidRDefault="001F6DCF" w:rsidP="001F6DCF">
      <w:pPr>
        <w:pStyle w:val="BodyText"/>
      </w:pPr>
      <w:r w:rsidRPr="001F6DCF">
        <w:t>Revenue received in advance is measured at amortised cost. On-costs associated with employee benefits expected to be realised within 12 months are measured at the amount expected to be paid. Other oncosts associated with employee benefits are measured at the present value of the cost at 30 June 2016, where the impact of discounting is material, and at the amount expected to be paid if discounting is not material.</w:t>
      </w:r>
    </w:p>
    <w:tbl>
      <w:tblPr>
        <w:tblStyle w:val="TableGrid"/>
        <w:tblW w:w="0" w:type="auto"/>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Other Liabilities"/>
      </w:tblPr>
      <w:tblGrid>
        <w:gridCol w:w="8188"/>
        <w:gridCol w:w="2093"/>
      </w:tblGrid>
      <w:tr w:rsidR="00FA2819" w:rsidRPr="008F2289" w:rsidTr="00BB38BD">
        <w:trPr>
          <w:tblHeader/>
        </w:trPr>
        <w:tc>
          <w:tcPr>
            <w:tcW w:w="8188" w:type="dxa"/>
            <w:tcBorders>
              <w:top w:val="single" w:sz="4" w:space="0" w:color="auto"/>
              <w:bottom w:val="single" w:sz="4" w:space="0" w:color="auto"/>
            </w:tcBorders>
          </w:tcPr>
          <w:p w:rsidR="00FA2819" w:rsidRPr="008F2289" w:rsidRDefault="00FA2819" w:rsidP="00BB38BD">
            <w:pPr>
              <w:pStyle w:val="BodyText"/>
              <w:rPr>
                <w:b/>
              </w:rPr>
            </w:pPr>
            <w:r w:rsidRPr="008F2289">
              <w:rPr>
                <w:b/>
              </w:rPr>
              <w:t>Description</w:t>
            </w:r>
          </w:p>
        </w:tc>
        <w:tc>
          <w:tcPr>
            <w:tcW w:w="2093" w:type="dxa"/>
            <w:tcBorders>
              <w:top w:val="single" w:sz="4" w:space="0" w:color="auto"/>
              <w:bottom w:val="single" w:sz="4" w:space="0" w:color="auto"/>
            </w:tcBorders>
          </w:tcPr>
          <w:p w:rsidR="00FA2819" w:rsidRPr="008F2289" w:rsidRDefault="00FA2819" w:rsidP="00BB38BD">
            <w:pPr>
              <w:pStyle w:val="BodyText"/>
              <w:jc w:val="right"/>
              <w:rPr>
                <w:b/>
              </w:rPr>
            </w:pPr>
            <w:r w:rsidRPr="008F2289">
              <w:rPr>
                <w:b/>
              </w:rPr>
              <w:t>2016</w:t>
            </w:r>
            <w:r w:rsidRPr="008F2289">
              <w:rPr>
                <w:b/>
              </w:rPr>
              <w:br/>
              <w:t>$’000</w:t>
            </w:r>
          </w:p>
        </w:tc>
      </w:tr>
      <w:tr w:rsidR="00FA2819" w:rsidTr="00BB38BD">
        <w:tc>
          <w:tcPr>
            <w:tcW w:w="8188" w:type="dxa"/>
            <w:tcBorders>
              <w:top w:val="single" w:sz="4" w:space="0" w:color="auto"/>
            </w:tcBorders>
          </w:tcPr>
          <w:p w:rsidR="00FA2819" w:rsidRPr="00FA2819" w:rsidRDefault="00FA2819" w:rsidP="00BB38BD">
            <w:pPr>
              <w:pStyle w:val="BodyText"/>
              <w:rPr>
                <w:b/>
              </w:rPr>
            </w:pPr>
            <w:r>
              <w:rPr>
                <w:b/>
              </w:rPr>
              <w:t>Revenue received in advance</w:t>
            </w:r>
          </w:p>
        </w:tc>
        <w:tc>
          <w:tcPr>
            <w:tcW w:w="2093" w:type="dxa"/>
            <w:tcBorders>
              <w:top w:val="single" w:sz="4" w:space="0" w:color="auto"/>
            </w:tcBorders>
          </w:tcPr>
          <w:p w:rsidR="00FA2819" w:rsidRDefault="00FA2819" w:rsidP="00BB38BD">
            <w:pPr>
              <w:pStyle w:val="BodyText"/>
              <w:jc w:val="right"/>
            </w:pPr>
          </w:p>
        </w:tc>
      </w:tr>
      <w:tr w:rsidR="00FA2819" w:rsidTr="00BB38BD">
        <w:tc>
          <w:tcPr>
            <w:tcW w:w="8188" w:type="dxa"/>
          </w:tcPr>
          <w:p w:rsidR="00FA2819" w:rsidRDefault="00FA2819" w:rsidP="00BB38BD">
            <w:pPr>
              <w:pStyle w:val="BodyText"/>
            </w:pPr>
            <w:r>
              <w:t>Other revenue received in advance</w:t>
            </w:r>
          </w:p>
        </w:tc>
        <w:tc>
          <w:tcPr>
            <w:tcW w:w="2093" w:type="dxa"/>
          </w:tcPr>
          <w:p w:rsidR="00FA2819" w:rsidRDefault="00FA2819" w:rsidP="00BB38BD">
            <w:pPr>
              <w:pStyle w:val="BodyText"/>
              <w:jc w:val="right"/>
            </w:pPr>
            <w:r>
              <w:t>797</w:t>
            </w:r>
          </w:p>
        </w:tc>
      </w:tr>
      <w:tr w:rsidR="00FA2819" w:rsidTr="00BB38BD">
        <w:tc>
          <w:tcPr>
            <w:tcW w:w="8188" w:type="dxa"/>
          </w:tcPr>
          <w:p w:rsidR="00FA2819" w:rsidRPr="00FA2819" w:rsidRDefault="00FA2819" w:rsidP="00BB38BD">
            <w:pPr>
              <w:pStyle w:val="BodyText"/>
              <w:rPr>
                <w:b/>
              </w:rPr>
            </w:pPr>
            <w:r>
              <w:rPr>
                <w:b/>
              </w:rPr>
              <w:t>Other Liabilities</w:t>
            </w:r>
          </w:p>
        </w:tc>
        <w:tc>
          <w:tcPr>
            <w:tcW w:w="2093" w:type="dxa"/>
          </w:tcPr>
          <w:p w:rsidR="00FA2819" w:rsidRDefault="00FA2819" w:rsidP="00BB38BD">
            <w:pPr>
              <w:pStyle w:val="BodyText"/>
              <w:jc w:val="right"/>
            </w:pPr>
          </w:p>
        </w:tc>
      </w:tr>
      <w:tr w:rsidR="00FA2819" w:rsidTr="00BB38BD">
        <w:tc>
          <w:tcPr>
            <w:tcW w:w="8188" w:type="dxa"/>
          </w:tcPr>
          <w:p w:rsidR="00FA2819" w:rsidRDefault="00FA2819" w:rsidP="00BB38BD">
            <w:pPr>
              <w:pStyle w:val="BodyText"/>
            </w:pPr>
            <w:r>
              <w:t>Employee benefits – on-costs</w:t>
            </w:r>
          </w:p>
        </w:tc>
        <w:tc>
          <w:tcPr>
            <w:tcW w:w="2093" w:type="dxa"/>
          </w:tcPr>
          <w:p w:rsidR="00FA2819" w:rsidRDefault="00FA2819" w:rsidP="00BB38BD">
            <w:pPr>
              <w:pStyle w:val="BodyText"/>
              <w:jc w:val="right"/>
            </w:pPr>
            <w:r>
              <w:t>2 489</w:t>
            </w:r>
          </w:p>
        </w:tc>
      </w:tr>
      <w:tr w:rsidR="00FA2819" w:rsidTr="00BB38BD">
        <w:tc>
          <w:tcPr>
            <w:tcW w:w="8188" w:type="dxa"/>
            <w:tcBorders>
              <w:bottom w:val="single" w:sz="4" w:space="0" w:color="auto"/>
            </w:tcBorders>
          </w:tcPr>
          <w:p w:rsidR="00FA2819" w:rsidRDefault="00FA2819" w:rsidP="00BB38BD">
            <w:pPr>
              <w:pStyle w:val="BodyText"/>
            </w:pPr>
            <w:r>
              <w:t>Other liabilities</w:t>
            </w:r>
          </w:p>
        </w:tc>
        <w:tc>
          <w:tcPr>
            <w:tcW w:w="2093" w:type="dxa"/>
            <w:tcBorders>
              <w:bottom w:val="single" w:sz="4" w:space="0" w:color="auto"/>
            </w:tcBorders>
          </w:tcPr>
          <w:p w:rsidR="00FA2819" w:rsidRDefault="00FA2819" w:rsidP="00BB38BD">
            <w:pPr>
              <w:pStyle w:val="BodyText"/>
              <w:jc w:val="right"/>
            </w:pPr>
            <w:r>
              <w:t>7 707</w:t>
            </w:r>
          </w:p>
        </w:tc>
      </w:tr>
      <w:tr w:rsidR="00FA2819" w:rsidRPr="008F2289" w:rsidTr="00BB38BD">
        <w:tc>
          <w:tcPr>
            <w:tcW w:w="8188" w:type="dxa"/>
            <w:tcBorders>
              <w:top w:val="single" w:sz="4" w:space="0" w:color="auto"/>
              <w:bottom w:val="single" w:sz="4" w:space="0" w:color="auto"/>
            </w:tcBorders>
          </w:tcPr>
          <w:p w:rsidR="00FA2819" w:rsidRPr="008F2289" w:rsidRDefault="00FA2819" w:rsidP="00BB38BD">
            <w:pPr>
              <w:pStyle w:val="BodyText"/>
              <w:rPr>
                <w:b/>
              </w:rPr>
            </w:pPr>
            <w:r w:rsidRPr="008F2289">
              <w:rPr>
                <w:b/>
              </w:rPr>
              <w:t>Total</w:t>
            </w:r>
          </w:p>
        </w:tc>
        <w:tc>
          <w:tcPr>
            <w:tcW w:w="2093" w:type="dxa"/>
            <w:tcBorders>
              <w:top w:val="single" w:sz="4" w:space="0" w:color="auto"/>
              <w:bottom w:val="single" w:sz="4" w:space="0" w:color="auto"/>
            </w:tcBorders>
          </w:tcPr>
          <w:p w:rsidR="00FA2819" w:rsidRPr="008F2289" w:rsidRDefault="00FA2819" w:rsidP="00BB38BD">
            <w:pPr>
              <w:pStyle w:val="BodyText"/>
              <w:jc w:val="right"/>
              <w:rPr>
                <w:b/>
              </w:rPr>
            </w:pPr>
            <w:r>
              <w:rPr>
                <w:b/>
              </w:rPr>
              <w:t>10 993</w:t>
            </w:r>
          </w:p>
        </w:tc>
      </w:tr>
      <w:tr w:rsidR="00FA2819" w:rsidTr="00BB38BD">
        <w:tc>
          <w:tcPr>
            <w:tcW w:w="8188" w:type="dxa"/>
            <w:tcBorders>
              <w:top w:val="single" w:sz="4" w:space="0" w:color="auto"/>
            </w:tcBorders>
          </w:tcPr>
          <w:p w:rsidR="00FA2819" w:rsidRDefault="00FA2819" w:rsidP="00BB38BD">
            <w:pPr>
              <w:pStyle w:val="BodyText"/>
            </w:pPr>
            <w:r>
              <w:lastRenderedPageBreak/>
              <w:t>Settled within 12 months</w:t>
            </w:r>
          </w:p>
        </w:tc>
        <w:tc>
          <w:tcPr>
            <w:tcW w:w="2093" w:type="dxa"/>
            <w:tcBorders>
              <w:top w:val="single" w:sz="4" w:space="0" w:color="auto"/>
            </w:tcBorders>
          </w:tcPr>
          <w:p w:rsidR="00FA2819" w:rsidRDefault="00FA2819" w:rsidP="00BB38BD">
            <w:pPr>
              <w:pStyle w:val="BodyText"/>
              <w:jc w:val="right"/>
            </w:pPr>
            <w:r>
              <w:t>9 397</w:t>
            </w:r>
          </w:p>
        </w:tc>
      </w:tr>
      <w:tr w:rsidR="00FA2819" w:rsidTr="00BB38BD">
        <w:tc>
          <w:tcPr>
            <w:tcW w:w="8188" w:type="dxa"/>
            <w:tcBorders>
              <w:bottom w:val="single" w:sz="4" w:space="0" w:color="auto"/>
            </w:tcBorders>
          </w:tcPr>
          <w:p w:rsidR="00FA2819" w:rsidRDefault="00FA2819" w:rsidP="00BB38BD">
            <w:pPr>
              <w:pStyle w:val="BodyText"/>
            </w:pPr>
            <w:r>
              <w:t>Settled in more than 12 months</w:t>
            </w:r>
          </w:p>
        </w:tc>
        <w:tc>
          <w:tcPr>
            <w:tcW w:w="2093" w:type="dxa"/>
            <w:tcBorders>
              <w:bottom w:val="single" w:sz="4" w:space="0" w:color="auto"/>
            </w:tcBorders>
          </w:tcPr>
          <w:p w:rsidR="00FA2819" w:rsidRDefault="00FA2819" w:rsidP="00BB38BD">
            <w:pPr>
              <w:pStyle w:val="BodyText"/>
              <w:jc w:val="right"/>
            </w:pPr>
            <w:r>
              <w:t>1 596</w:t>
            </w:r>
          </w:p>
        </w:tc>
      </w:tr>
      <w:tr w:rsidR="00FA2819" w:rsidRPr="008F2289" w:rsidTr="00BB38BD">
        <w:tc>
          <w:tcPr>
            <w:tcW w:w="8188" w:type="dxa"/>
            <w:tcBorders>
              <w:top w:val="single" w:sz="4" w:space="0" w:color="auto"/>
              <w:bottom w:val="single" w:sz="4" w:space="0" w:color="auto"/>
            </w:tcBorders>
          </w:tcPr>
          <w:p w:rsidR="00FA2819" w:rsidRPr="008F2289" w:rsidRDefault="00FA2819" w:rsidP="00BB38BD">
            <w:pPr>
              <w:pStyle w:val="BodyText"/>
              <w:rPr>
                <w:b/>
              </w:rPr>
            </w:pPr>
            <w:r w:rsidRPr="008F2289">
              <w:rPr>
                <w:b/>
              </w:rPr>
              <w:t>Total</w:t>
            </w:r>
          </w:p>
        </w:tc>
        <w:tc>
          <w:tcPr>
            <w:tcW w:w="2093" w:type="dxa"/>
            <w:tcBorders>
              <w:top w:val="single" w:sz="4" w:space="0" w:color="auto"/>
              <w:bottom w:val="single" w:sz="4" w:space="0" w:color="auto"/>
            </w:tcBorders>
          </w:tcPr>
          <w:p w:rsidR="00FA2819" w:rsidRPr="008F2289" w:rsidRDefault="00FA2819" w:rsidP="00BB38BD">
            <w:pPr>
              <w:pStyle w:val="BodyText"/>
              <w:jc w:val="right"/>
              <w:rPr>
                <w:b/>
              </w:rPr>
            </w:pPr>
            <w:r>
              <w:rPr>
                <w:b/>
              </w:rPr>
              <w:t>10 993</w:t>
            </w:r>
          </w:p>
        </w:tc>
      </w:tr>
    </w:tbl>
    <w:p w:rsidR="008F2289" w:rsidRDefault="008F2289" w:rsidP="008F2289">
      <w:pPr>
        <w:pStyle w:val="BodyText"/>
      </w:pPr>
    </w:p>
    <w:p w:rsidR="00FA2819" w:rsidRDefault="00FA2819" w:rsidP="00FA2819">
      <w:pPr>
        <w:pStyle w:val="BodyText"/>
      </w:pPr>
      <w:r>
        <w:t xml:space="preserve">Other </w:t>
      </w:r>
      <w:proofErr w:type="gramStart"/>
      <w:r>
        <w:t>liabilities represents</w:t>
      </w:r>
      <w:proofErr w:type="gramEnd"/>
      <w:r>
        <w:t xml:space="preserve"> funds held by the THS for distribution under the Private Patients Scheme, as well as its Tasmanian Government Card outstanding balances.</w:t>
      </w:r>
    </w:p>
    <w:p w:rsidR="00FA2819" w:rsidRDefault="00FA2819" w:rsidP="00FA2819">
      <w:pPr>
        <w:pStyle w:val="Heading4"/>
      </w:pPr>
      <w:r>
        <w:t>Note 10</w:t>
      </w:r>
      <w:r>
        <w:tab/>
        <w:t>Commitments and Contingencies</w:t>
      </w:r>
    </w:p>
    <w:p w:rsidR="00FA2819" w:rsidRDefault="00FA2819" w:rsidP="00FA2819">
      <w:pPr>
        <w:pStyle w:val="BodyText"/>
      </w:pPr>
      <w:r>
        <w:t>The THS has entered into a number of operating lease agreements for property, plant and equipment, where the lessors effectively retain all the risks and benefits incidental to ownership of the items leased.</w:t>
      </w:r>
    </w:p>
    <w:p w:rsidR="00FA2819" w:rsidRDefault="00FA2819" w:rsidP="00FA2819">
      <w:pPr>
        <w:pStyle w:val="BodyText"/>
      </w:pPr>
      <w:r>
        <w:t>Equal instalments of lease payments are charged to the Statement of Comprehensive Income over the lease term, as this is representative of the pattern of benefits to be derived from the leased property.</w:t>
      </w:r>
    </w:p>
    <w:p w:rsidR="00FA2819" w:rsidRDefault="00FA2819" w:rsidP="00FA2819">
      <w:pPr>
        <w:pStyle w:val="BodyText"/>
      </w:pPr>
      <w:r>
        <w:t>The THS is prohibited by Treasurer’s Instruction 502 Leases from holding finance leases.</w:t>
      </w:r>
    </w:p>
    <w:p w:rsidR="00FA2819" w:rsidRDefault="00FA2819">
      <w:pPr>
        <w:rPr>
          <w:rFonts w:ascii="Gill Sans MT" w:eastAsia="GillSans-Light" w:hAnsi="Gill Sans MT" w:cs="GillSans-Light"/>
          <w:lang w:val="en-US"/>
        </w:rPr>
      </w:pPr>
      <w:r>
        <w:br w:type="page"/>
      </w:r>
    </w:p>
    <w:p w:rsidR="00FA2819" w:rsidRDefault="00091088" w:rsidP="00091088">
      <w:pPr>
        <w:pStyle w:val="Heading5"/>
      </w:pPr>
      <w:r>
        <w:lastRenderedPageBreak/>
        <w:t xml:space="preserve">10.1 </w:t>
      </w:r>
      <w:r>
        <w:tab/>
        <w:t>Schedule of Commitments</w:t>
      </w:r>
    </w:p>
    <w:tbl>
      <w:tblPr>
        <w:tblStyle w:val="TableGrid"/>
        <w:tblW w:w="0" w:type="auto"/>
        <w:tblLook w:val="04A0" w:firstRow="1" w:lastRow="0" w:firstColumn="1" w:lastColumn="0" w:noHBand="0" w:noVBand="1"/>
        <w:tblCaption w:val="Schedule of Commitments"/>
      </w:tblPr>
      <w:tblGrid>
        <w:gridCol w:w="8188"/>
        <w:gridCol w:w="2093"/>
      </w:tblGrid>
      <w:tr w:rsidR="00FA2819" w:rsidRPr="00FA2819" w:rsidTr="00C36AEB">
        <w:trPr>
          <w:tblHeader/>
        </w:trPr>
        <w:tc>
          <w:tcPr>
            <w:tcW w:w="8188" w:type="dxa"/>
            <w:tcBorders>
              <w:left w:val="dotted" w:sz="4" w:space="0" w:color="auto"/>
              <w:bottom w:val="single" w:sz="4" w:space="0" w:color="auto"/>
              <w:right w:val="dotted" w:sz="4" w:space="0" w:color="auto"/>
            </w:tcBorders>
          </w:tcPr>
          <w:p w:rsidR="00FA2819" w:rsidRPr="00FA2819" w:rsidRDefault="00FA2819" w:rsidP="00FA2819">
            <w:pPr>
              <w:pStyle w:val="BodyText"/>
              <w:rPr>
                <w:b/>
              </w:rPr>
            </w:pPr>
            <w:r w:rsidRPr="00FA2819">
              <w:rPr>
                <w:b/>
              </w:rPr>
              <w:t>Description</w:t>
            </w:r>
          </w:p>
        </w:tc>
        <w:tc>
          <w:tcPr>
            <w:tcW w:w="2093" w:type="dxa"/>
            <w:tcBorders>
              <w:left w:val="dotted" w:sz="4" w:space="0" w:color="auto"/>
              <w:bottom w:val="single" w:sz="4" w:space="0" w:color="auto"/>
              <w:right w:val="dotted" w:sz="4" w:space="0" w:color="auto"/>
            </w:tcBorders>
          </w:tcPr>
          <w:p w:rsidR="00FA2819" w:rsidRPr="00FA2819" w:rsidRDefault="00FA2819" w:rsidP="00FA2819">
            <w:pPr>
              <w:pStyle w:val="BodyText"/>
              <w:jc w:val="right"/>
              <w:rPr>
                <w:b/>
              </w:rPr>
            </w:pPr>
            <w:r w:rsidRPr="00FA2819">
              <w:rPr>
                <w:b/>
              </w:rPr>
              <w:t>2016</w:t>
            </w:r>
            <w:r w:rsidRPr="00FA2819">
              <w:rPr>
                <w:b/>
              </w:rPr>
              <w:br/>
              <w:t>$’000</w:t>
            </w:r>
          </w:p>
        </w:tc>
      </w:tr>
      <w:tr w:rsidR="00FA2819" w:rsidRPr="00FA2819" w:rsidTr="00FA2819">
        <w:tc>
          <w:tcPr>
            <w:tcW w:w="8188" w:type="dxa"/>
            <w:tcBorders>
              <w:left w:val="dotted" w:sz="4" w:space="0" w:color="auto"/>
              <w:bottom w:val="dotted" w:sz="4" w:space="0" w:color="auto"/>
              <w:right w:val="dotted" w:sz="4" w:space="0" w:color="auto"/>
            </w:tcBorders>
          </w:tcPr>
          <w:p w:rsidR="00FA2819" w:rsidRPr="00FA2819" w:rsidRDefault="00FA2819" w:rsidP="00FA2819">
            <w:pPr>
              <w:pStyle w:val="BodyText"/>
              <w:rPr>
                <w:b/>
              </w:rPr>
            </w:pPr>
            <w:r w:rsidRPr="00FA2819">
              <w:rPr>
                <w:b/>
              </w:rPr>
              <w:t>By Type</w:t>
            </w:r>
          </w:p>
        </w:tc>
        <w:tc>
          <w:tcPr>
            <w:tcW w:w="2093" w:type="dxa"/>
            <w:tcBorders>
              <w:left w:val="dotted" w:sz="4" w:space="0" w:color="auto"/>
              <w:bottom w:val="dotted" w:sz="4" w:space="0" w:color="auto"/>
              <w:right w:val="dotted" w:sz="4" w:space="0" w:color="auto"/>
            </w:tcBorders>
          </w:tcPr>
          <w:p w:rsidR="00FA2819" w:rsidRPr="00FA2819" w:rsidRDefault="00FA2819" w:rsidP="00FA2819">
            <w:pPr>
              <w:pStyle w:val="BodyText"/>
              <w:jc w:val="right"/>
              <w:rPr>
                <w:b/>
              </w:rPr>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Operating lease commitments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Motor vehicles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5 346</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Medical equipment</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2 760</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Rent on buildings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32 724</w:t>
            </w:r>
          </w:p>
        </w:tc>
      </w:tr>
      <w:tr w:rsidR="00FA2819" w:rsidTr="00C36AEB">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Information technology</w:t>
            </w:r>
          </w:p>
        </w:tc>
        <w:tc>
          <w:tcPr>
            <w:tcW w:w="2093" w:type="dxa"/>
            <w:tcBorders>
              <w:top w:val="dotted" w:sz="4" w:space="0" w:color="auto"/>
              <w:left w:val="dotted" w:sz="4" w:space="0" w:color="auto"/>
              <w:bottom w:val="single" w:sz="4" w:space="0" w:color="auto"/>
              <w:right w:val="dotted" w:sz="4" w:space="0" w:color="auto"/>
            </w:tcBorders>
          </w:tcPr>
          <w:p w:rsidR="00FA2819" w:rsidRDefault="00FA2819" w:rsidP="00FA2819">
            <w:pPr>
              <w:pStyle w:val="BodyText"/>
              <w:jc w:val="right"/>
            </w:pPr>
            <w:r>
              <w:t>6 618</w:t>
            </w:r>
          </w:p>
        </w:tc>
      </w:tr>
      <w:tr w:rsidR="00FA2819" w:rsidTr="00C36AEB">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Total lease commitments</w:t>
            </w:r>
          </w:p>
        </w:tc>
        <w:tc>
          <w:tcPr>
            <w:tcW w:w="2093" w:type="dxa"/>
            <w:tcBorders>
              <w:top w:val="single" w:sz="4" w:space="0" w:color="auto"/>
              <w:left w:val="dotted" w:sz="4" w:space="0" w:color="auto"/>
              <w:bottom w:val="single" w:sz="4" w:space="0" w:color="auto"/>
              <w:right w:val="dotted" w:sz="4" w:space="0" w:color="auto"/>
            </w:tcBorders>
          </w:tcPr>
          <w:p w:rsidR="00FA2819" w:rsidRPr="00C36AEB" w:rsidRDefault="00FA2819" w:rsidP="00FA2819">
            <w:pPr>
              <w:pStyle w:val="BodyText"/>
              <w:jc w:val="right"/>
              <w:rPr>
                <w:b/>
              </w:rPr>
            </w:pPr>
            <w:r w:rsidRPr="00C36AEB">
              <w:rPr>
                <w:b/>
              </w:rPr>
              <w:t>47 448</w:t>
            </w:r>
          </w:p>
        </w:tc>
      </w:tr>
      <w:tr w:rsidR="00FA2819" w:rsidTr="00C36AEB">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Other commitments</w:t>
            </w:r>
          </w:p>
        </w:tc>
        <w:tc>
          <w:tcPr>
            <w:tcW w:w="2093" w:type="dxa"/>
            <w:tcBorders>
              <w:top w:val="single" w:sz="4" w:space="0" w:color="auto"/>
              <w:left w:val="dotted" w:sz="4" w:space="0" w:color="auto"/>
              <w:bottom w:val="dotted" w:sz="4" w:space="0" w:color="auto"/>
              <w:right w:val="dotted" w:sz="4" w:space="0" w:color="auto"/>
            </w:tcBorders>
          </w:tcPr>
          <w:p w:rsidR="00FA2819" w:rsidRDefault="00FA2819" w:rsidP="00FA2819">
            <w:pPr>
              <w:pStyle w:val="BodyText"/>
              <w:jc w:val="right"/>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Miscellaneous grants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8 007</w:t>
            </w:r>
          </w:p>
        </w:tc>
      </w:tr>
      <w:tr w:rsidR="00FA2819" w:rsidTr="00C36AEB">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Miscellaneous goods and services contracts</w:t>
            </w:r>
          </w:p>
        </w:tc>
        <w:tc>
          <w:tcPr>
            <w:tcW w:w="2093" w:type="dxa"/>
            <w:tcBorders>
              <w:top w:val="dotted" w:sz="4" w:space="0" w:color="auto"/>
              <w:left w:val="dotted" w:sz="4" w:space="0" w:color="auto"/>
              <w:bottom w:val="single" w:sz="4" w:space="0" w:color="auto"/>
              <w:right w:val="dotted" w:sz="4" w:space="0" w:color="auto"/>
            </w:tcBorders>
          </w:tcPr>
          <w:p w:rsidR="00FA2819" w:rsidRDefault="00FA2819" w:rsidP="00FA2819">
            <w:pPr>
              <w:pStyle w:val="BodyText"/>
              <w:jc w:val="right"/>
            </w:pPr>
            <w:r>
              <w:t>120 845</w:t>
            </w:r>
          </w:p>
        </w:tc>
      </w:tr>
      <w:tr w:rsidR="00FA2819" w:rsidTr="00C36AEB">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Total other commitments</w:t>
            </w:r>
          </w:p>
        </w:tc>
        <w:tc>
          <w:tcPr>
            <w:tcW w:w="2093" w:type="dxa"/>
            <w:tcBorders>
              <w:top w:val="single" w:sz="4" w:space="0" w:color="auto"/>
              <w:left w:val="dotted" w:sz="4" w:space="0" w:color="auto"/>
              <w:bottom w:val="single" w:sz="4" w:space="0" w:color="auto"/>
              <w:right w:val="dotted" w:sz="4" w:space="0" w:color="auto"/>
            </w:tcBorders>
          </w:tcPr>
          <w:p w:rsidR="00FA2819" w:rsidRPr="00C36AEB" w:rsidRDefault="00FA2819" w:rsidP="00FA2819">
            <w:pPr>
              <w:pStyle w:val="BodyText"/>
              <w:jc w:val="right"/>
              <w:rPr>
                <w:b/>
              </w:rPr>
            </w:pPr>
            <w:r w:rsidRPr="00C36AEB">
              <w:rPr>
                <w:b/>
              </w:rPr>
              <w:t>128 852</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b/>
              </w:rPr>
            </w:pPr>
            <w:r w:rsidRPr="00C36AEB">
              <w:rPr>
                <w:b/>
              </w:rPr>
              <w:t>Total</w:t>
            </w:r>
          </w:p>
        </w:tc>
        <w:tc>
          <w:tcPr>
            <w:tcW w:w="2093" w:type="dxa"/>
            <w:tcBorders>
              <w:top w:val="single" w:sz="4" w:space="0" w:color="auto"/>
              <w:left w:val="dotted" w:sz="4" w:space="0" w:color="auto"/>
              <w:bottom w:val="single" w:sz="4" w:space="0" w:color="auto"/>
              <w:right w:val="dotted" w:sz="4" w:space="0" w:color="auto"/>
            </w:tcBorders>
          </w:tcPr>
          <w:p w:rsidR="00FA2819" w:rsidRPr="00C36AEB" w:rsidRDefault="00FA2819" w:rsidP="00FA2819">
            <w:pPr>
              <w:pStyle w:val="BodyText"/>
              <w:jc w:val="right"/>
              <w:rPr>
                <w:b/>
              </w:rPr>
            </w:pPr>
            <w:r w:rsidRPr="00C36AEB">
              <w:rPr>
                <w:b/>
              </w:rPr>
              <w:t>176 300</w:t>
            </w:r>
          </w:p>
        </w:tc>
      </w:tr>
      <w:tr w:rsidR="00FA2819" w:rsidRPr="00FA2819" w:rsidTr="00FA2819">
        <w:tc>
          <w:tcPr>
            <w:tcW w:w="8188" w:type="dxa"/>
            <w:tcBorders>
              <w:top w:val="dotted" w:sz="4" w:space="0" w:color="auto"/>
              <w:left w:val="dotted" w:sz="4" w:space="0" w:color="auto"/>
              <w:bottom w:val="dotted" w:sz="4" w:space="0" w:color="auto"/>
              <w:right w:val="dotted" w:sz="4" w:space="0" w:color="auto"/>
            </w:tcBorders>
          </w:tcPr>
          <w:p w:rsidR="00FA2819" w:rsidRPr="00FA2819" w:rsidRDefault="00FA2819" w:rsidP="00FA2819">
            <w:pPr>
              <w:pStyle w:val="BodyText"/>
              <w:rPr>
                <w:b/>
              </w:rPr>
            </w:pPr>
            <w:r w:rsidRPr="00FA2819">
              <w:rPr>
                <w:b/>
              </w:rPr>
              <w:t>By Maturity</w:t>
            </w:r>
          </w:p>
        </w:tc>
        <w:tc>
          <w:tcPr>
            <w:tcW w:w="2093" w:type="dxa"/>
            <w:tcBorders>
              <w:top w:val="single" w:sz="4" w:space="0" w:color="auto"/>
              <w:left w:val="dotted" w:sz="4" w:space="0" w:color="auto"/>
              <w:bottom w:val="dotted" w:sz="4" w:space="0" w:color="auto"/>
              <w:right w:val="dotted" w:sz="4" w:space="0" w:color="auto"/>
            </w:tcBorders>
          </w:tcPr>
          <w:p w:rsidR="00FA2819" w:rsidRPr="00FA2819" w:rsidRDefault="00FA2819" w:rsidP="00FA2819">
            <w:pPr>
              <w:pStyle w:val="BodyText"/>
              <w:jc w:val="right"/>
              <w:rPr>
                <w:b/>
              </w:rPr>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Operating lease commitment</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One year or less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10 378</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From one to five years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28 483</w:t>
            </w:r>
          </w:p>
        </w:tc>
      </w:tr>
      <w:tr w:rsidR="00FA2819" w:rsidTr="009155ED">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More than five years</w:t>
            </w:r>
          </w:p>
        </w:tc>
        <w:tc>
          <w:tcPr>
            <w:tcW w:w="2093" w:type="dxa"/>
            <w:tcBorders>
              <w:top w:val="dotted" w:sz="4" w:space="0" w:color="auto"/>
              <w:left w:val="dotted" w:sz="4" w:space="0" w:color="auto"/>
              <w:bottom w:val="single" w:sz="4" w:space="0" w:color="auto"/>
              <w:right w:val="dotted" w:sz="4" w:space="0" w:color="auto"/>
            </w:tcBorders>
          </w:tcPr>
          <w:p w:rsidR="00FA2819" w:rsidRDefault="00FA2819" w:rsidP="00FA2819">
            <w:pPr>
              <w:pStyle w:val="BodyText"/>
              <w:jc w:val="right"/>
            </w:pPr>
            <w:r>
              <w:t>8 587</w:t>
            </w:r>
          </w:p>
        </w:tc>
      </w:tr>
      <w:tr w:rsidR="00FA2819" w:rsidTr="009155ED">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Total operating lease commitments</w:t>
            </w:r>
          </w:p>
        </w:tc>
        <w:tc>
          <w:tcPr>
            <w:tcW w:w="2093" w:type="dxa"/>
            <w:tcBorders>
              <w:top w:val="single" w:sz="4" w:space="0" w:color="auto"/>
              <w:left w:val="dotted" w:sz="4" w:space="0" w:color="auto"/>
              <w:bottom w:val="single" w:sz="4" w:space="0" w:color="auto"/>
              <w:right w:val="dotted" w:sz="4" w:space="0" w:color="auto"/>
            </w:tcBorders>
          </w:tcPr>
          <w:p w:rsidR="00FA2819" w:rsidRPr="00C36AEB" w:rsidRDefault="00FA2819" w:rsidP="00FA2819">
            <w:pPr>
              <w:pStyle w:val="BodyText"/>
              <w:jc w:val="right"/>
              <w:rPr>
                <w:b/>
              </w:rPr>
            </w:pPr>
            <w:r w:rsidRPr="00C36AEB">
              <w:rPr>
                <w:b/>
              </w:rPr>
              <w:t>47 448</w:t>
            </w:r>
          </w:p>
        </w:tc>
      </w:tr>
      <w:tr w:rsidR="00FA2819" w:rsidTr="009155ED">
        <w:tc>
          <w:tcPr>
            <w:tcW w:w="8188" w:type="dxa"/>
            <w:tcBorders>
              <w:top w:val="dotted" w:sz="4" w:space="0" w:color="auto"/>
              <w:left w:val="dotted" w:sz="4" w:space="0" w:color="auto"/>
              <w:bottom w:val="dotted" w:sz="4" w:space="0" w:color="auto"/>
              <w:right w:val="dotted" w:sz="4" w:space="0" w:color="auto"/>
            </w:tcBorders>
          </w:tcPr>
          <w:p w:rsidR="00FA2819" w:rsidRPr="00C36AEB" w:rsidRDefault="00FA2819" w:rsidP="00FA2819">
            <w:pPr>
              <w:pStyle w:val="BodyText"/>
              <w:rPr>
                <w:i/>
              </w:rPr>
            </w:pPr>
            <w:r w:rsidRPr="00C36AEB">
              <w:rPr>
                <w:i/>
              </w:rPr>
              <w:t>Other commitments</w:t>
            </w:r>
          </w:p>
        </w:tc>
        <w:tc>
          <w:tcPr>
            <w:tcW w:w="2093" w:type="dxa"/>
            <w:tcBorders>
              <w:top w:val="single" w:sz="4" w:space="0" w:color="auto"/>
              <w:left w:val="dotted" w:sz="4" w:space="0" w:color="auto"/>
              <w:bottom w:val="dotted" w:sz="4" w:space="0" w:color="auto"/>
              <w:right w:val="dotted" w:sz="4" w:space="0" w:color="auto"/>
            </w:tcBorders>
          </w:tcPr>
          <w:p w:rsidR="00FA2819" w:rsidRDefault="00FA2819" w:rsidP="00FA2819">
            <w:pPr>
              <w:pStyle w:val="BodyText"/>
              <w:jc w:val="right"/>
            </w:pP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One year or less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39 163</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From one to five years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67 210</w:t>
            </w:r>
          </w:p>
        </w:tc>
      </w:tr>
      <w:tr w:rsidR="00FA2819" w:rsidTr="00FA2819">
        <w:tc>
          <w:tcPr>
            <w:tcW w:w="8188"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pPr>
            <w:r>
              <w:t>More than five years</w:t>
            </w:r>
          </w:p>
        </w:tc>
        <w:tc>
          <w:tcPr>
            <w:tcW w:w="2093" w:type="dxa"/>
            <w:tcBorders>
              <w:top w:val="dotted" w:sz="4" w:space="0" w:color="auto"/>
              <w:left w:val="dotted" w:sz="4" w:space="0" w:color="auto"/>
              <w:bottom w:val="dotted" w:sz="4" w:space="0" w:color="auto"/>
              <w:right w:val="dotted" w:sz="4" w:space="0" w:color="auto"/>
            </w:tcBorders>
          </w:tcPr>
          <w:p w:rsidR="00FA2819" w:rsidRDefault="00FA2819" w:rsidP="00FA2819">
            <w:pPr>
              <w:pStyle w:val="BodyText"/>
              <w:jc w:val="right"/>
            </w:pPr>
            <w:r>
              <w:t>22 479</w:t>
            </w:r>
          </w:p>
        </w:tc>
      </w:tr>
      <w:tr w:rsidR="00FA2819" w:rsidRPr="00C36AEB" w:rsidTr="00C36AEB">
        <w:tc>
          <w:tcPr>
            <w:tcW w:w="8188" w:type="dxa"/>
            <w:tcBorders>
              <w:top w:val="dotted" w:sz="4" w:space="0" w:color="auto"/>
              <w:left w:val="dotted" w:sz="4" w:space="0" w:color="auto"/>
              <w:bottom w:val="single" w:sz="4" w:space="0" w:color="auto"/>
              <w:right w:val="dotted" w:sz="4" w:space="0" w:color="auto"/>
            </w:tcBorders>
          </w:tcPr>
          <w:p w:rsidR="00FA2819" w:rsidRPr="00C36AEB" w:rsidRDefault="00FA2819" w:rsidP="00FA2819">
            <w:pPr>
              <w:pStyle w:val="BodyText"/>
              <w:rPr>
                <w:i/>
              </w:rPr>
            </w:pPr>
            <w:r w:rsidRPr="00C36AEB">
              <w:rPr>
                <w:i/>
              </w:rPr>
              <w:t>Total other commitments</w:t>
            </w:r>
          </w:p>
        </w:tc>
        <w:tc>
          <w:tcPr>
            <w:tcW w:w="2093" w:type="dxa"/>
            <w:tcBorders>
              <w:top w:val="dotted" w:sz="4" w:space="0" w:color="auto"/>
              <w:left w:val="dotted" w:sz="4" w:space="0" w:color="auto"/>
              <w:bottom w:val="single" w:sz="4" w:space="0" w:color="auto"/>
              <w:right w:val="dotted" w:sz="4" w:space="0" w:color="auto"/>
            </w:tcBorders>
          </w:tcPr>
          <w:p w:rsidR="00FA2819" w:rsidRPr="00C36AEB" w:rsidRDefault="00FA2819" w:rsidP="00FA2819">
            <w:pPr>
              <w:pStyle w:val="BodyText"/>
              <w:jc w:val="right"/>
              <w:rPr>
                <w:b/>
              </w:rPr>
            </w:pPr>
            <w:r w:rsidRPr="00C36AEB">
              <w:rPr>
                <w:b/>
              </w:rPr>
              <w:t>128 852</w:t>
            </w:r>
          </w:p>
        </w:tc>
      </w:tr>
      <w:tr w:rsidR="00FA2819" w:rsidRPr="00C36AEB" w:rsidTr="00C36AEB">
        <w:tc>
          <w:tcPr>
            <w:tcW w:w="8188" w:type="dxa"/>
            <w:tcBorders>
              <w:left w:val="dotted" w:sz="4" w:space="0" w:color="auto"/>
              <w:right w:val="dotted" w:sz="4" w:space="0" w:color="auto"/>
            </w:tcBorders>
          </w:tcPr>
          <w:p w:rsidR="00FA2819" w:rsidRPr="00C36AEB" w:rsidRDefault="00FA2819" w:rsidP="00FA2819">
            <w:pPr>
              <w:pStyle w:val="BodyText"/>
              <w:rPr>
                <w:b/>
              </w:rPr>
            </w:pPr>
            <w:r w:rsidRPr="00C36AEB">
              <w:rPr>
                <w:b/>
              </w:rPr>
              <w:t>Total</w:t>
            </w:r>
          </w:p>
        </w:tc>
        <w:tc>
          <w:tcPr>
            <w:tcW w:w="2093" w:type="dxa"/>
            <w:tcBorders>
              <w:left w:val="dotted" w:sz="4" w:space="0" w:color="auto"/>
              <w:right w:val="dotted" w:sz="4" w:space="0" w:color="auto"/>
            </w:tcBorders>
          </w:tcPr>
          <w:p w:rsidR="00FA2819" w:rsidRPr="00C36AEB" w:rsidRDefault="00FA2819" w:rsidP="00FA2819">
            <w:pPr>
              <w:pStyle w:val="BodyText"/>
              <w:jc w:val="right"/>
              <w:rPr>
                <w:b/>
              </w:rPr>
            </w:pPr>
            <w:r w:rsidRPr="00C36AEB">
              <w:rPr>
                <w:b/>
              </w:rPr>
              <w:t>176 300</w:t>
            </w:r>
          </w:p>
        </w:tc>
      </w:tr>
    </w:tbl>
    <w:p w:rsidR="00FA2819" w:rsidRDefault="00FA2819" w:rsidP="00FA2819">
      <w:pPr>
        <w:pStyle w:val="BodyText"/>
      </w:pPr>
    </w:p>
    <w:p w:rsidR="00C36AEB" w:rsidRPr="00C36AEB" w:rsidRDefault="00C36AEB" w:rsidP="00C36AEB">
      <w:pPr>
        <w:pStyle w:val="BodyText"/>
        <w:rPr>
          <w:i/>
        </w:rPr>
      </w:pPr>
      <w:r w:rsidRPr="00C36AEB">
        <w:rPr>
          <w:i/>
        </w:rPr>
        <w:t>Motor vehicles</w:t>
      </w:r>
    </w:p>
    <w:p w:rsidR="00A933F8" w:rsidRDefault="00C36AEB" w:rsidP="00C36AEB">
      <w:pPr>
        <w:pStyle w:val="BodyText"/>
      </w:pPr>
      <w:r w:rsidRPr="00C36AEB">
        <w:t>The THS’ motor vehicle fleet is managed by LeasePlan Australia as part of a Whole-of-Government</w:t>
      </w:r>
      <w:r>
        <w:t xml:space="preserve"> </w:t>
      </w:r>
      <w:r w:rsidRPr="00C36AEB">
        <w:t>arrangement with the Department of Treasury and Finance as lessor. Lease payments vary according to</w:t>
      </w:r>
      <w:r>
        <w:t xml:space="preserve"> </w:t>
      </w:r>
      <w:r w:rsidRPr="00C36AEB">
        <w:t>the type of vehicle and, where applicable, the price received for trade-in vehicles. Lease terms for the</w:t>
      </w:r>
      <w:r>
        <w:t xml:space="preserve"> </w:t>
      </w:r>
      <w:r w:rsidRPr="00C36AEB">
        <w:t>majority of existing vehicles are for a period of three years or 60,000 kms, whichever comes first, with no</w:t>
      </w:r>
      <w:r>
        <w:t xml:space="preserve"> </w:t>
      </w:r>
      <w:r w:rsidRPr="00C36AEB">
        <w:t>change to the lease rate. No restrictions or purchase options are contained in the lease.</w:t>
      </w:r>
    </w:p>
    <w:p w:rsidR="00A933F8" w:rsidRPr="00A933F8" w:rsidRDefault="00A933F8" w:rsidP="00A933F8">
      <w:pPr>
        <w:pStyle w:val="BodyText"/>
        <w:rPr>
          <w:i/>
        </w:rPr>
      </w:pPr>
      <w:r>
        <w:br w:type="page"/>
      </w:r>
      <w:r w:rsidRPr="00A933F8">
        <w:rPr>
          <w:i/>
        </w:rPr>
        <w:lastRenderedPageBreak/>
        <w:t>Medical Equipment</w:t>
      </w:r>
    </w:p>
    <w:p w:rsidR="00A933F8" w:rsidRPr="00A933F8" w:rsidRDefault="00A933F8" w:rsidP="00A933F8">
      <w:pPr>
        <w:pStyle w:val="BodyText"/>
      </w:pPr>
      <w:r w:rsidRPr="00A933F8">
        <w:t>The THS is party to a Master Facility Agreement. No restrictions, provisions for price adjustments or purchase options are contained in the lease agreement. Terms of leases are set for specific periods. The average period of a lease is six years with an option to renew for a period of twelve months or the initial term, whichever is the lesser.</w:t>
      </w:r>
    </w:p>
    <w:p w:rsidR="00A933F8" w:rsidRPr="00A933F8" w:rsidRDefault="00A933F8" w:rsidP="00A933F8">
      <w:pPr>
        <w:pStyle w:val="BodyText"/>
        <w:rPr>
          <w:i/>
        </w:rPr>
      </w:pPr>
      <w:r w:rsidRPr="00A933F8">
        <w:rPr>
          <w:i/>
        </w:rPr>
        <w:t>Rent on Buildings</w:t>
      </w:r>
    </w:p>
    <w:p w:rsidR="00A933F8" w:rsidRPr="00A933F8" w:rsidRDefault="00A933F8" w:rsidP="00A933F8">
      <w:pPr>
        <w:pStyle w:val="BodyText"/>
      </w:pPr>
      <w:r w:rsidRPr="00A933F8">
        <w:t>The THS leases a range of properties/tenancies around the State for service delivery purposes.</w:t>
      </w:r>
    </w:p>
    <w:p w:rsidR="00A933F8" w:rsidRPr="00A933F8" w:rsidRDefault="00A933F8" w:rsidP="00A933F8">
      <w:pPr>
        <w:pStyle w:val="BodyText"/>
        <w:rPr>
          <w:i/>
        </w:rPr>
      </w:pPr>
      <w:r w:rsidRPr="00A933F8">
        <w:rPr>
          <w:i/>
        </w:rPr>
        <w:t>Information Technology</w:t>
      </w:r>
    </w:p>
    <w:p w:rsidR="00A933F8" w:rsidRPr="00A933F8" w:rsidRDefault="00A933F8" w:rsidP="00A933F8">
      <w:pPr>
        <w:pStyle w:val="BodyText"/>
      </w:pPr>
      <w:r w:rsidRPr="00A933F8">
        <w:t>The THS is party to a number of IT related contracts to support clinical and non clinical IT systems.</w:t>
      </w:r>
    </w:p>
    <w:p w:rsidR="00A933F8" w:rsidRPr="00A933F8" w:rsidRDefault="00A933F8" w:rsidP="00A933F8">
      <w:pPr>
        <w:pStyle w:val="BodyText"/>
        <w:rPr>
          <w:i/>
        </w:rPr>
      </w:pPr>
      <w:r w:rsidRPr="00A933F8">
        <w:rPr>
          <w:i/>
        </w:rPr>
        <w:t>Miscellaneous Grants</w:t>
      </w:r>
    </w:p>
    <w:p w:rsidR="00A933F8" w:rsidRPr="00A933F8" w:rsidRDefault="00A933F8" w:rsidP="00A933F8">
      <w:pPr>
        <w:pStyle w:val="BodyText"/>
      </w:pPr>
      <w:r w:rsidRPr="00A933F8">
        <w:t>The THS provides Grants to external service providers to deliver alcohol and drug rehabilitation services, as well as palliative, respite and community care.</w:t>
      </w:r>
    </w:p>
    <w:p w:rsidR="00A933F8" w:rsidRPr="00A933F8" w:rsidRDefault="00A933F8" w:rsidP="00A933F8">
      <w:pPr>
        <w:pStyle w:val="BodyText"/>
        <w:rPr>
          <w:i/>
        </w:rPr>
      </w:pPr>
      <w:r w:rsidRPr="00A933F8">
        <w:rPr>
          <w:i/>
        </w:rPr>
        <w:t>Miscellaneous Goods and Services Contracts</w:t>
      </w:r>
    </w:p>
    <w:p w:rsidR="00A933F8" w:rsidRPr="00A933F8" w:rsidRDefault="00A933F8" w:rsidP="00A933F8">
      <w:pPr>
        <w:pStyle w:val="BodyText"/>
      </w:pPr>
      <w:r w:rsidRPr="00A933F8">
        <w:t>The THS is party to contracts for the supply of various clinical and non clinical services, including security, pathology, radiology, maternity and other medical services.</w:t>
      </w:r>
    </w:p>
    <w:p w:rsidR="00A933F8" w:rsidRPr="00A933F8" w:rsidRDefault="00A933F8" w:rsidP="00A933F8">
      <w:pPr>
        <w:pStyle w:val="Heading5"/>
      </w:pPr>
      <w:r w:rsidRPr="00A933F8">
        <w:t xml:space="preserve">10.2 </w:t>
      </w:r>
      <w:r>
        <w:tab/>
      </w:r>
      <w:r w:rsidRPr="00A933F8">
        <w:t>Contingent Assets and Liabilities</w:t>
      </w:r>
    </w:p>
    <w:p w:rsidR="00A933F8" w:rsidRPr="00A933F8" w:rsidRDefault="00A933F8" w:rsidP="00A933F8">
      <w:pPr>
        <w:pStyle w:val="BodyText"/>
      </w:pPr>
      <w:r w:rsidRPr="00A933F8">
        <w:t>Contingent assets and liabilities are not recognised in the Statement of Financial Position due to uncertainty regarding any possible amount or timing of any possible underlying claim or obligation.</w:t>
      </w:r>
    </w:p>
    <w:p w:rsidR="00A933F8" w:rsidRPr="00A933F8" w:rsidRDefault="00A933F8" w:rsidP="00A933F8">
      <w:pPr>
        <w:pStyle w:val="BodyText"/>
        <w:rPr>
          <w:b/>
        </w:rPr>
      </w:pPr>
      <w:r w:rsidRPr="00A933F8">
        <w:rPr>
          <w:b/>
        </w:rPr>
        <w:t>Quantifiable contingencies</w:t>
      </w:r>
    </w:p>
    <w:p w:rsidR="00A933F8" w:rsidRPr="00A933F8" w:rsidRDefault="00A933F8" w:rsidP="00A933F8">
      <w:pPr>
        <w:pStyle w:val="BodyText"/>
      </w:pPr>
      <w:r w:rsidRPr="00A933F8">
        <w:t>A quantifiable contingent asset is any possible asset that arises from past events and whose existence will be confirmed only by the occurrence or non-occurrence of one or more uncertain future events not wholly within the control of the entity.</w:t>
      </w:r>
    </w:p>
    <w:p w:rsidR="00C36AEB" w:rsidRDefault="00A933F8" w:rsidP="00A933F8">
      <w:pPr>
        <w:pStyle w:val="BodyText"/>
      </w:pPr>
      <w:r w:rsidRPr="00A933F8">
        <w:t>A quantifiable contingent liability is any possible obligation that arises from past events and whose existence will be confirmed only by the occurrence or non-occurrence of one or more uncertain future events not wholly within the control of the entity; or any present obligation that arises from past events but is not recognised because it is not probable that an outflow of resources embodying economic benefits will be required to settle the obligation. To the extent that any quantifiable contingencies are insured, details provided below are recorded net.</w:t>
      </w:r>
    </w:p>
    <w:tbl>
      <w:tblPr>
        <w:tblStyle w:val="TableGrid"/>
        <w:tblW w:w="0" w:type="auto"/>
        <w:tblInd w:w="-34" w:type="dxa"/>
        <w:tblBorders>
          <w:insideH w:val="dotted" w:sz="4" w:space="0" w:color="auto"/>
          <w:insideV w:val="dotted" w:sz="4" w:space="0" w:color="auto"/>
        </w:tblBorders>
        <w:tblLook w:val="04A0" w:firstRow="1" w:lastRow="0" w:firstColumn="1" w:lastColumn="0" w:noHBand="0" w:noVBand="1"/>
        <w:tblCaption w:val="Contingent Assets and Liabilities"/>
        <w:tblDescription w:val="Quantifiable contingencies"/>
      </w:tblPr>
      <w:tblGrid>
        <w:gridCol w:w="8222"/>
        <w:gridCol w:w="2093"/>
      </w:tblGrid>
      <w:tr w:rsidR="00BB38BD" w:rsidRPr="00F73312" w:rsidTr="00BB38BD">
        <w:trPr>
          <w:tblHeader/>
        </w:trPr>
        <w:tc>
          <w:tcPr>
            <w:tcW w:w="8222" w:type="dxa"/>
            <w:tcBorders>
              <w:top w:val="single" w:sz="4" w:space="0" w:color="auto"/>
              <w:left w:val="dotted" w:sz="4" w:space="0" w:color="auto"/>
              <w:bottom w:val="single" w:sz="4" w:space="0" w:color="auto"/>
            </w:tcBorders>
          </w:tcPr>
          <w:p w:rsidR="00BB38BD" w:rsidRPr="00F73312" w:rsidRDefault="00BB38BD" w:rsidP="00BB38BD">
            <w:pPr>
              <w:pStyle w:val="BodyText"/>
              <w:rPr>
                <w:b/>
              </w:rPr>
            </w:pPr>
            <w:r>
              <w:rPr>
                <w:b/>
              </w:rPr>
              <w:t>Description</w:t>
            </w:r>
          </w:p>
        </w:tc>
        <w:tc>
          <w:tcPr>
            <w:tcW w:w="2093" w:type="dxa"/>
            <w:tcBorders>
              <w:top w:val="single" w:sz="4" w:space="0" w:color="auto"/>
              <w:bottom w:val="single" w:sz="4" w:space="0" w:color="auto"/>
              <w:right w:val="dotted" w:sz="4" w:space="0" w:color="auto"/>
            </w:tcBorders>
          </w:tcPr>
          <w:p w:rsidR="00BB38BD" w:rsidRPr="00F73312" w:rsidRDefault="00BB38BD" w:rsidP="00BB38BD">
            <w:pPr>
              <w:pStyle w:val="BodyText"/>
              <w:ind w:right="284"/>
              <w:jc w:val="right"/>
              <w:rPr>
                <w:b/>
              </w:rPr>
            </w:pPr>
            <w:r w:rsidRPr="00F73312">
              <w:rPr>
                <w:b/>
              </w:rPr>
              <w:t>2016</w:t>
            </w:r>
            <w:r w:rsidRPr="00F73312">
              <w:rPr>
                <w:b/>
              </w:rPr>
              <w:br/>
              <w:t>$’000</w:t>
            </w:r>
          </w:p>
        </w:tc>
      </w:tr>
      <w:tr w:rsidR="00BB38BD" w:rsidRPr="00F73312" w:rsidTr="00BB38BD">
        <w:tc>
          <w:tcPr>
            <w:tcW w:w="8222" w:type="dxa"/>
            <w:tcBorders>
              <w:top w:val="single" w:sz="4" w:space="0" w:color="auto"/>
              <w:left w:val="dotted" w:sz="4" w:space="0" w:color="auto"/>
            </w:tcBorders>
          </w:tcPr>
          <w:p w:rsidR="00BB38BD" w:rsidRPr="00F73312" w:rsidRDefault="00BB38BD" w:rsidP="00BB38BD">
            <w:pPr>
              <w:pStyle w:val="BodyText"/>
              <w:rPr>
                <w:b/>
              </w:rPr>
            </w:pPr>
            <w:r>
              <w:rPr>
                <w:b/>
              </w:rPr>
              <w:t>Quantifiable contingent liabilities</w:t>
            </w:r>
          </w:p>
        </w:tc>
        <w:tc>
          <w:tcPr>
            <w:tcW w:w="2093" w:type="dxa"/>
            <w:tcBorders>
              <w:top w:val="single" w:sz="4" w:space="0" w:color="auto"/>
              <w:right w:val="dotted" w:sz="4" w:space="0" w:color="auto"/>
            </w:tcBorders>
          </w:tcPr>
          <w:p w:rsidR="00BB38BD" w:rsidRPr="00F73312" w:rsidRDefault="00BB38BD" w:rsidP="00BB38BD">
            <w:pPr>
              <w:pStyle w:val="BodyText"/>
              <w:ind w:right="284"/>
              <w:jc w:val="right"/>
            </w:pPr>
          </w:p>
        </w:tc>
      </w:tr>
      <w:tr w:rsidR="00BB38BD" w:rsidRPr="00F73312" w:rsidTr="00BB38BD">
        <w:tc>
          <w:tcPr>
            <w:tcW w:w="8222" w:type="dxa"/>
            <w:tcBorders>
              <w:left w:val="dotted" w:sz="4" w:space="0" w:color="auto"/>
            </w:tcBorders>
          </w:tcPr>
          <w:p w:rsidR="00BB38BD" w:rsidRPr="00BB38BD" w:rsidRDefault="00BB38BD" w:rsidP="00BB38BD">
            <w:pPr>
              <w:pStyle w:val="BodyText"/>
              <w:rPr>
                <w:i/>
              </w:rPr>
            </w:pPr>
            <w:r>
              <w:rPr>
                <w:i/>
              </w:rPr>
              <w:t>Contingent claims</w:t>
            </w:r>
          </w:p>
        </w:tc>
        <w:tc>
          <w:tcPr>
            <w:tcW w:w="2093" w:type="dxa"/>
            <w:tcBorders>
              <w:right w:val="dotted" w:sz="4" w:space="0" w:color="auto"/>
            </w:tcBorders>
          </w:tcPr>
          <w:p w:rsidR="00BB38BD" w:rsidRPr="00F73312" w:rsidRDefault="00BB38BD" w:rsidP="00BB38BD">
            <w:pPr>
              <w:pStyle w:val="BodyText"/>
              <w:ind w:right="284"/>
              <w:jc w:val="right"/>
            </w:pPr>
          </w:p>
        </w:tc>
      </w:tr>
      <w:tr w:rsidR="00BB38BD" w:rsidRPr="00F73312" w:rsidTr="00BB38BD">
        <w:tc>
          <w:tcPr>
            <w:tcW w:w="8222" w:type="dxa"/>
            <w:tcBorders>
              <w:left w:val="dotted" w:sz="4" w:space="0" w:color="auto"/>
            </w:tcBorders>
          </w:tcPr>
          <w:p w:rsidR="00BB38BD" w:rsidRPr="00BB38BD" w:rsidRDefault="00BB38BD" w:rsidP="00BB38BD">
            <w:pPr>
              <w:pStyle w:val="BodyText"/>
            </w:pPr>
            <w:r w:rsidRPr="00BB38BD">
              <w:t>Medical negligence and workers compensation claims</w:t>
            </w:r>
          </w:p>
        </w:tc>
        <w:tc>
          <w:tcPr>
            <w:tcW w:w="2093" w:type="dxa"/>
            <w:tcBorders>
              <w:right w:val="dotted" w:sz="4" w:space="0" w:color="auto"/>
            </w:tcBorders>
          </w:tcPr>
          <w:p w:rsidR="00BB38BD" w:rsidRPr="00BB38BD" w:rsidRDefault="00BB38BD" w:rsidP="00BB38BD">
            <w:pPr>
              <w:pStyle w:val="BodyText"/>
              <w:ind w:right="284"/>
              <w:jc w:val="right"/>
            </w:pPr>
            <w:r w:rsidRPr="00BB38BD">
              <w:t>4 574</w:t>
            </w:r>
          </w:p>
        </w:tc>
      </w:tr>
      <w:tr w:rsidR="00BB38BD" w:rsidRPr="00F73312" w:rsidTr="00BB38BD">
        <w:tc>
          <w:tcPr>
            <w:tcW w:w="8222" w:type="dxa"/>
            <w:tcBorders>
              <w:top w:val="single" w:sz="4" w:space="0" w:color="auto"/>
              <w:left w:val="dotted" w:sz="4" w:space="0" w:color="auto"/>
              <w:bottom w:val="single" w:sz="4" w:space="0" w:color="auto"/>
            </w:tcBorders>
          </w:tcPr>
          <w:p w:rsidR="00BB38BD" w:rsidRPr="00F73312" w:rsidRDefault="00BB38BD" w:rsidP="00BB38BD">
            <w:pPr>
              <w:pStyle w:val="BodyText"/>
              <w:rPr>
                <w:b/>
              </w:rPr>
            </w:pPr>
            <w:r>
              <w:rPr>
                <w:b/>
              </w:rPr>
              <w:t>Total quantifiable contingent liabilities</w:t>
            </w:r>
          </w:p>
        </w:tc>
        <w:tc>
          <w:tcPr>
            <w:tcW w:w="2093" w:type="dxa"/>
            <w:tcBorders>
              <w:top w:val="single" w:sz="4" w:space="0" w:color="auto"/>
              <w:bottom w:val="single" w:sz="4" w:space="0" w:color="auto"/>
              <w:right w:val="dotted" w:sz="4" w:space="0" w:color="auto"/>
            </w:tcBorders>
          </w:tcPr>
          <w:p w:rsidR="00BB38BD" w:rsidRPr="00F73312" w:rsidRDefault="00BB38BD" w:rsidP="00BB38BD">
            <w:pPr>
              <w:pStyle w:val="BodyText"/>
              <w:ind w:right="284"/>
              <w:jc w:val="right"/>
              <w:rPr>
                <w:b/>
              </w:rPr>
            </w:pPr>
            <w:r>
              <w:rPr>
                <w:b/>
              </w:rPr>
              <w:t>4 574</w:t>
            </w:r>
          </w:p>
        </w:tc>
      </w:tr>
    </w:tbl>
    <w:p w:rsidR="00BB38BD" w:rsidRDefault="00BB38BD" w:rsidP="00BB38BD">
      <w:pPr>
        <w:pStyle w:val="BodyText"/>
      </w:pPr>
      <w:r>
        <w:t>At 30 June 2016, the THS had a number of legal claims against it for medical negligence and workers compensation. These claims are reported at the net cost to the THS.</w:t>
      </w:r>
    </w:p>
    <w:p w:rsidR="00BB38BD" w:rsidRDefault="00BB38BD" w:rsidP="00BB38BD">
      <w:pPr>
        <w:pStyle w:val="BodyText"/>
      </w:pPr>
      <w:r>
        <w:t>The THS manages its legal claims through the Tasmanian Risk Management Fund (TRMF). An excess of $50,000 remains payable for every claim and amounts over that excess are met by the TRMF.</w:t>
      </w:r>
    </w:p>
    <w:p w:rsidR="00BB38BD" w:rsidRDefault="00BB38BD" w:rsidP="00BB38BD">
      <w:pPr>
        <w:pStyle w:val="Heading4"/>
      </w:pPr>
      <w:r>
        <w:lastRenderedPageBreak/>
        <w:t>Note 11</w:t>
      </w:r>
      <w:r>
        <w:tab/>
        <w:t>Reserves</w:t>
      </w:r>
    </w:p>
    <w:p w:rsidR="00BB38BD" w:rsidRDefault="00BB38BD" w:rsidP="00BB38BD">
      <w:pPr>
        <w:pStyle w:val="Heading5"/>
      </w:pPr>
      <w:r>
        <w:t>11.1</w:t>
      </w:r>
      <w:r>
        <w:tab/>
        <w:t>Reserves</w:t>
      </w:r>
    </w:p>
    <w:tbl>
      <w:tblPr>
        <w:tblStyle w:val="TableGrid"/>
        <w:tblW w:w="0" w:type="auto"/>
        <w:tblLook w:val="04A0" w:firstRow="1" w:lastRow="0" w:firstColumn="1" w:lastColumn="0" w:noHBand="0" w:noVBand="1"/>
        <w:tblCaption w:val="Reserves"/>
      </w:tblPr>
      <w:tblGrid>
        <w:gridCol w:w="4786"/>
        <w:gridCol w:w="1276"/>
        <w:gridCol w:w="1417"/>
        <w:gridCol w:w="1418"/>
        <w:gridCol w:w="1384"/>
      </w:tblGrid>
      <w:tr w:rsidR="00BB38BD" w:rsidRPr="00BB38BD" w:rsidTr="00BB38BD">
        <w:trPr>
          <w:tblHeader/>
        </w:trPr>
        <w:tc>
          <w:tcPr>
            <w:tcW w:w="4786" w:type="dxa"/>
            <w:tcBorders>
              <w:left w:val="dotted" w:sz="4" w:space="0" w:color="auto"/>
              <w:bottom w:val="single" w:sz="4" w:space="0" w:color="auto"/>
            </w:tcBorders>
          </w:tcPr>
          <w:p w:rsidR="00BB38BD" w:rsidRPr="00BB38BD" w:rsidRDefault="00BB38BD" w:rsidP="00BB38BD">
            <w:pPr>
              <w:rPr>
                <w:rFonts w:ascii="Gill Sans MT" w:hAnsi="Gill Sans MT"/>
                <w:b/>
              </w:rPr>
            </w:pPr>
            <w:r w:rsidRPr="00BB38BD">
              <w:rPr>
                <w:rFonts w:ascii="Gill Sans MT" w:hAnsi="Gill Sans MT"/>
                <w:b/>
              </w:rPr>
              <w:t>2016</w:t>
            </w:r>
          </w:p>
        </w:tc>
        <w:tc>
          <w:tcPr>
            <w:tcW w:w="1276" w:type="dxa"/>
            <w:tcBorders>
              <w:bottom w:val="single" w:sz="4" w:space="0" w:color="auto"/>
            </w:tcBorders>
          </w:tcPr>
          <w:p w:rsidR="00BB38BD" w:rsidRPr="00BB38BD" w:rsidRDefault="00BB38BD" w:rsidP="00BB38BD">
            <w:pPr>
              <w:jc w:val="right"/>
              <w:rPr>
                <w:rFonts w:ascii="Gill Sans MT" w:hAnsi="Gill Sans MT"/>
                <w:b/>
              </w:rPr>
            </w:pPr>
            <w:r w:rsidRPr="00BB38BD">
              <w:rPr>
                <w:rFonts w:ascii="Gill Sans MT" w:hAnsi="Gill Sans MT"/>
                <w:b/>
              </w:rPr>
              <w:t>Land</w:t>
            </w:r>
          </w:p>
        </w:tc>
        <w:tc>
          <w:tcPr>
            <w:tcW w:w="1417" w:type="dxa"/>
            <w:tcBorders>
              <w:bottom w:val="single" w:sz="4" w:space="0" w:color="auto"/>
            </w:tcBorders>
          </w:tcPr>
          <w:p w:rsidR="00BB38BD" w:rsidRPr="00BB38BD" w:rsidRDefault="00BB38BD" w:rsidP="00BB38BD">
            <w:pPr>
              <w:jc w:val="right"/>
              <w:rPr>
                <w:rFonts w:ascii="Gill Sans MT" w:hAnsi="Gill Sans MT"/>
                <w:b/>
              </w:rPr>
            </w:pPr>
            <w:r w:rsidRPr="00BB38BD">
              <w:rPr>
                <w:rFonts w:ascii="Gill Sans MT" w:hAnsi="Gill Sans MT"/>
                <w:b/>
              </w:rPr>
              <w:t>Buildings</w:t>
            </w:r>
          </w:p>
        </w:tc>
        <w:tc>
          <w:tcPr>
            <w:tcW w:w="1418" w:type="dxa"/>
            <w:tcBorders>
              <w:bottom w:val="single" w:sz="4" w:space="0" w:color="auto"/>
            </w:tcBorders>
          </w:tcPr>
          <w:p w:rsidR="00BB38BD" w:rsidRPr="00BB38BD" w:rsidRDefault="00BB38BD" w:rsidP="00BB38BD">
            <w:pPr>
              <w:jc w:val="right"/>
              <w:rPr>
                <w:rFonts w:ascii="Gill Sans MT" w:hAnsi="Gill Sans MT"/>
                <w:b/>
              </w:rPr>
            </w:pPr>
            <w:r w:rsidRPr="00BB38BD">
              <w:rPr>
                <w:rFonts w:ascii="Gill Sans MT" w:hAnsi="Gill Sans MT"/>
                <w:b/>
              </w:rPr>
              <w:t>Artwork</w:t>
            </w:r>
          </w:p>
        </w:tc>
        <w:tc>
          <w:tcPr>
            <w:tcW w:w="1384" w:type="dxa"/>
            <w:tcBorders>
              <w:bottom w:val="single" w:sz="4" w:space="0" w:color="auto"/>
              <w:right w:val="dotted" w:sz="4" w:space="0" w:color="auto"/>
            </w:tcBorders>
          </w:tcPr>
          <w:p w:rsidR="00BB38BD" w:rsidRPr="00BB38BD" w:rsidRDefault="00BB38BD" w:rsidP="00BB38BD">
            <w:pPr>
              <w:jc w:val="right"/>
              <w:rPr>
                <w:rFonts w:ascii="Gill Sans MT" w:hAnsi="Gill Sans MT"/>
                <w:b/>
              </w:rPr>
            </w:pPr>
            <w:r w:rsidRPr="00BB38BD">
              <w:rPr>
                <w:rFonts w:ascii="Gill Sans MT" w:hAnsi="Gill Sans MT"/>
                <w:b/>
              </w:rPr>
              <w:t>Total</w:t>
            </w:r>
            <w:r w:rsidRPr="00BB38BD">
              <w:rPr>
                <w:rFonts w:ascii="Gill Sans MT" w:hAnsi="Gill Sans MT"/>
                <w:b/>
              </w:rPr>
              <w:br/>
              <w:t>$’000</w:t>
            </w:r>
          </w:p>
        </w:tc>
      </w:tr>
      <w:tr w:rsidR="00BB38BD" w:rsidRPr="00BB38BD" w:rsidTr="00BB38BD">
        <w:trPr>
          <w:trHeight w:val="340"/>
        </w:trPr>
        <w:tc>
          <w:tcPr>
            <w:tcW w:w="4786" w:type="dxa"/>
            <w:tcBorders>
              <w:left w:val="dotted" w:sz="4" w:space="0" w:color="auto"/>
              <w:bottom w:val="dotted" w:sz="4" w:space="0" w:color="auto"/>
              <w:right w:val="dotted" w:sz="4" w:space="0" w:color="auto"/>
            </w:tcBorders>
          </w:tcPr>
          <w:p w:rsidR="00BB38BD" w:rsidRPr="00BB38BD" w:rsidRDefault="00BB38BD" w:rsidP="00BB38BD">
            <w:pPr>
              <w:rPr>
                <w:rFonts w:ascii="Gill Sans MT" w:hAnsi="Gill Sans MT"/>
              </w:rPr>
            </w:pPr>
            <w:r w:rsidRPr="00BB38BD">
              <w:rPr>
                <w:rFonts w:ascii="Gill Sans MT" w:hAnsi="Gill Sans MT" w:cs="GillSans-Light"/>
                <w:sz w:val="20"/>
                <w:szCs w:val="20"/>
              </w:rPr>
              <w:t>Asset revaluation reserve</w:t>
            </w:r>
          </w:p>
        </w:tc>
        <w:tc>
          <w:tcPr>
            <w:tcW w:w="1276" w:type="dxa"/>
            <w:tcBorders>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p>
        </w:tc>
        <w:tc>
          <w:tcPr>
            <w:tcW w:w="1417" w:type="dxa"/>
            <w:tcBorders>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p>
        </w:tc>
        <w:tc>
          <w:tcPr>
            <w:tcW w:w="1418" w:type="dxa"/>
            <w:tcBorders>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p>
        </w:tc>
        <w:tc>
          <w:tcPr>
            <w:tcW w:w="1384" w:type="dxa"/>
            <w:tcBorders>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p>
        </w:tc>
      </w:tr>
      <w:tr w:rsidR="00BB38BD" w:rsidRPr="00BB38BD" w:rsidTr="00BB38BD">
        <w:trPr>
          <w:trHeight w:val="340"/>
        </w:trPr>
        <w:tc>
          <w:tcPr>
            <w:tcW w:w="478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rPr>
                <w:rFonts w:ascii="Gill Sans MT" w:hAnsi="Gill Sans MT"/>
              </w:rPr>
            </w:pPr>
            <w:r w:rsidRPr="00BB38BD">
              <w:rPr>
                <w:rFonts w:ascii="Gill Sans MT" w:hAnsi="Gill Sans MT" w:cs="GillSans-Light"/>
                <w:sz w:val="20"/>
                <w:szCs w:val="20"/>
              </w:rPr>
              <w:t>Balance at the beginning of financial year</w:t>
            </w:r>
          </w:p>
        </w:tc>
        <w:tc>
          <w:tcPr>
            <w:tcW w:w="127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417"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418"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384"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r>
      <w:tr w:rsidR="00BB38BD" w:rsidRPr="00BB38BD" w:rsidTr="00BB38BD">
        <w:trPr>
          <w:trHeight w:val="340"/>
        </w:trPr>
        <w:tc>
          <w:tcPr>
            <w:tcW w:w="478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rPr>
                <w:rFonts w:ascii="Gill Sans MT" w:hAnsi="Gill Sans MT"/>
              </w:rPr>
            </w:pPr>
            <w:r w:rsidRPr="00BB38BD">
              <w:rPr>
                <w:rFonts w:ascii="Gill Sans MT" w:hAnsi="Gill Sans MT" w:cs="GillSans-Light"/>
                <w:sz w:val="20"/>
                <w:szCs w:val="20"/>
              </w:rPr>
              <w:t>Transfers to accumulated surplus</w:t>
            </w:r>
          </w:p>
        </w:tc>
        <w:tc>
          <w:tcPr>
            <w:tcW w:w="127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417"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(210)</w:t>
            </w:r>
          </w:p>
        </w:tc>
        <w:tc>
          <w:tcPr>
            <w:tcW w:w="1418"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384"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(210)</w:t>
            </w:r>
          </w:p>
        </w:tc>
      </w:tr>
      <w:tr w:rsidR="00BB38BD" w:rsidRPr="00BB38BD" w:rsidTr="00BB38BD">
        <w:trPr>
          <w:trHeight w:val="340"/>
        </w:trPr>
        <w:tc>
          <w:tcPr>
            <w:tcW w:w="478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rPr>
                <w:rFonts w:ascii="Gill Sans MT" w:hAnsi="Gill Sans MT"/>
              </w:rPr>
            </w:pPr>
            <w:r w:rsidRPr="00BB38BD">
              <w:rPr>
                <w:rFonts w:ascii="Gill Sans MT" w:hAnsi="Gill Sans MT" w:cs="GillSans-Light"/>
                <w:sz w:val="20"/>
                <w:szCs w:val="20"/>
              </w:rPr>
              <w:t>Revaluation transferred in on establishment</w:t>
            </w:r>
          </w:p>
        </w:tc>
        <w:tc>
          <w:tcPr>
            <w:tcW w:w="1276"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1 549</w:t>
            </w:r>
          </w:p>
        </w:tc>
        <w:tc>
          <w:tcPr>
            <w:tcW w:w="1417"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191 402</w:t>
            </w:r>
          </w:p>
        </w:tc>
        <w:tc>
          <w:tcPr>
            <w:tcW w:w="1418"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41</w:t>
            </w:r>
          </w:p>
        </w:tc>
        <w:tc>
          <w:tcPr>
            <w:tcW w:w="1384" w:type="dxa"/>
            <w:tcBorders>
              <w:top w:val="dotted" w:sz="4" w:space="0" w:color="auto"/>
              <w:left w:val="dotted" w:sz="4" w:space="0" w:color="auto"/>
              <w:bottom w:val="dotted"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192 992</w:t>
            </w:r>
          </w:p>
        </w:tc>
      </w:tr>
      <w:tr w:rsidR="00BB38BD" w:rsidRPr="00BB38BD" w:rsidTr="00BB38BD">
        <w:trPr>
          <w:trHeight w:val="340"/>
        </w:trPr>
        <w:tc>
          <w:tcPr>
            <w:tcW w:w="4786" w:type="dxa"/>
            <w:tcBorders>
              <w:top w:val="dotted" w:sz="4" w:space="0" w:color="auto"/>
              <w:left w:val="dotted" w:sz="4" w:space="0" w:color="auto"/>
              <w:bottom w:val="single" w:sz="4" w:space="0" w:color="auto"/>
              <w:right w:val="dotted" w:sz="4" w:space="0" w:color="auto"/>
            </w:tcBorders>
          </w:tcPr>
          <w:p w:rsidR="00BB38BD" w:rsidRPr="00BB38BD" w:rsidRDefault="00BB38BD" w:rsidP="00BB38BD">
            <w:pPr>
              <w:rPr>
                <w:rFonts w:ascii="Gill Sans MT" w:hAnsi="Gill Sans MT"/>
              </w:rPr>
            </w:pPr>
            <w:r w:rsidRPr="00BB38BD">
              <w:rPr>
                <w:rFonts w:ascii="Gill Sans MT" w:hAnsi="Gill Sans MT" w:cs="GillSans-Light"/>
                <w:sz w:val="20"/>
                <w:szCs w:val="20"/>
              </w:rPr>
              <w:t>Revaluation increments/(decrements)</w:t>
            </w:r>
          </w:p>
        </w:tc>
        <w:tc>
          <w:tcPr>
            <w:tcW w:w="1276" w:type="dxa"/>
            <w:tcBorders>
              <w:top w:val="dotted" w:sz="4" w:space="0" w:color="auto"/>
              <w:left w:val="dotted" w:sz="4" w:space="0" w:color="auto"/>
              <w:bottom w:val="single"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 xml:space="preserve">1 858 </w:t>
            </w:r>
          </w:p>
        </w:tc>
        <w:tc>
          <w:tcPr>
            <w:tcW w:w="1417" w:type="dxa"/>
            <w:tcBorders>
              <w:top w:val="dotted" w:sz="4" w:space="0" w:color="auto"/>
              <w:left w:val="dotted" w:sz="4" w:space="0" w:color="auto"/>
              <w:bottom w:val="single"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11 891</w:t>
            </w:r>
          </w:p>
        </w:tc>
        <w:tc>
          <w:tcPr>
            <w:tcW w:w="1418" w:type="dxa"/>
            <w:tcBorders>
              <w:top w:val="dotted" w:sz="4" w:space="0" w:color="auto"/>
              <w:left w:val="dotted" w:sz="4" w:space="0" w:color="auto"/>
              <w:bottom w:val="single"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0</w:t>
            </w:r>
          </w:p>
        </w:tc>
        <w:tc>
          <w:tcPr>
            <w:tcW w:w="1384" w:type="dxa"/>
            <w:tcBorders>
              <w:top w:val="dotted" w:sz="4" w:space="0" w:color="auto"/>
              <w:left w:val="dotted" w:sz="4" w:space="0" w:color="auto"/>
              <w:bottom w:val="single" w:sz="4" w:space="0" w:color="auto"/>
              <w:right w:val="dotted" w:sz="4" w:space="0" w:color="auto"/>
            </w:tcBorders>
          </w:tcPr>
          <w:p w:rsidR="00BB38BD" w:rsidRPr="00BB38BD" w:rsidRDefault="00BB38BD" w:rsidP="00BB38BD">
            <w:pPr>
              <w:jc w:val="right"/>
              <w:rPr>
                <w:rFonts w:ascii="Gill Sans MT" w:hAnsi="Gill Sans MT"/>
              </w:rPr>
            </w:pPr>
            <w:r w:rsidRPr="00BB38BD">
              <w:rPr>
                <w:rFonts w:ascii="Gill Sans MT" w:hAnsi="Gill Sans MT"/>
              </w:rPr>
              <w:t>13 749</w:t>
            </w:r>
          </w:p>
        </w:tc>
      </w:tr>
      <w:tr w:rsidR="00BB38BD" w:rsidRPr="00BB38BD" w:rsidTr="00BB38BD">
        <w:trPr>
          <w:trHeight w:val="340"/>
        </w:trPr>
        <w:tc>
          <w:tcPr>
            <w:tcW w:w="4786" w:type="dxa"/>
            <w:tcBorders>
              <w:left w:val="dotted" w:sz="4" w:space="0" w:color="auto"/>
            </w:tcBorders>
          </w:tcPr>
          <w:p w:rsidR="00BB38BD" w:rsidRPr="00BB38BD" w:rsidRDefault="00BB38BD" w:rsidP="00BB38BD">
            <w:pPr>
              <w:rPr>
                <w:rFonts w:ascii="Gill Sans MT" w:hAnsi="Gill Sans MT"/>
              </w:rPr>
            </w:pPr>
            <w:r w:rsidRPr="00BB38BD">
              <w:rPr>
                <w:rFonts w:ascii="Gill Sans MT" w:hAnsi="Gill Sans MT" w:cs="GillSans-SemiBold"/>
                <w:b/>
                <w:bCs/>
                <w:sz w:val="20"/>
                <w:szCs w:val="20"/>
              </w:rPr>
              <w:t>Balance at the end of financial year</w:t>
            </w:r>
          </w:p>
        </w:tc>
        <w:tc>
          <w:tcPr>
            <w:tcW w:w="1276" w:type="dxa"/>
          </w:tcPr>
          <w:p w:rsidR="00BB38BD" w:rsidRPr="00BB38BD" w:rsidRDefault="00BB38BD" w:rsidP="00BB38BD">
            <w:pPr>
              <w:jc w:val="right"/>
              <w:rPr>
                <w:rFonts w:ascii="Gill Sans MT" w:hAnsi="Gill Sans MT"/>
                <w:b/>
              </w:rPr>
            </w:pPr>
            <w:r w:rsidRPr="00BB38BD">
              <w:rPr>
                <w:rFonts w:ascii="Gill Sans MT" w:hAnsi="Gill Sans MT"/>
                <w:b/>
              </w:rPr>
              <w:t>3 407</w:t>
            </w:r>
          </w:p>
        </w:tc>
        <w:tc>
          <w:tcPr>
            <w:tcW w:w="1417" w:type="dxa"/>
          </w:tcPr>
          <w:p w:rsidR="00BB38BD" w:rsidRPr="00BB38BD" w:rsidRDefault="00BB38BD" w:rsidP="00BB38BD">
            <w:pPr>
              <w:jc w:val="right"/>
              <w:rPr>
                <w:rFonts w:ascii="Gill Sans MT" w:hAnsi="Gill Sans MT"/>
                <w:b/>
              </w:rPr>
            </w:pPr>
            <w:r w:rsidRPr="00BB38BD">
              <w:rPr>
                <w:rFonts w:ascii="Gill Sans MT" w:hAnsi="Gill Sans MT"/>
                <w:b/>
              </w:rPr>
              <w:t>203 083</w:t>
            </w:r>
          </w:p>
        </w:tc>
        <w:tc>
          <w:tcPr>
            <w:tcW w:w="1418" w:type="dxa"/>
          </w:tcPr>
          <w:p w:rsidR="00BB38BD" w:rsidRPr="00BB38BD" w:rsidRDefault="00BB38BD" w:rsidP="00BB38BD">
            <w:pPr>
              <w:jc w:val="right"/>
              <w:rPr>
                <w:rFonts w:ascii="Gill Sans MT" w:hAnsi="Gill Sans MT"/>
                <w:b/>
              </w:rPr>
            </w:pPr>
            <w:r w:rsidRPr="00BB38BD">
              <w:rPr>
                <w:rFonts w:ascii="Gill Sans MT" w:hAnsi="Gill Sans MT"/>
                <w:b/>
              </w:rPr>
              <w:t>41</w:t>
            </w:r>
          </w:p>
        </w:tc>
        <w:tc>
          <w:tcPr>
            <w:tcW w:w="1384" w:type="dxa"/>
            <w:tcBorders>
              <w:right w:val="dotted" w:sz="4" w:space="0" w:color="auto"/>
            </w:tcBorders>
          </w:tcPr>
          <w:p w:rsidR="00BB38BD" w:rsidRPr="00BB38BD" w:rsidRDefault="00BB38BD" w:rsidP="00BB38BD">
            <w:pPr>
              <w:jc w:val="right"/>
              <w:rPr>
                <w:rFonts w:ascii="Gill Sans MT" w:hAnsi="Gill Sans MT"/>
                <w:b/>
              </w:rPr>
            </w:pPr>
            <w:r w:rsidRPr="00BB38BD">
              <w:rPr>
                <w:rFonts w:ascii="Gill Sans MT" w:hAnsi="Gill Sans MT"/>
                <w:b/>
              </w:rPr>
              <w:t>206 531</w:t>
            </w:r>
          </w:p>
        </w:tc>
      </w:tr>
    </w:tbl>
    <w:p w:rsidR="00BB38BD" w:rsidRPr="00BB38BD" w:rsidRDefault="00BB38BD" w:rsidP="00BB38BD"/>
    <w:p w:rsidR="00BB38BD" w:rsidRPr="00BB38BD" w:rsidRDefault="00BB38BD" w:rsidP="00BB38BD">
      <w:pPr>
        <w:pStyle w:val="BodyText"/>
        <w:rPr>
          <w:i/>
        </w:rPr>
      </w:pPr>
      <w:r w:rsidRPr="00BB38BD">
        <w:rPr>
          <w:i/>
        </w:rPr>
        <w:t>Asset Revaluation Reserve</w:t>
      </w:r>
    </w:p>
    <w:p w:rsidR="00BB38BD" w:rsidRPr="00BB38BD" w:rsidRDefault="00BB38BD" w:rsidP="00BB38BD">
      <w:pPr>
        <w:pStyle w:val="BodyText"/>
      </w:pPr>
      <w:r w:rsidRPr="00BB38BD">
        <w:t>The asset revaluation reserve is used to record increments and decrements on the revaluation of non</w:t>
      </w:r>
      <w:r w:rsidRPr="00BB38BD">
        <w:rPr>
          <w:rFonts w:ascii="MS Gothic" w:eastAsia="MS Gothic" w:hAnsi="MS Gothic" w:cs="MS Gothic" w:hint="eastAsia"/>
        </w:rPr>
        <w:t>‑</w:t>
      </w:r>
      <w:r w:rsidRPr="00BB38BD">
        <w:t>financial assets, as described in Note 8.5.</w:t>
      </w:r>
    </w:p>
    <w:p w:rsidR="00BB38BD" w:rsidRPr="00BB38BD" w:rsidRDefault="00BB38BD" w:rsidP="00BB38BD">
      <w:pPr>
        <w:pStyle w:val="Heading5"/>
      </w:pPr>
      <w:r w:rsidRPr="00BB38BD">
        <w:t xml:space="preserve">11.2 </w:t>
      </w:r>
      <w:r>
        <w:tab/>
      </w:r>
      <w:r w:rsidRPr="00BB38BD">
        <w:t>Administrative Restructuring</w:t>
      </w:r>
    </w:p>
    <w:p w:rsidR="00BB38BD" w:rsidRPr="00BB38BD" w:rsidRDefault="00BB38BD" w:rsidP="00BB38BD">
      <w:pPr>
        <w:pStyle w:val="BodyText"/>
      </w:pPr>
      <w:r w:rsidRPr="00BB38BD">
        <w:t>Net assets received under a restructuring of administrative arrangements are designated as contributions by owners and adjusted directly against equity. Net assets relinquished are designated as distributions to owners. Net assets transferred are initially recognised at the amounts at which they were recognised by the transferring agency immediately prior to the transfer.</w:t>
      </w:r>
    </w:p>
    <w:p w:rsidR="00BB38BD" w:rsidRPr="00BB38BD" w:rsidRDefault="00BB38BD" w:rsidP="00BB38BD">
      <w:pPr>
        <w:pStyle w:val="BodyText"/>
      </w:pPr>
      <w:r w:rsidRPr="00BB38BD">
        <w:t>On 1 July 2015, Cancer Screening and Control Services transferred from the Department to the THS.</w:t>
      </w:r>
    </w:p>
    <w:p w:rsidR="00BB38BD" w:rsidRDefault="00BB38BD" w:rsidP="00BB38BD">
      <w:pPr>
        <w:pStyle w:val="BodyText"/>
      </w:pPr>
      <w:r w:rsidRPr="00BB38BD">
        <w:t>The transfer of assets and liabilities took place on 1 July 2015. These are detailed in the Statement of Changes in Equity under the heading Administrative restructure, and are detailed in the following Balance Sheet:</w:t>
      </w:r>
    </w:p>
    <w:tbl>
      <w:tblPr>
        <w:tblStyle w:val="TableGrid"/>
        <w:tblW w:w="0" w:type="auto"/>
        <w:tblLook w:val="04A0" w:firstRow="1" w:lastRow="0" w:firstColumn="1" w:lastColumn="0" w:noHBand="0" w:noVBand="1"/>
        <w:tblCaption w:val="Administrative Restructuring"/>
        <w:tblDescription w:val="Total Transfer to THS - assets and liabilitites"/>
      </w:tblPr>
      <w:tblGrid>
        <w:gridCol w:w="8897"/>
        <w:gridCol w:w="1384"/>
      </w:tblGrid>
      <w:tr w:rsidR="00720D36" w:rsidRPr="00720D36" w:rsidTr="00A34610">
        <w:trPr>
          <w:tblHeader/>
        </w:trPr>
        <w:tc>
          <w:tcPr>
            <w:tcW w:w="8897" w:type="dxa"/>
            <w:tcBorders>
              <w:left w:val="dotted" w:sz="4" w:space="0" w:color="auto"/>
              <w:bottom w:val="single" w:sz="4" w:space="0" w:color="auto"/>
              <w:right w:val="dotted" w:sz="4" w:space="0" w:color="auto"/>
            </w:tcBorders>
          </w:tcPr>
          <w:p w:rsidR="00720D36" w:rsidRPr="00720D36" w:rsidRDefault="00720D36" w:rsidP="00BB38BD">
            <w:pPr>
              <w:pStyle w:val="BodyText"/>
              <w:rPr>
                <w:b/>
              </w:rPr>
            </w:pPr>
            <w:r w:rsidRPr="00720D36">
              <w:rPr>
                <w:b/>
              </w:rPr>
              <w:t>Total transfer to THS</w:t>
            </w:r>
          </w:p>
        </w:tc>
        <w:tc>
          <w:tcPr>
            <w:tcW w:w="1384" w:type="dxa"/>
            <w:tcBorders>
              <w:left w:val="dotted" w:sz="4" w:space="0" w:color="auto"/>
              <w:bottom w:val="single" w:sz="4" w:space="0" w:color="auto"/>
              <w:right w:val="dotted" w:sz="4" w:space="0" w:color="auto"/>
            </w:tcBorders>
          </w:tcPr>
          <w:p w:rsidR="00720D36" w:rsidRPr="00720D36" w:rsidRDefault="00720D36" w:rsidP="00A34610">
            <w:pPr>
              <w:pStyle w:val="BodyText"/>
              <w:ind w:right="284"/>
              <w:jc w:val="right"/>
              <w:rPr>
                <w:b/>
              </w:rPr>
            </w:pPr>
            <w:r w:rsidRPr="00720D36">
              <w:rPr>
                <w:b/>
              </w:rPr>
              <w:t>$’000</w:t>
            </w:r>
          </w:p>
        </w:tc>
      </w:tr>
      <w:tr w:rsidR="00720D36" w:rsidTr="00720D36">
        <w:tc>
          <w:tcPr>
            <w:tcW w:w="8897" w:type="dxa"/>
            <w:tcBorders>
              <w:left w:val="dotted" w:sz="4" w:space="0" w:color="auto"/>
              <w:bottom w:val="dotted" w:sz="4" w:space="0" w:color="auto"/>
              <w:right w:val="dotted" w:sz="4" w:space="0" w:color="auto"/>
            </w:tcBorders>
          </w:tcPr>
          <w:p w:rsidR="00720D36" w:rsidRPr="00A34610" w:rsidRDefault="00720D36" w:rsidP="00BB38BD">
            <w:pPr>
              <w:pStyle w:val="BodyText"/>
              <w:rPr>
                <w:b/>
              </w:rPr>
            </w:pPr>
            <w:r w:rsidRPr="00A34610">
              <w:rPr>
                <w:b/>
              </w:rPr>
              <w:t>Assets</w:t>
            </w:r>
          </w:p>
        </w:tc>
        <w:tc>
          <w:tcPr>
            <w:tcW w:w="1384" w:type="dxa"/>
            <w:tcBorders>
              <w:left w:val="dotted" w:sz="4" w:space="0" w:color="auto"/>
              <w:bottom w:val="dotted" w:sz="4" w:space="0" w:color="auto"/>
              <w:right w:val="dotted" w:sz="4" w:space="0" w:color="auto"/>
            </w:tcBorders>
          </w:tcPr>
          <w:p w:rsidR="00720D36" w:rsidRDefault="00720D36" w:rsidP="00A34610">
            <w:pPr>
              <w:pStyle w:val="BodyText"/>
              <w:ind w:right="284"/>
            </w:pPr>
          </w:p>
        </w:tc>
      </w:tr>
      <w:tr w:rsidR="00720D36" w:rsidTr="00720D36">
        <w:tc>
          <w:tcPr>
            <w:tcW w:w="8897" w:type="dxa"/>
            <w:tcBorders>
              <w:top w:val="dotted" w:sz="4" w:space="0" w:color="auto"/>
              <w:left w:val="dotted" w:sz="4" w:space="0" w:color="auto"/>
              <w:bottom w:val="dotted" w:sz="4" w:space="0" w:color="auto"/>
              <w:right w:val="dotted" w:sz="4" w:space="0" w:color="auto"/>
            </w:tcBorders>
          </w:tcPr>
          <w:p w:rsidR="00720D36" w:rsidRDefault="00720D36" w:rsidP="00BB38BD">
            <w:pPr>
              <w:pStyle w:val="BodyText"/>
            </w:pPr>
            <w:r>
              <w:t>Financial assets</w:t>
            </w:r>
          </w:p>
        </w:tc>
        <w:tc>
          <w:tcPr>
            <w:tcW w:w="1384" w:type="dxa"/>
            <w:tcBorders>
              <w:top w:val="dotted" w:sz="4" w:space="0" w:color="auto"/>
              <w:left w:val="dotted" w:sz="4" w:space="0" w:color="auto"/>
              <w:bottom w:val="dotted" w:sz="4" w:space="0" w:color="auto"/>
              <w:right w:val="dotted" w:sz="4" w:space="0" w:color="auto"/>
            </w:tcBorders>
          </w:tcPr>
          <w:p w:rsidR="00720D36" w:rsidRDefault="00720D36" w:rsidP="00A34610">
            <w:pPr>
              <w:pStyle w:val="BodyText"/>
              <w:ind w:right="284"/>
            </w:pPr>
          </w:p>
        </w:tc>
      </w:tr>
      <w:tr w:rsidR="00720D36" w:rsidTr="00720D36">
        <w:tc>
          <w:tcPr>
            <w:tcW w:w="8897" w:type="dxa"/>
            <w:tcBorders>
              <w:top w:val="dotted" w:sz="4" w:space="0" w:color="auto"/>
              <w:left w:val="dotted" w:sz="4" w:space="0" w:color="auto"/>
              <w:bottom w:val="dotted" w:sz="4" w:space="0" w:color="auto"/>
              <w:right w:val="dotted" w:sz="4" w:space="0" w:color="auto"/>
            </w:tcBorders>
          </w:tcPr>
          <w:p w:rsidR="00720D36" w:rsidRDefault="00720D36" w:rsidP="00BB38BD">
            <w:pPr>
              <w:pStyle w:val="BodyText"/>
            </w:pPr>
            <w:r>
              <w:t>Cash and deposits</w:t>
            </w:r>
          </w:p>
        </w:tc>
        <w:tc>
          <w:tcPr>
            <w:tcW w:w="1384" w:type="dxa"/>
            <w:tcBorders>
              <w:top w:val="dotted" w:sz="4" w:space="0" w:color="auto"/>
              <w:left w:val="dotted" w:sz="4" w:space="0" w:color="auto"/>
              <w:bottom w:val="dotted" w:sz="4" w:space="0" w:color="auto"/>
              <w:right w:val="dotted" w:sz="4" w:space="0" w:color="auto"/>
            </w:tcBorders>
          </w:tcPr>
          <w:p w:rsidR="00720D36" w:rsidRDefault="00720D36" w:rsidP="00A34610">
            <w:pPr>
              <w:pStyle w:val="BodyText"/>
              <w:ind w:right="284"/>
              <w:jc w:val="right"/>
            </w:pPr>
            <w:r>
              <w:t>36</w:t>
            </w:r>
          </w:p>
        </w:tc>
      </w:tr>
      <w:tr w:rsidR="00720D36" w:rsidTr="00720D36">
        <w:tc>
          <w:tcPr>
            <w:tcW w:w="8897" w:type="dxa"/>
            <w:tcBorders>
              <w:top w:val="dotted" w:sz="4" w:space="0" w:color="auto"/>
              <w:left w:val="dotted" w:sz="4" w:space="0" w:color="auto"/>
              <w:bottom w:val="dotted" w:sz="4" w:space="0" w:color="auto"/>
              <w:right w:val="dotted" w:sz="4" w:space="0" w:color="auto"/>
            </w:tcBorders>
          </w:tcPr>
          <w:p w:rsidR="00720D36" w:rsidRDefault="00720D36" w:rsidP="00BB38BD">
            <w:pPr>
              <w:pStyle w:val="BodyText"/>
            </w:pPr>
            <w:r>
              <w:t>Receivables</w:t>
            </w:r>
          </w:p>
        </w:tc>
        <w:tc>
          <w:tcPr>
            <w:tcW w:w="1384" w:type="dxa"/>
            <w:tcBorders>
              <w:top w:val="dotted" w:sz="4" w:space="0" w:color="auto"/>
              <w:left w:val="dotted" w:sz="4" w:space="0" w:color="auto"/>
              <w:bottom w:val="dotted" w:sz="4" w:space="0" w:color="auto"/>
              <w:right w:val="dotted" w:sz="4" w:space="0" w:color="auto"/>
            </w:tcBorders>
          </w:tcPr>
          <w:p w:rsidR="00720D36" w:rsidRDefault="00720D36" w:rsidP="00A34610">
            <w:pPr>
              <w:pStyle w:val="BodyText"/>
              <w:ind w:right="284"/>
              <w:jc w:val="right"/>
            </w:pPr>
            <w:r>
              <w:t>48</w:t>
            </w:r>
          </w:p>
        </w:tc>
      </w:tr>
      <w:tr w:rsidR="00720D36" w:rsidTr="00720D36">
        <w:tc>
          <w:tcPr>
            <w:tcW w:w="8897" w:type="dxa"/>
            <w:tcBorders>
              <w:top w:val="dotted" w:sz="4" w:space="0" w:color="auto"/>
              <w:left w:val="dotted" w:sz="4" w:space="0" w:color="auto"/>
              <w:bottom w:val="dotted" w:sz="4" w:space="0" w:color="auto"/>
              <w:right w:val="dotted" w:sz="4" w:space="0" w:color="auto"/>
            </w:tcBorders>
          </w:tcPr>
          <w:p w:rsidR="00720D36" w:rsidRDefault="00720D36" w:rsidP="00BB38BD">
            <w:pPr>
              <w:pStyle w:val="BodyText"/>
            </w:pPr>
            <w:r>
              <w:t>Property, plant and equipment</w:t>
            </w:r>
          </w:p>
        </w:tc>
        <w:tc>
          <w:tcPr>
            <w:tcW w:w="1384" w:type="dxa"/>
            <w:tcBorders>
              <w:top w:val="dotted" w:sz="4" w:space="0" w:color="auto"/>
              <w:left w:val="dotted" w:sz="4" w:space="0" w:color="auto"/>
              <w:bottom w:val="dotted" w:sz="4" w:space="0" w:color="auto"/>
              <w:right w:val="dotted" w:sz="4" w:space="0" w:color="auto"/>
            </w:tcBorders>
          </w:tcPr>
          <w:p w:rsidR="00720D36" w:rsidRDefault="00720D36" w:rsidP="00A34610">
            <w:pPr>
              <w:pStyle w:val="BodyText"/>
              <w:ind w:right="284"/>
              <w:jc w:val="right"/>
            </w:pPr>
            <w:r>
              <w:t>642</w:t>
            </w:r>
          </w:p>
        </w:tc>
      </w:tr>
      <w:tr w:rsidR="00720D36" w:rsidTr="00A34610">
        <w:tc>
          <w:tcPr>
            <w:tcW w:w="8897" w:type="dxa"/>
            <w:tcBorders>
              <w:top w:val="dotted" w:sz="4" w:space="0" w:color="auto"/>
              <w:left w:val="dotted" w:sz="4" w:space="0" w:color="auto"/>
              <w:bottom w:val="dotted" w:sz="4" w:space="0" w:color="auto"/>
              <w:right w:val="dotted" w:sz="4" w:space="0" w:color="auto"/>
            </w:tcBorders>
          </w:tcPr>
          <w:p w:rsidR="00720D36" w:rsidRDefault="00720D36" w:rsidP="00BB38BD">
            <w:pPr>
              <w:pStyle w:val="BodyText"/>
            </w:pPr>
            <w:r>
              <w:t>Other assets</w:t>
            </w:r>
          </w:p>
        </w:tc>
        <w:tc>
          <w:tcPr>
            <w:tcW w:w="1384" w:type="dxa"/>
            <w:tcBorders>
              <w:top w:val="dotted" w:sz="4" w:space="0" w:color="auto"/>
              <w:left w:val="dotted" w:sz="4" w:space="0" w:color="auto"/>
              <w:bottom w:val="single" w:sz="4" w:space="0" w:color="auto"/>
              <w:right w:val="dotted" w:sz="4" w:space="0" w:color="auto"/>
            </w:tcBorders>
          </w:tcPr>
          <w:p w:rsidR="00720D36" w:rsidRDefault="00720D36" w:rsidP="00A34610">
            <w:pPr>
              <w:pStyle w:val="BodyText"/>
              <w:ind w:right="284"/>
              <w:jc w:val="right"/>
            </w:pPr>
            <w:r>
              <w:t>38</w:t>
            </w:r>
          </w:p>
        </w:tc>
      </w:tr>
      <w:tr w:rsidR="00720D36" w:rsidTr="00A34610">
        <w:tc>
          <w:tcPr>
            <w:tcW w:w="8897" w:type="dxa"/>
            <w:tcBorders>
              <w:top w:val="dotted" w:sz="4" w:space="0" w:color="auto"/>
              <w:left w:val="nil"/>
              <w:bottom w:val="dotted" w:sz="4" w:space="0" w:color="auto"/>
              <w:right w:val="dotted" w:sz="4" w:space="0" w:color="auto"/>
            </w:tcBorders>
          </w:tcPr>
          <w:p w:rsidR="00720D36" w:rsidRPr="00A34610" w:rsidRDefault="00720D36" w:rsidP="00BB38BD">
            <w:pPr>
              <w:pStyle w:val="BodyText"/>
              <w:rPr>
                <w:b/>
              </w:rPr>
            </w:pPr>
            <w:r w:rsidRPr="00A34610">
              <w:rPr>
                <w:b/>
              </w:rPr>
              <w:t>Total assets</w:t>
            </w:r>
          </w:p>
        </w:tc>
        <w:tc>
          <w:tcPr>
            <w:tcW w:w="1384" w:type="dxa"/>
            <w:tcBorders>
              <w:top w:val="single" w:sz="4" w:space="0" w:color="auto"/>
              <w:left w:val="dotted" w:sz="4" w:space="0" w:color="auto"/>
              <w:bottom w:val="single" w:sz="4" w:space="0" w:color="auto"/>
              <w:right w:val="nil"/>
            </w:tcBorders>
          </w:tcPr>
          <w:p w:rsidR="00720D36" w:rsidRPr="00A34610" w:rsidRDefault="00720D36" w:rsidP="00A34610">
            <w:pPr>
              <w:pStyle w:val="BodyText"/>
              <w:ind w:right="284"/>
              <w:jc w:val="right"/>
              <w:rPr>
                <w:b/>
              </w:rPr>
            </w:pPr>
            <w:r w:rsidRPr="00A34610">
              <w:rPr>
                <w:b/>
              </w:rPr>
              <w:t>764</w:t>
            </w:r>
          </w:p>
        </w:tc>
      </w:tr>
      <w:tr w:rsidR="00720D36" w:rsidRPr="00A34610" w:rsidTr="00A34610">
        <w:tc>
          <w:tcPr>
            <w:tcW w:w="8897" w:type="dxa"/>
            <w:tcBorders>
              <w:top w:val="dotted" w:sz="4" w:space="0" w:color="auto"/>
              <w:left w:val="nil"/>
              <w:bottom w:val="dotted" w:sz="4" w:space="0" w:color="auto"/>
              <w:right w:val="dotted" w:sz="4" w:space="0" w:color="auto"/>
            </w:tcBorders>
          </w:tcPr>
          <w:p w:rsidR="00720D36" w:rsidRPr="00A34610" w:rsidRDefault="00720D36" w:rsidP="00BB38BD">
            <w:pPr>
              <w:pStyle w:val="BodyText"/>
              <w:rPr>
                <w:b/>
              </w:rPr>
            </w:pPr>
            <w:r w:rsidRPr="00A34610">
              <w:rPr>
                <w:b/>
              </w:rPr>
              <w:t>Liabilities</w:t>
            </w:r>
          </w:p>
        </w:tc>
        <w:tc>
          <w:tcPr>
            <w:tcW w:w="1384" w:type="dxa"/>
            <w:tcBorders>
              <w:top w:val="single" w:sz="4" w:space="0" w:color="auto"/>
              <w:left w:val="dotted" w:sz="4" w:space="0" w:color="auto"/>
              <w:bottom w:val="dotted" w:sz="4" w:space="0" w:color="auto"/>
              <w:right w:val="nil"/>
            </w:tcBorders>
          </w:tcPr>
          <w:p w:rsidR="00720D36" w:rsidRPr="00A34610" w:rsidRDefault="00720D36" w:rsidP="00A34610">
            <w:pPr>
              <w:pStyle w:val="BodyText"/>
              <w:ind w:right="284"/>
              <w:jc w:val="right"/>
              <w:rPr>
                <w:b/>
              </w:rPr>
            </w:pPr>
          </w:p>
        </w:tc>
      </w:tr>
      <w:tr w:rsidR="00720D36" w:rsidTr="00A34610">
        <w:tc>
          <w:tcPr>
            <w:tcW w:w="8897" w:type="dxa"/>
            <w:tcBorders>
              <w:top w:val="dotted" w:sz="4" w:space="0" w:color="auto"/>
              <w:left w:val="nil"/>
              <w:bottom w:val="dotted" w:sz="4" w:space="0" w:color="auto"/>
              <w:right w:val="dotted" w:sz="4" w:space="0" w:color="auto"/>
            </w:tcBorders>
          </w:tcPr>
          <w:p w:rsidR="00720D36" w:rsidRDefault="00720D36" w:rsidP="00BB38BD">
            <w:pPr>
              <w:pStyle w:val="BodyText"/>
            </w:pPr>
            <w:r>
              <w:t>Payable</w:t>
            </w:r>
          </w:p>
        </w:tc>
        <w:tc>
          <w:tcPr>
            <w:tcW w:w="1384" w:type="dxa"/>
            <w:tcBorders>
              <w:top w:val="dotted" w:sz="4" w:space="0" w:color="auto"/>
              <w:left w:val="dotted" w:sz="4" w:space="0" w:color="auto"/>
              <w:bottom w:val="dotted" w:sz="4" w:space="0" w:color="auto"/>
              <w:right w:val="nil"/>
            </w:tcBorders>
          </w:tcPr>
          <w:p w:rsidR="00720D36" w:rsidRDefault="00720D36" w:rsidP="00A34610">
            <w:pPr>
              <w:pStyle w:val="BodyText"/>
              <w:ind w:right="284"/>
              <w:jc w:val="right"/>
            </w:pPr>
            <w:r>
              <w:t>74</w:t>
            </w:r>
          </w:p>
        </w:tc>
      </w:tr>
      <w:tr w:rsidR="00720D36" w:rsidTr="00A34610">
        <w:tc>
          <w:tcPr>
            <w:tcW w:w="8897" w:type="dxa"/>
            <w:tcBorders>
              <w:top w:val="dotted" w:sz="4" w:space="0" w:color="auto"/>
              <w:left w:val="nil"/>
              <w:bottom w:val="dotted" w:sz="4" w:space="0" w:color="auto"/>
              <w:right w:val="dotted" w:sz="4" w:space="0" w:color="auto"/>
            </w:tcBorders>
          </w:tcPr>
          <w:p w:rsidR="00720D36" w:rsidRDefault="00720D36" w:rsidP="00BB38BD">
            <w:pPr>
              <w:pStyle w:val="BodyText"/>
            </w:pPr>
            <w:r>
              <w:t>Employee benefits</w:t>
            </w:r>
          </w:p>
        </w:tc>
        <w:tc>
          <w:tcPr>
            <w:tcW w:w="1384" w:type="dxa"/>
            <w:tcBorders>
              <w:top w:val="dotted" w:sz="4" w:space="0" w:color="auto"/>
              <w:left w:val="dotted" w:sz="4" w:space="0" w:color="auto"/>
              <w:bottom w:val="single" w:sz="4" w:space="0" w:color="auto"/>
              <w:right w:val="nil"/>
            </w:tcBorders>
          </w:tcPr>
          <w:p w:rsidR="00720D36" w:rsidRDefault="00720D36" w:rsidP="00A34610">
            <w:pPr>
              <w:pStyle w:val="BodyText"/>
              <w:ind w:right="284"/>
              <w:jc w:val="right"/>
            </w:pPr>
            <w:r>
              <w:t>874</w:t>
            </w:r>
          </w:p>
        </w:tc>
      </w:tr>
      <w:tr w:rsidR="00720D36" w:rsidRPr="00A34610" w:rsidTr="00A34610">
        <w:tc>
          <w:tcPr>
            <w:tcW w:w="8897" w:type="dxa"/>
            <w:tcBorders>
              <w:top w:val="dotted" w:sz="4" w:space="0" w:color="auto"/>
              <w:left w:val="nil"/>
              <w:bottom w:val="single" w:sz="4" w:space="0" w:color="auto"/>
              <w:right w:val="dotted" w:sz="4" w:space="0" w:color="auto"/>
            </w:tcBorders>
          </w:tcPr>
          <w:p w:rsidR="00720D36" w:rsidRPr="00A34610" w:rsidRDefault="00720D36" w:rsidP="00BB38BD">
            <w:pPr>
              <w:pStyle w:val="BodyText"/>
              <w:rPr>
                <w:b/>
              </w:rPr>
            </w:pPr>
            <w:r w:rsidRPr="00A34610">
              <w:rPr>
                <w:b/>
              </w:rPr>
              <w:t>Total liabilities</w:t>
            </w:r>
          </w:p>
        </w:tc>
        <w:tc>
          <w:tcPr>
            <w:tcW w:w="1384" w:type="dxa"/>
            <w:tcBorders>
              <w:top w:val="single" w:sz="4" w:space="0" w:color="auto"/>
              <w:left w:val="dotted" w:sz="4" w:space="0" w:color="auto"/>
              <w:bottom w:val="single" w:sz="4" w:space="0" w:color="auto"/>
              <w:right w:val="nil"/>
            </w:tcBorders>
          </w:tcPr>
          <w:p w:rsidR="00720D36" w:rsidRPr="00A34610" w:rsidRDefault="00720D36" w:rsidP="00A34610">
            <w:pPr>
              <w:pStyle w:val="BodyText"/>
              <w:ind w:right="284"/>
              <w:jc w:val="right"/>
              <w:rPr>
                <w:b/>
              </w:rPr>
            </w:pPr>
            <w:r w:rsidRPr="00A34610">
              <w:rPr>
                <w:b/>
              </w:rPr>
              <w:t>948</w:t>
            </w:r>
          </w:p>
        </w:tc>
      </w:tr>
      <w:tr w:rsidR="00720D36" w:rsidRPr="00A34610" w:rsidTr="00A34610">
        <w:tc>
          <w:tcPr>
            <w:tcW w:w="8897" w:type="dxa"/>
            <w:tcBorders>
              <w:left w:val="dotted" w:sz="4" w:space="0" w:color="auto"/>
              <w:right w:val="dotted" w:sz="4" w:space="0" w:color="auto"/>
            </w:tcBorders>
          </w:tcPr>
          <w:p w:rsidR="00720D36" w:rsidRPr="00A34610" w:rsidRDefault="00720D36" w:rsidP="00BB38BD">
            <w:pPr>
              <w:pStyle w:val="BodyText"/>
              <w:rPr>
                <w:b/>
              </w:rPr>
            </w:pPr>
            <w:r w:rsidRPr="00A34610">
              <w:rPr>
                <w:b/>
              </w:rPr>
              <w:t>Net assets transferred</w:t>
            </w:r>
          </w:p>
        </w:tc>
        <w:tc>
          <w:tcPr>
            <w:tcW w:w="1384" w:type="dxa"/>
            <w:tcBorders>
              <w:left w:val="dotted" w:sz="4" w:space="0" w:color="auto"/>
              <w:right w:val="dotted" w:sz="4" w:space="0" w:color="auto"/>
            </w:tcBorders>
          </w:tcPr>
          <w:p w:rsidR="00720D36" w:rsidRPr="00A34610" w:rsidRDefault="00720D36" w:rsidP="00A34610">
            <w:pPr>
              <w:pStyle w:val="BodyText"/>
              <w:ind w:right="284"/>
              <w:jc w:val="right"/>
              <w:rPr>
                <w:b/>
              </w:rPr>
            </w:pPr>
            <w:r w:rsidRPr="00A34610">
              <w:rPr>
                <w:b/>
              </w:rPr>
              <w:t>(184)</w:t>
            </w:r>
          </w:p>
        </w:tc>
      </w:tr>
    </w:tbl>
    <w:p w:rsidR="00A34610" w:rsidRDefault="00A34610" w:rsidP="00BB38BD">
      <w:pPr>
        <w:pStyle w:val="BodyText"/>
      </w:pPr>
    </w:p>
    <w:p w:rsidR="00A34610" w:rsidRDefault="00A34610">
      <w:pPr>
        <w:rPr>
          <w:rFonts w:ascii="Gill Sans MT" w:eastAsia="GillSans-Light" w:hAnsi="Gill Sans MT" w:cs="GillSans-Light"/>
          <w:lang w:val="en-US"/>
        </w:rPr>
      </w:pPr>
      <w:r>
        <w:br w:type="page"/>
      </w:r>
    </w:p>
    <w:p w:rsidR="00720D36" w:rsidRDefault="00A34610" w:rsidP="00A34610">
      <w:pPr>
        <w:pStyle w:val="Heading5"/>
      </w:pPr>
      <w:r>
        <w:lastRenderedPageBreak/>
        <w:t>11.3</w:t>
      </w:r>
      <w:r>
        <w:tab/>
        <w:t>Contributed Capital</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ontributed Capital"/>
      </w:tblPr>
      <w:tblGrid>
        <w:gridCol w:w="6629"/>
        <w:gridCol w:w="1559"/>
        <w:gridCol w:w="2093"/>
      </w:tblGrid>
      <w:tr w:rsidR="00465B9C" w:rsidRPr="00465B9C" w:rsidTr="00465B9C">
        <w:trPr>
          <w:trHeight w:val="340"/>
          <w:tblHeader/>
        </w:trPr>
        <w:tc>
          <w:tcPr>
            <w:tcW w:w="6629" w:type="dxa"/>
            <w:tcBorders>
              <w:top w:val="single" w:sz="4" w:space="0" w:color="auto"/>
              <w:bottom w:val="single" w:sz="4" w:space="0" w:color="auto"/>
            </w:tcBorders>
          </w:tcPr>
          <w:p w:rsidR="00465B9C" w:rsidRPr="00465B9C" w:rsidRDefault="00465B9C" w:rsidP="00A34610">
            <w:pPr>
              <w:rPr>
                <w:rFonts w:ascii="Gill Sans MT" w:hAnsi="Gill Sans MT"/>
                <w:b/>
              </w:rPr>
            </w:pPr>
            <w:r w:rsidRPr="00465B9C">
              <w:rPr>
                <w:rFonts w:ascii="Gill Sans MT" w:hAnsi="Gill Sans MT"/>
                <w:b/>
              </w:rPr>
              <w:t>Description</w:t>
            </w:r>
          </w:p>
        </w:tc>
        <w:tc>
          <w:tcPr>
            <w:tcW w:w="1559" w:type="dxa"/>
            <w:tcBorders>
              <w:top w:val="single" w:sz="4" w:space="0" w:color="auto"/>
              <w:bottom w:val="single" w:sz="4" w:space="0" w:color="auto"/>
            </w:tcBorders>
          </w:tcPr>
          <w:p w:rsidR="00465B9C" w:rsidRPr="00465B9C" w:rsidRDefault="00465B9C" w:rsidP="00465B9C">
            <w:pPr>
              <w:ind w:right="317"/>
              <w:jc w:val="right"/>
              <w:rPr>
                <w:rFonts w:ascii="Gill Sans MT" w:hAnsi="Gill Sans MT"/>
                <w:b/>
              </w:rPr>
            </w:pPr>
            <w:r w:rsidRPr="00465B9C">
              <w:rPr>
                <w:rFonts w:ascii="Gill Sans MT" w:hAnsi="Gill Sans MT"/>
                <w:b/>
              </w:rPr>
              <w:t>Notes</w:t>
            </w:r>
          </w:p>
        </w:tc>
        <w:tc>
          <w:tcPr>
            <w:tcW w:w="2093" w:type="dxa"/>
            <w:tcBorders>
              <w:top w:val="single" w:sz="4" w:space="0" w:color="auto"/>
              <w:bottom w:val="single" w:sz="4" w:space="0" w:color="auto"/>
            </w:tcBorders>
          </w:tcPr>
          <w:p w:rsidR="00465B9C" w:rsidRPr="00465B9C" w:rsidRDefault="00465B9C" w:rsidP="00465B9C">
            <w:pPr>
              <w:ind w:right="284"/>
              <w:jc w:val="right"/>
              <w:rPr>
                <w:rFonts w:ascii="Gill Sans MT" w:hAnsi="Gill Sans MT"/>
                <w:b/>
              </w:rPr>
            </w:pPr>
            <w:r w:rsidRPr="00465B9C">
              <w:rPr>
                <w:rFonts w:ascii="Gill Sans MT" w:hAnsi="Gill Sans MT"/>
                <w:b/>
              </w:rPr>
              <w:t>2016</w:t>
            </w:r>
            <w:r w:rsidRPr="00465B9C">
              <w:rPr>
                <w:rFonts w:ascii="Gill Sans MT" w:hAnsi="Gill Sans MT"/>
                <w:b/>
              </w:rPr>
              <w:br/>
              <w:t>$’000</w:t>
            </w:r>
          </w:p>
        </w:tc>
      </w:tr>
      <w:tr w:rsidR="00465B9C" w:rsidRPr="00465B9C" w:rsidTr="00465B9C">
        <w:trPr>
          <w:trHeight w:val="340"/>
        </w:trPr>
        <w:tc>
          <w:tcPr>
            <w:tcW w:w="6629" w:type="dxa"/>
            <w:tcBorders>
              <w:top w:val="single" w:sz="4" w:space="0" w:color="auto"/>
            </w:tcBorders>
          </w:tcPr>
          <w:p w:rsidR="00465B9C" w:rsidRPr="00465B9C" w:rsidRDefault="00465B9C" w:rsidP="00A34610">
            <w:pPr>
              <w:rPr>
                <w:rFonts w:ascii="Gill Sans MT" w:hAnsi="Gill Sans MT"/>
              </w:rPr>
            </w:pPr>
            <w:r w:rsidRPr="00465B9C">
              <w:rPr>
                <w:rFonts w:ascii="Gill Sans MT" w:hAnsi="Gill Sans MT" w:cs="GillSans-SemiBold"/>
                <w:b/>
                <w:bCs/>
                <w:sz w:val="20"/>
                <w:szCs w:val="20"/>
              </w:rPr>
              <w:t>Contributed capital</w:t>
            </w:r>
          </w:p>
        </w:tc>
        <w:tc>
          <w:tcPr>
            <w:tcW w:w="1559" w:type="dxa"/>
            <w:tcBorders>
              <w:top w:val="single" w:sz="4" w:space="0" w:color="auto"/>
            </w:tcBorders>
          </w:tcPr>
          <w:p w:rsidR="00465B9C" w:rsidRPr="00465B9C" w:rsidRDefault="00465B9C" w:rsidP="00465B9C">
            <w:pPr>
              <w:ind w:right="317"/>
              <w:jc w:val="right"/>
              <w:rPr>
                <w:rFonts w:ascii="Gill Sans MT" w:hAnsi="Gill Sans MT"/>
              </w:rPr>
            </w:pPr>
          </w:p>
        </w:tc>
        <w:tc>
          <w:tcPr>
            <w:tcW w:w="2093" w:type="dxa"/>
            <w:tcBorders>
              <w:top w:val="single" w:sz="4" w:space="0" w:color="auto"/>
            </w:tcBorders>
          </w:tcPr>
          <w:p w:rsidR="00465B9C" w:rsidRPr="00465B9C" w:rsidRDefault="00465B9C" w:rsidP="00465B9C">
            <w:pPr>
              <w:ind w:right="284"/>
              <w:rPr>
                <w:rFonts w:ascii="Gill Sans MT" w:hAnsi="Gill Sans MT"/>
              </w:rPr>
            </w:pPr>
          </w:p>
        </w:tc>
      </w:tr>
      <w:tr w:rsidR="00465B9C" w:rsidRPr="00465B9C" w:rsidTr="00465B9C">
        <w:trPr>
          <w:trHeight w:val="340"/>
        </w:trPr>
        <w:tc>
          <w:tcPr>
            <w:tcW w:w="6629" w:type="dxa"/>
          </w:tcPr>
          <w:p w:rsidR="00465B9C" w:rsidRPr="00465B9C" w:rsidRDefault="00465B9C" w:rsidP="00A34610">
            <w:pPr>
              <w:rPr>
                <w:rFonts w:ascii="Gill Sans MT" w:hAnsi="Gill Sans MT"/>
              </w:rPr>
            </w:pPr>
            <w:r w:rsidRPr="00465B9C">
              <w:rPr>
                <w:rFonts w:ascii="Gill Sans MT" w:hAnsi="Gill Sans MT" w:cs="GillSans-Light"/>
                <w:sz w:val="20"/>
                <w:szCs w:val="20"/>
              </w:rPr>
              <w:t>Balance at the beginning of financial year</w:t>
            </w:r>
          </w:p>
        </w:tc>
        <w:tc>
          <w:tcPr>
            <w:tcW w:w="1559" w:type="dxa"/>
          </w:tcPr>
          <w:p w:rsidR="00465B9C" w:rsidRPr="00465B9C" w:rsidRDefault="00465B9C" w:rsidP="00465B9C">
            <w:pPr>
              <w:ind w:right="317"/>
              <w:jc w:val="right"/>
              <w:rPr>
                <w:rFonts w:ascii="Gill Sans MT" w:hAnsi="Gill Sans MT"/>
              </w:rPr>
            </w:pPr>
          </w:p>
        </w:tc>
        <w:tc>
          <w:tcPr>
            <w:tcW w:w="2093" w:type="dxa"/>
          </w:tcPr>
          <w:p w:rsidR="00465B9C" w:rsidRPr="00465B9C" w:rsidRDefault="00465B9C" w:rsidP="00465B9C">
            <w:pPr>
              <w:ind w:right="284"/>
              <w:jc w:val="right"/>
              <w:rPr>
                <w:rFonts w:ascii="Gill Sans MT" w:hAnsi="Gill Sans MT"/>
              </w:rPr>
            </w:pPr>
            <w:r w:rsidRPr="00465B9C">
              <w:rPr>
                <w:rFonts w:ascii="Gill Sans MT" w:hAnsi="Gill Sans MT"/>
              </w:rPr>
              <w:t>0</w:t>
            </w:r>
          </w:p>
        </w:tc>
      </w:tr>
      <w:tr w:rsidR="00465B9C" w:rsidRPr="00465B9C" w:rsidTr="00465B9C">
        <w:trPr>
          <w:trHeight w:val="340"/>
        </w:trPr>
        <w:tc>
          <w:tcPr>
            <w:tcW w:w="6629" w:type="dxa"/>
          </w:tcPr>
          <w:p w:rsidR="00465B9C" w:rsidRPr="00465B9C" w:rsidRDefault="00465B9C" w:rsidP="00A34610">
            <w:pPr>
              <w:rPr>
                <w:rFonts w:ascii="Gill Sans MT" w:hAnsi="Gill Sans MT"/>
              </w:rPr>
            </w:pPr>
            <w:r w:rsidRPr="00465B9C">
              <w:rPr>
                <w:rFonts w:ascii="Gill Sans MT" w:hAnsi="Gill Sans MT" w:cs="GillSans-Light"/>
                <w:sz w:val="20"/>
                <w:szCs w:val="20"/>
              </w:rPr>
              <w:t>Establishment of THS - net assets received</w:t>
            </w:r>
          </w:p>
        </w:tc>
        <w:tc>
          <w:tcPr>
            <w:tcW w:w="1559" w:type="dxa"/>
          </w:tcPr>
          <w:p w:rsidR="00465B9C" w:rsidRPr="00465B9C" w:rsidRDefault="00465B9C" w:rsidP="00465B9C">
            <w:pPr>
              <w:ind w:right="317"/>
              <w:jc w:val="right"/>
              <w:rPr>
                <w:rFonts w:ascii="Gill Sans MT" w:hAnsi="Gill Sans MT"/>
              </w:rPr>
            </w:pPr>
            <w:r w:rsidRPr="00465B9C">
              <w:rPr>
                <w:rFonts w:ascii="Gill Sans MT" w:hAnsi="Gill Sans MT" w:cs="GillSans-Light"/>
                <w:sz w:val="20"/>
                <w:szCs w:val="20"/>
              </w:rPr>
              <w:t>1.1, 16.1</w:t>
            </w:r>
          </w:p>
        </w:tc>
        <w:tc>
          <w:tcPr>
            <w:tcW w:w="2093" w:type="dxa"/>
          </w:tcPr>
          <w:p w:rsidR="00465B9C" w:rsidRPr="00465B9C" w:rsidRDefault="00465B9C" w:rsidP="00465B9C">
            <w:pPr>
              <w:ind w:right="284"/>
              <w:jc w:val="right"/>
              <w:rPr>
                <w:rFonts w:ascii="Gill Sans MT" w:hAnsi="Gill Sans MT"/>
              </w:rPr>
            </w:pPr>
            <w:r w:rsidRPr="00465B9C">
              <w:rPr>
                <w:rFonts w:ascii="Gill Sans MT" w:hAnsi="Gill Sans MT"/>
              </w:rPr>
              <w:t>583 980</w:t>
            </w:r>
          </w:p>
        </w:tc>
      </w:tr>
      <w:tr w:rsidR="00465B9C" w:rsidRPr="00465B9C" w:rsidTr="00465B9C">
        <w:trPr>
          <w:trHeight w:val="340"/>
        </w:trPr>
        <w:tc>
          <w:tcPr>
            <w:tcW w:w="6629" w:type="dxa"/>
            <w:tcBorders>
              <w:bottom w:val="single" w:sz="4" w:space="0" w:color="auto"/>
            </w:tcBorders>
          </w:tcPr>
          <w:p w:rsidR="00465B9C" w:rsidRPr="00465B9C" w:rsidRDefault="00465B9C" w:rsidP="00A34610">
            <w:pPr>
              <w:rPr>
                <w:rFonts w:ascii="Gill Sans MT" w:hAnsi="Gill Sans MT"/>
              </w:rPr>
            </w:pPr>
            <w:r w:rsidRPr="00465B9C">
              <w:rPr>
                <w:rFonts w:ascii="Gill Sans MT" w:hAnsi="Gill Sans MT" w:cs="GillSans-Light"/>
                <w:sz w:val="20"/>
                <w:szCs w:val="20"/>
              </w:rPr>
              <w:t>Administrative restructure - net assets received</w:t>
            </w:r>
          </w:p>
        </w:tc>
        <w:tc>
          <w:tcPr>
            <w:tcW w:w="1559" w:type="dxa"/>
            <w:tcBorders>
              <w:bottom w:val="single" w:sz="4" w:space="0" w:color="auto"/>
            </w:tcBorders>
          </w:tcPr>
          <w:p w:rsidR="00465B9C" w:rsidRPr="00465B9C" w:rsidRDefault="00465B9C" w:rsidP="00465B9C">
            <w:pPr>
              <w:ind w:right="317"/>
              <w:jc w:val="right"/>
              <w:rPr>
                <w:rFonts w:ascii="Gill Sans MT" w:hAnsi="Gill Sans MT"/>
              </w:rPr>
            </w:pPr>
            <w:r w:rsidRPr="00465B9C">
              <w:rPr>
                <w:rFonts w:ascii="Gill Sans MT" w:hAnsi="Gill Sans MT" w:cs="GillSans-Light"/>
                <w:sz w:val="20"/>
                <w:szCs w:val="20"/>
              </w:rPr>
              <w:t>11.2</w:t>
            </w:r>
          </w:p>
        </w:tc>
        <w:tc>
          <w:tcPr>
            <w:tcW w:w="2093" w:type="dxa"/>
            <w:tcBorders>
              <w:bottom w:val="single" w:sz="4" w:space="0" w:color="auto"/>
            </w:tcBorders>
          </w:tcPr>
          <w:p w:rsidR="00465B9C" w:rsidRPr="00465B9C" w:rsidRDefault="00465B9C" w:rsidP="00465B9C">
            <w:pPr>
              <w:ind w:right="284"/>
              <w:jc w:val="right"/>
              <w:rPr>
                <w:rFonts w:ascii="Gill Sans MT" w:hAnsi="Gill Sans MT"/>
              </w:rPr>
            </w:pPr>
            <w:r w:rsidRPr="00465B9C">
              <w:rPr>
                <w:rFonts w:ascii="Gill Sans MT" w:hAnsi="Gill Sans MT"/>
              </w:rPr>
              <w:t>(184)</w:t>
            </w:r>
          </w:p>
        </w:tc>
      </w:tr>
      <w:tr w:rsidR="00465B9C" w:rsidRPr="00465B9C" w:rsidTr="00465B9C">
        <w:trPr>
          <w:trHeight w:val="340"/>
        </w:trPr>
        <w:tc>
          <w:tcPr>
            <w:tcW w:w="6629" w:type="dxa"/>
            <w:tcBorders>
              <w:top w:val="single" w:sz="4" w:space="0" w:color="auto"/>
              <w:bottom w:val="single" w:sz="4" w:space="0" w:color="auto"/>
            </w:tcBorders>
          </w:tcPr>
          <w:p w:rsidR="00465B9C" w:rsidRPr="00465B9C" w:rsidRDefault="00465B9C" w:rsidP="00A34610">
            <w:pPr>
              <w:rPr>
                <w:rFonts w:ascii="Gill Sans MT" w:hAnsi="Gill Sans MT"/>
              </w:rPr>
            </w:pPr>
            <w:r w:rsidRPr="00465B9C">
              <w:rPr>
                <w:rFonts w:ascii="Gill Sans MT" w:hAnsi="Gill Sans MT" w:cs="GillSans-SemiBold"/>
                <w:b/>
                <w:bCs/>
                <w:sz w:val="20"/>
                <w:szCs w:val="20"/>
              </w:rPr>
              <w:t>Balance at the end of financial year</w:t>
            </w:r>
          </w:p>
        </w:tc>
        <w:tc>
          <w:tcPr>
            <w:tcW w:w="1559" w:type="dxa"/>
            <w:tcBorders>
              <w:top w:val="single" w:sz="4" w:space="0" w:color="auto"/>
              <w:bottom w:val="single" w:sz="4" w:space="0" w:color="auto"/>
            </w:tcBorders>
          </w:tcPr>
          <w:p w:rsidR="00465B9C" w:rsidRPr="00465B9C" w:rsidRDefault="00465B9C" w:rsidP="00465B9C">
            <w:pPr>
              <w:ind w:right="317"/>
              <w:jc w:val="right"/>
              <w:rPr>
                <w:rFonts w:ascii="Gill Sans MT" w:hAnsi="Gill Sans MT"/>
              </w:rPr>
            </w:pPr>
          </w:p>
        </w:tc>
        <w:tc>
          <w:tcPr>
            <w:tcW w:w="2093" w:type="dxa"/>
            <w:tcBorders>
              <w:top w:val="single" w:sz="4" w:space="0" w:color="auto"/>
              <w:bottom w:val="single" w:sz="4" w:space="0" w:color="auto"/>
            </w:tcBorders>
          </w:tcPr>
          <w:p w:rsidR="00465B9C" w:rsidRPr="00465B9C" w:rsidRDefault="00465B9C" w:rsidP="00465B9C">
            <w:pPr>
              <w:ind w:right="284"/>
              <w:jc w:val="right"/>
              <w:rPr>
                <w:rFonts w:ascii="Gill Sans MT" w:hAnsi="Gill Sans MT"/>
                <w:b/>
              </w:rPr>
            </w:pPr>
            <w:r w:rsidRPr="00465B9C">
              <w:rPr>
                <w:rFonts w:ascii="Gill Sans MT" w:hAnsi="Gill Sans MT"/>
                <w:b/>
              </w:rPr>
              <w:t>583 796</w:t>
            </w:r>
          </w:p>
        </w:tc>
      </w:tr>
    </w:tbl>
    <w:p w:rsidR="00A34610" w:rsidRDefault="00A34610" w:rsidP="00A34610"/>
    <w:p w:rsidR="00465B9C" w:rsidRDefault="00465B9C" w:rsidP="00465B9C">
      <w:pPr>
        <w:pStyle w:val="Heading4"/>
      </w:pPr>
      <w:r>
        <w:t>Note 12</w:t>
      </w:r>
      <w:r>
        <w:tab/>
        <w:t>Cash Flow Reconciliation</w:t>
      </w:r>
      <w:r>
        <w:tab/>
      </w:r>
    </w:p>
    <w:p w:rsidR="00465B9C" w:rsidRDefault="00465B9C" w:rsidP="00465B9C">
      <w:pPr>
        <w:pStyle w:val="Heading5"/>
      </w:pPr>
      <w:r>
        <w:t>12.1</w:t>
      </w:r>
      <w:r>
        <w:tab/>
        <w:t>Cash and Deposits</w:t>
      </w:r>
    </w:p>
    <w:p w:rsidR="00465B9C" w:rsidRDefault="00465B9C" w:rsidP="00465B9C">
      <w:pPr>
        <w:pStyle w:val="BodyText"/>
      </w:pPr>
      <w:r>
        <w:t>Cash means notes, coins, any deposits held at call with a bank or financial institution, as well as funds held in the Special Deposits and Trust Fund, being short term of three months or less and highly liquid.</w:t>
      </w:r>
    </w:p>
    <w:p w:rsidR="00465B9C" w:rsidRDefault="00465B9C" w:rsidP="00465B9C">
      <w:pPr>
        <w:pStyle w:val="BodyText"/>
      </w:pPr>
      <w:r>
        <w:t>Deposits are recognised at amortised cost, being their face value.</w:t>
      </w:r>
    </w:p>
    <w:p w:rsidR="00465B9C" w:rsidRPr="00465B9C" w:rsidRDefault="00465B9C" w:rsidP="00465B9C">
      <w:pPr>
        <w:pStyle w:val="BodyText"/>
      </w:pPr>
      <w:r>
        <w:t>Cash and deposits includes the balance of the Special Deposits and Trust Fund Accounts held by the THS, and other cash held, excluding those accounts which are administered or held in a trustee capacity or agency arrangement.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ash and Deposits"/>
      </w:tblPr>
      <w:tblGrid>
        <w:gridCol w:w="8188"/>
        <w:gridCol w:w="2093"/>
      </w:tblGrid>
      <w:tr w:rsidR="00465B9C" w:rsidRPr="00465B9C" w:rsidTr="00ED5757">
        <w:trPr>
          <w:trHeight w:val="340"/>
          <w:tblHeader/>
        </w:trPr>
        <w:tc>
          <w:tcPr>
            <w:tcW w:w="8188" w:type="dxa"/>
            <w:tcBorders>
              <w:top w:val="single" w:sz="4" w:space="0" w:color="auto"/>
              <w:bottom w:val="single" w:sz="4" w:space="0" w:color="auto"/>
            </w:tcBorders>
          </w:tcPr>
          <w:p w:rsidR="00465B9C" w:rsidRPr="00465B9C" w:rsidRDefault="00465B9C" w:rsidP="00465B9C">
            <w:pPr>
              <w:rPr>
                <w:rFonts w:ascii="Gill Sans MT" w:hAnsi="Gill Sans MT"/>
                <w:b/>
              </w:rPr>
            </w:pPr>
            <w:r w:rsidRPr="00465B9C">
              <w:rPr>
                <w:rFonts w:ascii="Gill Sans MT" w:hAnsi="Gill Sans MT"/>
                <w:b/>
              </w:rPr>
              <w:t>Description</w:t>
            </w:r>
          </w:p>
        </w:tc>
        <w:tc>
          <w:tcPr>
            <w:tcW w:w="2093" w:type="dxa"/>
            <w:tcBorders>
              <w:top w:val="single" w:sz="4" w:space="0" w:color="auto"/>
              <w:bottom w:val="single" w:sz="4" w:space="0" w:color="auto"/>
            </w:tcBorders>
          </w:tcPr>
          <w:p w:rsidR="00465B9C" w:rsidRPr="00465B9C" w:rsidRDefault="00465B9C" w:rsidP="00465B9C">
            <w:pPr>
              <w:ind w:right="284"/>
              <w:jc w:val="right"/>
              <w:rPr>
                <w:rFonts w:ascii="Gill Sans MT" w:hAnsi="Gill Sans MT"/>
                <w:b/>
              </w:rPr>
            </w:pPr>
            <w:r w:rsidRPr="00465B9C">
              <w:rPr>
                <w:rFonts w:ascii="Gill Sans MT" w:hAnsi="Gill Sans MT"/>
                <w:b/>
              </w:rPr>
              <w:t>2016</w:t>
            </w:r>
            <w:r w:rsidRPr="00465B9C">
              <w:rPr>
                <w:rFonts w:ascii="Gill Sans MT" w:hAnsi="Gill Sans MT"/>
                <w:b/>
              </w:rPr>
              <w:br/>
              <w:t>$’000</w:t>
            </w:r>
          </w:p>
        </w:tc>
      </w:tr>
      <w:tr w:rsidR="00465B9C" w:rsidRPr="00465B9C" w:rsidTr="00ED5757">
        <w:trPr>
          <w:trHeight w:val="340"/>
        </w:trPr>
        <w:tc>
          <w:tcPr>
            <w:tcW w:w="8188" w:type="dxa"/>
            <w:tcBorders>
              <w:top w:val="single" w:sz="4" w:space="0" w:color="auto"/>
            </w:tcBorders>
          </w:tcPr>
          <w:p w:rsidR="00465B9C" w:rsidRPr="00465B9C" w:rsidRDefault="00465B9C" w:rsidP="00465B9C">
            <w:pPr>
              <w:rPr>
                <w:rFonts w:ascii="Gill Sans MT" w:hAnsi="Gill Sans MT"/>
              </w:rPr>
            </w:pPr>
            <w:r w:rsidRPr="00465B9C">
              <w:rPr>
                <w:rFonts w:ascii="Gill Sans MT" w:hAnsi="Gill Sans MT"/>
              </w:rPr>
              <w:t>Special Deposits and Trust Fund Balance</w:t>
            </w:r>
          </w:p>
        </w:tc>
        <w:tc>
          <w:tcPr>
            <w:tcW w:w="2093" w:type="dxa"/>
            <w:tcBorders>
              <w:top w:val="single" w:sz="4" w:space="0" w:color="auto"/>
            </w:tcBorders>
          </w:tcPr>
          <w:p w:rsidR="00465B9C" w:rsidRPr="00465B9C" w:rsidRDefault="00465B9C" w:rsidP="00465B9C">
            <w:pPr>
              <w:ind w:right="284"/>
              <w:jc w:val="right"/>
              <w:rPr>
                <w:rFonts w:ascii="Gill Sans MT" w:hAnsi="Gill Sans MT"/>
              </w:rPr>
            </w:pPr>
          </w:p>
        </w:tc>
      </w:tr>
      <w:tr w:rsidR="00465B9C" w:rsidRPr="00465B9C" w:rsidTr="00465B9C">
        <w:trPr>
          <w:trHeight w:val="340"/>
        </w:trPr>
        <w:tc>
          <w:tcPr>
            <w:tcW w:w="8188" w:type="dxa"/>
          </w:tcPr>
          <w:p w:rsidR="00465B9C" w:rsidRPr="00465B9C" w:rsidRDefault="00465B9C" w:rsidP="00465B9C">
            <w:pPr>
              <w:rPr>
                <w:rFonts w:ascii="Gill Sans MT" w:hAnsi="Gill Sans MT"/>
              </w:rPr>
            </w:pPr>
            <w:r w:rsidRPr="00465B9C">
              <w:rPr>
                <w:rFonts w:ascii="Gill Sans MT" w:hAnsi="Gill Sans MT" w:cs="GillSans-Light"/>
                <w:sz w:val="20"/>
                <w:szCs w:val="20"/>
              </w:rPr>
              <w:t>T477 THS Patient Trust &amp; Bequest Account</w:t>
            </w:r>
          </w:p>
        </w:tc>
        <w:tc>
          <w:tcPr>
            <w:tcW w:w="2093" w:type="dxa"/>
          </w:tcPr>
          <w:p w:rsidR="00465B9C" w:rsidRPr="00465B9C" w:rsidRDefault="00465B9C" w:rsidP="00465B9C">
            <w:pPr>
              <w:ind w:right="284"/>
              <w:jc w:val="right"/>
              <w:rPr>
                <w:rFonts w:ascii="Gill Sans MT" w:hAnsi="Gill Sans MT"/>
              </w:rPr>
            </w:pPr>
            <w:r w:rsidRPr="00465B9C">
              <w:rPr>
                <w:rFonts w:ascii="Gill Sans MT" w:hAnsi="Gill Sans MT" w:cs="GillSans-Light"/>
                <w:sz w:val="20"/>
                <w:szCs w:val="20"/>
              </w:rPr>
              <w:t>17 777</w:t>
            </w:r>
          </w:p>
        </w:tc>
      </w:tr>
      <w:tr w:rsidR="00465B9C" w:rsidRPr="00465B9C" w:rsidTr="00ED5757">
        <w:trPr>
          <w:trHeight w:val="340"/>
        </w:trPr>
        <w:tc>
          <w:tcPr>
            <w:tcW w:w="8188" w:type="dxa"/>
          </w:tcPr>
          <w:p w:rsidR="00465B9C" w:rsidRPr="00465B9C" w:rsidRDefault="00465B9C" w:rsidP="00465B9C">
            <w:pPr>
              <w:rPr>
                <w:rFonts w:ascii="Gill Sans MT" w:hAnsi="Gill Sans MT"/>
              </w:rPr>
            </w:pPr>
            <w:r w:rsidRPr="00465B9C">
              <w:rPr>
                <w:rFonts w:ascii="Gill Sans MT" w:hAnsi="Gill Sans MT" w:cs="GillSans-Light"/>
                <w:sz w:val="20"/>
                <w:szCs w:val="20"/>
              </w:rPr>
              <w:t>T533 THS Operating Account</w:t>
            </w:r>
          </w:p>
        </w:tc>
        <w:tc>
          <w:tcPr>
            <w:tcW w:w="2093" w:type="dxa"/>
            <w:tcBorders>
              <w:bottom w:val="single" w:sz="4" w:space="0" w:color="auto"/>
            </w:tcBorders>
          </w:tcPr>
          <w:p w:rsidR="00465B9C" w:rsidRPr="00465B9C" w:rsidRDefault="00465B9C" w:rsidP="00465B9C">
            <w:pPr>
              <w:ind w:right="284"/>
              <w:jc w:val="right"/>
              <w:rPr>
                <w:rFonts w:ascii="Gill Sans MT" w:hAnsi="Gill Sans MT"/>
              </w:rPr>
            </w:pPr>
            <w:r w:rsidRPr="00465B9C">
              <w:rPr>
                <w:rFonts w:ascii="Gill Sans MT" w:hAnsi="Gill Sans MT" w:cs="GillSans-Light"/>
                <w:sz w:val="20"/>
                <w:szCs w:val="20"/>
              </w:rPr>
              <w:t>71 266</w:t>
            </w:r>
          </w:p>
        </w:tc>
      </w:tr>
      <w:tr w:rsidR="00465B9C" w:rsidRPr="00465B9C" w:rsidTr="00ED5757">
        <w:trPr>
          <w:trHeight w:val="340"/>
        </w:trPr>
        <w:tc>
          <w:tcPr>
            <w:tcW w:w="8188" w:type="dxa"/>
          </w:tcPr>
          <w:p w:rsidR="00465B9C" w:rsidRPr="00465B9C" w:rsidRDefault="00465B9C" w:rsidP="00465B9C">
            <w:pPr>
              <w:rPr>
                <w:rFonts w:ascii="Gill Sans MT" w:hAnsi="Gill Sans MT"/>
              </w:rPr>
            </w:pPr>
            <w:r w:rsidRPr="00465B9C">
              <w:rPr>
                <w:rFonts w:ascii="Gill Sans MT" w:hAnsi="Gill Sans MT" w:cs="GillSans-SemiBold"/>
                <w:b/>
                <w:bCs/>
                <w:sz w:val="20"/>
                <w:szCs w:val="20"/>
              </w:rPr>
              <w:t>Total</w:t>
            </w:r>
          </w:p>
        </w:tc>
        <w:tc>
          <w:tcPr>
            <w:tcW w:w="2093" w:type="dxa"/>
            <w:tcBorders>
              <w:top w:val="single" w:sz="4" w:space="0" w:color="auto"/>
              <w:bottom w:val="single" w:sz="4" w:space="0" w:color="auto"/>
            </w:tcBorders>
          </w:tcPr>
          <w:p w:rsidR="00465B9C" w:rsidRPr="00465B9C" w:rsidRDefault="00465B9C" w:rsidP="00465B9C">
            <w:pPr>
              <w:ind w:right="284"/>
              <w:jc w:val="right"/>
              <w:rPr>
                <w:rFonts w:ascii="Gill Sans MT" w:hAnsi="Gill Sans MT"/>
              </w:rPr>
            </w:pPr>
            <w:r w:rsidRPr="00465B9C">
              <w:rPr>
                <w:rFonts w:ascii="Gill Sans MT" w:hAnsi="Gill Sans MT" w:cs="GillSans-SemiBold"/>
                <w:b/>
                <w:bCs/>
                <w:sz w:val="20"/>
                <w:szCs w:val="20"/>
              </w:rPr>
              <w:t>89 043</w:t>
            </w:r>
          </w:p>
        </w:tc>
      </w:tr>
      <w:tr w:rsidR="00465B9C" w:rsidRPr="00465B9C" w:rsidTr="00ED5757">
        <w:trPr>
          <w:trHeight w:val="340"/>
        </w:trPr>
        <w:tc>
          <w:tcPr>
            <w:tcW w:w="8188" w:type="dxa"/>
          </w:tcPr>
          <w:p w:rsidR="00465B9C" w:rsidRPr="00465B9C" w:rsidRDefault="00465B9C" w:rsidP="00465B9C">
            <w:pPr>
              <w:rPr>
                <w:rFonts w:ascii="Gill Sans MT" w:hAnsi="Gill Sans MT"/>
              </w:rPr>
            </w:pPr>
            <w:r w:rsidRPr="00465B9C">
              <w:rPr>
                <w:rFonts w:ascii="Gill Sans MT" w:hAnsi="Gill Sans MT" w:cs="GillSans-SemiBold"/>
                <w:b/>
                <w:bCs/>
                <w:sz w:val="20"/>
                <w:szCs w:val="20"/>
              </w:rPr>
              <w:t>Other cash held</w:t>
            </w:r>
          </w:p>
        </w:tc>
        <w:tc>
          <w:tcPr>
            <w:tcW w:w="2093" w:type="dxa"/>
            <w:tcBorders>
              <w:top w:val="single" w:sz="4" w:space="0" w:color="auto"/>
            </w:tcBorders>
          </w:tcPr>
          <w:p w:rsidR="00465B9C" w:rsidRPr="00465B9C" w:rsidRDefault="00465B9C" w:rsidP="00465B9C">
            <w:pPr>
              <w:ind w:right="284"/>
              <w:jc w:val="right"/>
              <w:rPr>
                <w:rFonts w:ascii="Gill Sans MT" w:hAnsi="Gill Sans MT"/>
              </w:rPr>
            </w:pPr>
          </w:p>
        </w:tc>
      </w:tr>
      <w:tr w:rsidR="00465B9C" w:rsidRPr="00465B9C" w:rsidTr="00465B9C">
        <w:trPr>
          <w:trHeight w:val="340"/>
        </w:trPr>
        <w:tc>
          <w:tcPr>
            <w:tcW w:w="8188" w:type="dxa"/>
          </w:tcPr>
          <w:p w:rsidR="00465B9C" w:rsidRPr="00465B9C" w:rsidRDefault="00465B9C" w:rsidP="00465B9C">
            <w:pPr>
              <w:rPr>
                <w:rFonts w:ascii="Gill Sans MT" w:hAnsi="Gill Sans MT"/>
              </w:rPr>
            </w:pPr>
            <w:r w:rsidRPr="00465B9C">
              <w:rPr>
                <w:rFonts w:ascii="Gill Sans MT" w:hAnsi="Gill Sans MT" w:cs="GillSans-Light"/>
                <w:sz w:val="20"/>
                <w:szCs w:val="20"/>
              </w:rPr>
              <w:t>Other cash equivalents not included above</w:t>
            </w:r>
          </w:p>
        </w:tc>
        <w:tc>
          <w:tcPr>
            <w:tcW w:w="2093" w:type="dxa"/>
          </w:tcPr>
          <w:p w:rsidR="00465B9C" w:rsidRPr="00465B9C" w:rsidRDefault="00465B9C" w:rsidP="00465B9C">
            <w:pPr>
              <w:ind w:right="284"/>
              <w:jc w:val="right"/>
              <w:rPr>
                <w:rFonts w:ascii="Gill Sans MT" w:hAnsi="Gill Sans MT"/>
              </w:rPr>
            </w:pPr>
            <w:r w:rsidRPr="00465B9C">
              <w:rPr>
                <w:rFonts w:ascii="Gill Sans MT" w:hAnsi="Gill Sans MT" w:cs="GillSans-Light"/>
                <w:sz w:val="20"/>
                <w:szCs w:val="20"/>
              </w:rPr>
              <w:t>492</w:t>
            </w:r>
          </w:p>
        </w:tc>
      </w:tr>
      <w:tr w:rsidR="00465B9C" w:rsidRPr="00465B9C" w:rsidTr="00ED5757">
        <w:trPr>
          <w:trHeight w:val="340"/>
        </w:trPr>
        <w:tc>
          <w:tcPr>
            <w:tcW w:w="8188" w:type="dxa"/>
            <w:tcBorders>
              <w:bottom w:val="single" w:sz="4" w:space="0" w:color="auto"/>
            </w:tcBorders>
          </w:tcPr>
          <w:p w:rsidR="00465B9C" w:rsidRPr="00465B9C" w:rsidRDefault="00465B9C" w:rsidP="00465B9C">
            <w:pPr>
              <w:rPr>
                <w:rFonts w:ascii="Gill Sans MT" w:hAnsi="Gill Sans MT"/>
              </w:rPr>
            </w:pPr>
            <w:r w:rsidRPr="00465B9C">
              <w:rPr>
                <w:rFonts w:ascii="Gill Sans MT" w:hAnsi="Gill Sans MT" w:cs="GillSans-SemiBold"/>
                <w:b/>
                <w:bCs/>
                <w:sz w:val="20"/>
                <w:szCs w:val="20"/>
              </w:rPr>
              <w:t>Total</w:t>
            </w:r>
          </w:p>
        </w:tc>
        <w:tc>
          <w:tcPr>
            <w:tcW w:w="2093" w:type="dxa"/>
            <w:tcBorders>
              <w:bottom w:val="single" w:sz="4" w:space="0" w:color="auto"/>
            </w:tcBorders>
          </w:tcPr>
          <w:p w:rsidR="00465B9C" w:rsidRPr="00465B9C" w:rsidRDefault="00465B9C" w:rsidP="00465B9C">
            <w:pPr>
              <w:ind w:right="284"/>
              <w:jc w:val="right"/>
              <w:rPr>
                <w:rFonts w:ascii="Gill Sans MT" w:hAnsi="Gill Sans MT"/>
              </w:rPr>
            </w:pPr>
            <w:r w:rsidRPr="00465B9C">
              <w:rPr>
                <w:rFonts w:ascii="Gill Sans MT" w:hAnsi="Gill Sans MT" w:cs="GillSans-Light"/>
                <w:sz w:val="20"/>
                <w:szCs w:val="20"/>
              </w:rPr>
              <w:t>492</w:t>
            </w:r>
          </w:p>
        </w:tc>
      </w:tr>
      <w:tr w:rsidR="00465B9C" w:rsidRPr="00465B9C" w:rsidTr="00ED5757">
        <w:trPr>
          <w:trHeight w:val="340"/>
        </w:trPr>
        <w:tc>
          <w:tcPr>
            <w:tcW w:w="8188" w:type="dxa"/>
            <w:tcBorders>
              <w:top w:val="single" w:sz="4" w:space="0" w:color="auto"/>
              <w:bottom w:val="single" w:sz="4" w:space="0" w:color="auto"/>
            </w:tcBorders>
          </w:tcPr>
          <w:p w:rsidR="00465B9C" w:rsidRPr="00465B9C" w:rsidRDefault="00465B9C" w:rsidP="00465B9C">
            <w:pPr>
              <w:rPr>
                <w:rFonts w:ascii="Gill Sans MT" w:hAnsi="Gill Sans MT" w:cs="GillSans-SemiBold"/>
                <w:b/>
                <w:bCs/>
                <w:sz w:val="20"/>
                <w:szCs w:val="20"/>
              </w:rPr>
            </w:pPr>
            <w:r w:rsidRPr="00465B9C">
              <w:rPr>
                <w:rFonts w:ascii="Gill Sans MT" w:hAnsi="Gill Sans MT" w:cs="GillSans-SemiBold"/>
                <w:b/>
                <w:bCs/>
                <w:sz w:val="20"/>
                <w:szCs w:val="20"/>
              </w:rPr>
              <w:t>Total cash and deposits</w:t>
            </w:r>
          </w:p>
        </w:tc>
        <w:tc>
          <w:tcPr>
            <w:tcW w:w="2093" w:type="dxa"/>
            <w:tcBorders>
              <w:top w:val="single" w:sz="4" w:space="0" w:color="auto"/>
              <w:bottom w:val="single" w:sz="4" w:space="0" w:color="auto"/>
            </w:tcBorders>
          </w:tcPr>
          <w:p w:rsidR="00465B9C" w:rsidRPr="00465B9C" w:rsidRDefault="00465B9C" w:rsidP="00465B9C">
            <w:pPr>
              <w:ind w:right="284"/>
              <w:jc w:val="right"/>
              <w:rPr>
                <w:rFonts w:ascii="Gill Sans MT" w:hAnsi="Gill Sans MT"/>
              </w:rPr>
            </w:pPr>
            <w:r w:rsidRPr="00465B9C">
              <w:rPr>
                <w:rFonts w:ascii="Gill Sans MT" w:hAnsi="Gill Sans MT" w:cs="GillSans-SemiBold"/>
                <w:b/>
                <w:bCs/>
                <w:sz w:val="20"/>
                <w:szCs w:val="20"/>
              </w:rPr>
              <w:t>89 535</w:t>
            </w:r>
          </w:p>
        </w:tc>
      </w:tr>
    </w:tbl>
    <w:p w:rsidR="00465B9C" w:rsidRPr="00465B9C" w:rsidRDefault="00ED5757" w:rsidP="00ED5757">
      <w:pPr>
        <w:pStyle w:val="BodyText"/>
      </w:pPr>
      <w:r>
        <w:t>Other cash equivalents represents cash held by the THS derived from Private Patients Scheme debtor payments, as well as petty cash and cash floats.</w:t>
      </w:r>
    </w:p>
    <w:p w:rsidR="00ED5757" w:rsidRDefault="00ED5757">
      <w:r>
        <w:br w:type="page"/>
      </w:r>
    </w:p>
    <w:p w:rsidR="00465B9C" w:rsidRDefault="00ED5757" w:rsidP="00ED5757">
      <w:pPr>
        <w:pStyle w:val="Heading5"/>
      </w:pPr>
      <w:r>
        <w:lastRenderedPageBreak/>
        <w:t xml:space="preserve">12.2 </w:t>
      </w:r>
      <w:r>
        <w:tab/>
        <w:t>Reconciliation of Net Result to Net Cash from Operating Activities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Reconciliation of Net Result to Net Cash from Operating Activities"/>
      </w:tblPr>
      <w:tblGrid>
        <w:gridCol w:w="8472"/>
        <w:gridCol w:w="1809"/>
      </w:tblGrid>
      <w:tr w:rsidR="00ED5757" w:rsidRPr="00613CAC" w:rsidTr="00613CAC">
        <w:trPr>
          <w:trHeight w:val="340"/>
          <w:tblHeader/>
        </w:trPr>
        <w:tc>
          <w:tcPr>
            <w:tcW w:w="8472" w:type="dxa"/>
            <w:tcBorders>
              <w:top w:val="single" w:sz="4" w:space="0" w:color="auto"/>
              <w:bottom w:val="single" w:sz="4" w:space="0" w:color="auto"/>
            </w:tcBorders>
          </w:tcPr>
          <w:p w:rsidR="00ED5757" w:rsidRPr="00613CAC" w:rsidRDefault="00ED5757" w:rsidP="00A34610">
            <w:pPr>
              <w:rPr>
                <w:rFonts w:ascii="Gill Sans MT" w:hAnsi="Gill Sans MT"/>
                <w:b/>
              </w:rPr>
            </w:pPr>
            <w:r w:rsidRPr="00613CAC">
              <w:rPr>
                <w:rFonts w:ascii="Gill Sans MT" w:hAnsi="Gill Sans MT"/>
                <w:b/>
              </w:rPr>
              <w:t>Description</w:t>
            </w:r>
          </w:p>
        </w:tc>
        <w:tc>
          <w:tcPr>
            <w:tcW w:w="1809" w:type="dxa"/>
            <w:tcBorders>
              <w:top w:val="single" w:sz="4" w:space="0" w:color="auto"/>
              <w:bottom w:val="single" w:sz="4" w:space="0" w:color="auto"/>
            </w:tcBorders>
          </w:tcPr>
          <w:p w:rsidR="00ED5757" w:rsidRPr="00613CAC" w:rsidRDefault="00ED5757" w:rsidP="00ED5757">
            <w:pPr>
              <w:ind w:right="284"/>
              <w:jc w:val="right"/>
              <w:rPr>
                <w:rFonts w:ascii="Gill Sans MT" w:hAnsi="Gill Sans MT"/>
                <w:b/>
              </w:rPr>
            </w:pPr>
            <w:r w:rsidRPr="00613CAC">
              <w:rPr>
                <w:rFonts w:ascii="Gill Sans MT" w:hAnsi="Gill Sans MT"/>
                <w:b/>
              </w:rPr>
              <w:t>2016</w:t>
            </w:r>
            <w:r w:rsidRPr="00613CAC">
              <w:rPr>
                <w:rFonts w:ascii="Gill Sans MT" w:hAnsi="Gill Sans MT"/>
                <w:b/>
              </w:rPr>
              <w:br/>
              <w:t>$’000</w:t>
            </w:r>
          </w:p>
        </w:tc>
      </w:tr>
      <w:tr w:rsidR="00ED5757" w:rsidRPr="00613CAC" w:rsidTr="00613CAC">
        <w:trPr>
          <w:trHeight w:val="340"/>
        </w:trPr>
        <w:tc>
          <w:tcPr>
            <w:tcW w:w="8472" w:type="dxa"/>
            <w:tcBorders>
              <w:top w:val="single" w:sz="4" w:space="0" w:color="auto"/>
            </w:tcBorders>
          </w:tcPr>
          <w:p w:rsidR="00ED5757" w:rsidRPr="00613CAC" w:rsidRDefault="00ED5757" w:rsidP="00A34610">
            <w:pPr>
              <w:rPr>
                <w:rFonts w:ascii="Gill Sans MT" w:hAnsi="Gill Sans MT"/>
              </w:rPr>
            </w:pPr>
            <w:r w:rsidRPr="00613CAC">
              <w:rPr>
                <w:rFonts w:ascii="Gill Sans MT" w:hAnsi="Gill Sans MT" w:cs="GillSans-Light"/>
                <w:sz w:val="20"/>
                <w:szCs w:val="20"/>
              </w:rPr>
              <w:t>Net result from transactions (net operating balance)</w:t>
            </w:r>
          </w:p>
        </w:tc>
        <w:tc>
          <w:tcPr>
            <w:tcW w:w="1809" w:type="dxa"/>
            <w:tcBorders>
              <w:top w:val="single" w:sz="4" w:space="0" w:color="auto"/>
            </w:tcBorders>
          </w:tcPr>
          <w:p w:rsidR="00ED5757" w:rsidRPr="00613CAC" w:rsidRDefault="00613CAC" w:rsidP="00ED5757">
            <w:pPr>
              <w:ind w:right="284"/>
              <w:jc w:val="right"/>
              <w:rPr>
                <w:rFonts w:ascii="Gill Sans MT" w:hAnsi="Gill Sans MT"/>
              </w:rPr>
            </w:pPr>
            <w:r w:rsidRPr="00613CAC">
              <w:rPr>
                <w:rFonts w:ascii="Gill Sans MT" w:hAnsi="Gill Sans MT"/>
              </w:rPr>
              <w:t>35 127</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Depreciation and amortisation</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39 218</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Recognition of assets as a result of stocktake/donations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(28)</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Capital grants income</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(72 780)</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WIP expensed</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26</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Doubtful debts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(446)</w:t>
            </w:r>
          </w:p>
        </w:tc>
      </w:tr>
      <w:tr w:rsidR="00ED5757" w:rsidRPr="00613CAC" w:rsidTr="00ED5757">
        <w:trPr>
          <w:trHeight w:val="340"/>
        </w:trPr>
        <w:tc>
          <w:tcPr>
            <w:tcW w:w="8472" w:type="dxa"/>
          </w:tcPr>
          <w:p w:rsidR="00ED5757" w:rsidRPr="00613CAC" w:rsidRDefault="00ED5757" w:rsidP="00A34610">
            <w:pPr>
              <w:rPr>
                <w:rFonts w:ascii="Gill Sans MT" w:hAnsi="Gill Sans MT"/>
              </w:rPr>
            </w:pPr>
            <w:r w:rsidRPr="00613CAC">
              <w:rPr>
                <w:rFonts w:ascii="Gill Sans MT" w:hAnsi="Gill Sans MT" w:cs="GillSans-Light"/>
                <w:sz w:val="20"/>
                <w:szCs w:val="20"/>
              </w:rPr>
              <w:t>Transfer of assets on establishment of THS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(235 941)</w:t>
            </w:r>
          </w:p>
        </w:tc>
      </w:tr>
      <w:tr w:rsidR="00ED5757" w:rsidRPr="00613CAC" w:rsidTr="00ED5757">
        <w:trPr>
          <w:trHeight w:val="340"/>
        </w:trPr>
        <w:tc>
          <w:tcPr>
            <w:tcW w:w="8472" w:type="dxa"/>
          </w:tcPr>
          <w:p w:rsidR="00ED5757" w:rsidRPr="00613CAC" w:rsidRDefault="00ED5757" w:rsidP="00A34610">
            <w:pPr>
              <w:rPr>
                <w:rFonts w:ascii="Gill Sans MT" w:hAnsi="Gill Sans MT" w:cs="GillSans-Light"/>
                <w:sz w:val="20"/>
                <w:szCs w:val="20"/>
              </w:rPr>
            </w:pPr>
            <w:r w:rsidRPr="00613CAC">
              <w:rPr>
                <w:rFonts w:ascii="Gill Sans MT" w:hAnsi="Gill Sans MT" w:cs="GillSans-Light"/>
                <w:sz w:val="20"/>
                <w:szCs w:val="20"/>
              </w:rPr>
              <w:t>Transfer of assets due to restructure</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(862)</w:t>
            </w:r>
          </w:p>
        </w:tc>
      </w:tr>
      <w:tr w:rsidR="00ED5757" w:rsidRPr="00613CAC" w:rsidTr="00ED5757">
        <w:trPr>
          <w:trHeight w:val="340"/>
        </w:trPr>
        <w:tc>
          <w:tcPr>
            <w:tcW w:w="8472" w:type="dxa"/>
          </w:tcPr>
          <w:p w:rsidR="00ED5757" w:rsidRPr="00613CAC" w:rsidRDefault="00ED5757" w:rsidP="00ED5757">
            <w:pPr>
              <w:tabs>
                <w:tab w:val="left" w:pos="1410"/>
              </w:tabs>
              <w:rPr>
                <w:rFonts w:ascii="Gill Sans MT" w:hAnsi="Gill Sans MT" w:cs="GillSans-Light"/>
                <w:sz w:val="20"/>
                <w:szCs w:val="20"/>
              </w:rPr>
            </w:pPr>
            <w:r w:rsidRPr="00613CAC">
              <w:rPr>
                <w:rFonts w:ascii="Gill Sans MT" w:hAnsi="Gill Sans MT" w:cs="GillSans-Light"/>
                <w:sz w:val="20"/>
                <w:szCs w:val="20"/>
              </w:rPr>
              <w:t>Decrease (increase) in Receivables</w:t>
            </w:r>
            <w:r w:rsidRPr="00613CAC">
              <w:rPr>
                <w:rFonts w:ascii="Gill Sans MT" w:hAnsi="Gill Sans MT" w:cs="GillSans-Light"/>
                <w:sz w:val="20"/>
                <w:szCs w:val="20"/>
              </w:rPr>
              <w:tab/>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(21 280)</w:t>
            </w:r>
          </w:p>
        </w:tc>
      </w:tr>
      <w:tr w:rsidR="00ED5757" w:rsidRPr="00613CAC" w:rsidTr="00ED5757">
        <w:trPr>
          <w:trHeight w:val="340"/>
        </w:trPr>
        <w:tc>
          <w:tcPr>
            <w:tcW w:w="8472" w:type="dxa"/>
          </w:tcPr>
          <w:p w:rsidR="00ED5757" w:rsidRPr="00613CAC" w:rsidRDefault="00ED5757" w:rsidP="00A34610">
            <w:pPr>
              <w:rPr>
                <w:rFonts w:ascii="Gill Sans MT" w:hAnsi="Gill Sans MT" w:cs="GillSans-Light"/>
                <w:sz w:val="20"/>
                <w:szCs w:val="20"/>
              </w:rPr>
            </w:pPr>
            <w:r w:rsidRPr="00613CAC">
              <w:rPr>
                <w:rFonts w:ascii="Gill Sans MT" w:hAnsi="Gill Sans MT" w:cs="GillSans-Light"/>
                <w:sz w:val="20"/>
                <w:szCs w:val="20"/>
              </w:rPr>
              <w:t>Decrease (increase) in Other assets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(20 248)</w:t>
            </w:r>
          </w:p>
        </w:tc>
      </w:tr>
      <w:tr w:rsidR="00ED5757" w:rsidRPr="00613CAC" w:rsidTr="00ED5757">
        <w:trPr>
          <w:trHeight w:val="340"/>
        </w:trPr>
        <w:tc>
          <w:tcPr>
            <w:tcW w:w="8472" w:type="dxa"/>
          </w:tcPr>
          <w:p w:rsidR="00ED5757" w:rsidRPr="00613CAC" w:rsidRDefault="00ED5757" w:rsidP="00A34610">
            <w:pPr>
              <w:rPr>
                <w:rFonts w:ascii="Gill Sans MT" w:hAnsi="Gill Sans MT" w:cs="GillSans-Light"/>
                <w:sz w:val="20"/>
                <w:szCs w:val="20"/>
              </w:rPr>
            </w:pPr>
            <w:r w:rsidRPr="00613CAC">
              <w:rPr>
                <w:rFonts w:ascii="Gill Sans MT" w:hAnsi="Gill Sans MT" w:cs="GillSans-Light"/>
                <w:sz w:val="20"/>
                <w:szCs w:val="20"/>
              </w:rPr>
              <w:t>Decrease (increase) in Inventories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(11 055)</w:t>
            </w:r>
          </w:p>
        </w:tc>
      </w:tr>
      <w:tr w:rsidR="00ED5757" w:rsidRPr="00613CAC" w:rsidTr="00ED5757">
        <w:trPr>
          <w:trHeight w:val="340"/>
        </w:trPr>
        <w:tc>
          <w:tcPr>
            <w:tcW w:w="8472" w:type="dxa"/>
          </w:tcPr>
          <w:p w:rsidR="00ED5757" w:rsidRPr="00613CAC" w:rsidRDefault="00ED5757" w:rsidP="00A34610">
            <w:pPr>
              <w:rPr>
                <w:rFonts w:ascii="Gill Sans MT" w:hAnsi="Gill Sans MT" w:cs="GillSans-Light"/>
                <w:sz w:val="20"/>
                <w:szCs w:val="20"/>
              </w:rPr>
            </w:pPr>
            <w:r w:rsidRPr="00613CAC">
              <w:rPr>
                <w:rFonts w:ascii="Gill Sans MT" w:hAnsi="Gill Sans MT" w:cs="GillSans-Light"/>
                <w:sz w:val="20"/>
                <w:szCs w:val="20"/>
              </w:rPr>
              <w:t>Increase (decrease) in Employee entitlements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224 895</w:t>
            </w:r>
          </w:p>
        </w:tc>
      </w:tr>
      <w:tr w:rsidR="00ED5757" w:rsidRPr="00613CAC" w:rsidTr="00ED5757">
        <w:trPr>
          <w:trHeight w:val="340"/>
        </w:trPr>
        <w:tc>
          <w:tcPr>
            <w:tcW w:w="8472" w:type="dxa"/>
          </w:tcPr>
          <w:p w:rsidR="00ED5757" w:rsidRPr="00613CAC" w:rsidRDefault="00ED5757" w:rsidP="00ED5757">
            <w:pPr>
              <w:tabs>
                <w:tab w:val="left" w:pos="930"/>
              </w:tabs>
              <w:rPr>
                <w:rFonts w:ascii="Gill Sans MT" w:hAnsi="Gill Sans MT" w:cs="GillSans-Light"/>
                <w:sz w:val="20"/>
                <w:szCs w:val="20"/>
              </w:rPr>
            </w:pPr>
            <w:r w:rsidRPr="00613CAC">
              <w:rPr>
                <w:rFonts w:ascii="Gill Sans MT" w:hAnsi="Gill Sans MT" w:cs="GillSans-Light"/>
                <w:sz w:val="20"/>
                <w:szCs w:val="20"/>
              </w:rPr>
              <w:t>Increase (decrease) in Payables</w:t>
            </w:r>
          </w:p>
        </w:tc>
        <w:tc>
          <w:tcPr>
            <w:tcW w:w="1809" w:type="dxa"/>
          </w:tcPr>
          <w:p w:rsidR="00ED5757" w:rsidRPr="00613CAC" w:rsidRDefault="00613CAC" w:rsidP="00ED5757">
            <w:pPr>
              <w:ind w:right="284"/>
              <w:jc w:val="right"/>
              <w:rPr>
                <w:rFonts w:ascii="Gill Sans MT" w:hAnsi="Gill Sans MT"/>
              </w:rPr>
            </w:pPr>
            <w:r w:rsidRPr="00613CAC">
              <w:rPr>
                <w:rFonts w:ascii="Gill Sans MT" w:hAnsi="Gill Sans MT"/>
              </w:rPr>
              <w:t>64 306</w:t>
            </w:r>
          </w:p>
        </w:tc>
      </w:tr>
      <w:tr w:rsidR="00ED5757" w:rsidRPr="00613CAC" w:rsidTr="00613CAC">
        <w:trPr>
          <w:trHeight w:val="340"/>
        </w:trPr>
        <w:tc>
          <w:tcPr>
            <w:tcW w:w="8472" w:type="dxa"/>
            <w:tcBorders>
              <w:bottom w:val="single" w:sz="4" w:space="0" w:color="auto"/>
            </w:tcBorders>
          </w:tcPr>
          <w:p w:rsidR="00ED5757" w:rsidRPr="00613CAC" w:rsidRDefault="00ED5757" w:rsidP="00A34610">
            <w:pPr>
              <w:rPr>
                <w:rFonts w:ascii="Gill Sans MT" w:hAnsi="Gill Sans MT" w:cs="GillSans-Light"/>
                <w:sz w:val="20"/>
                <w:szCs w:val="20"/>
              </w:rPr>
            </w:pPr>
            <w:r w:rsidRPr="00613CAC">
              <w:rPr>
                <w:rFonts w:ascii="Gill Sans MT" w:hAnsi="Gill Sans MT" w:cs="GillSans-Light"/>
                <w:sz w:val="20"/>
                <w:szCs w:val="20"/>
              </w:rPr>
              <w:t>Increase (decrease) in Other liabilities</w:t>
            </w:r>
          </w:p>
        </w:tc>
        <w:tc>
          <w:tcPr>
            <w:tcW w:w="1809" w:type="dxa"/>
            <w:tcBorders>
              <w:bottom w:val="single" w:sz="4" w:space="0" w:color="auto"/>
            </w:tcBorders>
          </w:tcPr>
          <w:p w:rsidR="00ED5757" w:rsidRPr="00613CAC" w:rsidRDefault="00613CAC" w:rsidP="00ED5757">
            <w:pPr>
              <w:ind w:right="284"/>
              <w:jc w:val="right"/>
              <w:rPr>
                <w:rFonts w:ascii="Gill Sans MT" w:hAnsi="Gill Sans MT"/>
              </w:rPr>
            </w:pPr>
            <w:r w:rsidRPr="00613CAC">
              <w:rPr>
                <w:rFonts w:ascii="Gill Sans MT" w:hAnsi="Gill Sans MT"/>
              </w:rPr>
              <w:t>10 993</w:t>
            </w:r>
          </w:p>
        </w:tc>
      </w:tr>
      <w:tr w:rsidR="00ED5757" w:rsidRPr="00613CAC" w:rsidTr="00613CAC">
        <w:trPr>
          <w:trHeight w:val="340"/>
        </w:trPr>
        <w:tc>
          <w:tcPr>
            <w:tcW w:w="8472" w:type="dxa"/>
            <w:tcBorders>
              <w:top w:val="single" w:sz="4" w:space="0" w:color="auto"/>
              <w:bottom w:val="single" w:sz="4" w:space="0" w:color="auto"/>
            </w:tcBorders>
          </w:tcPr>
          <w:p w:rsidR="00ED5757" w:rsidRPr="00613CAC" w:rsidRDefault="00ED5757" w:rsidP="00A34610">
            <w:pPr>
              <w:rPr>
                <w:rFonts w:ascii="Gill Sans MT" w:hAnsi="Gill Sans MT" w:cs="GillSans-Light"/>
                <w:sz w:val="20"/>
                <w:szCs w:val="20"/>
              </w:rPr>
            </w:pPr>
            <w:r w:rsidRPr="00613CAC">
              <w:rPr>
                <w:rFonts w:ascii="Gill Sans MT" w:hAnsi="Gill Sans MT" w:cs="GillSans-SemiBold"/>
                <w:b/>
                <w:bCs/>
                <w:sz w:val="20"/>
                <w:szCs w:val="20"/>
              </w:rPr>
              <w:t>Net cash from/(used by) operating activities</w:t>
            </w:r>
          </w:p>
        </w:tc>
        <w:tc>
          <w:tcPr>
            <w:tcW w:w="1809" w:type="dxa"/>
            <w:tcBorders>
              <w:top w:val="single" w:sz="4" w:space="0" w:color="auto"/>
              <w:bottom w:val="single" w:sz="4" w:space="0" w:color="auto"/>
            </w:tcBorders>
          </w:tcPr>
          <w:p w:rsidR="00ED5757" w:rsidRPr="00613CAC" w:rsidRDefault="00613CAC" w:rsidP="00ED5757">
            <w:pPr>
              <w:ind w:right="284"/>
              <w:jc w:val="right"/>
              <w:rPr>
                <w:rFonts w:ascii="Gill Sans MT" w:hAnsi="Gill Sans MT"/>
                <w:b/>
              </w:rPr>
            </w:pPr>
            <w:r w:rsidRPr="00613CAC">
              <w:rPr>
                <w:rFonts w:ascii="Gill Sans MT" w:hAnsi="Gill Sans MT"/>
                <w:b/>
              </w:rPr>
              <w:t>11 925</w:t>
            </w:r>
          </w:p>
        </w:tc>
      </w:tr>
    </w:tbl>
    <w:p w:rsidR="00ED5757" w:rsidRDefault="00ED5757" w:rsidP="00A34610"/>
    <w:p w:rsidR="00613CAC" w:rsidRDefault="00613CAC" w:rsidP="00613CAC">
      <w:pPr>
        <w:pStyle w:val="Heading4"/>
      </w:pPr>
      <w:r>
        <w:t>Note 13</w:t>
      </w:r>
      <w:r>
        <w:tab/>
        <w:t>Financial Instruments</w:t>
      </w:r>
    </w:p>
    <w:p w:rsidR="00613CAC" w:rsidRDefault="00613CAC" w:rsidP="00613CAC">
      <w:pPr>
        <w:pStyle w:val="Heading5"/>
      </w:pPr>
      <w:r>
        <w:t>13.1</w:t>
      </w:r>
      <w:r>
        <w:tab/>
        <w:t>Risk Exposures</w:t>
      </w:r>
    </w:p>
    <w:p w:rsidR="00613CAC" w:rsidRPr="00613CAC" w:rsidRDefault="00613CAC" w:rsidP="00613CAC">
      <w:pPr>
        <w:rPr>
          <w:b/>
        </w:rPr>
      </w:pPr>
      <w:r w:rsidRPr="00613CAC">
        <w:rPr>
          <w:b/>
        </w:rPr>
        <w:t>(a)</w:t>
      </w:r>
      <w:r w:rsidRPr="00613CAC">
        <w:rPr>
          <w:b/>
        </w:rPr>
        <w:tab/>
        <w:t>Risk management policies</w:t>
      </w:r>
    </w:p>
    <w:p w:rsidR="00613CAC" w:rsidRDefault="00613CAC" w:rsidP="00613CAC">
      <w:pPr>
        <w:pStyle w:val="BodyText"/>
      </w:pPr>
      <w:r>
        <w:t>The THS has exposure to the following risks from its use of financial instruments:</w:t>
      </w:r>
    </w:p>
    <w:p w:rsidR="00613CAC" w:rsidRDefault="00613CAC" w:rsidP="00621B34">
      <w:pPr>
        <w:pStyle w:val="BodyText"/>
        <w:numPr>
          <w:ilvl w:val="0"/>
          <w:numId w:val="53"/>
        </w:numPr>
        <w:ind w:left="567" w:hanging="567"/>
      </w:pPr>
      <w:r>
        <w:t>credit risk;</w:t>
      </w:r>
    </w:p>
    <w:p w:rsidR="00613CAC" w:rsidRDefault="00613CAC" w:rsidP="00621B34">
      <w:pPr>
        <w:pStyle w:val="BodyText"/>
        <w:numPr>
          <w:ilvl w:val="0"/>
          <w:numId w:val="53"/>
        </w:numPr>
        <w:ind w:left="567" w:hanging="567"/>
      </w:pPr>
      <w:r>
        <w:t>liquidity risk; and</w:t>
      </w:r>
    </w:p>
    <w:p w:rsidR="00613CAC" w:rsidRDefault="00613CAC" w:rsidP="00621B34">
      <w:pPr>
        <w:pStyle w:val="BodyText"/>
        <w:numPr>
          <w:ilvl w:val="0"/>
          <w:numId w:val="53"/>
        </w:numPr>
        <w:ind w:left="567" w:hanging="567"/>
      </w:pPr>
      <w:proofErr w:type="gramStart"/>
      <w:r>
        <w:t>market</w:t>
      </w:r>
      <w:proofErr w:type="gramEnd"/>
      <w:r>
        <w:t xml:space="preserve"> risk.</w:t>
      </w:r>
    </w:p>
    <w:p w:rsidR="00613CAC" w:rsidRPr="00613CAC" w:rsidRDefault="00613CAC" w:rsidP="00613CAC">
      <w:pPr>
        <w:pStyle w:val="BodyText"/>
      </w:pPr>
      <w:r>
        <w:t>The Governing Council and the Chief Executive Officer have overall responsibility for the establishment and oversight of the THS’ risk management framework. Risk management policies are established to identify and analyse risks faced by the THS, to set appropriate risk limits and controls, and to monitor risks and adherence to limits.</w:t>
      </w:r>
    </w:p>
    <w:p w:rsidR="00613CAC" w:rsidRPr="003C3EDD" w:rsidRDefault="003C3EDD" w:rsidP="003C3EDD">
      <w:pPr>
        <w:ind w:left="709" w:hanging="709"/>
        <w:rPr>
          <w:b/>
        </w:rPr>
      </w:pPr>
      <w:r>
        <w:rPr>
          <w:b/>
        </w:rPr>
        <w:t>(b)</w:t>
      </w:r>
      <w:r>
        <w:rPr>
          <w:b/>
        </w:rPr>
        <w:tab/>
      </w:r>
      <w:r w:rsidR="00613CAC" w:rsidRPr="003C3EDD">
        <w:rPr>
          <w:b/>
        </w:rPr>
        <w:t>Credit risk exposures</w:t>
      </w:r>
    </w:p>
    <w:p w:rsidR="00613CAC" w:rsidRDefault="00613CAC" w:rsidP="00613CAC">
      <w:pPr>
        <w:pStyle w:val="BodyText"/>
      </w:pPr>
      <w:r w:rsidRPr="00613CAC">
        <w:t>Credit risk is the risk of financial loss to the THS if a customer or counterparty to a financial instrument</w:t>
      </w:r>
      <w:r>
        <w:t xml:space="preserve"> </w:t>
      </w:r>
      <w:r w:rsidRPr="00613CAC">
        <w:t>fails to meet its contractual obligations.</w:t>
      </w:r>
    </w:p>
    <w:p w:rsidR="00613CAC" w:rsidRDefault="00613CAC">
      <w:pPr>
        <w:rPr>
          <w:rFonts w:ascii="Gill Sans MT" w:eastAsia="GillSans-Light" w:hAnsi="Gill Sans MT" w:cs="GillSans-Light"/>
          <w:lang w:val="en-US"/>
        </w:rPr>
      </w:pPr>
      <w:r>
        <w:br w:type="page"/>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redit Risk Exposures"/>
      </w:tblPr>
      <w:tblGrid>
        <w:gridCol w:w="3427"/>
        <w:gridCol w:w="3427"/>
        <w:gridCol w:w="3427"/>
      </w:tblGrid>
      <w:tr w:rsidR="00613CAC" w:rsidRPr="00613CAC" w:rsidTr="00613CAC">
        <w:trPr>
          <w:tblHeader/>
        </w:trPr>
        <w:tc>
          <w:tcPr>
            <w:tcW w:w="3427" w:type="dxa"/>
            <w:tcBorders>
              <w:top w:val="single" w:sz="4" w:space="0" w:color="auto"/>
              <w:bottom w:val="single" w:sz="4" w:space="0" w:color="auto"/>
            </w:tcBorders>
          </w:tcPr>
          <w:p w:rsidR="00613CAC" w:rsidRPr="00613CAC" w:rsidRDefault="00613CAC" w:rsidP="00613CAC">
            <w:pPr>
              <w:pStyle w:val="BodyText"/>
              <w:rPr>
                <w:b/>
              </w:rPr>
            </w:pPr>
            <w:r w:rsidRPr="00613CAC">
              <w:rPr>
                <w:b/>
              </w:rPr>
              <w:lastRenderedPageBreak/>
              <w:t>Financial Instrument</w:t>
            </w:r>
          </w:p>
        </w:tc>
        <w:tc>
          <w:tcPr>
            <w:tcW w:w="3427" w:type="dxa"/>
            <w:tcBorders>
              <w:top w:val="single" w:sz="4" w:space="0" w:color="auto"/>
              <w:bottom w:val="single" w:sz="4" w:space="0" w:color="auto"/>
            </w:tcBorders>
          </w:tcPr>
          <w:p w:rsidR="00613CAC" w:rsidRPr="00613CAC" w:rsidRDefault="00613CAC" w:rsidP="00613CAC">
            <w:pPr>
              <w:pStyle w:val="BodyText"/>
              <w:rPr>
                <w:b/>
              </w:rPr>
            </w:pPr>
            <w:r w:rsidRPr="00613CAC">
              <w:rPr>
                <w:b/>
              </w:rPr>
              <w:t>Accounting and strategic policies (including recognition criteria and measurement basis)</w:t>
            </w:r>
          </w:p>
        </w:tc>
        <w:tc>
          <w:tcPr>
            <w:tcW w:w="3427" w:type="dxa"/>
            <w:tcBorders>
              <w:top w:val="single" w:sz="4" w:space="0" w:color="auto"/>
              <w:bottom w:val="single" w:sz="4" w:space="0" w:color="auto"/>
            </w:tcBorders>
          </w:tcPr>
          <w:p w:rsidR="00613CAC" w:rsidRPr="00613CAC" w:rsidRDefault="00613CAC" w:rsidP="00613CAC">
            <w:pPr>
              <w:pStyle w:val="BodyText"/>
              <w:rPr>
                <w:b/>
              </w:rPr>
            </w:pPr>
            <w:r w:rsidRPr="00613CAC">
              <w:rPr>
                <w:b/>
              </w:rPr>
              <w:t>Nature of underlying instrument (including significant terms and conditions affecting the amount, timing and certainty of cash flows)</w:t>
            </w:r>
          </w:p>
        </w:tc>
      </w:tr>
      <w:tr w:rsidR="00613CAC" w:rsidRPr="00613CAC" w:rsidTr="00613CAC">
        <w:tc>
          <w:tcPr>
            <w:tcW w:w="3427" w:type="dxa"/>
            <w:tcBorders>
              <w:top w:val="single" w:sz="4" w:space="0" w:color="auto"/>
            </w:tcBorders>
          </w:tcPr>
          <w:p w:rsidR="00613CAC" w:rsidRPr="00613CAC" w:rsidRDefault="00613CAC" w:rsidP="00613CAC">
            <w:pPr>
              <w:pStyle w:val="BodyText"/>
              <w:rPr>
                <w:b/>
              </w:rPr>
            </w:pPr>
            <w:r w:rsidRPr="00613CAC">
              <w:rPr>
                <w:b/>
              </w:rPr>
              <w:t>Financial Assets</w:t>
            </w:r>
          </w:p>
        </w:tc>
        <w:tc>
          <w:tcPr>
            <w:tcW w:w="3427" w:type="dxa"/>
            <w:tcBorders>
              <w:top w:val="single" w:sz="4" w:space="0" w:color="auto"/>
            </w:tcBorders>
          </w:tcPr>
          <w:p w:rsidR="00613CAC" w:rsidRPr="00613CAC" w:rsidRDefault="00613CAC" w:rsidP="00613CAC">
            <w:pPr>
              <w:pStyle w:val="BodyText"/>
              <w:rPr>
                <w:b/>
              </w:rPr>
            </w:pPr>
          </w:p>
        </w:tc>
        <w:tc>
          <w:tcPr>
            <w:tcW w:w="3427" w:type="dxa"/>
            <w:tcBorders>
              <w:top w:val="single" w:sz="4" w:space="0" w:color="auto"/>
            </w:tcBorders>
          </w:tcPr>
          <w:p w:rsidR="00613CAC" w:rsidRPr="00613CAC" w:rsidRDefault="00613CAC" w:rsidP="00613CAC">
            <w:pPr>
              <w:pStyle w:val="BodyText"/>
              <w:rPr>
                <w:b/>
              </w:rPr>
            </w:pPr>
          </w:p>
        </w:tc>
      </w:tr>
      <w:tr w:rsidR="00613CAC" w:rsidRPr="00613CAC" w:rsidTr="00613CAC">
        <w:tc>
          <w:tcPr>
            <w:tcW w:w="3427" w:type="dxa"/>
          </w:tcPr>
          <w:p w:rsidR="00613CAC" w:rsidRPr="00613CAC" w:rsidRDefault="00613CAC" w:rsidP="00613CAC">
            <w:pPr>
              <w:pStyle w:val="BodyText"/>
            </w:pPr>
            <w:r w:rsidRPr="00613CAC">
              <w:t>Loans and Receivables</w:t>
            </w:r>
          </w:p>
        </w:tc>
        <w:tc>
          <w:tcPr>
            <w:tcW w:w="3427" w:type="dxa"/>
          </w:tcPr>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Loans and receivables are</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recognised at the nominal amounts</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due, less any provision for</w:t>
            </w:r>
          </w:p>
          <w:p w:rsidR="00613CAC" w:rsidRPr="00613CAC" w:rsidRDefault="00613CAC" w:rsidP="00613CAC">
            <w:pPr>
              <w:autoSpaceDE w:val="0"/>
              <w:autoSpaceDN w:val="0"/>
              <w:adjustRightInd w:val="0"/>
              <w:rPr>
                <w:rFonts w:ascii="Gill Sans MT" w:hAnsi="Gill Sans MT" w:cs="GillSans-Light"/>
                <w:sz w:val="20"/>
                <w:szCs w:val="20"/>
              </w:rPr>
            </w:pPr>
            <w:proofErr w:type="gramStart"/>
            <w:r w:rsidRPr="00613CAC">
              <w:rPr>
                <w:rFonts w:ascii="Gill Sans MT" w:hAnsi="Gill Sans MT" w:cs="GillSans-Light"/>
                <w:sz w:val="20"/>
                <w:szCs w:val="20"/>
              </w:rPr>
              <w:t>impairment</w:t>
            </w:r>
            <w:proofErr w:type="gramEnd"/>
            <w:r w:rsidRPr="00613CAC">
              <w:rPr>
                <w:rFonts w:ascii="Gill Sans MT" w:hAnsi="Gill Sans MT" w:cs="GillSans-Light"/>
                <w:sz w:val="20"/>
                <w:szCs w:val="20"/>
              </w:rPr>
              <w:t>.</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Collectability of debts is reviewed</w:t>
            </w:r>
            <w:r w:rsidR="00F048BD">
              <w:rPr>
                <w:rFonts w:ascii="Gill Sans MT" w:hAnsi="Gill Sans MT" w:cs="GillSans-Light"/>
                <w:sz w:val="20"/>
                <w:szCs w:val="20"/>
              </w:rPr>
              <w:t xml:space="preserve"> </w:t>
            </w:r>
            <w:r w:rsidRPr="00613CAC">
              <w:rPr>
                <w:rFonts w:ascii="Gill Sans MT" w:hAnsi="Gill Sans MT" w:cs="GillSans-Light"/>
                <w:sz w:val="20"/>
                <w:szCs w:val="20"/>
              </w:rPr>
              <w:t>on a monthly basis. Provisions are</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made when the collection of the</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debt is judged to be less rather than</w:t>
            </w:r>
          </w:p>
          <w:p w:rsidR="00613CAC" w:rsidRPr="00613CAC" w:rsidRDefault="00613CAC" w:rsidP="00613CAC">
            <w:pPr>
              <w:pStyle w:val="BodyText"/>
            </w:pPr>
            <w:proofErr w:type="gramStart"/>
            <w:r w:rsidRPr="00613CAC">
              <w:rPr>
                <w:sz w:val="20"/>
                <w:szCs w:val="20"/>
              </w:rPr>
              <w:t>more</w:t>
            </w:r>
            <w:proofErr w:type="gramEnd"/>
            <w:r w:rsidRPr="00613CAC">
              <w:rPr>
                <w:sz w:val="20"/>
                <w:szCs w:val="20"/>
              </w:rPr>
              <w:t xml:space="preserve"> likely.</w:t>
            </w:r>
          </w:p>
        </w:tc>
        <w:tc>
          <w:tcPr>
            <w:tcW w:w="3427" w:type="dxa"/>
          </w:tcPr>
          <w:p w:rsidR="00613CAC" w:rsidRPr="00613CAC" w:rsidRDefault="00613CAC" w:rsidP="00613CAC">
            <w:pPr>
              <w:pStyle w:val="BodyText"/>
            </w:pPr>
            <w:r w:rsidRPr="00613CAC">
              <w:rPr>
                <w:sz w:val="20"/>
                <w:szCs w:val="20"/>
              </w:rPr>
              <w:t>Receivables credit terms are generally 45 days.</w:t>
            </w:r>
          </w:p>
        </w:tc>
      </w:tr>
      <w:tr w:rsidR="00613CAC" w:rsidRPr="00613CAC" w:rsidTr="00613CAC">
        <w:tc>
          <w:tcPr>
            <w:tcW w:w="3427" w:type="dxa"/>
          </w:tcPr>
          <w:p w:rsidR="00613CAC" w:rsidRPr="00613CAC" w:rsidRDefault="00613CAC" w:rsidP="00613CAC">
            <w:pPr>
              <w:pStyle w:val="BodyText"/>
            </w:pPr>
            <w:r w:rsidRPr="00613CAC">
              <w:t>Other Financial Assets</w:t>
            </w:r>
          </w:p>
        </w:tc>
        <w:tc>
          <w:tcPr>
            <w:tcW w:w="3427" w:type="dxa"/>
          </w:tcPr>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Other financial assets are</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recognised at the nominal amounts</w:t>
            </w:r>
          </w:p>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due, less any provision for</w:t>
            </w:r>
          </w:p>
          <w:p w:rsidR="00613CAC" w:rsidRPr="00613CAC" w:rsidRDefault="00613CAC" w:rsidP="00613CAC">
            <w:pPr>
              <w:pStyle w:val="BodyText"/>
            </w:pPr>
            <w:proofErr w:type="gramStart"/>
            <w:r w:rsidRPr="00613CAC">
              <w:rPr>
                <w:sz w:val="20"/>
                <w:szCs w:val="20"/>
              </w:rPr>
              <w:t>impairment</w:t>
            </w:r>
            <w:proofErr w:type="gramEnd"/>
            <w:r w:rsidRPr="00613CAC">
              <w:rPr>
                <w:sz w:val="20"/>
                <w:szCs w:val="20"/>
              </w:rPr>
              <w:t>.</w:t>
            </w:r>
          </w:p>
        </w:tc>
        <w:tc>
          <w:tcPr>
            <w:tcW w:w="3427" w:type="dxa"/>
          </w:tcPr>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Other financial assets credit terms are generally</w:t>
            </w:r>
          </w:p>
          <w:p w:rsidR="00613CAC" w:rsidRPr="00613CAC" w:rsidRDefault="00613CAC" w:rsidP="00613CAC">
            <w:pPr>
              <w:pStyle w:val="BodyText"/>
            </w:pPr>
            <w:r w:rsidRPr="00613CAC">
              <w:rPr>
                <w:sz w:val="20"/>
                <w:szCs w:val="20"/>
              </w:rPr>
              <w:t>45 days.</w:t>
            </w:r>
          </w:p>
        </w:tc>
      </w:tr>
      <w:tr w:rsidR="00613CAC" w:rsidRPr="00613CAC" w:rsidTr="00613CAC">
        <w:tc>
          <w:tcPr>
            <w:tcW w:w="3427" w:type="dxa"/>
          </w:tcPr>
          <w:p w:rsidR="00613CAC" w:rsidRPr="00613CAC" w:rsidRDefault="00613CAC" w:rsidP="00613CAC">
            <w:pPr>
              <w:pStyle w:val="BodyText"/>
            </w:pPr>
            <w:r w:rsidRPr="00613CAC">
              <w:t>Cash and Deposits</w:t>
            </w:r>
          </w:p>
        </w:tc>
        <w:tc>
          <w:tcPr>
            <w:tcW w:w="3427" w:type="dxa"/>
          </w:tcPr>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Cash and deposits are recognised</w:t>
            </w:r>
          </w:p>
          <w:p w:rsidR="00613CAC" w:rsidRPr="00613CAC" w:rsidRDefault="00613CAC" w:rsidP="00613CAC">
            <w:pPr>
              <w:pStyle w:val="BodyText"/>
            </w:pPr>
            <w:proofErr w:type="gramStart"/>
            <w:r w:rsidRPr="00613CAC">
              <w:rPr>
                <w:sz w:val="20"/>
                <w:szCs w:val="20"/>
              </w:rPr>
              <w:t>at</w:t>
            </w:r>
            <w:proofErr w:type="gramEnd"/>
            <w:r w:rsidRPr="00613CAC">
              <w:rPr>
                <w:sz w:val="20"/>
                <w:szCs w:val="20"/>
              </w:rPr>
              <w:t xml:space="preserve"> face value.</w:t>
            </w:r>
          </w:p>
        </w:tc>
        <w:tc>
          <w:tcPr>
            <w:tcW w:w="3427" w:type="dxa"/>
          </w:tcPr>
          <w:p w:rsidR="00613CAC" w:rsidRPr="00613CAC" w:rsidRDefault="00613CAC" w:rsidP="00613CAC">
            <w:pPr>
              <w:autoSpaceDE w:val="0"/>
              <w:autoSpaceDN w:val="0"/>
              <w:adjustRightInd w:val="0"/>
              <w:rPr>
                <w:rFonts w:ascii="Gill Sans MT" w:hAnsi="Gill Sans MT" w:cs="GillSans-Light"/>
                <w:sz w:val="20"/>
                <w:szCs w:val="20"/>
              </w:rPr>
            </w:pPr>
            <w:r w:rsidRPr="00613CAC">
              <w:rPr>
                <w:rFonts w:ascii="Gill Sans MT" w:hAnsi="Gill Sans MT" w:cs="GillSans-Light"/>
                <w:sz w:val="20"/>
                <w:szCs w:val="20"/>
              </w:rPr>
              <w:t>Cash means notes, coins and any deposits held at</w:t>
            </w:r>
          </w:p>
          <w:p w:rsidR="00613CAC" w:rsidRPr="00613CAC" w:rsidRDefault="00613CAC" w:rsidP="00613CAC">
            <w:pPr>
              <w:pStyle w:val="BodyText"/>
            </w:pPr>
            <w:proofErr w:type="gramStart"/>
            <w:r w:rsidRPr="00613CAC">
              <w:rPr>
                <w:sz w:val="20"/>
                <w:szCs w:val="20"/>
              </w:rPr>
              <w:t>call</w:t>
            </w:r>
            <w:proofErr w:type="gramEnd"/>
            <w:r w:rsidRPr="00613CAC">
              <w:rPr>
                <w:sz w:val="20"/>
                <w:szCs w:val="20"/>
              </w:rPr>
              <w:t xml:space="preserve"> with a bank or financial institution.</w:t>
            </w:r>
          </w:p>
        </w:tc>
      </w:tr>
    </w:tbl>
    <w:p w:rsidR="00613CAC" w:rsidRDefault="00613CAC" w:rsidP="00613CAC">
      <w:pPr>
        <w:pStyle w:val="BodyText"/>
      </w:pPr>
    </w:p>
    <w:p w:rsidR="00613CAC" w:rsidRDefault="00613CAC" w:rsidP="00613CAC">
      <w:pPr>
        <w:pStyle w:val="BodyText"/>
      </w:pPr>
      <w:r>
        <w:t>The THS has made no changes to its credit risk policy during 2015-16. The THS does not hold any security instrument for its cash and deposits, other financial assets and receivables.</w:t>
      </w:r>
    </w:p>
    <w:p w:rsidR="00613CAC" w:rsidRDefault="00613CAC" w:rsidP="00613CAC">
      <w:pPr>
        <w:pStyle w:val="BodyText"/>
      </w:pPr>
      <w:r>
        <w:t>The carrying amount of financial assets recorded in the Financial Statements, net of any allowances for losses, represents the THS’ maximum exposure to credit risk without taking into account any collateral or other security.</w:t>
      </w:r>
    </w:p>
    <w:p w:rsidR="00613CAC" w:rsidRDefault="00613CAC" w:rsidP="00613CAC">
      <w:pPr>
        <w:pStyle w:val="BodyText"/>
      </w:pPr>
      <w:r>
        <w:t>The following tables analyse financial assets that are past due but not impaired.</w:t>
      </w:r>
    </w:p>
    <w:tbl>
      <w:tblPr>
        <w:tblStyle w:val="TableGrid"/>
        <w:tblW w:w="0" w:type="auto"/>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Analysis of financial assets that are past due but not impaired."/>
      </w:tblPr>
      <w:tblGrid>
        <w:gridCol w:w="2056"/>
        <w:gridCol w:w="2056"/>
        <w:gridCol w:w="2056"/>
        <w:gridCol w:w="2056"/>
        <w:gridCol w:w="2057"/>
      </w:tblGrid>
      <w:tr w:rsidR="00613CAC" w:rsidRPr="003C3EDD" w:rsidTr="003C3EDD">
        <w:trPr>
          <w:tblHeader/>
        </w:trPr>
        <w:tc>
          <w:tcPr>
            <w:tcW w:w="2056" w:type="dxa"/>
            <w:tcBorders>
              <w:top w:val="single" w:sz="4" w:space="0" w:color="auto"/>
              <w:bottom w:val="single" w:sz="4" w:space="0" w:color="auto"/>
            </w:tcBorders>
          </w:tcPr>
          <w:p w:rsidR="00613CAC" w:rsidRPr="003C3EDD" w:rsidRDefault="00613CAC" w:rsidP="00613CAC">
            <w:pPr>
              <w:pStyle w:val="BodyText"/>
              <w:rPr>
                <w:b/>
              </w:rPr>
            </w:pPr>
            <w:r w:rsidRPr="003C3EDD">
              <w:rPr>
                <w:b/>
              </w:rPr>
              <w:t>Analysis of financial assets at 30 June 2016 but not impaired</w:t>
            </w:r>
          </w:p>
        </w:tc>
        <w:tc>
          <w:tcPr>
            <w:tcW w:w="2056" w:type="dxa"/>
            <w:tcBorders>
              <w:top w:val="single" w:sz="4" w:space="0" w:color="auto"/>
              <w:bottom w:val="single" w:sz="4" w:space="0" w:color="auto"/>
            </w:tcBorders>
          </w:tcPr>
          <w:p w:rsidR="00613CAC" w:rsidRPr="003C3EDD" w:rsidRDefault="00613CAC" w:rsidP="003C3EDD">
            <w:pPr>
              <w:pStyle w:val="BodyText"/>
              <w:ind w:right="210"/>
              <w:jc w:val="right"/>
              <w:rPr>
                <w:b/>
              </w:rPr>
            </w:pPr>
            <w:r w:rsidRPr="003C3EDD">
              <w:rPr>
                <w:b/>
              </w:rPr>
              <w:t>Not past due $’000</w:t>
            </w:r>
          </w:p>
        </w:tc>
        <w:tc>
          <w:tcPr>
            <w:tcW w:w="2056" w:type="dxa"/>
            <w:tcBorders>
              <w:top w:val="single" w:sz="4" w:space="0" w:color="auto"/>
              <w:bottom w:val="single" w:sz="4" w:space="0" w:color="auto"/>
            </w:tcBorders>
          </w:tcPr>
          <w:p w:rsidR="00613CAC" w:rsidRPr="003C3EDD" w:rsidRDefault="00613CAC" w:rsidP="003C3EDD">
            <w:pPr>
              <w:pStyle w:val="BodyText"/>
              <w:ind w:right="210"/>
              <w:jc w:val="right"/>
              <w:rPr>
                <w:b/>
              </w:rPr>
            </w:pPr>
            <w:r w:rsidRPr="003C3EDD">
              <w:rPr>
                <w:b/>
              </w:rPr>
              <w:t>Past due</w:t>
            </w:r>
            <w:r w:rsidRPr="003C3EDD">
              <w:rPr>
                <w:b/>
              </w:rPr>
              <w:br/>
              <w:t>30-120 days</w:t>
            </w:r>
            <w:r w:rsidRPr="003C3EDD">
              <w:rPr>
                <w:b/>
              </w:rPr>
              <w:br/>
              <w:t>$’000</w:t>
            </w:r>
          </w:p>
        </w:tc>
        <w:tc>
          <w:tcPr>
            <w:tcW w:w="2056" w:type="dxa"/>
            <w:tcBorders>
              <w:top w:val="single" w:sz="4" w:space="0" w:color="auto"/>
              <w:bottom w:val="single" w:sz="4" w:space="0" w:color="auto"/>
            </w:tcBorders>
          </w:tcPr>
          <w:p w:rsidR="00613CAC" w:rsidRPr="003C3EDD" w:rsidRDefault="00613CAC" w:rsidP="003C3EDD">
            <w:pPr>
              <w:pStyle w:val="BodyText"/>
              <w:ind w:right="210"/>
              <w:jc w:val="right"/>
              <w:rPr>
                <w:b/>
              </w:rPr>
            </w:pPr>
            <w:r w:rsidRPr="003C3EDD">
              <w:rPr>
                <w:b/>
              </w:rPr>
              <w:t>Past due</w:t>
            </w:r>
            <w:r w:rsidRPr="003C3EDD">
              <w:rPr>
                <w:b/>
              </w:rPr>
              <w:br/>
              <w:t>&gt;120 days</w:t>
            </w:r>
            <w:r w:rsidRPr="003C3EDD">
              <w:rPr>
                <w:b/>
              </w:rPr>
              <w:br/>
              <w:t>$’000</w:t>
            </w:r>
          </w:p>
        </w:tc>
        <w:tc>
          <w:tcPr>
            <w:tcW w:w="2057" w:type="dxa"/>
            <w:tcBorders>
              <w:top w:val="single" w:sz="4" w:space="0" w:color="auto"/>
              <w:bottom w:val="single" w:sz="4" w:space="0" w:color="auto"/>
            </w:tcBorders>
          </w:tcPr>
          <w:p w:rsidR="00613CAC" w:rsidRPr="003C3EDD" w:rsidRDefault="00613CAC" w:rsidP="003C3EDD">
            <w:pPr>
              <w:pStyle w:val="BodyText"/>
              <w:ind w:right="210"/>
              <w:jc w:val="right"/>
              <w:rPr>
                <w:b/>
              </w:rPr>
            </w:pPr>
            <w:r w:rsidRPr="003C3EDD">
              <w:rPr>
                <w:b/>
              </w:rPr>
              <w:t>Total</w:t>
            </w:r>
            <w:r w:rsidRPr="003C3EDD">
              <w:rPr>
                <w:b/>
              </w:rPr>
              <w:br/>
              <w:t>$’000</w:t>
            </w:r>
          </w:p>
        </w:tc>
      </w:tr>
      <w:tr w:rsidR="00613CAC" w:rsidRPr="003C3EDD" w:rsidTr="003C3EDD">
        <w:tc>
          <w:tcPr>
            <w:tcW w:w="2056" w:type="dxa"/>
            <w:tcBorders>
              <w:top w:val="single" w:sz="4" w:space="0" w:color="auto"/>
            </w:tcBorders>
          </w:tcPr>
          <w:p w:rsidR="00613CAC" w:rsidRPr="003C3EDD" w:rsidRDefault="003C3EDD" w:rsidP="003C3EDD">
            <w:pPr>
              <w:pStyle w:val="BodyText"/>
              <w:jc w:val="both"/>
            </w:pPr>
            <w:r w:rsidRPr="003C3EDD">
              <w:rPr>
                <w:sz w:val="20"/>
                <w:szCs w:val="20"/>
              </w:rPr>
              <w:t>Receivables</w:t>
            </w:r>
          </w:p>
        </w:tc>
        <w:tc>
          <w:tcPr>
            <w:tcW w:w="2056" w:type="dxa"/>
            <w:tcBorders>
              <w:top w:val="single" w:sz="4" w:space="0" w:color="auto"/>
            </w:tcBorders>
          </w:tcPr>
          <w:p w:rsidR="00613CAC" w:rsidRPr="003C3EDD" w:rsidRDefault="003C3EDD" w:rsidP="003C3EDD">
            <w:pPr>
              <w:pStyle w:val="BodyText"/>
              <w:ind w:right="210"/>
              <w:jc w:val="right"/>
            </w:pPr>
            <w:r w:rsidRPr="003C3EDD">
              <w:rPr>
                <w:sz w:val="20"/>
                <w:szCs w:val="20"/>
              </w:rPr>
              <w:t>10 332</w:t>
            </w:r>
          </w:p>
        </w:tc>
        <w:tc>
          <w:tcPr>
            <w:tcW w:w="2056" w:type="dxa"/>
            <w:tcBorders>
              <w:top w:val="single" w:sz="4" w:space="0" w:color="auto"/>
            </w:tcBorders>
          </w:tcPr>
          <w:p w:rsidR="00613CAC" w:rsidRPr="003C3EDD" w:rsidRDefault="003C3EDD" w:rsidP="003C3EDD">
            <w:pPr>
              <w:pStyle w:val="BodyText"/>
              <w:ind w:right="210"/>
              <w:jc w:val="right"/>
            </w:pPr>
            <w:r w:rsidRPr="003C3EDD">
              <w:rPr>
                <w:sz w:val="20"/>
                <w:szCs w:val="20"/>
              </w:rPr>
              <w:t>7 557</w:t>
            </w:r>
          </w:p>
        </w:tc>
        <w:tc>
          <w:tcPr>
            <w:tcW w:w="2056" w:type="dxa"/>
            <w:tcBorders>
              <w:top w:val="single" w:sz="4" w:space="0" w:color="auto"/>
            </w:tcBorders>
          </w:tcPr>
          <w:p w:rsidR="00613CAC" w:rsidRPr="003C3EDD" w:rsidRDefault="003C3EDD" w:rsidP="003C3EDD">
            <w:pPr>
              <w:pStyle w:val="BodyText"/>
              <w:ind w:right="210"/>
              <w:jc w:val="right"/>
            </w:pPr>
            <w:r w:rsidRPr="003C3EDD">
              <w:rPr>
                <w:sz w:val="20"/>
                <w:szCs w:val="20"/>
              </w:rPr>
              <w:t>3 391</w:t>
            </w:r>
          </w:p>
        </w:tc>
        <w:tc>
          <w:tcPr>
            <w:tcW w:w="2057" w:type="dxa"/>
            <w:tcBorders>
              <w:top w:val="single" w:sz="4" w:space="0" w:color="auto"/>
            </w:tcBorders>
          </w:tcPr>
          <w:p w:rsidR="00613CAC" w:rsidRPr="003C3EDD" w:rsidRDefault="003C3EDD" w:rsidP="003C3EDD">
            <w:pPr>
              <w:pStyle w:val="BodyText"/>
              <w:ind w:right="210"/>
              <w:jc w:val="right"/>
            </w:pPr>
            <w:r w:rsidRPr="003C3EDD">
              <w:rPr>
                <w:rFonts w:cs="GillSans-SemiBold"/>
                <w:b/>
                <w:bCs/>
                <w:sz w:val="20"/>
                <w:szCs w:val="20"/>
              </w:rPr>
              <w:t>21 280</w:t>
            </w:r>
          </w:p>
        </w:tc>
      </w:tr>
      <w:tr w:rsidR="00613CAC" w:rsidRPr="003C3EDD" w:rsidTr="003C3EDD">
        <w:tc>
          <w:tcPr>
            <w:tcW w:w="2056" w:type="dxa"/>
            <w:tcBorders>
              <w:bottom w:val="single" w:sz="4" w:space="0" w:color="auto"/>
            </w:tcBorders>
          </w:tcPr>
          <w:p w:rsidR="00613CAC" w:rsidRPr="003C3EDD" w:rsidRDefault="003C3EDD" w:rsidP="00613CAC">
            <w:pPr>
              <w:pStyle w:val="BodyText"/>
            </w:pPr>
            <w:r w:rsidRPr="003C3EDD">
              <w:rPr>
                <w:sz w:val="20"/>
                <w:szCs w:val="20"/>
              </w:rPr>
              <w:t>Other financial assets</w:t>
            </w:r>
          </w:p>
        </w:tc>
        <w:tc>
          <w:tcPr>
            <w:tcW w:w="2056" w:type="dxa"/>
            <w:tcBorders>
              <w:bottom w:val="single" w:sz="4" w:space="0" w:color="auto"/>
            </w:tcBorders>
          </w:tcPr>
          <w:p w:rsidR="00613CAC" w:rsidRPr="003C3EDD" w:rsidRDefault="003C3EDD" w:rsidP="003C3EDD">
            <w:pPr>
              <w:pStyle w:val="BodyText"/>
              <w:ind w:right="210"/>
              <w:jc w:val="right"/>
            </w:pPr>
            <w:r w:rsidRPr="003C3EDD">
              <w:rPr>
                <w:sz w:val="20"/>
                <w:szCs w:val="20"/>
              </w:rPr>
              <w:t>15 873</w:t>
            </w:r>
          </w:p>
        </w:tc>
        <w:tc>
          <w:tcPr>
            <w:tcW w:w="2056" w:type="dxa"/>
            <w:tcBorders>
              <w:bottom w:val="single" w:sz="4" w:space="0" w:color="auto"/>
            </w:tcBorders>
          </w:tcPr>
          <w:p w:rsidR="00613CAC" w:rsidRPr="003C3EDD" w:rsidRDefault="003C3EDD" w:rsidP="003C3EDD">
            <w:pPr>
              <w:pStyle w:val="BodyText"/>
              <w:ind w:right="210"/>
              <w:jc w:val="right"/>
            </w:pPr>
            <w:r w:rsidRPr="003C3EDD">
              <w:t>0</w:t>
            </w:r>
          </w:p>
        </w:tc>
        <w:tc>
          <w:tcPr>
            <w:tcW w:w="2056" w:type="dxa"/>
            <w:tcBorders>
              <w:bottom w:val="single" w:sz="4" w:space="0" w:color="auto"/>
            </w:tcBorders>
          </w:tcPr>
          <w:p w:rsidR="00613CAC" w:rsidRPr="003C3EDD" w:rsidRDefault="003C3EDD" w:rsidP="003C3EDD">
            <w:pPr>
              <w:pStyle w:val="BodyText"/>
              <w:ind w:right="210"/>
              <w:jc w:val="right"/>
            </w:pPr>
            <w:r w:rsidRPr="003C3EDD">
              <w:t>0</w:t>
            </w:r>
          </w:p>
        </w:tc>
        <w:tc>
          <w:tcPr>
            <w:tcW w:w="2057" w:type="dxa"/>
            <w:tcBorders>
              <w:bottom w:val="single" w:sz="4" w:space="0" w:color="auto"/>
            </w:tcBorders>
          </w:tcPr>
          <w:p w:rsidR="00613CAC" w:rsidRPr="003C3EDD" w:rsidRDefault="003C3EDD" w:rsidP="003C3EDD">
            <w:pPr>
              <w:pStyle w:val="BodyText"/>
              <w:ind w:right="210"/>
              <w:jc w:val="right"/>
            </w:pPr>
            <w:r w:rsidRPr="003C3EDD">
              <w:rPr>
                <w:rFonts w:cs="GillSans-SemiBold"/>
                <w:b/>
                <w:bCs/>
                <w:sz w:val="20"/>
                <w:szCs w:val="20"/>
              </w:rPr>
              <w:t>15 873</w:t>
            </w:r>
          </w:p>
        </w:tc>
      </w:tr>
      <w:tr w:rsidR="00613CAC" w:rsidRPr="003C3EDD" w:rsidTr="003C3EDD">
        <w:tc>
          <w:tcPr>
            <w:tcW w:w="2056" w:type="dxa"/>
            <w:tcBorders>
              <w:top w:val="single" w:sz="4" w:space="0" w:color="auto"/>
              <w:bottom w:val="single" w:sz="4" w:space="0" w:color="auto"/>
            </w:tcBorders>
          </w:tcPr>
          <w:p w:rsidR="00613CAC" w:rsidRPr="003C3EDD" w:rsidRDefault="003C3EDD" w:rsidP="00613CAC">
            <w:pPr>
              <w:pStyle w:val="BodyText"/>
            </w:pPr>
            <w:r w:rsidRPr="003C3EDD">
              <w:rPr>
                <w:rFonts w:cs="GillSans-SemiBold"/>
                <w:b/>
                <w:bCs/>
                <w:sz w:val="20"/>
                <w:szCs w:val="20"/>
              </w:rPr>
              <w:t>Total</w:t>
            </w:r>
          </w:p>
        </w:tc>
        <w:tc>
          <w:tcPr>
            <w:tcW w:w="2056" w:type="dxa"/>
            <w:tcBorders>
              <w:top w:val="single" w:sz="4" w:space="0" w:color="auto"/>
              <w:bottom w:val="single" w:sz="4" w:space="0" w:color="auto"/>
            </w:tcBorders>
          </w:tcPr>
          <w:p w:rsidR="00613CAC" w:rsidRPr="003C3EDD" w:rsidRDefault="003C3EDD" w:rsidP="003C3EDD">
            <w:pPr>
              <w:pStyle w:val="BodyText"/>
              <w:ind w:right="210"/>
              <w:jc w:val="right"/>
            </w:pPr>
            <w:r w:rsidRPr="003C3EDD">
              <w:rPr>
                <w:rFonts w:cs="GillSans-SemiBold"/>
                <w:b/>
                <w:bCs/>
                <w:sz w:val="20"/>
                <w:szCs w:val="20"/>
              </w:rPr>
              <w:t>26 205</w:t>
            </w:r>
          </w:p>
        </w:tc>
        <w:tc>
          <w:tcPr>
            <w:tcW w:w="2056" w:type="dxa"/>
            <w:tcBorders>
              <w:top w:val="single" w:sz="4" w:space="0" w:color="auto"/>
              <w:bottom w:val="single" w:sz="4" w:space="0" w:color="auto"/>
            </w:tcBorders>
          </w:tcPr>
          <w:p w:rsidR="00613CAC" w:rsidRPr="003C3EDD" w:rsidRDefault="003C3EDD" w:rsidP="003C3EDD">
            <w:pPr>
              <w:pStyle w:val="BodyText"/>
              <w:ind w:right="210"/>
              <w:jc w:val="right"/>
            </w:pPr>
            <w:r w:rsidRPr="003C3EDD">
              <w:rPr>
                <w:rFonts w:cs="GillSans-SemiBold"/>
                <w:b/>
                <w:bCs/>
                <w:sz w:val="20"/>
                <w:szCs w:val="20"/>
              </w:rPr>
              <w:t>7 557</w:t>
            </w:r>
          </w:p>
        </w:tc>
        <w:tc>
          <w:tcPr>
            <w:tcW w:w="2056" w:type="dxa"/>
            <w:tcBorders>
              <w:top w:val="single" w:sz="4" w:space="0" w:color="auto"/>
              <w:bottom w:val="single" w:sz="4" w:space="0" w:color="auto"/>
            </w:tcBorders>
          </w:tcPr>
          <w:p w:rsidR="00613CAC" w:rsidRPr="003C3EDD" w:rsidRDefault="003C3EDD" w:rsidP="003C3EDD">
            <w:pPr>
              <w:pStyle w:val="BodyText"/>
              <w:ind w:right="210"/>
              <w:jc w:val="right"/>
            </w:pPr>
            <w:r w:rsidRPr="003C3EDD">
              <w:rPr>
                <w:rFonts w:cs="GillSans-SemiBold"/>
                <w:b/>
                <w:bCs/>
                <w:sz w:val="20"/>
                <w:szCs w:val="20"/>
              </w:rPr>
              <w:t>3 391</w:t>
            </w:r>
          </w:p>
        </w:tc>
        <w:tc>
          <w:tcPr>
            <w:tcW w:w="2057" w:type="dxa"/>
            <w:tcBorders>
              <w:top w:val="single" w:sz="4" w:space="0" w:color="auto"/>
              <w:bottom w:val="single" w:sz="4" w:space="0" w:color="auto"/>
            </w:tcBorders>
          </w:tcPr>
          <w:p w:rsidR="00613CAC" w:rsidRPr="003C3EDD" w:rsidRDefault="003C3EDD" w:rsidP="003C3EDD">
            <w:pPr>
              <w:pStyle w:val="BodyText"/>
              <w:ind w:right="210"/>
              <w:jc w:val="right"/>
            </w:pPr>
            <w:r w:rsidRPr="003C3EDD">
              <w:rPr>
                <w:rFonts w:cs="GillSans-SemiBold"/>
                <w:b/>
                <w:bCs/>
                <w:sz w:val="20"/>
                <w:szCs w:val="20"/>
              </w:rPr>
              <w:t>37 153</w:t>
            </w:r>
          </w:p>
        </w:tc>
      </w:tr>
    </w:tbl>
    <w:p w:rsidR="00613CAC" w:rsidRDefault="00613CAC" w:rsidP="00613CAC">
      <w:pPr>
        <w:pStyle w:val="BodyText"/>
      </w:pPr>
    </w:p>
    <w:p w:rsidR="003C3EDD" w:rsidRDefault="003C3EDD">
      <w:pPr>
        <w:rPr>
          <w:rFonts w:ascii="Gill Sans MT" w:eastAsia="GillSans-Light" w:hAnsi="Gill Sans MT" w:cs="GillSans-Light"/>
          <w:b/>
          <w:lang w:val="en-US"/>
        </w:rPr>
      </w:pPr>
      <w:r>
        <w:rPr>
          <w:b/>
        </w:rPr>
        <w:br w:type="page"/>
      </w:r>
    </w:p>
    <w:p w:rsidR="00613CAC" w:rsidRDefault="003C3EDD" w:rsidP="00613CAC">
      <w:pPr>
        <w:pStyle w:val="BodyText"/>
        <w:rPr>
          <w:b/>
        </w:rPr>
      </w:pPr>
      <w:r w:rsidRPr="003C3EDD">
        <w:rPr>
          <w:b/>
        </w:rPr>
        <w:lastRenderedPageBreak/>
        <w:t>(c)</w:t>
      </w:r>
      <w:r w:rsidRPr="003C3EDD">
        <w:rPr>
          <w:b/>
        </w:rPr>
        <w:tab/>
        <w:t>Liquidity</w:t>
      </w:r>
    </w:p>
    <w:p w:rsidR="003C3EDD" w:rsidRDefault="003C3EDD" w:rsidP="003C3EDD">
      <w:pPr>
        <w:pStyle w:val="BodyText"/>
      </w:pPr>
      <w:r>
        <w:t>Liquidity risk is the risk that the THS will not be able to meet its financial obligations as they fall due.</w:t>
      </w:r>
    </w:p>
    <w:p w:rsidR="003C3EDD" w:rsidRDefault="003C3EDD" w:rsidP="003C3EDD">
      <w:pPr>
        <w:pStyle w:val="BodyText"/>
      </w:pPr>
      <w:r>
        <w:t>The THS’ approach to managing liquidity is to ensure that it will always have sufficient liquidity to meet its liabilities when they fall due.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Liquidity"/>
      </w:tblPr>
      <w:tblGrid>
        <w:gridCol w:w="2802"/>
        <w:gridCol w:w="4052"/>
        <w:gridCol w:w="3427"/>
      </w:tblGrid>
      <w:tr w:rsidR="003C3EDD" w:rsidRPr="00F048BD" w:rsidTr="00F048BD">
        <w:trPr>
          <w:tblHeader/>
        </w:trPr>
        <w:tc>
          <w:tcPr>
            <w:tcW w:w="2802" w:type="dxa"/>
            <w:tcBorders>
              <w:top w:val="single" w:sz="4" w:space="0" w:color="auto"/>
              <w:bottom w:val="single" w:sz="4" w:space="0" w:color="auto"/>
            </w:tcBorders>
          </w:tcPr>
          <w:p w:rsidR="003C3EDD" w:rsidRPr="00F048BD" w:rsidRDefault="003C3EDD" w:rsidP="003C3EDD">
            <w:pPr>
              <w:pStyle w:val="BodyText"/>
              <w:rPr>
                <w:b/>
              </w:rPr>
            </w:pPr>
            <w:r w:rsidRPr="00F048BD">
              <w:rPr>
                <w:b/>
              </w:rPr>
              <w:t>Financial Instrument</w:t>
            </w:r>
          </w:p>
        </w:tc>
        <w:tc>
          <w:tcPr>
            <w:tcW w:w="4052" w:type="dxa"/>
            <w:tcBorders>
              <w:top w:val="single" w:sz="4" w:space="0" w:color="auto"/>
              <w:bottom w:val="single" w:sz="4" w:space="0" w:color="auto"/>
            </w:tcBorders>
          </w:tcPr>
          <w:p w:rsidR="003C3EDD" w:rsidRPr="00F048BD" w:rsidRDefault="003C3EDD" w:rsidP="003C3EDD">
            <w:pPr>
              <w:pStyle w:val="BodyText"/>
              <w:rPr>
                <w:b/>
              </w:rPr>
            </w:pPr>
            <w:r w:rsidRPr="00F048BD">
              <w:rPr>
                <w:b/>
              </w:rPr>
              <w:t>Accounting and strategic policies (including recognition criteria and measurement basis)</w:t>
            </w:r>
          </w:p>
        </w:tc>
        <w:tc>
          <w:tcPr>
            <w:tcW w:w="3427" w:type="dxa"/>
            <w:tcBorders>
              <w:top w:val="single" w:sz="4" w:space="0" w:color="auto"/>
              <w:bottom w:val="single" w:sz="4" w:space="0" w:color="auto"/>
            </w:tcBorders>
          </w:tcPr>
          <w:p w:rsidR="003C3EDD" w:rsidRPr="00F048BD" w:rsidRDefault="003C3EDD" w:rsidP="003C3EDD">
            <w:pPr>
              <w:pStyle w:val="BodyText"/>
              <w:rPr>
                <w:b/>
              </w:rPr>
            </w:pPr>
            <w:r w:rsidRPr="00F048BD">
              <w:rPr>
                <w:b/>
              </w:rPr>
              <w:t>Nature of underlying instrument (including significant terms and conditions affecting the amount, timing and certainty of cash flows)</w:t>
            </w:r>
          </w:p>
        </w:tc>
      </w:tr>
      <w:tr w:rsidR="003C3EDD" w:rsidRPr="00F048BD" w:rsidTr="00F048BD">
        <w:tc>
          <w:tcPr>
            <w:tcW w:w="2802" w:type="dxa"/>
            <w:tcBorders>
              <w:top w:val="single" w:sz="4" w:space="0" w:color="auto"/>
            </w:tcBorders>
          </w:tcPr>
          <w:p w:rsidR="003C3EDD" w:rsidRPr="00F048BD" w:rsidRDefault="003C3EDD" w:rsidP="003C3EDD">
            <w:pPr>
              <w:pStyle w:val="BodyText"/>
              <w:rPr>
                <w:b/>
              </w:rPr>
            </w:pPr>
            <w:r w:rsidRPr="00F048BD">
              <w:rPr>
                <w:b/>
              </w:rPr>
              <w:t>Financial Liabilities</w:t>
            </w:r>
          </w:p>
        </w:tc>
        <w:tc>
          <w:tcPr>
            <w:tcW w:w="4052" w:type="dxa"/>
            <w:tcBorders>
              <w:top w:val="single" w:sz="4" w:space="0" w:color="auto"/>
            </w:tcBorders>
          </w:tcPr>
          <w:p w:rsidR="003C3EDD" w:rsidRPr="00F048BD" w:rsidRDefault="003C3EDD" w:rsidP="003C3EDD">
            <w:pPr>
              <w:pStyle w:val="BodyText"/>
            </w:pPr>
          </w:p>
        </w:tc>
        <w:tc>
          <w:tcPr>
            <w:tcW w:w="3427" w:type="dxa"/>
            <w:tcBorders>
              <w:top w:val="single" w:sz="4" w:space="0" w:color="auto"/>
            </w:tcBorders>
          </w:tcPr>
          <w:p w:rsidR="003C3EDD" w:rsidRPr="00F048BD" w:rsidRDefault="003C3EDD" w:rsidP="003C3EDD">
            <w:pPr>
              <w:pStyle w:val="BodyText"/>
            </w:pPr>
          </w:p>
        </w:tc>
      </w:tr>
      <w:tr w:rsidR="003C3EDD" w:rsidRPr="00F048BD" w:rsidTr="00F048BD">
        <w:tc>
          <w:tcPr>
            <w:tcW w:w="2802" w:type="dxa"/>
          </w:tcPr>
          <w:p w:rsidR="003C3EDD" w:rsidRPr="00F048BD" w:rsidRDefault="003C3EDD" w:rsidP="003C3EDD">
            <w:pPr>
              <w:pStyle w:val="BodyText"/>
            </w:pPr>
            <w:r w:rsidRPr="00F048BD">
              <w:t>Payables</w:t>
            </w:r>
          </w:p>
        </w:tc>
        <w:tc>
          <w:tcPr>
            <w:tcW w:w="4052" w:type="dxa"/>
          </w:tcPr>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Payables, including goods received and services</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incurred but not yet invoiced, are recognised</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at amortised cost, which due to the short</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settlement period equates to face value, when</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the THS becomes obliged to make future</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payments as a result of a purchase of assets or</w:t>
            </w:r>
          </w:p>
          <w:p w:rsidR="003C3EDD" w:rsidRPr="00F048BD" w:rsidRDefault="00F048BD" w:rsidP="00F048BD">
            <w:pPr>
              <w:pStyle w:val="BodyText"/>
            </w:pPr>
            <w:r w:rsidRPr="00F048BD">
              <w:rPr>
                <w:sz w:val="20"/>
                <w:szCs w:val="20"/>
              </w:rPr>
              <w:t>services</w:t>
            </w:r>
          </w:p>
        </w:tc>
        <w:tc>
          <w:tcPr>
            <w:tcW w:w="3427" w:type="dxa"/>
          </w:tcPr>
          <w:p w:rsidR="003C3EDD" w:rsidRPr="00F048BD" w:rsidRDefault="00F048BD" w:rsidP="00F048BD">
            <w:pPr>
              <w:autoSpaceDE w:val="0"/>
              <w:autoSpaceDN w:val="0"/>
              <w:adjustRightInd w:val="0"/>
              <w:rPr>
                <w:rFonts w:ascii="Gill Sans MT" w:hAnsi="Gill Sans MT"/>
              </w:rPr>
            </w:pPr>
            <w:r w:rsidRPr="00F048BD">
              <w:rPr>
                <w:rFonts w:ascii="Gill Sans MT" w:hAnsi="Gill Sans MT" w:cs="GillSans-Light"/>
                <w:sz w:val="20"/>
                <w:szCs w:val="20"/>
              </w:rPr>
              <w:t>Settlement is usually made within</w:t>
            </w:r>
            <w:r>
              <w:rPr>
                <w:rFonts w:ascii="Gill Sans MT" w:hAnsi="Gill Sans MT" w:cs="GillSans-Light"/>
                <w:sz w:val="20"/>
                <w:szCs w:val="20"/>
              </w:rPr>
              <w:t xml:space="preserve"> </w:t>
            </w:r>
            <w:r w:rsidRPr="00F048BD">
              <w:rPr>
                <w:rFonts w:ascii="Gill Sans MT" w:hAnsi="Gill Sans MT" w:cs="GillSans-Light"/>
                <w:sz w:val="20"/>
                <w:szCs w:val="20"/>
              </w:rPr>
              <w:t>30 days.</w:t>
            </w:r>
          </w:p>
        </w:tc>
      </w:tr>
      <w:tr w:rsidR="003C3EDD" w:rsidRPr="00F048BD" w:rsidTr="00F048BD">
        <w:tc>
          <w:tcPr>
            <w:tcW w:w="2802" w:type="dxa"/>
          </w:tcPr>
          <w:p w:rsidR="003C3EDD" w:rsidRPr="00F048BD" w:rsidRDefault="003C3EDD" w:rsidP="003C3EDD">
            <w:pPr>
              <w:pStyle w:val="BodyText"/>
            </w:pPr>
            <w:r w:rsidRPr="00F048BD">
              <w:t>Interest bearing liabilities</w:t>
            </w:r>
          </w:p>
        </w:tc>
        <w:tc>
          <w:tcPr>
            <w:tcW w:w="4052" w:type="dxa"/>
          </w:tcPr>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Loans are initially measured at fair value net</w:t>
            </w:r>
          </w:p>
          <w:p w:rsidR="00F048BD" w:rsidRPr="00F048BD" w:rsidRDefault="00F048BD" w:rsidP="00F048BD">
            <w:pPr>
              <w:autoSpaceDE w:val="0"/>
              <w:autoSpaceDN w:val="0"/>
              <w:adjustRightInd w:val="0"/>
              <w:rPr>
                <w:rFonts w:ascii="Gill Sans MT" w:hAnsi="Gill Sans MT" w:cs="GillSans-Light"/>
                <w:sz w:val="20"/>
                <w:szCs w:val="20"/>
              </w:rPr>
            </w:pPr>
            <w:proofErr w:type="gramStart"/>
            <w:r w:rsidRPr="00F048BD">
              <w:rPr>
                <w:rFonts w:ascii="Gill Sans MT" w:hAnsi="Gill Sans MT" w:cs="GillSans-Light"/>
                <w:sz w:val="20"/>
                <w:szCs w:val="20"/>
              </w:rPr>
              <w:t>of</w:t>
            </w:r>
            <w:proofErr w:type="gramEnd"/>
            <w:r w:rsidRPr="00F048BD">
              <w:rPr>
                <w:rFonts w:ascii="Gill Sans MT" w:hAnsi="Gill Sans MT" w:cs="GillSans-Light"/>
                <w:sz w:val="20"/>
                <w:szCs w:val="20"/>
              </w:rPr>
              <w:t xml:space="preserve"> transaction costs. Loans are subsequently</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measured at amortised cost using the effective</w:t>
            </w:r>
          </w:p>
          <w:p w:rsidR="003C3EDD" w:rsidRPr="00F048BD" w:rsidRDefault="00F048BD" w:rsidP="00F048BD">
            <w:pPr>
              <w:autoSpaceDE w:val="0"/>
              <w:autoSpaceDN w:val="0"/>
              <w:adjustRightInd w:val="0"/>
              <w:rPr>
                <w:rFonts w:ascii="Gill Sans MT" w:hAnsi="Gill Sans MT"/>
              </w:rPr>
            </w:pPr>
            <w:proofErr w:type="gramStart"/>
            <w:r w:rsidRPr="00F048BD">
              <w:rPr>
                <w:rFonts w:ascii="Gill Sans MT" w:hAnsi="Gill Sans MT" w:cs="GillSans-Light"/>
                <w:sz w:val="20"/>
                <w:szCs w:val="20"/>
              </w:rPr>
              <w:t>interest</w:t>
            </w:r>
            <w:proofErr w:type="gramEnd"/>
            <w:r w:rsidRPr="00F048BD">
              <w:rPr>
                <w:rFonts w:ascii="Gill Sans MT" w:hAnsi="Gill Sans MT" w:cs="GillSans-Light"/>
                <w:sz w:val="20"/>
                <w:szCs w:val="20"/>
              </w:rPr>
              <w:t xml:space="preserve"> rate method, with interest expense</w:t>
            </w:r>
            <w:r>
              <w:rPr>
                <w:rFonts w:ascii="Gill Sans MT" w:hAnsi="Gill Sans MT" w:cs="GillSans-Light"/>
                <w:sz w:val="20"/>
                <w:szCs w:val="20"/>
              </w:rPr>
              <w:t xml:space="preserve"> </w:t>
            </w:r>
            <w:r w:rsidRPr="00F048BD">
              <w:rPr>
                <w:rFonts w:ascii="Gill Sans MT" w:hAnsi="Gill Sans MT" w:cs="GillSans-Light"/>
                <w:sz w:val="20"/>
                <w:szCs w:val="20"/>
              </w:rPr>
              <w:t>recognised on an effective yield basis.</w:t>
            </w:r>
          </w:p>
        </w:tc>
        <w:tc>
          <w:tcPr>
            <w:tcW w:w="3427" w:type="dxa"/>
          </w:tcPr>
          <w:p w:rsidR="003C3EDD" w:rsidRPr="00F048BD" w:rsidRDefault="00F048BD" w:rsidP="00F048BD">
            <w:pPr>
              <w:autoSpaceDE w:val="0"/>
              <w:autoSpaceDN w:val="0"/>
              <w:adjustRightInd w:val="0"/>
              <w:rPr>
                <w:rFonts w:ascii="Gill Sans MT" w:hAnsi="Gill Sans MT"/>
              </w:rPr>
            </w:pPr>
            <w:r w:rsidRPr="00F048BD">
              <w:rPr>
                <w:rFonts w:ascii="Gill Sans MT" w:hAnsi="Gill Sans MT" w:cs="GillSans-Light"/>
                <w:sz w:val="20"/>
                <w:szCs w:val="20"/>
              </w:rPr>
              <w:t>Contractual payments are made in</w:t>
            </w:r>
            <w:r>
              <w:rPr>
                <w:rFonts w:ascii="Gill Sans MT" w:hAnsi="Gill Sans MT" w:cs="GillSans-Light"/>
                <w:sz w:val="20"/>
                <w:szCs w:val="20"/>
              </w:rPr>
              <w:t xml:space="preserve"> </w:t>
            </w:r>
            <w:r w:rsidRPr="00F048BD">
              <w:rPr>
                <w:rFonts w:ascii="Gill Sans MT" w:hAnsi="Gill Sans MT" w:cs="GillSans-Light"/>
                <w:sz w:val="20"/>
                <w:szCs w:val="20"/>
              </w:rPr>
              <w:t>accordance with contractual terms.</w:t>
            </w:r>
          </w:p>
        </w:tc>
      </w:tr>
      <w:tr w:rsidR="003C3EDD" w:rsidRPr="00F048BD" w:rsidTr="00F048BD">
        <w:tc>
          <w:tcPr>
            <w:tcW w:w="2802" w:type="dxa"/>
          </w:tcPr>
          <w:p w:rsidR="003C3EDD" w:rsidRPr="00F048BD" w:rsidRDefault="003C3EDD" w:rsidP="003C3EDD">
            <w:pPr>
              <w:pStyle w:val="BodyText"/>
            </w:pPr>
            <w:r w:rsidRPr="00F048BD">
              <w:t>Other financial liabilities</w:t>
            </w:r>
          </w:p>
        </w:tc>
        <w:tc>
          <w:tcPr>
            <w:tcW w:w="4052" w:type="dxa"/>
          </w:tcPr>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Other financial liabilities are recognised at</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amortised cost, which due to the short</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settlement period equates to face value, when</w:t>
            </w:r>
          </w:p>
          <w:p w:rsidR="00F048BD" w:rsidRPr="00F048BD" w:rsidRDefault="00F048BD" w:rsidP="00F048BD">
            <w:pPr>
              <w:autoSpaceDE w:val="0"/>
              <w:autoSpaceDN w:val="0"/>
              <w:adjustRightInd w:val="0"/>
              <w:rPr>
                <w:rFonts w:ascii="Gill Sans MT" w:hAnsi="Gill Sans MT" w:cs="GillSans-Light"/>
                <w:sz w:val="20"/>
                <w:szCs w:val="20"/>
              </w:rPr>
            </w:pPr>
            <w:proofErr w:type="gramStart"/>
            <w:r w:rsidRPr="00F048BD">
              <w:rPr>
                <w:rFonts w:ascii="Gill Sans MT" w:hAnsi="Gill Sans MT" w:cs="GillSans-Light"/>
                <w:sz w:val="20"/>
                <w:szCs w:val="20"/>
              </w:rPr>
              <w:t>the</w:t>
            </w:r>
            <w:proofErr w:type="gramEnd"/>
            <w:r w:rsidRPr="00F048BD">
              <w:rPr>
                <w:rFonts w:ascii="Gill Sans MT" w:hAnsi="Gill Sans MT" w:cs="GillSans-Light"/>
                <w:sz w:val="20"/>
                <w:szCs w:val="20"/>
              </w:rPr>
              <w:t xml:space="preserve"> THS becomes obliged to make payments as</w:t>
            </w:r>
            <w:r>
              <w:rPr>
                <w:rFonts w:ascii="Gill Sans MT" w:hAnsi="Gill Sans MT" w:cs="GillSans-Light"/>
                <w:sz w:val="20"/>
                <w:szCs w:val="20"/>
              </w:rPr>
              <w:t xml:space="preserve"> </w:t>
            </w:r>
            <w:r w:rsidRPr="00F048BD">
              <w:rPr>
                <w:rFonts w:ascii="Gill Sans MT" w:hAnsi="Gill Sans MT" w:cs="GillSans-Light"/>
                <w:sz w:val="20"/>
                <w:szCs w:val="20"/>
              </w:rPr>
              <w:t>a result of the purchase of assets or services.</w:t>
            </w:r>
          </w:p>
          <w:p w:rsidR="00F048BD" w:rsidRPr="00F048BD" w:rsidRDefault="00F048BD" w:rsidP="00F048BD">
            <w:pPr>
              <w:autoSpaceDE w:val="0"/>
              <w:autoSpaceDN w:val="0"/>
              <w:adjustRightInd w:val="0"/>
              <w:rPr>
                <w:rFonts w:ascii="Gill Sans MT" w:hAnsi="Gill Sans MT" w:cs="GillSans-Light"/>
                <w:sz w:val="20"/>
                <w:szCs w:val="20"/>
              </w:rPr>
            </w:pPr>
            <w:r w:rsidRPr="00F048BD">
              <w:rPr>
                <w:rFonts w:ascii="Gill Sans MT" w:hAnsi="Gill Sans MT" w:cs="GillSans-Light"/>
                <w:sz w:val="20"/>
                <w:szCs w:val="20"/>
              </w:rPr>
              <w:t>The THS regularly reviews budgeted and actual</w:t>
            </w:r>
          </w:p>
          <w:p w:rsidR="003C3EDD" w:rsidRPr="00F048BD" w:rsidRDefault="00F048BD" w:rsidP="00F048BD">
            <w:pPr>
              <w:autoSpaceDE w:val="0"/>
              <w:autoSpaceDN w:val="0"/>
              <w:adjustRightInd w:val="0"/>
              <w:rPr>
                <w:rFonts w:ascii="Gill Sans MT" w:hAnsi="Gill Sans MT"/>
              </w:rPr>
            </w:pPr>
            <w:proofErr w:type="gramStart"/>
            <w:r w:rsidRPr="00F048BD">
              <w:rPr>
                <w:rFonts w:ascii="Gill Sans MT" w:hAnsi="Gill Sans MT" w:cs="GillSans-Light"/>
                <w:sz w:val="20"/>
                <w:szCs w:val="20"/>
              </w:rPr>
              <w:t>cash</w:t>
            </w:r>
            <w:proofErr w:type="gramEnd"/>
            <w:r w:rsidRPr="00F048BD">
              <w:rPr>
                <w:rFonts w:ascii="Gill Sans MT" w:hAnsi="Gill Sans MT" w:cs="GillSans-Light"/>
                <w:sz w:val="20"/>
                <w:szCs w:val="20"/>
              </w:rPr>
              <w:t xml:space="preserve"> outflows to ensure that there is sufficient</w:t>
            </w:r>
            <w:r>
              <w:rPr>
                <w:rFonts w:ascii="Gill Sans MT" w:hAnsi="Gill Sans MT" w:cs="GillSans-Light"/>
                <w:sz w:val="20"/>
                <w:szCs w:val="20"/>
              </w:rPr>
              <w:t xml:space="preserve"> </w:t>
            </w:r>
            <w:r w:rsidRPr="00F048BD">
              <w:rPr>
                <w:rFonts w:ascii="Gill Sans MT" w:hAnsi="Gill Sans MT" w:cs="GillSans-Light"/>
                <w:sz w:val="20"/>
                <w:szCs w:val="20"/>
              </w:rPr>
              <w:t>cash to meet all obligations.</w:t>
            </w:r>
          </w:p>
        </w:tc>
        <w:tc>
          <w:tcPr>
            <w:tcW w:w="3427" w:type="dxa"/>
          </w:tcPr>
          <w:p w:rsidR="003C3EDD" w:rsidRPr="00F048BD" w:rsidRDefault="00F048BD" w:rsidP="00F048BD">
            <w:pPr>
              <w:autoSpaceDE w:val="0"/>
              <w:autoSpaceDN w:val="0"/>
              <w:adjustRightInd w:val="0"/>
              <w:rPr>
                <w:rFonts w:ascii="Gill Sans MT" w:hAnsi="Gill Sans MT"/>
              </w:rPr>
            </w:pPr>
            <w:r w:rsidRPr="00F048BD">
              <w:rPr>
                <w:rFonts w:ascii="Gill Sans MT" w:hAnsi="Gill Sans MT" w:cs="GillSans-Light"/>
                <w:sz w:val="20"/>
                <w:szCs w:val="20"/>
              </w:rPr>
              <w:t>Settlement is usually made within</w:t>
            </w:r>
            <w:r>
              <w:rPr>
                <w:rFonts w:ascii="Gill Sans MT" w:hAnsi="Gill Sans MT" w:cs="GillSans-Light"/>
                <w:sz w:val="20"/>
                <w:szCs w:val="20"/>
              </w:rPr>
              <w:t xml:space="preserve"> </w:t>
            </w:r>
            <w:r w:rsidRPr="00F048BD">
              <w:rPr>
                <w:rFonts w:ascii="Gill Sans MT" w:hAnsi="Gill Sans MT" w:cs="GillSans-Light"/>
                <w:sz w:val="20"/>
                <w:szCs w:val="20"/>
              </w:rPr>
              <w:t>30 days.</w:t>
            </w:r>
          </w:p>
        </w:tc>
      </w:tr>
    </w:tbl>
    <w:p w:rsidR="00F048BD" w:rsidRDefault="00F048BD" w:rsidP="00F048BD">
      <w:pPr>
        <w:pStyle w:val="BodyText"/>
      </w:pPr>
    </w:p>
    <w:p w:rsidR="003C3EDD" w:rsidRDefault="00F048BD" w:rsidP="00F048BD">
      <w:pPr>
        <w:pStyle w:val="BodyText"/>
      </w:pPr>
      <w:r>
        <w:t>The following tables detail the undiscounted cash flows payable by the THS by remaining contractual maturity for its financial liabilities. It should be noted that as these are undiscounted, totals may not reconcile to the carrying amounts presented in the Statement of Financial Position.</w:t>
      </w:r>
    </w:p>
    <w:p w:rsidR="00F048BD" w:rsidRPr="00F048BD" w:rsidRDefault="00F048BD" w:rsidP="00F048BD">
      <w:pPr>
        <w:pStyle w:val="BodyText"/>
        <w:rPr>
          <w:b/>
        </w:rPr>
      </w:pPr>
      <w:r w:rsidRPr="00F048BD">
        <w:rPr>
          <w:b/>
        </w:rPr>
        <w:t>Maturity analysis for financial liabilities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Maturity analysis for financial liabilities"/>
      </w:tblPr>
      <w:tblGrid>
        <w:gridCol w:w="1951"/>
        <w:gridCol w:w="992"/>
        <w:gridCol w:w="993"/>
        <w:gridCol w:w="850"/>
        <w:gridCol w:w="992"/>
        <w:gridCol w:w="993"/>
        <w:gridCol w:w="1134"/>
        <w:gridCol w:w="1417"/>
        <w:gridCol w:w="959"/>
      </w:tblGrid>
      <w:tr w:rsidR="00F048BD" w:rsidRPr="00F048BD" w:rsidTr="00222594">
        <w:trPr>
          <w:tblHeader/>
        </w:trPr>
        <w:tc>
          <w:tcPr>
            <w:tcW w:w="1951"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2106</w:t>
            </w:r>
          </w:p>
        </w:tc>
        <w:tc>
          <w:tcPr>
            <w:tcW w:w="992"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1 Year</w:t>
            </w:r>
            <w:r w:rsidRPr="00F048BD">
              <w:rPr>
                <w:b/>
                <w:sz w:val="18"/>
                <w:szCs w:val="18"/>
              </w:rPr>
              <w:br/>
              <w:t>$’000</w:t>
            </w:r>
          </w:p>
        </w:tc>
        <w:tc>
          <w:tcPr>
            <w:tcW w:w="993"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2 Year</w:t>
            </w:r>
            <w:r w:rsidRPr="00F048BD">
              <w:rPr>
                <w:b/>
                <w:sz w:val="18"/>
                <w:szCs w:val="18"/>
              </w:rPr>
              <w:br/>
              <w:t>$’000</w:t>
            </w:r>
          </w:p>
        </w:tc>
        <w:tc>
          <w:tcPr>
            <w:tcW w:w="850"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3 Years</w:t>
            </w:r>
            <w:r w:rsidRPr="00F048BD">
              <w:rPr>
                <w:b/>
                <w:sz w:val="18"/>
                <w:szCs w:val="18"/>
              </w:rPr>
              <w:br/>
              <w:t>$’000</w:t>
            </w:r>
          </w:p>
        </w:tc>
        <w:tc>
          <w:tcPr>
            <w:tcW w:w="992"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4 Years</w:t>
            </w:r>
            <w:r w:rsidRPr="00F048BD">
              <w:rPr>
                <w:b/>
                <w:sz w:val="18"/>
                <w:szCs w:val="18"/>
              </w:rPr>
              <w:br/>
              <w:t>$’000</w:t>
            </w:r>
          </w:p>
        </w:tc>
        <w:tc>
          <w:tcPr>
            <w:tcW w:w="993"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5 Years</w:t>
            </w:r>
            <w:r w:rsidRPr="00F048BD">
              <w:rPr>
                <w:b/>
                <w:sz w:val="18"/>
                <w:szCs w:val="18"/>
              </w:rPr>
              <w:br/>
              <w:t>$’000</w:t>
            </w:r>
          </w:p>
        </w:tc>
        <w:tc>
          <w:tcPr>
            <w:tcW w:w="1134"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More than 5 Years</w:t>
            </w:r>
            <w:r w:rsidRPr="00F048BD">
              <w:rPr>
                <w:b/>
                <w:sz w:val="18"/>
                <w:szCs w:val="18"/>
              </w:rPr>
              <w:br/>
              <w:t>$’000</w:t>
            </w:r>
          </w:p>
        </w:tc>
        <w:tc>
          <w:tcPr>
            <w:tcW w:w="1417"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Undiscounted Total</w:t>
            </w:r>
            <w:r w:rsidRPr="00F048BD">
              <w:rPr>
                <w:b/>
                <w:sz w:val="18"/>
                <w:szCs w:val="18"/>
              </w:rPr>
              <w:br/>
              <w:t>$’000</w:t>
            </w:r>
          </w:p>
        </w:tc>
        <w:tc>
          <w:tcPr>
            <w:tcW w:w="959" w:type="dxa"/>
            <w:tcBorders>
              <w:top w:val="single" w:sz="4" w:space="0" w:color="auto"/>
              <w:bottom w:val="single" w:sz="4" w:space="0" w:color="auto"/>
            </w:tcBorders>
          </w:tcPr>
          <w:p w:rsidR="00F048BD" w:rsidRPr="00F048BD" w:rsidRDefault="00F048BD" w:rsidP="00F048BD">
            <w:pPr>
              <w:pStyle w:val="BodyText"/>
              <w:rPr>
                <w:b/>
                <w:sz w:val="18"/>
                <w:szCs w:val="18"/>
              </w:rPr>
            </w:pPr>
            <w:r w:rsidRPr="00F048BD">
              <w:rPr>
                <w:b/>
                <w:sz w:val="18"/>
                <w:szCs w:val="18"/>
              </w:rPr>
              <w:t xml:space="preserve">Carrying Amount </w:t>
            </w:r>
            <w:r w:rsidRPr="00F048BD">
              <w:rPr>
                <w:b/>
                <w:sz w:val="18"/>
                <w:szCs w:val="18"/>
              </w:rPr>
              <w:br/>
              <w:t>$’000</w:t>
            </w:r>
          </w:p>
        </w:tc>
      </w:tr>
      <w:tr w:rsidR="00F048BD" w:rsidRPr="00F048BD" w:rsidTr="00F048BD">
        <w:tc>
          <w:tcPr>
            <w:tcW w:w="1951" w:type="dxa"/>
            <w:tcBorders>
              <w:top w:val="single" w:sz="4" w:space="0" w:color="auto"/>
            </w:tcBorders>
          </w:tcPr>
          <w:p w:rsidR="00F048BD" w:rsidRPr="00F048BD" w:rsidRDefault="00F048BD" w:rsidP="00F048BD">
            <w:pPr>
              <w:pStyle w:val="BodyText"/>
              <w:rPr>
                <w:b/>
                <w:sz w:val="18"/>
                <w:szCs w:val="18"/>
              </w:rPr>
            </w:pPr>
            <w:r>
              <w:rPr>
                <w:b/>
                <w:sz w:val="18"/>
                <w:szCs w:val="18"/>
              </w:rPr>
              <w:t>Financial liabilities</w:t>
            </w:r>
          </w:p>
        </w:tc>
        <w:tc>
          <w:tcPr>
            <w:tcW w:w="992" w:type="dxa"/>
            <w:tcBorders>
              <w:top w:val="single" w:sz="4" w:space="0" w:color="auto"/>
            </w:tcBorders>
          </w:tcPr>
          <w:p w:rsidR="00F048BD" w:rsidRPr="00F048BD" w:rsidRDefault="00F048BD" w:rsidP="00F048BD">
            <w:pPr>
              <w:pStyle w:val="BodyText"/>
              <w:rPr>
                <w:b/>
                <w:sz w:val="18"/>
                <w:szCs w:val="18"/>
              </w:rPr>
            </w:pPr>
          </w:p>
        </w:tc>
        <w:tc>
          <w:tcPr>
            <w:tcW w:w="993" w:type="dxa"/>
            <w:tcBorders>
              <w:top w:val="single" w:sz="4" w:space="0" w:color="auto"/>
            </w:tcBorders>
          </w:tcPr>
          <w:p w:rsidR="00F048BD" w:rsidRPr="00F048BD" w:rsidRDefault="00F048BD" w:rsidP="00F048BD">
            <w:pPr>
              <w:pStyle w:val="BodyText"/>
              <w:rPr>
                <w:b/>
                <w:sz w:val="18"/>
                <w:szCs w:val="18"/>
              </w:rPr>
            </w:pPr>
          </w:p>
        </w:tc>
        <w:tc>
          <w:tcPr>
            <w:tcW w:w="850" w:type="dxa"/>
            <w:tcBorders>
              <w:top w:val="single" w:sz="4" w:space="0" w:color="auto"/>
            </w:tcBorders>
          </w:tcPr>
          <w:p w:rsidR="00F048BD" w:rsidRPr="00F048BD" w:rsidRDefault="00F048BD" w:rsidP="00F048BD">
            <w:pPr>
              <w:pStyle w:val="BodyText"/>
              <w:rPr>
                <w:b/>
                <w:sz w:val="18"/>
                <w:szCs w:val="18"/>
              </w:rPr>
            </w:pPr>
          </w:p>
        </w:tc>
        <w:tc>
          <w:tcPr>
            <w:tcW w:w="992" w:type="dxa"/>
            <w:tcBorders>
              <w:top w:val="single" w:sz="4" w:space="0" w:color="auto"/>
            </w:tcBorders>
          </w:tcPr>
          <w:p w:rsidR="00F048BD" w:rsidRPr="00F048BD" w:rsidRDefault="00F048BD" w:rsidP="00F048BD">
            <w:pPr>
              <w:pStyle w:val="BodyText"/>
              <w:rPr>
                <w:b/>
                <w:sz w:val="18"/>
                <w:szCs w:val="18"/>
              </w:rPr>
            </w:pPr>
          </w:p>
        </w:tc>
        <w:tc>
          <w:tcPr>
            <w:tcW w:w="993" w:type="dxa"/>
            <w:tcBorders>
              <w:top w:val="single" w:sz="4" w:space="0" w:color="auto"/>
            </w:tcBorders>
          </w:tcPr>
          <w:p w:rsidR="00F048BD" w:rsidRPr="00F048BD" w:rsidRDefault="00F048BD" w:rsidP="00F048BD">
            <w:pPr>
              <w:pStyle w:val="BodyText"/>
              <w:rPr>
                <w:b/>
                <w:sz w:val="18"/>
                <w:szCs w:val="18"/>
              </w:rPr>
            </w:pPr>
          </w:p>
        </w:tc>
        <w:tc>
          <w:tcPr>
            <w:tcW w:w="1134" w:type="dxa"/>
            <w:tcBorders>
              <w:top w:val="single" w:sz="4" w:space="0" w:color="auto"/>
            </w:tcBorders>
          </w:tcPr>
          <w:p w:rsidR="00F048BD" w:rsidRPr="00F048BD" w:rsidRDefault="00F048BD" w:rsidP="00F048BD">
            <w:pPr>
              <w:pStyle w:val="BodyText"/>
              <w:rPr>
                <w:b/>
                <w:sz w:val="18"/>
                <w:szCs w:val="18"/>
              </w:rPr>
            </w:pPr>
          </w:p>
        </w:tc>
        <w:tc>
          <w:tcPr>
            <w:tcW w:w="1417" w:type="dxa"/>
            <w:tcBorders>
              <w:top w:val="single" w:sz="4" w:space="0" w:color="auto"/>
            </w:tcBorders>
          </w:tcPr>
          <w:p w:rsidR="00F048BD" w:rsidRPr="00F048BD" w:rsidRDefault="00F048BD" w:rsidP="00F048BD">
            <w:pPr>
              <w:pStyle w:val="BodyText"/>
              <w:rPr>
                <w:b/>
                <w:sz w:val="18"/>
                <w:szCs w:val="18"/>
              </w:rPr>
            </w:pPr>
          </w:p>
        </w:tc>
        <w:tc>
          <w:tcPr>
            <w:tcW w:w="959" w:type="dxa"/>
            <w:tcBorders>
              <w:top w:val="single" w:sz="4" w:space="0" w:color="auto"/>
            </w:tcBorders>
          </w:tcPr>
          <w:p w:rsidR="00F048BD" w:rsidRPr="00F048BD" w:rsidRDefault="00F048BD" w:rsidP="00F048BD">
            <w:pPr>
              <w:pStyle w:val="BodyText"/>
              <w:rPr>
                <w:b/>
                <w:sz w:val="18"/>
                <w:szCs w:val="18"/>
              </w:rPr>
            </w:pPr>
          </w:p>
        </w:tc>
      </w:tr>
      <w:tr w:rsidR="00F048BD" w:rsidRPr="00F048BD" w:rsidTr="00F048BD">
        <w:tc>
          <w:tcPr>
            <w:tcW w:w="1951" w:type="dxa"/>
          </w:tcPr>
          <w:p w:rsidR="00F048BD" w:rsidRPr="00F048BD" w:rsidRDefault="00F048BD" w:rsidP="00F048BD">
            <w:pPr>
              <w:pStyle w:val="BodyText"/>
              <w:rPr>
                <w:sz w:val="18"/>
                <w:szCs w:val="18"/>
              </w:rPr>
            </w:pPr>
            <w:r w:rsidRPr="00F048BD">
              <w:rPr>
                <w:sz w:val="18"/>
                <w:szCs w:val="18"/>
              </w:rPr>
              <w:t>Payables</w:t>
            </w:r>
          </w:p>
        </w:tc>
        <w:tc>
          <w:tcPr>
            <w:tcW w:w="992" w:type="dxa"/>
          </w:tcPr>
          <w:p w:rsidR="00F048BD" w:rsidRPr="00F048BD" w:rsidRDefault="00F048BD" w:rsidP="00F048BD">
            <w:pPr>
              <w:pStyle w:val="BodyText"/>
              <w:rPr>
                <w:sz w:val="18"/>
                <w:szCs w:val="18"/>
              </w:rPr>
            </w:pPr>
            <w:r w:rsidRPr="00F048BD">
              <w:rPr>
                <w:sz w:val="18"/>
                <w:szCs w:val="18"/>
              </w:rPr>
              <w:t>64 306</w:t>
            </w:r>
          </w:p>
        </w:tc>
        <w:tc>
          <w:tcPr>
            <w:tcW w:w="993" w:type="dxa"/>
          </w:tcPr>
          <w:p w:rsidR="00F048BD" w:rsidRPr="00F048BD" w:rsidRDefault="00F048BD" w:rsidP="00F048BD">
            <w:pPr>
              <w:pStyle w:val="BodyText"/>
              <w:rPr>
                <w:sz w:val="18"/>
                <w:szCs w:val="18"/>
              </w:rPr>
            </w:pPr>
            <w:r w:rsidRPr="00F048BD">
              <w:rPr>
                <w:sz w:val="18"/>
                <w:szCs w:val="18"/>
              </w:rPr>
              <w:t>0</w:t>
            </w:r>
          </w:p>
        </w:tc>
        <w:tc>
          <w:tcPr>
            <w:tcW w:w="850" w:type="dxa"/>
          </w:tcPr>
          <w:p w:rsidR="00F048BD" w:rsidRPr="00F048BD" w:rsidRDefault="00F048BD" w:rsidP="00F048BD">
            <w:pPr>
              <w:pStyle w:val="BodyText"/>
              <w:rPr>
                <w:sz w:val="18"/>
                <w:szCs w:val="18"/>
              </w:rPr>
            </w:pPr>
            <w:r w:rsidRPr="00F048BD">
              <w:rPr>
                <w:sz w:val="18"/>
                <w:szCs w:val="18"/>
              </w:rPr>
              <w:t>0</w:t>
            </w:r>
          </w:p>
        </w:tc>
        <w:tc>
          <w:tcPr>
            <w:tcW w:w="992" w:type="dxa"/>
          </w:tcPr>
          <w:p w:rsidR="00F048BD" w:rsidRPr="00F048BD" w:rsidRDefault="00F048BD" w:rsidP="00F048BD">
            <w:pPr>
              <w:pStyle w:val="BodyText"/>
              <w:rPr>
                <w:sz w:val="18"/>
                <w:szCs w:val="18"/>
              </w:rPr>
            </w:pPr>
            <w:r w:rsidRPr="00F048BD">
              <w:rPr>
                <w:sz w:val="18"/>
                <w:szCs w:val="18"/>
              </w:rPr>
              <w:t>0</w:t>
            </w:r>
          </w:p>
        </w:tc>
        <w:tc>
          <w:tcPr>
            <w:tcW w:w="993" w:type="dxa"/>
          </w:tcPr>
          <w:p w:rsidR="00F048BD" w:rsidRPr="00F048BD" w:rsidRDefault="00F048BD" w:rsidP="00F048BD">
            <w:pPr>
              <w:pStyle w:val="BodyText"/>
              <w:rPr>
                <w:sz w:val="18"/>
                <w:szCs w:val="18"/>
              </w:rPr>
            </w:pPr>
            <w:r w:rsidRPr="00F048BD">
              <w:rPr>
                <w:sz w:val="18"/>
                <w:szCs w:val="18"/>
              </w:rPr>
              <w:t>0</w:t>
            </w:r>
          </w:p>
        </w:tc>
        <w:tc>
          <w:tcPr>
            <w:tcW w:w="1134" w:type="dxa"/>
          </w:tcPr>
          <w:p w:rsidR="00F048BD" w:rsidRPr="00F048BD" w:rsidRDefault="00F048BD" w:rsidP="00F048BD">
            <w:pPr>
              <w:pStyle w:val="BodyText"/>
              <w:rPr>
                <w:sz w:val="18"/>
                <w:szCs w:val="18"/>
              </w:rPr>
            </w:pPr>
            <w:r w:rsidRPr="00F048BD">
              <w:rPr>
                <w:sz w:val="18"/>
                <w:szCs w:val="18"/>
              </w:rPr>
              <w:t>0</w:t>
            </w:r>
          </w:p>
        </w:tc>
        <w:tc>
          <w:tcPr>
            <w:tcW w:w="1417" w:type="dxa"/>
          </w:tcPr>
          <w:p w:rsidR="00F048BD" w:rsidRPr="00F048BD" w:rsidRDefault="00F048BD" w:rsidP="00F048BD">
            <w:pPr>
              <w:pStyle w:val="BodyText"/>
              <w:rPr>
                <w:sz w:val="18"/>
                <w:szCs w:val="18"/>
              </w:rPr>
            </w:pPr>
            <w:r w:rsidRPr="00F048BD">
              <w:rPr>
                <w:sz w:val="18"/>
                <w:szCs w:val="18"/>
              </w:rPr>
              <w:t>0</w:t>
            </w:r>
          </w:p>
        </w:tc>
        <w:tc>
          <w:tcPr>
            <w:tcW w:w="959" w:type="dxa"/>
          </w:tcPr>
          <w:p w:rsidR="00F048BD" w:rsidRPr="00F048BD" w:rsidRDefault="00F048BD" w:rsidP="00F048BD">
            <w:pPr>
              <w:pStyle w:val="BodyText"/>
              <w:rPr>
                <w:sz w:val="18"/>
                <w:szCs w:val="18"/>
              </w:rPr>
            </w:pPr>
            <w:r w:rsidRPr="00F048BD">
              <w:rPr>
                <w:sz w:val="18"/>
                <w:szCs w:val="18"/>
              </w:rPr>
              <w:t>64 306</w:t>
            </w:r>
          </w:p>
        </w:tc>
      </w:tr>
      <w:tr w:rsidR="00F048BD" w:rsidRPr="00F048BD" w:rsidTr="00F048BD">
        <w:tc>
          <w:tcPr>
            <w:tcW w:w="1951" w:type="dxa"/>
            <w:tcBorders>
              <w:bottom w:val="single" w:sz="4" w:space="0" w:color="auto"/>
            </w:tcBorders>
          </w:tcPr>
          <w:p w:rsidR="00F048BD" w:rsidRPr="00F048BD" w:rsidRDefault="00F048BD" w:rsidP="00F048BD">
            <w:pPr>
              <w:pStyle w:val="BodyText"/>
              <w:rPr>
                <w:sz w:val="18"/>
                <w:szCs w:val="18"/>
              </w:rPr>
            </w:pPr>
            <w:r w:rsidRPr="00F048BD">
              <w:rPr>
                <w:sz w:val="18"/>
                <w:szCs w:val="18"/>
              </w:rPr>
              <w:t>Other financial liabilities</w:t>
            </w:r>
          </w:p>
        </w:tc>
        <w:tc>
          <w:tcPr>
            <w:tcW w:w="992" w:type="dxa"/>
            <w:tcBorders>
              <w:bottom w:val="single" w:sz="4" w:space="0" w:color="auto"/>
            </w:tcBorders>
          </w:tcPr>
          <w:p w:rsidR="00F048BD" w:rsidRPr="00F048BD" w:rsidRDefault="00F048BD" w:rsidP="00F048BD">
            <w:pPr>
              <w:pStyle w:val="BodyText"/>
              <w:rPr>
                <w:sz w:val="18"/>
                <w:szCs w:val="18"/>
              </w:rPr>
            </w:pPr>
            <w:r w:rsidRPr="00F048BD">
              <w:rPr>
                <w:sz w:val="18"/>
                <w:szCs w:val="18"/>
              </w:rPr>
              <w:t>9 397</w:t>
            </w:r>
          </w:p>
        </w:tc>
        <w:tc>
          <w:tcPr>
            <w:tcW w:w="993" w:type="dxa"/>
            <w:tcBorders>
              <w:bottom w:val="single" w:sz="4" w:space="0" w:color="auto"/>
            </w:tcBorders>
          </w:tcPr>
          <w:p w:rsidR="00F048BD" w:rsidRPr="00F048BD" w:rsidRDefault="00F048BD" w:rsidP="00F048BD">
            <w:pPr>
              <w:pStyle w:val="BodyText"/>
              <w:rPr>
                <w:sz w:val="18"/>
                <w:szCs w:val="18"/>
              </w:rPr>
            </w:pPr>
            <w:r w:rsidRPr="00F048BD">
              <w:rPr>
                <w:sz w:val="18"/>
                <w:szCs w:val="18"/>
              </w:rPr>
              <w:t>1 596</w:t>
            </w:r>
          </w:p>
        </w:tc>
        <w:tc>
          <w:tcPr>
            <w:tcW w:w="850" w:type="dxa"/>
            <w:tcBorders>
              <w:bottom w:val="single" w:sz="4" w:space="0" w:color="auto"/>
            </w:tcBorders>
          </w:tcPr>
          <w:p w:rsidR="00F048BD" w:rsidRPr="00F048BD" w:rsidRDefault="00F048BD" w:rsidP="00F048BD">
            <w:pPr>
              <w:pStyle w:val="BodyText"/>
              <w:rPr>
                <w:sz w:val="18"/>
                <w:szCs w:val="18"/>
              </w:rPr>
            </w:pPr>
            <w:r w:rsidRPr="00F048BD">
              <w:rPr>
                <w:sz w:val="18"/>
                <w:szCs w:val="18"/>
              </w:rPr>
              <w:t>0</w:t>
            </w:r>
          </w:p>
        </w:tc>
        <w:tc>
          <w:tcPr>
            <w:tcW w:w="992" w:type="dxa"/>
            <w:tcBorders>
              <w:bottom w:val="single" w:sz="4" w:space="0" w:color="auto"/>
            </w:tcBorders>
          </w:tcPr>
          <w:p w:rsidR="00F048BD" w:rsidRPr="00F048BD" w:rsidRDefault="00F048BD" w:rsidP="00F048BD">
            <w:pPr>
              <w:pStyle w:val="BodyText"/>
              <w:rPr>
                <w:sz w:val="18"/>
                <w:szCs w:val="18"/>
              </w:rPr>
            </w:pPr>
            <w:r w:rsidRPr="00F048BD">
              <w:rPr>
                <w:sz w:val="18"/>
                <w:szCs w:val="18"/>
              </w:rPr>
              <w:t>0</w:t>
            </w:r>
          </w:p>
        </w:tc>
        <w:tc>
          <w:tcPr>
            <w:tcW w:w="993" w:type="dxa"/>
            <w:tcBorders>
              <w:bottom w:val="single" w:sz="4" w:space="0" w:color="auto"/>
            </w:tcBorders>
          </w:tcPr>
          <w:p w:rsidR="00F048BD" w:rsidRPr="00F048BD" w:rsidRDefault="00F048BD" w:rsidP="00F048BD">
            <w:pPr>
              <w:pStyle w:val="BodyText"/>
              <w:rPr>
                <w:sz w:val="18"/>
                <w:szCs w:val="18"/>
              </w:rPr>
            </w:pPr>
            <w:r w:rsidRPr="00F048BD">
              <w:rPr>
                <w:sz w:val="18"/>
                <w:szCs w:val="18"/>
              </w:rPr>
              <w:t>0</w:t>
            </w:r>
          </w:p>
        </w:tc>
        <w:tc>
          <w:tcPr>
            <w:tcW w:w="1134" w:type="dxa"/>
            <w:tcBorders>
              <w:bottom w:val="single" w:sz="4" w:space="0" w:color="auto"/>
            </w:tcBorders>
          </w:tcPr>
          <w:p w:rsidR="00F048BD" w:rsidRPr="00F048BD" w:rsidRDefault="00F048BD" w:rsidP="00F048BD">
            <w:pPr>
              <w:pStyle w:val="BodyText"/>
              <w:rPr>
                <w:sz w:val="18"/>
                <w:szCs w:val="18"/>
              </w:rPr>
            </w:pPr>
            <w:r w:rsidRPr="00F048BD">
              <w:rPr>
                <w:sz w:val="18"/>
                <w:szCs w:val="18"/>
              </w:rPr>
              <w:t>0</w:t>
            </w:r>
          </w:p>
        </w:tc>
        <w:tc>
          <w:tcPr>
            <w:tcW w:w="1417" w:type="dxa"/>
            <w:tcBorders>
              <w:bottom w:val="single" w:sz="4" w:space="0" w:color="auto"/>
            </w:tcBorders>
          </w:tcPr>
          <w:p w:rsidR="00F048BD" w:rsidRPr="00F048BD" w:rsidRDefault="00F048BD" w:rsidP="00F048BD">
            <w:pPr>
              <w:pStyle w:val="BodyText"/>
              <w:rPr>
                <w:sz w:val="18"/>
                <w:szCs w:val="18"/>
              </w:rPr>
            </w:pPr>
            <w:r w:rsidRPr="00F048BD">
              <w:rPr>
                <w:sz w:val="18"/>
                <w:szCs w:val="18"/>
              </w:rPr>
              <w:t>0</w:t>
            </w:r>
          </w:p>
        </w:tc>
        <w:tc>
          <w:tcPr>
            <w:tcW w:w="959" w:type="dxa"/>
            <w:tcBorders>
              <w:bottom w:val="single" w:sz="4" w:space="0" w:color="auto"/>
            </w:tcBorders>
          </w:tcPr>
          <w:p w:rsidR="00F048BD" w:rsidRPr="00F048BD" w:rsidRDefault="00F048BD" w:rsidP="00F048BD">
            <w:pPr>
              <w:pStyle w:val="BodyText"/>
              <w:rPr>
                <w:sz w:val="18"/>
                <w:szCs w:val="18"/>
              </w:rPr>
            </w:pPr>
            <w:r w:rsidRPr="00F048BD">
              <w:rPr>
                <w:sz w:val="18"/>
                <w:szCs w:val="18"/>
              </w:rPr>
              <w:t>10 993</w:t>
            </w:r>
          </w:p>
        </w:tc>
      </w:tr>
      <w:tr w:rsidR="00F048BD" w:rsidRPr="00F048BD" w:rsidTr="00F048BD">
        <w:tc>
          <w:tcPr>
            <w:tcW w:w="1951"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Total</w:t>
            </w:r>
          </w:p>
        </w:tc>
        <w:tc>
          <w:tcPr>
            <w:tcW w:w="992"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73 703</w:t>
            </w:r>
          </w:p>
        </w:tc>
        <w:tc>
          <w:tcPr>
            <w:tcW w:w="993"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1 596</w:t>
            </w:r>
          </w:p>
        </w:tc>
        <w:tc>
          <w:tcPr>
            <w:tcW w:w="850"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0</w:t>
            </w:r>
          </w:p>
        </w:tc>
        <w:tc>
          <w:tcPr>
            <w:tcW w:w="992"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0</w:t>
            </w:r>
          </w:p>
        </w:tc>
        <w:tc>
          <w:tcPr>
            <w:tcW w:w="993"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0</w:t>
            </w:r>
          </w:p>
        </w:tc>
        <w:tc>
          <w:tcPr>
            <w:tcW w:w="1134"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0</w:t>
            </w:r>
          </w:p>
        </w:tc>
        <w:tc>
          <w:tcPr>
            <w:tcW w:w="1417"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0</w:t>
            </w:r>
          </w:p>
        </w:tc>
        <w:tc>
          <w:tcPr>
            <w:tcW w:w="959" w:type="dxa"/>
            <w:tcBorders>
              <w:top w:val="single" w:sz="4" w:space="0" w:color="auto"/>
              <w:bottom w:val="single" w:sz="4" w:space="0" w:color="auto"/>
            </w:tcBorders>
          </w:tcPr>
          <w:p w:rsidR="00F048BD" w:rsidRPr="00F048BD" w:rsidRDefault="00F048BD" w:rsidP="00F048BD">
            <w:pPr>
              <w:pStyle w:val="BodyText"/>
              <w:rPr>
                <w:b/>
                <w:sz w:val="18"/>
                <w:szCs w:val="18"/>
              </w:rPr>
            </w:pPr>
            <w:r>
              <w:rPr>
                <w:b/>
                <w:sz w:val="18"/>
                <w:szCs w:val="18"/>
              </w:rPr>
              <w:t>75 299</w:t>
            </w:r>
          </w:p>
        </w:tc>
      </w:tr>
    </w:tbl>
    <w:p w:rsidR="00F048BD" w:rsidRDefault="00F048BD" w:rsidP="00F048BD">
      <w:pPr>
        <w:pStyle w:val="BodyText"/>
        <w:rPr>
          <w:b/>
        </w:rPr>
      </w:pPr>
    </w:p>
    <w:p w:rsidR="00F048BD" w:rsidRDefault="00F048BD" w:rsidP="00F048BD">
      <w:pPr>
        <w:rPr>
          <w:b/>
        </w:rPr>
      </w:pPr>
      <w:r>
        <w:rPr>
          <w:b/>
        </w:rPr>
        <w:br w:type="page"/>
      </w:r>
      <w:r>
        <w:rPr>
          <w:b/>
        </w:rPr>
        <w:lastRenderedPageBreak/>
        <w:t>(d)</w:t>
      </w:r>
      <w:r>
        <w:rPr>
          <w:b/>
        </w:rPr>
        <w:tab/>
        <w:t>Market risk</w:t>
      </w:r>
    </w:p>
    <w:p w:rsidR="00F048BD" w:rsidRDefault="00F048BD" w:rsidP="00F048BD">
      <w:pPr>
        <w:pStyle w:val="BodyText"/>
      </w:pPr>
      <w:r>
        <w:t>Market risk is the risk that the fair value of future cash flows of a financial instrument will fluctuate because of changes in market prices. The primary market risk that the THS is exposed to is interest rate risk.</w:t>
      </w:r>
    </w:p>
    <w:p w:rsidR="00F048BD" w:rsidRDefault="00F048BD" w:rsidP="00F048BD">
      <w:pPr>
        <w:pStyle w:val="BodyText"/>
      </w:pPr>
      <w:r>
        <w:t>The THS currently has no financial liabilities at fixed interest rates.</w:t>
      </w:r>
    </w:p>
    <w:p w:rsidR="00F048BD" w:rsidRDefault="00F048BD" w:rsidP="00F048BD">
      <w:pPr>
        <w:pStyle w:val="Heading5"/>
      </w:pPr>
      <w:r>
        <w:t>13.2</w:t>
      </w:r>
      <w:r>
        <w:tab/>
        <w:t>Categories of Financial Assets and Liabilities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ategories of Financial Assets and Liabilities"/>
      </w:tblPr>
      <w:tblGrid>
        <w:gridCol w:w="8188"/>
        <w:gridCol w:w="2093"/>
      </w:tblGrid>
      <w:tr w:rsidR="00F048BD" w:rsidRPr="00F048BD" w:rsidTr="00F048BD">
        <w:trPr>
          <w:tblHeader/>
        </w:trPr>
        <w:tc>
          <w:tcPr>
            <w:tcW w:w="8188" w:type="dxa"/>
            <w:tcBorders>
              <w:top w:val="single" w:sz="4" w:space="0" w:color="auto"/>
              <w:bottom w:val="single" w:sz="4" w:space="0" w:color="auto"/>
            </w:tcBorders>
          </w:tcPr>
          <w:p w:rsidR="00F048BD" w:rsidRPr="00F048BD" w:rsidRDefault="00F048BD" w:rsidP="00F048BD">
            <w:pPr>
              <w:pStyle w:val="BodyText"/>
              <w:rPr>
                <w:b/>
              </w:rPr>
            </w:pPr>
            <w:r w:rsidRPr="00F048BD">
              <w:rPr>
                <w:b/>
              </w:rPr>
              <w:t>Description</w:t>
            </w:r>
          </w:p>
        </w:tc>
        <w:tc>
          <w:tcPr>
            <w:tcW w:w="2093" w:type="dxa"/>
            <w:tcBorders>
              <w:top w:val="single" w:sz="4" w:space="0" w:color="auto"/>
              <w:bottom w:val="single" w:sz="4" w:space="0" w:color="auto"/>
            </w:tcBorders>
          </w:tcPr>
          <w:p w:rsidR="00F048BD" w:rsidRPr="00F048BD" w:rsidRDefault="00F048BD" w:rsidP="00F048BD">
            <w:pPr>
              <w:pStyle w:val="BodyText"/>
              <w:ind w:right="284"/>
              <w:jc w:val="right"/>
              <w:rPr>
                <w:b/>
              </w:rPr>
            </w:pPr>
            <w:r w:rsidRPr="00F048BD">
              <w:rPr>
                <w:b/>
              </w:rPr>
              <w:t>2016</w:t>
            </w:r>
            <w:r w:rsidRPr="00F048BD">
              <w:rPr>
                <w:b/>
              </w:rPr>
              <w:br/>
              <w:t>$’000</w:t>
            </w:r>
          </w:p>
        </w:tc>
      </w:tr>
      <w:tr w:rsidR="00F048BD" w:rsidRPr="00F048BD" w:rsidTr="00F048BD">
        <w:tc>
          <w:tcPr>
            <w:tcW w:w="8188" w:type="dxa"/>
            <w:tcBorders>
              <w:top w:val="single" w:sz="4" w:space="0" w:color="auto"/>
            </w:tcBorders>
          </w:tcPr>
          <w:p w:rsidR="00F048BD" w:rsidRPr="00F048BD" w:rsidRDefault="00F048BD" w:rsidP="00F048BD">
            <w:pPr>
              <w:pStyle w:val="BodyText"/>
              <w:rPr>
                <w:b/>
              </w:rPr>
            </w:pPr>
            <w:r w:rsidRPr="00F048BD">
              <w:rPr>
                <w:rFonts w:cs="GillSans-SemiBold"/>
                <w:b/>
                <w:bCs/>
                <w:sz w:val="20"/>
                <w:szCs w:val="20"/>
              </w:rPr>
              <w:t>Financial Assets</w:t>
            </w:r>
          </w:p>
        </w:tc>
        <w:tc>
          <w:tcPr>
            <w:tcW w:w="2093" w:type="dxa"/>
            <w:tcBorders>
              <w:top w:val="single" w:sz="4" w:space="0" w:color="auto"/>
            </w:tcBorders>
          </w:tcPr>
          <w:p w:rsidR="00F048BD" w:rsidRPr="00F048BD" w:rsidRDefault="00F048BD" w:rsidP="00F048BD">
            <w:pPr>
              <w:pStyle w:val="BodyText"/>
              <w:ind w:right="284"/>
              <w:jc w:val="right"/>
              <w:rPr>
                <w:b/>
              </w:rPr>
            </w:pPr>
          </w:p>
        </w:tc>
      </w:tr>
      <w:tr w:rsidR="00F048BD" w:rsidRPr="00F048BD" w:rsidTr="00F048BD">
        <w:tc>
          <w:tcPr>
            <w:tcW w:w="8188" w:type="dxa"/>
          </w:tcPr>
          <w:p w:rsidR="00F048BD" w:rsidRPr="00F048BD" w:rsidRDefault="00F048BD" w:rsidP="00F048BD">
            <w:pPr>
              <w:pStyle w:val="BodyText"/>
              <w:rPr>
                <w:b/>
              </w:rPr>
            </w:pPr>
            <w:r w:rsidRPr="00F048BD">
              <w:rPr>
                <w:sz w:val="20"/>
                <w:szCs w:val="20"/>
              </w:rPr>
              <w:t>Cash and cash equivalents</w:t>
            </w:r>
          </w:p>
        </w:tc>
        <w:tc>
          <w:tcPr>
            <w:tcW w:w="2093" w:type="dxa"/>
          </w:tcPr>
          <w:p w:rsidR="00F048BD" w:rsidRPr="00F048BD" w:rsidRDefault="00F048BD" w:rsidP="00F048BD">
            <w:pPr>
              <w:pStyle w:val="BodyText"/>
              <w:ind w:right="284"/>
              <w:jc w:val="right"/>
              <w:rPr>
                <w:b/>
              </w:rPr>
            </w:pPr>
            <w:r w:rsidRPr="00F048BD">
              <w:rPr>
                <w:sz w:val="20"/>
                <w:szCs w:val="20"/>
              </w:rPr>
              <w:t>89 535</w:t>
            </w:r>
          </w:p>
        </w:tc>
      </w:tr>
      <w:tr w:rsidR="00F048BD" w:rsidRPr="00F048BD" w:rsidTr="00F048BD">
        <w:tc>
          <w:tcPr>
            <w:tcW w:w="8188" w:type="dxa"/>
          </w:tcPr>
          <w:p w:rsidR="00F048BD" w:rsidRPr="00F048BD" w:rsidRDefault="00F048BD" w:rsidP="00F048BD">
            <w:pPr>
              <w:pStyle w:val="BodyText"/>
              <w:rPr>
                <w:b/>
              </w:rPr>
            </w:pPr>
            <w:r w:rsidRPr="00F048BD">
              <w:rPr>
                <w:sz w:val="20"/>
                <w:szCs w:val="20"/>
              </w:rPr>
              <w:t>Loans and receivables</w:t>
            </w:r>
          </w:p>
        </w:tc>
        <w:tc>
          <w:tcPr>
            <w:tcW w:w="2093" w:type="dxa"/>
          </w:tcPr>
          <w:p w:rsidR="00F048BD" w:rsidRPr="00F048BD" w:rsidRDefault="00F048BD" w:rsidP="00F048BD">
            <w:pPr>
              <w:pStyle w:val="BodyText"/>
              <w:ind w:right="284"/>
              <w:jc w:val="right"/>
              <w:rPr>
                <w:b/>
              </w:rPr>
            </w:pPr>
            <w:r w:rsidRPr="00F048BD">
              <w:rPr>
                <w:sz w:val="20"/>
                <w:szCs w:val="20"/>
              </w:rPr>
              <w:t>37 153</w:t>
            </w:r>
          </w:p>
        </w:tc>
      </w:tr>
      <w:tr w:rsidR="00F048BD" w:rsidRPr="00F048BD" w:rsidTr="00F048BD">
        <w:tc>
          <w:tcPr>
            <w:tcW w:w="8188" w:type="dxa"/>
          </w:tcPr>
          <w:p w:rsidR="00F048BD" w:rsidRPr="00F048BD" w:rsidRDefault="00F048BD" w:rsidP="00F048BD">
            <w:pPr>
              <w:pStyle w:val="BodyText"/>
              <w:tabs>
                <w:tab w:val="left" w:pos="1275"/>
              </w:tabs>
              <w:rPr>
                <w:b/>
              </w:rPr>
            </w:pPr>
            <w:r w:rsidRPr="00F048BD">
              <w:rPr>
                <w:rFonts w:cs="GillSans-SemiBold"/>
                <w:b/>
                <w:bCs/>
                <w:sz w:val="20"/>
                <w:szCs w:val="20"/>
              </w:rPr>
              <w:t>Total</w:t>
            </w:r>
          </w:p>
        </w:tc>
        <w:tc>
          <w:tcPr>
            <w:tcW w:w="2093" w:type="dxa"/>
          </w:tcPr>
          <w:p w:rsidR="00F048BD" w:rsidRPr="00F048BD" w:rsidRDefault="00F048BD" w:rsidP="00F048BD">
            <w:pPr>
              <w:pStyle w:val="BodyText"/>
              <w:ind w:right="284"/>
              <w:jc w:val="right"/>
              <w:rPr>
                <w:b/>
              </w:rPr>
            </w:pPr>
            <w:r w:rsidRPr="00F048BD">
              <w:rPr>
                <w:rFonts w:cs="GillSans-SemiBold"/>
                <w:b/>
                <w:bCs/>
                <w:sz w:val="20"/>
                <w:szCs w:val="20"/>
              </w:rPr>
              <w:t>126 688</w:t>
            </w:r>
          </w:p>
        </w:tc>
      </w:tr>
      <w:tr w:rsidR="00F048BD" w:rsidRPr="00F048BD" w:rsidTr="00F048BD">
        <w:tc>
          <w:tcPr>
            <w:tcW w:w="8188" w:type="dxa"/>
          </w:tcPr>
          <w:p w:rsidR="00F048BD" w:rsidRPr="00F048BD" w:rsidRDefault="00F048BD" w:rsidP="00F048BD">
            <w:pPr>
              <w:pStyle w:val="BodyText"/>
              <w:rPr>
                <w:b/>
              </w:rPr>
            </w:pPr>
            <w:r w:rsidRPr="00F048BD">
              <w:rPr>
                <w:rFonts w:cs="GillSans-SemiBold"/>
                <w:b/>
                <w:bCs/>
                <w:sz w:val="20"/>
                <w:szCs w:val="20"/>
              </w:rPr>
              <w:t>Financial Liabilities</w:t>
            </w:r>
          </w:p>
        </w:tc>
        <w:tc>
          <w:tcPr>
            <w:tcW w:w="2093" w:type="dxa"/>
          </w:tcPr>
          <w:p w:rsidR="00F048BD" w:rsidRPr="00F048BD" w:rsidRDefault="00F048BD" w:rsidP="00F048BD">
            <w:pPr>
              <w:pStyle w:val="BodyText"/>
              <w:ind w:right="284"/>
              <w:jc w:val="right"/>
              <w:rPr>
                <w:b/>
              </w:rPr>
            </w:pPr>
          </w:p>
        </w:tc>
      </w:tr>
      <w:tr w:rsidR="00F048BD" w:rsidRPr="00F048BD" w:rsidTr="00972935">
        <w:tc>
          <w:tcPr>
            <w:tcW w:w="8188" w:type="dxa"/>
            <w:tcBorders>
              <w:bottom w:val="single" w:sz="4" w:space="0" w:color="auto"/>
            </w:tcBorders>
          </w:tcPr>
          <w:p w:rsidR="00F048BD" w:rsidRPr="00F048BD" w:rsidRDefault="00F048BD" w:rsidP="00F048BD">
            <w:pPr>
              <w:pStyle w:val="BodyText"/>
              <w:rPr>
                <w:b/>
              </w:rPr>
            </w:pPr>
            <w:r w:rsidRPr="00F048BD">
              <w:rPr>
                <w:sz w:val="20"/>
                <w:szCs w:val="20"/>
              </w:rPr>
              <w:t>Financial liabilities measured at amortised cost</w:t>
            </w:r>
          </w:p>
        </w:tc>
        <w:tc>
          <w:tcPr>
            <w:tcW w:w="2093" w:type="dxa"/>
            <w:tcBorders>
              <w:bottom w:val="single" w:sz="4" w:space="0" w:color="auto"/>
            </w:tcBorders>
          </w:tcPr>
          <w:p w:rsidR="00F048BD" w:rsidRPr="00F048BD" w:rsidRDefault="00F048BD" w:rsidP="00F048BD">
            <w:pPr>
              <w:pStyle w:val="BodyText"/>
              <w:ind w:right="284"/>
              <w:jc w:val="right"/>
              <w:rPr>
                <w:b/>
              </w:rPr>
            </w:pPr>
            <w:r w:rsidRPr="00F048BD">
              <w:rPr>
                <w:sz w:val="20"/>
                <w:szCs w:val="20"/>
              </w:rPr>
              <w:t>64 306</w:t>
            </w:r>
          </w:p>
        </w:tc>
      </w:tr>
      <w:tr w:rsidR="00F048BD" w:rsidRPr="00F048BD" w:rsidTr="00972935">
        <w:tc>
          <w:tcPr>
            <w:tcW w:w="8188" w:type="dxa"/>
            <w:tcBorders>
              <w:top w:val="single" w:sz="4" w:space="0" w:color="auto"/>
              <w:bottom w:val="single" w:sz="4" w:space="0" w:color="auto"/>
            </w:tcBorders>
          </w:tcPr>
          <w:p w:rsidR="00F048BD" w:rsidRPr="00F048BD" w:rsidRDefault="00F048BD" w:rsidP="00F048BD">
            <w:pPr>
              <w:pStyle w:val="BodyText"/>
              <w:rPr>
                <w:b/>
              </w:rPr>
            </w:pPr>
            <w:r w:rsidRPr="00F048BD">
              <w:rPr>
                <w:rFonts w:cs="GillSans-SemiBold"/>
                <w:b/>
                <w:bCs/>
                <w:sz w:val="20"/>
                <w:szCs w:val="20"/>
              </w:rPr>
              <w:t>Total</w:t>
            </w:r>
          </w:p>
        </w:tc>
        <w:tc>
          <w:tcPr>
            <w:tcW w:w="2093" w:type="dxa"/>
            <w:tcBorders>
              <w:top w:val="single" w:sz="4" w:space="0" w:color="auto"/>
              <w:bottom w:val="single" w:sz="4" w:space="0" w:color="auto"/>
            </w:tcBorders>
          </w:tcPr>
          <w:p w:rsidR="00F048BD" w:rsidRPr="00F048BD" w:rsidRDefault="00F048BD" w:rsidP="00F048BD">
            <w:pPr>
              <w:pStyle w:val="BodyText"/>
              <w:ind w:right="284"/>
              <w:jc w:val="right"/>
              <w:rPr>
                <w:b/>
              </w:rPr>
            </w:pPr>
            <w:r w:rsidRPr="00F048BD">
              <w:rPr>
                <w:rFonts w:cs="GillSans-SemiBold"/>
                <w:b/>
                <w:bCs/>
                <w:sz w:val="20"/>
                <w:szCs w:val="20"/>
              </w:rPr>
              <w:t>64 306</w:t>
            </w:r>
          </w:p>
        </w:tc>
      </w:tr>
    </w:tbl>
    <w:p w:rsidR="00F048BD" w:rsidRDefault="00F048BD" w:rsidP="00F048BD">
      <w:pPr>
        <w:pStyle w:val="BodyText"/>
        <w:rPr>
          <w:b/>
        </w:rPr>
      </w:pPr>
    </w:p>
    <w:p w:rsidR="00972935" w:rsidRDefault="00972935" w:rsidP="00972935">
      <w:pPr>
        <w:pStyle w:val="BodyText"/>
      </w:pPr>
      <w:r>
        <w:t xml:space="preserve">The THS’ maximum exposure to credit risk for its financial assets is $162.4 million. It does not hold, nor is a party </w:t>
      </w:r>
      <w:proofErr w:type="gramStart"/>
      <w:r>
        <w:t>to,</w:t>
      </w:r>
      <w:proofErr w:type="gramEnd"/>
      <w:r>
        <w:t xml:space="preserve"> any credit derivatives and no changes have occurred to the fair value of its assets as a result of market risk or credit risk. While interest rates have changed during the financial year, the value of security held is significantly more than the value of the underlying asset and no loan advances are impaired. The value of receivables is not affected by changes in interest rates. The THS actively manages its credit risk exposure for the collectability of its receivables and outstanding loans.</w:t>
      </w:r>
    </w:p>
    <w:p w:rsidR="00972935" w:rsidRDefault="00972935" w:rsidP="00972935">
      <w:pPr>
        <w:pStyle w:val="Heading5"/>
      </w:pPr>
      <w:r>
        <w:t>13.3</w:t>
      </w:r>
      <w:r>
        <w:tab/>
        <w:t>Reclassifications of Financial Assets</w:t>
      </w:r>
    </w:p>
    <w:p w:rsidR="00972935" w:rsidRDefault="00972935" w:rsidP="00972935">
      <w:pPr>
        <w:pStyle w:val="BodyText"/>
      </w:pPr>
      <w:r w:rsidRPr="00972935">
        <w:t>No reclassification of Financial Assets occurred during 2015-16.</w:t>
      </w:r>
    </w:p>
    <w:p w:rsidR="00972935" w:rsidRDefault="00972935" w:rsidP="00972935">
      <w:pPr>
        <w:pStyle w:val="BodyText"/>
      </w:pPr>
    </w:p>
    <w:p w:rsidR="00972935" w:rsidRDefault="00972935" w:rsidP="00972935">
      <w:pPr>
        <w:pStyle w:val="Heading4"/>
      </w:pPr>
      <w:r>
        <w:t>Note 14</w:t>
      </w:r>
      <w:r>
        <w:tab/>
        <w:t>Transactions and Balances Relating to a Trustee or Agency Arrangement</w:t>
      </w:r>
    </w:p>
    <w:p w:rsidR="00972935" w:rsidRDefault="00972935" w:rsidP="00972935">
      <w:pPr>
        <w:pStyle w:val="BodyText"/>
      </w:pPr>
      <w:r>
        <w:t>Transactions relating to activities undertaken by the THS in a trust or fiduciary (agency) capacity do not form part of the THS’ activities. Trustee and agency arrangements, and transactions/balances relating to those activities, are neither controlled nor administered. Fees, commissions earned and expenses incurred in the course of rendering services as a trustee or through an agency arrangement are recognised as controlled transactions.</w:t>
      </w:r>
    </w:p>
    <w:p w:rsidR="00972935" w:rsidRDefault="00972935">
      <w:pPr>
        <w:rPr>
          <w:rFonts w:ascii="Gill Sans MT" w:eastAsiaTheme="majorEastAsia" w:hAnsi="Gill Sans MT" w:cstheme="majorBidi"/>
          <w:b/>
          <w:color w:val="243F60" w:themeColor="accent1" w:themeShade="7F"/>
        </w:rPr>
      </w:pPr>
      <w:r>
        <w:br w:type="page"/>
      </w:r>
    </w:p>
    <w:p w:rsidR="00972935" w:rsidRPr="00972935" w:rsidRDefault="00972935" w:rsidP="00972935">
      <w:pPr>
        <w:pStyle w:val="Heading5"/>
      </w:pPr>
      <w:r>
        <w:lastRenderedPageBreak/>
        <w:t>14.1</w:t>
      </w:r>
      <w:r>
        <w:tab/>
        <w:t>Activities Undertaken Under a Trustee or Agency Relationship</w:t>
      </w:r>
      <w:r>
        <w:br/>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Activities undertaken under a trustee or agency relationship"/>
      </w:tblPr>
      <w:tblGrid>
        <w:gridCol w:w="2570"/>
        <w:gridCol w:w="2570"/>
        <w:gridCol w:w="2570"/>
        <w:gridCol w:w="2571"/>
      </w:tblGrid>
      <w:tr w:rsidR="00972935" w:rsidRPr="00972935" w:rsidTr="00972935">
        <w:trPr>
          <w:tblHeader/>
        </w:trPr>
        <w:tc>
          <w:tcPr>
            <w:tcW w:w="2570" w:type="dxa"/>
            <w:tcBorders>
              <w:top w:val="single" w:sz="4" w:space="0" w:color="auto"/>
              <w:bottom w:val="single" w:sz="4" w:space="0" w:color="auto"/>
            </w:tcBorders>
          </w:tcPr>
          <w:p w:rsidR="00972935" w:rsidRPr="00972935" w:rsidRDefault="00972935" w:rsidP="00972935">
            <w:pPr>
              <w:pStyle w:val="BodyText"/>
              <w:rPr>
                <w:b/>
              </w:rPr>
            </w:pPr>
            <w:r w:rsidRPr="00972935">
              <w:rPr>
                <w:b/>
              </w:rPr>
              <w:t>Account/Activity</w:t>
            </w:r>
          </w:p>
        </w:tc>
        <w:tc>
          <w:tcPr>
            <w:tcW w:w="2570" w:type="dxa"/>
            <w:tcBorders>
              <w:top w:val="single" w:sz="4" w:space="0" w:color="auto"/>
              <w:bottom w:val="single" w:sz="4" w:space="0" w:color="auto"/>
            </w:tcBorders>
          </w:tcPr>
          <w:p w:rsidR="00972935" w:rsidRPr="00972935" w:rsidRDefault="00972935" w:rsidP="00972935">
            <w:pPr>
              <w:pStyle w:val="BodyText"/>
              <w:ind w:right="246"/>
              <w:jc w:val="right"/>
              <w:rPr>
                <w:b/>
              </w:rPr>
            </w:pPr>
            <w:r w:rsidRPr="00972935">
              <w:rPr>
                <w:b/>
              </w:rPr>
              <w:t>Opening balance</w:t>
            </w:r>
            <w:r w:rsidRPr="00972935">
              <w:rPr>
                <w:b/>
              </w:rPr>
              <w:br/>
              <w:t>$’000</w:t>
            </w:r>
          </w:p>
        </w:tc>
        <w:tc>
          <w:tcPr>
            <w:tcW w:w="2570" w:type="dxa"/>
            <w:tcBorders>
              <w:top w:val="single" w:sz="4" w:space="0" w:color="auto"/>
              <w:bottom w:val="single" w:sz="4" w:space="0" w:color="auto"/>
            </w:tcBorders>
          </w:tcPr>
          <w:p w:rsidR="00972935" w:rsidRPr="00972935" w:rsidRDefault="00972935" w:rsidP="00972935">
            <w:pPr>
              <w:pStyle w:val="BodyText"/>
              <w:ind w:right="246"/>
              <w:jc w:val="right"/>
              <w:rPr>
                <w:b/>
              </w:rPr>
            </w:pPr>
            <w:r w:rsidRPr="00972935">
              <w:rPr>
                <w:b/>
              </w:rPr>
              <w:t>Net Transactions during 2015-16</w:t>
            </w:r>
            <w:r w:rsidRPr="00972935">
              <w:rPr>
                <w:b/>
              </w:rPr>
              <w:br/>
              <w:t>$’000</w:t>
            </w:r>
          </w:p>
        </w:tc>
        <w:tc>
          <w:tcPr>
            <w:tcW w:w="2571" w:type="dxa"/>
            <w:tcBorders>
              <w:top w:val="single" w:sz="4" w:space="0" w:color="auto"/>
              <w:bottom w:val="single" w:sz="4" w:space="0" w:color="auto"/>
            </w:tcBorders>
          </w:tcPr>
          <w:p w:rsidR="00972935" w:rsidRPr="00972935" w:rsidRDefault="00972935" w:rsidP="00972935">
            <w:pPr>
              <w:pStyle w:val="BodyText"/>
              <w:ind w:right="246"/>
              <w:jc w:val="right"/>
              <w:rPr>
                <w:b/>
              </w:rPr>
            </w:pPr>
            <w:r w:rsidRPr="00972935">
              <w:rPr>
                <w:b/>
              </w:rPr>
              <w:t>Closing balance</w:t>
            </w:r>
            <w:r w:rsidRPr="00972935">
              <w:rPr>
                <w:b/>
              </w:rPr>
              <w:br/>
              <w:t>$’000</w:t>
            </w:r>
          </w:p>
        </w:tc>
      </w:tr>
      <w:tr w:rsidR="00972935" w:rsidTr="00972935">
        <w:tc>
          <w:tcPr>
            <w:tcW w:w="2570" w:type="dxa"/>
            <w:tcBorders>
              <w:top w:val="single" w:sz="4" w:space="0" w:color="auto"/>
            </w:tcBorders>
          </w:tcPr>
          <w:p w:rsidR="00972935" w:rsidRDefault="00972935" w:rsidP="00972935">
            <w:pPr>
              <w:pStyle w:val="BodyText"/>
            </w:pPr>
            <w:r>
              <w:t>T477 Patient Trust and Hospital Bequest Account</w:t>
            </w:r>
          </w:p>
        </w:tc>
        <w:tc>
          <w:tcPr>
            <w:tcW w:w="2570" w:type="dxa"/>
            <w:tcBorders>
              <w:top w:val="single" w:sz="4" w:space="0" w:color="auto"/>
            </w:tcBorders>
          </w:tcPr>
          <w:p w:rsidR="00972935" w:rsidRDefault="00972935" w:rsidP="00972935">
            <w:pPr>
              <w:pStyle w:val="BodyText"/>
              <w:ind w:right="246"/>
              <w:jc w:val="right"/>
            </w:pPr>
            <w:r>
              <w:t>0</w:t>
            </w:r>
          </w:p>
        </w:tc>
        <w:tc>
          <w:tcPr>
            <w:tcW w:w="2570" w:type="dxa"/>
            <w:tcBorders>
              <w:top w:val="single" w:sz="4" w:space="0" w:color="auto"/>
            </w:tcBorders>
          </w:tcPr>
          <w:p w:rsidR="00972935" w:rsidRDefault="00972935" w:rsidP="00972935">
            <w:pPr>
              <w:pStyle w:val="BodyText"/>
              <w:ind w:right="246"/>
              <w:jc w:val="right"/>
            </w:pPr>
            <w:r>
              <w:t>6 120</w:t>
            </w:r>
          </w:p>
        </w:tc>
        <w:tc>
          <w:tcPr>
            <w:tcW w:w="2571" w:type="dxa"/>
            <w:tcBorders>
              <w:top w:val="single" w:sz="4" w:space="0" w:color="auto"/>
            </w:tcBorders>
          </w:tcPr>
          <w:p w:rsidR="00972935" w:rsidRDefault="00972935" w:rsidP="00972935">
            <w:pPr>
              <w:pStyle w:val="BodyText"/>
              <w:ind w:right="246"/>
              <w:jc w:val="right"/>
            </w:pPr>
            <w:r>
              <w:t>6 120</w:t>
            </w:r>
          </w:p>
        </w:tc>
      </w:tr>
      <w:tr w:rsidR="00972935" w:rsidTr="00972935">
        <w:tc>
          <w:tcPr>
            <w:tcW w:w="2570" w:type="dxa"/>
          </w:tcPr>
          <w:p w:rsidR="00972935" w:rsidRDefault="00972935" w:rsidP="00972935">
            <w:pPr>
              <w:pStyle w:val="BodyText"/>
            </w:pPr>
            <w:r>
              <w:t>Royal Hobart Hospital Patients Trust Account</w:t>
            </w:r>
          </w:p>
        </w:tc>
        <w:tc>
          <w:tcPr>
            <w:tcW w:w="2570" w:type="dxa"/>
          </w:tcPr>
          <w:p w:rsidR="00972935" w:rsidRDefault="00972935" w:rsidP="00972935">
            <w:pPr>
              <w:pStyle w:val="BodyText"/>
              <w:ind w:right="246"/>
              <w:jc w:val="right"/>
            </w:pPr>
            <w:r>
              <w:t>0</w:t>
            </w:r>
          </w:p>
        </w:tc>
        <w:tc>
          <w:tcPr>
            <w:tcW w:w="2570" w:type="dxa"/>
          </w:tcPr>
          <w:p w:rsidR="00972935" w:rsidRDefault="00972935" w:rsidP="00972935">
            <w:pPr>
              <w:pStyle w:val="BodyText"/>
              <w:ind w:right="246"/>
              <w:jc w:val="right"/>
            </w:pPr>
            <w:r>
              <w:t>4</w:t>
            </w:r>
          </w:p>
        </w:tc>
        <w:tc>
          <w:tcPr>
            <w:tcW w:w="2571" w:type="dxa"/>
          </w:tcPr>
          <w:p w:rsidR="00972935" w:rsidRDefault="00972935" w:rsidP="00972935">
            <w:pPr>
              <w:pStyle w:val="BodyText"/>
              <w:ind w:right="246"/>
              <w:jc w:val="right"/>
            </w:pPr>
            <w:r>
              <w:t>4</w:t>
            </w:r>
          </w:p>
        </w:tc>
      </w:tr>
      <w:tr w:rsidR="00972935" w:rsidTr="00972935">
        <w:tc>
          <w:tcPr>
            <w:tcW w:w="2570" w:type="dxa"/>
          </w:tcPr>
          <w:p w:rsidR="00972935" w:rsidRDefault="00972935" w:rsidP="00972935">
            <w:pPr>
              <w:pStyle w:val="BodyText"/>
            </w:pPr>
            <w:r>
              <w:t>Mental Health Services Client Trust Account</w:t>
            </w:r>
          </w:p>
        </w:tc>
        <w:tc>
          <w:tcPr>
            <w:tcW w:w="2570" w:type="dxa"/>
          </w:tcPr>
          <w:p w:rsidR="00972935" w:rsidRDefault="00972935" w:rsidP="00972935">
            <w:pPr>
              <w:pStyle w:val="BodyText"/>
              <w:ind w:right="246"/>
              <w:jc w:val="right"/>
            </w:pPr>
            <w:r>
              <w:t>0</w:t>
            </w:r>
          </w:p>
        </w:tc>
        <w:tc>
          <w:tcPr>
            <w:tcW w:w="2570" w:type="dxa"/>
          </w:tcPr>
          <w:p w:rsidR="00972935" w:rsidRDefault="00972935" w:rsidP="00972935">
            <w:pPr>
              <w:pStyle w:val="BodyText"/>
              <w:ind w:right="246"/>
              <w:jc w:val="right"/>
            </w:pPr>
            <w:r>
              <w:t>46</w:t>
            </w:r>
          </w:p>
        </w:tc>
        <w:tc>
          <w:tcPr>
            <w:tcW w:w="2571" w:type="dxa"/>
          </w:tcPr>
          <w:p w:rsidR="00972935" w:rsidRDefault="00972935" w:rsidP="00972935">
            <w:pPr>
              <w:pStyle w:val="BodyText"/>
              <w:ind w:right="246"/>
              <w:jc w:val="right"/>
            </w:pPr>
            <w:r>
              <w:t>46</w:t>
            </w:r>
          </w:p>
        </w:tc>
      </w:tr>
    </w:tbl>
    <w:p w:rsidR="00972935" w:rsidRDefault="00972935" w:rsidP="00972935">
      <w:pPr>
        <w:pStyle w:val="Heading4"/>
      </w:pPr>
    </w:p>
    <w:p w:rsidR="00972935" w:rsidRDefault="00972935" w:rsidP="00972935">
      <w:pPr>
        <w:pStyle w:val="Heading4"/>
      </w:pPr>
      <w:r>
        <w:t>Note 15</w:t>
      </w:r>
      <w:r>
        <w:tab/>
        <w:t>Events Occurring After Balance Date</w:t>
      </w:r>
    </w:p>
    <w:p w:rsidR="00972935" w:rsidRDefault="00972935" w:rsidP="00972935">
      <w:pPr>
        <w:pStyle w:val="BodyText"/>
      </w:pPr>
      <w:r>
        <w:t xml:space="preserve">There </w:t>
      </w:r>
      <w:proofErr w:type="gramStart"/>
      <w:r>
        <w:t>are no known events post</w:t>
      </w:r>
      <w:proofErr w:type="gramEnd"/>
      <w:r>
        <w:t xml:space="preserve"> 30 June 2016 that will have a material impact on the Financial Statements.</w:t>
      </w:r>
    </w:p>
    <w:p w:rsidR="00972935" w:rsidRDefault="00972935" w:rsidP="00972935">
      <w:pPr>
        <w:pStyle w:val="BodyText"/>
      </w:pPr>
      <w:r>
        <w:t>As such, the Financial Statements for the year ended 30 June 2016 have been prepared on a going concern basis.</w:t>
      </w:r>
    </w:p>
    <w:p w:rsidR="00972935" w:rsidRDefault="00972935" w:rsidP="00972935">
      <w:pPr>
        <w:pStyle w:val="Heading4"/>
      </w:pPr>
      <w:r>
        <w:t>Note 16</w:t>
      </w:r>
      <w:r>
        <w:tab/>
        <w:t>Other Significant Accounting Policies and Judgements</w:t>
      </w:r>
    </w:p>
    <w:p w:rsidR="00972935" w:rsidRDefault="00972935" w:rsidP="00972935">
      <w:pPr>
        <w:pStyle w:val="Heading5"/>
      </w:pPr>
      <w:r>
        <w:t>16.1</w:t>
      </w:r>
      <w:r>
        <w:tab/>
        <w:t>Objectives and Funding</w:t>
      </w:r>
    </w:p>
    <w:p w:rsidR="00972935" w:rsidRDefault="00972935" w:rsidP="00972935">
      <w:pPr>
        <w:pStyle w:val="BodyText"/>
      </w:pPr>
      <w:r>
        <w:t>Under the National Health Reform Agreement (NHRA), funding is provided to the THS on the basis of activity through Activity Based Funding (ABF) wherever practicable. Funding for smaller regional or rural hospitals is provided on a block funding basis. Funds for teaching, training and research are also provided on a block funding basis. Pricing under the NHRA is determined by an Independent Hospitals Pricing Authority (IHPA). Funding due to the THS under Australian Government National Partnership Agreements and Commonwealth Own Purpose Expenditure programs is paid as grants. The THS also provides services to fee paying privately insured patients, or patients who will receive compensation for these expenses due to the circumstances surrounding their injury. The financial statements encompass all funds through which the THS controls resources to carry on its functions.</w:t>
      </w:r>
    </w:p>
    <w:p w:rsidR="00972935" w:rsidRDefault="00972935" w:rsidP="00972935">
      <w:pPr>
        <w:pStyle w:val="BodyText"/>
      </w:pPr>
      <w:r>
        <w:t>As legislated, the principal purpose of the Tasmanian Health Service is to:</w:t>
      </w:r>
    </w:p>
    <w:p w:rsidR="00972935" w:rsidRDefault="00972935" w:rsidP="00621B34">
      <w:pPr>
        <w:pStyle w:val="BodyText"/>
        <w:numPr>
          <w:ilvl w:val="0"/>
          <w:numId w:val="53"/>
        </w:numPr>
        <w:ind w:left="567" w:hanging="567"/>
      </w:pPr>
      <w:r>
        <w:t>promote and maintain the health of persons; and</w:t>
      </w:r>
    </w:p>
    <w:p w:rsidR="00972935" w:rsidRDefault="00972935" w:rsidP="00621B34">
      <w:pPr>
        <w:pStyle w:val="BodyText"/>
        <w:numPr>
          <w:ilvl w:val="0"/>
          <w:numId w:val="53"/>
        </w:numPr>
        <w:ind w:left="567" w:hanging="567"/>
      </w:pPr>
      <w:r>
        <w:t>provide care and treatment to, and ease the suffering of, persons with health problems;</w:t>
      </w:r>
    </w:p>
    <w:p w:rsidR="00972935" w:rsidRDefault="00972935" w:rsidP="00972935">
      <w:pPr>
        <w:pStyle w:val="BodyText"/>
      </w:pPr>
      <w:proofErr w:type="gramStart"/>
      <w:r>
        <w:t>as</w:t>
      </w:r>
      <w:proofErr w:type="gramEnd"/>
      <w:r>
        <w:t xml:space="preserve"> agreed in the THS’ Service Agreement and within the budget provided in the Service Agreement.</w:t>
      </w:r>
    </w:p>
    <w:p w:rsidR="00972935" w:rsidRPr="00972935" w:rsidRDefault="00972935" w:rsidP="00972935">
      <w:pPr>
        <w:pStyle w:val="BodyText"/>
      </w:pPr>
      <w:r>
        <w:t>Due to the amalgamation of THO North, THO North West and THO South, the following assets and liabilities were transferred to the THS on 1 July 2015. Details of the amalgamation can be found at Note 1.1.</w:t>
      </w:r>
    </w:p>
    <w:p w:rsidR="00972935" w:rsidRDefault="00972935">
      <w:r>
        <w:br w:type="page"/>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Objectives and Funding"/>
      </w:tblPr>
      <w:tblGrid>
        <w:gridCol w:w="2056"/>
        <w:gridCol w:w="2056"/>
        <w:gridCol w:w="2056"/>
        <w:gridCol w:w="2056"/>
        <w:gridCol w:w="2057"/>
      </w:tblGrid>
      <w:tr w:rsidR="00972935" w:rsidRPr="00972935" w:rsidTr="007D7B02">
        <w:trPr>
          <w:trHeight w:val="340"/>
          <w:tblHeader/>
        </w:trPr>
        <w:tc>
          <w:tcPr>
            <w:tcW w:w="2056" w:type="dxa"/>
            <w:tcBorders>
              <w:top w:val="single" w:sz="4" w:space="0" w:color="auto"/>
              <w:bottom w:val="single" w:sz="4" w:space="0" w:color="auto"/>
            </w:tcBorders>
          </w:tcPr>
          <w:p w:rsidR="00972935" w:rsidRPr="00972935" w:rsidRDefault="00972935" w:rsidP="00972935">
            <w:pPr>
              <w:rPr>
                <w:b/>
              </w:rPr>
            </w:pPr>
            <w:r w:rsidRPr="00972935">
              <w:rPr>
                <w:b/>
              </w:rPr>
              <w:lastRenderedPageBreak/>
              <w:t>Description</w:t>
            </w:r>
          </w:p>
        </w:tc>
        <w:tc>
          <w:tcPr>
            <w:tcW w:w="2056" w:type="dxa"/>
            <w:tcBorders>
              <w:top w:val="single" w:sz="4" w:space="0" w:color="auto"/>
              <w:bottom w:val="single" w:sz="4" w:space="0" w:color="auto"/>
            </w:tcBorders>
          </w:tcPr>
          <w:p w:rsidR="00972935" w:rsidRPr="00972935" w:rsidRDefault="00972935" w:rsidP="00972935">
            <w:pPr>
              <w:rPr>
                <w:b/>
              </w:rPr>
            </w:pPr>
            <w:r w:rsidRPr="00972935">
              <w:rPr>
                <w:b/>
              </w:rPr>
              <w:t>THO-North</w:t>
            </w:r>
            <w:r w:rsidRPr="00972935">
              <w:rPr>
                <w:b/>
              </w:rPr>
              <w:br/>
              <w:t>$’000</w:t>
            </w:r>
          </w:p>
        </w:tc>
        <w:tc>
          <w:tcPr>
            <w:tcW w:w="2056" w:type="dxa"/>
            <w:tcBorders>
              <w:top w:val="single" w:sz="4" w:space="0" w:color="auto"/>
              <w:bottom w:val="single" w:sz="4" w:space="0" w:color="auto"/>
            </w:tcBorders>
          </w:tcPr>
          <w:p w:rsidR="00972935" w:rsidRPr="00972935" w:rsidRDefault="00972935" w:rsidP="00972935">
            <w:pPr>
              <w:rPr>
                <w:b/>
              </w:rPr>
            </w:pPr>
            <w:r w:rsidRPr="00972935">
              <w:rPr>
                <w:b/>
              </w:rPr>
              <w:t>THO-North West</w:t>
            </w:r>
            <w:r w:rsidRPr="00972935">
              <w:rPr>
                <w:b/>
              </w:rPr>
              <w:br/>
              <w:t>$’000</w:t>
            </w:r>
          </w:p>
        </w:tc>
        <w:tc>
          <w:tcPr>
            <w:tcW w:w="2056" w:type="dxa"/>
            <w:tcBorders>
              <w:top w:val="single" w:sz="4" w:space="0" w:color="auto"/>
              <w:bottom w:val="single" w:sz="4" w:space="0" w:color="auto"/>
            </w:tcBorders>
          </w:tcPr>
          <w:p w:rsidR="00972935" w:rsidRPr="00972935" w:rsidRDefault="00972935" w:rsidP="00972935">
            <w:pPr>
              <w:rPr>
                <w:b/>
              </w:rPr>
            </w:pPr>
            <w:r w:rsidRPr="00972935">
              <w:rPr>
                <w:b/>
              </w:rPr>
              <w:t>THO-South</w:t>
            </w:r>
            <w:r w:rsidRPr="00972935">
              <w:rPr>
                <w:b/>
              </w:rPr>
              <w:br/>
              <w:t>$’000</w:t>
            </w:r>
          </w:p>
        </w:tc>
        <w:tc>
          <w:tcPr>
            <w:tcW w:w="2057" w:type="dxa"/>
            <w:tcBorders>
              <w:top w:val="single" w:sz="4" w:space="0" w:color="auto"/>
              <w:bottom w:val="single" w:sz="4" w:space="0" w:color="auto"/>
            </w:tcBorders>
          </w:tcPr>
          <w:p w:rsidR="00972935" w:rsidRPr="00972935" w:rsidRDefault="00972935" w:rsidP="00972935">
            <w:pPr>
              <w:rPr>
                <w:b/>
              </w:rPr>
            </w:pPr>
            <w:r w:rsidRPr="00972935">
              <w:rPr>
                <w:b/>
              </w:rPr>
              <w:t>Total</w:t>
            </w:r>
            <w:r w:rsidRPr="00972935">
              <w:rPr>
                <w:b/>
              </w:rPr>
              <w:br/>
              <w:t>$’000</w:t>
            </w:r>
          </w:p>
        </w:tc>
      </w:tr>
      <w:tr w:rsidR="00972935" w:rsidTr="007D7B02">
        <w:trPr>
          <w:trHeight w:val="340"/>
        </w:trPr>
        <w:tc>
          <w:tcPr>
            <w:tcW w:w="2056" w:type="dxa"/>
            <w:tcBorders>
              <w:top w:val="single" w:sz="4" w:space="0" w:color="auto"/>
            </w:tcBorders>
          </w:tcPr>
          <w:p w:rsidR="00972935" w:rsidRPr="00972935" w:rsidRDefault="00972935" w:rsidP="00972935">
            <w:pPr>
              <w:rPr>
                <w:b/>
              </w:rPr>
            </w:pPr>
            <w:r w:rsidRPr="00972935">
              <w:rPr>
                <w:b/>
              </w:rPr>
              <w:t>Assets</w:t>
            </w:r>
          </w:p>
        </w:tc>
        <w:tc>
          <w:tcPr>
            <w:tcW w:w="2056" w:type="dxa"/>
            <w:tcBorders>
              <w:top w:val="single" w:sz="4" w:space="0" w:color="auto"/>
            </w:tcBorders>
          </w:tcPr>
          <w:p w:rsidR="00972935" w:rsidRDefault="00972935" w:rsidP="00972935"/>
        </w:tc>
        <w:tc>
          <w:tcPr>
            <w:tcW w:w="2056" w:type="dxa"/>
            <w:tcBorders>
              <w:top w:val="single" w:sz="4" w:space="0" w:color="auto"/>
            </w:tcBorders>
          </w:tcPr>
          <w:p w:rsidR="00972935" w:rsidRDefault="00972935" w:rsidP="00972935"/>
        </w:tc>
        <w:tc>
          <w:tcPr>
            <w:tcW w:w="2056" w:type="dxa"/>
            <w:tcBorders>
              <w:top w:val="single" w:sz="4" w:space="0" w:color="auto"/>
            </w:tcBorders>
          </w:tcPr>
          <w:p w:rsidR="00972935" w:rsidRDefault="00972935" w:rsidP="00972935"/>
        </w:tc>
        <w:tc>
          <w:tcPr>
            <w:tcW w:w="2057" w:type="dxa"/>
            <w:tcBorders>
              <w:top w:val="single" w:sz="4" w:space="0" w:color="auto"/>
            </w:tcBorders>
          </w:tcPr>
          <w:p w:rsidR="00972935" w:rsidRDefault="00972935" w:rsidP="00972935"/>
        </w:tc>
      </w:tr>
      <w:tr w:rsidR="00972935" w:rsidRPr="007D7B02" w:rsidTr="00972935">
        <w:trPr>
          <w:trHeight w:val="340"/>
        </w:trPr>
        <w:tc>
          <w:tcPr>
            <w:tcW w:w="2056" w:type="dxa"/>
          </w:tcPr>
          <w:p w:rsidR="00972935" w:rsidRPr="007D7B02" w:rsidRDefault="00972935" w:rsidP="00972935">
            <w:pPr>
              <w:rPr>
                <w:i/>
              </w:rPr>
            </w:pPr>
            <w:r w:rsidRPr="007D7B02">
              <w:rPr>
                <w:i/>
              </w:rPr>
              <w:t>Financial assets</w:t>
            </w:r>
          </w:p>
        </w:tc>
        <w:tc>
          <w:tcPr>
            <w:tcW w:w="2056" w:type="dxa"/>
          </w:tcPr>
          <w:p w:rsidR="00972935" w:rsidRPr="007D7B02" w:rsidRDefault="00972935" w:rsidP="00972935">
            <w:pPr>
              <w:rPr>
                <w:i/>
              </w:rPr>
            </w:pPr>
          </w:p>
        </w:tc>
        <w:tc>
          <w:tcPr>
            <w:tcW w:w="2056" w:type="dxa"/>
          </w:tcPr>
          <w:p w:rsidR="00972935" w:rsidRPr="007D7B02" w:rsidRDefault="00972935" w:rsidP="00972935">
            <w:pPr>
              <w:rPr>
                <w:i/>
              </w:rPr>
            </w:pPr>
          </w:p>
        </w:tc>
        <w:tc>
          <w:tcPr>
            <w:tcW w:w="2056" w:type="dxa"/>
          </w:tcPr>
          <w:p w:rsidR="00972935" w:rsidRPr="007D7B02" w:rsidRDefault="00972935" w:rsidP="00972935">
            <w:pPr>
              <w:rPr>
                <w:i/>
              </w:rPr>
            </w:pPr>
          </w:p>
        </w:tc>
        <w:tc>
          <w:tcPr>
            <w:tcW w:w="2057" w:type="dxa"/>
          </w:tcPr>
          <w:p w:rsidR="00972935" w:rsidRPr="007D7B02" w:rsidRDefault="00972935" w:rsidP="00972935">
            <w:pPr>
              <w:rPr>
                <w:i/>
              </w:rPr>
            </w:pPr>
          </w:p>
        </w:tc>
      </w:tr>
      <w:tr w:rsidR="00972935" w:rsidTr="00972935">
        <w:trPr>
          <w:trHeight w:val="340"/>
        </w:trPr>
        <w:tc>
          <w:tcPr>
            <w:tcW w:w="2056" w:type="dxa"/>
          </w:tcPr>
          <w:p w:rsidR="00972935" w:rsidRDefault="00972935" w:rsidP="00972935">
            <w:r>
              <w:t>Cash and deposits</w:t>
            </w:r>
          </w:p>
        </w:tc>
        <w:tc>
          <w:tcPr>
            <w:tcW w:w="2056" w:type="dxa"/>
          </w:tcPr>
          <w:p w:rsidR="00972935" w:rsidRDefault="007D7B02" w:rsidP="00972935">
            <w:r>
              <w:t>35 899</w:t>
            </w:r>
          </w:p>
        </w:tc>
        <w:tc>
          <w:tcPr>
            <w:tcW w:w="2056" w:type="dxa"/>
          </w:tcPr>
          <w:p w:rsidR="00972935" w:rsidRDefault="007D7B02" w:rsidP="00972935">
            <w:r>
              <w:t>13 483</w:t>
            </w:r>
          </w:p>
        </w:tc>
        <w:tc>
          <w:tcPr>
            <w:tcW w:w="2056" w:type="dxa"/>
          </w:tcPr>
          <w:p w:rsidR="00972935" w:rsidRDefault="007D7B02" w:rsidP="00972935">
            <w:r>
              <w:t xml:space="preserve">35 071 </w:t>
            </w:r>
          </w:p>
        </w:tc>
        <w:tc>
          <w:tcPr>
            <w:tcW w:w="2057" w:type="dxa"/>
          </w:tcPr>
          <w:p w:rsidR="00972935" w:rsidRDefault="007D7B02" w:rsidP="00972935">
            <w:r>
              <w:t>84 453</w:t>
            </w:r>
          </w:p>
        </w:tc>
      </w:tr>
      <w:tr w:rsidR="00972935" w:rsidTr="00972935">
        <w:trPr>
          <w:trHeight w:val="340"/>
        </w:trPr>
        <w:tc>
          <w:tcPr>
            <w:tcW w:w="2056" w:type="dxa"/>
          </w:tcPr>
          <w:p w:rsidR="00972935" w:rsidRDefault="00972935" w:rsidP="00972935">
            <w:r>
              <w:t>Receivables</w:t>
            </w:r>
          </w:p>
        </w:tc>
        <w:tc>
          <w:tcPr>
            <w:tcW w:w="2056" w:type="dxa"/>
          </w:tcPr>
          <w:p w:rsidR="00972935" w:rsidRDefault="007D7B02" w:rsidP="00972935">
            <w:r>
              <w:t>4 366</w:t>
            </w:r>
          </w:p>
        </w:tc>
        <w:tc>
          <w:tcPr>
            <w:tcW w:w="2056" w:type="dxa"/>
          </w:tcPr>
          <w:p w:rsidR="00972935" w:rsidRDefault="007D7B02" w:rsidP="00972935">
            <w:r>
              <w:t>2 994</w:t>
            </w:r>
          </w:p>
        </w:tc>
        <w:tc>
          <w:tcPr>
            <w:tcW w:w="2056" w:type="dxa"/>
          </w:tcPr>
          <w:p w:rsidR="00972935" w:rsidRDefault="007D7B02" w:rsidP="00972935">
            <w:r>
              <w:t>14 229</w:t>
            </w:r>
          </w:p>
        </w:tc>
        <w:tc>
          <w:tcPr>
            <w:tcW w:w="2057" w:type="dxa"/>
          </w:tcPr>
          <w:p w:rsidR="00972935" w:rsidRDefault="007D7B02" w:rsidP="00972935">
            <w:r>
              <w:t>21 589</w:t>
            </w:r>
          </w:p>
        </w:tc>
      </w:tr>
      <w:tr w:rsidR="00972935" w:rsidTr="00972935">
        <w:trPr>
          <w:trHeight w:val="340"/>
        </w:trPr>
        <w:tc>
          <w:tcPr>
            <w:tcW w:w="2056" w:type="dxa"/>
          </w:tcPr>
          <w:p w:rsidR="00972935" w:rsidRDefault="00972935" w:rsidP="00972935">
            <w:r>
              <w:t>Other financial assets</w:t>
            </w:r>
          </w:p>
        </w:tc>
        <w:tc>
          <w:tcPr>
            <w:tcW w:w="2056" w:type="dxa"/>
          </w:tcPr>
          <w:p w:rsidR="00972935" w:rsidRDefault="007D7B02" w:rsidP="00972935">
            <w:r>
              <w:t>5 688</w:t>
            </w:r>
          </w:p>
        </w:tc>
        <w:tc>
          <w:tcPr>
            <w:tcW w:w="2056" w:type="dxa"/>
          </w:tcPr>
          <w:p w:rsidR="00972935" w:rsidRDefault="007D7B02" w:rsidP="00972935">
            <w:r>
              <w:t>4 515</w:t>
            </w:r>
          </w:p>
        </w:tc>
        <w:tc>
          <w:tcPr>
            <w:tcW w:w="2056" w:type="dxa"/>
          </w:tcPr>
          <w:p w:rsidR="00972935" w:rsidRDefault="007D7B02" w:rsidP="00972935">
            <w:r>
              <w:t>9 035</w:t>
            </w:r>
          </w:p>
        </w:tc>
        <w:tc>
          <w:tcPr>
            <w:tcW w:w="2057" w:type="dxa"/>
          </w:tcPr>
          <w:p w:rsidR="00972935" w:rsidRDefault="007D7B02" w:rsidP="00972935">
            <w:r>
              <w:t>19 238</w:t>
            </w:r>
          </w:p>
        </w:tc>
      </w:tr>
      <w:tr w:rsidR="00972935" w:rsidRPr="007D7B02" w:rsidTr="00972935">
        <w:trPr>
          <w:trHeight w:val="340"/>
        </w:trPr>
        <w:tc>
          <w:tcPr>
            <w:tcW w:w="2056" w:type="dxa"/>
          </w:tcPr>
          <w:p w:rsidR="00972935" w:rsidRPr="007D7B02" w:rsidRDefault="00972935" w:rsidP="00972935">
            <w:pPr>
              <w:rPr>
                <w:i/>
              </w:rPr>
            </w:pPr>
            <w:r w:rsidRPr="007D7B02">
              <w:rPr>
                <w:i/>
              </w:rPr>
              <w:t>Non-financial assets</w:t>
            </w:r>
          </w:p>
        </w:tc>
        <w:tc>
          <w:tcPr>
            <w:tcW w:w="2056" w:type="dxa"/>
          </w:tcPr>
          <w:p w:rsidR="00972935" w:rsidRPr="007D7B02" w:rsidRDefault="00972935" w:rsidP="00972935">
            <w:pPr>
              <w:rPr>
                <w:i/>
              </w:rPr>
            </w:pPr>
          </w:p>
        </w:tc>
        <w:tc>
          <w:tcPr>
            <w:tcW w:w="2056" w:type="dxa"/>
          </w:tcPr>
          <w:p w:rsidR="00972935" w:rsidRPr="007D7B02" w:rsidRDefault="00972935" w:rsidP="00972935">
            <w:pPr>
              <w:rPr>
                <w:i/>
              </w:rPr>
            </w:pPr>
          </w:p>
        </w:tc>
        <w:tc>
          <w:tcPr>
            <w:tcW w:w="2056" w:type="dxa"/>
          </w:tcPr>
          <w:p w:rsidR="00972935" w:rsidRPr="007D7B02" w:rsidRDefault="00972935" w:rsidP="00972935">
            <w:pPr>
              <w:rPr>
                <w:i/>
              </w:rPr>
            </w:pPr>
          </w:p>
        </w:tc>
        <w:tc>
          <w:tcPr>
            <w:tcW w:w="2057" w:type="dxa"/>
          </w:tcPr>
          <w:p w:rsidR="00972935" w:rsidRPr="007D7B02" w:rsidRDefault="00972935" w:rsidP="00972935">
            <w:pPr>
              <w:rPr>
                <w:i/>
              </w:rPr>
            </w:pPr>
          </w:p>
        </w:tc>
      </w:tr>
      <w:tr w:rsidR="00972935" w:rsidTr="00972935">
        <w:trPr>
          <w:trHeight w:val="340"/>
        </w:trPr>
        <w:tc>
          <w:tcPr>
            <w:tcW w:w="2056" w:type="dxa"/>
          </w:tcPr>
          <w:p w:rsidR="00972935" w:rsidRDefault="00972935" w:rsidP="00972935">
            <w:r>
              <w:t>Inventories</w:t>
            </w:r>
          </w:p>
        </w:tc>
        <w:tc>
          <w:tcPr>
            <w:tcW w:w="2056" w:type="dxa"/>
          </w:tcPr>
          <w:p w:rsidR="00972935" w:rsidRDefault="007D7B02" w:rsidP="00972935">
            <w:r>
              <w:t>2 789</w:t>
            </w:r>
          </w:p>
        </w:tc>
        <w:tc>
          <w:tcPr>
            <w:tcW w:w="2056" w:type="dxa"/>
          </w:tcPr>
          <w:p w:rsidR="00972935" w:rsidRDefault="007D7B02" w:rsidP="00972935">
            <w:r>
              <w:t>1 735</w:t>
            </w:r>
          </w:p>
        </w:tc>
        <w:tc>
          <w:tcPr>
            <w:tcW w:w="2056" w:type="dxa"/>
          </w:tcPr>
          <w:p w:rsidR="00972935" w:rsidRDefault="007D7B02" w:rsidP="00972935">
            <w:r>
              <w:t>4 228</w:t>
            </w:r>
          </w:p>
        </w:tc>
        <w:tc>
          <w:tcPr>
            <w:tcW w:w="2057" w:type="dxa"/>
          </w:tcPr>
          <w:p w:rsidR="00972935" w:rsidRDefault="007D7B02" w:rsidP="00972935">
            <w:r>
              <w:t>8 752</w:t>
            </w:r>
          </w:p>
        </w:tc>
      </w:tr>
      <w:tr w:rsidR="00972935" w:rsidTr="00972935">
        <w:trPr>
          <w:trHeight w:val="340"/>
        </w:trPr>
        <w:tc>
          <w:tcPr>
            <w:tcW w:w="2056" w:type="dxa"/>
          </w:tcPr>
          <w:p w:rsidR="00972935" w:rsidRDefault="00972935" w:rsidP="00972935">
            <w:r>
              <w:t>Assets held for sale</w:t>
            </w:r>
          </w:p>
        </w:tc>
        <w:tc>
          <w:tcPr>
            <w:tcW w:w="2056" w:type="dxa"/>
          </w:tcPr>
          <w:p w:rsidR="00972935" w:rsidRDefault="007D7B02" w:rsidP="00972935">
            <w:r>
              <w:t>340</w:t>
            </w:r>
          </w:p>
        </w:tc>
        <w:tc>
          <w:tcPr>
            <w:tcW w:w="2056" w:type="dxa"/>
          </w:tcPr>
          <w:p w:rsidR="00972935" w:rsidRDefault="007D7B02" w:rsidP="00972935">
            <w:r>
              <w:t>95</w:t>
            </w:r>
          </w:p>
        </w:tc>
        <w:tc>
          <w:tcPr>
            <w:tcW w:w="2056" w:type="dxa"/>
          </w:tcPr>
          <w:p w:rsidR="00972935" w:rsidRDefault="007D7B02" w:rsidP="00972935">
            <w:r>
              <w:t>0</w:t>
            </w:r>
          </w:p>
        </w:tc>
        <w:tc>
          <w:tcPr>
            <w:tcW w:w="2057" w:type="dxa"/>
          </w:tcPr>
          <w:p w:rsidR="00972935" w:rsidRDefault="007D7B02" w:rsidP="00972935">
            <w:r>
              <w:t>435</w:t>
            </w:r>
          </w:p>
        </w:tc>
      </w:tr>
      <w:tr w:rsidR="00972935" w:rsidTr="00972935">
        <w:trPr>
          <w:trHeight w:val="340"/>
        </w:trPr>
        <w:tc>
          <w:tcPr>
            <w:tcW w:w="2056" w:type="dxa"/>
          </w:tcPr>
          <w:p w:rsidR="00972935" w:rsidRDefault="00972935" w:rsidP="00972935">
            <w:r>
              <w:t>Property, plant and equipment</w:t>
            </w:r>
          </w:p>
        </w:tc>
        <w:tc>
          <w:tcPr>
            <w:tcW w:w="2056" w:type="dxa"/>
          </w:tcPr>
          <w:p w:rsidR="00972935" w:rsidRDefault="007D7B02" w:rsidP="00972935">
            <w:r>
              <w:t>387 464</w:t>
            </w:r>
          </w:p>
        </w:tc>
        <w:tc>
          <w:tcPr>
            <w:tcW w:w="2056" w:type="dxa"/>
          </w:tcPr>
          <w:p w:rsidR="00972935" w:rsidRDefault="007D7B02" w:rsidP="00972935">
            <w:r>
              <w:t>102 114</w:t>
            </w:r>
          </w:p>
        </w:tc>
        <w:tc>
          <w:tcPr>
            <w:tcW w:w="2056" w:type="dxa"/>
          </w:tcPr>
          <w:p w:rsidR="00972935" w:rsidRDefault="007D7B02" w:rsidP="00972935">
            <w:r>
              <w:t>442 662</w:t>
            </w:r>
          </w:p>
        </w:tc>
        <w:tc>
          <w:tcPr>
            <w:tcW w:w="2057" w:type="dxa"/>
          </w:tcPr>
          <w:p w:rsidR="00972935" w:rsidRDefault="007D7B02" w:rsidP="00972935">
            <w:r>
              <w:t>932 240</w:t>
            </w:r>
          </w:p>
        </w:tc>
      </w:tr>
      <w:tr w:rsidR="00972935" w:rsidTr="00972935">
        <w:trPr>
          <w:trHeight w:val="340"/>
        </w:trPr>
        <w:tc>
          <w:tcPr>
            <w:tcW w:w="2056" w:type="dxa"/>
          </w:tcPr>
          <w:p w:rsidR="00972935" w:rsidRDefault="00972935" w:rsidP="00972935">
            <w:r>
              <w:t>Intangibles</w:t>
            </w:r>
          </w:p>
        </w:tc>
        <w:tc>
          <w:tcPr>
            <w:tcW w:w="2056" w:type="dxa"/>
          </w:tcPr>
          <w:p w:rsidR="00972935" w:rsidRDefault="007D7B02" w:rsidP="00972935">
            <w:r>
              <w:t>784</w:t>
            </w:r>
          </w:p>
        </w:tc>
        <w:tc>
          <w:tcPr>
            <w:tcW w:w="2056" w:type="dxa"/>
          </w:tcPr>
          <w:p w:rsidR="00972935" w:rsidRDefault="007D7B02" w:rsidP="00972935">
            <w:r>
              <w:t>0</w:t>
            </w:r>
          </w:p>
        </w:tc>
        <w:tc>
          <w:tcPr>
            <w:tcW w:w="2056" w:type="dxa"/>
          </w:tcPr>
          <w:p w:rsidR="00972935" w:rsidRDefault="007D7B02" w:rsidP="00972935">
            <w:r>
              <w:t>0</w:t>
            </w:r>
          </w:p>
        </w:tc>
        <w:tc>
          <w:tcPr>
            <w:tcW w:w="2057" w:type="dxa"/>
          </w:tcPr>
          <w:p w:rsidR="00972935" w:rsidRDefault="007D7B02" w:rsidP="00972935">
            <w:r>
              <w:t>784</w:t>
            </w:r>
          </w:p>
        </w:tc>
      </w:tr>
      <w:tr w:rsidR="00972935" w:rsidTr="007D7B02">
        <w:trPr>
          <w:trHeight w:val="340"/>
        </w:trPr>
        <w:tc>
          <w:tcPr>
            <w:tcW w:w="2056" w:type="dxa"/>
            <w:tcBorders>
              <w:bottom w:val="single" w:sz="4" w:space="0" w:color="auto"/>
            </w:tcBorders>
          </w:tcPr>
          <w:p w:rsidR="00972935" w:rsidRDefault="00972935" w:rsidP="00972935">
            <w:r>
              <w:t>Other assets</w:t>
            </w:r>
          </w:p>
        </w:tc>
        <w:tc>
          <w:tcPr>
            <w:tcW w:w="2056" w:type="dxa"/>
            <w:tcBorders>
              <w:bottom w:val="single" w:sz="4" w:space="0" w:color="auto"/>
            </w:tcBorders>
          </w:tcPr>
          <w:p w:rsidR="00972935" w:rsidRDefault="007D7B02" w:rsidP="00972935">
            <w:r>
              <w:t>1 405</w:t>
            </w:r>
          </w:p>
        </w:tc>
        <w:tc>
          <w:tcPr>
            <w:tcW w:w="2056" w:type="dxa"/>
            <w:tcBorders>
              <w:bottom w:val="single" w:sz="4" w:space="0" w:color="auto"/>
            </w:tcBorders>
          </w:tcPr>
          <w:p w:rsidR="00972935" w:rsidRDefault="007D7B02" w:rsidP="00972935">
            <w:r>
              <w:t>296</w:t>
            </w:r>
          </w:p>
        </w:tc>
        <w:tc>
          <w:tcPr>
            <w:tcW w:w="2056" w:type="dxa"/>
            <w:tcBorders>
              <w:bottom w:val="single" w:sz="4" w:space="0" w:color="auto"/>
            </w:tcBorders>
          </w:tcPr>
          <w:p w:rsidR="00972935" w:rsidRDefault="007D7B02" w:rsidP="00972935">
            <w:r>
              <w:t>2 443</w:t>
            </w:r>
          </w:p>
        </w:tc>
        <w:tc>
          <w:tcPr>
            <w:tcW w:w="2057" w:type="dxa"/>
            <w:tcBorders>
              <w:bottom w:val="single" w:sz="4" w:space="0" w:color="auto"/>
            </w:tcBorders>
          </w:tcPr>
          <w:p w:rsidR="00972935" w:rsidRDefault="007D7B02" w:rsidP="00972935">
            <w:r>
              <w:t>4 144</w:t>
            </w:r>
          </w:p>
        </w:tc>
      </w:tr>
      <w:tr w:rsidR="00972935" w:rsidRPr="007D7B02" w:rsidTr="007D7B02">
        <w:trPr>
          <w:trHeight w:val="340"/>
        </w:trPr>
        <w:tc>
          <w:tcPr>
            <w:tcW w:w="2056" w:type="dxa"/>
            <w:tcBorders>
              <w:top w:val="single" w:sz="4" w:space="0" w:color="auto"/>
            </w:tcBorders>
          </w:tcPr>
          <w:p w:rsidR="00972935" w:rsidRPr="007D7B02" w:rsidRDefault="00972935" w:rsidP="00972935">
            <w:pPr>
              <w:rPr>
                <w:b/>
              </w:rPr>
            </w:pPr>
            <w:r w:rsidRPr="007D7B02">
              <w:rPr>
                <w:b/>
              </w:rPr>
              <w:t>Total assets</w:t>
            </w:r>
          </w:p>
        </w:tc>
        <w:tc>
          <w:tcPr>
            <w:tcW w:w="2056" w:type="dxa"/>
            <w:tcBorders>
              <w:top w:val="single" w:sz="4" w:space="0" w:color="auto"/>
            </w:tcBorders>
          </w:tcPr>
          <w:p w:rsidR="00972935" w:rsidRPr="007D7B02" w:rsidRDefault="007D7B02" w:rsidP="00972935">
            <w:pPr>
              <w:rPr>
                <w:b/>
              </w:rPr>
            </w:pPr>
            <w:r>
              <w:rPr>
                <w:b/>
              </w:rPr>
              <w:t>438 735</w:t>
            </w:r>
          </w:p>
        </w:tc>
        <w:tc>
          <w:tcPr>
            <w:tcW w:w="2056" w:type="dxa"/>
            <w:tcBorders>
              <w:top w:val="single" w:sz="4" w:space="0" w:color="auto"/>
            </w:tcBorders>
          </w:tcPr>
          <w:p w:rsidR="00972935" w:rsidRPr="007D7B02" w:rsidRDefault="007D7B02" w:rsidP="00972935">
            <w:pPr>
              <w:rPr>
                <w:b/>
              </w:rPr>
            </w:pPr>
            <w:r>
              <w:rPr>
                <w:b/>
              </w:rPr>
              <w:t>125 232</w:t>
            </w:r>
          </w:p>
        </w:tc>
        <w:tc>
          <w:tcPr>
            <w:tcW w:w="2056" w:type="dxa"/>
            <w:tcBorders>
              <w:top w:val="single" w:sz="4" w:space="0" w:color="auto"/>
            </w:tcBorders>
          </w:tcPr>
          <w:p w:rsidR="00972935" w:rsidRPr="007D7B02" w:rsidRDefault="007D7B02" w:rsidP="00972935">
            <w:pPr>
              <w:rPr>
                <w:b/>
              </w:rPr>
            </w:pPr>
            <w:r>
              <w:rPr>
                <w:b/>
              </w:rPr>
              <w:t>507 670</w:t>
            </w:r>
          </w:p>
        </w:tc>
        <w:tc>
          <w:tcPr>
            <w:tcW w:w="2057" w:type="dxa"/>
            <w:tcBorders>
              <w:top w:val="single" w:sz="4" w:space="0" w:color="auto"/>
            </w:tcBorders>
          </w:tcPr>
          <w:p w:rsidR="00972935" w:rsidRPr="007D7B02" w:rsidRDefault="007D7B02" w:rsidP="00972935">
            <w:pPr>
              <w:rPr>
                <w:b/>
              </w:rPr>
            </w:pPr>
            <w:r>
              <w:rPr>
                <w:b/>
              </w:rPr>
              <w:t>1 071 635</w:t>
            </w:r>
          </w:p>
        </w:tc>
      </w:tr>
      <w:tr w:rsidR="00972935" w:rsidRPr="007D7B02" w:rsidTr="00972935">
        <w:trPr>
          <w:trHeight w:val="340"/>
        </w:trPr>
        <w:tc>
          <w:tcPr>
            <w:tcW w:w="2056" w:type="dxa"/>
          </w:tcPr>
          <w:p w:rsidR="00972935" w:rsidRPr="007D7B02" w:rsidRDefault="00972935" w:rsidP="00972935">
            <w:pPr>
              <w:rPr>
                <w:b/>
              </w:rPr>
            </w:pPr>
            <w:r w:rsidRPr="007D7B02">
              <w:rPr>
                <w:b/>
              </w:rPr>
              <w:t>Liabilities</w:t>
            </w:r>
          </w:p>
        </w:tc>
        <w:tc>
          <w:tcPr>
            <w:tcW w:w="2056" w:type="dxa"/>
          </w:tcPr>
          <w:p w:rsidR="00972935" w:rsidRPr="007D7B02" w:rsidRDefault="00972935" w:rsidP="00972935">
            <w:pPr>
              <w:rPr>
                <w:b/>
              </w:rPr>
            </w:pPr>
          </w:p>
        </w:tc>
        <w:tc>
          <w:tcPr>
            <w:tcW w:w="2056" w:type="dxa"/>
          </w:tcPr>
          <w:p w:rsidR="00972935" w:rsidRPr="007D7B02" w:rsidRDefault="00972935" w:rsidP="00972935">
            <w:pPr>
              <w:rPr>
                <w:b/>
              </w:rPr>
            </w:pPr>
          </w:p>
        </w:tc>
        <w:tc>
          <w:tcPr>
            <w:tcW w:w="2056" w:type="dxa"/>
          </w:tcPr>
          <w:p w:rsidR="00972935" w:rsidRPr="007D7B02" w:rsidRDefault="00972935" w:rsidP="00972935">
            <w:pPr>
              <w:rPr>
                <w:b/>
              </w:rPr>
            </w:pPr>
          </w:p>
        </w:tc>
        <w:tc>
          <w:tcPr>
            <w:tcW w:w="2057" w:type="dxa"/>
          </w:tcPr>
          <w:p w:rsidR="00972935" w:rsidRPr="007D7B02" w:rsidRDefault="00972935" w:rsidP="00972935">
            <w:pPr>
              <w:rPr>
                <w:b/>
              </w:rPr>
            </w:pPr>
          </w:p>
        </w:tc>
      </w:tr>
      <w:tr w:rsidR="00972935" w:rsidTr="00972935">
        <w:trPr>
          <w:trHeight w:val="340"/>
        </w:trPr>
        <w:tc>
          <w:tcPr>
            <w:tcW w:w="2056" w:type="dxa"/>
          </w:tcPr>
          <w:p w:rsidR="00972935" w:rsidRDefault="00972935" w:rsidP="00972935">
            <w:r>
              <w:t>Payables</w:t>
            </w:r>
          </w:p>
        </w:tc>
        <w:tc>
          <w:tcPr>
            <w:tcW w:w="2056" w:type="dxa"/>
          </w:tcPr>
          <w:p w:rsidR="00972935" w:rsidRDefault="007D7B02" w:rsidP="00972935">
            <w:r>
              <w:t>18 722</w:t>
            </w:r>
          </w:p>
        </w:tc>
        <w:tc>
          <w:tcPr>
            <w:tcW w:w="2056" w:type="dxa"/>
          </w:tcPr>
          <w:p w:rsidR="00972935" w:rsidRDefault="007D7B02" w:rsidP="00972935">
            <w:r>
              <w:t>21 566</w:t>
            </w:r>
          </w:p>
        </w:tc>
        <w:tc>
          <w:tcPr>
            <w:tcW w:w="2056" w:type="dxa"/>
          </w:tcPr>
          <w:p w:rsidR="00972935" w:rsidRDefault="007D7B02" w:rsidP="00972935">
            <w:r>
              <w:t>31 990</w:t>
            </w:r>
          </w:p>
        </w:tc>
        <w:tc>
          <w:tcPr>
            <w:tcW w:w="2057" w:type="dxa"/>
          </w:tcPr>
          <w:p w:rsidR="00972935" w:rsidRDefault="007D7B02" w:rsidP="00972935">
            <w:r>
              <w:t>72 278</w:t>
            </w:r>
          </w:p>
        </w:tc>
      </w:tr>
      <w:tr w:rsidR="00972935" w:rsidTr="00972935">
        <w:trPr>
          <w:trHeight w:val="340"/>
        </w:trPr>
        <w:tc>
          <w:tcPr>
            <w:tcW w:w="2056" w:type="dxa"/>
          </w:tcPr>
          <w:p w:rsidR="00972935" w:rsidRDefault="00972935" w:rsidP="00972935">
            <w:r>
              <w:t>Interest bearing liabilities</w:t>
            </w:r>
          </w:p>
        </w:tc>
        <w:tc>
          <w:tcPr>
            <w:tcW w:w="2056" w:type="dxa"/>
          </w:tcPr>
          <w:p w:rsidR="00972935" w:rsidRDefault="007D7B02" w:rsidP="00972935">
            <w:r>
              <w:t>0</w:t>
            </w:r>
          </w:p>
        </w:tc>
        <w:tc>
          <w:tcPr>
            <w:tcW w:w="2056" w:type="dxa"/>
          </w:tcPr>
          <w:p w:rsidR="00972935" w:rsidRDefault="007D7B02" w:rsidP="00972935">
            <w:r>
              <w:t>0</w:t>
            </w:r>
          </w:p>
        </w:tc>
        <w:tc>
          <w:tcPr>
            <w:tcW w:w="2056" w:type="dxa"/>
          </w:tcPr>
          <w:p w:rsidR="00972935" w:rsidRDefault="007D7B02" w:rsidP="00972935">
            <w:r>
              <w:t>5 000</w:t>
            </w:r>
          </w:p>
        </w:tc>
        <w:tc>
          <w:tcPr>
            <w:tcW w:w="2057" w:type="dxa"/>
          </w:tcPr>
          <w:p w:rsidR="00972935" w:rsidRDefault="007D7B02" w:rsidP="00972935">
            <w:r>
              <w:t>5 000</w:t>
            </w:r>
          </w:p>
        </w:tc>
      </w:tr>
      <w:tr w:rsidR="00972935" w:rsidTr="00972935">
        <w:trPr>
          <w:trHeight w:val="340"/>
        </w:trPr>
        <w:tc>
          <w:tcPr>
            <w:tcW w:w="2056" w:type="dxa"/>
          </w:tcPr>
          <w:p w:rsidR="00972935" w:rsidRDefault="00972935" w:rsidP="00972935">
            <w:r>
              <w:t>Employee benefits</w:t>
            </w:r>
          </w:p>
        </w:tc>
        <w:tc>
          <w:tcPr>
            <w:tcW w:w="2056" w:type="dxa"/>
          </w:tcPr>
          <w:p w:rsidR="00972935" w:rsidRDefault="007D7B02" w:rsidP="00972935">
            <w:r>
              <w:t>63 538</w:t>
            </w:r>
          </w:p>
        </w:tc>
        <w:tc>
          <w:tcPr>
            <w:tcW w:w="2056" w:type="dxa"/>
          </w:tcPr>
          <w:p w:rsidR="00972935" w:rsidRDefault="007D7B02" w:rsidP="00972935">
            <w:r>
              <w:t>33 124</w:t>
            </w:r>
          </w:p>
        </w:tc>
        <w:tc>
          <w:tcPr>
            <w:tcW w:w="2056" w:type="dxa"/>
          </w:tcPr>
          <w:p w:rsidR="00972935" w:rsidRDefault="007D7B02" w:rsidP="00972935">
            <w:r>
              <w:t>108 575</w:t>
            </w:r>
          </w:p>
        </w:tc>
        <w:tc>
          <w:tcPr>
            <w:tcW w:w="2057" w:type="dxa"/>
          </w:tcPr>
          <w:p w:rsidR="00972935" w:rsidRDefault="007D7B02" w:rsidP="00972935">
            <w:r>
              <w:t>205 237</w:t>
            </w:r>
          </w:p>
        </w:tc>
      </w:tr>
      <w:tr w:rsidR="00972935" w:rsidTr="007D7B02">
        <w:trPr>
          <w:trHeight w:val="340"/>
        </w:trPr>
        <w:tc>
          <w:tcPr>
            <w:tcW w:w="2056" w:type="dxa"/>
            <w:tcBorders>
              <w:bottom w:val="single" w:sz="4" w:space="0" w:color="auto"/>
            </w:tcBorders>
          </w:tcPr>
          <w:p w:rsidR="00972935" w:rsidRDefault="00972935" w:rsidP="00972935">
            <w:r>
              <w:t>Other liabilities</w:t>
            </w:r>
          </w:p>
        </w:tc>
        <w:tc>
          <w:tcPr>
            <w:tcW w:w="2056" w:type="dxa"/>
            <w:tcBorders>
              <w:bottom w:val="single" w:sz="4" w:space="0" w:color="auto"/>
            </w:tcBorders>
          </w:tcPr>
          <w:p w:rsidR="00972935" w:rsidRDefault="007D7B02" w:rsidP="00972935">
            <w:r>
              <w:t>3 863</w:t>
            </w:r>
          </w:p>
        </w:tc>
        <w:tc>
          <w:tcPr>
            <w:tcW w:w="2056" w:type="dxa"/>
            <w:tcBorders>
              <w:bottom w:val="single" w:sz="4" w:space="0" w:color="auto"/>
            </w:tcBorders>
          </w:tcPr>
          <w:p w:rsidR="00972935" w:rsidRDefault="007D7B02" w:rsidP="00972935">
            <w:r>
              <w:t>979</w:t>
            </w:r>
          </w:p>
        </w:tc>
        <w:tc>
          <w:tcPr>
            <w:tcW w:w="2056" w:type="dxa"/>
            <w:tcBorders>
              <w:bottom w:val="single" w:sz="4" w:space="0" w:color="auto"/>
            </w:tcBorders>
          </w:tcPr>
          <w:p w:rsidR="00972935" w:rsidRDefault="007D7B02" w:rsidP="00972935">
            <w:r>
              <w:t>7 306</w:t>
            </w:r>
          </w:p>
        </w:tc>
        <w:tc>
          <w:tcPr>
            <w:tcW w:w="2057" w:type="dxa"/>
            <w:tcBorders>
              <w:bottom w:val="single" w:sz="4" w:space="0" w:color="auto"/>
            </w:tcBorders>
          </w:tcPr>
          <w:p w:rsidR="00972935" w:rsidRDefault="007D7B02" w:rsidP="00972935">
            <w:r>
              <w:t>12 148</w:t>
            </w:r>
          </w:p>
        </w:tc>
      </w:tr>
      <w:tr w:rsidR="00972935" w:rsidRPr="007D7B02" w:rsidTr="007D7B02">
        <w:trPr>
          <w:trHeight w:val="340"/>
        </w:trPr>
        <w:tc>
          <w:tcPr>
            <w:tcW w:w="2056" w:type="dxa"/>
            <w:tcBorders>
              <w:top w:val="single" w:sz="4" w:space="0" w:color="auto"/>
              <w:bottom w:val="single" w:sz="4" w:space="0" w:color="auto"/>
            </w:tcBorders>
          </w:tcPr>
          <w:p w:rsidR="00972935" w:rsidRPr="007D7B02" w:rsidRDefault="00972935" w:rsidP="00972935">
            <w:pPr>
              <w:rPr>
                <w:b/>
              </w:rPr>
            </w:pPr>
            <w:r w:rsidRPr="007D7B02">
              <w:rPr>
                <w:b/>
              </w:rPr>
              <w:t>Total liabilities</w:t>
            </w:r>
          </w:p>
        </w:tc>
        <w:tc>
          <w:tcPr>
            <w:tcW w:w="2056" w:type="dxa"/>
            <w:tcBorders>
              <w:top w:val="single" w:sz="4" w:space="0" w:color="auto"/>
              <w:bottom w:val="single" w:sz="4" w:space="0" w:color="auto"/>
            </w:tcBorders>
          </w:tcPr>
          <w:p w:rsidR="00972935" w:rsidRPr="007D7B02" w:rsidRDefault="007D7B02" w:rsidP="00972935">
            <w:pPr>
              <w:rPr>
                <w:b/>
              </w:rPr>
            </w:pPr>
            <w:r>
              <w:rPr>
                <w:b/>
              </w:rPr>
              <w:t>86 123</w:t>
            </w:r>
          </w:p>
        </w:tc>
        <w:tc>
          <w:tcPr>
            <w:tcW w:w="2056" w:type="dxa"/>
            <w:tcBorders>
              <w:top w:val="single" w:sz="4" w:space="0" w:color="auto"/>
              <w:bottom w:val="single" w:sz="4" w:space="0" w:color="auto"/>
            </w:tcBorders>
          </w:tcPr>
          <w:p w:rsidR="00972935" w:rsidRPr="007D7B02" w:rsidRDefault="007D7B02" w:rsidP="00972935">
            <w:pPr>
              <w:rPr>
                <w:b/>
              </w:rPr>
            </w:pPr>
            <w:r>
              <w:rPr>
                <w:b/>
              </w:rPr>
              <w:t>55 669</w:t>
            </w:r>
          </w:p>
        </w:tc>
        <w:tc>
          <w:tcPr>
            <w:tcW w:w="2056" w:type="dxa"/>
            <w:tcBorders>
              <w:top w:val="single" w:sz="4" w:space="0" w:color="auto"/>
              <w:bottom w:val="single" w:sz="4" w:space="0" w:color="auto"/>
            </w:tcBorders>
          </w:tcPr>
          <w:p w:rsidR="00972935" w:rsidRPr="007D7B02" w:rsidRDefault="007D7B02" w:rsidP="00972935">
            <w:pPr>
              <w:rPr>
                <w:b/>
              </w:rPr>
            </w:pPr>
            <w:r>
              <w:rPr>
                <w:b/>
              </w:rPr>
              <w:t>152 871</w:t>
            </w:r>
          </w:p>
        </w:tc>
        <w:tc>
          <w:tcPr>
            <w:tcW w:w="2057" w:type="dxa"/>
            <w:tcBorders>
              <w:top w:val="single" w:sz="4" w:space="0" w:color="auto"/>
              <w:bottom w:val="single" w:sz="4" w:space="0" w:color="auto"/>
            </w:tcBorders>
          </w:tcPr>
          <w:p w:rsidR="00972935" w:rsidRPr="007D7B02" w:rsidRDefault="007D7B02" w:rsidP="00972935">
            <w:pPr>
              <w:rPr>
                <w:b/>
              </w:rPr>
            </w:pPr>
            <w:r>
              <w:rPr>
                <w:b/>
              </w:rPr>
              <w:t>294 663</w:t>
            </w:r>
          </w:p>
        </w:tc>
      </w:tr>
      <w:tr w:rsidR="00972935" w:rsidRPr="007D7B02" w:rsidTr="007D7B02">
        <w:trPr>
          <w:trHeight w:val="340"/>
        </w:trPr>
        <w:tc>
          <w:tcPr>
            <w:tcW w:w="2056" w:type="dxa"/>
            <w:tcBorders>
              <w:top w:val="single" w:sz="4" w:space="0" w:color="auto"/>
              <w:bottom w:val="single" w:sz="4" w:space="0" w:color="auto"/>
            </w:tcBorders>
          </w:tcPr>
          <w:p w:rsidR="00972935" w:rsidRPr="007D7B02" w:rsidRDefault="00972935" w:rsidP="00972935">
            <w:pPr>
              <w:rPr>
                <w:b/>
              </w:rPr>
            </w:pPr>
            <w:r w:rsidRPr="007D7B02">
              <w:rPr>
                <w:b/>
              </w:rPr>
              <w:t>Net assets</w:t>
            </w:r>
          </w:p>
        </w:tc>
        <w:tc>
          <w:tcPr>
            <w:tcW w:w="2056" w:type="dxa"/>
            <w:tcBorders>
              <w:top w:val="single" w:sz="4" w:space="0" w:color="auto"/>
              <w:bottom w:val="single" w:sz="4" w:space="0" w:color="auto"/>
            </w:tcBorders>
          </w:tcPr>
          <w:p w:rsidR="00972935" w:rsidRPr="007D7B02" w:rsidRDefault="007D7B02" w:rsidP="00972935">
            <w:pPr>
              <w:rPr>
                <w:b/>
              </w:rPr>
            </w:pPr>
            <w:r>
              <w:rPr>
                <w:b/>
              </w:rPr>
              <w:t>352 612</w:t>
            </w:r>
          </w:p>
        </w:tc>
        <w:tc>
          <w:tcPr>
            <w:tcW w:w="2056" w:type="dxa"/>
            <w:tcBorders>
              <w:top w:val="single" w:sz="4" w:space="0" w:color="auto"/>
              <w:bottom w:val="single" w:sz="4" w:space="0" w:color="auto"/>
            </w:tcBorders>
          </w:tcPr>
          <w:p w:rsidR="00972935" w:rsidRPr="007D7B02" w:rsidRDefault="007D7B02" w:rsidP="00972935">
            <w:pPr>
              <w:rPr>
                <w:b/>
              </w:rPr>
            </w:pPr>
            <w:r>
              <w:rPr>
                <w:b/>
              </w:rPr>
              <w:t>69 563</w:t>
            </w:r>
          </w:p>
        </w:tc>
        <w:tc>
          <w:tcPr>
            <w:tcW w:w="2056" w:type="dxa"/>
            <w:tcBorders>
              <w:top w:val="single" w:sz="4" w:space="0" w:color="auto"/>
              <w:bottom w:val="single" w:sz="4" w:space="0" w:color="auto"/>
            </w:tcBorders>
          </w:tcPr>
          <w:p w:rsidR="00972935" w:rsidRPr="007D7B02" w:rsidRDefault="007D7B02" w:rsidP="00972935">
            <w:pPr>
              <w:rPr>
                <w:b/>
              </w:rPr>
            </w:pPr>
            <w:r>
              <w:rPr>
                <w:b/>
              </w:rPr>
              <w:t>354 799</w:t>
            </w:r>
          </w:p>
        </w:tc>
        <w:tc>
          <w:tcPr>
            <w:tcW w:w="2057" w:type="dxa"/>
            <w:tcBorders>
              <w:top w:val="single" w:sz="4" w:space="0" w:color="auto"/>
              <w:bottom w:val="single" w:sz="4" w:space="0" w:color="auto"/>
            </w:tcBorders>
          </w:tcPr>
          <w:p w:rsidR="00972935" w:rsidRPr="007D7B02" w:rsidRDefault="007D7B02" w:rsidP="00972935">
            <w:pPr>
              <w:rPr>
                <w:b/>
              </w:rPr>
            </w:pPr>
            <w:r>
              <w:rPr>
                <w:b/>
              </w:rPr>
              <w:t>776 972</w:t>
            </w:r>
          </w:p>
        </w:tc>
      </w:tr>
    </w:tbl>
    <w:p w:rsidR="00972935" w:rsidRDefault="00972935" w:rsidP="00972935">
      <w:r>
        <w:tab/>
      </w:r>
      <w:r>
        <w:tab/>
      </w:r>
    </w:p>
    <w:p w:rsidR="007D7B02" w:rsidRDefault="007D7B02" w:rsidP="007D7B02">
      <w:pPr>
        <w:pStyle w:val="BodyText"/>
      </w:pPr>
      <w:r>
        <w:t xml:space="preserve">In addition, Cancer Screening and Control Services </w:t>
      </w:r>
      <w:proofErr w:type="gramStart"/>
      <w:r>
        <w:t>was</w:t>
      </w:r>
      <w:proofErr w:type="gramEnd"/>
      <w:r>
        <w:t xml:space="preserve"> transferred to the THS from the DHHS on 1 July 2015.</w:t>
      </w:r>
    </w:p>
    <w:p w:rsidR="007D7B02" w:rsidRDefault="007D7B02" w:rsidP="007D7B02">
      <w:pPr>
        <w:pStyle w:val="BodyText"/>
      </w:pPr>
      <w:r>
        <w:t>Details of the restrucutre, and the associated transfer of assets and liabilities, can be found at Note 11.2.</w:t>
      </w:r>
    </w:p>
    <w:p w:rsidR="007D7B02" w:rsidRDefault="007D7B02">
      <w:pPr>
        <w:rPr>
          <w:rFonts w:ascii="Gill Sans MT" w:eastAsia="GillSans-Light" w:hAnsi="Gill Sans MT" w:cs="GillSans-Light"/>
          <w:lang w:val="en-US"/>
        </w:rPr>
      </w:pPr>
      <w:r>
        <w:br w:type="page"/>
      </w:r>
    </w:p>
    <w:p w:rsidR="007D7B02" w:rsidRDefault="007D7B02" w:rsidP="007D7B02">
      <w:pPr>
        <w:pStyle w:val="Heading5"/>
      </w:pPr>
      <w:r>
        <w:lastRenderedPageBreak/>
        <w:t>16.2</w:t>
      </w:r>
      <w:r>
        <w:tab/>
        <w:t>Basis of Accounting</w:t>
      </w:r>
    </w:p>
    <w:p w:rsidR="007D7B02" w:rsidRDefault="007D7B02" w:rsidP="007D7B02">
      <w:pPr>
        <w:pStyle w:val="BodyText"/>
      </w:pPr>
      <w:r>
        <w:t>The Financial Statements are a general purpose financial report and have been prepared in accordance</w:t>
      </w:r>
    </w:p>
    <w:p w:rsidR="007D7B02" w:rsidRDefault="007D7B02" w:rsidP="007D7B02">
      <w:pPr>
        <w:pStyle w:val="BodyText"/>
      </w:pPr>
      <w:proofErr w:type="gramStart"/>
      <w:r>
        <w:t>with</w:t>
      </w:r>
      <w:proofErr w:type="gramEnd"/>
      <w:r>
        <w:t>:</w:t>
      </w:r>
    </w:p>
    <w:p w:rsidR="007D7B02" w:rsidRDefault="007D7B02" w:rsidP="00621B34">
      <w:pPr>
        <w:pStyle w:val="BodyText"/>
        <w:numPr>
          <w:ilvl w:val="0"/>
          <w:numId w:val="53"/>
        </w:numPr>
        <w:ind w:left="567" w:hanging="567"/>
      </w:pPr>
      <w:r>
        <w:t>Australian Accounting Standards and Interpretations issued by the Australian Accounting Standards</w:t>
      </w:r>
    </w:p>
    <w:p w:rsidR="007D7B02" w:rsidRDefault="007D7B02" w:rsidP="00621B34">
      <w:pPr>
        <w:pStyle w:val="BodyText"/>
        <w:numPr>
          <w:ilvl w:val="0"/>
          <w:numId w:val="55"/>
        </w:numPr>
        <w:ind w:left="567" w:hanging="567"/>
      </w:pPr>
      <w:r>
        <w:t>Board; and</w:t>
      </w:r>
    </w:p>
    <w:p w:rsidR="007D7B02" w:rsidRDefault="007D7B02" w:rsidP="007D7B02">
      <w:pPr>
        <w:pStyle w:val="BodyText"/>
        <w:rPr>
          <w:rFonts w:ascii="GillSans-LightItalic" w:hAnsi="GillSans-LightItalic" w:cs="GillSans-LightItalic"/>
          <w:i/>
          <w:iCs/>
        </w:rPr>
      </w:pPr>
      <w:proofErr w:type="gramStart"/>
      <w:r>
        <w:t xml:space="preserve">The Treasurer’s Instructions issued under the provisions of the </w:t>
      </w:r>
      <w:r>
        <w:rPr>
          <w:rFonts w:ascii="GillSans-LightItalic" w:hAnsi="GillSans-LightItalic" w:cs="GillSans-LightItalic"/>
          <w:i/>
          <w:iCs/>
        </w:rPr>
        <w:t>Financial Management and Audit Act 1990.</w:t>
      </w:r>
      <w:proofErr w:type="gramEnd"/>
    </w:p>
    <w:p w:rsidR="007D7B02" w:rsidRDefault="007D7B02" w:rsidP="007D7B02">
      <w:pPr>
        <w:pStyle w:val="BodyText"/>
      </w:pPr>
      <w:r>
        <w:t>The Financial Statements were signed by the Chief Executive Officer on 11 August 2016 and the Acting Chair of the Governing Council on 12 August 2016, and subsequently resigned by the Chief Executive Officer and the Chair of the Governing Council on 13 September 2016.</w:t>
      </w:r>
    </w:p>
    <w:p w:rsidR="007D7B02" w:rsidRDefault="007D7B02" w:rsidP="007D7B02">
      <w:pPr>
        <w:pStyle w:val="BodyText"/>
      </w:pPr>
      <w:r>
        <w:t>Compliance with the Australian Accounting Standards (AAS) may not result in compliance with International Financial Reporting Standards (IFRS), as the AAS include requirements and options available to not-for-profit organisations that are inconsistent with IFRS. The THS is considered to be not-for-profit and has adopted some accounting policies under the AAS that do not comply with IFRS.</w:t>
      </w:r>
    </w:p>
    <w:p w:rsidR="007D7B02" w:rsidRDefault="007D7B02" w:rsidP="007D7B02">
      <w:pPr>
        <w:pStyle w:val="BodyText"/>
      </w:pPr>
      <w:r>
        <w:t>The Financial Statements have been prepared on an accrual basis and, except where stated, are in accordance with the historical cost convention.</w:t>
      </w:r>
    </w:p>
    <w:p w:rsidR="007D7B02" w:rsidRDefault="007D7B02" w:rsidP="007D7B02">
      <w:pPr>
        <w:pStyle w:val="BodyText"/>
      </w:pPr>
      <w:r>
        <w:t>The Financial Statements have been prepared on a going concern basis. The continued existence of the THS in its present form, undertaking its current activities, is dependent on Government policy and on continuing appropriations by Parliament for the THS’ administration and activities.</w:t>
      </w:r>
    </w:p>
    <w:p w:rsidR="007D7B02" w:rsidRDefault="007D7B02" w:rsidP="007D7B02">
      <w:pPr>
        <w:pStyle w:val="BodyText"/>
      </w:pPr>
      <w:r>
        <w:t>The THS has made no assumptions concerning the future that may cause a material adjustment to the carrying amounts of assets and liabilities within the next reporting period.</w:t>
      </w:r>
    </w:p>
    <w:p w:rsidR="007D7B02" w:rsidRDefault="007D7B02" w:rsidP="007D7B02">
      <w:pPr>
        <w:pStyle w:val="Heading5"/>
      </w:pPr>
      <w:r>
        <w:t>16.3</w:t>
      </w:r>
      <w:r>
        <w:tab/>
        <w:t>Functional and Presentation Currency</w:t>
      </w:r>
    </w:p>
    <w:p w:rsidR="007D7B02" w:rsidRDefault="007D7B02" w:rsidP="007D7B02">
      <w:pPr>
        <w:pStyle w:val="BodyText"/>
      </w:pPr>
      <w:r w:rsidRPr="007D7B02">
        <w:t>These Financial Statements are presented in Australian dollars, which is the THS’ functional currency.</w:t>
      </w:r>
    </w:p>
    <w:p w:rsidR="007D7B02" w:rsidRDefault="007D7B02" w:rsidP="007D7B02">
      <w:pPr>
        <w:pStyle w:val="Heading5"/>
      </w:pPr>
      <w:r>
        <w:t>16.4</w:t>
      </w:r>
      <w:r>
        <w:tab/>
        <w:t>Changes in Accounting Policies</w:t>
      </w:r>
    </w:p>
    <w:p w:rsidR="007D7B02" w:rsidRPr="007D7B02" w:rsidRDefault="007D7B02" w:rsidP="007D7B02">
      <w:pPr>
        <w:pStyle w:val="BodyText"/>
        <w:rPr>
          <w:b/>
        </w:rPr>
      </w:pPr>
      <w:r w:rsidRPr="007D7B02">
        <w:rPr>
          <w:b/>
        </w:rPr>
        <w:t>(a)</w:t>
      </w:r>
      <w:r w:rsidRPr="007D7B02">
        <w:rPr>
          <w:b/>
        </w:rPr>
        <w:tab/>
        <w:t>Impact of new and revised Accounting Standards</w:t>
      </w:r>
    </w:p>
    <w:p w:rsidR="007D7B02" w:rsidRDefault="007D7B02" w:rsidP="007D7B02">
      <w:pPr>
        <w:pStyle w:val="BodyText"/>
      </w:pPr>
      <w:r>
        <w:t>In the current year, the THS has adopted all of the new and revised Standards and Interpretations issued by the Australian Accounting Standards Board (AASB) that are relevant to its operations and effective for the current annual reporting period. These include:</w:t>
      </w:r>
    </w:p>
    <w:p w:rsidR="007D7B02" w:rsidRPr="007D7B02" w:rsidRDefault="007D7B02" w:rsidP="00621B34">
      <w:pPr>
        <w:pStyle w:val="BodyText"/>
        <w:numPr>
          <w:ilvl w:val="0"/>
          <w:numId w:val="55"/>
        </w:numPr>
        <w:ind w:left="567" w:hanging="567"/>
        <w:rPr>
          <w:rFonts w:ascii="GillSans-LightItalic" w:hAnsi="GillSans-LightItalic" w:cs="GillSans-LightItalic"/>
          <w:i/>
          <w:iCs/>
        </w:rPr>
      </w:pPr>
      <w:r w:rsidRPr="007D7B02">
        <w:rPr>
          <w:rFonts w:ascii="GillSans-LightItalic" w:hAnsi="GillSans-LightItalic" w:cs="GillSans-LightItalic"/>
          <w:i/>
          <w:iCs/>
        </w:rPr>
        <w:t xml:space="preserve">2013-9 Amendments to Australian Accounting Standards - Conceptual Framework, Materiality and Financial Instruments </w:t>
      </w:r>
      <w:r>
        <w:t xml:space="preserve">[Operative dates: Part A </w:t>
      </w:r>
      <w:r w:rsidRPr="007D7B02">
        <w:rPr>
          <w:rFonts w:ascii="GillSans-LightItalic" w:hAnsi="GillSans-LightItalic" w:cs="GillSans-LightItalic"/>
          <w:i/>
          <w:iCs/>
        </w:rPr>
        <w:t xml:space="preserve">Conceptual Framework </w:t>
      </w:r>
      <w:r>
        <w:t xml:space="preserve">- 20 December 2013; Part B </w:t>
      </w:r>
      <w:r w:rsidRPr="007D7B02">
        <w:rPr>
          <w:rFonts w:ascii="GillSans-LightItalic" w:hAnsi="GillSans-LightItalic" w:cs="GillSans-LightItalic"/>
          <w:i/>
          <w:iCs/>
        </w:rPr>
        <w:t xml:space="preserve">Materiality </w:t>
      </w:r>
      <w:r>
        <w:t xml:space="preserve">- 1 January 2015; Part C </w:t>
      </w:r>
      <w:r w:rsidRPr="007D7B02">
        <w:rPr>
          <w:rFonts w:ascii="GillSans-LightItalic" w:hAnsi="GillSans-LightItalic" w:cs="GillSans-LightItalic"/>
          <w:i/>
          <w:iCs/>
        </w:rPr>
        <w:t xml:space="preserve">Financial Instruments </w:t>
      </w:r>
      <w:r>
        <w:t>- 1 January 2016] - The objective of this Standard is to make amendments to the Standards and Interpretations listed in the Appendix:</w:t>
      </w:r>
    </w:p>
    <w:p w:rsidR="007D7B02" w:rsidRDefault="007D7B02" w:rsidP="00621B34">
      <w:pPr>
        <w:pStyle w:val="BodyText"/>
        <w:numPr>
          <w:ilvl w:val="0"/>
          <w:numId w:val="56"/>
        </w:numPr>
        <w:ind w:left="1134" w:hanging="567"/>
      </w:pPr>
      <w:r>
        <w:t xml:space="preserve">as a consequence of the issue of Accounting Framework AASB CF 2013-1 </w:t>
      </w:r>
      <w:r w:rsidRPr="007D7B02">
        <w:rPr>
          <w:rFonts w:ascii="GillSans-LightItalic" w:hAnsi="GillSans-LightItalic" w:cs="GillSans-LightItalic"/>
          <w:i/>
          <w:iCs/>
        </w:rPr>
        <w:t>Amendments to the Australian Conceptual Framework</w:t>
      </w:r>
      <w:r>
        <w:t>, and editorial corrections, as set out in Part A of the Standard;</w:t>
      </w:r>
    </w:p>
    <w:p w:rsidR="007D7B02" w:rsidRDefault="007D7B02" w:rsidP="00621B34">
      <w:pPr>
        <w:pStyle w:val="BodyText"/>
        <w:numPr>
          <w:ilvl w:val="0"/>
          <w:numId w:val="56"/>
        </w:numPr>
        <w:ind w:left="1134" w:hanging="567"/>
      </w:pPr>
      <w:r>
        <w:t xml:space="preserve">to delete references to AASB 1031 </w:t>
      </w:r>
      <w:r w:rsidRPr="007D7B02">
        <w:rPr>
          <w:rFonts w:ascii="GillSans-LightItalic" w:hAnsi="GillSans-LightItalic" w:cs="GillSans-LightItalic"/>
          <w:i/>
          <w:iCs/>
        </w:rPr>
        <w:t xml:space="preserve">Materiality </w:t>
      </w:r>
      <w:r>
        <w:t>in other AAS, and to make editorial corrections, as set out in Part B of the Standard; and</w:t>
      </w:r>
    </w:p>
    <w:p w:rsidR="007D7B02" w:rsidRDefault="007D7B02" w:rsidP="00621B34">
      <w:pPr>
        <w:pStyle w:val="BodyText"/>
        <w:numPr>
          <w:ilvl w:val="0"/>
          <w:numId w:val="56"/>
        </w:numPr>
        <w:ind w:left="1134" w:hanging="567"/>
      </w:pPr>
      <w:r>
        <w:t xml:space="preserve"> as a consequence of the issuance of IFRS 9 </w:t>
      </w:r>
      <w:r w:rsidRPr="007D7B02">
        <w:rPr>
          <w:rFonts w:ascii="GillSans-LightItalic" w:hAnsi="GillSans-LightItalic" w:cs="GillSans-LightItalic"/>
          <w:i/>
          <w:iCs/>
        </w:rPr>
        <w:t xml:space="preserve">Financial Instruments - Hedge Accounting </w:t>
      </w:r>
      <w:r>
        <w:t>and amendments to IFRS 9, IFRS 7, and IAS 39 by the IASB in November 2013, as set out in Part C of the Standard.</w:t>
      </w:r>
      <w:r>
        <w:br/>
      </w:r>
      <w:r>
        <w:br/>
        <w:t>There is no financial impact.</w:t>
      </w:r>
    </w:p>
    <w:p w:rsidR="007D7B02" w:rsidRPr="00621B34" w:rsidRDefault="007D7B02" w:rsidP="00621B34">
      <w:pPr>
        <w:pStyle w:val="BodyText"/>
        <w:numPr>
          <w:ilvl w:val="0"/>
          <w:numId w:val="56"/>
        </w:numPr>
        <w:ind w:left="567" w:hanging="567"/>
      </w:pPr>
      <w:r w:rsidRPr="00621B34">
        <w:lastRenderedPageBreak/>
        <w:t>2015-1 Amendments to Australian Accounting Standards - Annual Improvements to Australian Accounting Standards 2012-14 Cycle [AASB 1, AASB 2, AASB 3, AASB 5, AASB 7, AASB 11, AASB 110, AASB 110, AASB 119, AASB 121, AASB 133, AASB 134, AASB 137, &amp; AASB 140] - The objective of this Standard is to make amendments to AAS that arise from the issuance of International Financial Reporting Standard Annual Improvements to IFRSs 2012- 2014 Cycle by the IASB. This Standard applies to annual reporting periods beginning on or after 1 January 2016. There is no financial impact.</w:t>
      </w:r>
    </w:p>
    <w:p w:rsidR="007D7B02" w:rsidRPr="00621B34" w:rsidRDefault="007D7B02" w:rsidP="00621B34">
      <w:pPr>
        <w:pStyle w:val="BodyText"/>
        <w:numPr>
          <w:ilvl w:val="0"/>
          <w:numId w:val="56"/>
        </w:numPr>
        <w:ind w:left="567" w:hanging="567"/>
      </w:pPr>
      <w:r w:rsidRPr="00621B34">
        <w:t xml:space="preserve">AASB 2015-2 Amendments to Australian Accounting Standards - Disclosure Initiative: Amendments to AASB 101 [AASB 7, AASB 101, AASB 134 &amp; AASB 1049] - The objective of this Standard is to amend AASB 101 to provide clarification regarding the disclosure requirements in AASB 101. This Standard applies to annual reporting periods beginning on or after 1 January 2016. This has resulted in some changes in the presentation of these financial statements. </w:t>
      </w:r>
    </w:p>
    <w:p w:rsidR="00621B34" w:rsidRPr="00621B34" w:rsidRDefault="007D7B02" w:rsidP="00621B34">
      <w:pPr>
        <w:pStyle w:val="BodyText"/>
        <w:numPr>
          <w:ilvl w:val="0"/>
          <w:numId w:val="56"/>
        </w:numPr>
        <w:ind w:left="567" w:hanging="567"/>
      </w:pPr>
      <w:r w:rsidRPr="00621B34">
        <w:t xml:space="preserve">AASB 2015-3 Amendments to Australian Accounting Standards arising from the Withdrawal of AASB 1031 Materiality - The objective of this Standard is to </w:t>
      </w:r>
      <w:proofErr w:type="gramStart"/>
      <w:r w:rsidRPr="00621B34">
        <w:t>effect</w:t>
      </w:r>
      <w:proofErr w:type="gramEnd"/>
      <w:r w:rsidRPr="00621B34">
        <w:t xml:space="preserve"> the withdrawal of AASB 1031 Materiality and to delete references to AASB 1031 in the Australian Accounting Standards. This Standard is applicable to annual</w:t>
      </w:r>
      <w:r w:rsidR="00621B34" w:rsidRPr="00621B34">
        <w:t xml:space="preserve"> </w:t>
      </w:r>
      <w:r w:rsidRPr="00621B34">
        <w:t>reporting periods beginning on or after 1 July 2015. There is no financial impact.</w:t>
      </w:r>
    </w:p>
    <w:p w:rsidR="00621B34" w:rsidRPr="00621B34" w:rsidRDefault="00621B34" w:rsidP="00621B34">
      <w:pPr>
        <w:pStyle w:val="BodyText"/>
      </w:pPr>
      <w:r w:rsidRPr="00621B34">
        <w:t>(b)</w:t>
      </w:r>
      <w:r w:rsidRPr="00621B34">
        <w:tab/>
        <w:t>Impact of new and revised Accounting Standards yet to be applied</w:t>
      </w:r>
    </w:p>
    <w:p w:rsidR="00621B34" w:rsidRPr="00621B34" w:rsidRDefault="00621B34" w:rsidP="00621B34">
      <w:pPr>
        <w:pStyle w:val="BodyText"/>
      </w:pPr>
      <w:r w:rsidRPr="00621B34">
        <w:t>The following applicable Standards have been issued by the AASB and are yet to be applied:</w:t>
      </w:r>
    </w:p>
    <w:p w:rsidR="00621B34" w:rsidRPr="00621B34" w:rsidRDefault="00621B34" w:rsidP="00621B34">
      <w:pPr>
        <w:pStyle w:val="BodyText"/>
      </w:pPr>
      <w:r w:rsidRPr="00621B34">
        <w:t xml:space="preserve">• AASB 15 </w:t>
      </w:r>
      <w:r w:rsidRPr="00621B34">
        <w:rPr>
          <w:rFonts w:cs="GillSans-LightItalic"/>
          <w:i/>
          <w:iCs/>
        </w:rPr>
        <w:t xml:space="preserve">Revenue from Contracts with Customers </w:t>
      </w:r>
      <w:r w:rsidRPr="00621B34">
        <w:t>– The objective of this Standard is to establish the principles that an entity shall apply to report useful information to users of financial statements about the nature, amount, timing, and uncertainty of revenue and cash flows arising from a contract with a customer. This Standard applies to annual reporting periods beginning on or after 1 January 2017.</w:t>
      </w:r>
    </w:p>
    <w:p w:rsidR="00621B34" w:rsidRPr="00621B34" w:rsidRDefault="00621B34" w:rsidP="00621B34">
      <w:pPr>
        <w:pStyle w:val="BodyText"/>
      </w:pPr>
      <w:r w:rsidRPr="00621B34">
        <w:t>Where an entity applies the Standard to an earlier annual reporting period, it shall disclose that fact.</w:t>
      </w:r>
    </w:p>
    <w:p w:rsidR="00621B34" w:rsidRPr="00621B34" w:rsidRDefault="00621B34" w:rsidP="00621B34">
      <w:pPr>
        <w:pStyle w:val="BodyText"/>
      </w:pPr>
      <w:r w:rsidRPr="00621B34">
        <w:t>The THS does not believe there will be any financial impact.</w:t>
      </w:r>
    </w:p>
    <w:p w:rsidR="00621B34" w:rsidRPr="00621B34" w:rsidRDefault="00621B34" w:rsidP="00621B34">
      <w:pPr>
        <w:pStyle w:val="BodyText"/>
        <w:numPr>
          <w:ilvl w:val="0"/>
          <w:numId w:val="56"/>
        </w:numPr>
        <w:ind w:left="567" w:hanging="567"/>
      </w:pPr>
      <w:r w:rsidRPr="00621B34">
        <w:t xml:space="preserve">2010-7, 2014-7 and 2014-8 </w:t>
      </w:r>
      <w:r w:rsidRPr="00621B34">
        <w:rPr>
          <w:rFonts w:cs="GillSans-LightItalic"/>
          <w:i/>
          <w:iCs/>
        </w:rPr>
        <w:t xml:space="preserve">Amendments to Australian Accounting Standards arising from AASB 9 </w:t>
      </w:r>
      <w:r w:rsidRPr="00621B34">
        <w:t xml:space="preserve">– The objective of these Standards is to make amendments to various standards as a consequence of the issuance of AASB 9 </w:t>
      </w:r>
      <w:r w:rsidRPr="00621B34">
        <w:rPr>
          <w:rFonts w:cs="GillSans-LightItalic"/>
          <w:i/>
          <w:iCs/>
        </w:rPr>
        <w:t xml:space="preserve">Financial Instruments </w:t>
      </w:r>
      <w:r w:rsidRPr="00621B34">
        <w:t>in December 2010. The THS has determined that there will be no financial impact.</w:t>
      </w:r>
    </w:p>
    <w:p w:rsidR="00621B34" w:rsidRPr="00621B34" w:rsidRDefault="00621B34" w:rsidP="00621B34">
      <w:pPr>
        <w:pStyle w:val="BodyText"/>
        <w:numPr>
          <w:ilvl w:val="0"/>
          <w:numId w:val="56"/>
        </w:numPr>
        <w:ind w:left="567" w:hanging="567"/>
      </w:pPr>
      <w:r w:rsidRPr="00621B34">
        <w:t xml:space="preserve">2014-5 </w:t>
      </w:r>
      <w:r w:rsidRPr="00621B34">
        <w:rPr>
          <w:rFonts w:cs="GillSans-LightItalic"/>
          <w:i/>
          <w:iCs/>
        </w:rPr>
        <w:t xml:space="preserve">Amendments to Australian Accounting Standards arising from AASB 15 </w:t>
      </w:r>
      <w:r w:rsidRPr="00621B34">
        <w:t xml:space="preserve">- The objective of this Standard is to make amendments to AAS and Interpretations arising from the issuance of AASB 15 </w:t>
      </w:r>
      <w:r w:rsidRPr="00621B34">
        <w:rPr>
          <w:rFonts w:cs="GillSans-LightItalic"/>
          <w:i/>
          <w:iCs/>
        </w:rPr>
        <w:t>Revenue from Contracts with Customers</w:t>
      </w:r>
      <w:r w:rsidRPr="00621B34">
        <w:t>. This Standard applies to annual reporting periods beginning on or after 1 January 2017, except that the amendments to AASB 9 (December 2009) and AASB 9 (December 2010) apply to annual reporting periods beginning on or after 1 January 2018. This Standard shall be applied when AASB 15 is applied. The THS does not believe there will by any financial impact.</w:t>
      </w:r>
    </w:p>
    <w:p w:rsidR="00621B34" w:rsidRPr="00621B34" w:rsidRDefault="00621B34" w:rsidP="00621B34">
      <w:pPr>
        <w:pStyle w:val="BodyText"/>
        <w:numPr>
          <w:ilvl w:val="0"/>
          <w:numId w:val="56"/>
        </w:numPr>
        <w:ind w:left="567" w:hanging="567"/>
      </w:pPr>
      <w:r w:rsidRPr="00621B34">
        <w:t xml:space="preserve">2015-6 </w:t>
      </w:r>
      <w:r w:rsidRPr="00621B34">
        <w:rPr>
          <w:rFonts w:cs="GillSans-LightItalic"/>
          <w:i/>
          <w:iCs/>
        </w:rPr>
        <w:t xml:space="preserve">Amendments to Australian Accounting Standards - Extending Related Party Disclosures to </w:t>
      </w:r>
      <w:proofErr w:type="gramStart"/>
      <w:r w:rsidRPr="00621B34">
        <w:rPr>
          <w:rFonts w:cs="GillSans-LightItalic"/>
          <w:i/>
          <w:iCs/>
        </w:rPr>
        <w:t>Not-</w:t>
      </w:r>
      <w:proofErr w:type="gramEnd"/>
      <w:r w:rsidRPr="00621B34">
        <w:rPr>
          <w:rFonts w:cs="GillSans-LightItalic"/>
          <w:i/>
          <w:iCs/>
        </w:rPr>
        <w:t xml:space="preserve">for- Profit Public Sector Entities </w:t>
      </w:r>
      <w:r w:rsidRPr="00621B34">
        <w:t xml:space="preserve">- The objective of this Standard is to make amendments to AASB 124 </w:t>
      </w:r>
      <w:r w:rsidRPr="00621B34">
        <w:rPr>
          <w:rFonts w:cs="GillSans-LightItalic"/>
          <w:i/>
          <w:iCs/>
        </w:rPr>
        <w:t xml:space="preserve">Related Party Disclosures </w:t>
      </w:r>
      <w:r w:rsidRPr="00621B34">
        <w:t>to extend the scope of that Standard to include not-for-profit public sector entities. This Standard applies to annual reporting periods beginning on or after 1 July 2016. The impact is increased disclosure in relation to related parties.</w:t>
      </w:r>
    </w:p>
    <w:p w:rsidR="00621B34" w:rsidRPr="00621B34" w:rsidRDefault="00621B34" w:rsidP="00621B34">
      <w:pPr>
        <w:pStyle w:val="BodyText"/>
        <w:numPr>
          <w:ilvl w:val="0"/>
          <w:numId w:val="56"/>
        </w:numPr>
        <w:adjustRightInd w:val="0"/>
        <w:spacing w:after="0" w:line="240" w:lineRule="auto"/>
        <w:ind w:left="567" w:hanging="567"/>
        <w:rPr>
          <w:rFonts w:cs="GillSans-LightItalic"/>
          <w:i/>
          <w:iCs/>
        </w:rPr>
      </w:pPr>
      <w:r w:rsidRPr="00621B34">
        <w:t xml:space="preserve">2015-8 </w:t>
      </w:r>
      <w:r w:rsidRPr="00621B34">
        <w:rPr>
          <w:rFonts w:cs="GillSans-LightItalic"/>
          <w:i/>
          <w:iCs/>
        </w:rPr>
        <w:t xml:space="preserve">Amendments to Australian Accounting Standards - Effective Date of AASB 15 </w:t>
      </w:r>
      <w:r w:rsidRPr="00621B34">
        <w:t xml:space="preserve">- The objective of this Standard is to amend the mandatory effective date of AASB 15 </w:t>
      </w:r>
      <w:r w:rsidRPr="00621B34">
        <w:rPr>
          <w:rFonts w:cs="GillSans-LightItalic"/>
          <w:i/>
          <w:iCs/>
        </w:rPr>
        <w:t xml:space="preserve">Revenue from Contracts with Customers </w:t>
      </w:r>
      <w:r w:rsidRPr="00621B34">
        <w:t>so that AASB 15 is required to be applied for annual reporting periods beginning on or after 1 January 2018 instead of 1 January 2017. The THS does not believe there will be any financial impact.</w:t>
      </w:r>
    </w:p>
    <w:p w:rsidR="00621B34" w:rsidRDefault="00621B34" w:rsidP="00621B34">
      <w:pPr>
        <w:pStyle w:val="BodyText"/>
        <w:numPr>
          <w:ilvl w:val="0"/>
          <w:numId w:val="56"/>
        </w:numPr>
        <w:adjustRightInd w:val="0"/>
        <w:spacing w:after="0" w:line="240" w:lineRule="auto"/>
        <w:ind w:left="567" w:hanging="567"/>
      </w:pPr>
      <w:r w:rsidRPr="00621B34">
        <w:t xml:space="preserve">2016-2 </w:t>
      </w:r>
      <w:r w:rsidRPr="00621B34">
        <w:rPr>
          <w:rFonts w:cs="GillSans-LightItalic"/>
          <w:i/>
          <w:iCs/>
        </w:rPr>
        <w:t xml:space="preserve">Amendments to Australian Accounting Standards - Disclosure Initiative: Amendments to AASB 107 </w:t>
      </w:r>
      <w:r w:rsidRPr="00621B34">
        <w:t xml:space="preserve">- The objective of this Standard is to amend AASB 107 </w:t>
      </w:r>
      <w:r w:rsidRPr="00621B34">
        <w:rPr>
          <w:rFonts w:cs="GillSans-LightItalic"/>
          <w:i/>
          <w:iCs/>
        </w:rPr>
        <w:t xml:space="preserve">Statement of Cash Flows </w:t>
      </w:r>
      <w:r w:rsidRPr="00621B34">
        <w:t>to require entities</w:t>
      </w:r>
      <w:r>
        <w:t xml:space="preserve"> </w:t>
      </w:r>
      <w:r w:rsidRPr="00621B34">
        <w:t xml:space="preserve">preparing </w:t>
      </w:r>
      <w:r w:rsidRPr="00621B34">
        <w:lastRenderedPageBreak/>
        <w:t>statements in accordance with Tier 1 reporting requirements to provide disclosures that</w:t>
      </w:r>
      <w:r>
        <w:t xml:space="preserve"> </w:t>
      </w:r>
      <w:r w:rsidRPr="00621B34">
        <w:t>enable users of financial statements to evaluate changes in liabilities arising from financing activities,</w:t>
      </w:r>
      <w:r>
        <w:t xml:space="preserve"> </w:t>
      </w:r>
      <w:r w:rsidRPr="00621B34">
        <w:t>including both changes arising from cash flows and non-cash changes. This standard applies to annual</w:t>
      </w:r>
      <w:r>
        <w:t xml:space="preserve"> </w:t>
      </w:r>
      <w:r w:rsidRPr="00621B34">
        <w:t>reporting periods beginning on or after 1 January 2017. The impact is increased disclosure in relation to</w:t>
      </w:r>
      <w:r>
        <w:t xml:space="preserve"> </w:t>
      </w:r>
      <w:r w:rsidRPr="00621B34">
        <w:t>cash flows and non-cash changes.</w:t>
      </w:r>
      <w:r>
        <w:t xml:space="preserve"> </w:t>
      </w:r>
    </w:p>
    <w:p w:rsidR="00621B34" w:rsidRDefault="00621B34" w:rsidP="00621B34">
      <w:pPr>
        <w:pStyle w:val="BodyText"/>
        <w:numPr>
          <w:ilvl w:val="0"/>
          <w:numId w:val="56"/>
        </w:numPr>
        <w:adjustRightInd w:val="0"/>
        <w:spacing w:after="0" w:line="240" w:lineRule="auto"/>
        <w:ind w:left="567" w:hanging="567"/>
      </w:pPr>
      <w:r w:rsidRPr="00621B34">
        <w:t xml:space="preserve">AASB 16 </w:t>
      </w:r>
      <w:r w:rsidRPr="00621B34">
        <w:rPr>
          <w:rFonts w:cs="GillSans-LightItalic"/>
          <w:i/>
          <w:iCs/>
        </w:rPr>
        <w:t xml:space="preserve">Leases </w:t>
      </w:r>
      <w:r w:rsidRPr="00621B34">
        <w:t>- The objective of this Standard is to introduce a single lessee accounting model and</w:t>
      </w:r>
      <w:r>
        <w:t xml:space="preserve"> </w:t>
      </w:r>
      <w:r w:rsidRPr="00621B34">
        <w:t>require a lessee to recognise assets and liabilities for all leases with a term of more than 12 months,</w:t>
      </w:r>
      <w:r>
        <w:t xml:space="preserve"> </w:t>
      </w:r>
      <w:r w:rsidRPr="00621B34">
        <w:t>unless the underlying asset is of low value. This Standard applies to annual reporting periods beginning</w:t>
      </w:r>
      <w:r>
        <w:t xml:space="preserve"> </w:t>
      </w:r>
      <w:r w:rsidRPr="00621B34">
        <w:t>on or after 1 January 2019. The impact is enhanced disclosure in relation to leases. The THS has yet to</w:t>
      </w:r>
      <w:r>
        <w:t xml:space="preserve"> </w:t>
      </w:r>
      <w:r w:rsidRPr="00621B34">
        <w:t>calculate the financial impact due to the expected movements in operating lease balances between 30</w:t>
      </w:r>
      <w:r>
        <w:t xml:space="preserve"> </w:t>
      </w:r>
      <w:r w:rsidRPr="00621B34">
        <w:t>June 2016 and 30 June 2019. Currently, all operating leases listed in the Commitments note would be</w:t>
      </w:r>
      <w:r>
        <w:t xml:space="preserve"> </w:t>
      </w:r>
      <w:r w:rsidRPr="00621B34">
        <w:t>recognised as assets and liabilities under the new standard.</w:t>
      </w:r>
    </w:p>
    <w:p w:rsidR="00621B34" w:rsidRDefault="00621B34" w:rsidP="00621B34">
      <w:pPr>
        <w:pStyle w:val="BodyText"/>
        <w:adjustRightInd w:val="0"/>
        <w:spacing w:after="0" w:line="240" w:lineRule="auto"/>
      </w:pPr>
    </w:p>
    <w:p w:rsidR="00621B34" w:rsidRDefault="00621B34" w:rsidP="00621B34">
      <w:pPr>
        <w:pStyle w:val="Heading5"/>
      </w:pPr>
      <w:r>
        <w:t>16.5</w:t>
      </w:r>
      <w:r>
        <w:tab/>
        <w:t>Rounding</w:t>
      </w:r>
    </w:p>
    <w:p w:rsidR="00621B34" w:rsidRDefault="00621B34" w:rsidP="00621B34">
      <w:pPr>
        <w:pStyle w:val="BodyText"/>
      </w:pPr>
      <w:r>
        <w:t>All amounts in the Financial Statements have been rounded to the nearest thousand dollars, unless otherwise stated. Amounts less than $500 are rounded to zero.</w:t>
      </w:r>
    </w:p>
    <w:p w:rsidR="00621B34" w:rsidRDefault="00621B34" w:rsidP="00621B34">
      <w:pPr>
        <w:pStyle w:val="BodyText"/>
      </w:pPr>
    </w:p>
    <w:p w:rsidR="00621B34" w:rsidRDefault="00621B34" w:rsidP="00621B34">
      <w:pPr>
        <w:pStyle w:val="Heading5"/>
      </w:pPr>
      <w:r>
        <w:t xml:space="preserve">16.6 </w:t>
      </w:r>
      <w:r>
        <w:tab/>
        <w:t>Departmental Taxation</w:t>
      </w:r>
    </w:p>
    <w:p w:rsidR="00621B34" w:rsidRDefault="00621B34" w:rsidP="00621B34">
      <w:pPr>
        <w:pStyle w:val="BodyText"/>
      </w:pPr>
      <w:r>
        <w:t>The THS is exempt from all forms of taxation except Fringe Benefits Tax (FBT) and the Goods and Services Tax (GST).</w:t>
      </w:r>
    </w:p>
    <w:p w:rsidR="00621B34" w:rsidRDefault="00621B34" w:rsidP="00621B34">
      <w:pPr>
        <w:pStyle w:val="BodyText"/>
        <w:rPr>
          <w:rFonts w:ascii="GillSans-Light" w:hAnsi="GillSans-Light"/>
        </w:rPr>
      </w:pPr>
    </w:p>
    <w:p w:rsidR="00621B34" w:rsidRDefault="00621B34" w:rsidP="00621B34">
      <w:pPr>
        <w:pStyle w:val="Heading5"/>
      </w:pPr>
      <w:r>
        <w:t>16.7</w:t>
      </w:r>
      <w:r>
        <w:tab/>
        <w:t>Goods and Services Tax</w:t>
      </w:r>
    </w:p>
    <w:p w:rsidR="00621B34" w:rsidRDefault="00621B34" w:rsidP="00621B34">
      <w:pPr>
        <w:pStyle w:val="BodyText"/>
      </w:pPr>
      <w:r>
        <w:t>Revenue, expenses and assets are recognised net of the amount of GST, except where the GST incurred is not recoverable from the Australian Taxation Office (ATO). Receivables and payables are stated inclusive of GST. The net amount recoverable, or payable, to the ATO is recognised as an asset or liability within the Statement of Financial Position.</w:t>
      </w:r>
    </w:p>
    <w:p w:rsidR="00621B34" w:rsidRDefault="00621B34" w:rsidP="00621B34">
      <w:pPr>
        <w:pStyle w:val="BodyText"/>
      </w:pPr>
      <w:r>
        <w:t>In the Statement of Cash Flows, the GST component of cash flows arising from operating, investing or financing activities which is recoverable from, or payable to, the ATO is, in accordance with the AAS, classified as operating cash flows.</w:t>
      </w:r>
    </w:p>
    <w:p w:rsidR="00621B34" w:rsidRDefault="00621B34">
      <w:pPr>
        <w:rPr>
          <w:rFonts w:ascii="Gill Sans MT" w:eastAsia="GillSans-Light" w:hAnsi="Gill Sans MT" w:cs="GillSans-Light"/>
          <w:lang w:val="en-US"/>
        </w:rPr>
      </w:pPr>
      <w:r>
        <w:br w:type="page"/>
      </w:r>
    </w:p>
    <w:p w:rsidR="00621B34" w:rsidRDefault="00621B34" w:rsidP="00621B34">
      <w:pPr>
        <w:pStyle w:val="BodyText"/>
      </w:pPr>
      <w:r>
        <w:rPr>
          <w:noProof/>
          <w:lang w:val="en-AU" w:eastAsia="en-AU"/>
        </w:rPr>
        <w:lastRenderedPageBreak/>
        <w:drawing>
          <wp:inline distT="0" distB="0" distL="0" distR="0">
            <wp:extent cx="6391275" cy="1212349"/>
            <wp:effectExtent l="0" t="0" r="0" b="6985"/>
            <wp:docPr id="2" name="Picture 2" title="Tasmanian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1212349"/>
                    </a:xfrm>
                    <a:prstGeom prst="rect">
                      <a:avLst/>
                    </a:prstGeom>
                    <a:noFill/>
                    <a:ln>
                      <a:noFill/>
                    </a:ln>
                  </pic:spPr>
                </pic:pic>
              </a:graphicData>
            </a:graphic>
          </wp:inline>
        </w:drawing>
      </w:r>
    </w:p>
    <w:p w:rsidR="00621B34" w:rsidRPr="00621B34" w:rsidRDefault="00621B34" w:rsidP="00621B34">
      <w:pPr>
        <w:pStyle w:val="BodyText"/>
        <w:rPr>
          <w:b/>
        </w:rPr>
      </w:pPr>
      <w:r w:rsidRPr="00621B34">
        <w:rPr>
          <w:b/>
        </w:rPr>
        <w:t xml:space="preserve">Independent Auditor’s Report </w:t>
      </w:r>
    </w:p>
    <w:p w:rsidR="00621B34" w:rsidRPr="00621B34" w:rsidRDefault="00621B34" w:rsidP="00621B34">
      <w:pPr>
        <w:pStyle w:val="BodyText"/>
        <w:rPr>
          <w:b/>
        </w:rPr>
      </w:pPr>
      <w:r w:rsidRPr="00621B34">
        <w:rPr>
          <w:b/>
        </w:rPr>
        <w:t>To Members of the Tasmanian Parliament</w:t>
      </w:r>
    </w:p>
    <w:p w:rsidR="00621B34" w:rsidRPr="00621B34" w:rsidRDefault="00621B34" w:rsidP="00621B34">
      <w:pPr>
        <w:pStyle w:val="BodyText"/>
        <w:rPr>
          <w:b/>
        </w:rPr>
      </w:pPr>
      <w:r w:rsidRPr="00621B34">
        <w:rPr>
          <w:b/>
        </w:rPr>
        <w:t>Tasmanian Health Service</w:t>
      </w:r>
    </w:p>
    <w:p w:rsidR="00621B34" w:rsidRPr="00621B34" w:rsidRDefault="00621B34" w:rsidP="00621B34">
      <w:pPr>
        <w:pStyle w:val="BodyText"/>
        <w:rPr>
          <w:b/>
        </w:rPr>
      </w:pPr>
      <w:r w:rsidRPr="00621B34">
        <w:rPr>
          <w:b/>
        </w:rPr>
        <w:t>Financial Statements for the Year Ended 30 June 2016</w:t>
      </w:r>
    </w:p>
    <w:p w:rsidR="00621B34" w:rsidRPr="00621B34" w:rsidRDefault="00621B34" w:rsidP="00621B34">
      <w:pPr>
        <w:pStyle w:val="BodyText"/>
        <w:rPr>
          <w:b/>
        </w:rPr>
      </w:pPr>
      <w:r w:rsidRPr="00621B34">
        <w:rPr>
          <w:b/>
        </w:rPr>
        <w:t>Report on the Financial Statements</w:t>
      </w:r>
    </w:p>
    <w:p w:rsidR="00621B34" w:rsidRDefault="00621B34" w:rsidP="00621B34">
      <w:pPr>
        <w:pStyle w:val="BodyText"/>
        <w:rPr>
          <w:rFonts w:ascii="Calibri" w:hAnsi="Calibri" w:cs="Calibri"/>
        </w:rPr>
      </w:pPr>
      <w:r>
        <w:rPr>
          <w:rFonts w:ascii="Calibri" w:hAnsi="Calibri" w:cs="Calibri"/>
        </w:rPr>
        <w:t>I have audited the accompanying financial statements of the Tasmanian Health Service (the THS), which comprises the statement of financial position as at 30 June 2016 and the statements of comprehensive income, changes in equity and cash flows for the year ended on that date, a summary of significant accounting policies, other explanatory notes and the statement by the Chair of the Governing Council and Chief Executive Officer.</w:t>
      </w:r>
    </w:p>
    <w:p w:rsidR="00621B34" w:rsidRPr="00621B34" w:rsidRDefault="00621B34" w:rsidP="00621B34">
      <w:pPr>
        <w:pStyle w:val="BodyText"/>
        <w:rPr>
          <w:b/>
        </w:rPr>
      </w:pPr>
      <w:r w:rsidRPr="00621B34">
        <w:rPr>
          <w:b/>
        </w:rPr>
        <w:t>Auditor’s Opinion</w:t>
      </w:r>
    </w:p>
    <w:p w:rsidR="00621B34" w:rsidRDefault="00621B34" w:rsidP="00621B34">
      <w:pPr>
        <w:pStyle w:val="BodyText"/>
        <w:rPr>
          <w:rFonts w:ascii="Calibri" w:hAnsi="Calibri" w:cs="Calibri"/>
        </w:rPr>
      </w:pPr>
      <w:r>
        <w:rPr>
          <w:rFonts w:ascii="Calibri" w:hAnsi="Calibri" w:cs="Calibri"/>
        </w:rPr>
        <w:t>In my opinion the THS’s financial statements:</w:t>
      </w:r>
    </w:p>
    <w:p w:rsidR="00621B34" w:rsidRDefault="00621B34" w:rsidP="00621B34">
      <w:pPr>
        <w:pStyle w:val="BodyText"/>
        <w:rPr>
          <w:rFonts w:ascii="Calibri" w:hAnsi="Calibri" w:cs="Calibri"/>
        </w:rPr>
      </w:pPr>
      <w:r>
        <w:rPr>
          <w:rFonts w:ascii="Calibri" w:hAnsi="Calibri" w:cs="Calibri"/>
        </w:rPr>
        <w:t xml:space="preserve">(a) present fairly, in all material respects, its financial position as at 30 June 2016 and its financial performance, cash flows and changes in equity for the year then ended (b) are in accordance with the </w:t>
      </w:r>
      <w:r>
        <w:rPr>
          <w:rFonts w:ascii="Calibri,Italic" w:hAnsi="Calibri,Italic" w:cs="Calibri,Italic"/>
          <w:i/>
          <w:iCs/>
        </w:rPr>
        <w:t>Tasmanian Health Organisation Act 2011</w:t>
      </w:r>
      <w:r>
        <w:rPr>
          <w:rFonts w:ascii="Calibri" w:hAnsi="Calibri" w:cs="Calibri"/>
        </w:rPr>
        <w:t xml:space="preserve">, the </w:t>
      </w:r>
      <w:r>
        <w:rPr>
          <w:rFonts w:ascii="Calibri,Italic" w:hAnsi="Calibri,Italic" w:cs="Calibri,Italic"/>
          <w:i/>
          <w:iCs/>
        </w:rPr>
        <w:t xml:space="preserve">Financial Management and Audit Act 1990 </w:t>
      </w:r>
      <w:r>
        <w:rPr>
          <w:rFonts w:ascii="Calibri" w:hAnsi="Calibri" w:cs="Calibri"/>
        </w:rPr>
        <w:t>and Australian Accounting Standards.</w:t>
      </w:r>
    </w:p>
    <w:p w:rsidR="00621B34" w:rsidRDefault="00621B34" w:rsidP="00621B34">
      <w:pPr>
        <w:pStyle w:val="BodyText"/>
        <w:rPr>
          <w:rFonts w:ascii="Calibri,Italic" w:hAnsi="Calibri,Italic" w:cs="Calibri,Italic"/>
          <w:i/>
          <w:iCs/>
        </w:rPr>
      </w:pPr>
      <w:r>
        <w:rPr>
          <w:rFonts w:ascii="Calibri,Italic" w:hAnsi="Calibri,Italic" w:cs="Calibri,Italic"/>
          <w:i/>
          <w:iCs/>
        </w:rPr>
        <w:t>The Responsibility for the Financial Statements</w:t>
      </w:r>
    </w:p>
    <w:p w:rsidR="00621B34" w:rsidRDefault="00621B34" w:rsidP="00621B34">
      <w:pPr>
        <w:pStyle w:val="BodyText"/>
        <w:rPr>
          <w:rFonts w:ascii="Calibri" w:hAnsi="Calibri" w:cs="Calibri"/>
        </w:rPr>
      </w:pPr>
      <w:r>
        <w:rPr>
          <w:rFonts w:ascii="Calibri" w:hAnsi="Calibri" w:cs="Calibri"/>
        </w:rPr>
        <w:t xml:space="preserve">The Chair of the Governing Council and the Chief Executive Officer are jointly responsible for the preparation and fair presentation of the financial statements in accordance with Australian Accounting Standards, Section 34 of </w:t>
      </w:r>
      <w:r>
        <w:rPr>
          <w:rFonts w:ascii="Calibri,Italic" w:hAnsi="Calibri,Italic" w:cs="Calibri,Italic"/>
          <w:i/>
          <w:iCs/>
        </w:rPr>
        <w:t xml:space="preserve">Tasmanian Health Organisation Act 2011 </w:t>
      </w:r>
      <w:r>
        <w:rPr>
          <w:rFonts w:ascii="Calibri" w:hAnsi="Calibri" w:cs="Calibri"/>
        </w:rPr>
        <w:t xml:space="preserve">and Section 27 (1) of the </w:t>
      </w:r>
      <w:r>
        <w:rPr>
          <w:rFonts w:ascii="Calibri,Italic" w:hAnsi="Calibri,Italic" w:cs="Calibri,Italic"/>
          <w:i/>
          <w:iCs/>
        </w:rPr>
        <w:t>Financial Management and Audit Act 1990</w:t>
      </w:r>
      <w:r>
        <w:rPr>
          <w:rFonts w:ascii="Calibri" w:hAnsi="Calibri" w:cs="Calibri"/>
        </w:rPr>
        <w:t>. This responsibility includes establishing and maintaining internal controls relevant to the preparation and fair presentation of the financial statement that is free from material misstatement, whether due to fraud or error; selecting and applying appropriate accounting policies; and making accounting estimates that are reasonable in the circumstances.</w:t>
      </w:r>
    </w:p>
    <w:p w:rsidR="00621B34" w:rsidRDefault="00621B34" w:rsidP="00621B34">
      <w:pPr>
        <w:pStyle w:val="BodyText"/>
        <w:rPr>
          <w:rFonts w:ascii="Calibri" w:hAnsi="Calibri" w:cs="Calibri"/>
        </w:rPr>
      </w:pPr>
      <w:r>
        <w:rPr>
          <w:rFonts w:ascii="Calibri" w:hAnsi="Calibri" w:cs="Calibri"/>
        </w:rPr>
        <w:t>Auditor’s Responsibility</w:t>
      </w:r>
    </w:p>
    <w:p w:rsidR="00621B34" w:rsidRDefault="00621B34" w:rsidP="00621B34">
      <w:pPr>
        <w:pStyle w:val="BodyText"/>
        <w:rPr>
          <w:rFonts w:ascii="Calibri" w:hAnsi="Calibri" w:cs="Calibri"/>
        </w:rPr>
      </w:pPr>
      <w:r>
        <w:rPr>
          <w:rFonts w:ascii="Calibri" w:hAnsi="Calibri" w:cs="Calibri"/>
        </w:rPr>
        <w:t>My responsibility is to express an opinion on the financial statements based upon my audit. My audit was conducted in accordance with Australian Auditing Standards. These Auditing Standards require that I comply with relevant ethical requirements relating to audit engagements and plan and perform the audit to obtain reasonable assurance as to whether the financial statements are free of material misstatement.</w:t>
      </w:r>
    </w:p>
    <w:p w:rsidR="00621B34" w:rsidRDefault="00621B34" w:rsidP="00621B34">
      <w:pPr>
        <w:pStyle w:val="BodyText"/>
        <w:rPr>
          <w:rFonts w:ascii="Calibri" w:hAnsi="Calibri" w:cs="Calibri"/>
        </w:rPr>
      </w:pPr>
      <w:r>
        <w:rPr>
          <w:rFonts w:ascii="Calibri" w:hAnsi="Calibri" w:cs="Calibri"/>
        </w:rPr>
        <w:t xml:space="preserve">An audit involves performing procedures to obtain audit evidence about the amounts and disclosures in the financial statements. The procedures selected depend on my judgement, including the assessment of risks of material misstatement of the financial statements, whether due to fraud or error. In making those risk assessments, I considered internal control relevant to the Chair of the Governing Council and the Chief Executive Officer’s preparation and fair presentation of the financial statements in order to design audit procedures that are appropriate to the circumstances, but not for the purpose of expressing an opinion on the effectiveness of the THS’s internal control. An audit also includes evaluating the appropriateness of accounting policies used and </w:t>
      </w:r>
      <w:r>
        <w:rPr>
          <w:rFonts w:ascii="Calibri" w:hAnsi="Calibri" w:cs="Calibri"/>
        </w:rPr>
        <w:lastRenderedPageBreak/>
        <w:t>the reasonableness of accounting estimates made by the Chair of the Governing Council and the Chief Executive Officer, as well as evaluating the overall presentation of the financial statements.</w:t>
      </w:r>
    </w:p>
    <w:p w:rsidR="00621B34" w:rsidRDefault="00621B34" w:rsidP="00621B34">
      <w:pPr>
        <w:pStyle w:val="BodyText"/>
        <w:rPr>
          <w:rFonts w:ascii="Calibri" w:hAnsi="Calibri" w:cs="Calibri"/>
        </w:rPr>
      </w:pPr>
      <w:r>
        <w:rPr>
          <w:rFonts w:ascii="Calibri" w:hAnsi="Calibri" w:cs="Calibri"/>
        </w:rPr>
        <w:t>I believe that the audit evidence I have obtained is sufficient and appropriate to provide a basis for my audit opinion.</w:t>
      </w:r>
    </w:p>
    <w:p w:rsidR="00621B34" w:rsidRDefault="00621B34" w:rsidP="00621B34">
      <w:pPr>
        <w:pStyle w:val="BodyText"/>
        <w:rPr>
          <w:rFonts w:ascii="Calibri" w:hAnsi="Calibri" w:cs="Calibri"/>
        </w:rPr>
      </w:pPr>
      <w:r>
        <w:rPr>
          <w:rFonts w:ascii="Calibri" w:hAnsi="Calibri" w:cs="Calibri"/>
        </w:rPr>
        <w:t>My audit is not designed to provide assurance on the accuracy and appropriateness of the budget information in the THS’s financial statements.</w:t>
      </w:r>
    </w:p>
    <w:p w:rsidR="00621B34" w:rsidRPr="00621B34" w:rsidRDefault="00621B34" w:rsidP="00621B34">
      <w:pPr>
        <w:pStyle w:val="BodyText"/>
        <w:rPr>
          <w:b/>
        </w:rPr>
      </w:pPr>
      <w:r w:rsidRPr="00621B34">
        <w:rPr>
          <w:b/>
        </w:rPr>
        <w:t>Independence</w:t>
      </w:r>
    </w:p>
    <w:p w:rsidR="00621B34" w:rsidRDefault="00621B34" w:rsidP="00621B34">
      <w:pPr>
        <w:pStyle w:val="BodyText"/>
        <w:rPr>
          <w:rFonts w:ascii="Calibri" w:hAnsi="Calibri" w:cs="Calibri"/>
        </w:rPr>
      </w:pPr>
      <w:r>
        <w:rPr>
          <w:rFonts w:ascii="Calibri" w:hAnsi="Calibri" w:cs="Calibri"/>
        </w:rPr>
        <w:t>In conducting this audit, I have complied with the independence requirements of Australian Auditing Standards and other relevant ethical requirements.</w:t>
      </w:r>
    </w:p>
    <w:p w:rsidR="00621B34" w:rsidRDefault="00621B34" w:rsidP="00621B34">
      <w:pPr>
        <w:pStyle w:val="BodyText"/>
        <w:rPr>
          <w:rFonts w:ascii="Calibri" w:hAnsi="Calibri" w:cs="Calibri"/>
        </w:rPr>
      </w:pPr>
      <w:r>
        <w:rPr>
          <w:rFonts w:ascii="Calibri" w:hAnsi="Calibri" w:cs="Calibri"/>
        </w:rPr>
        <w:t xml:space="preserve">The </w:t>
      </w:r>
      <w:r>
        <w:rPr>
          <w:rFonts w:ascii="Calibri,Italic" w:hAnsi="Calibri,Italic" w:cs="Calibri,Italic"/>
          <w:i/>
          <w:iCs/>
        </w:rPr>
        <w:t xml:space="preserve">Audit Act 2008 </w:t>
      </w:r>
      <w:r>
        <w:rPr>
          <w:rFonts w:ascii="Calibri" w:hAnsi="Calibri" w:cs="Calibri"/>
        </w:rPr>
        <w:t xml:space="preserve">further promotes the independence of the Auditor-General. The Auditor-General is the auditor of all Tasmanian public sector entities and can only </w:t>
      </w:r>
      <w:proofErr w:type="gramStart"/>
      <w:r>
        <w:rPr>
          <w:rFonts w:ascii="Calibri" w:hAnsi="Calibri" w:cs="Calibri"/>
        </w:rPr>
        <w:t>be</w:t>
      </w:r>
      <w:proofErr w:type="gramEnd"/>
      <w:r>
        <w:rPr>
          <w:rFonts w:ascii="Calibri" w:hAnsi="Calibri" w:cs="Calibri"/>
        </w:rPr>
        <w:t xml:space="preserve"> removed by Parliament. The Auditor-General may conduct an audit in any way considered appropriate and is not subject to direction by any person about the way in which audit powers are to be exercised. The Auditor-General has for the purposes of conducting an audit, access to all documents and property and can report to Parliament matters which in the Auditor- General’s opinion are significant.</w:t>
      </w:r>
    </w:p>
    <w:p w:rsidR="00621B34" w:rsidRDefault="00621B34" w:rsidP="00621B34">
      <w:pPr>
        <w:pStyle w:val="BodyText"/>
        <w:rPr>
          <w:rFonts w:ascii="Calibri" w:hAnsi="Calibri" w:cs="Calibri"/>
        </w:rPr>
      </w:pPr>
    </w:p>
    <w:p w:rsidR="00621B34" w:rsidRDefault="00621B34" w:rsidP="00621B34">
      <w:pPr>
        <w:pStyle w:val="BodyText"/>
        <w:rPr>
          <w:rFonts w:ascii="Calibri" w:hAnsi="Calibri" w:cs="Calibri"/>
        </w:rPr>
      </w:pPr>
      <w:r>
        <w:rPr>
          <w:rFonts w:ascii="Calibri" w:hAnsi="Calibri" w:cs="Calibri"/>
        </w:rPr>
        <w:t>Signed</w:t>
      </w:r>
    </w:p>
    <w:p w:rsidR="00621B34" w:rsidRPr="00621B34" w:rsidRDefault="00621B34" w:rsidP="00621B34">
      <w:pPr>
        <w:pStyle w:val="BodyText"/>
        <w:rPr>
          <w:b/>
        </w:rPr>
      </w:pPr>
      <w:r w:rsidRPr="00621B34">
        <w:rPr>
          <w:b/>
        </w:rPr>
        <w:t>Tasmanian Audit Office</w:t>
      </w:r>
    </w:p>
    <w:p w:rsidR="00621B34" w:rsidRPr="00621B34" w:rsidRDefault="00621B34" w:rsidP="00621B34">
      <w:pPr>
        <w:pStyle w:val="BodyText"/>
        <w:rPr>
          <w:rFonts w:ascii="Calibri" w:hAnsi="Calibri" w:cs="Calibri"/>
          <w:b/>
        </w:rPr>
      </w:pPr>
      <w:r w:rsidRPr="00621B34">
        <w:rPr>
          <w:rFonts w:ascii="Calibri" w:hAnsi="Calibri" w:cs="Calibri"/>
          <w:b/>
        </w:rPr>
        <w:t>Rod Whitehead</w:t>
      </w:r>
    </w:p>
    <w:p w:rsidR="00621B34" w:rsidRPr="00621B34" w:rsidRDefault="00621B34" w:rsidP="00621B34">
      <w:pPr>
        <w:pStyle w:val="BodyText"/>
        <w:rPr>
          <w:b/>
        </w:rPr>
      </w:pPr>
      <w:r w:rsidRPr="00621B34">
        <w:rPr>
          <w:b/>
        </w:rPr>
        <w:t>Auditor-General</w:t>
      </w:r>
    </w:p>
    <w:p w:rsidR="00621B34" w:rsidRPr="00621B34" w:rsidRDefault="00621B34" w:rsidP="00621B34">
      <w:pPr>
        <w:pStyle w:val="BodyText"/>
        <w:rPr>
          <w:rFonts w:ascii="Calibri" w:hAnsi="Calibri" w:cs="Calibri"/>
          <w:b/>
        </w:rPr>
      </w:pPr>
      <w:r w:rsidRPr="00621B34">
        <w:rPr>
          <w:rFonts w:ascii="Calibri" w:hAnsi="Calibri" w:cs="Calibri"/>
          <w:b/>
        </w:rPr>
        <w:t>Hobart</w:t>
      </w:r>
    </w:p>
    <w:p w:rsidR="00621B34" w:rsidRPr="00621B34" w:rsidRDefault="00621B34" w:rsidP="00621B34">
      <w:pPr>
        <w:pStyle w:val="BodyText"/>
        <w:rPr>
          <w:b/>
        </w:rPr>
      </w:pPr>
      <w:r w:rsidRPr="00621B34">
        <w:rPr>
          <w:rFonts w:ascii="Calibri" w:hAnsi="Calibri" w:cs="Calibri"/>
          <w:b/>
        </w:rPr>
        <w:t>15 September 2016</w:t>
      </w:r>
    </w:p>
    <w:sectPr w:rsidR="00621B34" w:rsidRPr="00621B34" w:rsidSect="001F36E8">
      <w:type w:val="continuous"/>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1CB" w:rsidRDefault="005631CB">
      <w:pPr>
        <w:spacing w:after="0" w:line="240" w:lineRule="auto"/>
      </w:pPr>
      <w:r>
        <w:separator/>
      </w:r>
    </w:p>
  </w:endnote>
  <w:endnote w:type="continuationSeparator" w:id="0">
    <w:p w:rsidR="005631CB" w:rsidRDefault="0056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Sans-Light">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LightItalic">
    <w:altName w:val="Times New Roman"/>
    <w:charset w:val="00"/>
    <w:family w:val="roman"/>
    <w:pitch w:val="variable"/>
    <w:sig w:usb0="00000003" w:usb1="00000000" w:usb2="00000000" w:usb3="00000000" w:csb0="00000001" w:csb1="00000000"/>
  </w:font>
  <w:font w:name="GillSans-SemiBold">
    <w:altName w:val="Arial"/>
    <w:charset w:val="00"/>
    <w:family w:val="swiss"/>
    <w:pitch w:val="variable"/>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Sans-Bold">
    <w:panose1 w:val="00000000000000000000"/>
    <w:charset w:val="00"/>
    <w:family w:val="swiss"/>
    <w:notTrueType/>
    <w:pitch w:val="default"/>
    <w:sig w:usb0="00000003" w:usb1="00000000" w:usb2="00000000" w:usb3="00000000" w:csb0="00000001" w:csb1="00000000"/>
  </w:font>
  <w:font w:name="GillSans-SemiBoldItalic">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E3" w:rsidRDefault="00B10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1CB" w:rsidRDefault="005631CB">
      <w:pPr>
        <w:spacing w:after="0" w:line="240" w:lineRule="auto"/>
      </w:pPr>
      <w:r>
        <w:separator/>
      </w:r>
    </w:p>
  </w:footnote>
  <w:footnote w:type="continuationSeparator" w:id="0">
    <w:p w:rsidR="005631CB" w:rsidRDefault="005631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9EA"/>
    <w:multiLevelType w:val="hybridMultilevel"/>
    <w:tmpl w:val="466AC270"/>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7EF02058">
      <w:numFmt w:val="bullet"/>
      <w:lvlText w:val="•"/>
      <w:lvlJc w:val="left"/>
      <w:pPr>
        <w:ind w:left="592" w:hanging="141"/>
      </w:pPr>
      <w:rPr>
        <w:rFonts w:hint="default"/>
      </w:rPr>
    </w:lvl>
    <w:lvl w:ilvl="2" w:tplc="4E86C0D8">
      <w:numFmt w:val="bullet"/>
      <w:lvlText w:val="•"/>
      <w:lvlJc w:val="left"/>
      <w:pPr>
        <w:ind w:left="985" w:hanging="141"/>
      </w:pPr>
      <w:rPr>
        <w:rFonts w:hint="default"/>
      </w:rPr>
    </w:lvl>
    <w:lvl w:ilvl="3" w:tplc="988A4A30">
      <w:numFmt w:val="bullet"/>
      <w:lvlText w:val="•"/>
      <w:lvlJc w:val="left"/>
      <w:pPr>
        <w:ind w:left="1378" w:hanging="141"/>
      </w:pPr>
      <w:rPr>
        <w:rFonts w:hint="default"/>
      </w:rPr>
    </w:lvl>
    <w:lvl w:ilvl="4" w:tplc="99B08B58">
      <w:numFmt w:val="bullet"/>
      <w:lvlText w:val="•"/>
      <w:lvlJc w:val="left"/>
      <w:pPr>
        <w:ind w:left="1771" w:hanging="141"/>
      </w:pPr>
      <w:rPr>
        <w:rFonts w:hint="default"/>
      </w:rPr>
    </w:lvl>
    <w:lvl w:ilvl="5" w:tplc="252A0B6E">
      <w:numFmt w:val="bullet"/>
      <w:lvlText w:val="•"/>
      <w:lvlJc w:val="left"/>
      <w:pPr>
        <w:ind w:left="2163" w:hanging="141"/>
      </w:pPr>
      <w:rPr>
        <w:rFonts w:hint="default"/>
      </w:rPr>
    </w:lvl>
    <w:lvl w:ilvl="6" w:tplc="B95ECAAA">
      <w:numFmt w:val="bullet"/>
      <w:lvlText w:val="•"/>
      <w:lvlJc w:val="left"/>
      <w:pPr>
        <w:ind w:left="2556" w:hanging="141"/>
      </w:pPr>
      <w:rPr>
        <w:rFonts w:hint="default"/>
      </w:rPr>
    </w:lvl>
    <w:lvl w:ilvl="7" w:tplc="66809B52">
      <w:numFmt w:val="bullet"/>
      <w:lvlText w:val="•"/>
      <w:lvlJc w:val="left"/>
      <w:pPr>
        <w:ind w:left="2949" w:hanging="141"/>
      </w:pPr>
      <w:rPr>
        <w:rFonts w:hint="default"/>
      </w:rPr>
    </w:lvl>
    <w:lvl w:ilvl="8" w:tplc="130E7E70">
      <w:numFmt w:val="bullet"/>
      <w:lvlText w:val="•"/>
      <w:lvlJc w:val="left"/>
      <w:pPr>
        <w:ind w:left="3342" w:hanging="141"/>
      </w:pPr>
      <w:rPr>
        <w:rFonts w:hint="default"/>
      </w:rPr>
    </w:lvl>
  </w:abstractNum>
  <w:abstractNum w:abstractNumId="1">
    <w:nsid w:val="05675D91"/>
    <w:multiLevelType w:val="hybridMultilevel"/>
    <w:tmpl w:val="7CD80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E840CD"/>
    <w:multiLevelType w:val="hybridMultilevel"/>
    <w:tmpl w:val="8E44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FE36A2"/>
    <w:multiLevelType w:val="hybridMultilevel"/>
    <w:tmpl w:val="7A5A53F6"/>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6A48BDD6">
      <w:numFmt w:val="bullet"/>
      <w:lvlText w:val="–"/>
      <w:lvlJc w:val="left"/>
      <w:pPr>
        <w:ind w:left="1440" w:hanging="360"/>
      </w:pPr>
      <w:rPr>
        <w:rFonts w:ascii="Gill Sans MT" w:eastAsiaTheme="minorHAnsi" w:hAnsi="Gill Sans MT" w:cs="GillSans-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576A22"/>
    <w:multiLevelType w:val="hybridMultilevel"/>
    <w:tmpl w:val="AAEA5CDA"/>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547A93"/>
    <w:multiLevelType w:val="hybridMultilevel"/>
    <w:tmpl w:val="65B8C06A"/>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EA2445"/>
    <w:multiLevelType w:val="hybridMultilevel"/>
    <w:tmpl w:val="46A0BF5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084A54"/>
    <w:multiLevelType w:val="hybridMultilevel"/>
    <w:tmpl w:val="E7D21BB8"/>
    <w:lvl w:ilvl="0" w:tplc="DA9639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506442"/>
    <w:multiLevelType w:val="hybridMultilevel"/>
    <w:tmpl w:val="C6CAAB26"/>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AF48BB"/>
    <w:multiLevelType w:val="hybridMultilevel"/>
    <w:tmpl w:val="1BD64EDE"/>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2C94471"/>
    <w:multiLevelType w:val="hybridMultilevel"/>
    <w:tmpl w:val="DBE0A0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582C7A"/>
    <w:multiLevelType w:val="hybridMultilevel"/>
    <w:tmpl w:val="DD8CFF38"/>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0415BC"/>
    <w:multiLevelType w:val="hybridMultilevel"/>
    <w:tmpl w:val="EB967358"/>
    <w:lvl w:ilvl="0" w:tplc="8C6CA7B8">
      <w:numFmt w:val="bullet"/>
      <w:lvlText w:val="•"/>
      <w:lvlJc w:val="left"/>
      <w:pPr>
        <w:ind w:left="725" w:hanging="172"/>
      </w:pPr>
      <w:rPr>
        <w:rFonts w:ascii="GillSans-Light" w:eastAsia="GillSans-Light" w:hAnsi="GillSans-Light" w:cs="GillSans-Light" w:hint="default"/>
        <w:spacing w:val="-4"/>
        <w:w w:val="100"/>
        <w:sz w:val="22"/>
        <w:szCs w:val="22"/>
      </w:rPr>
    </w:lvl>
    <w:lvl w:ilvl="1" w:tplc="C37CDDFA">
      <w:numFmt w:val="bullet"/>
      <w:lvlText w:val="•"/>
      <w:lvlJc w:val="left"/>
      <w:pPr>
        <w:ind w:left="963" w:hanging="172"/>
      </w:pPr>
      <w:rPr>
        <w:rFonts w:ascii="GillSans-Light" w:eastAsia="GillSans-Light" w:hAnsi="GillSans-Light" w:cs="GillSans-Light" w:hint="default"/>
        <w:spacing w:val="-2"/>
        <w:w w:val="100"/>
        <w:sz w:val="22"/>
        <w:szCs w:val="22"/>
      </w:rPr>
    </w:lvl>
    <w:lvl w:ilvl="2" w:tplc="4ECEA98C">
      <w:numFmt w:val="bullet"/>
      <w:lvlText w:val="•"/>
      <w:lvlJc w:val="left"/>
      <w:pPr>
        <w:ind w:left="1585" w:hanging="172"/>
      </w:pPr>
      <w:rPr>
        <w:rFonts w:ascii="GillSans-Light" w:eastAsia="GillSans-Light" w:hAnsi="GillSans-Light" w:cs="GillSans-Light" w:hint="default"/>
        <w:spacing w:val="-2"/>
        <w:w w:val="100"/>
        <w:sz w:val="22"/>
        <w:szCs w:val="22"/>
      </w:rPr>
    </w:lvl>
    <w:lvl w:ilvl="3" w:tplc="0D549CB8">
      <w:numFmt w:val="bullet"/>
      <w:lvlText w:val="•"/>
      <w:lvlJc w:val="left"/>
      <w:pPr>
        <w:ind w:left="1580" w:hanging="172"/>
      </w:pPr>
      <w:rPr>
        <w:rFonts w:hint="default"/>
      </w:rPr>
    </w:lvl>
    <w:lvl w:ilvl="4" w:tplc="AD62FDFE">
      <w:numFmt w:val="bullet"/>
      <w:lvlText w:val="•"/>
      <w:lvlJc w:val="left"/>
      <w:pPr>
        <w:ind w:left="1640" w:hanging="172"/>
      </w:pPr>
      <w:rPr>
        <w:rFonts w:hint="default"/>
      </w:rPr>
    </w:lvl>
    <w:lvl w:ilvl="5" w:tplc="A072A770">
      <w:numFmt w:val="bullet"/>
      <w:lvlText w:val="•"/>
      <w:lvlJc w:val="left"/>
      <w:pPr>
        <w:ind w:left="1358" w:hanging="172"/>
      </w:pPr>
      <w:rPr>
        <w:rFonts w:hint="default"/>
      </w:rPr>
    </w:lvl>
    <w:lvl w:ilvl="6" w:tplc="217ACAEA">
      <w:numFmt w:val="bullet"/>
      <w:lvlText w:val="•"/>
      <w:lvlJc w:val="left"/>
      <w:pPr>
        <w:ind w:left="1077" w:hanging="172"/>
      </w:pPr>
      <w:rPr>
        <w:rFonts w:hint="default"/>
      </w:rPr>
    </w:lvl>
    <w:lvl w:ilvl="7" w:tplc="2BA01626">
      <w:numFmt w:val="bullet"/>
      <w:lvlText w:val="•"/>
      <w:lvlJc w:val="left"/>
      <w:pPr>
        <w:ind w:left="796" w:hanging="172"/>
      </w:pPr>
      <w:rPr>
        <w:rFonts w:hint="default"/>
      </w:rPr>
    </w:lvl>
    <w:lvl w:ilvl="8" w:tplc="05B8B1DA">
      <w:numFmt w:val="bullet"/>
      <w:lvlText w:val="•"/>
      <w:lvlJc w:val="left"/>
      <w:pPr>
        <w:ind w:left="515" w:hanging="172"/>
      </w:pPr>
      <w:rPr>
        <w:rFonts w:hint="default"/>
      </w:rPr>
    </w:lvl>
  </w:abstractNum>
  <w:abstractNum w:abstractNumId="13">
    <w:nsid w:val="2A070478"/>
    <w:multiLevelType w:val="hybridMultilevel"/>
    <w:tmpl w:val="CB840F6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43067E"/>
    <w:multiLevelType w:val="hybridMultilevel"/>
    <w:tmpl w:val="788E5EC8"/>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D27FD0"/>
    <w:multiLevelType w:val="hybridMultilevel"/>
    <w:tmpl w:val="50A0607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9900DC"/>
    <w:multiLevelType w:val="hybridMultilevel"/>
    <w:tmpl w:val="3A264E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DAB41B7"/>
    <w:multiLevelType w:val="hybridMultilevel"/>
    <w:tmpl w:val="B2969C8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732F4E"/>
    <w:multiLevelType w:val="hybridMultilevel"/>
    <w:tmpl w:val="D9427270"/>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20404A"/>
    <w:multiLevelType w:val="hybridMultilevel"/>
    <w:tmpl w:val="F0EA0C00"/>
    <w:lvl w:ilvl="0" w:tplc="02B2DC20">
      <w:numFmt w:val="bullet"/>
      <w:lvlText w:val="•"/>
      <w:lvlJc w:val="left"/>
      <w:pPr>
        <w:ind w:left="873" w:hanging="360"/>
      </w:pPr>
      <w:rPr>
        <w:rFonts w:ascii="GillSans-Light" w:eastAsia="GillSans-Light" w:hAnsi="GillSans-Light" w:cs="GillSans-Light" w:hint="default"/>
        <w:i w:val="0"/>
        <w:w w:val="100"/>
        <w:sz w:val="22"/>
        <w:szCs w:val="22"/>
      </w:r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20">
    <w:nsid w:val="35011DD2"/>
    <w:multiLevelType w:val="hybridMultilevel"/>
    <w:tmpl w:val="5A887AD8"/>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3628AD"/>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9A0753"/>
    <w:multiLevelType w:val="hybridMultilevel"/>
    <w:tmpl w:val="68643D2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F14458"/>
    <w:multiLevelType w:val="hybridMultilevel"/>
    <w:tmpl w:val="3640C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BAD22CC"/>
    <w:multiLevelType w:val="hybridMultilevel"/>
    <w:tmpl w:val="6802799E"/>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CD323F"/>
    <w:multiLevelType w:val="hybridMultilevel"/>
    <w:tmpl w:val="8780A5D2"/>
    <w:lvl w:ilvl="0" w:tplc="DA9639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2562317"/>
    <w:multiLevelType w:val="hybridMultilevel"/>
    <w:tmpl w:val="E7F648B4"/>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0F0E80"/>
    <w:multiLevelType w:val="hybridMultilevel"/>
    <w:tmpl w:val="E1C6EE36"/>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1F4D82"/>
    <w:multiLevelType w:val="hybridMultilevel"/>
    <w:tmpl w:val="7B4C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A5A2795"/>
    <w:multiLevelType w:val="hybridMultilevel"/>
    <w:tmpl w:val="7FEC1394"/>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C494BD0"/>
    <w:multiLevelType w:val="hybridMultilevel"/>
    <w:tmpl w:val="38F6827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D840F61"/>
    <w:multiLevelType w:val="hybridMultilevel"/>
    <w:tmpl w:val="3AEE4780"/>
    <w:lvl w:ilvl="0" w:tplc="6B52BEA6">
      <w:start w:val="1"/>
      <w:numFmt w:val="decimal"/>
      <w:lvlText w:val="%1"/>
      <w:lvlJc w:val="left"/>
      <w:pPr>
        <w:ind w:left="544" w:hanging="109"/>
      </w:pPr>
      <w:rPr>
        <w:rFonts w:ascii="GillSans-Light" w:eastAsia="GillSans-Light" w:hAnsi="GillSans-Light" w:cs="GillSans-Light" w:hint="default"/>
        <w:w w:val="100"/>
        <w:sz w:val="14"/>
        <w:szCs w:val="14"/>
      </w:rPr>
    </w:lvl>
    <w:lvl w:ilvl="1" w:tplc="9544DDAE">
      <w:start w:val="1"/>
      <w:numFmt w:val="decimal"/>
      <w:lvlText w:val="%2"/>
      <w:lvlJc w:val="left"/>
      <w:pPr>
        <w:ind w:left="782" w:hanging="109"/>
        <w:jc w:val="right"/>
      </w:pPr>
      <w:rPr>
        <w:rFonts w:ascii="GillSans-Light" w:eastAsia="GillSans-Light" w:hAnsi="GillSans-Light" w:cs="GillSans-Light" w:hint="default"/>
        <w:spacing w:val="-8"/>
        <w:w w:val="100"/>
        <w:sz w:val="14"/>
        <w:szCs w:val="14"/>
      </w:rPr>
    </w:lvl>
    <w:lvl w:ilvl="2" w:tplc="D80019DC">
      <w:start w:val="1"/>
      <w:numFmt w:val="decimal"/>
      <w:lvlText w:val="%3."/>
      <w:lvlJc w:val="left"/>
      <w:pPr>
        <w:ind w:left="681" w:hanging="131"/>
      </w:pPr>
      <w:rPr>
        <w:rFonts w:ascii="GillSans-Light" w:eastAsia="GillSans-Light" w:hAnsi="GillSans-Light" w:cs="GillSans-Light" w:hint="default"/>
        <w:spacing w:val="-4"/>
        <w:w w:val="100"/>
        <w:sz w:val="14"/>
        <w:szCs w:val="14"/>
      </w:rPr>
    </w:lvl>
    <w:lvl w:ilvl="3" w:tplc="647A2F08">
      <w:start w:val="1"/>
      <w:numFmt w:val="decimal"/>
      <w:lvlText w:val="%4."/>
      <w:lvlJc w:val="left"/>
      <w:pPr>
        <w:ind w:left="1538" w:hanging="131"/>
      </w:pPr>
      <w:rPr>
        <w:rFonts w:ascii="GillSans-Light" w:eastAsia="GillSans-Light" w:hAnsi="GillSans-Light" w:cs="GillSans-Light" w:hint="default"/>
        <w:spacing w:val="-4"/>
        <w:w w:val="100"/>
        <w:sz w:val="14"/>
        <w:szCs w:val="14"/>
      </w:rPr>
    </w:lvl>
    <w:lvl w:ilvl="4" w:tplc="945E6F7A">
      <w:numFmt w:val="bullet"/>
      <w:lvlText w:val="•"/>
      <w:lvlJc w:val="left"/>
      <w:pPr>
        <w:ind w:left="1289" w:hanging="131"/>
      </w:pPr>
      <w:rPr>
        <w:rFonts w:hint="default"/>
      </w:rPr>
    </w:lvl>
    <w:lvl w:ilvl="5" w:tplc="234C763A">
      <w:numFmt w:val="bullet"/>
      <w:lvlText w:val="•"/>
      <w:lvlJc w:val="left"/>
      <w:pPr>
        <w:ind w:left="1039" w:hanging="131"/>
      </w:pPr>
      <w:rPr>
        <w:rFonts w:hint="default"/>
      </w:rPr>
    </w:lvl>
    <w:lvl w:ilvl="6" w:tplc="2BD03650">
      <w:numFmt w:val="bullet"/>
      <w:lvlText w:val="•"/>
      <w:lvlJc w:val="left"/>
      <w:pPr>
        <w:ind w:left="788" w:hanging="131"/>
      </w:pPr>
      <w:rPr>
        <w:rFonts w:hint="default"/>
      </w:rPr>
    </w:lvl>
    <w:lvl w:ilvl="7" w:tplc="202478A8">
      <w:numFmt w:val="bullet"/>
      <w:lvlText w:val="•"/>
      <w:lvlJc w:val="left"/>
      <w:pPr>
        <w:ind w:left="538" w:hanging="131"/>
      </w:pPr>
      <w:rPr>
        <w:rFonts w:hint="default"/>
      </w:rPr>
    </w:lvl>
    <w:lvl w:ilvl="8" w:tplc="2C7AB58A">
      <w:numFmt w:val="bullet"/>
      <w:lvlText w:val="•"/>
      <w:lvlJc w:val="left"/>
      <w:pPr>
        <w:ind w:left="288" w:hanging="131"/>
      </w:pPr>
      <w:rPr>
        <w:rFonts w:hint="default"/>
      </w:rPr>
    </w:lvl>
  </w:abstractNum>
  <w:abstractNum w:abstractNumId="32">
    <w:nsid w:val="4EA72A59"/>
    <w:multiLevelType w:val="hybridMultilevel"/>
    <w:tmpl w:val="BDA27ED2"/>
    <w:lvl w:ilvl="0" w:tplc="9C6A2F4C">
      <w:numFmt w:val="bullet"/>
      <w:lvlText w:val="•"/>
      <w:lvlJc w:val="left"/>
      <w:pPr>
        <w:ind w:left="814" w:hanging="172"/>
      </w:pPr>
      <w:rPr>
        <w:rFonts w:ascii="GillSans-Light" w:eastAsia="GillSans-Light" w:hAnsi="GillSans-Light" w:cs="GillSans-Light" w:hint="default"/>
        <w:spacing w:val="-3"/>
        <w:w w:val="100"/>
        <w:sz w:val="22"/>
        <w:szCs w:val="22"/>
      </w:rPr>
    </w:lvl>
    <w:lvl w:ilvl="1" w:tplc="F4BA270C">
      <w:numFmt w:val="bullet"/>
      <w:lvlText w:val="•"/>
      <w:lvlJc w:val="left"/>
      <w:pPr>
        <w:ind w:left="1241" w:hanging="172"/>
      </w:pPr>
      <w:rPr>
        <w:rFonts w:hint="default"/>
      </w:rPr>
    </w:lvl>
    <w:lvl w:ilvl="2" w:tplc="61707F9E">
      <w:numFmt w:val="bullet"/>
      <w:lvlText w:val="•"/>
      <w:lvlJc w:val="left"/>
      <w:pPr>
        <w:ind w:left="1663" w:hanging="172"/>
      </w:pPr>
      <w:rPr>
        <w:rFonts w:hint="default"/>
      </w:rPr>
    </w:lvl>
    <w:lvl w:ilvl="3" w:tplc="2FF07716">
      <w:numFmt w:val="bullet"/>
      <w:lvlText w:val="•"/>
      <w:lvlJc w:val="left"/>
      <w:pPr>
        <w:ind w:left="2085" w:hanging="172"/>
      </w:pPr>
      <w:rPr>
        <w:rFonts w:hint="default"/>
      </w:rPr>
    </w:lvl>
    <w:lvl w:ilvl="4" w:tplc="060C675A">
      <w:numFmt w:val="bullet"/>
      <w:lvlText w:val="•"/>
      <w:lvlJc w:val="left"/>
      <w:pPr>
        <w:ind w:left="2506" w:hanging="172"/>
      </w:pPr>
      <w:rPr>
        <w:rFonts w:hint="default"/>
      </w:rPr>
    </w:lvl>
    <w:lvl w:ilvl="5" w:tplc="6D1AE364">
      <w:numFmt w:val="bullet"/>
      <w:lvlText w:val="•"/>
      <w:lvlJc w:val="left"/>
      <w:pPr>
        <w:ind w:left="2928" w:hanging="172"/>
      </w:pPr>
      <w:rPr>
        <w:rFonts w:hint="default"/>
      </w:rPr>
    </w:lvl>
    <w:lvl w:ilvl="6" w:tplc="3516E206">
      <w:numFmt w:val="bullet"/>
      <w:lvlText w:val="•"/>
      <w:lvlJc w:val="left"/>
      <w:pPr>
        <w:ind w:left="3350" w:hanging="172"/>
      </w:pPr>
      <w:rPr>
        <w:rFonts w:hint="default"/>
      </w:rPr>
    </w:lvl>
    <w:lvl w:ilvl="7" w:tplc="B4E2C8B4">
      <w:numFmt w:val="bullet"/>
      <w:lvlText w:val="•"/>
      <w:lvlJc w:val="left"/>
      <w:pPr>
        <w:ind w:left="3772" w:hanging="172"/>
      </w:pPr>
      <w:rPr>
        <w:rFonts w:hint="default"/>
      </w:rPr>
    </w:lvl>
    <w:lvl w:ilvl="8" w:tplc="3182C5D4">
      <w:numFmt w:val="bullet"/>
      <w:lvlText w:val="•"/>
      <w:lvlJc w:val="left"/>
      <w:pPr>
        <w:ind w:left="4193" w:hanging="172"/>
      </w:pPr>
      <w:rPr>
        <w:rFonts w:hint="default"/>
      </w:rPr>
    </w:lvl>
  </w:abstractNum>
  <w:abstractNum w:abstractNumId="33">
    <w:nsid w:val="4EAA17DC"/>
    <w:multiLevelType w:val="hybridMultilevel"/>
    <w:tmpl w:val="0BA8A610"/>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F343237"/>
    <w:multiLevelType w:val="hybridMultilevel"/>
    <w:tmpl w:val="5E8C8B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1E32B65"/>
    <w:multiLevelType w:val="hybridMultilevel"/>
    <w:tmpl w:val="1D64D7FE"/>
    <w:lvl w:ilvl="0" w:tplc="D9983F38">
      <w:start w:val="1"/>
      <w:numFmt w:val="decimal"/>
      <w:lvlText w:val="%1."/>
      <w:lvlJc w:val="left"/>
      <w:pPr>
        <w:ind w:left="836" w:hanging="284"/>
        <w:jc w:val="right"/>
      </w:pPr>
      <w:rPr>
        <w:rFonts w:ascii="GillSans-Light" w:eastAsia="GillSans-Light" w:hAnsi="GillSans-Light" w:cs="GillSans-Light" w:hint="default"/>
        <w:spacing w:val="-10"/>
        <w:w w:val="100"/>
        <w:sz w:val="22"/>
        <w:szCs w:val="22"/>
      </w:rPr>
    </w:lvl>
    <w:lvl w:ilvl="1" w:tplc="C430DE82">
      <w:numFmt w:val="bullet"/>
      <w:lvlText w:val="•"/>
      <w:lvlJc w:val="left"/>
      <w:pPr>
        <w:ind w:left="1251" w:hanging="284"/>
      </w:pPr>
      <w:rPr>
        <w:rFonts w:hint="default"/>
      </w:rPr>
    </w:lvl>
    <w:lvl w:ilvl="2" w:tplc="B4D257A6">
      <w:numFmt w:val="bullet"/>
      <w:lvlText w:val="•"/>
      <w:lvlJc w:val="left"/>
      <w:pPr>
        <w:ind w:left="1663" w:hanging="284"/>
      </w:pPr>
      <w:rPr>
        <w:rFonts w:hint="default"/>
      </w:rPr>
    </w:lvl>
    <w:lvl w:ilvl="3" w:tplc="F03E23C2">
      <w:numFmt w:val="bullet"/>
      <w:lvlText w:val="•"/>
      <w:lvlJc w:val="left"/>
      <w:pPr>
        <w:ind w:left="2075" w:hanging="284"/>
      </w:pPr>
      <w:rPr>
        <w:rFonts w:hint="default"/>
      </w:rPr>
    </w:lvl>
    <w:lvl w:ilvl="4" w:tplc="36A0EB84">
      <w:numFmt w:val="bullet"/>
      <w:lvlText w:val="•"/>
      <w:lvlJc w:val="left"/>
      <w:pPr>
        <w:ind w:left="2487" w:hanging="284"/>
      </w:pPr>
      <w:rPr>
        <w:rFonts w:hint="default"/>
      </w:rPr>
    </w:lvl>
    <w:lvl w:ilvl="5" w:tplc="B0BEF36A">
      <w:numFmt w:val="bullet"/>
      <w:lvlText w:val="•"/>
      <w:lvlJc w:val="left"/>
      <w:pPr>
        <w:ind w:left="2898" w:hanging="284"/>
      </w:pPr>
      <w:rPr>
        <w:rFonts w:hint="default"/>
      </w:rPr>
    </w:lvl>
    <w:lvl w:ilvl="6" w:tplc="B462CB86">
      <w:numFmt w:val="bullet"/>
      <w:lvlText w:val="•"/>
      <w:lvlJc w:val="left"/>
      <w:pPr>
        <w:ind w:left="3310" w:hanging="284"/>
      </w:pPr>
      <w:rPr>
        <w:rFonts w:hint="default"/>
      </w:rPr>
    </w:lvl>
    <w:lvl w:ilvl="7" w:tplc="6CEAD140">
      <w:numFmt w:val="bullet"/>
      <w:lvlText w:val="•"/>
      <w:lvlJc w:val="left"/>
      <w:pPr>
        <w:ind w:left="3722" w:hanging="284"/>
      </w:pPr>
      <w:rPr>
        <w:rFonts w:hint="default"/>
      </w:rPr>
    </w:lvl>
    <w:lvl w:ilvl="8" w:tplc="F9ACC0D8">
      <w:numFmt w:val="bullet"/>
      <w:lvlText w:val="•"/>
      <w:lvlJc w:val="left"/>
      <w:pPr>
        <w:ind w:left="4134" w:hanging="284"/>
      </w:pPr>
      <w:rPr>
        <w:rFonts w:hint="default"/>
      </w:rPr>
    </w:lvl>
  </w:abstractNum>
  <w:abstractNum w:abstractNumId="36">
    <w:nsid w:val="549B7B99"/>
    <w:multiLevelType w:val="hybridMultilevel"/>
    <w:tmpl w:val="15026FDC"/>
    <w:lvl w:ilvl="0" w:tplc="3D2AF5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638574E"/>
    <w:multiLevelType w:val="hybridMultilevel"/>
    <w:tmpl w:val="21C85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C51649A"/>
    <w:multiLevelType w:val="hybridMultilevel"/>
    <w:tmpl w:val="84FE6FBC"/>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52980286">
      <w:numFmt w:val="bullet"/>
      <w:lvlText w:val="•"/>
      <w:lvlJc w:val="left"/>
      <w:pPr>
        <w:ind w:left="1993" w:hanging="163"/>
      </w:pPr>
      <w:rPr>
        <w:rFonts w:hint="default"/>
      </w:rPr>
    </w:lvl>
    <w:lvl w:ilvl="2" w:tplc="47F2A5A0">
      <w:numFmt w:val="bullet"/>
      <w:lvlText w:val="•"/>
      <w:lvlJc w:val="left"/>
      <w:pPr>
        <w:ind w:left="2407" w:hanging="163"/>
      </w:pPr>
      <w:rPr>
        <w:rFonts w:hint="default"/>
      </w:rPr>
    </w:lvl>
    <w:lvl w:ilvl="3" w:tplc="8F24DCF8">
      <w:numFmt w:val="bullet"/>
      <w:lvlText w:val="•"/>
      <w:lvlJc w:val="left"/>
      <w:pPr>
        <w:ind w:left="2821" w:hanging="163"/>
      </w:pPr>
      <w:rPr>
        <w:rFonts w:hint="default"/>
      </w:rPr>
    </w:lvl>
    <w:lvl w:ilvl="4" w:tplc="AC0E4B32">
      <w:numFmt w:val="bullet"/>
      <w:lvlText w:val="•"/>
      <w:lvlJc w:val="left"/>
      <w:pPr>
        <w:ind w:left="3235" w:hanging="163"/>
      </w:pPr>
      <w:rPr>
        <w:rFonts w:hint="default"/>
      </w:rPr>
    </w:lvl>
    <w:lvl w:ilvl="5" w:tplc="2E6AE960">
      <w:numFmt w:val="bullet"/>
      <w:lvlText w:val="•"/>
      <w:lvlJc w:val="left"/>
      <w:pPr>
        <w:ind w:left="3648" w:hanging="163"/>
      </w:pPr>
      <w:rPr>
        <w:rFonts w:hint="default"/>
      </w:rPr>
    </w:lvl>
    <w:lvl w:ilvl="6" w:tplc="BAA6E5A4">
      <w:numFmt w:val="bullet"/>
      <w:lvlText w:val="•"/>
      <w:lvlJc w:val="left"/>
      <w:pPr>
        <w:ind w:left="4062" w:hanging="163"/>
      </w:pPr>
      <w:rPr>
        <w:rFonts w:hint="default"/>
      </w:rPr>
    </w:lvl>
    <w:lvl w:ilvl="7" w:tplc="7B54E486">
      <w:numFmt w:val="bullet"/>
      <w:lvlText w:val="•"/>
      <w:lvlJc w:val="left"/>
      <w:pPr>
        <w:ind w:left="4476" w:hanging="163"/>
      </w:pPr>
      <w:rPr>
        <w:rFonts w:hint="default"/>
      </w:rPr>
    </w:lvl>
    <w:lvl w:ilvl="8" w:tplc="64DE1194">
      <w:numFmt w:val="bullet"/>
      <w:lvlText w:val="•"/>
      <w:lvlJc w:val="left"/>
      <w:pPr>
        <w:ind w:left="4890" w:hanging="163"/>
      </w:pPr>
      <w:rPr>
        <w:rFonts w:hint="default"/>
      </w:rPr>
    </w:lvl>
  </w:abstractNum>
  <w:abstractNum w:abstractNumId="39">
    <w:nsid w:val="5E581F5E"/>
    <w:multiLevelType w:val="hybridMultilevel"/>
    <w:tmpl w:val="FCBEC8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F74252F"/>
    <w:multiLevelType w:val="hybridMultilevel"/>
    <w:tmpl w:val="74069604"/>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068320D"/>
    <w:multiLevelType w:val="hybridMultilevel"/>
    <w:tmpl w:val="9D66CFA6"/>
    <w:lvl w:ilvl="0" w:tplc="906E3662">
      <w:start w:val="2"/>
      <w:numFmt w:val="lowerRoman"/>
      <w:lvlText w:val="%1)"/>
      <w:lvlJc w:val="left"/>
      <w:pPr>
        <w:ind w:left="720" w:hanging="360"/>
      </w:pPr>
      <w:rPr>
        <w:rFonts w:ascii="Gill Sans MT" w:eastAsia="GillSans-Light" w:hAnsi="Gill Sans MT" w:cs="GillSans-Light" w:hint="default"/>
        <w:spacing w:val="-2"/>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1BD4D2B"/>
    <w:multiLevelType w:val="hybridMultilevel"/>
    <w:tmpl w:val="684E1938"/>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24D7CF3"/>
    <w:multiLevelType w:val="hybridMultilevel"/>
    <w:tmpl w:val="A4A48FE8"/>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2720631"/>
    <w:multiLevelType w:val="hybridMultilevel"/>
    <w:tmpl w:val="AC9E9C88"/>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1B5603"/>
    <w:multiLevelType w:val="hybridMultilevel"/>
    <w:tmpl w:val="F6A4B1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74E6FE6"/>
    <w:multiLevelType w:val="hybridMultilevel"/>
    <w:tmpl w:val="46B05AD0"/>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95112BE"/>
    <w:multiLevelType w:val="hybridMultilevel"/>
    <w:tmpl w:val="30C0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BF02E7B"/>
    <w:multiLevelType w:val="hybridMultilevel"/>
    <w:tmpl w:val="D3B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D407D89"/>
    <w:multiLevelType w:val="hybridMultilevel"/>
    <w:tmpl w:val="BAC49620"/>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E5A4007"/>
    <w:multiLevelType w:val="hybridMultilevel"/>
    <w:tmpl w:val="12C2EBFE"/>
    <w:lvl w:ilvl="0" w:tplc="BF301F78">
      <w:numFmt w:val="bullet"/>
      <w:lvlText w:val="•"/>
      <w:lvlJc w:val="left"/>
      <w:pPr>
        <w:ind w:left="72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1186EFC"/>
    <w:multiLevelType w:val="hybridMultilevel"/>
    <w:tmpl w:val="59E04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3030E83"/>
    <w:multiLevelType w:val="hybridMultilevel"/>
    <w:tmpl w:val="7124FBFC"/>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67F24E4"/>
    <w:multiLevelType w:val="hybridMultilevel"/>
    <w:tmpl w:val="473AFE0A"/>
    <w:lvl w:ilvl="0" w:tplc="0076E762">
      <w:start w:val="78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76537B8"/>
    <w:multiLevelType w:val="hybridMultilevel"/>
    <w:tmpl w:val="9DD800E0"/>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E9CCA66">
      <w:numFmt w:val="bullet"/>
      <w:lvlText w:val="–"/>
      <w:lvlJc w:val="left"/>
      <w:pPr>
        <w:ind w:left="1440" w:hanging="360"/>
      </w:pPr>
      <w:rPr>
        <w:rFonts w:ascii="Gill Sans MT" w:eastAsia="GillSans-Light" w:hAnsi="Gill Sans MT" w:cs="GillSans-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A363D4C"/>
    <w:multiLevelType w:val="hybridMultilevel"/>
    <w:tmpl w:val="A0BA97B0"/>
    <w:lvl w:ilvl="0" w:tplc="BF301F78">
      <w:numFmt w:val="bullet"/>
      <w:lvlText w:val="•"/>
      <w:lvlJc w:val="left"/>
      <w:pPr>
        <w:ind w:left="192" w:hanging="141"/>
      </w:pPr>
      <w:rPr>
        <w:rFonts w:ascii="GillSans-Light" w:eastAsia="GillSans-Light" w:hAnsi="GillSans-Light" w:cs="GillSans-Light" w:hint="default"/>
        <w:spacing w:val="-1"/>
        <w:w w:val="100"/>
        <w:sz w:val="18"/>
        <w:szCs w:val="18"/>
      </w:rPr>
    </w:lvl>
    <w:lvl w:ilvl="1" w:tplc="BF301F78">
      <w:numFmt w:val="bullet"/>
      <w:lvlText w:val="•"/>
      <w:lvlJc w:val="left"/>
      <w:pPr>
        <w:ind w:left="1440" w:hanging="360"/>
      </w:pPr>
      <w:rPr>
        <w:rFonts w:ascii="GillSans-Light" w:eastAsia="GillSans-Light" w:hAnsi="GillSans-Light" w:cs="GillSans-Light" w:hint="default"/>
        <w:spacing w:val="-1"/>
        <w:w w:val="100"/>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37"/>
  </w:num>
  <w:num w:numId="4">
    <w:abstractNumId w:val="35"/>
  </w:num>
  <w:num w:numId="5">
    <w:abstractNumId w:val="44"/>
  </w:num>
  <w:num w:numId="6">
    <w:abstractNumId w:val="30"/>
  </w:num>
  <w:num w:numId="7">
    <w:abstractNumId w:val="29"/>
  </w:num>
  <w:num w:numId="8">
    <w:abstractNumId w:val="15"/>
  </w:num>
  <w:num w:numId="9">
    <w:abstractNumId w:val="24"/>
  </w:num>
  <w:num w:numId="10">
    <w:abstractNumId w:val="27"/>
  </w:num>
  <w:num w:numId="11">
    <w:abstractNumId w:val="8"/>
  </w:num>
  <w:num w:numId="12">
    <w:abstractNumId w:val="13"/>
  </w:num>
  <w:num w:numId="13">
    <w:abstractNumId w:val="6"/>
  </w:num>
  <w:num w:numId="14">
    <w:abstractNumId w:val="22"/>
  </w:num>
  <w:num w:numId="15">
    <w:abstractNumId w:val="32"/>
  </w:num>
  <w:num w:numId="16">
    <w:abstractNumId w:val="12"/>
  </w:num>
  <w:num w:numId="17">
    <w:abstractNumId w:val="0"/>
  </w:num>
  <w:num w:numId="18">
    <w:abstractNumId w:val="18"/>
  </w:num>
  <w:num w:numId="19">
    <w:abstractNumId w:val="40"/>
  </w:num>
  <w:num w:numId="20">
    <w:abstractNumId w:val="52"/>
  </w:num>
  <w:num w:numId="21">
    <w:abstractNumId w:val="4"/>
  </w:num>
  <w:num w:numId="22">
    <w:abstractNumId w:val="55"/>
  </w:num>
  <w:num w:numId="23">
    <w:abstractNumId w:val="42"/>
  </w:num>
  <w:num w:numId="24">
    <w:abstractNumId w:val="14"/>
  </w:num>
  <w:num w:numId="25">
    <w:abstractNumId w:val="20"/>
  </w:num>
  <w:num w:numId="26">
    <w:abstractNumId w:val="50"/>
  </w:num>
  <w:num w:numId="27">
    <w:abstractNumId w:val="26"/>
  </w:num>
  <w:num w:numId="28">
    <w:abstractNumId w:val="43"/>
  </w:num>
  <w:num w:numId="29">
    <w:abstractNumId w:val="54"/>
  </w:num>
  <w:num w:numId="30">
    <w:abstractNumId w:val="3"/>
  </w:num>
  <w:num w:numId="31">
    <w:abstractNumId w:val="48"/>
  </w:num>
  <w:num w:numId="32">
    <w:abstractNumId w:val="33"/>
  </w:num>
  <w:num w:numId="33">
    <w:abstractNumId w:val="5"/>
  </w:num>
  <w:num w:numId="34">
    <w:abstractNumId w:val="46"/>
  </w:num>
  <w:num w:numId="35">
    <w:abstractNumId w:val="17"/>
  </w:num>
  <w:num w:numId="36">
    <w:abstractNumId w:val="31"/>
  </w:num>
  <w:num w:numId="37">
    <w:abstractNumId w:val="16"/>
  </w:num>
  <w:num w:numId="38">
    <w:abstractNumId w:val="45"/>
  </w:num>
  <w:num w:numId="39">
    <w:abstractNumId w:val="51"/>
  </w:num>
  <w:num w:numId="40">
    <w:abstractNumId w:val="2"/>
  </w:num>
  <w:num w:numId="41">
    <w:abstractNumId w:val="41"/>
  </w:num>
  <w:num w:numId="42">
    <w:abstractNumId w:val="53"/>
  </w:num>
  <w:num w:numId="43">
    <w:abstractNumId w:val="39"/>
  </w:num>
  <w:num w:numId="44">
    <w:abstractNumId w:val="34"/>
  </w:num>
  <w:num w:numId="45">
    <w:abstractNumId w:val="10"/>
  </w:num>
  <w:num w:numId="46">
    <w:abstractNumId w:val="21"/>
  </w:num>
  <w:num w:numId="47">
    <w:abstractNumId w:val="1"/>
  </w:num>
  <w:num w:numId="48">
    <w:abstractNumId w:val="28"/>
  </w:num>
  <w:num w:numId="49">
    <w:abstractNumId w:val="47"/>
  </w:num>
  <w:num w:numId="50">
    <w:abstractNumId w:val="9"/>
  </w:num>
  <w:num w:numId="51">
    <w:abstractNumId w:val="36"/>
  </w:num>
  <w:num w:numId="52">
    <w:abstractNumId w:val="7"/>
  </w:num>
  <w:num w:numId="53">
    <w:abstractNumId w:val="11"/>
  </w:num>
  <w:num w:numId="54">
    <w:abstractNumId w:val="25"/>
  </w:num>
  <w:num w:numId="55">
    <w:abstractNumId w:val="49"/>
  </w:num>
  <w:num w:numId="5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DD"/>
    <w:rsid w:val="00002DDD"/>
    <w:rsid w:val="00005E25"/>
    <w:rsid w:val="00025D0E"/>
    <w:rsid w:val="000629C4"/>
    <w:rsid w:val="0008485A"/>
    <w:rsid w:val="00090C1D"/>
    <w:rsid w:val="00091088"/>
    <w:rsid w:val="00091C51"/>
    <w:rsid w:val="00092A97"/>
    <w:rsid w:val="000B23D3"/>
    <w:rsid w:val="000B6ABD"/>
    <w:rsid w:val="000B752E"/>
    <w:rsid w:val="000D153B"/>
    <w:rsid w:val="000D59C4"/>
    <w:rsid w:val="00103528"/>
    <w:rsid w:val="001159AC"/>
    <w:rsid w:val="00117F74"/>
    <w:rsid w:val="00121DB6"/>
    <w:rsid w:val="00132045"/>
    <w:rsid w:val="00135C94"/>
    <w:rsid w:val="0014512D"/>
    <w:rsid w:val="0015464F"/>
    <w:rsid w:val="00161B85"/>
    <w:rsid w:val="00163C12"/>
    <w:rsid w:val="0018465A"/>
    <w:rsid w:val="001927F0"/>
    <w:rsid w:val="001A529F"/>
    <w:rsid w:val="001A7D0B"/>
    <w:rsid w:val="001A7F32"/>
    <w:rsid w:val="001B0507"/>
    <w:rsid w:val="001C6247"/>
    <w:rsid w:val="001C71AE"/>
    <w:rsid w:val="001D06B8"/>
    <w:rsid w:val="001E6A1B"/>
    <w:rsid w:val="001F36E8"/>
    <w:rsid w:val="001F6DCF"/>
    <w:rsid w:val="0021776C"/>
    <w:rsid w:val="00220828"/>
    <w:rsid w:val="00222594"/>
    <w:rsid w:val="0022587A"/>
    <w:rsid w:val="00232305"/>
    <w:rsid w:val="002440C0"/>
    <w:rsid w:val="00253C9F"/>
    <w:rsid w:val="00255E30"/>
    <w:rsid w:val="002672C1"/>
    <w:rsid w:val="002862F8"/>
    <w:rsid w:val="002A6DD3"/>
    <w:rsid w:val="002A7AC0"/>
    <w:rsid w:val="002B7A25"/>
    <w:rsid w:val="002C0EDD"/>
    <w:rsid w:val="002C325A"/>
    <w:rsid w:val="002C6E82"/>
    <w:rsid w:val="002E5D52"/>
    <w:rsid w:val="002F0A9E"/>
    <w:rsid w:val="00306B93"/>
    <w:rsid w:val="0032098D"/>
    <w:rsid w:val="00346D79"/>
    <w:rsid w:val="00352FB9"/>
    <w:rsid w:val="00392757"/>
    <w:rsid w:val="003A17CE"/>
    <w:rsid w:val="003C3EDD"/>
    <w:rsid w:val="003C537D"/>
    <w:rsid w:val="003D06BC"/>
    <w:rsid w:val="003D23F5"/>
    <w:rsid w:val="003E2CE6"/>
    <w:rsid w:val="003F2B39"/>
    <w:rsid w:val="0040625C"/>
    <w:rsid w:val="004175F4"/>
    <w:rsid w:val="00417E06"/>
    <w:rsid w:val="004251A6"/>
    <w:rsid w:val="00435AA7"/>
    <w:rsid w:val="00450557"/>
    <w:rsid w:val="00460B4B"/>
    <w:rsid w:val="00463BCC"/>
    <w:rsid w:val="00465291"/>
    <w:rsid w:val="00465B9C"/>
    <w:rsid w:val="00481E26"/>
    <w:rsid w:val="00484AAE"/>
    <w:rsid w:val="004A1392"/>
    <w:rsid w:val="004A44C6"/>
    <w:rsid w:val="004B718D"/>
    <w:rsid w:val="004C6851"/>
    <w:rsid w:val="004D718D"/>
    <w:rsid w:val="004E04AA"/>
    <w:rsid w:val="004E70F8"/>
    <w:rsid w:val="004F02A4"/>
    <w:rsid w:val="00510F80"/>
    <w:rsid w:val="005126B5"/>
    <w:rsid w:val="005129EA"/>
    <w:rsid w:val="00533B7F"/>
    <w:rsid w:val="00537B2C"/>
    <w:rsid w:val="005544BF"/>
    <w:rsid w:val="00557F5B"/>
    <w:rsid w:val="00560B0E"/>
    <w:rsid w:val="005631CB"/>
    <w:rsid w:val="00580D66"/>
    <w:rsid w:val="0059123A"/>
    <w:rsid w:val="005929DD"/>
    <w:rsid w:val="005A1CF2"/>
    <w:rsid w:val="00613CAC"/>
    <w:rsid w:val="00617926"/>
    <w:rsid w:val="00621B34"/>
    <w:rsid w:val="00642AAB"/>
    <w:rsid w:val="00652E14"/>
    <w:rsid w:val="006577F0"/>
    <w:rsid w:val="00662E72"/>
    <w:rsid w:val="006708E5"/>
    <w:rsid w:val="00691779"/>
    <w:rsid w:val="006932A2"/>
    <w:rsid w:val="00693B7C"/>
    <w:rsid w:val="00695A17"/>
    <w:rsid w:val="00695B83"/>
    <w:rsid w:val="006B4379"/>
    <w:rsid w:val="006B5530"/>
    <w:rsid w:val="006C4962"/>
    <w:rsid w:val="006D3DA1"/>
    <w:rsid w:val="006E6115"/>
    <w:rsid w:val="006F4537"/>
    <w:rsid w:val="007021D3"/>
    <w:rsid w:val="007065A7"/>
    <w:rsid w:val="00707D71"/>
    <w:rsid w:val="00720D36"/>
    <w:rsid w:val="007351BA"/>
    <w:rsid w:val="00757423"/>
    <w:rsid w:val="007651A3"/>
    <w:rsid w:val="00787370"/>
    <w:rsid w:val="00796C11"/>
    <w:rsid w:val="00797042"/>
    <w:rsid w:val="007A586B"/>
    <w:rsid w:val="007D5FE3"/>
    <w:rsid w:val="007D7B02"/>
    <w:rsid w:val="007E2292"/>
    <w:rsid w:val="007E5ED6"/>
    <w:rsid w:val="007F3F86"/>
    <w:rsid w:val="0080261B"/>
    <w:rsid w:val="0080575E"/>
    <w:rsid w:val="00825CC4"/>
    <w:rsid w:val="008309DD"/>
    <w:rsid w:val="008344C1"/>
    <w:rsid w:val="00837A83"/>
    <w:rsid w:val="008642F5"/>
    <w:rsid w:val="00871383"/>
    <w:rsid w:val="00876819"/>
    <w:rsid w:val="00894517"/>
    <w:rsid w:val="00895556"/>
    <w:rsid w:val="008B65D7"/>
    <w:rsid w:val="008B792E"/>
    <w:rsid w:val="008C1D17"/>
    <w:rsid w:val="008D7138"/>
    <w:rsid w:val="008E55FF"/>
    <w:rsid w:val="008E7AA4"/>
    <w:rsid w:val="008F2289"/>
    <w:rsid w:val="00901EA7"/>
    <w:rsid w:val="009155ED"/>
    <w:rsid w:val="009238CA"/>
    <w:rsid w:val="0092732F"/>
    <w:rsid w:val="0093000C"/>
    <w:rsid w:val="00932F7C"/>
    <w:rsid w:val="00933457"/>
    <w:rsid w:val="0094237D"/>
    <w:rsid w:val="00944DA0"/>
    <w:rsid w:val="00946F5E"/>
    <w:rsid w:val="009555B2"/>
    <w:rsid w:val="0096117D"/>
    <w:rsid w:val="0096134C"/>
    <w:rsid w:val="00966F46"/>
    <w:rsid w:val="009716F8"/>
    <w:rsid w:val="00972935"/>
    <w:rsid w:val="009743B1"/>
    <w:rsid w:val="00992AA6"/>
    <w:rsid w:val="009B2960"/>
    <w:rsid w:val="009C4ADF"/>
    <w:rsid w:val="009F2A6F"/>
    <w:rsid w:val="009F7BB1"/>
    <w:rsid w:val="00A24BFF"/>
    <w:rsid w:val="00A25B44"/>
    <w:rsid w:val="00A34610"/>
    <w:rsid w:val="00A500B0"/>
    <w:rsid w:val="00A54ED3"/>
    <w:rsid w:val="00A64CF2"/>
    <w:rsid w:val="00A71575"/>
    <w:rsid w:val="00A933F8"/>
    <w:rsid w:val="00AA735D"/>
    <w:rsid w:val="00AC0EBD"/>
    <w:rsid w:val="00AC31DA"/>
    <w:rsid w:val="00AC4324"/>
    <w:rsid w:val="00AC5E4B"/>
    <w:rsid w:val="00AC79F5"/>
    <w:rsid w:val="00AF21A8"/>
    <w:rsid w:val="00AF6C53"/>
    <w:rsid w:val="00B004D7"/>
    <w:rsid w:val="00B10CE3"/>
    <w:rsid w:val="00B75D09"/>
    <w:rsid w:val="00B951AB"/>
    <w:rsid w:val="00BA0546"/>
    <w:rsid w:val="00BB38BD"/>
    <w:rsid w:val="00BB590F"/>
    <w:rsid w:val="00BD1A6D"/>
    <w:rsid w:val="00BD3B2F"/>
    <w:rsid w:val="00BD5F88"/>
    <w:rsid w:val="00BF1557"/>
    <w:rsid w:val="00BF415C"/>
    <w:rsid w:val="00C255C2"/>
    <w:rsid w:val="00C36AEB"/>
    <w:rsid w:val="00C431D3"/>
    <w:rsid w:val="00C55115"/>
    <w:rsid w:val="00C567DE"/>
    <w:rsid w:val="00C72B36"/>
    <w:rsid w:val="00C74DC5"/>
    <w:rsid w:val="00CA193E"/>
    <w:rsid w:val="00CB0C05"/>
    <w:rsid w:val="00D04348"/>
    <w:rsid w:val="00D1543B"/>
    <w:rsid w:val="00D17CA8"/>
    <w:rsid w:val="00D276F7"/>
    <w:rsid w:val="00D30FDA"/>
    <w:rsid w:val="00D34FCB"/>
    <w:rsid w:val="00D41FF4"/>
    <w:rsid w:val="00D4480A"/>
    <w:rsid w:val="00D44FC1"/>
    <w:rsid w:val="00D50E74"/>
    <w:rsid w:val="00D52195"/>
    <w:rsid w:val="00D53595"/>
    <w:rsid w:val="00DA439E"/>
    <w:rsid w:val="00DA472D"/>
    <w:rsid w:val="00DA5ED5"/>
    <w:rsid w:val="00DB02EA"/>
    <w:rsid w:val="00DC0775"/>
    <w:rsid w:val="00DF6CB2"/>
    <w:rsid w:val="00E154A0"/>
    <w:rsid w:val="00E242B4"/>
    <w:rsid w:val="00E34136"/>
    <w:rsid w:val="00E42BC3"/>
    <w:rsid w:val="00E43247"/>
    <w:rsid w:val="00E730AE"/>
    <w:rsid w:val="00E825EA"/>
    <w:rsid w:val="00E8457F"/>
    <w:rsid w:val="00E95A4D"/>
    <w:rsid w:val="00EB19DD"/>
    <w:rsid w:val="00EB1DFB"/>
    <w:rsid w:val="00EB7B26"/>
    <w:rsid w:val="00ED5757"/>
    <w:rsid w:val="00EE564B"/>
    <w:rsid w:val="00EF3419"/>
    <w:rsid w:val="00F021C2"/>
    <w:rsid w:val="00F048BD"/>
    <w:rsid w:val="00F153EE"/>
    <w:rsid w:val="00F24F71"/>
    <w:rsid w:val="00F36EB9"/>
    <w:rsid w:val="00F60BD6"/>
    <w:rsid w:val="00F655F3"/>
    <w:rsid w:val="00F65E67"/>
    <w:rsid w:val="00F73312"/>
    <w:rsid w:val="00F81A54"/>
    <w:rsid w:val="00FA2819"/>
    <w:rsid w:val="00FA4B2B"/>
    <w:rsid w:val="00FA55DF"/>
    <w:rsid w:val="00FB5929"/>
    <w:rsid w:val="00FC54D5"/>
    <w:rsid w:val="00FC61E2"/>
    <w:rsid w:val="00FC651A"/>
    <w:rsid w:val="00FE254C"/>
    <w:rsid w:val="00FE374D"/>
    <w:rsid w:val="00FE3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1CF2"/>
    <w:pPr>
      <w:keepNext/>
      <w:keepLines/>
      <w:spacing w:before="480" w:after="0"/>
      <w:outlineLvl w:val="0"/>
    </w:pPr>
    <w:rPr>
      <w:rFonts w:ascii="Gill Sans MT" w:eastAsiaTheme="majorEastAsia" w:hAnsi="Gill Sans MT" w:cstheme="majorBidi"/>
      <w:b/>
      <w:bCs/>
      <w:sz w:val="40"/>
      <w:szCs w:val="28"/>
    </w:rPr>
  </w:style>
  <w:style w:type="paragraph" w:styleId="Heading2">
    <w:name w:val="heading 2"/>
    <w:basedOn w:val="Normal"/>
    <w:next w:val="Normal"/>
    <w:link w:val="Heading2Char"/>
    <w:uiPriority w:val="9"/>
    <w:unhideWhenUsed/>
    <w:qFormat/>
    <w:rsid w:val="005A1CF2"/>
    <w:pPr>
      <w:keepNext/>
      <w:keepLines/>
      <w:spacing w:before="200" w:after="0"/>
      <w:outlineLvl w:val="1"/>
    </w:pPr>
    <w:rPr>
      <w:rFonts w:ascii="Gill Sans MT" w:eastAsiaTheme="majorEastAsia" w:hAnsi="Gill Sans MT" w:cstheme="majorBidi"/>
      <w:b/>
      <w:bCs/>
      <w:sz w:val="32"/>
      <w:szCs w:val="26"/>
    </w:rPr>
  </w:style>
  <w:style w:type="paragraph" w:styleId="Heading3">
    <w:name w:val="heading 3"/>
    <w:basedOn w:val="Normal"/>
    <w:next w:val="Normal"/>
    <w:link w:val="Heading3Char"/>
    <w:uiPriority w:val="9"/>
    <w:unhideWhenUsed/>
    <w:qFormat/>
    <w:rsid w:val="0040625C"/>
    <w:pPr>
      <w:keepNext/>
      <w:keepLines/>
      <w:spacing w:before="200" w:after="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40625C"/>
    <w:pPr>
      <w:keepNext/>
      <w:keepLines/>
      <w:spacing w:before="200" w:after="0"/>
      <w:outlineLvl w:val="3"/>
    </w:pPr>
    <w:rPr>
      <w:rFonts w:ascii="Gill Sans MT" w:eastAsiaTheme="majorEastAsia" w:hAnsi="Gill Sans MT" w:cstheme="majorBidi"/>
      <w:b/>
      <w:bCs/>
      <w:iCs/>
      <w:sz w:val="24"/>
    </w:rPr>
  </w:style>
  <w:style w:type="paragraph" w:styleId="Heading5">
    <w:name w:val="heading 5"/>
    <w:basedOn w:val="Normal"/>
    <w:next w:val="Normal"/>
    <w:link w:val="Heading5Char"/>
    <w:uiPriority w:val="9"/>
    <w:unhideWhenUsed/>
    <w:qFormat/>
    <w:rsid w:val="00757423"/>
    <w:pPr>
      <w:keepNext/>
      <w:keepLines/>
      <w:spacing w:before="200" w:after="0"/>
      <w:outlineLvl w:val="4"/>
    </w:pPr>
    <w:rPr>
      <w:rFonts w:ascii="Gill Sans MT" w:eastAsiaTheme="majorEastAsia" w:hAnsi="Gill Sans MT" w:cstheme="majorBidi"/>
      <w:b/>
      <w:color w:val="243F60" w:themeColor="accent1" w:themeShade="7F"/>
    </w:rPr>
  </w:style>
  <w:style w:type="paragraph" w:styleId="Heading6">
    <w:name w:val="heading 6"/>
    <w:basedOn w:val="Normal"/>
    <w:next w:val="Normal"/>
    <w:link w:val="Heading6Char"/>
    <w:uiPriority w:val="9"/>
    <w:unhideWhenUsed/>
    <w:qFormat/>
    <w:rsid w:val="00BF1557"/>
    <w:pPr>
      <w:keepNext/>
      <w:keepLines/>
      <w:spacing w:before="200" w:after="0"/>
      <w:outlineLvl w:val="5"/>
    </w:pPr>
    <w:rPr>
      <w:rFonts w:ascii="Gill Sans MT" w:eastAsiaTheme="majorEastAsia" w:hAnsi="Gill Sans MT" w:cstheme="majorBidi"/>
      <w:b/>
      <w:i/>
      <w:iCs/>
      <w:color w:val="243F60" w:themeColor="accent1" w:themeShade="7F"/>
      <w:sz w:val="18"/>
    </w:rPr>
  </w:style>
  <w:style w:type="paragraph" w:styleId="Heading7">
    <w:name w:val="heading 7"/>
    <w:basedOn w:val="Normal"/>
    <w:next w:val="Normal"/>
    <w:link w:val="Heading7Char"/>
    <w:uiPriority w:val="9"/>
    <w:unhideWhenUsed/>
    <w:qFormat/>
    <w:rsid w:val="00BF1557"/>
    <w:pPr>
      <w:keepNext/>
      <w:keepLines/>
      <w:spacing w:before="200" w:after="0"/>
      <w:outlineLvl w:val="6"/>
    </w:pPr>
    <w:rPr>
      <w:rFonts w:ascii="Gill Sans MT" w:eastAsiaTheme="majorEastAsia" w:hAnsi="Gill Sans MT" w:cstheme="majorBidi"/>
      <w:b/>
      <w:iCs/>
      <w:color w:val="404040" w:themeColor="text1" w:themeTint="BF"/>
      <w:sz w:val="18"/>
    </w:rPr>
  </w:style>
  <w:style w:type="paragraph" w:styleId="Heading8">
    <w:name w:val="heading 8"/>
    <w:basedOn w:val="Normal"/>
    <w:next w:val="Normal"/>
    <w:link w:val="Heading8Char"/>
    <w:uiPriority w:val="9"/>
    <w:unhideWhenUsed/>
    <w:qFormat/>
    <w:rsid w:val="00F36E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DD"/>
    <w:rPr>
      <w:rFonts w:ascii="Tahoma" w:hAnsi="Tahoma" w:cs="Tahoma"/>
      <w:sz w:val="16"/>
      <w:szCs w:val="16"/>
    </w:rPr>
  </w:style>
  <w:style w:type="paragraph" w:styleId="BodyText">
    <w:name w:val="Body Text"/>
    <w:basedOn w:val="Normal"/>
    <w:link w:val="BodyTextChar"/>
    <w:uiPriority w:val="1"/>
    <w:qFormat/>
    <w:rsid w:val="007651A3"/>
    <w:pPr>
      <w:widowControl w:val="0"/>
      <w:autoSpaceDE w:val="0"/>
      <w:autoSpaceDN w:val="0"/>
      <w:spacing w:after="140" w:line="300" w:lineRule="atLeast"/>
    </w:pPr>
    <w:rPr>
      <w:rFonts w:ascii="Gill Sans MT" w:eastAsia="GillSans-Light" w:hAnsi="Gill Sans MT" w:cs="GillSans-Light"/>
      <w:lang w:val="en-US"/>
    </w:rPr>
  </w:style>
  <w:style w:type="character" w:customStyle="1" w:styleId="BodyTextChar">
    <w:name w:val="Body Text Char"/>
    <w:basedOn w:val="DefaultParagraphFont"/>
    <w:link w:val="BodyText"/>
    <w:uiPriority w:val="1"/>
    <w:rsid w:val="007651A3"/>
    <w:rPr>
      <w:rFonts w:ascii="Gill Sans MT" w:eastAsia="GillSans-Light" w:hAnsi="Gill Sans MT" w:cs="GillSans-Light"/>
      <w:lang w:val="en-US"/>
    </w:rPr>
  </w:style>
  <w:style w:type="character" w:customStyle="1" w:styleId="Heading1Char">
    <w:name w:val="Heading 1 Char"/>
    <w:basedOn w:val="DefaultParagraphFont"/>
    <w:link w:val="Heading1"/>
    <w:uiPriority w:val="9"/>
    <w:rsid w:val="005A1CF2"/>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5A1CF2"/>
    <w:rPr>
      <w:rFonts w:ascii="Gill Sans MT" w:eastAsiaTheme="majorEastAsia" w:hAnsi="Gill Sans MT" w:cstheme="majorBidi"/>
      <w:b/>
      <w:bCs/>
      <w:sz w:val="32"/>
      <w:szCs w:val="26"/>
    </w:rPr>
  </w:style>
  <w:style w:type="character" w:customStyle="1" w:styleId="Heading6Char">
    <w:name w:val="Heading 6 Char"/>
    <w:basedOn w:val="DefaultParagraphFont"/>
    <w:link w:val="Heading6"/>
    <w:uiPriority w:val="9"/>
    <w:rsid w:val="00BF1557"/>
    <w:rPr>
      <w:rFonts w:ascii="Gill Sans MT" w:eastAsiaTheme="majorEastAsia" w:hAnsi="Gill Sans MT" w:cstheme="majorBidi"/>
      <w:b/>
      <w:i/>
      <w:iCs/>
      <w:color w:val="243F60" w:themeColor="accent1" w:themeShade="7F"/>
      <w:sz w:val="18"/>
    </w:rPr>
  </w:style>
  <w:style w:type="character" w:customStyle="1" w:styleId="Heading3Char">
    <w:name w:val="Heading 3 Char"/>
    <w:basedOn w:val="DefaultParagraphFont"/>
    <w:link w:val="Heading3"/>
    <w:uiPriority w:val="9"/>
    <w:rsid w:val="0040625C"/>
    <w:rPr>
      <w:rFonts w:ascii="Gill Sans MT" w:eastAsiaTheme="majorEastAsia" w:hAnsi="Gill Sans MT" w:cstheme="majorBidi"/>
      <w:b/>
      <w:bCs/>
      <w:sz w:val="28"/>
    </w:rPr>
  </w:style>
  <w:style w:type="character" w:customStyle="1" w:styleId="Heading4Char">
    <w:name w:val="Heading 4 Char"/>
    <w:basedOn w:val="DefaultParagraphFont"/>
    <w:link w:val="Heading4"/>
    <w:uiPriority w:val="9"/>
    <w:rsid w:val="0040625C"/>
    <w:rPr>
      <w:rFonts w:ascii="Gill Sans MT" w:eastAsiaTheme="majorEastAsia" w:hAnsi="Gill Sans MT" w:cstheme="majorBidi"/>
      <w:b/>
      <w:bCs/>
      <w:iCs/>
      <w:sz w:val="24"/>
    </w:rPr>
  </w:style>
  <w:style w:type="character" w:customStyle="1" w:styleId="Heading5Char">
    <w:name w:val="Heading 5 Char"/>
    <w:basedOn w:val="DefaultParagraphFont"/>
    <w:link w:val="Heading5"/>
    <w:uiPriority w:val="9"/>
    <w:rsid w:val="00757423"/>
    <w:rPr>
      <w:rFonts w:ascii="Gill Sans MT" w:eastAsiaTheme="majorEastAsia" w:hAnsi="Gill Sans MT" w:cstheme="majorBidi"/>
      <w:b/>
      <w:color w:val="243F60" w:themeColor="accent1" w:themeShade="7F"/>
    </w:rPr>
  </w:style>
  <w:style w:type="paragraph" w:styleId="ListParagraph">
    <w:name w:val="List Paragraph"/>
    <w:basedOn w:val="Normal"/>
    <w:uiPriority w:val="1"/>
    <w:qFormat/>
    <w:rsid w:val="0040625C"/>
    <w:pPr>
      <w:ind w:left="720"/>
      <w:contextualSpacing/>
    </w:pPr>
  </w:style>
  <w:style w:type="paragraph" w:styleId="Caption">
    <w:name w:val="caption"/>
    <w:basedOn w:val="Normal"/>
    <w:next w:val="Normal"/>
    <w:uiPriority w:val="35"/>
    <w:unhideWhenUsed/>
    <w:qFormat/>
    <w:rsid w:val="00EB1DFB"/>
    <w:pPr>
      <w:spacing w:line="240" w:lineRule="auto"/>
    </w:pPr>
    <w:rPr>
      <w:rFonts w:ascii="Gill Sans MT" w:hAnsi="Gill Sans MT"/>
      <w:bCs/>
      <w:i/>
      <w:sz w:val="18"/>
      <w:szCs w:val="18"/>
    </w:rPr>
  </w:style>
  <w:style w:type="character" w:customStyle="1" w:styleId="Heading8Char">
    <w:name w:val="Heading 8 Char"/>
    <w:basedOn w:val="DefaultParagraphFont"/>
    <w:link w:val="Heading8"/>
    <w:uiPriority w:val="9"/>
    <w:rsid w:val="00F36EB9"/>
    <w:rPr>
      <w:rFonts w:asciiTheme="majorHAnsi" w:eastAsiaTheme="majorEastAsia" w:hAnsiTheme="majorHAnsi" w:cstheme="majorBidi"/>
      <w:color w:val="404040" w:themeColor="text1" w:themeTint="BF"/>
      <w:sz w:val="20"/>
      <w:szCs w:val="20"/>
    </w:rPr>
  </w:style>
  <w:style w:type="paragraph" w:styleId="TOC3">
    <w:name w:val="toc 3"/>
    <w:basedOn w:val="Normal"/>
    <w:uiPriority w:val="39"/>
    <w:qFormat/>
    <w:rsid w:val="00F36EB9"/>
    <w:pPr>
      <w:widowControl w:val="0"/>
      <w:autoSpaceDE w:val="0"/>
      <w:autoSpaceDN w:val="0"/>
      <w:spacing w:before="116" w:after="0" w:line="240" w:lineRule="auto"/>
      <w:ind w:left="1023"/>
    </w:pPr>
    <w:rPr>
      <w:rFonts w:ascii="GillSans-Light" w:eastAsia="GillSans-Light" w:hAnsi="GillSans-Light" w:cs="GillSans-Light"/>
      <w:sz w:val="25"/>
      <w:szCs w:val="25"/>
      <w:lang w:val="en-US"/>
    </w:rPr>
  </w:style>
  <w:style w:type="paragraph" w:customStyle="1" w:styleId="TableParagraph">
    <w:name w:val="Table Paragraph"/>
    <w:basedOn w:val="Normal"/>
    <w:uiPriority w:val="1"/>
    <w:qFormat/>
    <w:rsid w:val="00AC31DA"/>
    <w:pPr>
      <w:widowControl w:val="0"/>
      <w:autoSpaceDE w:val="0"/>
      <w:autoSpaceDN w:val="0"/>
      <w:spacing w:after="0" w:line="240" w:lineRule="auto"/>
    </w:pPr>
    <w:rPr>
      <w:rFonts w:ascii="GillSans-Light" w:eastAsia="GillSans-Light" w:hAnsi="GillSans-Light" w:cs="GillSans-Light"/>
      <w:lang w:val="en-US"/>
    </w:rPr>
  </w:style>
  <w:style w:type="character" w:customStyle="1" w:styleId="Heading7Char">
    <w:name w:val="Heading 7 Char"/>
    <w:basedOn w:val="DefaultParagraphFont"/>
    <w:link w:val="Heading7"/>
    <w:uiPriority w:val="9"/>
    <w:rsid w:val="00BF1557"/>
    <w:rPr>
      <w:rFonts w:ascii="Gill Sans MT" w:eastAsiaTheme="majorEastAsia" w:hAnsi="Gill Sans MT" w:cstheme="majorBidi"/>
      <w:b/>
      <w:iCs/>
      <w:color w:val="404040" w:themeColor="text1" w:themeTint="BF"/>
      <w:sz w:val="18"/>
    </w:rPr>
  </w:style>
  <w:style w:type="character" w:styleId="Hyperlink">
    <w:name w:val="Hyperlink"/>
    <w:basedOn w:val="DefaultParagraphFont"/>
    <w:uiPriority w:val="99"/>
    <w:unhideWhenUsed/>
    <w:rsid w:val="00C431D3"/>
    <w:rPr>
      <w:color w:val="0000FF" w:themeColor="hyperlink"/>
      <w:u w:val="single"/>
    </w:rPr>
  </w:style>
  <w:style w:type="table" w:styleId="TableGrid">
    <w:name w:val="Table Grid"/>
    <w:basedOn w:val="TableNormal"/>
    <w:uiPriority w:val="59"/>
    <w:rsid w:val="0092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2732F"/>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2732F"/>
    <w:pPr>
      <w:spacing w:after="100"/>
    </w:pPr>
  </w:style>
  <w:style w:type="paragraph" w:styleId="TOC2">
    <w:name w:val="toc 2"/>
    <w:basedOn w:val="Normal"/>
    <w:next w:val="Normal"/>
    <w:autoRedefine/>
    <w:uiPriority w:val="39"/>
    <w:unhideWhenUsed/>
    <w:rsid w:val="0092732F"/>
    <w:pPr>
      <w:spacing w:after="100"/>
      <w:ind w:left="220"/>
    </w:pPr>
  </w:style>
  <w:style w:type="paragraph" w:styleId="Header">
    <w:name w:val="header"/>
    <w:basedOn w:val="Normal"/>
    <w:link w:val="HeaderChar"/>
    <w:uiPriority w:val="99"/>
    <w:unhideWhenUsed/>
    <w:rsid w:val="00563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1CB"/>
  </w:style>
  <w:style w:type="paragraph" w:styleId="Footer">
    <w:name w:val="footer"/>
    <w:basedOn w:val="Normal"/>
    <w:link w:val="FooterChar"/>
    <w:uiPriority w:val="99"/>
    <w:unhideWhenUsed/>
    <w:rsid w:val="00563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1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1CF2"/>
    <w:pPr>
      <w:keepNext/>
      <w:keepLines/>
      <w:spacing w:before="480" w:after="0"/>
      <w:outlineLvl w:val="0"/>
    </w:pPr>
    <w:rPr>
      <w:rFonts w:ascii="Gill Sans MT" w:eastAsiaTheme="majorEastAsia" w:hAnsi="Gill Sans MT" w:cstheme="majorBidi"/>
      <w:b/>
      <w:bCs/>
      <w:sz w:val="40"/>
      <w:szCs w:val="28"/>
    </w:rPr>
  </w:style>
  <w:style w:type="paragraph" w:styleId="Heading2">
    <w:name w:val="heading 2"/>
    <w:basedOn w:val="Normal"/>
    <w:next w:val="Normal"/>
    <w:link w:val="Heading2Char"/>
    <w:uiPriority w:val="9"/>
    <w:unhideWhenUsed/>
    <w:qFormat/>
    <w:rsid w:val="005A1CF2"/>
    <w:pPr>
      <w:keepNext/>
      <w:keepLines/>
      <w:spacing w:before="200" w:after="0"/>
      <w:outlineLvl w:val="1"/>
    </w:pPr>
    <w:rPr>
      <w:rFonts w:ascii="Gill Sans MT" w:eastAsiaTheme="majorEastAsia" w:hAnsi="Gill Sans MT" w:cstheme="majorBidi"/>
      <w:b/>
      <w:bCs/>
      <w:sz w:val="32"/>
      <w:szCs w:val="26"/>
    </w:rPr>
  </w:style>
  <w:style w:type="paragraph" w:styleId="Heading3">
    <w:name w:val="heading 3"/>
    <w:basedOn w:val="Normal"/>
    <w:next w:val="Normal"/>
    <w:link w:val="Heading3Char"/>
    <w:uiPriority w:val="9"/>
    <w:unhideWhenUsed/>
    <w:qFormat/>
    <w:rsid w:val="0040625C"/>
    <w:pPr>
      <w:keepNext/>
      <w:keepLines/>
      <w:spacing w:before="200" w:after="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40625C"/>
    <w:pPr>
      <w:keepNext/>
      <w:keepLines/>
      <w:spacing w:before="200" w:after="0"/>
      <w:outlineLvl w:val="3"/>
    </w:pPr>
    <w:rPr>
      <w:rFonts w:ascii="Gill Sans MT" w:eastAsiaTheme="majorEastAsia" w:hAnsi="Gill Sans MT" w:cstheme="majorBidi"/>
      <w:b/>
      <w:bCs/>
      <w:iCs/>
      <w:sz w:val="24"/>
    </w:rPr>
  </w:style>
  <w:style w:type="paragraph" w:styleId="Heading5">
    <w:name w:val="heading 5"/>
    <w:basedOn w:val="Normal"/>
    <w:next w:val="Normal"/>
    <w:link w:val="Heading5Char"/>
    <w:uiPriority w:val="9"/>
    <w:unhideWhenUsed/>
    <w:qFormat/>
    <w:rsid w:val="00757423"/>
    <w:pPr>
      <w:keepNext/>
      <w:keepLines/>
      <w:spacing w:before="200" w:after="0"/>
      <w:outlineLvl w:val="4"/>
    </w:pPr>
    <w:rPr>
      <w:rFonts w:ascii="Gill Sans MT" w:eastAsiaTheme="majorEastAsia" w:hAnsi="Gill Sans MT" w:cstheme="majorBidi"/>
      <w:b/>
      <w:color w:val="243F60" w:themeColor="accent1" w:themeShade="7F"/>
    </w:rPr>
  </w:style>
  <w:style w:type="paragraph" w:styleId="Heading6">
    <w:name w:val="heading 6"/>
    <w:basedOn w:val="Normal"/>
    <w:next w:val="Normal"/>
    <w:link w:val="Heading6Char"/>
    <w:uiPriority w:val="9"/>
    <w:unhideWhenUsed/>
    <w:qFormat/>
    <w:rsid w:val="00BF1557"/>
    <w:pPr>
      <w:keepNext/>
      <w:keepLines/>
      <w:spacing w:before="200" w:after="0"/>
      <w:outlineLvl w:val="5"/>
    </w:pPr>
    <w:rPr>
      <w:rFonts w:ascii="Gill Sans MT" w:eastAsiaTheme="majorEastAsia" w:hAnsi="Gill Sans MT" w:cstheme="majorBidi"/>
      <w:b/>
      <w:i/>
      <w:iCs/>
      <w:color w:val="243F60" w:themeColor="accent1" w:themeShade="7F"/>
      <w:sz w:val="18"/>
    </w:rPr>
  </w:style>
  <w:style w:type="paragraph" w:styleId="Heading7">
    <w:name w:val="heading 7"/>
    <w:basedOn w:val="Normal"/>
    <w:next w:val="Normal"/>
    <w:link w:val="Heading7Char"/>
    <w:uiPriority w:val="9"/>
    <w:unhideWhenUsed/>
    <w:qFormat/>
    <w:rsid w:val="00BF1557"/>
    <w:pPr>
      <w:keepNext/>
      <w:keepLines/>
      <w:spacing w:before="200" w:after="0"/>
      <w:outlineLvl w:val="6"/>
    </w:pPr>
    <w:rPr>
      <w:rFonts w:ascii="Gill Sans MT" w:eastAsiaTheme="majorEastAsia" w:hAnsi="Gill Sans MT" w:cstheme="majorBidi"/>
      <w:b/>
      <w:iCs/>
      <w:color w:val="404040" w:themeColor="text1" w:themeTint="BF"/>
      <w:sz w:val="18"/>
    </w:rPr>
  </w:style>
  <w:style w:type="paragraph" w:styleId="Heading8">
    <w:name w:val="heading 8"/>
    <w:basedOn w:val="Normal"/>
    <w:next w:val="Normal"/>
    <w:link w:val="Heading8Char"/>
    <w:uiPriority w:val="9"/>
    <w:unhideWhenUsed/>
    <w:qFormat/>
    <w:rsid w:val="00F36E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DD"/>
    <w:rPr>
      <w:rFonts w:ascii="Tahoma" w:hAnsi="Tahoma" w:cs="Tahoma"/>
      <w:sz w:val="16"/>
      <w:szCs w:val="16"/>
    </w:rPr>
  </w:style>
  <w:style w:type="paragraph" w:styleId="BodyText">
    <w:name w:val="Body Text"/>
    <w:basedOn w:val="Normal"/>
    <w:link w:val="BodyTextChar"/>
    <w:uiPriority w:val="1"/>
    <w:qFormat/>
    <w:rsid w:val="007651A3"/>
    <w:pPr>
      <w:widowControl w:val="0"/>
      <w:autoSpaceDE w:val="0"/>
      <w:autoSpaceDN w:val="0"/>
      <w:spacing w:after="140" w:line="300" w:lineRule="atLeast"/>
    </w:pPr>
    <w:rPr>
      <w:rFonts w:ascii="Gill Sans MT" w:eastAsia="GillSans-Light" w:hAnsi="Gill Sans MT" w:cs="GillSans-Light"/>
      <w:lang w:val="en-US"/>
    </w:rPr>
  </w:style>
  <w:style w:type="character" w:customStyle="1" w:styleId="BodyTextChar">
    <w:name w:val="Body Text Char"/>
    <w:basedOn w:val="DefaultParagraphFont"/>
    <w:link w:val="BodyText"/>
    <w:uiPriority w:val="1"/>
    <w:rsid w:val="007651A3"/>
    <w:rPr>
      <w:rFonts w:ascii="Gill Sans MT" w:eastAsia="GillSans-Light" w:hAnsi="Gill Sans MT" w:cs="GillSans-Light"/>
      <w:lang w:val="en-US"/>
    </w:rPr>
  </w:style>
  <w:style w:type="character" w:customStyle="1" w:styleId="Heading1Char">
    <w:name w:val="Heading 1 Char"/>
    <w:basedOn w:val="DefaultParagraphFont"/>
    <w:link w:val="Heading1"/>
    <w:uiPriority w:val="9"/>
    <w:rsid w:val="005A1CF2"/>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5A1CF2"/>
    <w:rPr>
      <w:rFonts w:ascii="Gill Sans MT" w:eastAsiaTheme="majorEastAsia" w:hAnsi="Gill Sans MT" w:cstheme="majorBidi"/>
      <w:b/>
      <w:bCs/>
      <w:sz w:val="32"/>
      <w:szCs w:val="26"/>
    </w:rPr>
  </w:style>
  <w:style w:type="character" w:customStyle="1" w:styleId="Heading6Char">
    <w:name w:val="Heading 6 Char"/>
    <w:basedOn w:val="DefaultParagraphFont"/>
    <w:link w:val="Heading6"/>
    <w:uiPriority w:val="9"/>
    <w:rsid w:val="00BF1557"/>
    <w:rPr>
      <w:rFonts w:ascii="Gill Sans MT" w:eastAsiaTheme="majorEastAsia" w:hAnsi="Gill Sans MT" w:cstheme="majorBidi"/>
      <w:b/>
      <w:i/>
      <w:iCs/>
      <w:color w:val="243F60" w:themeColor="accent1" w:themeShade="7F"/>
      <w:sz w:val="18"/>
    </w:rPr>
  </w:style>
  <w:style w:type="character" w:customStyle="1" w:styleId="Heading3Char">
    <w:name w:val="Heading 3 Char"/>
    <w:basedOn w:val="DefaultParagraphFont"/>
    <w:link w:val="Heading3"/>
    <w:uiPriority w:val="9"/>
    <w:rsid w:val="0040625C"/>
    <w:rPr>
      <w:rFonts w:ascii="Gill Sans MT" w:eastAsiaTheme="majorEastAsia" w:hAnsi="Gill Sans MT" w:cstheme="majorBidi"/>
      <w:b/>
      <w:bCs/>
      <w:sz w:val="28"/>
    </w:rPr>
  </w:style>
  <w:style w:type="character" w:customStyle="1" w:styleId="Heading4Char">
    <w:name w:val="Heading 4 Char"/>
    <w:basedOn w:val="DefaultParagraphFont"/>
    <w:link w:val="Heading4"/>
    <w:uiPriority w:val="9"/>
    <w:rsid w:val="0040625C"/>
    <w:rPr>
      <w:rFonts w:ascii="Gill Sans MT" w:eastAsiaTheme="majorEastAsia" w:hAnsi="Gill Sans MT" w:cstheme="majorBidi"/>
      <w:b/>
      <w:bCs/>
      <w:iCs/>
      <w:sz w:val="24"/>
    </w:rPr>
  </w:style>
  <w:style w:type="character" w:customStyle="1" w:styleId="Heading5Char">
    <w:name w:val="Heading 5 Char"/>
    <w:basedOn w:val="DefaultParagraphFont"/>
    <w:link w:val="Heading5"/>
    <w:uiPriority w:val="9"/>
    <w:rsid w:val="00757423"/>
    <w:rPr>
      <w:rFonts w:ascii="Gill Sans MT" w:eastAsiaTheme="majorEastAsia" w:hAnsi="Gill Sans MT" w:cstheme="majorBidi"/>
      <w:b/>
      <w:color w:val="243F60" w:themeColor="accent1" w:themeShade="7F"/>
    </w:rPr>
  </w:style>
  <w:style w:type="paragraph" w:styleId="ListParagraph">
    <w:name w:val="List Paragraph"/>
    <w:basedOn w:val="Normal"/>
    <w:uiPriority w:val="1"/>
    <w:qFormat/>
    <w:rsid w:val="0040625C"/>
    <w:pPr>
      <w:ind w:left="720"/>
      <w:contextualSpacing/>
    </w:pPr>
  </w:style>
  <w:style w:type="paragraph" w:styleId="Caption">
    <w:name w:val="caption"/>
    <w:basedOn w:val="Normal"/>
    <w:next w:val="Normal"/>
    <w:uiPriority w:val="35"/>
    <w:unhideWhenUsed/>
    <w:qFormat/>
    <w:rsid w:val="00EB1DFB"/>
    <w:pPr>
      <w:spacing w:line="240" w:lineRule="auto"/>
    </w:pPr>
    <w:rPr>
      <w:rFonts w:ascii="Gill Sans MT" w:hAnsi="Gill Sans MT"/>
      <w:bCs/>
      <w:i/>
      <w:sz w:val="18"/>
      <w:szCs w:val="18"/>
    </w:rPr>
  </w:style>
  <w:style w:type="character" w:customStyle="1" w:styleId="Heading8Char">
    <w:name w:val="Heading 8 Char"/>
    <w:basedOn w:val="DefaultParagraphFont"/>
    <w:link w:val="Heading8"/>
    <w:uiPriority w:val="9"/>
    <w:rsid w:val="00F36EB9"/>
    <w:rPr>
      <w:rFonts w:asciiTheme="majorHAnsi" w:eastAsiaTheme="majorEastAsia" w:hAnsiTheme="majorHAnsi" w:cstheme="majorBidi"/>
      <w:color w:val="404040" w:themeColor="text1" w:themeTint="BF"/>
      <w:sz w:val="20"/>
      <w:szCs w:val="20"/>
    </w:rPr>
  </w:style>
  <w:style w:type="paragraph" w:styleId="TOC3">
    <w:name w:val="toc 3"/>
    <w:basedOn w:val="Normal"/>
    <w:uiPriority w:val="39"/>
    <w:qFormat/>
    <w:rsid w:val="00F36EB9"/>
    <w:pPr>
      <w:widowControl w:val="0"/>
      <w:autoSpaceDE w:val="0"/>
      <w:autoSpaceDN w:val="0"/>
      <w:spacing w:before="116" w:after="0" w:line="240" w:lineRule="auto"/>
      <w:ind w:left="1023"/>
    </w:pPr>
    <w:rPr>
      <w:rFonts w:ascii="GillSans-Light" w:eastAsia="GillSans-Light" w:hAnsi="GillSans-Light" w:cs="GillSans-Light"/>
      <w:sz w:val="25"/>
      <w:szCs w:val="25"/>
      <w:lang w:val="en-US"/>
    </w:rPr>
  </w:style>
  <w:style w:type="paragraph" w:customStyle="1" w:styleId="TableParagraph">
    <w:name w:val="Table Paragraph"/>
    <w:basedOn w:val="Normal"/>
    <w:uiPriority w:val="1"/>
    <w:qFormat/>
    <w:rsid w:val="00AC31DA"/>
    <w:pPr>
      <w:widowControl w:val="0"/>
      <w:autoSpaceDE w:val="0"/>
      <w:autoSpaceDN w:val="0"/>
      <w:spacing w:after="0" w:line="240" w:lineRule="auto"/>
    </w:pPr>
    <w:rPr>
      <w:rFonts w:ascii="GillSans-Light" w:eastAsia="GillSans-Light" w:hAnsi="GillSans-Light" w:cs="GillSans-Light"/>
      <w:lang w:val="en-US"/>
    </w:rPr>
  </w:style>
  <w:style w:type="character" w:customStyle="1" w:styleId="Heading7Char">
    <w:name w:val="Heading 7 Char"/>
    <w:basedOn w:val="DefaultParagraphFont"/>
    <w:link w:val="Heading7"/>
    <w:uiPriority w:val="9"/>
    <w:rsid w:val="00BF1557"/>
    <w:rPr>
      <w:rFonts w:ascii="Gill Sans MT" w:eastAsiaTheme="majorEastAsia" w:hAnsi="Gill Sans MT" w:cstheme="majorBidi"/>
      <w:b/>
      <w:iCs/>
      <w:color w:val="404040" w:themeColor="text1" w:themeTint="BF"/>
      <w:sz w:val="18"/>
    </w:rPr>
  </w:style>
  <w:style w:type="character" w:styleId="Hyperlink">
    <w:name w:val="Hyperlink"/>
    <w:basedOn w:val="DefaultParagraphFont"/>
    <w:uiPriority w:val="99"/>
    <w:unhideWhenUsed/>
    <w:rsid w:val="00C431D3"/>
    <w:rPr>
      <w:color w:val="0000FF" w:themeColor="hyperlink"/>
      <w:u w:val="single"/>
    </w:rPr>
  </w:style>
  <w:style w:type="table" w:styleId="TableGrid">
    <w:name w:val="Table Grid"/>
    <w:basedOn w:val="TableNormal"/>
    <w:uiPriority w:val="59"/>
    <w:rsid w:val="0092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2732F"/>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2732F"/>
    <w:pPr>
      <w:spacing w:after="100"/>
    </w:pPr>
  </w:style>
  <w:style w:type="paragraph" w:styleId="TOC2">
    <w:name w:val="toc 2"/>
    <w:basedOn w:val="Normal"/>
    <w:next w:val="Normal"/>
    <w:autoRedefine/>
    <w:uiPriority w:val="39"/>
    <w:unhideWhenUsed/>
    <w:rsid w:val="0092732F"/>
    <w:pPr>
      <w:spacing w:after="100"/>
      <w:ind w:left="220"/>
    </w:pPr>
  </w:style>
  <w:style w:type="paragraph" w:styleId="Header">
    <w:name w:val="header"/>
    <w:basedOn w:val="Normal"/>
    <w:link w:val="HeaderChar"/>
    <w:uiPriority w:val="99"/>
    <w:unhideWhenUsed/>
    <w:rsid w:val="00563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1CB"/>
  </w:style>
  <w:style w:type="paragraph" w:styleId="Footer">
    <w:name w:val="footer"/>
    <w:basedOn w:val="Normal"/>
    <w:link w:val="FooterChar"/>
    <w:uiPriority w:val="99"/>
    <w:unhideWhenUsed/>
    <w:rsid w:val="00563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s.tas.gov.au/"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x.doi.org/10.3109/15412555.20%2014.995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815AD-EAA5-406A-A81A-671C6E135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47EEDAA4.dotm</Template>
  <TotalTime>1</TotalTime>
  <Pages>191</Pages>
  <Words>61671</Words>
  <Characters>351530</Characters>
  <Application>Microsoft Office Word</Application>
  <DocSecurity>0</DocSecurity>
  <Lines>2929</Lines>
  <Paragraphs>824</Paragraphs>
  <ScaleCrop>false</ScaleCrop>
  <HeadingPairs>
    <vt:vector size="2" baseType="variant">
      <vt:variant>
        <vt:lpstr>Title</vt:lpstr>
      </vt:variant>
      <vt:variant>
        <vt:i4>1</vt:i4>
      </vt:variant>
    </vt:vector>
  </HeadingPairs>
  <TitlesOfParts>
    <vt:vector size="1" baseType="lpstr">
      <vt:lpstr>Tasmanian Health Service Annual Report 2015-16</vt:lpstr>
    </vt:vector>
  </TitlesOfParts>
  <Company>DHHS</Company>
  <LinksUpToDate>false</LinksUpToDate>
  <CharactersWithSpaces>412377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Health Service Annual Report 2015-16</dc:title>
  <dc:creator>THS</dc:creator>
  <cp:lastModifiedBy>Toon, Karen M</cp:lastModifiedBy>
  <cp:revision>3</cp:revision>
  <cp:lastPrinted>2017-01-05T23:56:00Z</cp:lastPrinted>
  <dcterms:created xsi:type="dcterms:W3CDTF">2017-01-18T22:53:00Z</dcterms:created>
  <dcterms:modified xsi:type="dcterms:W3CDTF">2017-01-18T22:53:00Z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