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F14C" w14:textId="64D62630" w:rsidR="00D0492D" w:rsidRDefault="009F53C0" w:rsidP="00D0492D">
      <w:pPr>
        <w:pStyle w:val="Heading8"/>
      </w:pPr>
      <w:r w:rsidRPr="00993E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F67AF" wp14:editId="4B157A68">
                <wp:simplePos x="0" y="0"/>
                <wp:positionH relativeFrom="column">
                  <wp:posOffset>-164490</wp:posOffset>
                </wp:positionH>
                <wp:positionV relativeFrom="paragraph">
                  <wp:posOffset>-1107669</wp:posOffset>
                </wp:positionV>
                <wp:extent cx="6593840" cy="1291413"/>
                <wp:effectExtent l="0" t="0" r="0" b="4445"/>
                <wp:wrapNone/>
                <wp:docPr id="1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291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6373B" w14:textId="77777777" w:rsidR="00D0492D" w:rsidRPr="007946DA" w:rsidRDefault="00D0492D" w:rsidP="009F53C0">
                            <w:pPr>
                              <w:pStyle w:val="Heading1"/>
                            </w:pPr>
                            <w:r w:rsidRPr="007946DA">
                              <w:t>Tasmanian Drug Strategy 2021-2027</w:t>
                            </w:r>
                          </w:p>
                          <w:p w14:paraId="3F01A647" w14:textId="77777777" w:rsidR="00D0492D" w:rsidRPr="007946DA" w:rsidRDefault="00A40365" w:rsidP="00D0492D">
                            <w:pPr>
                              <w:spacing w:before="360" w:after="120" w:line="240" w:lineRule="atLeast"/>
                              <w:ind w:left="-142" w:right="34"/>
                              <w:jc w:val="righ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hyperlink r:id="rId8" w:history="1">
                              <w:r w:rsidR="00D0492D" w:rsidRPr="00D1222F">
                                <w:rPr>
                                  <w:rStyle w:val="Hyperlink"/>
                                  <w:b/>
                                  <w:bCs/>
                                  <w:szCs w:val="22"/>
                                </w:rPr>
                                <w:t>director.mhadd@health.tas.gov.au</w:t>
                              </w:r>
                            </w:hyperlink>
                          </w:p>
                          <w:p w14:paraId="3D54D573" w14:textId="77777777" w:rsidR="00D0492D" w:rsidRPr="000D7F8C" w:rsidRDefault="00D0492D" w:rsidP="00D0492D">
                            <w:pPr>
                              <w:spacing w:after="120" w:line="240" w:lineRule="auto"/>
                              <w:ind w:right="34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7946DA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Pr="000D7F8C">
                                <w:rPr>
                                  <w:rStyle w:val="Hyperlink"/>
                                  <w:b/>
                                  <w:bCs/>
                                </w:rPr>
                                <w:t>www.dhhs.tas.gov.au/drugstrategy</w:t>
                              </w:r>
                            </w:hyperlink>
                          </w:p>
                          <w:p w14:paraId="7A8D6694" w14:textId="77777777" w:rsidR="00D0492D" w:rsidRDefault="00D0492D" w:rsidP="00D0492D">
                            <w:pPr>
                              <w:pStyle w:val="Heading7"/>
                              <w:ind w:left="-1985" w:right="-1795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1DA538C0" w14:textId="77777777" w:rsidR="00D0492D" w:rsidRPr="00026B89" w:rsidRDefault="00D0492D" w:rsidP="00D04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F67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2.95pt;margin-top:-87.2pt;width:519.2pt;height:1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X68QEAAMgDAAAOAAAAZHJzL2Uyb0RvYy54bWysU9tu2zAMfR+wfxD0vjhO06w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" filled="f" stroked="f">
                <v:textbox>
                  <w:txbxContent>
                    <w:p w14:paraId="3386373B" w14:textId="77777777" w:rsidR="00D0492D" w:rsidRPr="007946DA" w:rsidRDefault="00D0492D" w:rsidP="009F53C0">
                      <w:pPr>
                        <w:pStyle w:val="Heading1"/>
                      </w:pPr>
                      <w:r w:rsidRPr="007946DA">
                        <w:t>Tasmanian Drug Strategy 2021-2027</w:t>
                      </w:r>
                    </w:p>
                    <w:p w14:paraId="3F01A647" w14:textId="77777777" w:rsidR="00D0492D" w:rsidRPr="007946DA" w:rsidRDefault="00A40365" w:rsidP="00D0492D">
                      <w:pPr>
                        <w:spacing w:before="360" w:after="120" w:line="240" w:lineRule="atLeast"/>
                        <w:ind w:left="-142" w:right="34"/>
                        <w:jc w:val="right"/>
                        <w:rPr>
                          <w:b/>
                          <w:bCs/>
                          <w:sz w:val="24"/>
                        </w:rPr>
                      </w:pPr>
                      <w:hyperlink r:id="rId10" w:history="1">
                        <w:r w:rsidR="00D0492D" w:rsidRPr="00D1222F">
                          <w:rPr>
                            <w:rStyle w:val="Hyperlink"/>
                            <w:b/>
                            <w:bCs/>
                            <w:szCs w:val="22"/>
                          </w:rPr>
                          <w:t>director.mhadd@health.tas.gov.au</w:t>
                        </w:r>
                      </w:hyperlink>
                    </w:p>
                    <w:p w14:paraId="3D54D573" w14:textId="77777777" w:rsidR="00D0492D" w:rsidRPr="000D7F8C" w:rsidRDefault="00D0492D" w:rsidP="00D0492D">
                      <w:pPr>
                        <w:spacing w:after="120" w:line="240" w:lineRule="auto"/>
                        <w:ind w:right="34"/>
                        <w:jc w:val="right"/>
                        <w:rPr>
                          <w:b/>
                          <w:bCs/>
                        </w:rPr>
                      </w:pPr>
                      <w:r w:rsidRPr="007946DA">
                        <w:rPr>
                          <w:sz w:val="24"/>
                        </w:rPr>
                        <w:t xml:space="preserve"> </w:t>
                      </w:r>
                      <w:hyperlink r:id="rId11" w:history="1">
                        <w:r w:rsidRPr="000D7F8C">
                          <w:rPr>
                            <w:rStyle w:val="Hyperlink"/>
                            <w:b/>
                            <w:bCs/>
                          </w:rPr>
                          <w:t>www.dhhs.tas.gov.au/drugstrategy</w:t>
                        </w:r>
                      </w:hyperlink>
                    </w:p>
                    <w:p w14:paraId="7A8D6694" w14:textId="77777777" w:rsidR="00D0492D" w:rsidRDefault="00D0492D" w:rsidP="00D0492D">
                      <w:pPr>
                        <w:pStyle w:val="Heading7"/>
                        <w:ind w:left="-1985" w:right="-1795"/>
                        <w:jc w:val="right"/>
                        <w:rPr>
                          <w:sz w:val="24"/>
                        </w:rPr>
                      </w:pPr>
                    </w:p>
                    <w:p w14:paraId="1DA538C0" w14:textId="77777777" w:rsidR="00D0492D" w:rsidRPr="00026B89" w:rsidRDefault="00D0492D" w:rsidP="00D0492D"/>
                  </w:txbxContent>
                </v:textbox>
              </v:shape>
            </w:pict>
          </mc:Fallback>
        </mc:AlternateContent>
      </w:r>
      <w:r w:rsidR="00D0492D" w:rsidRPr="00993E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818A3" wp14:editId="61E76020">
                <wp:simplePos x="0" y="0"/>
                <wp:positionH relativeFrom="margin">
                  <wp:posOffset>84084</wp:posOffset>
                </wp:positionH>
                <wp:positionV relativeFrom="paragraph">
                  <wp:posOffset>-1522260</wp:posOffset>
                </wp:positionV>
                <wp:extent cx="6222307" cy="617220"/>
                <wp:effectExtent l="0" t="0" r="0" b="0"/>
                <wp:wrapNone/>
                <wp:docPr id="2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07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DAA7" w14:textId="77777777" w:rsidR="00D0492D" w:rsidRPr="003F77A3" w:rsidRDefault="00D0492D" w:rsidP="00D0492D">
                            <w:pPr>
                              <w:pStyle w:val="Heading5"/>
                              <w:jc w:val="center"/>
                              <w:rPr>
                                <w:b w:val="0"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3F77A3"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Mental Health, Alcohol and Drug Directorate on behalf </w:t>
                            </w:r>
                            <w:r w:rsidRPr="003F77A3">
                              <w:rPr>
                                <w:sz w:val="32"/>
                                <w:szCs w:val="32"/>
                                <w:lang w:val="en-AU"/>
                              </w:rPr>
                              <w:br/>
                              <w:t xml:space="preserve">of the </w:t>
                            </w:r>
                            <w:r w:rsidRPr="003F77A3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AU"/>
                              </w:rPr>
                              <w:t>Tasmanian Interagency Drug Policy Committee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18A3" id="Text Box 27" o:spid="_x0000_s1027" type="#_x0000_t202" style="position:absolute;left:0;text-align:left;margin-left:6.6pt;margin-top:-119.85pt;width:489.95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" filled="f" stroked="f">
                <v:textbox inset="0">
                  <w:txbxContent>
                    <w:p w14:paraId="416DDAA7" w14:textId="77777777" w:rsidR="00D0492D" w:rsidRPr="003F77A3" w:rsidRDefault="00D0492D" w:rsidP="00D0492D">
                      <w:pPr>
                        <w:pStyle w:val="Heading5"/>
                        <w:jc w:val="center"/>
                        <w:rPr>
                          <w:b w:val="0"/>
                          <w:bCs/>
                          <w:color w:val="FFFFFF" w:themeColor="background1"/>
                          <w:sz w:val="32"/>
                          <w:szCs w:val="32"/>
                          <w:lang w:val="en-AU"/>
                        </w:rPr>
                      </w:pPr>
                      <w:r w:rsidRPr="003F77A3">
                        <w:rPr>
                          <w:sz w:val="32"/>
                          <w:szCs w:val="32"/>
                          <w:lang w:val="en-AU"/>
                        </w:rPr>
                        <w:t xml:space="preserve">Mental Health, Alcohol and Drug Directorate on behalf </w:t>
                      </w:r>
                      <w:r w:rsidRPr="003F77A3">
                        <w:rPr>
                          <w:sz w:val="32"/>
                          <w:szCs w:val="32"/>
                          <w:lang w:val="en-AU"/>
                        </w:rPr>
                        <w:br/>
                        <w:t xml:space="preserve">of the </w:t>
                      </w:r>
                      <w:r w:rsidRPr="003F77A3">
                        <w:rPr>
                          <w:bCs/>
                          <w:color w:val="FFFFFF" w:themeColor="background1"/>
                          <w:sz w:val="32"/>
                          <w:szCs w:val="32"/>
                          <w:lang w:val="en-AU"/>
                        </w:rPr>
                        <w:t>Tasmanian Interagency Drug Policy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7AEBB" w14:textId="77777777" w:rsidR="00D0492D" w:rsidRDefault="00D0492D" w:rsidP="009F53C0">
      <w:pPr>
        <w:pStyle w:val="Heading8"/>
        <w:ind w:left="-284"/>
      </w:pPr>
      <w:r w:rsidRPr="004B03CE">
        <w:rPr>
          <w:szCs w:val="32"/>
        </w:rPr>
        <w:t>Why do so many other plans still have to be developed?</w:t>
      </w:r>
    </w:p>
    <w:p w14:paraId="6D56DF4C" w14:textId="77777777" w:rsidR="00D0492D" w:rsidRDefault="00D0492D" w:rsidP="00D0492D">
      <w:pPr>
        <w:ind w:left="284" w:right="453"/>
        <w:jc w:val="left"/>
        <w:sectPr w:rsidR="00D0492D" w:rsidSect="000D7F8C">
          <w:headerReference w:type="first" r:id="rId12"/>
          <w:footerReference w:type="first" r:id="rId13"/>
          <w:pgSz w:w="11906" w:h="16838" w:code="9"/>
          <w:pgMar w:top="2977" w:right="686" w:bottom="2268" w:left="812" w:header="709" w:footer="0" w:gutter="0"/>
          <w:cols w:space="708"/>
          <w:titlePg/>
          <w:docGrid w:linePitch="360"/>
        </w:sectPr>
      </w:pPr>
      <w:bookmarkStart w:id="0" w:name="_GoBack"/>
      <w:bookmarkEnd w:id="0"/>
    </w:p>
    <w:p w14:paraId="38C15CA0" w14:textId="77777777" w:rsidR="00D0492D" w:rsidRDefault="00D0492D" w:rsidP="00D0492D">
      <w:pPr>
        <w:tabs>
          <w:tab w:val="left" w:pos="10206"/>
        </w:tabs>
        <w:ind w:right="453"/>
        <w:jc w:val="left"/>
      </w:pPr>
      <w:r>
        <w:t>The Tasmanian Drug Strategy 2021-2027 (TDS) is deliberately high level to provide a whole-of-government and whole-of-community strategic framework to guide collaborative action and activities across agencies and organisations.</w:t>
      </w:r>
    </w:p>
    <w:p w14:paraId="6D0B286F" w14:textId="77777777" w:rsidR="00D0492D" w:rsidRDefault="00D0492D" w:rsidP="00D0492D">
      <w:pPr>
        <w:pStyle w:val="ListBullet"/>
        <w:numPr>
          <w:ilvl w:val="0"/>
          <w:numId w:val="0"/>
        </w:numPr>
        <w:tabs>
          <w:tab w:val="left" w:pos="10206"/>
        </w:tabs>
        <w:ind w:right="453"/>
        <w:rPr>
          <w:lang w:eastAsia="en-AU"/>
        </w:rPr>
      </w:pPr>
      <w:r>
        <w:rPr>
          <w:lang w:eastAsia="en-AU"/>
        </w:rPr>
        <w:t>It also provides a guide for other agencies and organisations to consider the impacts of ATOD use and harm in their strategic policy responses.</w:t>
      </w:r>
    </w:p>
    <w:p w14:paraId="601B2102" w14:textId="77777777" w:rsidR="00D0492D" w:rsidRDefault="00D0492D" w:rsidP="00D0492D">
      <w:pPr>
        <w:tabs>
          <w:tab w:val="left" w:pos="10206"/>
        </w:tabs>
        <w:ind w:right="453"/>
        <w:jc w:val="left"/>
      </w:pPr>
      <w:r>
        <w:t>The TDS will focus on just a few actions and activities. This has been done for several reasons including:</w:t>
      </w:r>
    </w:p>
    <w:p w14:paraId="0BCE3F25" w14:textId="77777777" w:rsidR="00D0492D" w:rsidRPr="0060183A" w:rsidRDefault="00D0492D" w:rsidP="00D0492D">
      <w:pPr>
        <w:pStyle w:val="ListParagraph"/>
        <w:numPr>
          <w:ilvl w:val="0"/>
          <w:numId w:val="3"/>
        </w:numPr>
        <w:spacing w:after="140" w:line="300" w:lineRule="atLeast"/>
        <w:ind w:left="567" w:right="170" w:hanging="567"/>
        <w:rPr>
          <w:rFonts w:ascii="Gill Sans MT" w:hAnsi="Gill Sans MT"/>
        </w:rPr>
      </w:pPr>
      <w:r>
        <w:rPr>
          <w:rFonts w:ascii="Gill Sans MT" w:hAnsi="Gill Sans MT"/>
        </w:rPr>
        <w:t>To</w:t>
      </w:r>
      <w:r w:rsidRPr="00F001E3">
        <w:rPr>
          <w:rFonts w:ascii="Gill Sans MT" w:hAnsi="Gill Sans MT"/>
        </w:rPr>
        <w:t xml:space="preserve"> emphasise the </w:t>
      </w:r>
      <w:r>
        <w:rPr>
          <w:rFonts w:ascii="Gill Sans MT" w:hAnsi="Gill Sans MT"/>
        </w:rPr>
        <w:t xml:space="preserve">overarching </w:t>
      </w:r>
      <w:r w:rsidRPr="00F001E3">
        <w:rPr>
          <w:rFonts w:ascii="Gill Sans MT" w:hAnsi="Gill Sans MT"/>
        </w:rPr>
        <w:t xml:space="preserve">strategic nature </w:t>
      </w:r>
      <w:r>
        <w:rPr>
          <w:rFonts w:ascii="Gill Sans MT" w:hAnsi="Gill Sans MT"/>
        </w:rPr>
        <w:t xml:space="preserve">and intent </w:t>
      </w:r>
      <w:r w:rsidRPr="00F001E3">
        <w:rPr>
          <w:rFonts w:ascii="Gill Sans MT" w:hAnsi="Gill Sans MT"/>
        </w:rPr>
        <w:t>of the</w:t>
      </w:r>
      <w:r>
        <w:rPr>
          <w:rFonts w:ascii="Gill Sans MT" w:hAnsi="Gill Sans MT"/>
        </w:rPr>
        <w:t xml:space="preserve"> T</w:t>
      </w:r>
      <w:r w:rsidRPr="00F001E3">
        <w:rPr>
          <w:rFonts w:ascii="Gill Sans MT" w:hAnsi="Gill Sans MT"/>
        </w:rPr>
        <w:t>DS</w:t>
      </w:r>
      <w:r>
        <w:rPr>
          <w:rFonts w:ascii="Gill Sans MT" w:hAnsi="Gill Sans MT"/>
        </w:rPr>
        <w:t>.</w:t>
      </w:r>
    </w:p>
    <w:p w14:paraId="025913C3" w14:textId="77777777" w:rsidR="00D0492D" w:rsidRDefault="00D0492D" w:rsidP="00D0492D">
      <w:pPr>
        <w:pStyle w:val="ListParagraph"/>
        <w:numPr>
          <w:ilvl w:val="0"/>
          <w:numId w:val="3"/>
        </w:numPr>
        <w:spacing w:after="140" w:line="300" w:lineRule="atLeast"/>
        <w:ind w:left="567" w:right="170" w:hanging="567"/>
        <w:rPr>
          <w:rFonts w:ascii="Gill Sans MT" w:hAnsi="Gill Sans MT"/>
        </w:rPr>
      </w:pPr>
      <w:r>
        <w:rPr>
          <w:rFonts w:ascii="Gill Sans MT" w:hAnsi="Gill Sans MT"/>
        </w:rPr>
        <w:t>To allow for detailed, targeted and operational sub-plans outlining</w:t>
      </w:r>
      <w:r w:rsidRPr="00FB7048">
        <w:rPr>
          <w:rFonts w:ascii="Gill Sans MT" w:hAnsi="Gill Sans MT"/>
        </w:rPr>
        <w:t xml:space="preserve"> </w:t>
      </w:r>
      <w:r w:rsidRPr="00FB7048">
        <w:rPr>
          <w:rFonts w:ascii="Gill Sans MT" w:hAnsi="Gill Sans MT"/>
          <w:lang w:eastAsia="en-AU"/>
        </w:rPr>
        <w:t>new activities and refocused or expanded initiatives across agencies and organisations</w:t>
      </w:r>
      <w:r w:rsidRPr="00FB704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collectively. </w:t>
      </w:r>
    </w:p>
    <w:p w14:paraId="2E57BE7D" w14:textId="77777777" w:rsidR="00D0492D" w:rsidRDefault="00D0492D" w:rsidP="00D0492D">
      <w:pPr>
        <w:pStyle w:val="ListParagraph"/>
        <w:numPr>
          <w:ilvl w:val="0"/>
          <w:numId w:val="3"/>
        </w:numPr>
        <w:spacing w:after="140" w:line="300" w:lineRule="atLeast"/>
        <w:ind w:left="567" w:right="170" w:hanging="567"/>
        <w:rPr>
          <w:rFonts w:ascii="Gill Sans MT" w:hAnsi="Gill Sans MT"/>
        </w:rPr>
      </w:pPr>
      <w:r>
        <w:rPr>
          <w:rFonts w:ascii="Gill Sans MT" w:hAnsi="Gill Sans MT"/>
        </w:rPr>
        <w:t>To make sure Tasmania’s responses to ATOD use and harms are flexible, and sub-plans changed or updated as needed or in response to any changing ATOD use or harms, or as capacity changes.</w:t>
      </w:r>
    </w:p>
    <w:p w14:paraId="7733800D" w14:textId="77777777" w:rsidR="00D0492D" w:rsidRDefault="00D0492D" w:rsidP="00D0492D">
      <w:pPr>
        <w:pStyle w:val="ListParagraph"/>
        <w:numPr>
          <w:ilvl w:val="0"/>
          <w:numId w:val="3"/>
        </w:numPr>
        <w:spacing w:after="140" w:line="300" w:lineRule="atLeast"/>
        <w:ind w:left="567" w:right="170" w:hanging="567"/>
        <w:rPr>
          <w:rFonts w:ascii="Gill Sans MT" w:hAnsi="Gill Sans MT"/>
        </w:rPr>
      </w:pPr>
      <w:r>
        <w:rPr>
          <w:rFonts w:ascii="Gill Sans MT" w:hAnsi="Gill Sans MT"/>
        </w:rPr>
        <w:t>The finite resources of the Interagency Drug Policy Committee (IDPC) and the TDS Advisory Group members.</w:t>
      </w:r>
    </w:p>
    <w:p w14:paraId="0DC45DE0" w14:textId="77777777" w:rsidR="00D0492D" w:rsidRDefault="00D0492D" w:rsidP="00D0492D">
      <w:pPr>
        <w:tabs>
          <w:tab w:val="left" w:pos="10206"/>
        </w:tabs>
        <w:ind w:right="453"/>
        <w:jc w:val="left"/>
      </w:pPr>
      <w:r>
        <w:t>The TDS will include priority actions to increase community information and understanding of ATOD-related risk and harms</w:t>
      </w:r>
      <w:r w:rsidRPr="00F01E3A">
        <w:t xml:space="preserve"> </w:t>
      </w:r>
      <w:r>
        <w:t>drivers; to expand access to best-practice interventions and treatment services; and to build evidence to support strategic planning, policy development and evaluation.</w:t>
      </w:r>
    </w:p>
    <w:p w14:paraId="41520443" w14:textId="77777777" w:rsidR="00D0492D" w:rsidRDefault="00D0492D" w:rsidP="00D0492D">
      <w:pPr>
        <w:tabs>
          <w:tab w:val="left" w:pos="10206"/>
        </w:tabs>
        <w:ind w:right="453"/>
        <w:jc w:val="left"/>
      </w:pPr>
      <w:r>
        <w:t xml:space="preserve">It will also include priority actions for the specific drug types: alcohol, tobacco, pharmaceuticals and illicit drugs. </w:t>
      </w:r>
    </w:p>
    <w:p w14:paraId="027A466D" w14:textId="77777777" w:rsidR="00D0492D" w:rsidRDefault="00D0492D" w:rsidP="00D0492D">
      <w:pPr>
        <w:tabs>
          <w:tab w:val="left" w:pos="10206"/>
        </w:tabs>
        <w:ind w:right="453"/>
        <w:jc w:val="left"/>
      </w:pPr>
      <w:r>
        <w:t>The existing Tasmanian Tobacco Control Plan will continue to be supported.</w:t>
      </w:r>
    </w:p>
    <w:p w14:paraId="27EC6D09" w14:textId="77777777" w:rsidR="00D0492D" w:rsidRDefault="00D0492D" w:rsidP="00D0492D">
      <w:pPr>
        <w:tabs>
          <w:tab w:val="left" w:pos="10206"/>
        </w:tabs>
        <w:ind w:right="453"/>
        <w:jc w:val="left"/>
      </w:pPr>
      <w:r>
        <w:t>A new Tasmanian Alcohol Action Plan, a Pharmaceutical Drugs Misuse Action Plan and an Illicit Drug Action Plan are also needed.</w:t>
      </w:r>
    </w:p>
    <w:p w14:paraId="341FB6E8" w14:textId="77777777" w:rsidR="00D0492D" w:rsidRDefault="00D0492D" w:rsidP="00D0492D">
      <w:pPr>
        <w:tabs>
          <w:tab w:val="left" w:pos="10206"/>
        </w:tabs>
        <w:ind w:right="453"/>
        <w:jc w:val="left"/>
      </w:pPr>
      <w:r>
        <w:t>Waiting for those sub-plans will not impede other activities, but it will be up to individual agencies and organisations to manage, and to feed into the implementation and reporting processes.</w:t>
      </w:r>
    </w:p>
    <w:p w14:paraId="3FB8BB72" w14:textId="77777777" w:rsidR="00D0492D" w:rsidRDefault="00D0492D" w:rsidP="00D0492D">
      <w:pPr>
        <w:pStyle w:val="ListBullet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Some activities can and will be actioned immediately or are already underway:</w:t>
      </w:r>
    </w:p>
    <w:p w14:paraId="2CFBE419" w14:textId="77777777" w:rsidR="00D0492D" w:rsidRDefault="00D0492D" w:rsidP="00D0492D">
      <w:pPr>
        <w:pStyle w:val="ListBullet2"/>
        <w:numPr>
          <w:ilvl w:val="0"/>
          <w:numId w:val="2"/>
        </w:numPr>
        <w:ind w:left="567" w:right="453" w:hanging="567"/>
        <w:jc w:val="left"/>
      </w:pPr>
      <w:r>
        <w:t>Development of the Tasmanian Fetal Alcohol Spectrum Disorder Action Plan</w:t>
      </w:r>
    </w:p>
    <w:p w14:paraId="566A6B32" w14:textId="77777777" w:rsidR="00D0492D" w:rsidRDefault="00D0492D" w:rsidP="00D0492D">
      <w:pPr>
        <w:pStyle w:val="ListBullet2"/>
        <w:numPr>
          <w:ilvl w:val="0"/>
          <w:numId w:val="2"/>
        </w:numPr>
        <w:ind w:left="567" w:right="453" w:hanging="567"/>
        <w:jc w:val="left"/>
      </w:pPr>
      <w:r>
        <w:t>Redevelopment of the ATOD Promotion, Prevention and Early Intervention Strategy and Implementation Plan</w:t>
      </w:r>
    </w:p>
    <w:p w14:paraId="4B9F4E61" w14:textId="77777777" w:rsidR="00D0492D" w:rsidRDefault="00D0492D" w:rsidP="00D0492D">
      <w:pPr>
        <w:pStyle w:val="ListBullet2"/>
        <w:numPr>
          <w:ilvl w:val="0"/>
          <w:numId w:val="2"/>
        </w:numPr>
        <w:ind w:left="567" w:right="453" w:hanging="567"/>
        <w:jc w:val="left"/>
      </w:pPr>
      <w:r>
        <w:t>Review of the Illicit Drug Diversion Initiative</w:t>
      </w:r>
    </w:p>
    <w:p w14:paraId="398ECAB0" w14:textId="77777777" w:rsidR="00D0492D" w:rsidRDefault="00D0492D" w:rsidP="00D0492D">
      <w:pPr>
        <w:tabs>
          <w:tab w:val="left" w:pos="10206"/>
        </w:tabs>
        <w:ind w:right="453"/>
        <w:jc w:val="left"/>
      </w:pPr>
      <w:r>
        <w:t xml:space="preserve">The IDPC is responsible for implementation of the TDS through the TDS Advisory Group. </w:t>
      </w:r>
    </w:p>
    <w:p w14:paraId="3602878C" w14:textId="77777777" w:rsidR="00D0492D" w:rsidRDefault="00D0492D" w:rsidP="00D0492D">
      <w:pPr>
        <w:tabs>
          <w:tab w:val="left" w:pos="10206"/>
        </w:tabs>
        <w:ind w:right="453"/>
        <w:jc w:val="left"/>
      </w:pPr>
      <w:r>
        <w:t>Development of the sub-plans will be phased over the next couple of years and will depend on the resources and capacity of member agencies and organisations.</w:t>
      </w:r>
    </w:p>
    <w:p w14:paraId="09D20D36" w14:textId="1093CB15" w:rsidR="00D22073" w:rsidRDefault="00D0492D" w:rsidP="00D0492D">
      <w:pPr>
        <w:tabs>
          <w:tab w:val="left" w:pos="10206"/>
        </w:tabs>
        <w:ind w:right="453"/>
        <w:jc w:val="left"/>
      </w:pPr>
      <w:r>
        <w:t xml:space="preserve">The TDS will include an Implementation Plan with indicated timeframes. </w:t>
      </w:r>
    </w:p>
    <w:sectPr w:rsidR="00D22073" w:rsidSect="000D7F8C">
      <w:type w:val="continuous"/>
      <w:pgSz w:w="11906" w:h="16838" w:code="9"/>
      <w:pgMar w:top="1135" w:right="959" w:bottom="2268" w:left="561" w:header="709" w:footer="782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B1C8" w14:textId="77777777" w:rsidR="00A40365" w:rsidRDefault="00A40365">
      <w:pPr>
        <w:spacing w:after="0" w:line="240" w:lineRule="auto"/>
      </w:pPr>
      <w:r>
        <w:separator/>
      </w:r>
    </w:p>
  </w:endnote>
  <w:endnote w:type="continuationSeparator" w:id="0">
    <w:p w14:paraId="4A78E6D7" w14:textId="77777777" w:rsidR="00A40365" w:rsidRDefault="00A4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F5E7" w14:textId="77777777" w:rsidR="00B104BB" w:rsidRDefault="00D0492D">
    <w:pPr>
      <w:pStyle w:val="Footer"/>
    </w:pPr>
    <w:r>
      <w:rPr>
        <w:noProof/>
      </w:rPr>
      <w:drawing>
        <wp:inline distT="0" distB="0" distL="0" distR="0" wp14:anchorId="029FC7AB" wp14:editId="46BB9575">
          <wp:extent cx="6768465" cy="171450"/>
          <wp:effectExtent l="0" t="0" r="0" b="0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76846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AA6A4C" w14:textId="77777777" w:rsidR="00B104BB" w:rsidRDefault="00D0492D" w:rsidP="00B104BB">
    <w:pPr>
      <w:jc w:val="right"/>
      <w:rPr>
        <w:b/>
        <w:color w:val="595959" w:themeColor="text1" w:themeTint="A6"/>
        <w:sz w:val="28"/>
        <w:szCs w:val="28"/>
      </w:rPr>
    </w:pPr>
    <w:r w:rsidRPr="002254AA">
      <w:rPr>
        <w:color w:val="595959" w:themeColor="text1" w:themeTint="A6"/>
        <w:sz w:val="28"/>
        <w:szCs w:val="28"/>
      </w:rPr>
      <w:t>Department of Healt</w:t>
    </w:r>
    <w:r>
      <w:rPr>
        <w:color w:val="595959" w:themeColor="text1" w:themeTint="A6"/>
        <w:sz w:val="28"/>
        <w:szCs w:val="28"/>
      </w:rPr>
      <w:t>h</w:t>
    </w:r>
    <w:r>
      <w:rPr>
        <w:color w:val="595959" w:themeColor="text1" w:themeTint="A6"/>
        <w:sz w:val="28"/>
        <w:szCs w:val="28"/>
      </w:rPr>
      <w:tab/>
    </w:r>
    <w:r>
      <w:rPr>
        <w:color w:val="595959" w:themeColor="text1" w:themeTint="A6"/>
        <w:sz w:val="28"/>
        <w:szCs w:val="28"/>
      </w:rPr>
      <w:tab/>
    </w:r>
    <w:r>
      <w:rPr>
        <w:color w:val="595959" w:themeColor="text1" w:themeTint="A6"/>
        <w:sz w:val="28"/>
        <w:szCs w:val="28"/>
      </w:rPr>
      <w:tab/>
    </w:r>
    <w:r>
      <w:rPr>
        <w:color w:val="595959" w:themeColor="text1" w:themeTint="A6"/>
        <w:sz w:val="28"/>
        <w:szCs w:val="28"/>
      </w:rPr>
      <w:tab/>
    </w:r>
    <w:r>
      <w:rPr>
        <w:color w:val="595959" w:themeColor="text1" w:themeTint="A6"/>
        <w:sz w:val="28"/>
        <w:szCs w:val="28"/>
      </w:rPr>
      <w:tab/>
    </w:r>
    <w:r>
      <w:rPr>
        <w:color w:val="595959" w:themeColor="text1" w:themeTint="A6"/>
        <w:sz w:val="28"/>
        <w:szCs w:val="28"/>
      </w:rPr>
      <w:tab/>
    </w:r>
    <w:r>
      <w:rPr>
        <w:color w:val="595959" w:themeColor="text1" w:themeTint="A6"/>
        <w:sz w:val="28"/>
        <w:szCs w:val="28"/>
      </w:rPr>
      <w:tab/>
    </w:r>
    <w:r>
      <w:rPr>
        <w:color w:val="595959" w:themeColor="text1" w:themeTint="A6"/>
        <w:sz w:val="28"/>
        <w:szCs w:val="28"/>
      </w:rPr>
      <w:tab/>
    </w:r>
    <w:r>
      <w:rPr>
        <w:color w:val="595959" w:themeColor="text1" w:themeTint="A6"/>
        <w:sz w:val="28"/>
        <w:szCs w:val="28"/>
      </w:rPr>
      <w:tab/>
    </w:r>
    <w:r>
      <w:rPr>
        <w:color w:val="595959" w:themeColor="text1" w:themeTint="A6"/>
        <w:sz w:val="28"/>
        <w:szCs w:val="28"/>
      </w:rPr>
      <w:tab/>
    </w:r>
    <w:r>
      <w:rPr>
        <w:noProof/>
      </w:rPr>
      <w:drawing>
        <wp:inline distT="0" distB="0" distL="0" distR="0" wp14:anchorId="25617509" wp14:editId="26D3A859">
          <wp:extent cx="655955" cy="657225"/>
          <wp:effectExtent l="0" t="0" r="0" b="9525"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85" cy="708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BCB51B" w14:textId="77777777" w:rsidR="00026B89" w:rsidRDefault="00A403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B3D1" w14:textId="77777777" w:rsidR="00A40365" w:rsidRDefault="00A40365">
      <w:pPr>
        <w:spacing w:after="0" w:line="240" w:lineRule="auto"/>
      </w:pPr>
      <w:r>
        <w:separator/>
      </w:r>
    </w:p>
  </w:footnote>
  <w:footnote w:type="continuationSeparator" w:id="0">
    <w:p w14:paraId="5CD46123" w14:textId="77777777" w:rsidR="00A40365" w:rsidRDefault="00A4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18C2" w14:textId="77777777" w:rsidR="00A959D0" w:rsidRDefault="00D0492D" w:rsidP="0010340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136B042" wp14:editId="7A1494DC">
          <wp:simplePos x="0" y="0"/>
          <wp:positionH relativeFrom="page">
            <wp:align>center</wp:align>
          </wp:positionH>
          <wp:positionV relativeFrom="paragraph">
            <wp:posOffset>-254272</wp:posOffset>
          </wp:positionV>
          <wp:extent cx="7230820" cy="1300348"/>
          <wp:effectExtent l="0" t="0" r="0" b="0"/>
          <wp:wrapNone/>
          <wp:docPr id="18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338" cy="132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D8F"/>
    <w:multiLevelType w:val="multilevel"/>
    <w:tmpl w:val="3DAA1A62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0A741C7"/>
    <w:multiLevelType w:val="hybridMultilevel"/>
    <w:tmpl w:val="69F68CA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DA63F99"/>
    <w:multiLevelType w:val="hybridMultilevel"/>
    <w:tmpl w:val="37D8C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2D"/>
    <w:rsid w:val="000B6488"/>
    <w:rsid w:val="001D18FF"/>
    <w:rsid w:val="00247457"/>
    <w:rsid w:val="003F13C1"/>
    <w:rsid w:val="005447F6"/>
    <w:rsid w:val="009C14EE"/>
    <w:rsid w:val="009F53C0"/>
    <w:rsid w:val="00A40365"/>
    <w:rsid w:val="00D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AC1A"/>
  <w15:chartTrackingRefBased/>
  <w15:docId w15:val="{EB05FFC7-E271-4C11-AD19-A1541E0E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92D"/>
    <w:pPr>
      <w:autoSpaceDE w:val="0"/>
      <w:autoSpaceDN w:val="0"/>
      <w:adjustRightInd w:val="0"/>
      <w:spacing w:after="140" w:line="300" w:lineRule="atLeast"/>
      <w:jc w:val="both"/>
      <w:textAlignment w:val="center"/>
    </w:pPr>
    <w:rPr>
      <w:rFonts w:ascii="Gill Sans MT" w:eastAsia="Times New Roman" w:hAnsi="Gill Sans MT" w:cs="Times New Roman"/>
      <w:color w:val="000000"/>
      <w:szCs w:val="24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3C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3C0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color w:val="auto"/>
      <w:sz w:val="32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D0492D"/>
    <w:pPr>
      <w:outlineLvl w:val="4"/>
    </w:pPr>
    <w:rPr>
      <w:b/>
      <w:color w:val="FFFFFF"/>
      <w:sz w:val="28"/>
    </w:rPr>
  </w:style>
  <w:style w:type="paragraph" w:styleId="Heading6">
    <w:name w:val="heading 6"/>
    <w:basedOn w:val="Title"/>
    <w:next w:val="Normal"/>
    <w:link w:val="Heading6Char"/>
    <w:unhideWhenUsed/>
    <w:qFormat/>
    <w:rsid w:val="00D0492D"/>
    <w:pPr>
      <w:spacing w:before="240" w:after="60" w:line="300" w:lineRule="atLeast"/>
      <w:contextualSpacing w:val="0"/>
      <w:jc w:val="center"/>
      <w:outlineLvl w:val="5"/>
    </w:pPr>
    <w:rPr>
      <w:rFonts w:ascii="Gill Sans MT" w:eastAsia="Times New Roman" w:hAnsi="Gill Sans MT" w:cs="Arial"/>
      <w:b/>
      <w:bCs/>
      <w:color w:val="FFFFFF"/>
      <w:spacing w:val="0"/>
      <w:sz w:val="72"/>
      <w:szCs w:val="32"/>
    </w:rPr>
  </w:style>
  <w:style w:type="paragraph" w:styleId="Heading7">
    <w:name w:val="heading 7"/>
    <w:basedOn w:val="Subtitle"/>
    <w:next w:val="Normal"/>
    <w:link w:val="Heading7Char"/>
    <w:unhideWhenUsed/>
    <w:qFormat/>
    <w:rsid w:val="00D0492D"/>
    <w:pPr>
      <w:numPr>
        <w:ilvl w:val="0"/>
      </w:numPr>
      <w:spacing w:after="60"/>
      <w:jc w:val="center"/>
      <w:outlineLvl w:val="6"/>
    </w:pPr>
    <w:rPr>
      <w:rFonts w:ascii="Gill Sans MT" w:eastAsia="Times New Roman" w:hAnsi="Gill Sans MT" w:cs="Arial"/>
      <w:color w:val="FFFFFF"/>
      <w:spacing w:val="0"/>
      <w:sz w:val="4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D0492D"/>
    <w:pPr>
      <w:keepNext/>
      <w:keepLines/>
      <w:spacing w:before="40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0492D"/>
    <w:rPr>
      <w:rFonts w:ascii="Gill Sans MT" w:eastAsia="Times New Roman" w:hAnsi="Gill Sans MT" w:cs="Times New Roman"/>
      <w:b/>
      <w:color w:val="FFFFFF"/>
      <w:sz w:val="28"/>
      <w:szCs w:val="24"/>
      <w:lang w:val="en-US" w:eastAsia="en-AU"/>
    </w:rPr>
  </w:style>
  <w:style w:type="character" w:customStyle="1" w:styleId="Heading6Char">
    <w:name w:val="Heading 6 Char"/>
    <w:basedOn w:val="DefaultParagraphFont"/>
    <w:link w:val="Heading6"/>
    <w:rsid w:val="00D0492D"/>
    <w:rPr>
      <w:rFonts w:ascii="Gill Sans MT" w:eastAsia="Times New Roman" w:hAnsi="Gill Sans MT" w:cs="Arial"/>
      <w:b/>
      <w:bCs/>
      <w:color w:val="FFFFFF"/>
      <w:kern w:val="28"/>
      <w:sz w:val="72"/>
      <w:szCs w:val="32"/>
      <w:lang w:val="en-US" w:eastAsia="en-AU"/>
    </w:rPr>
  </w:style>
  <w:style w:type="character" w:customStyle="1" w:styleId="Heading7Char">
    <w:name w:val="Heading 7 Char"/>
    <w:basedOn w:val="DefaultParagraphFont"/>
    <w:link w:val="Heading7"/>
    <w:rsid w:val="00D0492D"/>
    <w:rPr>
      <w:rFonts w:ascii="Gill Sans MT" w:eastAsia="Times New Roman" w:hAnsi="Gill Sans MT" w:cs="Arial"/>
      <w:color w:val="FFFFFF"/>
      <w:sz w:val="48"/>
      <w:szCs w:val="24"/>
      <w:lang w:val="en-US" w:eastAsia="en-AU"/>
    </w:rPr>
  </w:style>
  <w:style w:type="character" w:customStyle="1" w:styleId="Heading8Char">
    <w:name w:val="Heading 8 Char"/>
    <w:basedOn w:val="DefaultParagraphFont"/>
    <w:link w:val="Heading8"/>
    <w:rsid w:val="00D0492D"/>
    <w:rPr>
      <w:rFonts w:ascii="Gill Sans MT" w:eastAsia="Times New Roman" w:hAnsi="Gill Sans MT" w:cs="Times New Roman"/>
      <w:b/>
      <w:color w:val="000000"/>
      <w:sz w:val="32"/>
      <w:szCs w:val="24"/>
      <w:lang w:val="en-US" w:eastAsia="en-AU"/>
    </w:rPr>
  </w:style>
  <w:style w:type="paragraph" w:styleId="Header">
    <w:name w:val="header"/>
    <w:basedOn w:val="Normal"/>
    <w:link w:val="HeaderChar"/>
    <w:rsid w:val="00D04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0492D"/>
    <w:rPr>
      <w:rFonts w:ascii="Gill Sans MT" w:eastAsia="Times New Roman" w:hAnsi="Gill Sans MT" w:cs="Times New Roman"/>
      <w:color w:val="000000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rsid w:val="00D04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2D"/>
    <w:rPr>
      <w:rFonts w:ascii="Gill Sans MT" w:eastAsia="Times New Roman" w:hAnsi="Gill Sans MT" w:cs="Times New Roman"/>
      <w:color w:val="000000"/>
      <w:szCs w:val="24"/>
      <w:lang w:val="en-US" w:eastAsia="en-AU"/>
    </w:rPr>
  </w:style>
  <w:style w:type="paragraph" w:styleId="ListParagraph">
    <w:name w:val="List Paragraph"/>
    <w:aliases w:val="Recommendation,List Paragraph1,List Paragraph11,L,bullet point list,Bullet point,List Paragraph Number,Bullets,CV text,Dot pt,F5 List Paragraph,FooterText,List Paragraph111,List Paragraph2,Medium Grid 1 - Accent 21,NAST Quote,リスト段落"/>
    <w:basedOn w:val="Normal"/>
    <w:link w:val="ListParagraphChar"/>
    <w:uiPriority w:val="34"/>
    <w:qFormat/>
    <w:rsid w:val="00D0492D"/>
    <w:pPr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AU" w:eastAsia="en-US"/>
    </w:rPr>
  </w:style>
  <w:style w:type="character" w:customStyle="1" w:styleId="ListParagraphChar">
    <w:name w:val="List Paragraph Char"/>
    <w:aliases w:val="Recommendation Char,List Paragraph1 Char,List Paragraph11 Char,L Char,bullet point list Char,Bullet point Char,List Paragraph Number Char,Bullets Char,CV text Char,Dot pt Char,F5 List Paragraph Char,FooterText Char,NAST Quote Char"/>
    <w:link w:val="ListParagraph"/>
    <w:uiPriority w:val="34"/>
    <w:rsid w:val="00D0492D"/>
  </w:style>
  <w:style w:type="character" w:styleId="Hyperlink">
    <w:name w:val="Hyperlink"/>
    <w:basedOn w:val="DefaultParagraphFont"/>
    <w:rsid w:val="00D0492D"/>
    <w:rPr>
      <w:color w:val="0563C1" w:themeColor="hyperlink"/>
      <w:u w:val="single"/>
    </w:rPr>
  </w:style>
  <w:style w:type="paragraph" w:styleId="ListBullet">
    <w:name w:val="List Bullet"/>
    <w:basedOn w:val="BulletedListLevel1"/>
    <w:rsid w:val="00D0492D"/>
  </w:style>
  <w:style w:type="paragraph" w:customStyle="1" w:styleId="BulletedListLevel1">
    <w:name w:val="Bulleted List Level 1"/>
    <w:rsid w:val="00D0492D"/>
    <w:pPr>
      <w:numPr>
        <w:numId w:val="1"/>
      </w:numPr>
      <w:tabs>
        <w:tab w:val="left" w:pos="1134"/>
      </w:tabs>
      <w:spacing w:after="140" w:line="300" w:lineRule="atLeast"/>
    </w:pPr>
    <w:rPr>
      <w:rFonts w:ascii="Gill Sans MT" w:eastAsia="Times New Roman" w:hAnsi="Gill Sans MT" w:cs="Times New Roman"/>
      <w:szCs w:val="24"/>
    </w:rPr>
  </w:style>
  <w:style w:type="paragraph" w:styleId="ListBullet2">
    <w:name w:val="List Bullet 2"/>
    <w:basedOn w:val="Normal"/>
    <w:rsid w:val="00D0492D"/>
    <w:pPr>
      <w:tabs>
        <w:tab w:val="num" w:pos="643"/>
      </w:tabs>
      <w:ind w:left="643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49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92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92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0492D"/>
    <w:rPr>
      <w:rFonts w:eastAsiaTheme="minorEastAsia"/>
      <w:color w:val="5A5A5A" w:themeColor="text1" w:themeTint="A5"/>
      <w:spacing w:val="15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F53C0"/>
    <w:rPr>
      <w:rFonts w:ascii="Gill Sans MT" w:eastAsiaTheme="majorEastAsia" w:hAnsi="Gill Sans MT" w:cstheme="majorBidi"/>
      <w:b/>
      <w:color w:val="FFFFFF" w:themeColor="background1"/>
      <w:sz w:val="56"/>
      <w:szCs w:val="32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3C0"/>
    <w:rPr>
      <w:rFonts w:ascii="Gill Sans MT" w:eastAsiaTheme="majorEastAsia" w:hAnsi="Gill Sans MT" w:cstheme="majorBidi"/>
      <w:b/>
      <w:sz w:val="32"/>
      <w:szCs w:val="2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.mhadd@health.tas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hs.tas.gov.au/drugstrateg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ector.mhadd@health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hs.tas.gov.au/drugstrateg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057B-ACFF-4E20-B068-DF0967C1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Why do so many other plans still need developing</dc:title>
  <dc:subject/>
  <dc:creator>Director Mental Health, Alcohol &amp; Drug Directorate</dc:creator>
  <cp:keywords/>
  <dc:description/>
  <cp:lastModifiedBy>Toon, Karen M</cp:lastModifiedBy>
  <cp:revision>2</cp:revision>
  <dcterms:created xsi:type="dcterms:W3CDTF">2020-10-27T05:40:00Z</dcterms:created>
  <dcterms:modified xsi:type="dcterms:W3CDTF">2020-10-27T05:40:00Z</dcterms:modified>
</cp:coreProperties>
</file>