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3101" w:rsidRDefault="00C63101" w:rsidP="00C63101">
      <w:pPr>
        <w:spacing w:before="13680"/>
        <w:sectPr w:rsidR="00C63101">
          <w:footerReference w:type="first" r:id="rId9"/>
          <w:pgSz w:w="11906" w:h="16838"/>
          <w:pgMar w:top="1440" w:right="1440" w:bottom="1440" w:left="1440" w:header="708" w:footer="708" w:gutter="0"/>
          <w:cols w:space="708"/>
          <w:docGrid w:linePitch="360"/>
        </w:sectPr>
      </w:pPr>
      <w:bookmarkStart w:id="0" w:name="_GoBack"/>
      <w:bookmarkEnd w:id="0"/>
      <w:r w:rsidRPr="007E5614">
        <w:rPr>
          <w:noProof/>
          <w:lang w:eastAsia="en-AU"/>
        </w:rPr>
        <w:drawing>
          <wp:anchor distT="0" distB="0" distL="114300" distR="114300" simplePos="0" relativeHeight="251659264" behindDoc="1" locked="0" layoutInCell="1" allowOverlap="1" wp14:anchorId="2998CAA8" wp14:editId="65A3698B">
            <wp:simplePos x="0" y="0"/>
            <wp:positionH relativeFrom="page">
              <wp:posOffset>-16211</wp:posOffset>
            </wp:positionH>
            <wp:positionV relativeFrom="page">
              <wp:posOffset>-3247</wp:posOffset>
            </wp:positionV>
            <wp:extent cx="7563600" cy="10695600"/>
            <wp:effectExtent l="0" t="0" r="0" b="0"/>
            <wp:wrapNone/>
            <wp:docPr id="3" name="Picture 3" title="Cover Image: DHHS Annual Report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OMMS_MAC_01:Users:amcgown:Desktop:DHHS_Annual Report:JPGs:ARPT_2014_Blank Cover.jpg"/>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63600" cy="10695600"/>
                    </a:xfrm>
                    <a:prstGeom prst="rect">
                      <a:avLst/>
                    </a:prstGeom>
                    <a:noFill/>
                    <a:ln>
                      <a:noFill/>
                    </a:ln>
                    <a:extLst>
                      <a:ext uri="{FAA26D3D-D897-4be2-8F04-BA451C77F1D7}">
                        <ma14:placeholderFlag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14:sizeRelH relativeFrom="margin">
              <wp14:pctWidth>0</wp14:pctWidth>
            </wp14:sizeRelH>
            <wp14:sizeRelV relativeFrom="margin">
              <wp14:pctHeight>0</wp14:pctHeight>
            </wp14:sizeRelV>
          </wp:anchor>
        </w:drawing>
      </w:r>
    </w:p>
    <w:p w:rsidR="00C63101" w:rsidRPr="007E5614" w:rsidRDefault="00C63101" w:rsidP="006F3D76">
      <w:pPr>
        <w:pStyle w:val="Heading1"/>
        <w:spacing w:before="9200"/>
        <w:rPr>
          <w:caps/>
        </w:rPr>
      </w:pPr>
      <w:r w:rsidRPr="007E5614">
        <w:lastRenderedPageBreak/>
        <w:t>Department of Health and Human Services Annual Report 2015-16</w:t>
      </w:r>
    </w:p>
    <w:p w:rsidR="00C63101" w:rsidRPr="007E5614" w:rsidRDefault="00C63101" w:rsidP="00C63101">
      <w:pPr>
        <w:pStyle w:val="Sub-branch"/>
        <w:spacing w:after="120" w:line="240" w:lineRule="auto"/>
        <w:rPr>
          <w:rFonts w:ascii="GillSans Light" w:hAnsi="GillSans Light"/>
          <w:caps w:val="0"/>
        </w:rPr>
      </w:pPr>
      <w:r w:rsidRPr="007E5614">
        <w:rPr>
          <w:rFonts w:ascii="GillSans Light" w:hAnsi="GillSans Light"/>
          <w:caps w:val="0"/>
        </w:rPr>
        <w:t>© Crown in the Right of the State of Tasmania</w:t>
      </w:r>
    </w:p>
    <w:p w:rsidR="00C63101" w:rsidRPr="007E5614" w:rsidRDefault="00C63101" w:rsidP="00C63101">
      <w:pPr>
        <w:pStyle w:val="Sub-branch"/>
        <w:rPr>
          <w:rFonts w:ascii="GillSans Light" w:hAnsi="GillSans Light"/>
        </w:rPr>
      </w:pPr>
    </w:p>
    <w:p w:rsidR="00C63101" w:rsidRPr="007E5614" w:rsidRDefault="00C63101" w:rsidP="00C63101">
      <w:pPr>
        <w:pStyle w:val="Sub-branch"/>
        <w:spacing w:after="120" w:line="240" w:lineRule="auto"/>
        <w:rPr>
          <w:rFonts w:ascii="GillSans Light" w:hAnsi="GillSans Light"/>
          <w:caps w:val="0"/>
        </w:rPr>
      </w:pPr>
      <w:r w:rsidRPr="007E5614">
        <w:rPr>
          <w:rFonts w:ascii="GillSans Light" w:hAnsi="GillSans Light"/>
          <w:caps w:val="0"/>
        </w:rPr>
        <w:t>Department of Health and Human Services</w:t>
      </w:r>
    </w:p>
    <w:p w:rsidR="00C63101" w:rsidRPr="007E5614" w:rsidRDefault="00C63101" w:rsidP="00C63101">
      <w:pPr>
        <w:pStyle w:val="Sub-branch"/>
        <w:spacing w:after="120" w:line="240" w:lineRule="auto"/>
        <w:rPr>
          <w:rFonts w:ascii="GillSans Light" w:hAnsi="GillSans Light"/>
          <w:caps w:val="0"/>
        </w:rPr>
      </w:pPr>
      <w:r w:rsidRPr="007E5614">
        <w:rPr>
          <w:rFonts w:ascii="GillSans Light" w:hAnsi="GillSans Light"/>
          <w:caps w:val="0"/>
        </w:rPr>
        <w:t>GPO Box 125</w:t>
      </w:r>
    </w:p>
    <w:p w:rsidR="00C63101" w:rsidRPr="007E5614" w:rsidRDefault="00C63101" w:rsidP="00C63101">
      <w:pPr>
        <w:pStyle w:val="Sub-branch"/>
        <w:spacing w:after="120" w:line="240" w:lineRule="auto"/>
        <w:rPr>
          <w:rFonts w:ascii="GillSans Light" w:hAnsi="GillSans Light"/>
          <w:caps w:val="0"/>
        </w:rPr>
      </w:pPr>
      <w:r w:rsidRPr="007E5614">
        <w:rPr>
          <w:rFonts w:ascii="GillSans Light" w:hAnsi="GillSans Light"/>
          <w:caps w:val="0"/>
        </w:rPr>
        <w:t>Hobart TAS 7001</w:t>
      </w:r>
    </w:p>
    <w:p w:rsidR="00C63101" w:rsidRPr="007E5614" w:rsidRDefault="00C63101" w:rsidP="00C63101">
      <w:pPr>
        <w:pStyle w:val="Sub-branch"/>
        <w:spacing w:after="120" w:line="240" w:lineRule="auto"/>
        <w:rPr>
          <w:rFonts w:ascii="GillSans Light" w:hAnsi="GillSans Light"/>
          <w:caps w:val="0"/>
        </w:rPr>
      </w:pPr>
      <w:r w:rsidRPr="007E5614">
        <w:rPr>
          <w:rFonts w:ascii="GillSans Light" w:hAnsi="GillSans Light"/>
          <w:caps w:val="0"/>
        </w:rPr>
        <w:t>Telephone: 1300 135 513</w:t>
      </w:r>
    </w:p>
    <w:p w:rsidR="00C63101" w:rsidRPr="007E5614" w:rsidRDefault="00C63101" w:rsidP="00C63101">
      <w:pPr>
        <w:pStyle w:val="Sub-branch"/>
        <w:spacing w:after="120" w:line="240" w:lineRule="auto"/>
        <w:rPr>
          <w:rFonts w:ascii="GillSans Light" w:hAnsi="GillSans Light"/>
          <w:caps w:val="0"/>
        </w:rPr>
      </w:pPr>
      <w:r w:rsidRPr="007E5614">
        <w:rPr>
          <w:rFonts w:ascii="GillSans Light" w:hAnsi="GillSans Light"/>
          <w:caps w:val="0"/>
        </w:rPr>
        <w:t xml:space="preserve">Website: </w:t>
      </w:r>
      <w:hyperlink r:id="rId11" w:history="1">
        <w:r w:rsidRPr="007E5614">
          <w:rPr>
            <w:rStyle w:val="Hyperlink"/>
            <w:rFonts w:ascii="GillSans Light" w:hAnsi="GillSans Light"/>
            <w:caps w:val="0"/>
          </w:rPr>
          <w:t>www.dhhs.tas.gov.au</w:t>
        </w:r>
      </w:hyperlink>
    </w:p>
    <w:p w:rsidR="00C63101" w:rsidRPr="007E5614" w:rsidRDefault="00C63101" w:rsidP="00C63101">
      <w:pPr>
        <w:pStyle w:val="Sub-branch"/>
        <w:spacing w:after="120" w:line="240" w:lineRule="auto"/>
        <w:rPr>
          <w:rFonts w:ascii="GillSans Light" w:hAnsi="GillSans Light"/>
          <w:caps w:val="0"/>
        </w:rPr>
      </w:pPr>
      <w:r w:rsidRPr="007E5614">
        <w:rPr>
          <w:rFonts w:ascii="GillSans Light" w:hAnsi="GillSans Light"/>
          <w:caps w:val="0"/>
        </w:rPr>
        <w:t>Published October 2016</w:t>
      </w:r>
    </w:p>
    <w:p w:rsidR="00C63101" w:rsidRDefault="00C63101" w:rsidP="00C63101">
      <w:pPr>
        <w:pStyle w:val="Sub-branch"/>
        <w:spacing w:after="120" w:line="240" w:lineRule="auto"/>
        <w:rPr>
          <w:rFonts w:ascii="GillSans Light" w:hAnsi="GillSans Light"/>
          <w:caps w:val="0"/>
        </w:rPr>
      </w:pPr>
      <w:r w:rsidRPr="00EE3FEC">
        <w:rPr>
          <w:rFonts w:ascii="GillSans Light" w:hAnsi="GillSans Light"/>
          <w:caps w:val="0"/>
        </w:rPr>
        <w:t>ISBN 978-0-9924617-7-5</w:t>
      </w:r>
    </w:p>
    <w:p w:rsidR="00C63101" w:rsidRDefault="00C63101" w:rsidP="00C63101">
      <w:pPr>
        <w:pStyle w:val="Sub-branch"/>
        <w:spacing w:after="120" w:line="240" w:lineRule="auto"/>
        <w:rPr>
          <w:rFonts w:ascii="GillSans Light" w:hAnsi="GillSans Light"/>
          <w:caps w:val="0"/>
        </w:rPr>
        <w:sectPr w:rsidR="00C63101">
          <w:pgSz w:w="11906" w:h="16838"/>
          <w:pgMar w:top="1440" w:right="1440" w:bottom="1440" w:left="1440" w:header="708" w:footer="708" w:gutter="0"/>
          <w:cols w:space="708"/>
          <w:docGrid w:linePitch="360"/>
        </w:sectPr>
      </w:pPr>
    </w:p>
    <w:p w:rsidR="00C63101" w:rsidRDefault="00C63101" w:rsidP="00DF724A">
      <w:pPr>
        <w:pStyle w:val="Heading3"/>
      </w:pPr>
      <w:r w:rsidRPr="007E5614">
        <w:lastRenderedPageBreak/>
        <w:t xml:space="preserve">Contents </w:t>
      </w:r>
      <w:bookmarkStart w:id="1" w:name="OLE_LINK10"/>
      <w:bookmarkStart w:id="2" w:name="OLE_LINK11"/>
    </w:p>
    <w:p w:rsidR="00C63101" w:rsidRDefault="00C63101" w:rsidP="00DF724A">
      <w:pPr>
        <w:pStyle w:val="Heading3"/>
        <w:sectPr w:rsidR="00C63101" w:rsidSect="00DF724A">
          <w:pgSz w:w="11906" w:h="16838"/>
          <w:pgMar w:top="1440" w:right="1440" w:bottom="1440" w:left="1440" w:header="708" w:footer="708" w:gutter="0"/>
          <w:pgNumType w:start="9"/>
          <w:cols w:space="708"/>
          <w:docGrid w:linePitch="360"/>
        </w:sectPr>
      </w:pPr>
    </w:p>
    <w:p w:rsidR="00C63101" w:rsidRPr="007E5614" w:rsidRDefault="00C63101" w:rsidP="00C63101">
      <w:pPr>
        <w:spacing w:after="240" w:line="240" w:lineRule="atLeast"/>
      </w:pPr>
      <w:r>
        <w:lastRenderedPageBreak/>
        <w:t xml:space="preserve">Key </w:t>
      </w:r>
      <w:bookmarkEnd w:id="1"/>
      <w:bookmarkEnd w:id="2"/>
      <w:r>
        <w:t>Acronyms</w:t>
      </w:r>
      <w:r>
        <w:tab/>
        <w:t>2</w:t>
      </w:r>
    </w:p>
    <w:p w:rsidR="00C63101" w:rsidRDefault="00C63101" w:rsidP="00C63101">
      <w:pPr>
        <w:tabs>
          <w:tab w:val="right" w:pos="4395"/>
        </w:tabs>
        <w:spacing w:after="240"/>
      </w:pPr>
      <w:bookmarkStart w:id="3" w:name="OLE_LINK8"/>
      <w:bookmarkStart w:id="4" w:name="OLE_LINK9"/>
      <w:r>
        <w:t>Organisational Chart</w:t>
      </w:r>
      <w:r>
        <w:tab/>
        <w:t>3</w:t>
      </w:r>
    </w:p>
    <w:p w:rsidR="00C63101" w:rsidRDefault="00C63101" w:rsidP="00C63101">
      <w:pPr>
        <w:tabs>
          <w:tab w:val="right" w:pos="4395"/>
        </w:tabs>
        <w:spacing w:after="240"/>
      </w:pPr>
      <w:r w:rsidRPr="007E5614">
        <w:t>Secre</w:t>
      </w:r>
      <w:r>
        <w:t>tary’s Letter of Transmittal</w:t>
      </w:r>
      <w:r>
        <w:tab/>
      </w:r>
      <w:bookmarkEnd w:id="3"/>
      <w:bookmarkEnd w:id="4"/>
      <w:r>
        <w:t>4</w:t>
      </w:r>
    </w:p>
    <w:p w:rsidR="00C63101" w:rsidRPr="007E5614" w:rsidRDefault="00C63101" w:rsidP="00C63101">
      <w:pPr>
        <w:tabs>
          <w:tab w:val="right" w:pos="4395"/>
        </w:tabs>
        <w:spacing w:after="120"/>
        <w:rPr>
          <w:sz w:val="2"/>
        </w:rPr>
      </w:pPr>
    </w:p>
    <w:p w:rsidR="00C63101" w:rsidRPr="007E5614" w:rsidRDefault="00C63101" w:rsidP="00DF724A">
      <w:pPr>
        <w:pStyle w:val="Heading4"/>
      </w:pPr>
      <w:r w:rsidRPr="007E5614">
        <w:t>Part 1 – Overview</w:t>
      </w:r>
      <w:r w:rsidRPr="007E5614">
        <w:tab/>
      </w:r>
    </w:p>
    <w:p w:rsidR="00C63101" w:rsidRPr="007E5614" w:rsidRDefault="00C63101" w:rsidP="00C63101">
      <w:pPr>
        <w:tabs>
          <w:tab w:val="right" w:pos="4395"/>
        </w:tabs>
        <w:spacing w:after="240"/>
      </w:pPr>
      <w:r w:rsidRPr="007E5614">
        <w:t>DHHS Overview</w:t>
      </w:r>
      <w:r w:rsidRPr="007E5614">
        <w:tab/>
        <w:t>9</w:t>
      </w:r>
    </w:p>
    <w:p w:rsidR="00C63101" w:rsidRPr="007E5614" w:rsidRDefault="00C63101" w:rsidP="00C63101">
      <w:pPr>
        <w:tabs>
          <w:tab w:val="right" w:pos="4395"/>
        </w:tabs>
        <w:spacing w:after="240"/>
      </w:pPr>
      <w:r>
        <w:t>Financial Overview</w:t>
      </w:r>
      <w:r>
        <w:tab/>
        <w:t>12</w:t>
      </w:r>
    </w:p>
    <w:p w:rsidR="00C63101" w:rsidRPr="007E5614" w:rsidRDefault="00C63101" w:rsidP="00C63101">
      <w:pPr>
        <w:tabs>
          <w:tab w:val="right" w:pos="4395"/>
        </w:tabs>
        <w:spacing w:after="240"/>
      </w:pPr>
      <w:r w:rsidRPr="007E5614">
        <w:t>Workforce Overview</w:t>
      </w:r>
      <w:r>
        <w:tab/>
        <w:t>15</w:t>
      </w:r>
    </w:p>
    <w:p w:rsidR="00C63101" w:rsidRPr="007E5614" w:rsidRDefault="00C63101" w:rsidP="00C63101">
      <w:pPr>
        <w:tabs>
          <w:tab w:val="right" w:pos="4395"/>
        </w:tabs>
        <w:spacing w:after="240"/>
      </w:pPr>
      <w:r w:rsidRPr="007E5614">
        <w:t>Stakeholder</w:t>
      </w:r>
      <w:r>
        <w:t xml:space="preserve"> Engagement</w:t>
      </w:r>
      <w:r>
        <w:tab/>
        <w:t>21</w:t>
      </w:r>
    </w:p>
    <w:p w:rsidR="00C63101" w:rsidRPr="007E5614" w:rsidRDefault="00C63101" w:rsidP="00C63101">
      <w:pPr>
        <w:tabs>
          <w:tab w:val="right" w:pos="4395"/>
        </w:tabs>
        <w:spacing w:after="240"/>
      </w:pPr>
      <w:r w:rsidRPr="007E5614">
        <w:t>Di</w:t>
      </w:r>
      <w:r>
        <w:t>sability Framework for Action</w:t>
      </w:r>
      <w:r>
        <w:tab/>
        <w:t>23</w:t>
      </w:r>
    </w:p>
    <w:p w:rsidR="00C63101" w:rsidRPr="007E5614" w:rsidRDefault="00C63101" w:rsidP="00C63101">
      <w:pPr>
        <w:tabs>
          <w:tab w:val="right" w:pos="4395"/>
        </w:tabs>
        <w:spacing w:after="240"/>
      </w:pPr>
      <w:r w:rsidRPr="007E5614">
        <w:t>Key Achievements 2015-16</w:t>
      </w:r>
      <w:r>
        <w:tab/>
        <w:t>24</w:t>
      </w:r>
    </w:p>
    <w:p w:rsidR="00C63101" w:rsidRDefault="00C63101" w:rsidP="00C63101">
      <w:pPr>
        <w:tabs>
          <w:tab w:val="right" w:pos="4395"/>
        </w:tabs>
        <w:spacing w:after="240"/>
      </w:pPr>
      <w:r>
        <w:t xml:space="preserve">   Case Studies</w:t>
      </w:r>
      <w:r>
        <w:tab/>
        <w:t>29</w:t>
      </w:r>
    </w:p>
    <w:p w:rsidR="00C63101" w:rsidRPr="007E5614" w:rsidRDefault="00C63101" w:rsidP="00C63101">
      <w:pPr>
        <w:tabs>
          <w:tab w:val="right" w:pos="4395"/>
        </w:tabs>
        <w:spacing w:after="240"/>
      </w:pPr>
      <w:r w:rsidRPr="007E5614">
        <w:t>Performance Measures 2015-16</w:t>
      </w:r>
      <w:r>
        <w:tab/>
        <w:t>32</w:t>
      </w:r>
    </w:p>
    <w:p w:rsidR="00C63101" w:rsidRPr="007E5614" w:rsidRDefault="00C63101" w:rsidP="00C63101">
      <w:pPr>
        <w:tabs>
          <w:tab w:val="right" w:pos="4395"/>
        </w:tabs>
        <w:spacing w:after="240"/>
      </w:pPr>
      <w:r w:rsidRPr="007E5614">
        <w:t>DHHS in 2016-17</w:t>
      </w:r>
      <w:r>
        <w:tab/>
        <w:t>47</w:t>
      </w:r>
    </w:p>
    <w:p w:rsidR="00C63101" w:rsidRPr="007E5614" w:rsidRDefault="00C63101" w:rsidP="00C63101">
      <w:pPr>
        <w:tabs>
          <w:tab w:val="right" w:pos="4395"/>
        </w:tabs>
        <w:spacing w:after="120"/>
        <w:rPr>
          <w:sz w:val="2"/>
        </w:rPr>
      </w:pPr>
    </w:p>
    <w:p w:rsidR="00C63101" w:rsidRPr="007E5614" w:rsidRDefault="00C63101" w:rsidP="00DF724A">
      <w:pPr>
        <w:pStyle w:val="Heading4"/>
      </w:pPr>
      <w:r w:rsidRPr="007E5614">
        <w:t>Part 2 – Regulatory Information</w:t>
      </w:r>
    </w:p>
    <w:p w:rsidR="00C63101" w:rsidRPr="007E5614" w:rsidRDefault="00C63101" w:rsidP="00C63101">
      <w:pPr>
        <w:tabs>
          <w:tab w:val="right" w:pos="4395"/>
        </w:tabs>
        <w:spacing w:after="240"/>
      </w:pPr>
      <w:r w:rsidRPr="007E5614">
        <w:t>Capit</w:t>
      </w:r>
      <w:r>
        <w:t>al Works and Asset Management</w:t>
      </w:r>
      <w:r>
        <w:tab/>
        <w:t>51</w:t>
      </w:r>
    </w:p>
    <w:p w:rsidR="00C63101" w:rsidRPr="007E5614" w:rsidRDefault="00C63101" w:rsidP="00C63101">
      <w:pPr>
        <w:tabs>
          <w:tab w:val="right" w:pos="4395"/>
        </w:tabs>
        <w:spacing w:after="240"/>
      </w:pPr>
      <w:r w:rsidRPr="007E5614">
        <w:t>Consult</w:t>
      </w:r>
      <w:r>
        <w:t>ancies, Contracts and Tenders</w:t>
      </w:r>
      <w:r>
        <w:tab/>
        <w:t>60</w:t>
      </w:r>
    </w:p>
    <w:p w:rsidR="00C63101" w:rsidRPr="007E5614" w:rsidRDefault="00C63101" w:rsidP="00C63101">
      <w:pPr>
        <w:tabs>
          <w:tab w:val="right" w:pos="4395"/>
        </w:tabs>
        <w:spacing w:after="240"/>
      </w:pPr>
      <w:r w:rsidRPr="007E5614">
        <w:t>C</w:t>
      </w:r>
      <w:r w:rsidR="0029119E">
        <w:t>ommunity Sector Organisations</w:t>
      </w:r>
      <w:r w:rsidR="0029119E">
        <w:tab/>
        <w:t>70</w:t>
      </w:r>
    </w:p>
    <w:p w:rsidR="00C63101" w:rsidRPr="007E5614" w:rsidRDefault="0029119E" w:rsidP="00C63101">
      <w:pPr>
        <w:tabs>
          <w:tab w:val="right" w:pos="4395"/>
        </w:tabs>
        <w:spacing w:after="240"/>
      </w:pPr>
      <w:r>
        <w:t>Climate Change</w:t>
      </w:r>
      <w:r>
        <w:tab/>
        <w:t>75</w:t>
      </w:r>
    </w:p>
    <w:p w:rsidR="00C63101" w:rsidRPr="007E5614" w:rsidRDefault="00C63101" w:rsidP="00C63101">
      <w:pPr>
        <w:tabs>
          <w:tab w:val="right" w:pos="4395"/>
        </w:tabs>
        <w:spacing w:after="240"/>
      </w:pPr>
      <w:r w:rsidRPr="007E5614">
        <w:t xml:space="preserve">Corporate Governance and </w:t>
      </w:r>
      <w:r w:rsidR="0029119E">
        <w:t>Risk Management</w:t>
      </w:r>
      <w:r w:rsidR="0029119E">
        <w:tab/>
        <w:t>76</w:t>
      </w:r>
    </w:p>
    <w:p w:rsidR="00C63101" w:rsidRPr="007E5614" w:rsidRDefault="0029119E" w:rsidP="00C63101">
      <w:pPr>
        <w:tabs>
          <w:tab w:val="right" w:pos="4395"/>
        </w:tabs>
        <w:spacing w:after="240"/>
      </w:pPr>
      <w:r>
        <w:t>Pricing Policies</w:t>
      </w:r>
      <w:r>
        <w:tab/>
        <w:t>79</w:t>
      </w:r>
    </w:p>
    <w:p w:rsidR="00C63101" w:rsidRPr="007E5614" w:rsidRDefault="00C63101" w:rsidP="00C63101">
      <w:pPr>
        <w:tabs>
          <w:tab w:val="right" w:pos="4395"/>
        </w:tabs>
        <w:spacing w:after="240"/>
      </w:pPr>
      <w:r>
        <w:t>Administered Payments</w:t>
      </w:r>
      <w:r>
        <w:tab/>
      </w:r>
      <w:r w:rsidR="0029119E">
        <w:t>79</w:t>
      </w:r>
    </w:p>
    <w:p w:rsidR="00C63101" w:rsidRPr="007E5614" w:rsidRDefault="00C63101" w:rsidP="00C63101">
      <w:pPr>
        <w:tabs>
          <w:tab w:val="right" w:pos="4395"/>
        </w:tabs>
        <w:spacing w:after="240"/>
      </w:pPr>
      <w:r w:rsidRPr="007E5614">
        <w:t>Super</w:t>
      </w:r>
      <w:r>
        <w:t>annuation Declaration</w:t>
      </w:r>
      <w:r>
        <w:tab/>
      </w:r>
      <w:r w:rsidR="0029119E">
        <w:t>79</w:t>
      </w:r>
    </w:p>
    <w:p w:rsidR="00C63101" w:rsidRPr="007E5614" w:rsidRDefault="00C63101" w:rsidP="00C63101">
      <w:pPr>
        <w:keepNext/>
        <w:tabs>
          <w:tab w:val="right" w:pos="4395"/>
        </w:tabs>
        <w:spacing w:after="240"/>
      </w:pPr>
      <w:r w:rsidRPr="007E5614">
        <w:lastRenderedPageBreak/>
        <w:t>Transparency</w:t>
      </w:r>
      <w:r>
        <w:tab/>
      </w:r>
      <w:r w:rsidR="0029119E">
        <w:t>80</w:t>
      </w:r>
    </w:p>
    <w:p w:rsidR="00C63101" w:rsidRPr="007E5614" w:rsidRDefault="0029119E" w:rsidP="00C63101">
      <w:pPr>
        <w:keepNext/>
        <w:tabs>
          <w:tab w:val="right" w:pos="4395"/>
        </w:tabs>
        <w:spacing w:after="240"/>
      </w:pPr>
      <w:r>
        <w:t>Legislation</w:t>
      </w:r>
      <w:r>
        <w:tab/>
        <w:t>83</w:t>
      </w:r>
    </w:p>
    <w:p w:rsidR="00C63101" w:rsidRPr="007E5614" w:rsidRDefault="0029119E" w:rsidP="00C63101">
      <w:pPr>
        <w:keepNext/>
        <w:tabs>
          <w:tab w:val="right" w:pos="4395"/>
        </w:tabs>
        <w:spacing w:after="240"/>
      </w:pPr>
      <w:r>
        <w:t>Other Annual Reports</w:t>
      </w:r>
      <w:r>
        <w:tab/>
        <w:t>86</w:t>
      </w:r>
    </w:p>
    <w:p w:rsidR="00C63101" w:rsidRPr="007E5614" w:rsidRDefault="00C63101" w:rsidP="00C63101">
      <w:pPr>
        <w:tabs>
          <w:tab w:val="right" w:pos="4395"/>
        </w:tabs>
        <w:spacing w:after="240"/>
      </w:pPr>
      <w:r w:rsidRPr="007E5614">
        <w:t xml:space="preserve">   </w:t>
      </w:r>
      <w:r w:rsidRPr="007E5614">
        <w:rPr>
          <w:i/>
        </w:rPr>
        <w:t>Disability Services Act 2011</w:t>
      </w:r>
      <w:r w:rsidR="0029119E">
        <w:tab/>
        <w:t>87</w:t>
      </w:r>
    </w:p>
    <w:p w:rsidR="00C63101" w:rsidRPr="007E5614" w:rsidRDefault="00C63101" w:rsidP="00C63101">
      <w:pPr>
        <w:tabs>
          <w:tab w:val="right" w:pos="4395"/>
        </w:tabs>
        <w:spacing w:after="240"/>
      </w:pPr>
      <w:r w:rsidRPr="007E5614">
        <w:t xml:space="preserve">   Council of Obstetric and Paediatr</w:t>
      </w:r>
      <w:r>
        <w:t xml:space="preserve">ic </w:t>
      </w:r>
      <w:r>
        <w:br/>
        <w:t xml:space="preserve">   Mortality and Morbidity</w:t>
      </w:r>
      <w:r>
        <w:tab/>
      </w:r>
      <w:r w:rsidR="0029119E">
        <w:t>94</w:t>
      </w:r>
    </w:p>
    <w:p w:rsidR="00C63101" w:rsidRPr="007E5614" w:rsidRDefault="00C63101" w:rsidP="00C63101">
      <w:pPr>
        <w:tabs>
          <w:tab w:val="right" w:pos="4395"/>
        </w:tabs>
        <w:spacing w:after="240"/>
      </w:pPr>
      <w:r w:rsidRPr="007E5614">
        <w:t xml:space="preserve"> </w:t>
      </w:r>
      <w:r>
        <w:t xml:space="preserve">  </w:t>
      </w:r>
      <w:r w:rsidR="0029119E">
        <w:t>Tasmanian Pharmacy Authority</w:t>
      </w:r>
      <w:r w:rsidR="0029119E">
        <w:tab/>
        <w:t>100</w:t>
      </w:r>
    </w:p>
    <w:p w:rsidR="00C63101" w:rsidRPr="007E5614" w:rsidRDefault="00C63101" w:rsidP="00C63101">
      <w:pPr>
        <w:tabs>
          <w:tab w:val="right" w:pos="4395"/>
        </w:tabs>
        <w:spacing w:after="120"/>
        <w:rPr>
          <w:sz w:val="2"/>
        </w:rPr>
      </w:pPr>
    </w:p>
    <w:p w:rsidR="00C63101" w:rsidRPr="007E5614" w:rsidRDefault="00C63101" w:rsidP="00DF724A">
      <w:pPr>
        <w:pStyle w:val="Heading4"/>
      </w:pPr>
      <w:r w:rsidRPr="007E5614">
        <w:t>Part 3 – Financial Report</w:t>
      </w:r>
    </w:p>
    <w:p w:rsidR="00C63101" w:rsidRPr="007E5614" w:rsidRDefault="00C63101" w:rsidP="00C63101">
      <w:pPr>
        <w:tabs>
          <w:tab w:val="right" w:pos="4395"/>
        </w:tabs>
        <w:spacing w:after="240"/>
      </w:pPr>
      <w:r w:rsidRPr="007E5614">
        <w:t>Department of Health and Human Services</w:t>
      </w:r>
    </w:p>
    <w:p w:rsidR="00C63101" w:rsidRPr="007E5614" w:rsidRDefault="00C63101" w:rsidP="00C63101">
      <w:pPr>
        <w:tabs>
          <w:tab w:val="right" w:pos="4395"/>
        </w:tabs>
        <w:spacing w:after="240"/>
      </w:pPr>
      <w:r w:rsidRPr="007E5614">
        <w:t xml:space="preserve">   Statement of Certification</w:t>
      </w:r>
      <w:r w:rsidRPr="007E5614">
        <w:tab/>
        <w:t>1</w:t>
      </w:r>
      <w:r>
        <w:t>4</w:t>
      </w:r>
      <w:r w:rsidRPr="007E5614">
        <w:t>1</w:t>
      </w:r>
    </w:p>
    <w:p w:rsidR="00C63101" w:rsidRPr="007E5614" w:rsidRDefault="00C63101" w:rsidP="00C63101">
      <w:pPr>
        <w:tabs>
          <w:tab w:val="right" w:pos="4395"/>
        </w:tabs>
        <w:spacing w:after="240"/>
      </w:pPr>
      <w:r w:rsidRPr="007E5614">
        <w:t xml:space="preserve">   Statement of Comprehensive Income</w:t>
      </w:r>
      <w:r w:rsidRPr="007E5614">
        <w:tab/>
        <w:t>1</w:t>
      </w:r>
      <w:r>
        <w:t>4</w:t>
      </w:r>
      <w:r w:rsidRPr="007E5614">
        <w:t>2</w:t>
      </w:r>
    </w:p>
    <w:p w:rsidR="00C63101" w:rsidRPr="007E5614" w:rsidRDefault="00C63101" w:rsidP="00C63101">
      <w:pPr>
        <w:tabs>
          <w:tab w:val="right" w:pos="4395"/>
        </w:tabs>
        <w:spacing w:after="240"/>
      </w:pPr>
      <w:r w:rsidRPr="007E5614">
        <w:t xml:space="preserve">   Statement of Financial Position</w:t>
      </w:r>
      <w:r w:rsidRPr="007E5614">
        <w:tab/>
        <w:t>1</w:t>
      </w:r>
      <w:r>
        <w:t>4</w:t>
      </w:r>
      <w:r w:rsidRPr="007E5614">
        <w:t>3</w:t>
      </w:r>
    </w:p>
    <w:p w:rsidR="00C63101" w:rsidRPr="007E5614" w:rsidRDefault="00C63101" w:rsidP="00C63101">
      <w:pPr>
        <w:tabs>
          <w:tab w:val="right" w:pos="4395"/>
        </w:tabs>
        <w:spacing w:after="240"/>
      </w:pPr>
      <w:r w:rsidRPr="007E5614">
        <w:t xml:space="preserve">   Statement of Cash Flows</w:t>
      </w:r>
      <w:r w:rsidRPr="007E5614">
        <w:tab/>
        <w:t>1</w:t>
      </w:r>
      <w:r>
        <w:t>4</w:t>
      </w:r>
      <w:r w:rsidRPr="007E5614">
        <w:t>4</w:t>
      </w:r>
    </w:p>
    <w:p w:rsidR="00C63101" w:rsidRPr="007E5614" w:rsidRDefault="00C63101" w:rsidP="00C63101">
      <w:pPr>
        <w:tabs>
          <w:tab w:val="right" w:pos="4395"/>
        </w:tabs>
        <w:spacing w:after="240"/>
      </w:pPr>
      <w:r w:rsidRPr="007E5614">
        <w:t xml:space="preserve">   Statement of Changes in Equity</w:t>
      </w:r>
      <w:r w:rsidRPr="007E5614">
        <w:tab/>
        <w:t>1</w:t>
      </w:r>
      <w:r>
        <w:t>46</w:t>
      </w:r>
    </w:p>
    <w:p w:rsidR="00C63101" w:rsidRPr="007E5614" w:rsidRDefault="00C63101" w:rsidP="00C63101">
      <w:pPr>
        <w:tabs>
          <w:tab w:val="right" w:pos="4395"/>
        </w:tabs>
        <w:spacing w:after="240"/>
      </w:pPr>
      <w:r w:rsidRPr="007E5614">
        <w:t xml:space="preserve">   Notes to and Forming Part of Financial</w:t>
      </w:r>
      <w:r w:rsidRPr="007E5614">
        <w:tab/>
        <w:t>1</w:t>
      </w:r>
      <w:r>
        <w:t>47</w:t>
      </w:r>
      <w:r w:rsidRPr="007E5614">
        <w:br/>
        <w:t xml:space="preserve">   Statements</w:t>
      </w:r>
    </w:p>
    <w:p w:rsidR="00C63101" w:rsidRPr="007E5614" w:rsidRDefault="00C63101" w:rsidP="00C63101">
      <w:pPr>
        <w:tabs>
          <w:tab w:val="right" w:pos="4395"/>
        </w:tabs>
        <w:spacing w:after="120"/>
        <w:rPr>
          <w:sz w:val="2"/>
        </w:rPr>
      </w:pPr>
    </w:p>
    <w:p w:rsidR="00C63101" w:rsidRPr="007E5614" w:rsidRDefault="00C63101" w:rsidP="00C63101">
      <w:pPr>
        <w:tabs>
          <w:tab w:val="right" w:pos="4395"/>
        </w:tabs>
        <w:spacing w:after="240"/>
      </w:pPr>
      <w:r w:rsidRPr="007E5614">
        <w:t>Ambulance Tasmania</w:t>
      </w:r>
    </w:p>
    <w:p w:rsidR="00C63101" w:rsidRPr="007E5614" w:rsidRDefault="00C63101" w:rsidP="00C63101">
      <w:pPr>
        <w:tabs>
          <w:tab w:val="right" w:pos="4395"/>
        </w:tabs>
        <w:spacing w:after="240"/>
      </w:pPr>
      <w:r w:rsidRPr="007E5614">
        <w:t xml:space="preserve">   Statement of Certification</w:t>
      </w:r>
      <w:r w:rsidRPr="007E5614">
        <w:tab/>
        <w:t>2</w:t>
      </w:r>
      <w:r>
        <w:t>29</w:t>
      </w:r>
    </w:p>
    <w:p w:rsidR="00C63101" w:rsidRPr="007E5614" w:rsidRDefault="00C63101" w:rsidP="00C63101">
      <w:pPr>
        <w:tabs>
          <w:tab w:val="right" w:pos="4395"/>
        </w:tabs>
        <w:spacing w:after="240"/>
      </w:pPr>
      <w:r w:rsidRPr="007E5614">
        <w:t xml:space="preserve">   Statement of Comprehensive Income</w:t>
      </w:r>
      <w:r w:rsidRPr="007E5614">
        <w:tab/>
        <w:t>2</w:t>
      </w:r>
      <w:r>
        <w:t>30</w:t>
      </w:r>
    </w:p>
    <w:p w:rsidR="00C63101" w:rsidRPr="007E5614" w:rsidRDefault="00C63101" w:rsidP="00C63101">
      <w:pPr>
        <w:tabs>
          <w:tab w:val="right" w:pos="4395"/>
        </w:tabs>
        <w:spacing w:after="240"/>
      </w:pPr>
      <w:r w:rsidRPr="007E5614">
        <w:t xml:space="preserve">   Statement of Financial Position</w:t>
      </w:r>
      <w:r w:rsidRPr="007E5614">
        <w:tab/>
        <w:t>2</w:t>
      </w:r>
      <w:r>
        <w:t>31</w:t>
      </w:r>
    </w:p>
    <w:p w:rsidR="00C63101" w:rsidRPr="007E5614" w:rsidRDefault="00C63101" w:rsidP="00C63101">
      <w:pPr>
        <w:tabs>
          <w:tab w:val="right" w:pos="4395"/>
        </w:tabs>
        <w:spacing w:after="240"/>
      </w:pPr>
      <w:r w:rsidRPr="007E5614">
        <w:t xml:space="preserve">   Statement of Cash Flows</w:t>
      </w:r>
      <w:r w:rsidRPr="007E5614">
        <w:tab/>
        <w:t>2</w:t>
      </w:r>
      <w:r>
        <w:t>32</w:t>
      </w:r>
    </w:p>
    <w:p w:rsidR="00C63101" w:rsidRPr="007E5614" w:rsidRDefault="00C63101" w:rsidP="00C63101">
      <w:pPr>
        <w:tabs>
          <w:tab w:val="right" w:pos="4395"/>
        </w:tabs>
        <w:spacing w:after="240"/>
      </w:pPr>
      <w:r w:rsidRPr="007E5614">
        <w:t xml:space="preserve">   Statement of Changes in Equity</w:t>
      </w:r>
      <w:r w:rsidRPr="007E5614">
        <w:tab/>
        <w:t>2</w:t>
      </w:r>
      <w:r>
        <w:t>33</w:t>
      </w:r>
    </w:p>
    <w:p w:rsidR="00C63101" w:rsidRDefault="00C63101" w:rsidP="006F3D76">
      <w:pPr>
        <w:tabs>
          <w:tab w:val="right" w:pos="142"/>
          <w:tab w:val="right" w:pos="4395"/>
        </w:tabs>
        <w:ind w:left="142"/>
      </w:pPr>
      <w:r w:rsidRPr="007E5614">
        <w:t xml:space="preserve">Notes to and Forming Part of </w:t>
      </w:r>
      <w:r w:rsidR="006F3D76">
        <w:tab/>
      </w:r>
      <w:r w:rsidR="006F3D76" w:rsidRPr="007E5614">
        <w:t>2</w:t>
      </w:r>
      <w:r w:rsidR="006F3D76">
        <w:t>34</w:t>
      </w:r>
      <w:r w:rsidR="006F3D76" w:rsidRPr="007E5614">
        <w:br/>
      </w:r>
      <w:r w:rsidR="006F3D76">
        <w:t>Financial</w:t>
      </w:r>
      <w:r w:rsidRPr="007E5614">
        <w:t xml:space="preserve"> Statements</w:t>
      </w:r>
    </w:p>
    <w:p w:rsidR="006F3D76" w:rsidRDefault="006F3D76" w:rsidP="006F3D76">
      <w:pPr>
        <w:tabs>
          <w:tab w:val="right" w:pos="142"/>
          <w:tab w:val="right" w:pos="4395"/>
        </w:tabs>
        <w:ind w:left="142"/>
        <w:rPr>
          <w:rFonts w:ascii="GillSans Light" w:hAnsi="GillSans Light"/>
          <w:caps/>
        </w:rPr>
        <w:sectPr w:rsidR="006F3D76" w:rsidSect="00C63101">
          <w:type w:val="continuous"/>
          <w:pgSz w:w="11906" w:h="16838"/>
          <w:pgMar w:top="1440" w:right="1440" w:bottom="1440" w:left="1440" w:header="708" w:footer="708" w:gutter="0"/>
          <w:cols w:num="2" w:space="708"/>
          <w:docGrid w:linePitch="360"/>
        </w:sectPr>
      </w:pPr>
    </w:p>
    <w:p w:rsidR="00AF2CF5" w:rsidRDefault="006F3D76" w:rsidP="00DF724A">
      <w:pPr>
        <w:pStyle w:val="Heading3"/>
        <w:sectPr w:rsidR="00AF2CF5" w:rsidSect="006F3D76">
          <w:pgSz w:w="11906" w:h="16838"/>
          <w:pgMar w:top="1440" w:right="1440" w:bottom="1440" w:left="1440" w:header="708" w:footer="708" w:gutter="0"/>
          <w:cols w:num="2" w:space="708"/>
          <w:docGrid w:linePitch="360"/>
        </w:sectPr>
      </w:pPr>
      <w:r w:rsidRPr="00E2546E">
        <w:lastRenderedPageBreak/>
        <w:t>Key Acronyms</w:t>
      </w:r>
    </w:p>
    <w:tbl>
      <w:tblPr>
        <w:tblW w:w="4536" w:type="dxa"/>
        <w:tblInd w:w="-269" w:type="dxa"/>
        <w:tblCellMar>
          <w:left w:w="0" w:type="dxa"/>
          <w:right w:w="0" w:type="dxa"/>
        </w:tblCellMar>
        <w:tblLook w:val="04A0" w:firstRow="1" w:lastRow="0" w:firstColumn="1" w:lastColumn="0" w:noHBand="0" w:noVBand="1"/>
      </w:tblPr>
      <w:tblGrid>
        <w:gridCol w:w="1134"/>
        <w:gridCol w:w="3402"/>
      </w:tblGrid>
      <w:tr w:rsidR="006F3D76" w:rsidRPr="007E5614" w:rsidTr="006F3D76">
        <w:trPr>
          <w:trHeight w:val="300"/>
        </w:trPr>
        <w:tc>
          <w:tcPr>
            <w:tcW w:w="1134" w:type="dxa"/>
            <w:tcBorders>
              <w:top w:val="nil"/>
              <w:left w:val="nil"/>
              <w:bottom w:val="nil"/>
              <w:right w:val="nil"/>
            </w:tcBorders>
            <w:shd w:val="clear" w:color="auto" w:fill="auto"/>
            <w:noWrap/>
            <w:tcMar>
              <w:top w:w="15" w:type="dxa"/>
              <w:left w:w="15" w:type="dxa"/>
              <w:bottom w:w="0" w:type="dxa"/>
              <w:right w:w="15" w:type="dxa"/>
            </w:tcMar>
            <w:hideMark/>
          </w:tcPr>
          <w:p w:rsidR="006F3D76" w:rsidRPr="007E5614" w:rsidRDefault="00AF2CF5" w:rsidP="00297380">
            <w:pPr>
              <w:spacing w:afterLines="60" w:after="144" w:line="240" w:lineRule="auto"/>
              <w:rPr>
                <w:b/>
                <w:bCs/>
                <w:color w:val="000000"/>
              </w:rPr>
            </w:pPr>
            <w:r>
              <w:rPr>
                <w:b/>
                <w:bCs/>
                <w:color w:val="000000"/>
              </w:rPr>
              <w:lastRenderedPageBreak/>
              <w:t>Acronym</w:t>
            </w:r>
          </w:p>
        </w:tc>
        <w:tc>
          <w:tcPr>
            <w:tcW w:w="3402" w:type="dxa"/>
            <w:tcBorders>
              <w:top w:val="nil"/>
              <w:left w:val="nil"/>
              <w:bottom w:val="nil"/>
              <w:right w:val="nil"/>
            </w:tcBorders>
            <w:shd w:val="clear" w:color="auto" w:fill="auto"/>
            <w:noWrap/>
            <w:tcMar>
              <w:top w:w="15" w:type="dxa"/>
              <w:left w:w="15" w:type="dxa"/>
              <w:bottom w:w="0" w:type="dxa"/>
              <w:right w:w="15" w:type="dxa"/>
            </w:tcMar>
            <w:hideMark/>
          </w:tcPr>
          <w:p w:rsidR="006F3D76" w:rsidRPr="007E5614" w:rsidRDefault="00AF2CF5" w:rsidP="00297380">
            <w:pPr>
              <w:spacing w:afterLines="60" w:after="144" w:line="240" w:lineRule="auto"/>
              <w:rPr>
                <w:b/>
                <w:bCs/>
                <w:color w:val="000000"/>
              </w:rPr>
            </w:pPr>
            <w:r>
              <w:rPr>
                <w:b/>
                <w:bCs/>
                <w:color w:val="000000"/>
              </w:rPr>
              <w:t>Meaning</w:t>
            </w:r>
          </w:p>
        </w:tc>
      </w:tr>
      <w:tr w:rsidR="006F3D76" w:rsidRPr="007E5614" w:rsidTr="006F3D76">
        <w:trPr>
          <w:trHeight w:val="300"/>
        </w:trPr>
        <w:tc>
          <w:tcPr>
            <w:tcW w:w="1134" w:type="dxa"/>
            <w:tcBorders>
              <w:top w:val="nil"/>
              <w:left w:val="nil"/>
              <w:bottom w:val="nil"/>
              <w:right w:val="nil"/>
            </w:tcBorders>
            <w:shd w:val="clear" w:color="auto" w:fill="auto"/>
            <w:noWrap/>
            <w:tcMar>
              <w:top w:w="15" w:type="dxa"/>
              <w:left w:w="15" w:type="dxa"/>
              <w:bottom w:w="0" w:type="dxa"/>
              <w:right w:w="15" w:type="dxa"/>
            </w:tcMar>
            <w:hideMark/>
          </w:tcPr>
          <w:p w:rsidR="006F3D76" w:rsidRPr="007E5614" w:rsidRDefault="006F3D76" w:rsidP="00297380">
            <w:pPr>
              <w:spacing w:afterLines="60" w:after="144" w:line="240" w:lineRule="auto"/>
              <w:rPr>
                <w:color w:val="000000"/>
              </w:rPr>
            </w:pPr>
            <w:r w:rsidRPr="007E5614">
              <w:rPr>
                <w:color w:val="000000"/>
              </w:rPr>
              <w:t>AHPRA</w:t>
            </w:r>
          </w:p>
        </w:tc>
        <w:tc>
          <w:tcPr>
            <w:tcW w:w="3402" w:type="dxa"/>
            <w:tcBorders>
              <w:top w:val="nil"/>
              <w:left w:val="nil"/>
              <w:bottom w:val="nil"/>
              <w:right w:val="nil"/>
            </w:tcBorders>
            <w:shd w:val="clear" w:color="auto" w:fill="auto"/>
            <w:noWrap/>
            <w:tcMar>
              <w:top w:w="15" w:type="dxa"/>
              <w:left w:w="15" w:type="dxa"/>
              <w:bottom w:w="0" w:type="dxa"/>
              <w:right w:w="15" w:type="dxa"/>
            </w:tcMar>
            <w:hideMark/>
          </w:tcPr>
          <w:p w:rsidR="006F3D76" w:rsidRPr="007E5614" w:rsidRDefault="006F3D76" w:rsidP="00297380">
            <w:pPr>
              <w:spacing w:afterLines="60" w:after="144" w:line="240" w:lineRule="auto"/>
              <w:rPr>
                <w:color w:val="000000"/>
              </w:rPr>
            </w:pPr>
            <w:r w:rsidRPr="007E5614">
              <w:rPr>
                <w:color w:val="000000"/>
              </w:rPr>
              <w:t>Australian Health Practitioner Regulation Agency</w:t>
            </w:r>
          </w:p>
        </w:tc>
      </w:tr>
      <w:tr w:rsidR="006F3D76" w:rsidRPr="007E5614" w:rsidTr="006F3D76">
        <w:trPr>
          <w:trHeight w:val="300"/>
        </w:trPr>
        <w:tc>
          <w:tcPr>
            <w:tcW w:w="1134" w:type="dxa"/>
            <w:tcBorders>
              <w:top w:val="nil"/>
              <w:left w:val="nil"/>
              <w:bottom w:val="nil"/>
              <w:right w:val="nil"/>
            </w:tcBorders>
            <w:shd w:val="clear" w:color="auto" w:fill="auto"/>
            <w:noWrap/>
            <w:tcMar>
              <w:top w:w="15" w:type="dxa"/>
              <w:left w:w="15" w:type="dxa"/>
              <w:bottom w:w="0" w:type="dxa"/>
              <w:right w:w="15" w:type="dxa"/>
            </w:tcMar>
            <w:hideMark/>
          </w:tcPr>
          <w:p w:rsidR="006F3D76" w:rsidRPr="007E5614" w:rsidRDefault="006F3D76" w:rsidP="00297380">
            <w:pPr>
              <w:spacing w:afterLines="60" w:after="144" w:line="240" w:lineRule="auto"/>
              <w:rPr>
                <w:color w:val="000000"/>
              </w:rPr>
            </w:pPr>
            <w:r w:rsidRPr="007E5614">
              <w:rPr>
                <w:color w:val="000000"/>
              </w:rPr>
              <w:t>AIHW</w:t>
            </w:r>
          </w:p>
        </w:tc>
        <w:tc>
          <w:tcPr>
            <w:tcW w:w="3402" w:type="dxa"/>
            <w:tcBorders>
              <w:top w:val="nil"/>
              <w:left w:val="nil"/>
              <w:bottom w:val="nil"/>
              <w:right w:val="nil"/>
            </w:tcBorders>
            <w:shd w:val="clear" w:color="auto" w:fill="auto"/>
            <w:noWrap/>
            <w:tcMar>
              <w:top w:w="15" w:type="dxa"/>
              <w:left w:w="15" w:type="dxa"/>
              <w:bottom w:w="0" w:type="dxa"/>
              <w:right w:w="15" w:type="dxa"/>
            </w:tcMar>
            <w:hideMark/>
          </w:tcPr>
          <w:p w:rsidR="006F3D76" w:rsidRPr="007E5614" w:rsidRDefault="006F3D76" w:rsidP="00297380">
            <w:pPr>
              <w:spacing w:afterLines="60" w:after="144" w:line="240" w:lineRule="auto"/>
              <w:rPr>
                <w:color w:val="000000"/>
              </w:rPr>
            </w:pPr>
            <w:r w:rsidRPr="007E5614">
              <w:rPr>
                <w:color w:val="000000"/>
              </w:rPr>
              <w:t>Australian Institute of Health and Welfare</w:t>
            </w:r>
          </w:p>
        </w:tc>
      </w:tr>
      <w:tr w:rsidR="006F3D76" w:rsidRPr="007E5614" w:rsidTr="006F3D76">
        <w:trPr>
          <w:trHeight w:val="300"/>
        </w:trPr>
        <w:tc>
          <w:tcPr>
            <w:tcW w:w="1134" w:type="dxa"/>
            <w:tcBorders>
              <w:top w:val="nil"/>
              <w:left w:val="nil"/>
              <w:bottom w:val="nil"/>
              <w:right w:val="nil"/>
            </w:tcBorders>
            <w:shd w:val="clear" w:color="auto" w:fill="auto"/>
            <w:noWrap/>
            <w:tcMar>
              <w:top w:w="15" w:type="dxa"/>
              <w:left w:w="15" w:type="dxa"/>
              <w:bottom w:w="0" w:type="dxa"/>
              <w:right w:w="15" w:type="dxa"/>
            </w:tcMar>
            <w:hideMark/>
          </w:tcPr>
          <w:p w:rsidR="006F3D76" w:rsidRPr="007E5614" w:rsidRDefault="006F3D76" w:rsidP="00297380">
            <w:pPr>
              <w:spacing w:afterLines="60" w:after="144" w:line="240" w:lineRule="auto"/>
              <w:rPr>
                <w:color w:val="000000"/>
              </w:rPr>
            </w:pPr>
            <w:r w:rsidRPr="007E5614">
              <w:rPr>
                <w:color w:val="000000"/>
              </w:rPr>
              <w:t>AMS</w:t>
            </w:r>
          </w:p>
        </w:tc>
        <w:tc>
          <w:tcPr>
            <w:tcW w:w="3402" w:type="dxa"/>
            <w:tcBorders>
              <w:top w:val="nil"/>
              <w:left w:val="nil"/>
              <w:bottom w:val="nil"/>
              <w:right w:val="nil"/>
            </w:tcBorders>
            <w:shd w:val="clear" w:color="auto" w:fill="auto"/>
            <w:noWrap/>
            <w:tcMar>
              <w:top w:w="15" w:type="dxa"/>
              <w:left w:w="15" w:type="dxa"/>
              <w:bottom w:w="0" w:type="dxa"/>
              <w:right w:w="15" w:type="dxa"/>
            </w:tcMar>
            <w:hideMark/>
          </w:tcPr>
          <w:p w:rsidR="006F3D76" w:rsidRPr="007E5614" w:rsidRDefault="006F3D76" w:rsidP="00297380">
            <w:pPr>
              <w:spacing w:afterLines="60" w:after="144" w:line="240" w:lineRule="auto"/>
              <w:rPr>
                <w:color w:val="000000"/>
              </w:rPr>
            </w:pPr>
            <w:r w:rsidRPr="007E5614">
              <w:rPr>
                <w:color w:val="000000"/>
              </w:rPr>
              <w:t>Asset Management Services</w:t>
            </w:r>
          </w:p>
        </w:tc>
      </w:tr>
      <w:tr w:rsidR="006F3D76" w:rsidRPr="007E5614" w:rsidTr="006F3D76">
        <w:trPr>
          <w:trHeight w:val="300"/>
        </w:trPr>
        <w:tc>
          <w:tcPr>
            <w:tcW w:w="1134" w:type="dxa"/>
            <w:tcBorders>
              <w:top w:val="nil"/>
              <w:left w:val="nil"/>
              <w:bottom w:val="nil"/>
              <w:right w:val="nil"/>
            </w:tcBorders>
            <w:shd w:val="clear" w:color="auto" w:fill="auto"/>
            <w:noWrap/>
            <w:tcMar>
              <w:top w:w="15" w:type="dxa"/>
              <w:left w:w="15" w:type="dxa"/>
              <w:bottom w:w="0" w:type="dxa"/>
              <w:right w:w="15" w:type="dxa"/>
            </w:tcMar>
            <w:hideMark/>
          </w:tcPr>
          <w:p w:rsidR="006F3D76" w:rsidRPr="007E5614" w:rsidRDefault="006F3D76" w:rsidP="00297380">
            <w:pPr>
              <w:spacing w:afterLines="60" w:after="144" w:line="240" w:lineRule="auto"/>
              <w:rPr>
                <w:color w:val="000000"/>
              </w:rPr>
            </w:pPr>
            <w:r w:rsidRPr="007E5614">
              <w:rPr>
                <w:color w:val="000000"/>
              </w:rPr>
              <w:t>AT</w:t>
            </w:r>
          </w:p>
        </w:tc>
        <w:tc>
          <w:tcPr>
            <w:tcW w:w="3402" w:type="dxa"/>
            <w:tcBorders>
              <w:top w:val="nil"/>
              <w:left w:val="nil"/>
              <w:bottom w:val="nil"/>
              <w:right w:val="nil"/>
            </w:tcBorders>
            <w:shd w:val="clear" w:color="auto" w:fill="auto"/>
            <w:noWrap/>
            <w:tcMar>
              <w:top w:w="15" w:type="dxa"/>
              <w:left w:w="15" w:type="dxa"/>
              <w:bottom w:w="0" w:type="dxa"/>
              <w:right w:w="15" w:type="dxa"/>
            </w:tcMar>
            <w:hideMark/>
          </w:tcPr>
          <w:p w:rsidR="006F3D76" w:rsidRPr="007E5614" w:rsidRDefault="006F3D76" w:rsidP="00297380">
            <w:pPr>
              <w:spacing w:afterLines="60" w:after="144" w:line="240" w:lineRule="auto"/>
              <w:rPr>
                <w:color w:val="000000"/>
              </w:rPr>
            </w:pPr>
            <w:r w:rsidRPr="007E5614">
              <w:rPr>
                <w:color w:val="000000"/>
              </w:rPr>
              <w:t>Ambulance Tasmania</w:t>
            </w:r>
          </w:p>
        </w:tc>
      </w:tr>
      <w:tr w:rsidR="006F3D76" w:rsidRPr="007E5614" w:rsidTr="006F3D76">
        <w:trPr>
          <w:trHeight w:val="300"/>
        </w:trPr>
        <w:tc>
          <w:tcPr>
            <w:tcW w:w="1134" w:type="dxa"/>
            <w:tcBorders>
              <w:top w:val="nil"/>
              <w:left w:val="nil"/>
              <w:bottom w:val="nil"/>
              <w:right w:val="nil"/>
            </w:tcBorders>
            <w:shd w:val="clear" w:color="auto" w:fill="auto"/>
            <w:noWrap/>
            <w:tcMar>
              <w:top w:w="15" w:type="dxa"/>
              <w:left w:w="15" w:type="dxa"/>
              <w:bottom w:w="0" w:type="dxa"/>
              <w:right w:w="15" w:type="dxa"/>
            </w:tcMar>
            <w:hideMark/>
          </w:tcPr>
          <w:p w:rsidR="006F3D76" w:rsidRPr="007E5614" w:rsidRDefault="006F3D76" w:rsidP="00297380">
            <w:pPr>
              <w:spacing w:afterLines="60" w:after="144" w:line="240" w:lineRule="auto"/>
              <w:rPr>
                <w:color w:val="000000"/>
              </w:rPr>
            </w:pPr>
            <w:proofErr w:type="spellStart"/>
            <w:r w:rsidRPr="007E5614">
              <w:rPr>
                <w:color w:val="000000"/>
              </w:rPr>
              <w:t>CHaPS</w:t>
            </w:r>
            <w:proofErr w:type="spellEnd"/>
          </w:p>
        </w:tc>
        <w:tc>
          <w:tcPr>
            <w:tcW w:w="3402" w:type="dxa"/>
            <w:tcBorders>
              <w:top w:val="nil"/>
              <w:left w:val="nil"/>
              <w:bottom w:val="nil"/>
              <w:right w:val="nil"/>
            </w:tcBorders>
            <w:shd w:val="clear" w:color="auto" w:fill="auto"/>
            <w:noWrap/>
            <w:tcMar>
              <w:top w:w="15" w:type="dxa"/>
              <w:left w:w="15" w:type="dxa"/>
              <w:bottom w:w="0" w:type="dxa"/>
              <w:right w:w="15" w:type="dxa"/>
            </w:tcMar>
            <w:hideMark/>
          </w:tcPr>
          <w:p w:rsidR="006F3D76" w:rsidRPr="007E5614" w:rsidRDefault="006F3D76" w:rsidP="00297380">
            <w:pPr>
              <w:spacing w:afterLines="60" w:after="144" w:line="240" w:lineRule="auto"/>
              <w:rPr>
                <w:color w:val="000000"/>
              </w:rPr>
            </w:pPr>
            <w:r w:rsidRPr="007E5614">
              <w:rPr>
                <w:color w:val="000000"/>
              </w:rPr>
              <w:t>Child Health and Parenting Services</w:t>
            </w:r>
          </w:p>
        </w:tc>
      </w:tr>
      <w:tr w:rsidR="006F3D76" w:rsidRPr="007E5614" w:rsidTr="006F3D76">
        <w:trPr>
          <w:trHeight w:val="300"/>
        </w:trPr>
        <w:tc>
          <w:tcPr>
            <w:tcW w:w="1134" w:type="dxa"/>
            <w:tcBorders>
              <w:top w:val="nil"/>
              <w:left w:val="nil"/>
              <w:bottom w:val="nil"/>
              <w:right w:val="nil"/>
            </w:tcBorders>
            <w:shd w:val="clear" w:color="auto" w:fill="auto"/>
            <w:noWrap/>
            <w:tcMar>
              <w:top w:w="15" w:type="dxa"/>
              <w:left w:w="15" w:type="dxa"/>
              <w:bottom w:w="0" w:type="dxa"/>
              <w:right w:w="15" w:type="dxa"/>
            </w:tcMar>
            <w:hideMark/>
          </w:tcPr>
          <w:p w:rsidR="006F3D76" w:rsidRPr="007E5614" w:rsidRDefault="006F3D76" w:rsidP="00297380">
            <w:pPr>
              <w:spacing w:afterLines="60" w:after="144" w:line="240" w:lineRule="auto"/>
              <w:rPr>
                <w:color w:val="000000"/>
              </w:rPr>
            </w:pPr>
            <w:r w:rsidRPr="007E5614">
              <w:rPr>
                <w:color w:val="000000"/>
              </w:rPr>
              <w:t>COPMM</w:t>
            </w:r>
          </w:p>
        </w:tc>
        <w:tc>
          <w:tcPr>
            <w:tcW w:w="3402" w:type="dxa"/>
            <w:tcBorders>
              <w:top w:val="nil"/>
              <w:left w:val="nil"/>
              <w:bottom w:val="nil"/>
              <w:right w:val="nil"/>
            </w:tcBorders>
            <w:shd w:val="clear" w:color="auto" w:fill="auto"/>
            <w:noWrap/>
            <w:tcMar>
              <w:top w:w="15" w:type="dxa"/>
              <w:left w:w="15" w:type="dxa"/>
              <w:bottom w:w="0" w:type="dxa"/>
              <w:right w:w="15" w:type="dxa"/>
            </w:tcMar>
            <w:hideMark/>
          </w:tcPr>
          <w:p w:rsidR="006F3D76" w:rsidRPr="007E5614" w:rsidRDefault="006F3D76" w:rsidP="00297380">
            <w:pPr>
              <w:spacing w:afterLines="60" w:after="144" w:line="240" w:lineRule="auto"/>
              <w:rPr>
                <w:color w:val="000000"/>
              </w:rPr>
            </w:pPr>
            <w:r w:rsidRPr="007E5614">
              <w:rPr>
                <w:color w:val="000000"/>
              </w:rPr>
              <w:t>Council of Obstetric and Paediatric Mortality and Morbidity</w:t>
            </w:r>
          </w:p>
        </w:tc>
      </w:tr>
      <w:tr w:rsidR="006F3D76" w:rsidRPr="007E5614" w:rsidTr="006F3D76">
        <w:trPr>
          <w:trHeight w:val="300"/>
        </w:trPr>
        <w:tc>
          <w:tcPr>
            <w:tcW w:w="1134" w:type="dxa"/>
            <w:tcBorders>
              <w:top w:val="nil"/>
              <w:left w:val="nil"/>
              <w:bottom w:val="nil"/>
              <w:right w:val="nil"/>
            </w:tcBorders>
            <w:shd w:val="clear" w:color="auto" w:fill="auto"/>
            <w:noWrap/>
            <w:tcMar>
              <w:top w:w="15" w:type="dxa"/>
              <w:left w:w="15" w:type="dxa"/>
              <w:bottom w:w="0" w:type="dxa"/>
              <w:right w:w="15" w:type="dxa"/>
            </w:tcMar>
            <w:hideMark/>
          </w:tcPr>
          <w:p w:rsidR="006F3D76" w:rsidRPr="007E5614" w:rsidRDefault="006F3D76" w:rsidP="00297380">
            <w:pPr>
              <w:spacing w:afterLines="60" w:after="144" w:line="240" w:lineRule="auto"/>
              <w:rPr>
                <w:color w:val="000000"/>
              </w:rPr>
            </w:pPr>
            <w:r w:rsidRPr="007E5614">
              <w:rPr>
                <w:color w:val="000000"/>
              </w:rPr>
              <w:t>CPRS</w:t>
            </w:r>
          </w:p>
        </w:tc>
        <w:tc>
          <w:tcPr>
            <w:tcW w:w="3402" w:type="dxa"/>
            <w:tcBorders>
              <w:top w:val="nil"/>
              <w:left w:val="nil"/>
              <w:bottom w:val="nil"/>
              <w:right w:val="nil"/>
            </w:tcBorders>
            <w:shd w:val="clear" w:color="auto" w:fill="auto"/>
            <w:noWrap/>
            <w:tcMar>
              <w:top w:w="15" w:type="dxa"/>
              <w:left w:w="15" w:type="dxa"/>
              <w:bottom w:w="0" w:type="dxa"/>
              <w:right w:w="15" w:type="dxa"/>
            </w:tcMar>
            <w:hideMark/>
          </w:tcPr>
          <w:p w:rsidR="006F3D76" w:rsidRPr="007E5614" w:rsidRDefault="006F3D76" w:rsidP="00297380">
            <w:pPr>
              <w:spacing w:afterLines="60" w:after="144" w:line="240" w:lineRule="auto"/>
              <w:rPr>
                <w:color w:val="000000"/>
              </w:rPr>
            </w:pPr>
            <w:r w:rsidRPr="007E5614">
              <w:rPr>
                <w:color w:val="000000"/>
              </w:rPr>
              <w:t>Corporate Policy and Regulatory Services</w:t>
            </w:r>
          </w:p>
        </w:tc>
      </w:tr>
      <w:tr w:rsidR="006F3D76" w:rsidRPr="007E5614" w:rsidTr="006F3D76">
        <w:trPr>
          <w:trHeight w:val="300"/>
        </w:trPr>
        <w:tc>
          <w:tcPr>
            <w:tcW w:w="1134" w:type="dxa"/>
            <w:tcBorders>
              <w:top w:val="nil"/>
              <w:left w:val="nil"/>
              <w:bottom w:val="nil"/>
              <w:right w:val="nil"/>
            </w:tcBorders>
            <w:shd w:val="clear" w:color="auto" w:fill="auto"/>
            <w:noWrap/>
            <w:tcMar>
              <w:top w:w="15" w:type="dxa"/>
              <w:left w:w="15" w:type="dxa"/>
              <w:bottom w:w="0" w:type="dxa"/>
              <w:right w:w="15" w:type="dxa"/>
            </w:tcMar>
            <w:hideMark/>
          </w:tcPr>
          <w:p w:rsidR="006F3D76" w:rsidRPr="007E5614" w:rsidRDefault="006F3D76" w:rsidP="00297380">
            <w:pPr>
              <w:spacing w:afterLines="60" w:after="144" w:line="240" w:lineRule="auto"/>
              <w:rPr>
                <w:color w:val="000000"/>
              </w:rPr>
            </w:pPr>
            <w:r w:rsidRPr="007E5614">
              <w:rPr>
                <w:color w:val="000000"/>
              </w:rPr>
              <w:t>CPS</w:t>
            </w:r>
          </w:p>
        </w:tc>
        <w:tc>
          <w:tcPr>
            <w:tcW w:w="3402" w:type="dxa"/>
            <w:tcBorders>
              <w:top w:val="nil"/>
              <w:left w:val="nil"/>
              <w:bottom w:val="nil"/>
              <w:right w:val="nil"/>
            </w:tcBorders>
            <w:shd w:val="clear" w:color="auto" w:fill="auto"/>
            <w:noWrap/>
            <w:tcMar>
              <w:top w:w="15" w:type="dxa"/>
              <w:left w:w="15" w:type="dxa"/>
              <w:bottom w:w="0" w:type="dxa"/>
              <w:right w:w="15" w:type="dxa"/>
            </w:tcMar>
            <w:hideMark/>
          </w:tcPr>
          <w:p w:rsidR="006F3D76" w:rsidRPr="007E5614" w:rsidRDefault="006F3D76" w:rsidP="00297380">
            <w:pPr>
              <w:spacing w:afterLines="60" w:after="144" w:line="240" w:lineRule="auto"/>
              <w:rPr>
                <w:color w:val="000000"/>
              </w:rPr>
            </w:pPr>
            <w:r w:rsidRPr="007E5614">
              <w:rPr>
                <w:color w:val="000000"/>
              </w:rPr>
              <w:t>Child Protection Services</w:t>
            </w:r>
          </w:p>
        </w:tc>
      </w:tr>
      <w:tr w:rsidR="006F3D76" w:rsidRPr="007E5614" w:rsidTr="006F3D76">
        <w:trPr>
          <w:trHeight w:val="300"/>
        </w:trPr>
        <w:tc>
          <w:tcPr>
            <w:tcW w:w="1134" w:type="dxa"/>
            <w:tcBorders>
              <w:top w:val="nil"/>
              <w:left w:val="nil"/>
              <w:bottom w:val="nil"/>
              <w:right w:val="nil"/>
            </w:tcBorders>
            <w:shd w:val="clear" w:color="auto" w:fill="auto"/>
            <w:noWrap/>
            <w:tcMar>
              <w:top w:w="15" w:type="dxa"/>
              <w:left w:w="15" w:type="dxa"/>
              <w:bottom w:w="0" w:type="dxa"/>
              <w:right w:w="15" w:type="dxa"/>
            </w:tcMar>
          </w:tcPr>
          <w:p w:rsidR="006F3D76" w:rsidRPr="007E5614" w:rsidRDefault="006F3D76" w:rsidP="00297380">
            <w:pPr>
              <w:spacing w:afterLines="60" w:after="144" w:line="240" w:lineRule="auto"/>
              <w:rPr>
                <w:color w:val="000000"/>
              </w:rPr>
            </w:pPr>
            <w:r w:rsidRPr="007E5614">
              <w:rPr>
                <w:color w:val="000000"/>
              </w:rPr>
              <w:t>CSCS</w:t>
            </w:r>
          </w:p>
        </w:tc>
        <w:tc>
          <w:tcPr>
            <w:tcW w:w="3402" w:type="dxa"/>
            <w:tcBorders>
              <w:top w:val="nil"/>
              <w:left w:val="nil"/>
              <w:bottom w:val="nil"/>
              <w:right w:val="nil"/>
            </w:tcBorders>
            <w:shd w:val="clear" w:color="auto" w:fill="auto"/>
            <w:noWrap/>
            <w:tcMar>
              <w:top w:w="15" w:type="dxa"/>
              <w:left w:w="15" w:type="dxa"/>
              <w:bottom w:w="0" w:type="dxa"/>
              <w:right w:w="15" w:type="dxa"/>
            </w:tcMar>
          </w:tcPr>
          <w:p w:rsidR="006F3D76" w:rsidRPr="007E5614" w:rsidRDefault="006F3D76" w:rsidP="00297380">
            <w:pPr>
              <w:spacing w:afterLines="60" w:after="144" w:line="240" w:lineRule="auto"/>
              <w:rPr>
                <w:color w:val="000000"/>
              </w:rPr>
            </w:pPr>
            <w:r w:rsidRPr="007E5614">
              <w:rPr>
                <w:color w:val="000000"/>
              </w:rPr>
              <w:t>Cancer Screening and Control Services</w:t>
            </w:r>
          </w:p>
        </w:tc>
      </w:tr>
      <w:tr w:rsidR="006F3D76" w:rsidRPr="007E5614" w:rsidTr="006F3D76">
        <w:trPr>
          <w:trHeight w:val="300"/>
        </w:trPr>
        <w:tc>
          <w:tcPr>
            <w:tcW w:w="1134" w:type="dxa"/>
            <w:tcBorders>
              <w:top w:val="nil"/>
              <w:left w:val="nil"/>
              <w:bottom w:val="nil"/>
              <w:right w:val="nil"/>
            </w:tcBorders>
            <w:shd w:val="clear" w:color="auto" w:fill="auto"/>
            <w:noWrap/>
            <w:tcMar>
              <w:top w:w="15" w:type="dxa"/>
              <w:left w:w="15" w:type="dxa"/>
              <w:bottom w:w="0" w:type="dxa"/>
              <w:right w:w="15" w:type="dxa"/>
            </w:tcMar>
          </w:tcPr>
          <w:p w:rsidR="006F3D76" w:rsidRPr="007E5614" w:rsidRDefault="006F3D76" w:rsidP="00297380">
            <w:pPr>
              <w:spacing w:afterLines="60" w:after="144" w:line="240" w:lineRule="auto"/>
              <w:rPr>
                <w:color w:val="000000"/>
              </w:rPr>
            </w:pPr>
            <w:r w:rsidRPr="007E5614">
              <w:rPr>
                <w:color w:val="000000"/>
              </w:rPr>
              <w:t>CYS</w:t>
            </w:r>
          </w:p>
        </w:tc>
        <w:tc>
          <w:tcPr>
            <w:tcW w:w="3402" w:type="dxa"/>
            <w:tcBorders>
              <w:top w:val="nil"/>
              <w:left w:val="nil"/>
              <w:bottom w:val="nil"/>
              <w:right w:val="nil"/>
            </w:tcBorders>
            <w:shd w:val="clear" w:color="auto" w:fill="auto"/>
            <w:noWrap/>
            <w:tcMar>
              <w:top w:w="15" w:type="dxa"/>
              <w:left w:w="15" w:type="dxa"/>
              <w:bottom w:w="0" w:type="dxa"/>
              <w:right w:w="15" w:type="dxa"/>
            </w:tcMar>
          </w:tcPr>
          <w:p w:rsidR="006F3D76" w:rsidRPr="007E5614" w:rsidRDefault="006F3D76" w:rsidP="00297380">
            <w:pPr>
              <w:spacing w:afterLines="60" w:after="144" w:line="240" w:lineRule="auto"/>
              <w:rPr>
                <w:color w:val="000000"/>
              </w:rPr>
            </w:pPr>
            <w:r w:rsidRPr="007E5614">
              <w:rPr>
                <w:color w:val="000000"/>
              </w:rPr>
              <w:t>Children and Youth Services</w:t>
            </w:r>
          </w:p>
        </w:tc>
      </w:tr>
      <w:tr w:rsidR="006F3D76" w:rsidRPr="007E5614" w:rsidTr="006F3D76">
        <w:trPr>
          <w:trHeight w:val="300"/>
        </w:trPr>
        <w:tc>
          <w:tcPr>
            <w:tcW w:w="1134" w:type="dxa"/>
            <w:tcBorders>
              <w:top w:val="nil"/>
              <w:left w:val="nil"/>
              <w:bottom w:val="nil"/>
              <w:right w:val="nil"/>
            </w:tcBorders>
            <w:shd w:val="clear" w:color="auto" w:fill="auto"/>
            <w:noWrap/>
            <w:tcMar>
              <w:top w:w="15" w:type="dxa"/>
              <w:left w:w="15" w:type="dxa"/>
              <w:bottom w:w="0" w:type="dxa"/>
              <w:right w:w="15" w:type="dxa"/>
            </w:tcMar>
            <w:hideMark/>
          </w:tcPr>
          <w:p w:rsidR="006F3D76" w:rsidRPr="007E5614" w:rsidRDefault="006F3D76" w:rsidP="00297380">
            <w:pPr>
              <w:spacing w:afterLines="60" w:after="144" w:line="240" w:lineRule="auto"/>
              <w:rPr>
                <w:color w:val="000000"/>
              </w:rPr>
            </w:pPr>
            <w:r w:rsidRPr="007E5614">
              <w:rPr>
                <w:color w:val="000000"/>
              </w:rPr>
              <w:t>DCS</w:t>
            </w:r>
          </w:p>
        </w:tc>
        <w:tc>
          <w:tcPr>
            <w:tcW w:w="3402" w:type="dxa"/>
            <w:tcBorders>
              <w:top w:val="nil"/>
              <w:left w:val="nil"/>
              <w:bottom w:val="nil"/>
              <w:right w:val="nil"/>
            </w:tcBorders>
            <w:shd w:val="clear" w:color="auto" w:fill="auto"/>
            <w:noWrap/>
            <w:tcMar>
              <w:top w:w="15" w:type="dxa"/>
              <w:left w:w="15" w:type="dxa"/>
              <w:bottom w:w="0" w:type="dxa"/>
              <w:right w:w="15" w:type="dxa"/>
            </w:tcMar>
            <w:hideMark/>
          </w:tcPr>
          <w:p w:rsidR="006F3D76" w:rsidRPr="007E5614" w:rsidRDefault="006F3D76" w:rsidP="00297380">
            <w:pPr>
              <w:spacing w:afterLines="60" w:after="144" w:line="240" w:lineRule="auto"/>
              <w:rPr>
                <w:color w:val="000000"/>
              </w:rPr>
            </w:pPr>
            <w:r w:rsidRPr="007E5614">
              <w:rPr>
                <w:color w:val="000000"/>
              </w:rPr>
              <w:t xml:space="preserve">Disability and Community Services </w:t>
            </w:r>
          </w:p>
        </w:tc>
      </w:tr>
      <w:tr w:rsidR="006F3D76" w:rsidRPr="007E5614" w:rsidTr="006F3D76">
        <w:trPr>
          <w:trHeight w:val="300"/>
        </w:trPr>
        <w:tc>
          <w:tcPr>
            <w:tcW w:w="1134" w:type="dxa"/>
            <w:tcBorders>
              <w:top w:val="nil"/>
              <w:left w:val="nil"/>
              <w:bottom w:val="nil"/>
              <w:right w:val="nil"/>
            </w:tcBorders>
            <w:shd w:val="clear" w:color="auto" w:fill="auto"/>
            <w:noWrap/>
            <w:tcMar>
              <w:top w:w="15" w:type="dxa"/>
              <w:left w:w="15" w:type="dxa"/>
              <w:bottom w:w="0" w:type="dxa"/>
              <w:right w:w="15" w:type="dxa"/>
            </w:tcMar>
            <w:hideMark/>
          </w:tcPr>
          <w:p w:rsidR="006F3D76" w:rsidRPr="007E5614" w:rsidRDefault="006F3D76" w:rsidP="00297380">
            <w:pPr>
              <w:spacing w:afterLines="60" w:after="144" w:line="240" w:lineRule="auto"/>
              <w:rPr>
                <w:color w:val="000000"/>
              </w:rPr>
            </w:pPr>
            <w:r w:rsidRPr="007E5614">
              <w:rPr>
                <w:color w:val="000000"/>
              </w:rPr>
              <w:t>DAP</w:t>
            </w:r>
          </w:p>
        </w:tc>
        <w:tc>
          <w:tcPr>
            <w:tcW w:w="3402" w:type="dxa"/>
            <w:tcBorders>
              <w:top w:val="nil"/>
              <w:left w:val="nil"/>
              <w:bottom w:val="nil"/>
              <w:right w:val="nil"/>
            </w:tcBorders>
            <w:shd w:val="clear" w:color="auto" w:fill="auto"/>
            <w:noWrap/>
            <w:tcMar>
              <w:top w:w="15" w:type="dxa"/>
              <w:left w:w="15" w:type="dxa"/>
              <w:bottom w:w="0" w:type="dxa"/>
              <w:right w:w="15" w:type="dxa"/>
            </w:tcMar>
            <w:hideMark/>
          </w:tcPr>
          <w:p w:rsidR="006F3D76" w:rsidRPr="007E5614" w:rsidRDefault="006F3D76" w:rsidP="00297380">
            <w:pPr>
              <w:spacing w:afterLines="60" w:after="144" w:line="240" w:lineRule="auto"/>
              <w:rPr>
                <w:color w:val="000000"/>
              </w:rPr>
            </w:pPr>
            <w:r w:rsidRPr="007E5614">
              <w:rPr>
                <w:color w:val="000000"/>
              </w:rPr>
              <w:t>Disability Action Plan</w:t>
            </w:r>
          </w:p>
        </w:tc>
      </w:tr>
      <w:tr w:rsidR="006F3D76" w:rsidRPr="007E5614" w:rsidTr="006F3D76">
        <w:trPr>
          <w:trHeight w:val="300"/>
        </w:trPr>
        <w:tc>
          <w:tcPr>
            <w:tcW w:w="1134" w:type="dxa"/>
            <w:tcBorders>
              <w:top w:val="nil"/>
              <w:left w:val="nil"/>
              <w:bottom w:val="nil"/>
              <w:right w:val="nil"/>
            </w:tcBorders>
            <w:shd w:val="clear" w:color="auto" w:fill="auto"/>
            <w:noWrap/>
            <w:tcMar>
              <w:top w:w="15" w:type="dxa"/>
              <w:left w:w="15" w:type="dxa"/>
              <w:bottom w:w="0" w:type="dxa"/>
              <w:right w:w="15" w:type="dxa"/>
            </w:tcMar>
            <w:hideMark/>
          </w:tcPr>
          <w:p w:rsidR="006F3D76" w:rsidRPr="007E5614" w:rsidRDefault="006F3D76" w:rsidP="00297380">
            <w:pPr>
              <w:spacing w:afterLines="60" w:after="144" w:line="240" w:lineRule="auto"/>
              <w:rPr>
                <w:color w:val="000000"/>
              </w:rPr>
            </w:pPr>
            <w:r w:rsidRPr="007E5614">
              <w:rPr>
                <w:color w:val="000000"/>
              </w:rPr>
              <w:t>DHHS</w:t>
            </w:r>
          </w:p>
        </w:tc>
        <w:tc>
          <w:tcPr>
            <w:tcW w:w="3402" w:type="dxa"/>
            <w:tcBorders>
              <w:top w:val="nil"/>
              <w:left w:val="nil"/>
              <w:bottom w:val="nil"/>
              <w:right w:val="nil"/>
            </w:tcBorders>
            <w:shd w:val="clear" w:color="auto" w:fill="auto"/>
            <w:noWrap/>
            <w:tcMar>
              <w:top w:w="15" w:type="dxa"/>
              <w:left w:w="15" w:type="dxa"/>
              <w:bottom w:w="0" w:type="dxa"/>
              <w:right w:w="15" w:type="dxa"/>
            </w:tcMar>
            <w:hideMark/>
          </w:tcPr>
          <w:p w:rsidR="006F3D76" w:rsidRPr="007E5614" w:rsidRDefault="006F3D76" w:rsidP="00297380">
            <w:pPr>
              <w:spacing w:afterLines="60" w:after="144" w:line="240" w:lineRule="auto"/>
              <w:rPr>
                <w:color w:val="000000"/>
              </w:rPr>
            </w:pPr>
            <w:r w:rsidRPr="007E5614">
              <w:rPr>
                <w:color w:val="000000"/>
              </w:rPr>
              <w:t>Department of Health and Human Services</w:t>
            </w:r>
          </w:p>
        </w:tc>
      </w:tr>
      <w:tr w:rsidR="006F3D76" w:rsidRPr="007E5614" w:rsidTr="006F3D76">
        <w:trPr>
          <w:trHeight w:val="300"/>
        </w:trPr>
        <w:tc>
          <w:tcPr>
            <w:tcW w:w="1134" w:type="dxa"/>
            <w:tcBorders>
              <w:top w:val="nil"/>
              <w:left w:val="nil"/>
              <w:bottom w:val="nil"/>
              <w:right w:val="nil"/>
            </w:tcBorders>
            <w:shd w:val="clear" w:color="auto" w:fill="auto"/>
            <w:noWrap/>
            <w:tcMar>
              <w:top w:w="15" w:type="dxa"/>
              <w:left w:w="15" w:type="dxa"/>
              <w:bottom w:w="0" w:type="dxa"/>
              <w:right w:w="15" w:type="dxa"/>
            </w:tcMar>
            <w:hideMark/>
          </w:tcPr>
          <w:p w:rsidR="006F3D76" w:rsidRPr="007E5614" w:rsidRDefault="006F3D76" w:rsidP="00297380">
            <w:pPr>
              <w:spacing w:afterLines="60" w:after="144" w:line="240" w:lineRule="auto"/>
              <w:rPr>
                <w:color w:val="000000"/>
              </w:rPr>
            </w:pPr>
            <w:r w:rsidRPr="007E5614">
              <w:rPr>
                <w:color w:val="000000"/>
              </w:rPr>
              <w:t>ECP</w:t>
            </w:r>
          </w:p>
        </w:tc>
        <w:tc>
          <w:tcPr>
            <w:tcW w:w="3402" w:type="dxa"/>
            <w:tcBorders>
              <w:top w:val="nil"/>
              <w:left w:val="nil"/>
              <w:bottom w:val="nil"/>
              <w:right w:val="nil"/>
            </w:tcBorders>
            <w:shd w:val="clear" w:color="auto" w:fill="auto"/>
            <w:noWrap/>
            <w:tcMar>
              <w:top w:w="15" w:type="dxa"/>
              <w:left w:w="15" w:type="dxa"/>
              <w:bottom w:w="0" w:type="dxa"/>
              <w:right w:w="15" w:type="dxa"/>
            </w:tcMar>
            <w:hideMark/>
          </w:tcPr>
          <w:p w:rsidR="006F3D76" w:rsidRPr="007E5614" w:rsidRDefault="006F3D76" w:rsidP="00297380">
            <w:pPr>
              <w:spacing w:afterLines="60" w:after="144" w:line="240" w:lineRule="auto"/>
              <w:rPr>
                <w:color w:val="000000"/>
              </w:rPr>
            </w:pPr>
            <w:r w:rsidRPr="007E5614">
              <w:rPr>
                <w:color w:val="000000"/>
              </w:rPr>
              <w:t>Extended Care Paramedic</w:t>
            </w:r>
          </w:p>
        </w:tc>
      </w:tr>
      <w:tr w:rsidR="006F3D76" w:rsidRPr="007E5614" w:rsidTr="006F3D76">
        <w:trPr>
          <w:trHeight w:val="300"/>
        </w:trPr>
        <w:tc>
          <w:tcPr>
            <w:tcW w:w="1134" w:type="dxa"/>
            <w:tcBorders>
              <w:top w:val="nil"/>
              <w:left w:val="nil"/>
              <w:bottom w:val="nil"/>
              <w:right w:val="nil"/>
            </w:tcBorders>
            <w:shd w:val="clear" w:color="auto" w:fill="auto"/>
            <w:noWrap/>
            <w:tcMar>
              <w:top w:w="15" w:type="dxa"/>
              <w:left w:w="15" w:type="dxa"/>
              <w:bottom w:w="0" w:type="dxa"/>
              <w:right w:w="15" w:type="dxa"/>
            </w:tcMar>
            <w:hideMark/>
          </w:tcPr>
          <w:p w:rsidR="006F3D76" w:rsidRPr="007E5614" w:rsidRDefault="006F3D76" w:rsidP="00297380">
            <w:pPr>
              <w:spacing w:afterLines="60" w:after="144" w:line="240" w:lineRule="auto"/>
              <w:rPr>
                <w:color w:val="000000"/>
              </w:rPr>
            </w:pPr>
            <w:r w:rsidRPr="007E5614">
              <w:rPr>
                <w:color w:val="000000"/>
              </w:rPr>
              <w:t>FRP</w:t>
            </w:r>
          </w:p>
        </w:tc>
        <w:tc>
          <w:tcPr>
            <w:tcW w:w="3402" w:type="dxa"/>
            <w:tcBorders>
              <w:top w:val="nil"/>
              <w:left w:val="nil"/>
              <w:bottom w:val="nil"/>
              <w:right w:val="nil"/>
            </w:tcBorders>
            <w:shd w:val="clear" w:color="auto" w:fill="auto"/>
            <w:noWrap/>
            <w:tcMar>
              <w:top w:w="15" w:type="dxa"/>
              <w:left w:w="15" w:type="dxa"/>
              <w:bottom w:w="0" w:type="dxa"/>
              <w:right w:w="15" w:type="dxa"/>
            </w:tcMar>
            <w:hideMark/>
          </w:tcPr>
          <w:p w:rsidR="006F3D76" w:rsidRPr="007E5614" w:rsidRDefault="006F3D76" w:rsidP="00297380">
            <w:pPr>
              <w:spacing w:afterLines="60" w:after="144" w:line="240" w:lineRule="auto"/>
              <w:rPr>
                <w:color w:val="000000"/>
              </w:rPr>
            </w:pPr>
            <w:r w:rsidRPr="007E5614">
              <w:rPr>
                <w:color w:val="000000"/>
              </w:rPr>
              <w:t>Financial Recovery Plan</w:t>
            </w:r>
          </w:p>
        </w:tc>
      </w:tr>
      <w:tr w:rsidR="006F3D76" w:rsidRPr="007E5614" w:rsidTr="006F3D76">
        <w:trPr>
          <w:trHeight w:val="300"/>
        </w:trPr>
        <w:tc>
          <w:tcPr>
            <w:tcW w:w="1134" w:type="dxa"/>
            <w:tcBorders>
              <w:top w:val="nil"/>
              <w:left w:val="nil"/>
              <w:bottom w:val="nil"/>
              <w:right w:val="nil"/>
            </w:tcBorders>
            <w:shd w:val="clear" w:color="auto" w:fill="auto"/>
            <w:noWrap/>
            <w:tcMar>
              <w:top w:w="15" w:type="dxa"/>
              <w:left w:w="15" w:type="dxa"/>
              <w:bottom w:w="0" w:type="dxa"/>
              <w:right w:w="15" w:type="dxa"/>
            </w:tcMar>
            <w:hideMark/>
          </w:tcPr>
          <w:p w:rsidR="006F3D76" w:rsidRPr="007E5614" w:rsidRDefault="006F3D76" w:rsidP="00297380">
            <w:pPr>
              <w:spacing w:afterLines="60" w:after="144" w:line="240" w:lineRule="auto"/>
              <w:rPr>
                <w:color w:val="000000"/>
              </w:rPr>
            </w:pPr>
            <w:r w:rsidRPr="007E5614">
              <w:rPr>
                <w:color w:val="000000"/>
              </w:rPr>
              <w:t>FRT</w:t>
            </w:r>
          </w:p>
        </w:tc>
        <w:tc>
          <w:tcPr>
            <w:tcW w:w="3402" w:type="dxa"/>
            <w:tcBorders>
              <w:top w:val="nil"/>
              <w:left w:val="nil"/>
              <w:bottom w:val="nil"/>
              <w:right w:val="nil"/>
            </w:tcBorders>
            <w:shd w:val="clear" w:color="auto" w:fill="auto"/>
            <w:noWrap/>
            <w:tcMar>
              <w:top w:w="15" w:type="dxa"/>
              <w:left w:w="15" w:type="dxa"/>
              <w:bottom w:w="0" w:type="dxa"/>
              <w:right w:w="15" w:type="dxa"/>
            </w:tcMar>
            <w:hideMark/>
          </w:tcPr>
          <w:p w:rsidR="006F3D76" w:rsidRPr="007E5614" w:rsidRDefault="006F3D76" w:rsidP="00297380">
            <w:pPr>
              <w:spacing w:afterLines="60" w:after="144" w:line="240" w:lineRule="auto"/>
              <w:rPr>
                <w:color w:val="000000"/>
              </w:rPr>
            </w:pPr>
            <w:r w:rsidRPr="007E5614">
              <w:rPr>
                <w:color w:val="000000"/>
              </w:rPr>
              <w:t>Financial Recovery Team</w:t>
            </w:r>
          </w:p>
        </w:tc>
      </w:tr>
      <w:tr w:rsidR="006F3D76" w:rsidRPr="007E5614" w:rsidTr="006F3D76">
        <w:trPr>
          <w:trHeight w:val="300"/>
        </w:trPr>
        <w:tc>
          <w:tcPr>
            <w:tcW w:w="1134" w:type="dxa"/>
            <w:tcBorders>
              <w:top w:val="nil"/>
              <w:left w:val="nil"/>
              <w:bottom w:val="nil"/>
              <w:right w:val="nil"/>
            </w:tcBorders>
            <w:shd w:val="clear" w:color="auto" w:fill="auto"/>
            <w:noWrap/>
            <w:tcMar>
              <w:top w:w="15" w:type="dxa"/>
              <w:left w:w="15" w:type="dxa"/>
              <w:bottom w:w="0" w:type="dxa"/>
              <w:right w:w="15" w:type="dxa"/>
            </w:tcMar>
            <w:hideMark/>
          </w:tcPr>
          <w:p w:rsidR="006F3D76" w:rsidRPr="007E5614" w:rsidRDefault="006F3D76" w:rsidP="00297380">
            <w:pPr>
              <w:spacing w:afterLines="60" w:after="144" w:line="240" w:lineRule="auto"/>
              <w:rPr>
                <w:color w:val="000000"/>
              </w:rPr>
            </w:pPr>
            <w:r w:rsidRPr="007E5614">
              <w:rPr>
                <w:color w:val="000000"/>
              </w:rPr>
              <w:t>FTE</w:t>
            </w:r>
          </w:p>
        </w:tc>
        <w:tc>
          <w:tcPr>
            <w:tcW w:w="3402" w:type="dxa"/>
            <w:tcBorders>
              <w:top w:val="nil"/>
              <w:left w:val="nil"/>
              <w:bottom w:val="nil"/>
              <w:right w:val="nil"/>
            </w:tcBorders>
            <w:shd w:val="clear" w:color="auto" w:fill="auto"/>
            <w:noWrap/>
            <w:tcMar>
              <w:top w:w="15" w:type="dxa"/>
              <w:left w:w="15" w:type="dxa"/>
              <w:bottom w:w="0" w:type="dxa"/>
              <w:right w:w="15" w:type="dxa"/>
            </w:tcMar>
            <w:hideMark/>
          </w:tcPr>
          <w:p w:rsidR="006F3D76" w:rsidRPr="007E5614" w:rsidRDefault="006F3D76" w:rsidP="00297380">
            <w:pPr>
              <w:spacing w:afterLines="60" w:after="144" w:line="240" w:lineRule="auto"/>
              <w:rPr>
                <w:color w:val="000000"/>
              </w:rPr>
            </w:pPr>
            <w:r w:rsidRPr="007E5614">
              <w:rPr>
                <w:color w:val="000000"/>
              </w:rPr>
              <w:t xml:space="preserve">Full Time Equivalent </w:t>
            </w:r>
          </w:p>
        </w:tc>
      </w:tr>
      <w:tr w:rsidR="006F3D76" w:rsidRPr="007E5614" w:rsidTr="006F3D76">
        <w:trPr>
          <w:trHeight w:val="300"/>
        </w:trPr>
        <w:tc>
          <w:tcPr>
            <w:tcW w:w="1134" w:type="dxa"/>
            <w:tcBorders>
              <w:top w:val="nil"/>
              <w:left w:val="nil"/>
              <w:bottom w:val="nil"/>
              <w:right w:val="nil"/>
            </w:tcBorders>
            <w:shd w:val="clear" w:color="auto" w:fill="auto"/>
            <w:noWrap/>
            <w:tcMar>
              <w:top w:w="15" w:type="dxa"/>
              <w:left w:w="15" w:type="dxa"/>
              <w:bottom w:w="0" w:type="dxa"/>
              <w:right w:w="15" w:type="dxa"/>
            </w:tcMar>
            <w:hideMark/>
          </w:tcPr>
          <w:p w:rsidR="006F3D76" w:rsidRPr="007E5614" w:rsidRDefault="006F3D76" w:rsidP="00297380">
            <w:pPr>
              <w:spacing w:afterLines="60" w:after="144" w:line="240" w:lineRule="auto"/>
              <w:rPr>
                <w:color w:val="000000"/>
              </w:rPr>
            </w:pPr>
            <w:r w:rsidRPr="007E5614">
              <w:rPr>
                <w:color w:val="000000"/>
              </w:rPr>
              <w:t>HAPS</w:t>
            </w:r>
          </w:p>
        </w:tc>
        <w:tc>
          <w:tcPr>
            <w:tcW w:w="3402" w:type="dxa"/>
            <w:tcBorders>
              <w:top w:val="nil"/>
              <w:left w:val="nil"/>
              <w:bottom w:val="nil"/>
              <w:right w:val="nil"/>
            </w:tcBorders>
            <w:shd w:val="clear" w:color="auto" w:fill="auto"/>
            <w:noWrap/>
            <w:tcMar>
              <w:top w:w="15" w:type="dxa"/>
              <w:left w:w="15" w:type="dxa"/>
              <w:bottom w:w="0" w:type="dxa"/>
              <w:right w:w="15" w:type="dxa"/>
            </w:tcMar>
            <w:hideMark/>
          </w:tcPr>
          <w:p w:rsidR="006F3D76" w:rsidRPr="007E5614" w:rsidRDefault="006F3D76" w:rsidP="00297380">
            <w:pPr>
              <w:spacing w:afterLines="60" w:after="144" w:line="240" w:lineRule="auto"/>
              <w:rPr>
                <w:color w:val="000000"/>
              </w:rPr>
            </w:pPr>
            <w:r w:rsidRPr="007E5614">
              <w:rPr>
                <w:color w:val="000000"/>
              </w:rPr>
              <w:t>Housing Assessment Prioritisation System</w:t>
            </w:r>
          </w:p>
        </w:tc>
      </w:tr>
      <w:tr w:rsidR="006F3D76" w:rsidRPr="007E5614" w:rsidTr="006F3D76">
        <w:trPr>
          <w:trHeight w:val="300"/>
        </w:trPr>
        <w:tc>
          <w:tcPr>
            <w:tcW w:w="1134" w:type="dxa"/>
            <w:tcBorders>
              <w:top w:val="nil"/>
              <w:left w:val="nil"/>
              <w:bottom w:val="nil"/>
              <w:right w:val="nil"/>
            </w:tcBorders>
            <w:shd w:val="clear" w:color="auto" w:fill="auto"/>
            <w:noWrap/>
            <w:tcMar>
              <w:top w:w="15" w:type="dxa"/>
              <w:left w:w="15" w:type="dxa"/>
              <w:bottom w:w="0" w:type="dxa"/>
              <w:right w:w="15" w:type="dxa"/>
            </w:tcMar>
            <w:hideMark/>
          </w:tcPr>
          <w:p w:rsidR="006F3D76" w:rsidRPr="007E5614" w:rsidRDefault="006F3D76" w:rsidP="00297380">
            <w:pPr>
              <w:spacing w:afterLines="60" w:after="144" w:line="240" w:lineRule="auto"/>
              <w:rPr>
                <w:color w:val="000000"/>
              </w:rPr>
            </w:pPr>
            <w:r w:rsidRPr="007E5614">
              <w:rPr>
                <w:color w:val="000000"/>
              </w:rPr>
              <w:t>HDCS</w:t>
            </w:r>
          </w:p>
        </w:tc>
        <w:tc>
          <w:tcPr>
            <w:tcW w:w="3402" w:type="dxa"/>
            <w:tcBorders>
              <w:top w:val="nil"/>
              <w:left w:val="nil"/>
              <w:bottom w:val="nil"/>
              <w:right w:val="nil"/>
            </w:tcBorders>
            <w:shd w:val="clear" w:color="auto" w:fill="auto"/>
            <w:noWrap/>
            <w:tcMar>
              <w:top w:w="15" w:type="dxa"/>
              <w:left w:w="15" w:type="dxa"/>
              <w:bottom w:w="0" w:type="dxa"/>
              <w:right w:w="15" w:type="dxa"/>
            </w:tcMar>
            <w:hideMark/>
          </w:tcPr>
          <w:p w:rsidR="006F3D76" w:rsidRPr="007E5614" w:rsidRDefault="006F3D76" w:rsidP="00297380">
            <w:pPr>
              <w:spacing w:afterLines="60" w:after="144" w:line="240" w:lineRule="auto"/>
              <w:rPr>
                <w:color w:val="000000"/>
              </w:rPr>
            </w:pPr>
            <w:r w:rsidRPr="007E5614">
              <w:rPr>
                <w:color w:val="000000"/>
              </w:rPr>
              <w:t>Housing, Disability and Community Services</w:t>
            </w:r>
          </w:p>
        </w:tc>
      </w:tr>
      <w:tr w:rsidR="006F3D76" w:rsidRPr="007E5614" w:rsidTr="006F3D76">
        <w:trPr>
          <w:trHeight w:val="300"/>
        </w:trPr>
        <w:tc>
          <w:tcPr>
            <w:tcW w:w="1134" w:type="dxa"/>
            <w:tcBorders>
              <w:top w:val="nil"/>
              <w:left w:val="nil"/>
              <w:bottom w:val="nil"/>
              <w:right w:val="nil"/>
            </w:tcBorders>
            <w:shd w:val="clear" w:color="auto" w:fill="auto"/>
            <w:noWrap/>
            <w:tcMar>
              <w:top w:w="15" w:type="dxa"/>
              <w:left w:w="15" w:type="dxa"/>
              <w:bottom w:w="0" w:type="dxa"/>
              <w:right w:w="15" w:type="dxa"/>
            </w:tcMar>
            <w:hideMark/>
          </w:tcPr>
          <w:p w:rsidR="006F3D76" w:rsidRPr="007E5614" w:rsidRDefault="006F3D76" w:rsidP="00297380">
            <w:pPr>
              <w:spacing w:afterLines="60" w:after="144" w:line="240" w:lineRule="auto"/>
              <w:rPr>
                <w:color w:val="000000"/>
              </w:rPr>
            </w:pPr>
            <w:r w:rsidRPr="007E5614">
              <w:rPr>
                <w:color w:val="000000"/>
              </w:rPr>
              <w:t>KPI</w:t>
            </w:r>
          </w:p>
        </w:tc>
        <w:tc>
          <w:tcPr>
            <w:tcW w:w="3402" w:type="dxa"/>
            <w:tcBorders>
              <w:top w:val="nil"/>
              <w:left w:val="nil"/>
              <w:bottom w:val="nil"/>
              <w:right w:val="nil"/>
            </w:tcBorders>
            <w:shd w:val="clear" w:color="auto" w:fill="auto"/>
            <w:noWrap/>
            <w:tcMar>
              <w:top w:w="15" w:type="dxa"/>
              <w:left w:w="15" w:type="dxa"/>
              <w:bottom w:w="0" w:type="dxa"/>
              <w:right w:w="15" w:type="dxa"/>
            </w:tcMar>
            <w:hideMark/>
          </w:tcPr>
          <w:p w:rsidR="006F3D76" w:rsidRPr="007E5614" w:rsidRDefault="006F3D76" w:rsidP="00297380">
            <w:pPr>
              <w:spacing w:afterLines="60" w:after="144" w:line="240" w:lineRule="auto"/>
              <w:rPr>
                <w:color w:val="000000"/>
              </w:rPr>
            </w:pPr>
            <w:r w:rsidRPr="007E5614">
              <w:rPr>
                <w:color w:val="000000"/>
              </w:rPr>
              <w:t>Key Performance Indicator</w:t>
            </w:r>
          </w:p>
        </w:tc>
      </w:tr>
      <w:tr w:rsidR="006F3D76" w:rsidRPr="007E5614" w:rsidTr="006F3D76">
        <w:trPr>
          <w:trHeight w:val="300"/>
        </w:trPr>
        <w:tc>
          <w:tcPr>
            <w:tcW w:w="1134" w:type="dxa"/>
            <w:tcBorders>
              <w:top w:val="nil"/>
              <w:left w:val="nil"/>
              <w:bottom w:val="nil"/>
              <w:right w:val="nil"/>
            </w:tcBorders>
            <w:shd w:val="clear" w:color="auto" w:fill="auto"/>
            <w:noWrap/>
            <w:tcMar>
              <w:top w:w="15" w:type="dxa"/>
              <w:left w:w="15" w:type="dxa"/>
              <w:bottom w:w="0" w:type="dxa"/>
              <w:right w:w="15" w:type="dxa"/>
            </w:tcMar>
            <w:hideMark/>
          </w:tcPr>
          <w:p w:rsidR="006F3D76" w:rsidRPr="007E5614" w:rsidRDefault="006F3D76" w:rsidP="00297380">
            <w:pPr>
              <w:spacing w:afterLines="60" w:after="144" w:line="240" w:lineRule="auto"/>
              <w:rPr>
                <w:color w:val="000000"/>
              </w:rPr>
            </w:pPr>
            <w:r w:rsidRPr="007E5614">
              <w:rPr>
                <w:color w:val="000000"/>
              </w:rPr>
              <w:t>LGH</w:t>
            </w:r>
          </w:p>
        </w:tc>
        <w:tc>
          <w:tcPr>
            <w:tcW w:w="3402" w:type="dxa"/>
            <w:tcBorders>
              <w:top w:val="nil"/>
              <w:left w:val="nil"/>
              <w:bottom w:val="nil"/>
              <w:right w:val="nil"/>
            </w:tcBorders>
            <w:shd w:val="clear" w:color="auto" w:fill="auto"/>
            <w:noWrap/>
            <w:tcMar>
              <w:top w:w="15" w:type="dxa"/>
              <w:left w:w="15" w:type="dxa"/>
              <w:bottom w:w="0" w:type="dxa"/>
              <w:right w:w="15" w:type="dxa"/>
            </w:tcMar>
            <w:hideMark/>
          </w:tcPr>
          <w:p w:rsidR="006F3D76" w:rsidRPr="007E5614" w:rsidRDefault="006F3D76" w:rsidP="00297380">
            <w:pPr>
              <w:spacing w:afterLines="60" w:after="144" w:line="240" w:lineRule="auto"/>
              <w:rPr>
                <w:color w:val="000000"/>
              </w:rPr>
            </w:pPr>
            <w:r w:rsidRPr="007E5614">
              <w:rPr>
                <w:color w:val="000000"/>
              </w:rPr>
              <w:t>Launceston General Hospital</w:t>
            </w:r>
          </w:p>
        </w:tc>
      </w:tr>
      <w:tr w:rsidR="006F3D76" w:rsidRPr="007E5614" w:rsidTr="006F3D76">
        <w:trPr>
          <w:trHeight w:val="300"/>
        </w:trPr>
        <w:tc>
          <w:tcPr>
            <w:tcW w:w="1134" w:type="dxa"/>
            <w:tcBorders>
              <w:top w:val="nil"/>
              <w:left w:val="nil"/>
              <w:bottom w:val="nil"/>
              <w:right w:val="nil"/>
            </w:tcBorders>
            <w:shd w:val="clear" w:color="auto" w:fill="auto"/>
            <w:noWrap/>
            <w:tcMar>
              <w:top w:w="15" w:type="dxa"/>
              <w:left w:w="15" w:type="dxa"/>
              <w:bottom w:w="0" w:type="dxa"/>
              <w:right w:w="15" w:type="dxa"/>
            </w:tcMar>
            <w:hideMark/>
          </w:tcPr>
          <w:p w:rsidR="006F3D76" w:rsidRPr="007E5614" w:rsidRDefault="006F3D76" w:rsidP="00297380">
            <w:pPr>
              <w:spacing w:afterLines="60" w:after="144" w:line="240" w:lineRule="auto"/>
              <w:rPr>
                <w:color w:val="000000"/>
              </w:rPr>
            </w:pPr>
            <w:r w:rsidRPr="007E5614">
              <w:rPr>
                <w:color w:val="000000"/>
              </w:rPr>
              <w:t>NDIA</w:t>
            </w:r>
          </w:p>
        </w:tc>
        <w:tc>
          <w:tcPr>
            <w:tcW w:w="3402" w:type="dxa"/>
            <w:tcBorders>
              <w:top w:val="nil"/>
              <w:left w:val="nil"/>
              <w:bottom w:val="nil"/>
              <w:right w:val="nil"/>
            </w:tcBorders>
            <w:shd w:val="clear" w:color="auto" w:fill="auto"/>
            <w:noWrap/>
            <w:tcMar>
              <w:top w:w="15" w:type="dxa"/>
              <w:left w:w="15" w:type="dxa"/>
              <w:bottom w:w="0" w:type="dxa"/>
              <w:right w:w="15" w:type="dxa"/>
            </w:tcMar>
            <w:hideMark/>
          </w:tcPr>
          <w:p w:rsidR="006F3D76" w:rsidRPr="007E5614" w:rsidRDefault="006F3D76" w:rsidP="00297380">
            <w:pPr>
              <w:spacing w:afterLines="60" w:after="144" w:line="240" w:lineRule="auto"/>
              <w:rPr>
                <w:color w:val="000000"/>
              </w:rPr>
            </w:pPr>
            <w:r w:rsidRPr="007E5614">
              <w:rPr>
                <w:color w:val="000000"/>
              </w:rPr>
              <w:t>National Disability Insurance Agency</w:t>
            </w:r>
          </w:p>
        </w:tc>
      </w:tr>
      <w:tr w:rsidR="006F3D76" w:rsidRPr="007E5614" w:rsidTr="006F3D76">
        <w:trPr>
          <w:trHeight w:val="300"/>
        </w:trPr>
        <w:tc>
          <w:tcPr>
            <w:tcW w:w="1134" w:type="dxa"/>
            <w:tcBorders>
              <w:top w:val="nil"/>
              <w:left w:val="nil"/>
              <w:bottom w:val="nil"/>
              <w:right w:val="nil"/>
            </w:tcBorders>
            <w:shd w:val="clear" w:color="auto" w:fill="auto"/>
            <w:noWrap/>
            <w:tcMar>
              <w:top w:w="15" w:type="dxa"/>
              <w:left w:w="15" w:type="dxa"/>
              <w:bottom w:w="0" w:type="dxa"/>
              <w:right w:w="15" w:type="dxa"/>
            </w:tcMar>
            <w:hideMark/>
          </w:tcPr>
          <w:p w:rsidR="006F3D76" w:rsidRPr="007E5614" w:rsidRDefault="006F3D76" w:rsidP="00297380">
            <w:pPr>
              <w:spacing w:afterLines="60" w:after="144" w:line="240" w:lineRule="auto"/>
              <w:rPr>
                <w:color w:val="000000"/>
              </w:rPr>
            </w:pPr>
            <w:r w:rsidRPr="007E5614">
              <w:rPr>
                <w:color w:val="000000"/>
              </w:rPr>
              <w:t>NDIS</w:t>
            </w:r>
          </w:p>
        </w:tc>
        <w:tc>
          <w:tcPr>
            <w:tcW w:w="3402" w:type="dxa"/>
            <w:tcBorders>
              <w:top w:val="nil"/>
              <w:left w:val="nil"/>
              <w:bottom w:val="nil"/>
              <w:right w:val="nil"/>
            </w:tcBorders>
            <w:shd w:val="clear" w:color="auto" w:fill="auto"/>
            <w:noWrap/>
            <w:tcMar>
              <w:top w:w="15" w:type="dxa"/>
              <w:left w:w="15" w:type="dxa"/>
              <w:bottom w:w="0" w:type="dxa"/>
              <w:right w:w="15" w:type="dxa"/>
            </w:tcMar>
            <w:hideMark/>
          </w:tcPr>
          <w:p w:rsidR="006F3D76" w:rsidRPr="007E5614" w:rsidRDefault="006F3D76" w:rsidP="00297380">
            <w:pPr>
              <w:spacing w:afterLines="60" w:after="144" w:line="240" w:lineRule="auto"/>
              <w:rPr>
                <w:color w:val="000000"/>
              </w:rPr>
            </w:pPr>
            <w:r w:rsidRPr="007E5614">
              <w:rPr>
                <w:color w:val="000000"/>
              </w:rPr>
              <w:t>National Disability Insurance Scheme</w:t>
            </w:r>
          </w:p>
        </w:tc>
      </w:tr>
      <w:tr w:rsidR="006F3D76" w:rsidRPr="007E5614" w:rsidTr="006F3D76">
        <w:trPr>
          <w:trHeight w:val="300"/>
        </w:trPr>
        <w:tc>
          <w:tcPr>
            <w:tcW w:w="1134" w:type="dxa"/>
            <w:tcBorders>
              <w:top w:val="nil"/>
              <w:left w:val="nil"/>
              <w:bottom w:val="nil"/>
              <w:right w:val="nil"/>
            </w:tcBorders>
            <w:shd w:val="clear" w:color="auto" w:fill="auto"/>
            <w:noWrap/>
            <w:tcMar>
              <w:top w:w="15" w:type="dxa"/>
              <w:left w:w="15" w:type="dxa"/>
              <w:bottom w:w="0" w:type="dxa"/>
              <w:right w:w="15" w:type="dxa"/>
            </w:tcMar>
            <w:hideMark/>
          </w:tcPr>
          <w:p w:rsidR="006F3D76" w:rsidRPr="007E5614" w:rsidRDefault="006F3D76" w:rsidP="00297380">
            <w:pPr>
              <w:spacing w:afterLines="60" w:after="144" w:line="240" w:lineRule="auto"/>
              <w:rPr>
                <w:color w:val="000000"/>
              </w:rPr>
            </w:pPr>
            <w:r w:rsidRPr="007E5614">
              <w:rPr>
                <w:color w:val="000000"/>
              </w:rPr>
              <w:t>NWRH</w:t>
            </w:r>
          </w:p>
        </w:tc>
        <w:tc>
          <w:tcPr>
            <w:tcW w:w="3402" w:type="dxa"/>
            <w:tcBorders>
              <w:top w:val="nil"/>
              <w:left w:val="nil"/>
              <w:bottom w:val="nil"/>
              <w:right w:val="nil"/>
            </w:tcBorders>
            <w:shd w:val="clear" w:color="auto" w:fill="auto"/>
            <w:noWrap/>
            <w:tcMar>
              <w:top w:w="15" w:type="dxa"/>
              <w:left w:w="15" w:type="dxa"/>
              <w:bottom w:w="0" w:type="dxa"/>
              <w:right w:w="15" w:type="dxa"/>
            </w:tcMar>
            <w:hideMark/>
          </w:tcPr>
          <w:p w:rsidR="006F3D76" w:rsidRPr="007E5614" w:rsidRDefault="006F3D76" w:rsidP="00297380">
            <w:pPr>
              <w:spacing w:afterLines="60" w:after="144" w:line="240" w:lineRule="auto"/>
              <w:rPr>
                <w:color w:val="000000"/>
              </w:rPr>
            </w:pPr>
            <w:r w:rsidRPr="007E5614">
              <w:rPr>
                <w:color w:val="000000"/>
              </w:rPr>
              <w:t>North West Regional Hospital</w:t>
            </w:r>
          </w:p>
        </w:tc>
      </w:tr>
      <w:tr w:rsidR="006F3D76" w:rsidRPr="007E5614" w:rsidTr="006F3D76">
        <w:trPr>
          <w:trHeight w:val="285"/>
        </w:trPr>
        <w:tc>
          <w:tcPr>
            <w:tcW w:w="1134" w:type="dxa"/>
            <w:tcBorders>
              <w:top w:val="nil"/>
              <w:left w:val="nil"/>
              <w:bottom w:val="nil"/>
              <w:right w:val="nil"/>
            </w:tcBorders>
            <w:shd w:val="clear" w:color="auto" w:fill="auto"/>
            <w:noWrap/>
            <w:tcMar>
              <w:top w:w="15" w:type="dxa"/>
              <w:left w:w="15" w:type="dxa"/>
              <w:bottom w:w="0" w:type="dxa"/>
              <w:right w:w="15" w:type="dxa"/>
            </w:tcMar>
            <w:hideMark/>
          </w:tcPr>
          <w:p w:rsidR="006F3D76" w:rsidRPr="007E5614" w:rsidRDefault="006F3D76" w:rsidP="00297380">
            <w:pPr>
              <w:spacing w:afterLines="60" w:after="144" w:line="240" w:lineRule="auto"/>
              <w:rPr>
                <w:color w:val="000000"/>
              </w:rPr>
            </w:pPr>
            <w:r w:rsidRPr="007E5614">
              <w:rPr>
                <w:color w:val="000000"/>
              </w:rPr>
              <w:t>PHS</w:t>
            </w:r>
          </w:p>
        </w:tc>
        <w:tc>
          <w:tcPr>
            <w:tcW w:w="3402" w:type="dxa"/>
            <w:tcBorders>
              <w:top w:val="nil"/>
              <w:left w:val="nil"/>
              <w:bottom w:val="nil"/>
              <w:right w:val="nil"/>
            </w:tcBorders>
            <w:shd w:val="clear" w:color="auto" w:fill="auto"/>
            <w:noWrap/>
            <w:tcMar>
              <w:top w:w="15" w:type="dxa"/>
              <w:left w:w="15" w:type="dxa"/>
              <w:bottom w:w="0" w:type="dxa"/>
              <w:right w:w="15" w:type="dxa"/>
            </w:tcMar>
            <w:hideMark/>
          </w:tcPr>
          <w:p w:rsidR="006F3D76" w:rsidRPr="007E5614" w:rsidRDefault="006F3D76" w:rsidP="00297380">
            <w:pPr>
              <w:spacing w:afterLines="60" w:after="144" w:line="240" w:lineRule="auto"/>
              <w:rPr>
                <w:color w:val="000000"/>
              </w:rPr>
            </w:pPr>
            <w:r w:rsidRPr="007E5614">
              <w:rPr>
                <w:color w:val="000000"/>
              </w:rPr>
              <w:t>Public Health Services</w:t>
            </w:r>
          </w:p>
        </w:tc>
      </w:tr>
      <w:tr w:rsidR="006F3D76" w:rsidRPr="007E5614" w:rsidTr="006F3D76">
        <w:trPr>
          <w:trHeight w:val="285"/>
        </w:trPr>
        <w:tc>
          <w:tcPr>
            <w:tcW w:w="1134" w:type="dxa"/>
            <w:tcBorders>
              <w:top w:val="nil"/>
              <w:left w:val="nil"/>
              <w:bottom w:val="nil"/>
              <w:right w:val="nil"/>
            </w:tcBorders>
            <w:shd w:val="clear" w:color="auto" w:fill="auto"/>
            <w:noWrap/>
            <w:tcMar>
              <w:top w:w="15" w:type="dxa"/>
              <w:left w:w="15" w:type="dxa"/>
              <w:bottom w:w="0" w:type="dxa"/>
              <w:right w:w="15" w:type="dxa"/>
            </w:tcMar>
            <w:hideMark/>
          </w:tcPr>
          <w:p w:rsidR="006F3D76" w:rsidRPr="007E5614" w:rsidRDefault="006F3D76" w:rsidP="00297380">
            <w:pPr>
              <w:spacing w:afterLines="60" w:after="144" w:line="240" w:lineRule="auto"/>
              <w:rPr>
                <w:color w:val="000000"/>
              </w:rPr>
            </w:pPr>
            <w:r w:rsidRPr="007E5614">
              <w:rPr>
                <w:color w:val="000000"/>
              </w:rPr>
              <w:t>PIP</w:t>
            </w:r>
          </w:p>
        </w:tc>
        <w:tc>
          <w:tcPr>
            <w:tcW w:w="3402" w:type="dxa"/>
            <w:tcBorders>
              <w:top w:val="nil"/>
              <w:left w:val="nil"/>
              <w:bottom w:val="nil"/>
              <w:right w:val="nil"/>
            </w:tcBorders>
            <w:shd w:val="clear" w:color="auto" w:fill="auto"/>
            <w:noWrap/>
            <w:tcMar>
              <w:top w:w="15" w:type="dxa"/>
              <w:left w:w="15" w:type="dxa"/>
              <w:bottom w:w="0" w:type="dxa"/>
              <w:right w:w="15" w:type="dxa"/>
            </w:tcMar>
            <w:hideMark/>
          </w:tcPr>
          <w:p w:rsidR="006F3D76" w:rsidRPr="007E5614" w:rsidRDefault="006F3D76" w:rsidP="00297380">
            <w:pPr>
              <w:spacing w:afterLines="60" w:after="144" w:line="240" w:lineRule="auto"/>
              <w:rPr>
                <w:color w:val="000000"/>
              </w:rPr>
            </w:pPr>
            <w:r w:rsidRPr="007E5614">
              <w:rPr>
                <w:color w:val="000000"/>
              </w:rPr>
              <w:t>Performance Improvement Plan</w:t>
            </w:r>
          </w:p>
        </w:tc>
      </w:tr>
      <w:tr w:rsidR="00AF2CF5" w:rsidRPr="007E5614" w:rsidTr="006F3D76">
        <w:trPr>
          <w:trHeight w:val="285"/>
        </w:trPr>
        <w:tc>
          <w:tcPr>
            <w:tcW w:w="1134" w:type="dxa"/>
            <w:tcBorders>
              <w:top w:val="nil"/>
              <w:left w:val="nil"/>
              <w:bottom w:val="nil"/>
              <w:right w:val="nil"/>
            </w:tcBorders>
            <w:shd w:val="clear" w:color="auto" w:fill="auto"/>
            <w:noWrap/>
            <w:tcMar>
              <w:top w:w="15" w:type="dxa"/>
              <w:left w:w="15" w:type="dxa"/>
              <w:bottom w:w="0" w:type="dxa"/>
              <w:right w:w="15" w:type="dxa"/>
            </w:tcMar>
          </w:tcPr>
          <w:p w:rsidR="00AF2CF5" w:rsidRPr="00AF2CF5" w:rsidRDefault="00AF2CF5" w:rsidP="00297380">
            <w:pPr>
              <w:spacing w:afterLines="60" w:after="144" w:line="240" w:lineRule="auto"/>
              <w:rPr>
                <w:b/>
                <w:color w:val="000000"/>
              </w:rPr>
            </w:pPr>
            <w:r w:rsidRPr="00AF2CF5">
              <w:rPr>
                <w:b/>
                <w:color w:val="000000"/>
              </w:rPr>
              <w:lastRenderedPageBreak/>
              <w:t>Acronym</w:t>
            </w:r>
          </w:p>
        </w:tc>
        <w:tc>
          <w:tcPr>
            <w:tcW w:w="3402" w:type="dxa"/>
            <w:tcBorders>
              <w:top w:val="nil"/>
              <w:left w:val="nil"/>
              <w:bottom w:val="nil"/>
              <w:right w:val="nil"/>
            </w:tcBorders>
            <w:shd w:val="clear" w:color="auto" w:fill="auto"/>
            <w:noWrap/>
            <w:tcMar>
              <w:top w:w="15" w:type="dxa"/>
              <w:left w:w="15" w:type="dxa"/>
              <w:bottom w:w="0" w:type="dxa"/>
              <w:right w:w="15" w:type="dxa"/>
            </w:tcMar>
          </w:tcPr>
          <w:p w:rsidR="00AF2CF5" w:rsidRPr="00AF2CF5" w:rsidRDefault="00AF2CF5" w:rsidP="00297380">
            <w:pPr>
              <w:spacing w:afterLines="60" w:after="144" w:line="240" w:lineRule="auto"/>
              <w:rPr>
                <w:b/>
                <w:color w:val="000000"/>
              </w:rPr>
            </w:pPr>
            <w:r w:rsidRPr="00AF2CF5">
              <w:rPr>
                <w:b/>
                <w:color w:val="000000"/>
              </w:rPr>
              <w:t>Meaning</w:t>
            </w:r>
          </w:p>
        </w:tc>
      </w:tr>
      <w:tr w:rsidR="006F3D76" w:rsidRPr="007E5614" w:rsidTr="006F3D76">
        <w:trPr>
          <w:trHeight w:val="285"/>
        </w:trPr>
        <w:tc>
          <w:tcPr>
            <w:tcW w:w="1134" w:type="dxa"/>
            <w:tcBorders>
              <w:top w:val="nil"/>
              <w:left w:val="nil"/>
              <w:bottom w:val="nil"/>
              <w:right w:val="nil"/>
            </w:tcBorders>
            <w:shd w:val="clear" w:color="auto" w:fill="auto"/>
            <w:noWrap/>
            <w:tcMar>
              <w:top w:w="15" w:type="dxa"/>
              <w:left w:w="15" w:type="dxa"/>
              <w:bottom w:w="0" w:type="dxa"/>
              <w:right w:w="15" w:type="dxa"/>
            </w:tcMar>
            <w:hideMark/>
          </w:tcPr>
          <w:p w:rsidR="006F3D76" w:rsidRPr="007E5614" w:rsidRDefault="006F3D76" w:rsidP="00297380">
            <w:pPr>
              <w:spacing w:afterLines="60" w:after="144" w:line="240" w:lineRule="auto"/>
              <w:rPr>
                <w:color w:val="000000"/>
              </w:rPr>
            </w:pPr>
            <w:r w:rsidRPr="007E5614">
              <w:rPr>
                <w:color w:val="000000"/>
              </w:rPr>
              <w:t>PPP</w:t>
            </w:r>
          </w:p>
        </w:tc>
        <w:tc>
          <w:tcPr>
            <w:tcW w:w="3402" w:type="dxa"/>
            <w:tcBorders>
              <w:top w:val="nil"/>
              <w:left w:val="nil"/>
              <w:bottom w:val="nil"/>
              <w:right w:val="nil"/>
            </w:tcBorders>
            <w:shd w:val="clear" w:color="auto" w:fill="auto"/>
            <w:noWrap/>
            <w:tcMar>
              <w:top w:w="15" w:type="dxa"/>
              <w:left w:w="15" w:type="dxa"/>
              <w:bottom w:w="0" w:type="dxa"/>
              <w:right w:w="15" w:type="dxa"/>
            </w:tcMar>
            <w:hideMark/>
          </w:tcPr>
          <w:p w:rsidR="006F3D76" w:rsidRPr="007E5614" w:rsidRDefault="006F3D76" w:rsidP="00297380">
            <w:pPr>
              <w:spacing w:afterLines="60" w:after="144" w:line="240" w:lineRule="auto"/>
              <w:rPr>
                <w:color w:val="000000"/>
              </w:rPr>
            </w:pPr>
            <w:r w:rsidRPr="007E5614">
              <w:rPr>
                <w:color w:val="000000"/>
              </w:rPr>
              <w:t>Planning, Purchasing and Performance</w:t>
            </w:r>
          </w:p>
        </w:tc>
      </w:tr>
      <w:tr w:rsidR="006F3D76" w:rsidRPr="007E5614" w:rsidTr="006F3D76">
        <w:trPr>
          <w:trHeight w:val="285"/>
        </w:trPr>
        <w:tc>
          <w:tcPr>
            <w:tcW w:w="1134" w:type="dxa"/>
            <w:tcBorders>
              <w:top w:val="nil"/>
              <w:left w:val="nil"/>
              <w:bottom w:val="nil"/>
              <w:right w:val="nil"/>
            </w:tcBorders>
            <w:shd w:val="clear" w:color="auto" w:fill="auto"/>
            <w:noWrap/>
            <w:tcMar>
              <w:top w:w="15" w:type="dxa"/>
              <w:left w:w="15" w:type="dxa"/>
              <w:bottom w:w="0" w:type="dxa"/>
              <w:right w:w="15" w:type="dxa"/>
            </w:tcMar>
            <w:hideMark/>
          </w:tcPr>
          <w:p w:rsidR="006F3D76" w:rsidRPr="007E5614" w:rsidRDefault="006F3D76" w:rsidP="00297380">
            <w:pPr>
              <w:spacing w:afterLines="60" w:after="144" w:line="240" w:lineRule="auto"/>
              <w:rPr>
                <w:color w:val="000000"/>
              </w:rPr>
            </w:pPr>
            <w:r w:rsidRPr="007E5614">
              <w:rPr>
                <w:color w:val="000000"/>
              </w:rPr>
              <w:t>RHH</w:t>
            </w:r>
          </w:p>
        </w:tc>
        <w:tc>
          <w:tcPr>
            <w:tcW w:w="3402" w:type="dxa"/>
            <w:tcBorders>
              <w:top w:val="nil"/>
              <w:left w:val="nil"/>
              <w:bottom w:val="nil"/>
              <w:right w:val="nil"/>
            </w:tcBorders>
            <w:shd w:val="clear" w:color="auto" w:fill="auto"/>
            <w:noWrap/>
            <w:tcMar>
              <w:top w:w="15" w:type="dxa"/>
              <w:left w:w="15" w:type="dxa"/>
              <w:bottom w:w="0" w:type="dxa"/>
              <w:right w:w="15" w:type="dxa"/>
            </w:tcMar>
            <w:hideMark/>
          </w:tcPr>
          <w:p w:rsidR="006F3D76" w:rsidRPr="007E5614" w:rsidRDefault="006F3D76" w:rsidP="00297380">
            <w:pPr>
              <w:spacing w:afterLines="60" w:after="144" w:line="240" w:lineRule="auto"/>
              <w:rPr>
                <w:color w:val="000000"/>
              </w:rPr>
            </w:pPr>
            <w:r w:rsidRPr="007E5614">
              <w:rPr>
                <w:color w:val="000000"/>
              </w:rPr>
              <w:t>Royal Hobart Hospital</w:t>
            </w:r>
          </w:p>
        </w:tc>
      </w:tr>
      <w:tr w:rsidR="006F3D76" w:rsidRPr="007E5614" w:rsidTr="006F3D76">
        <w:trPr>
          <w:trHeight w:val="285"/>
        </w:trPr>
        <w:tc>
          <w:tcPr>
            <w:tcW w:w="1134" w:type="dxa"/>
            <w:tcBorders>
              <w:top w:val="nil"/>
              <w:left w:val="nil"/>
              <w:bottom w:val="nil"/>
              <w:right w:val="nil"/>
            </w:tcBorders>
            <w:shd w:val="clear" w:color="auto" w:fill="auto"/>
            <w:noWrap/>
            <w:tcMar>
              <w:top w:w="15" w:type="dxa"/>
              <w:left w:w="15" w:type="dxa"/>
              <w:bottom w:w="0" w:type="dxa"/>
              <w:right w:w="15" w:type="dxa"/>
            </w:tcMar>
            <w:hideMark/>
          </w:tcPr>
          <w:p w:rsidR="006F3D76" w:rsidRPr="007E5614" w:rsidRDefault="006F3D76" w:rsidP="00297380">
            <w:pPr>
              <w:spacing w:afterLines="60" w:after="144" w:line="240" w:lineRule="auto"/>
              <w:rPr>
                <w:color w:val="000000"/>
              </w:rPr>
            </w:pPr>
            <w:r w:rsidRPr="007E5614">
              <w:rPr>
                <w:color w:val="000000"/>
              </w:rPr>
              <w:t>ROGS</w:t>
            </w:r>
          </w:p>
        </w:tc>
        <w:tc>
          <w:tcPr>
            <w:tcW w:w="3402" w:type="dxa"/>
            <w:tcBorders>
              <w:top w:val="nil"/>
              <w:left w:val="nil"/>
              <w:bottom w:val="nil"/>
              <w:right w:val="nil"/>
            </w:tcBorders>
            <w:shd w:val="clear" w:color="auto" w:fill="auto"/>
            <w:noWrap/>
            <w:tcMar>
              <w:top w:w="15" w:type="dxa"/>
              <w:left w:w="15" w:type="dxa"/>
              <w:bottom w:w="0" w:type="dxa"/>
              <w:right w:w="15" w:type="dxa"/>
            </w:tcMar>
            <w:hideMark/>
          </w:tcPr>
          <w:p w:rsidR="006F3D76" w:rsidRPr="007E5614" w:rsidRDefault="006F3D76" w:rsidP="00297380">
            <w:pPr>
              <w:spacing w:afterLines="60" w:after="144" w:line="240" w:lineRule="auto"/>
              <w:rPr>
                <w:color w:val="000000"/>
              </w:rPr>
            </w:pPr>
            <w:r w:rsidRPr="007E5614">
              <w:rPr>
                <w:color w:val="000000"/>
              </w:rPr>
              <w:t>Report on Government Services</w:t>
            </w:r>
          </w:p>
        </w:tc>
      </w:tr>
      <w:tr w:rsidR="006F3D76" w:rsidRPr="007E5614" w:rsidTr="006F3D76">
        <w:trPr>
          <w:trHeight w:val="285"/>
        </w:trPr>
        <w:tc>
          <w:tcPr>
            <w:tcW w:w="1134" w:type="dxa"/>
            <w:tcBorders>
              <w:top w:val="nil"/>
              <w:left w:val="nil"/>
              <w:bottom w:val="nil"/>
              <w:right w:val="nil"/>
            </w:tcBorders>
            <w:shd w:val="clear" w:color="auto" w:fill="auto"/>
            <w:noWrap/>
            <w:tcMar>
              <w:top w:w="15" w:type="dxa"/>
              <w:left w:w="15" w:type="dxa"/>
              <w:bottom w:w="0" w:type="dxa"/>
              <w:right w:w="15" w:type="dxa"/>
            </w:tcMar>
            <w:hideMark/>
          </w:tcPr>
          <w:p w:rsidR="006F3D76" w:rsidRPr="007E5614" w:rsidRDefault="006F3D76" w:rsidP="00297380">
            <w:pPr>
              <w:spacing w:afterLines="60" w:after="144" w:line="240" w:lineRule="auto"/>
              <w:rPr>
                <w:color w:val="000000"/>
              </w:rPr>
            </w:pPr>
            <w:r w:rsidRPr="007E5614">
              <w:rPr>
                <w:color w:val="000000"/>
              </w:rPr>
              <w:t>RTI</w:t>
            </w:r>
          </w:p>
        </w:tc>
        <w:tc>
          <w:tcPr>
            <w:tcW w:w="3402" w:type="dxa"/>
            <w:tcBorders>
              <w:top w:val="nil"/>
              <w:left w:val="nil"/>
              <w:bottom w:val="nil"/>
              <w:right w:val="nil"/>
            </w:tcBorders>
            <w:shd w:val="clear" w:color="auto" w:fill="auto"/>
            <w:noWrap/>
            <w:tcMar>
              <w:top w:w="15" w:type="dxa"/>
              <w:left w:w="15" w:type="dxa"/>
              <w:bottom w:w="0" w:type="dxa"/>
              <w:right w:w="15" w:type="dxa"/>
            </w:tcMar>
            <w:hideMark/>
          </w:tcPr>
          <w:p w:rsidR="006F3D76" w:rsidRPr="007E5614" w:rsidRDefault="006F3D76" w:rsidP="00297380">
            <w:pPr>
              <w:spacing w:afterLines="60" w:after="144" w:line="240" w:lineRule="auto"/>
              <w:rPr>
                <w:color w:val="000000"/>
              </w:rPr>
            </w:pPr>
            <w:r w:rsidRPr="007E5614">
              <w:rPr>
                <w:color w:val="000000"/>
              </w:rPr>
              <w:t>Right to Information</w:t>
            </w:r>
          </w:p>
        </w:tc>
      </w:tr>
      <w:tr w:rsidR="006F3D76" w:rsidRPr="007E5614" w:rsidTr="006F3D76">
        <w:trPr>
          <w:trHeight w:val="285"/>
        </w:trPr>
        <w:tc>
          <w:tcPr>
            <w:tcW w:w="1134" w:type="dxa"/>
            <w:tcBorders>
              <w:top w:val="nil"/>
              <w:left w:val="nil"/>
              <w:bottom w:val="nil"/>
              <w:right w:val="nil"/>
            </w:tcBorders>
            <w:shd w:val="clear" w:color="auto" w:fill="auto"/>
            <w:noWrap/>
            <w:tcMar>
              <w:top w:w="15" w:type="dxa"/>
              <w:left w:w="15" w:type="dxa"/>
              <w:bottom w:w="0" w:type="dxa"/>
              <w:right w:w="15" w:type="dxa"/>
            </w:tcMar>
            <w:hideMark/>
          </w:tcPr>
          <w:p w:rsidR="006F3D76" w:rsidRPr="007E5614" w:rsidRDefault="006F3D76" w:rsidP="00297380">
            <w:pPr>
              <w:spacing w:afterLines="60" w:after="144" w:line="240" w:lineRule="auto"/>
              <w:rPr>
                <w:color w:val="000000"/>
              </w:rPr>
            </w:pPr>
            <w:r w:rsidRPr="007E5614">
              <w:rPr>
                <w:color w:val="000000"/>
              </w:rPr>
              <w:t>TAO</w:t>
            </w:r>
          </w:p>
        </w:tc>
        <w:tc>
          <w:tcPr>
            <w:tcW w:w="3402" w:type="dxa"/>
            <w:tcBorders>
              <w:top w:val="nil"/>
              <w:left w:val="nil"/>
              <w:bottom w:val="nil"/>
              <w:right w:val="nil"/>
            </w:tcBorders>
            <w:shd w:val="clear" w:color="auto" w:fill="auto"/>
            <w:noWrap/>
            <w:tcMar>
              <w:top w:w="15" w:type="dxa"/>
              <w:left w:w="15" w:type="dxa"/>
              <w:bottom w:w="0" w:type="dxa"/>
              <w:right w:w="15" w:type="dxa"/>
            </w:tcMar>
            <w:hideMark/>
          </w:tcPr>
          <w:p w:rsidR="006F3D76" w:rsidRPr="007E5614" w:rsidRDefault="006F3D76" w:rsidP="00297380">
            <w:pPr>
              <w:spacing w:afterLines="60" w:after="144" w:line="240" w:lineRule="auto"/>
              <w:rPr>
                <w:color w:val="000000"/>
              </w:rPr>
            </w:pPr>
            <w:r w:rsidRPr="007E5614">
              <w:rPr>
                <w:color w:val="000000"/>
              </w:rPr>
              <w:t>Tasmanian Audit Office</w:t>
            </w:r>
          </w:p>
        </w:tc>
      </w:tr>
      <w:tr w:rsidR="006F3D76" w:rsidRPr="007E5614" w:rsidTr="006F3D76">
        <w:trPr>
          <w:trHeight w:val="285"/>
        </w:trPr>
        <w:tc>
          <w:tcPr>
            <w:tcW w:w="1134" w:type="dxa"/>
            <w:tcBorders>
              <w:top w:val="nil"/>
              <w:left w:val="nil"/>
              <w:bottom w:val="nil"/>
              <w:right w:val="nil"/>
            </w:tcBorders>
            <w:shd w:val="clear" w:color="auto" w:fill="auto"/>
            <w:noWrap/>
            <w:tcMar>
              <w:top w:w="15" w:type="dxa"/>
              <w:left w:w="15" w:type="dxa"/>
              <w:bottom w:w="0" w:type="dxa"/>
              <w:right w:w="15" w:type="dxa"/>
            </w:tcMar>
            <w:hideMark/>
          </w:tcPr>
          <w:p w:rsidR="006F3D76" w:rsidRPr="007E5614" w:rsidRDefault="006F3D76" w:rsidP="00297380">
            <w:pPr>
              <w:spacing w:afterLines="60" w:after="144" w:line="240" w:lineRule="auto"/>
              <w:rPr>
                <w:color w:val="000000"/>
              </w:rPr>
            </w:pPr>
            <w:r w:rsidRPr="007E5614">
              <w:rPr>
                <w:color w:val="000000"/>
              </w:rPr>
              <w:t>THO</w:t>
            </w:r>
          </w:p>
        </w:tc>
        <w:tc>
          <w:tcPr>
            <w:tcW w:w="3402" w:type="dxa"/>
            <w:tcBorders>
              <w:top w:val="nil"/>
              <w:left w:val="nil"/>
              <w:bottom w:val="nil"/>
              <w:right w:val="nil"/>
            </w:tcBorders>
            <w:shd w:val="clear" w:color="auto" w:fill="auto"/>
            <w:noWrap/>
            <w:tcMar>
              <w:top w:w="15" w:type="dxa"/>
              <w:left w:w="15" w:type="dxa"/>
              <w:bottom w:w="0" w:type="dxa"/>
              <w:right w:w="15" w:type="dxa"/>
            </w:tcMar>
            <w:hideMark/>
          </w:tcPr>
          <w:p w:rsidR="006F3D76" w:rsidRPr="007E5614" w:rsidRDefault="006F3D76" w:rsidP="00297380">
            <w:pPr>
              <w:spacing w:afterLines="60" w:after="144" w:line="240" w:lineRule="auto"/>
              <w:rPr>
                <w:color w:val="000000"/>
              </w:rPr>
            </w:pPr>
            <w:r w:rsidRPr="007E5614">
              <w:rPr>
                <w:color w:val="000000"/>
              </w:rPr>
              <w:t>Tasmanian Health Organisation</w:t>
            </w:r>
          </w:p>
        </w:tc>
      </w:tr>
      <w:tr w:rsidR="006F3D76" w:rsidRPr="007E5614" w:rsidTr="006F3D76">
        <w:trPr>
          <w:trHeight w:val="285"/>
        </w:trPr>
        <w:tc>
          <w:tcPr>
            <w:tcW w:w="1134" w:type="dxa"/>
            <w:tcBorders>
              <w:top w:val="nil"/>
              <w:left w:val="nil"/>
              <w:bottom w:val="nil"/>
              <w:right w:val="nil"/>
            </w:tcBorders>
            <w:shd w:val="clear" w:color="auto" w:fill="auto"/>
            <w:noWrap/>
            <w:tcMar>
              <w:top w:w="15" w:type="dxa"/>
              <w:left w:w="15" w:type="dxa"/>
              <w:bottom w:w="0" w:type="dxa"/>
              <w:right w:w="15" w:type="dxa"/>
            </w:tcMar>
            <w:hideMark/>
          </w:tcPr>
          <w:p w:rsidR="006F3D76" w:rsidRPr="007E5614" w:rsidRDefault="006F3D76" w:rsidP="00297380">
            <w:pPr>
              <w:spacing w:afterLines="60" w:after="144" w:line="240" w:lineRule="auto"/>
              <w:rPr>
                <w:color w:val="000000"/>
              </w:rPr>
            </w:pPr>
            <w:r w:rsidRPr="007E5614">
              <w:rPr>
                <w:color w:val="000000"/>
              </w:rPr>
              <w:t xml:space="preserve">THS </w:t>
            </w:r>
          </w:p>
        </w:tc>
        <w:tc>
          <w:tcPr>
            <w:tcW w:w="3402" w:type="dxa"/>
            <w:tcBorders>
              <w:top w:val="nil"/>
              <w:left w:val="nil"/>
              <w:bottom w:val="nil"/>
              <w:right w:val="nil"/>
            </w:tcBorders>
            <w:shd w:val="clear" w:color="auto" w:fill="auto"/>
            <w:noWrap/>
            <w:tcMar>
              <w:top w:w="15" w:type="dxa"/>
              <w:left w:w="15" w:type="dxa"/>
              <w:bottom w:w="0" w:type="dxa"/>
              <w:right w:w="15" w:type="dxa"/>
            </w:tcMar>
            <w:hideMark/>
          </w:tcPr>
          <w:p w:rsidR="006F3D76" w:rsidRPr="007E5614" w:rsidRDefault="006F3D76" w:rsidP="00297380">
            <w:pPr>
              <w:spacing w:afterLines="60" w:after="144" w:line="240" w:lineRule="auto"/>
              <w:rPr>
                <w:color w:val="000000"/>
              </w:rPr>
            </w:pPr>
            <w:r w:rsidRPr="007E5614">
              <w:rPr>
                <w:color w:val="000000"/>
              </w:rPr>
              <w:t>Tasmanian Health Service</w:t>
            </w:r>
          </w:p>
        </w:tc>
      </w:tr>
      <w:tr w:rsidR="006F3D76" w:rsidRPr="007E5614" w:rsidTr="006F3D76">
        <w:trPr>
          <w:trHeight w:val="285"/>
        </w:trPr>
        <w:tc>
          <w:tcPr>
            <w:tcW w:w="1134" w:type="dxa"/>
            <w:tcBorders>
              <w:top w:val="nil"/>
              <w:left w:val="nil"/>
              <w:bottom w:val="nil"/>
              <w:right w:val="nil"/>
            </w:tcBorders>
            <w:shd w:val="clear" w:color="auto" w:fill="auto"/>
            <w:noWrap/>
            <w:tcMar>
              <w:top w:w="15" w:type="dxa"/>
              <w:left w:w="15" w:type="dxa"/>
              <w:bottom w:w="0" w:type="dxa"/>
              <w:right w:w="15" w:type="dxa"/>
            </w:tcMar>
            <w:hideMark/>
          </w:tcPr>
          <w:p w:rsidR="006F3D76" w:rsidRPr="007E5614" w:rsidRDefault="006F3D76" w:rsidP="00297380">
            <w:pPr>
              <w:spacing w:afterLines="60" w:after="144" w:line="240" w:lineRule="auto"/>
              <w:rPr>
                <w:color w:val="000000"/>
              </w:rPr>
            </w:pPr>
            <w:r w:rsidRPr="007E5614">
              <w:rPr>
                <w:color w:val="000000"/>
              </w:rPr>
              <w:t>WHS</w:t>
            </w:r>
          </w:p>
        </w:tc>
        <w:tc>
          <w:tcPr>
            <w:tcW w:w="3402" w:type="dxa"/>
            <w:tcBorders>
              <w:top w:val="nil"/>
              <w:left w:val="nil"/>
              <w:bottom w:val="nil"/>
              <w:right w:val="nil"/>
            </w:tcBorders>
            <w:shd w:val="clear" w:color="auto" w:fill="auto"/>
            <w:noWrap/>
            <w:tcMar>
              <w:top w:w="15" w:type="dxa"/>
              <w:left w:w="15" w:type="dxa"/>
              <w:bottom w:w="0" w:type="dxa"/>
              <w:right w:w="15" w:type="dxa"/>
            </w:tcMar>
            <w:hideMark/>
          </w:tcPr>
          <w:p w:rsidR="006F3D76" w:rsidRPr="007E5614" w:rsidRDefault="006F3D76" w:rsidP="00297380">
            <w:pPr>
              <w:spacing w:afterLines="60" w:after="144" w:line="240" w:lineRule="auto"/>
              <w:rPr>
                <w:color w:val="000000"/>
              </w:rPr>
            </w:pPr>
            <w:r w:rsidRPr="007E5614">
              <w:rPr>
                <w:color w:val="000000"/>
              </w:rPr>
              <w:t>Work Health and Safety</w:t>
            </w:r>
          </w:p>
        </w:tc>
      </w:tr>
    </w:tbl>
    <w:p w:rsidR="00AF2CF5" w:rsidRDefault="00AF2CF5" w:rsidP="006F3D76">
      <w:pPr>
        <w:tabs>
          <w:tab w:val="right" w:pos="4395"/>
        </w:tabs>
        <w:rPr>
          <w:rFonts w:ascii="GillSans Light" w:hAnsi="GillSans Light"/>
          <w:caps/>
        </w:rPr>
        <w:sectPr w:rsidR="00AF2CF5" w:rsidSect="00AF2CF5">
          <w:type w:val="continuous"/>
          <w:pgSz w:w="11906" w:h="16838"/>
          <w:pgMar w:top="1440" w:right="1440" w:bottom="1440" w:left="1440" w:header="708" w:footer="708" w:gutter="0"/>
          <w:cols w:num="2" w:space="708"/>
          <w:docGrid w:linePitch="360"/>
        </w:sectPr>
      </w:pPr>
    </w:p>
    <w:p w:rsidR="00AF2CF5" w:rsidRDefault="00AF2CF5" w:rsidP="006F3D76">
      <w:pPr>
        <w:tabs>
          <w:tab w:val="right" w:pos="4395"/>
        </w:tabs>
        <w:rPr>
          <w:rFonts w:ascii="GillSans Light" w:hAnsi="GillSans Light"/>
          <w:caps/>
        </w:rPr>
        <w:sectPr w:rsidR="00AF2CF5" w:rsidSect="00AF2CF5">
          <w:pgSz w:w="11906" w:h="16838"/>
          <w:pgMar w:top="1440" w:right="1440" w:bottom="1440" w:left="1440" w:header="708" w:footer="708" w:gutter="0"/>
          <w:cols w:space="708"/>
          <w:docGrid w:linePitch="360"/>
        </w:sectPr>
      </w:pPr>
      <w:r>
        <w:rPr>
          <w:noProof/>
          <w:lang w:eastAsia="en-AU"/>
        </w:rPr>
        <w:lastRenderedPageBreak/>
        <w:drawing>
          <wp:inline distT="0" distB="0" distL="0" distR="0" wp14:anchorId="7BD82A57" wp14:editId="2EDD56C0">
            <wp:extent cx="9086703" cy="5761234"/>
            <wp:effectExtent l="5398" t="0" r="6032" b="6033"/>
            <wp:docPr id="8" name="Picture 8" descr="This chart details the structure of DHHS:&#10;Head of Agency - Secretary&#10;Internal Audit&#10;Office of the Secretary&#10;Group - Ambulance; Business Units - Aero-Medical and Special Operations, Medical Services, North West Region, Northern Region, Operational Support Services, Southern Region, State Communications and Health Transport.&#10;Group - Children and Youth Services; Business Units - Children and Families, Early Years, Program Support Learning and Development, Services to Youth.&#10;Group -  Corporate Policy and Regulatory Services - Business Units - Budget and Finance, Human Resources Management and Strategy, Information and Communications Technology Services, Professional Advice, Shared Services, Strategic Policy and Regulation, Strategic Projects.&#10;Group - Housing Disability and Community Services; Business Units - Disability and Community Services, Housing Programs, Portfolio and Supply, Program Support, Tenancy Services.&#10;Group - Planning, Purchasing and Performance; Busniess Units - Acute Planning and Strategy, Community Planning and Strategy, Monitoring Reporting and Analysis, Purchasing and Performance.&#10;Group - Publich Health Services; Business Unit - Health Improvement, Health Protection, Partnerships and Evidence, Program Support.&#10;" title="DHHS Organisational Structure Jun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HHS Org Chart for AR 2015-16.jp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9095856" cy="5767038"/>
                    </a:xfrm>
                    <a:prstGeom prst="rect">
                      <a:avLst/>
                    </a:prstGeom>
                  </pic:spPr>
                </pic:pic>
              </a:graphicData>
            </a:graphic>
          </wp:inline>
        </w:drawing>
      </w:r>
    </w:p>
    <w:p w:rsidR="006F3D76" w:rsidRDefault="006F3D76" w:rsidP="006F3D76">
      <w:pPr>
        <w:tabs>
          <w:tab w:val="right" w:pos="4395"/>
        </w:tabs>
        <w:rPr>
          <w:rFonts w:ascii="GillSans Light" w:hAnsi="GillSans Light"/>
          <w:caps/>
        </w:rPr>
      </w:pPr>
    </w:p>
    <w:p w:rsidR="00AF2CF5" w:rsidRPr="00E2546E" w:rsidRDefault="00AF2CF5" w:rsidP="00DF724A">
      <w:pPr>
        <w:pStyle w:val="Heading3"/>
        <w:sectPr w:rsidR="00AF2CF5" w:rsidRPr="00E2546E" w:rsidSect="00AF2CF5">
          <w:footerReference w:type="default" r:id="rId13"/>
          <w:type w:val="continuous"/>
          <w:pgSz w:w="11906" w:h="16838" w:code="9"/>
          <w:pgMar w:top="907" w:right="1134" w:bottom="720" w:left="1134" w:header="709" w:footer="709" w:gutter="0"/>
          <w:pgNumType w:start="3"/>
          <w:cols w:space="708"/>
          <w:docGrid w:linePitch="360"/>
        </w:sectPr>
      </w:pPr>
      <w:r w:rsidRPr="00E2546E">
        <w:t>Secretary’s Letter of Transmittal</w:t>
      </w:r>
    </w:p>
    <w:p w:rsidR="00AF2CF5" w:rsidRPr="007E5614" w:rsidRDefault="00AF2CF5" w:rsidP="00AF2CF5">
      <w:r w:rsidRPr="007E5614">
        <w:lastRenderedPageBreak/>
        <w:t>Dear Ministers</w:t>
      </w:r>
    </w:p>
    <w:p w:rsidR="00AF2CF5" w:rsidRPr="007E5614" w:rsidRDefault="00AF2CF5" w:rsidP="00AF2CF5">
      <w:r w:rsidRPr="007E5614">
        <w:t>In 2015-16 the Department of Health and Human Services (DHHS) has continued to work hard to improve the health and wellbeing of patients, clients and the Tasmanian community through sustainable, high quality and safe health and human services systems.</w:t>
      </w:r>
    </w:p>
    <w:p w:rsidR="00AF2CF5" w:rsidRPr="007E5614" w:rsidRDefault="00AF2CF5" w:rsidP="00AF2CF5">
      <w:r w:rsidRPr="007E5614">
        <w:t>Over the past two years, DHHS has changed how it plans, manages, purchases and delivers health and human services. We have evolved to a role of manager of a number of health and human services systems, which has repositioned us as both a steward and strategic partner in health and human services delivery across the public, private and community sectors.</w:t>
      </w:r>
    </w:p>
    <w:p w:rsidR="00AF2CF5" w:rsidRPr="007E5614" w:rsidRDefault="00AF2CF5" w:rsidP="00AF2CF5">
      <w:r w:rsidRPr="007E5614">
        <w:t xml:space="preserve">The Government’s reform priorities have guided our strategic direction, and have challenged us to be innovative as we look to provide better services that meet our stakeholders’ needs. </w:t>
      </w:r>
    </w:p>
    <w:p w:rsidR="00AF2CF5" w:rsidRPr="007E5614" w:rsidRDefault="00AF2CF5" w:rsidP="00AF2CF5">
      <w:r>
        <w:t>I’m pleased to report</w:t>
      </w:r>
      <w:r w:rsidRPr="007E5614">
        <w:t xml:space="preserve"> we’ve made significant progress in providing Tasmanians with more responsive, more efficient and sustainable services.</w:t>
      </w:r>
    </w:p>
    <w:p w:rsidR="00AF2CF5" w:rsidRPr="007E5614" w:rsidRDefault="00AF2CF5" w:rsidP="00AF2CF5">
      <w:r w:rsidRPr="007E5614">
        <w:t>This year we have largely completed the reshaping of DHHS into a sharply focused system manager to better steer and monitor health and human services delivery.</w:t>
      </w:r>
    </w:p>
    <w:p w:rsidR="00AF2CF5" w:rsidRPr="007E5614" w:rsidRDefault="00AF2CF5" w:rsidP="00AF2CF5">
      <w:r w:rsidRPr="007E5614">
        <w:t>This report sets out in detail our work and progress in 2015-16, so here I will briefly summarise some of our maj</w:t>
      </w:r>
      <w:r>
        <w:t>or initiatives and achievements.</w:t>
      </w:r>
    </w:p>
    <w:p w:rsidR="00AF2CF5" w:rsidRPr="007E5614" w:rsidRDefault="00AF2CF5" w:rsidP="00AF2CF5">
      <w:r w:rsidRPr="007E5614">
        <w:t xml:space="preserve">On 1 July 2015, the single Tasmanian Health Service (THS) was established, following the amalgamation of the three Tasmanian Health Organisations (THOs). Throughout 2015-16, we have worked with the THS to continue implementing the </w:t>
      </w:r>
      <w:r w:rsidRPr="007E5614">
        <w:rPr>
          <w:i/>
        </w:rPr>
        <w:t>One State, One Health System, Better Outcomes</w:t>
      </w:r>
      <w:r w:rsidRPr="007E5614">
        <w:t xml:space="preserve"> reform program to implement a health system that functions effectively as a truly </w:t>
      </w:r>
      <w:proofErr w:type="spellStart"/>
      <w:r w:rsidRPr="007E5614">
        <w:t>statewide</w:t>
      </w:r>
      <w:proofErr w:type="spellEnd"/>
      <w:r w:rsidRPr="007E5614">
        <w:t xml:space="preserve"> service. </w:t>
      </w:r>
    </w:p>
    <w:p w:rsidR="00AF2CF5" w:rsidRPr="007E5614" w:rsidRDefault="00AF2CF5" w:rsidP="00AF2CF5">
      <w:r w:rsidRPr="007E5614">
        <w:t xml:space="preserve">We </w:t>
      </w:r>
      <w:proofErr w:type="gramStart"/>
      <w:r w:rsidRPr="007E5614">
        <w:t>progressed</w:t>
      </w:r>
      <w:proofErr w:type="gramEnd"/>
      <w:r w:rsidRPr="007E5614">
        <w:t xml:space="preserve"> several initiatives to improve ambulance services as part of broader measures to better support patient transport, accommodation and care coordination. </w:t>
      </w:r>
    </w:p>
    <w:p w:rsidR="00AF2CF5" w:rsidRPr="007E5614" w:rsidRDefault="00AF2CF5" w:rsidP="00AF2CF5">
      <w:r w:rsidRPr="007E5614">
        <w:t>In August 2015, the Government announced a comprehensive redesign of Child Protection Services (CPS) in Tasmania. The resulting Strong Families – Safe Kids Implementation Plan</w:t>
      </w:r>
      <w:r>
        <w:t>, published in May 2016,</w:t>
      </w:r>
      <w:r w:rsidRPr="007E5614">
        <w:rPr>
          <w:i/>
        </w:rPr>
        <w:t xml:space="preserve"> </w:t>
      </w:r>
      <w:r w:rsidRPr="007E5614">
        <w:t>is a comprehensive strategy to reposition CPS as part of a broader child and family service system. It recognises the role of government, community and families in keeping children safe and well. The strategy will better support our child protection workers in doing their important job and we’ve also improved how we recruit and retain them.</w:t>
      </w:r>
    </w:p>
    <w:p w:rsidR="00AF2CF5" w:rsidRPr="007E5614" w:rsidRDefault="00AF2CF5" w:rsidP="00AF2CF5">
      <w:r w:rsidRPr="007E5614">
        <w:t xml:space="preserve">In September 2015, </w:t>
      </w:r>
      <w:r w:rsidRPr="007E5614">
        <w:rPr>
          <w:i/>
        </w:rPr>
        <w:t>Tasmania’s Affordable Housing Strategy 2015-2025</w:t>
      </w:r>
      <w:r w:rsidRPr="007E5614">
        <w:t xml:space="preserve"> and </w:t>
      </w:r>
      <w:r w:rsidRPr="007E5614">
        <w:rPr>
          <w:i/>
        </w:rPr>
        <w:t xml:space="preserve">Affordable Housing Action Plan 2015-2019 </w:t>
      </w:r>
      <w:r w:rsidRPr="007E5614">
        <w:t xml:space="preserve">were released to guide our efforts to improve housing affordability over the next 10 years. Allowing the community sector to manage social housing has many positive outcomes including the flexibility to support tenants with special needs, having a social mix of tenants and providing a range of community initiatives. </w:t>
      </w:r>
      <w:r>
        <w:t>L</w:t>
      </w:r>
      <w:r w:rsidRPr="007E5614">
        <w:t xml:space="preserve">egislative amendments to the </w:t>
      </w:r>
      <w:r w:rsidRPr="007E5614">
        <w:rPr>
          <w:i/>
        </w:rPr>
        <w:t xml:space="preserve">Homes Act 1935 </w:t>
      </w:r>
      <w:r w:rsidRPr="007E5614">
        <w:t xml:space="preserve">and the </w:t>
      </w:r>
      <w:r w:rsidRPr="007E5614">
        <w:rPr>
          <w:i/>
        </w:rPr>
        <w:t xml:space="preserve">Residential Tenancy Act 1997 </w:t>
      </w:r>
      <w:r w:rsidRPr="007E5614">
        <w:t>were</w:t>
      </w:r>
      <w:r>
        <w:t xml:space="preserve"> also</w:t>
      </w:r>
      <w:r w:rsidRPr="007E5614">
        <w:t xml:space="preserve"> passed in</w:t>
      </w:r>
      <w:r>
        <w:t xml:space="preserve"> </w:t>
      </w:r>
      <w:r w:rsidRPr="007E5614">
        <w:t>May 2016</w:t>
      </w:r>
      <w:r>
        <w:t xml:space="preserve"> to support the Strategy. </w:t>
      </w:r>
    </w:p>
    <w:p w:rsidR="00AF2CF5" w:rsidRDefault="00AF2CF5" w:rsidP="00AF2CF5">
      <w:r w:rsidRPr="007E5614">
        <w:t xml:space="preserve">In October 2015, we launched </w:t>
      </w:r>
      <w:r w:rsidRPr="007E5614">
        <w:rPr>
          <w:i/>
        </w:rPr>
        <w:t>Rethink Mental Health: Better Health and Wellbeing – A Long-Term Plan for Mental Health in Tasmania 2015-2025</w:t>
      </w:r>
      <w:r w:rsidRPr="007E5614">
        <w:t xml:space="preserve"> to provide a coordinated and integrated mental health system and improve the mental health and wellbeing of Tasmanians. </w:t>
      </w:r>
    </w:p>
    <w:p w:rsidR="00AF2CF5" w:rsidRDefault="00AF2CF5" w:rsidP="00AF2CF5">
      <w:r>
        <w:br w:type="page"/>
      </w:r>
    </w:p>
    <w:p w:rsidR="00AF2CF5" w:rsidRPr="003377E6" w:rsidRDefault="00AF2CF5" w:rsidP="00AF2CF5">
      <w:r w:rsidRPr="003377E6">
        <w:lastRenderedPageBreak/>
        <w:t>DHHS has continued to support the phasing in of the National Disability Insurance Scheme</w:t>
      </w:r>
      <w:r>
        <w:t xml:space="preserve"> (NDIS)</w:t>
      </w:r>
      <w:r w:rsidRPr="003377E6">
        <w:t xml:space="preserve"> in 2015-16. The Bilateral Agreement for transition to the full NDIS was signed b</w:t>
      </w:r>
      <w:r>
        <w:t>y the Tasmanian and Australian G</w:t>
      </w:r>
      <w:r w:rsidRPr="003377E6">
        <w:t>overnments on 11 December 2015, which will guide the transition from the trial phase through to the full roll-out in July 2019.</w:t>
      </w:r>
    </w:p>
    <w:p w:rsidR="00AF2CF5" w:rsidRPr="007E5614" w:rsidRDefault="00AF2CF5" w:rsidP="00AF2CF5">
      <w:r w:rsidRPr="007E5614">
        <w:t>In March 2016, we launched a new five year strategic direction for suicide prevention as outlined in the new Tasmanian Suicide Prevention Strategy 2016-2020; Tasmania’s first Youth Suicide Prevention Plan 2016-2020; and the Suicide Prevention Workforce Development and Training Plan for Tasmania 2016-2020.</w:t>
      </w:r>
    </w:p>
    <w:p w:rsidR="00AF2CF5" w:rsidRPr="007E5614" w:rsidRDefault="00AF2CF5" w:rsidP="00AF2CF5">
      <w:r w:rsidRPr="007E5614">
        <w:t xml:space="preserve">We’ve also made real progress on family violence initiatives. We are responsible for five actions under </w:t>
      </w:r>
      <w:r w:rsidRPr="007E5614">
        <w:rPr>
          <w:i/>
        </w:rPr>
        <w:t>Safe Homes, Safe Families: Tasmania’s Family Violence Action Plan 2015-2020</w:t>
      </w:r>
      <w:r w:rsidRPr="007E5614">
        <w:t>. We are already improving access to counselling services for children and young people who have experienced family violence.</w:t>
      </w:r>
      <w:r w:rsidRPr="00D77D46">
        <w:t xml:space="preserve"> </w:t>
      </w:r>
      <w:r>
        <w:t>Additionally, t</w:t>
      </w:r>
      <w:r w:rsidRPr="007E5614">
        <w:t xml:space="preserve">he </w:t>
      </w:r>
      <w:r>
        <w:t>new Rapid Rehousing initiative commence</w:t>
      </w:r>
      <w:r w:rsidRPr="007E5614">
        <w:t>d in Tasmania in 2015-16 to provide safe and supported housing in the private rental market for families and individuals escaping family violence.</w:t>
      </w:r>
    </w:p>
    <w:p w:rsidR="00AF2CF5" w:rsidRPr="007E5614" w:rsidRDefault="00AF2CF5" w:rsidP="00AF2CF5">
      <w:r w:rsidRPr="007E5614">
        <w:t>Through the Youth at Risk strategy, we have begun a rigorous process to ensure that young people at risk in our community are supported and provided with the best possible chance of living healthy, fulfilling lives. This whole-of-system approach includes a comprehensive look at future opti</w:t>
      </w:r>
      <w:r>
        <w:t>ons for youth detention in our S</w:t>
      </w:r>
      <w:r w:rsidRPr="007E5614">
        <w:t>tate. We will continue work on the Youth at Risk strategy in 2016-17.</w:t>
      </w:r>
    </w:p>
    <w:p w:rsidR="00AF2CF5" w:rsidRPr="007E5614" w:rsidRDefault="00AF2CF5" w:rsidP="00AF2CF5">
      <w:r w:rsidRPr="007E5614">
        <w:t>We have also focused on preventive health in 2015-16, in line with the Government’s goal to make Tasmania the healthiest state in the country by 2025. The Healthy Tasmania Five Year Strategic Plan – Community Consultation Draft was released on 20 December 2015 to which we received over 100 public submissions. Implementation of the Healthy Tasmania Five Year Strategic Plan will commence in 2016-17.</w:t>
      </w:r>
    </w:p>
    <w:p w:rsidR="00AF2CF5" w:rsidRPr="007E5614" w:rsidRDefault="00AF2CF5" w:rsidP="00AF2CF5">
      <w:r w:rsidRPr="007E5614">
        <w:t>In addition to this important progress toward improving the health and wellbeing of Tasmanians, we have also worked within our own organisation in 2015-16 to improve our governance and strengthen the processes which support us to undertake our work. Initiatives have included:</w:t>
      </w:r>
    </w:p>
    <w:p w:rsidR="00AF2CF5" w:rsidRPr="00AF2CF5" w:rsidRDefault="00AF2CF5" w:rsidP="00AF2CF5">
      <w:pPr>
        <w:pStyle w:val="ListParagraph"/>
        <w:numPr>
          <w:ilvl w:val="0"/>
          <w:numId w:val="2"/>
        </w:numPr>
        <w:ind w:left="426"/>
        <w:rPr>
          <w:rFonts w:ascii="Gill Sans MT" w:hAnsi="Gill Sans MT"/>
          <w:sz w:val="22"/>
          <w:szCs w:val="22"/>
        </w:rPr>
      </w:pPr>
      <w:r w:rsidRPr="00AF2CF5">
        <w:rPr>
          <w:rFonts w:ascii="Gill Sans MT" w:hAnsi="Gill Sans MT"/>
          <w:sz w:val="22"/>
          <w:szCs w:val="22"/>
        </w:rPr>
        <w:t>the introduction of a Major Projects Framework to enhance our capability to undertake the major reform projects which we have responsibility for delivering, and development of a new Corporate Plan to set our strategic direction for the next two years, and</w:t>
      </w:r>
    </w:p>
    <w:p w:rsidR="00AF2CF5" w:rsidRPr="00AF2CF5" w:rsidRDefault="00AF2CF5" w:rsidP="00AF2CF5">
      <w:pPr>
        <w:pStyle w:val="ListParagraph"/>
        <w:numPr>
          <w:ilvl w:val="0"/>
          <w:numId w:val="2"/>
        </w:numPr>
        <w:ind w:left="426"/>
        <w:rPr>
          <w:rFonts w:ascii="Gill Sans MT" w:hAnsi="Gill Sans MT"/>
          <w:sz w:val="22"/>
          <w:szCs w:val="22"/>
        </w:rPr>
      </w:pPr>
      <w:proofErr w:type="gramStart"/>
      <w:r w:rsidRPr="00AF2CF5">
        <w:rPr>
          <w:rFonts w:ascii="Gill Sans MT" w:hAnsi="Gill Sans MT"/>
          <w:sz w:val="22"/>
          <w:szCs w:val="22"/>
        </w:rPr>
        <w:t>following</w:t>
      </w:r>
      <w:proofErr w:type="gramEnd"/>
      <w:r w:rsidRPr="00AF2CF5">
        <w:rPr>
          <w:rFonts w:ascii="Gill Sans MT" w:hAnsi="Gill Sans MT"/>
          <w:sz w:val="22"/>
          <w:szCs w:val="22"/>
        </w:rPr>
        <w:t xml:space="preserve"> the results of the 2015 People Matter staff survey, we have put several strategies in place including developing formal change consultation processes and dedicated resources for health and wellbeing initiatives. </w:t>
      </w:r>
    </w:p>
    <w:p w:rsidR="00AF2CF5" w:rsidRDefault="00AF2CF5" w:rsidP="00AF2CF5">
      <w:r w:rsidRPr="007E5614">
        <w:t xml:space="preserve">In 2016-17, we will continue to work together to deliver on the Government’s priorities and agenda, and support continual improvement in how we fulfil our core responsibilities and how we function as an organisation. </w:t>
      </w:r>
    </w:p>
    <w:p w:rsidR="00AF2CF5" w:rsidRPr="007E5614" w:rsidRDefault="00AF2CF5" w:rsidP="00AF2CF5">
      <w:r w:rsidRPr="007E5614">
        <w:t xml:space="preserve">DHHS </w:t>
      </w:r>
      <w:r>
        <w:t>consider</w:t>
      </w:r>
      <w:r w:rsidRPr="007E5614">
        <w:t>s transparency as an essential ingredient in running effective health and human services. To this end, we will continually improve how we p</w:t>
      </w:r>
      <w:r>
        <w:t>rovid</w:t>
      </w:r>
      <w:r w:rsidRPr="007E5614">
        <w:t>e</w:t>
      </w:r>
      <w:r>
        <w:t xml:space="preserve"> information in</w:t>
      </w:r>
      <w:r w:rsidRPr="007E5614">
        <w:t xml:space="preserve"> our annual reports to ensure we’re presenting you and all Tasmanians with relevant and easy to interpret information on our activities and performance. This includes progressive review and revision of our various performance indicators. </w:t>
      </w:r>
    </w:p>
    <w:p w:rsidR="00AF2CF5" w:rsidRPr="007E5614" w:rsidRDefault="00AF2CF5" w:rsidP="00AF2CF5">
      <w:pPr>
        <w:keepNext/>
        <w:keepLines/>
        <w:widowControl w:val="0"/>
      </w:pPr>
      <w:r w:rsidRPr="007E5614">
        <w:lastRenderedPageBreak/>
        <w:t xml:space="preserve">Ministers, I am very pleased to provide the DHHS Annual Report to you for the 2015-16 financial </w:t>
      </w:r>
      <w:proofErr w:type="gramStart"/>
      <w:r w:rsidRPr="007E5614">
        <w:t>year</w:t>
      </w:r>
      <w:proofErr w:type="gramEnd"/>
      <w:r w:rsidRPr="007E5614">
        <w:t>.</w:t>
      </w:r>
    </w:p>
    <w:p w:rsidR="00AF2CF5" w:rsidRPr="007E5614" w:rsidRDefault="00AF2CF5" w:rsidP="00AF2CF5">
      <w:r w:rsidRPr="007E5614">
        <w:rPr>
          <w:noProof/>
          <w:lang w:eastAsia="en-AU"/>
        </w:rPr>
        <w:drawing>
          <wp:anchor distT="0" distB="0" distL="114300" distR="114300" simplePos="0" relativeHeight="251661312" behindDoc="0" locked="0" layoutInCell="1" allowOverlap="1" wp14:anchorId="7C65465F" wp14:editId="5449A851">
            <wp:simplePos x="716890" y="914400"/>
            <wp:positionH relativeFrom="column">
              <wp:align>left</wp:align>
            </wp:positionH>
            <wp:positionV relativeFrom="paragraph">
              <wp:align>top</wp:align>
            </wp:positionV>
            <wp:extent cx="1244600" cy="790575"/>
            <wp:effectExtent l="0" t="0" r="0" b="9525"/>
            <wp:wrapSquare wrapText="bothSides"/>
            <wp:docPr id="6" name="Picture 6" title="Image: Signature - Michael Per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44600" cy="790575"/>
                    </a:xfrm>
                    <a:prstGeom prst="rect">
                      <a:avLst/>
                    </a:prstGeom>
                    <a:noFill/>
                    <a:ln>
                      <a:noFill/>
                    </a:ln>
                  </pic:spPr>
                </pic:pic>
              </a:graphicData>
            </a:graphic>
          </wp:anchor>
        </w:drawing>
      </w:r>
      <w:r>
        <w:br w:type="textWrapping" w:clear="all"/>
      </w:r>
    </w:p>
    <w:p w:rsidR="00AF2CF5" w:rsidRDefault="00AF2CF5" w:rsidP="00AF2CF5">
      <w:pPr>
        <w:spacing w:after="0"/>
      </w:pPr>
      <w:r w:rsidRPr="007E5614">
        <w:t>Michael Pervan</w:t>
      </w:r>
    </w:p>
    <w:p w:rsidR="00AF2CF5" w:rsidRDefault="00AF2CF5" w:rsidP="00AF2CF5">
      <w:pPr>
        <w:spacing w:after="0"/>
        <w:rPr>
          <w:b/>
        </w:rPr>
      </w:pPr>
      <w:r w:rsidRPr="007E5614">
        <w:rPr>
          <w:b/>
        </w:rPr>
        <w:t>Secretary</w:t>
      </w:r>
    </w:p>
    <w:p w:rsidR="00AF2CF5" w:rsidRDefault="00AF2CF5" w:rsidP="00AF2CF5">
      <w:pPr>
        <w:spacing w:after="0"/>
        <w:rPr>
          <w:b/>
        </w:rPr>
        <w:sectPr w:rsidR="00AF2CF5" w:rsidSect="00DF724A">
          <w:type w:val="continuous"/>
          <w:pgSz w:w="11906" w:h="16838"/>
          <w:pgMar w:top="1440" w:right="1440" w:bottom="1440" w:left="1440" w:header="708" w:footer="708" w:gutter="0"/>
          <w:pgNumType w:start="9"/>
          <w:cols w:space="708"/>
          <w:docGrid w:linePitch="360"/>
        </w:sectPr>
      </w:pPr>
    </w:p>
    <w:p w:rsidR="00AF2CF5" w:rsidRDefault="00AF2CF5" w:rsidP="00AF2CF5">
      <w:pPr>
        <w:spacing w:after="0"/>
        <w:rPr>
          <w:b/>
        </w:rPr>
      </w:pPr>
      <w:r w:rsidRPr="007E5614">
        <w:rPr>
          <w:noProof/>
          <w:lang w:eastAsia="en-AU"/>
        </w:rPr>
        <w:lastRenderedPageBreak/>
        <w:drawing>
          <wp:anchor distT="0" distB="0" distL="114300" distR="114300" simplePos="0" relativeHeight="251663360" behindDoc="1" locked="0" layoutInCell="1" allowOverlap="1" wp14:anchorId="17BDB0CC" wp14:editId="6334344F">
            <wp:simplePos x="0" y="0"/>
            <wp:positionH relativeFrom="page">
              <wp:posOffset>2575</wp:posOffset>
            </wp:positionH>
            <wp:positionV relativeFrom="paragraph">
              <wp:posOffset>-910578</wp:posOffset>
            </wp:positionV>
            <wp:extent cx="7565390" cy="10699115"/>
            <wp:effectExtent l="0" t="0" r="0" b="6985"/>
            <wp:wrapNone/>
            <wp:docPr id="1" name="Picture 1" title="Image - Section Break -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HS Annual Report Elements for Word 2014-15-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65390" cy="10699115"/>
                    </a:xfrm>
                    <a:prstGeom prst="rect">
                      <a:avLst/>
                    </a:prstGeom>
                    <a:extLst>
                      <a:ext uri="{FAA26D3D-D897-4be2-8F04-BA451C77F1D7}">
                        <ma14:placeholderFlag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anchor>
        </w:drawing>
      </w:r>
    </w:p>
    <w:p w:rsidR="00AF2CF5" w:rsidRDefault="00AF2CF5" w:rsidP="00AF2CF5">
      <w:pPr>
        <w:spacing w:after="12360"/>
        <w:rPr>
          <w:b/>
        </w:rPr>
      </w:pPr>
    </w:p>
    <w:p w:rsidR="00AF2CF5" w:rsidRDefault="00AF2CF5" w:rsidP="00AF2CF5">
      <w:pPr>
        <w:spacing w:after="12360"/>
        <w:rPr>
          <w:rFonts w:ascii="GillSans Light" w:hAnsi="GillSans Light"/>
          <w:caps/>
        </w:rPr>
        <w:sectPr w:rsidR="00AF2CF5" w:rsidSect="00AF2CF5">
          <w:pgSz w:w="11906" w:h="16838"/>
          <w:pgMar w:top="1440" w:right="1440" w:bottom="1440" w:left="1440" w:header="708" w:footer="708" w:gutter="0"/>
          <w:cols w:space="708"/>
          <w:docGrid w:linePitch="360"/>
        </w:sectPr>
      </w:pPr>
    </w:p>
    <w:p w:rsidR="00AF2CF5" w:rsidRDefault="00AF2CF5" w:rsidP="00DF724A">
      <w:pPr>
        <w:pStyle w:val="Heading3"/>
      </w:pPr>
      <w:r w:rsidRPr="007E5614">
        <w:lastRenderedPageBreak/>
        <w:t xml:space="preserve">Contents – Part 1 </w:t>
      </w:r>
      <w:r>
        <w:t>–</w:t>
      </w:r>
      <w:r w:rsidRPr="007E5614">
        <w:t xml:space="preserve"> Overview</w:t>
      </w:r>
    </w:p>
    <w:p w:rsidR="00AF2CF5" w:rsidRDefault="00AF2CF5" w:rsidP="00AF2CF5"/>
    <w:p w:rsidR="004E6D27" w:rsidRDefault="008604AA">
      <w:pPr>
        <w:pStyle w:val="TOC2"/>
        <w:tabs>
          <w:tab w:val="right" w:leader="dot" w:pos="9016"/>
        </w:tabs>
        <w:rPr>
          <w:rFonts w:asciiTheme="minorHAnsi" w:eastAsiaTheme="minorEastAsia" w:hAnsiTheme="minorHAnsi"/>
          <w:noProof/>
          <w:lang w:eastAsia="en-AU"/>
        </w:rPr>
      </w:pPr>
      <w:r>
        <w:fldChar w:fldCharType="begin"/>
      </w:r>
      <w:r>
        <w:instrText xml:space="preserve"> TOC \o "2-2" \h \z \u </w:instrText>
      </w:r>
      <w:r>
        <w:fldChar w:fldCharType="separate"/>
      </w:r>
      <w:hyperlink w:anchor="_Toc465174241" w:history="1">
        <w:r w:rsidR="004E6D27" w:rsidRPr="00F5012F">
          <w:rPr>
            <w:rStyle w:val="Hyperlink"/>
            <w:noProof/>
          </w:rPr>
          <w:t>DHHS Overview</w:t>
        </w:r>
        <w:r w:rsidR="004E6D27">
          <w:rPr>
            <w:noProof/>
            <w:webHidden/>
          </w:rPr>
          <w:tab/>
        </w:r>
        <w:r w:rsidR="004E6D27">
          <w:rPr>
            <w:noProof/>
            <w:webHidden/>
          </w:rPr>
          <w:fldChar w:fldCharType="begin"/>
        </w:r>
        <w:r w:rsidR="004E6D27">
          <w:rPr>
            <w:noProof/>
            <w:webHidden/>
          </w:rPr>
          <w:instrText xml:space="preserve"> PAGEREF _Toc465174241 \h </w:instrText>
        </w:r>
        <w:r w:rsidR="004E6D27">
          <w:rPr>
            <w:noProof/>
            <w:webHidden/>
          </w:rPr>
        </w:r>
        <w:r w:rsidR="004E6D27">
          <w:rPr>
            <w:noProof/>
            <w:webHidden/>
          </w:rPr>
          <w:fldChar w:fldCharType="separate"/>
        </w:r>
        <w:r w:rsidR="00EC5964">
          <w:rPr>
            <w:noProof/>
            <w:webHidden/>
          </w:rPr>
          <w:t>11</w:t>
        </w:r>
        <w:r w:rsidR="004E6D27">
          <w:rPr>
            <w:noProof/>
            <w:webHidden/>
          </w:rPr>
          <w:fldChar w:fldCharType="end"/>
        </w:r>
      </w:hyperlink>
    </w:p>
    <w:p w:rsidR="004E6D27" w:rsidRDefault="001D0360">
      <w:pPr>
        <w:pStyle w:val="TOC2"/>
        <w:tabs>
          <w:tab w:val="right" w:leader="dot" w:pos="9016"/>
        </w:tabs>
        <w:rPr>
          <w:rFonts w:asciiTheme="minorHAnsi" w:eastAsiaTheme="minorEastAsia" w:hAnsiTheme="minorHAnsi"/>
          <w:noProof/>
          <w:lang w:eastAsia="en-AU"/>
        </w:rPr>
      </w:pPr>
      <w:hyperlink w:anchor="_Toc465174242" w:history="1">
        <w:r w:rsidR="004E6D27" w:rsidRPr="00F5012F">
          <w:rPr>
            <w:rStyle w:val="Hyperlink"/>
            <w:noProof/>
          </w:rPr>
          <w:t>Financial Overview</w:t>
        </w:r>
        <w:r w:rsidR="004E6D27">
          <w:rPr>
            <w:noProof/>
            <w:webHidden/>
          </w:rPr>
          <w:tab/>
        </w:r>
        <w:r w:rsidR="004E6D27">
          <w:rPr>
            <w:noProof/>
            <w:webHidden/>
          </w:rPr>
          <w:fldChar w:fldCharType="begin"/>
        </w:r>
        <w:r w:rsidR="004E6D27">
          <w:rPr>
            <w:noProof/>
            <w:webHidden/>
          </w:rPr>
          <w:instrText xml:space="preserve"> PAGEREF _Toc465174242 \h </w:instrText>
        </w:r>
        <w:r w:rsidR="004E6D27">
          <w:rPr>
            <w:noProof/>
            <w:webHidden/>
          </w:rPr>
        </w:r>
        <w:r w:rsidR="004E6D27">
          <w:rPr>
            <w:noProof/>
            <w:webHidden/>
          </w:rPr>
          <w:fldChar w:fldCharType="separate"/>
        </w:r>
        <w:r w:rsidR="00EC5964">
          <w:rPr>
            <w:noProof/>
            <w:webHidden/>
          </w:rPr>
          <w:t>14</w:t>
        </w:r>
        <w:r w:rsidR="004E6D27">
          <w:rPr>
            <w:noProof/>
            <w:webHidden/>
          </w:rPr>
          <w:fldChar w:fldCharType="end"/>
        </w:r>
      </w:hyperlink>
    </w:p>
    <w:p w:rsidR="004E6D27" w:rsidRDefault="001D0360">
      <w:pPr>
        <w:pStyle w:val="TOC2"/>
        <w:tabs>
          <w:tab w:val="right" w:leader="dot" w:pos="9016"/>
        </w:tabs>
        <w:rPr>
          <w:rFonts w:asciiTheme="minorHAnsi" w:eastAsiaTheme="minorEastAsia" w:hAnsiTheme="minorHAnsi"/>
          <w:noProof/>
          <w:lang w:eastAsia="en-AU"/>
        </w:rPr>
      </w:pPr>
      <w:hyperlink w:anchor="_Toc465174243" w:history="1">
        <w:r w:rsidR="004E6D27" w:rsidRPr="00F5012F">
          <w:rPr>
            <w:rStyle w:val="Hyperlink"/>
            <w:noProof/>
          </w:rPr>
          <w:t>Expenses</w:t>
        </w:r>
        <w:r w:rsidR="004E6D27">
          <w:rPr>
            <w:noProof/>
            <w:webHidden/>
          </w:rPr>
          <w:tab/>
        </w:r>
        <w:r w:rsidR="004E6D27">
          <w:rPr>
            <w:noProof/>
            <w:webHidden/>
          </w:rPr>
          <w:fldChar w:fldCharType="begin"/>
        </w:r>
        <w:r w:rsidR="004E6D27">
          <w:rPr>
            <w:noProof/>
            <w:webHidden/>
          </w:rPr>
          <w:instrText xml:space="preserve"> PAGEREF _Toc465174243 \h </w:instrText>
        </w:r>
        <w:r w:rsidR="004E6D27">
          <w:rPr>
            <w:noProof/>
            <w:webHidden/>
          </w:rPr>
        </w:r>
        <w:r w:rsidR="004E6D27">
          <w:rPr>
            <w:noProof/>
            <w:webHidden/>
          </w:rPr>
          <w:fldChar w:fldCharType="separate"/>
        </w:r>
        <w:r w:rsidR="00EC5964">
          <w:rPr>
            <w:noProof/>
            <w:webHidden/>
          </w:rPr>
          <w:t>14</w:t>
        </w:r>
        <w:r w:rsidR="004E6D27">
          <w:rPr>
            <w:noProof/>
            <w:webHidden/>
          </w:rPr>
          <w:fldChar w:fldCharType="end"/>
        </w:r>
      </w:hyperlink>
    </w:p>
    <w:p w:rsidR="004E6D27" w:rsidRDefault="001D0360">
      <w:pPr>
        <w:pStyle w:val="TOC2"/>
        <w:tabs>
          <w:tab w:val="right" w:leader="dot" w:pos="9016"/>
        </w:tabs>
        <w:rPr>
          <w:rFonts w:asciiTheme="minorHAnsi" w:eastAsiaTheme="minorEastAsia" w:hAnsiTheme="minorHAnsi"/>
          <w:noProof/>
          <w:lang w:eastAsia="en-AU"/>
        </w:rPr>
      </w:pPr>
      <w:hyperlink w:anchor="_Toc465174244" w:history="1">
        <w:r w:rsidR="004E6D27" w:rsidRPr="00F5012F">
          <w:rPr>
            <w:rStyle w:val="Hyperlink"/>
            <w:noProof/>
          </w:rPr>
          <w:t>Workforce Overview</w:t>
        </w:r>
        <w:r w:rsidR="004E6D27">
          <w:rPr>
            <w:noProof/>
            <w:webHidden/>
          </w:rPr>
          <w:tab/>
        </w:r>
        <w:r w:rsidR="004E6D27">
          <w:rPr>
            <w:noProof/>
            <w:webHidden/>
          </w:rPr>
          <w:fldChar w:fldCharType="begin"/>
        </w:r>
        <w:r w:rsidR="004E6D27">
          <w:rPr>
            <w:noProof/>
            <w:webHidden/>
          </w:rPr>
          <w:instrText xml:space="preserve"> PAGEREF _Toc465174244 \h </w:instrText>
        </w:r>
        <w:r w:rsidR="004E6D27">
          <w:rPr>
            <w:noProof/>
            <w:webHidden/>
          </w:rPr>
        </w:r>
        <w:r w:rsidR="004E6D27">
          <w:rPr>
            <w:noProof/>
            <w:webHidden/>
          </w:rPr>
          <w:fldChar w:fldCharType="separate"/>
        </w:r>
        <w:r w:rsidR="00EC5964">
          <w:rPr>
            <w:noProof/>
            <w:webHidden/>
          </w:rPr>
          <w:t>17</w:t>
        </w:r>
        <w:r w:rsidR="004E6D27">
          <w:rPr>
            <w:noProof/>
            <w:webHidden/>
          </w:rPr>
          <w:fldChar w:fldCharType="end"/>
        </w:r>
      </w:hyperlink>
    </w:p>
    <w:p w:rsidR="004E6D27" w:rsidRDefault="001D0360">
      <w:pPr>
        <w:pStyle w:val="TOC2"/>
        <w:tabs>
          <w:tab w:val="right" w:leader="dot" w:pos="9016"/>
        </w:tabs>
        <w:rPr>
          <w:rFonts w:asciiTheme="minorHAnsi" w:eastAsiaTheme="minorEastAsia" w:hAnsiTheme="minorHAnsi"/>
          <w:noProof/>
          <w:lang w:eastAsia="en-AU"/>
        </w:rPr>
      </w:pPr>
      <w:hyperlink w:anchor="_Toc465174245" w:history="1">
        <w:r w:rsidR="004E6D27" w:rsidRPr="00F5012F">
          <w:rPr>
            <w:rStyle w:val="Hyperlink"/>
            <w:noProof/>
          </w:rPr>
          <w:t>Stakeholder Engagement</w:t>
        </w:r>
        <w:r w:rsidR="004E6D27">
          <w:rPr>
            <w:noProof/>
            <w:webHidden/>
          </w:rPr>
          <w:tab/>
        </w:r>
        <w:r w:rsidR="004E6D27">
          <w:rPr>
            <w:noProof/>
            <w:webHidden/>
          </w:rPr>
          <w:fldChar w:fldCharType="begin"/>
        </w:r>
        <w:r w:rsidR="004E6D27">
          <w:rPr>
            <w:noProof/>
            <w:webHidden/>
          </w:rPr>
          <w:instrText xml:space="preserve"> PAGEREF _Toc465174245 \h </w:instrText>
        </w:r>
        <w:r w:rsidR="004E6D27">
          <w:rPr>
            <w:noProof/>
            <w:webHidden/>
          </w:rPr>
        </w:r>
        <w:r w:rsidR="004E6D27">
          <w:rPr>
            <w:noProof/>
            <w:webHidden/>
          </w:rPr>
          <w:fldChar w:fldCharType="separate"/>
        </w:r>
        <w:r w:rsidR="00EC5964">
          <w:rPr>
            <w:noProof/>
            <w:webHidden/>
          </w:rPr>
          <w:t>23</w:t>
        </w:r>
        <w:r w:rsidR="004E6D27">
          <w:rPr>
            <w:noProof/>
            <w:webHidden/>
          </w:rPr>
          <w:fldChar w:fldCharType="end"/>
        </w:r>
      </w:hyperlink>
    </w:p>
    <w:p w:rsidR="004E6D27" w:rsidRDefault="001D0360">
      <w:pPr>
        <w:pStyle w:val="TOC2"/>
        <w:tabs>
          <w:tab w:val="right" w:leader="dot" w:pos="9016"/>
        </w:tabs>
        <w:rPr>
          <w:rFonts w:asciiTheme="minorHAnsi" w:eastAsiaTheme="minorEastAsia" w:hAnsiTheme="minorHAnsi"/>
          <w:noProof/>
          <w:lang w:eastAsia="en-AU"/>
        </w:rPr>
      </w:pPr>
      <w:hyperlink w:anchor="_Toc465174246" w:history="1">
        <w:r w:rsidR="004E6D27" w:rsidRPr="00F5012F">
          <w:rPr>
            <w:rStyle w:val="Hyperlink"/>
            <w:noProof/>
          </w:rPr>
          <w:t>Disability Framework for Action</w:t>
        </w:r>
        <w:r w:rsidR="004E6D27">
          <w:rPr>
            <w:noProof/>
            <w:webHidden/>
          </w:rPr>
          <w:tab/>
        </w:r>
        <w:r w:rsidR="004E6D27">
          <w:rPr>
            <w:noProof/>
            <w:webHidden/>
          </w:rPr>
          <w:fldChar w:fldCharType="begin"/>
        </w:r>
        <w:r w:rsidR="004E6D27">
          <w:rPr>
            <w:noProof/>
            <w:webHidden/>
          </w:rPr>
          <w:instrText xml:space="preserve"> PAGEREF _Toc465174246 \h </w:instrText>
        </w:r>
        <w:r w:rsidR="004E6D27">
          <w:rPr>
            <w:noProof/>
            <w:webHidden/>
          </w:rPr>
        </w:r>
        <w:r w:rsidR="004E6D27">
          <w:rPr>
            <w:noProof/>
            <w:webHidden/>
          </w:rPr>
          <w:fldChar w:fldCharType="separate"/>
        </w:r>
        <w:r w:rsidR="00EC5964">
          <w:rPr>
            <w:noProof/>
            <w:webHidden/>
          </w:rPr>
          <w:t>25</w:t>
        </w:r>
        <w:r w:rsidR="004E6D27">
          <w:rPr>
            <w:noProof/>
            <w:webHidden/>
          </w:rPr>
          <w:fldChar w:fldCharType="end"/>
        </w:r>
      </w:hyperlink>
    </w:p>
    <w:p w:rsidR="004E6D27" w:rsidRDefault="001D0360">
      <w:pPr>
        <w:pStyle w:val="TOC2"/>
        <w:tabs>
          <w:tab w:val="right" w:leader="dot" w:pos="9016"/>
        </w:tabs>
        <w:rPr>
          <w:rFonts w:asciiTheme="minorHAnsi" w:eastAsiaTheme="minorEastAsia" w:hAnsiTheme="minorHAnsi"/>
          <w:noProof/>
          <w:lang w:eastAsia="en-AU"/>
        </w:rPr>
      </w:pPr>
      <w:hyperlink w:anchor="_Toc465174247" w:history="1">
        <w:r w:rsidR="004E6D27" w:rsidRPr="00F5012F">
          <w:rPr>
            <w:rStyle w:val="Hyperlink"/>
            <w:noProof/>
          </w:rPr>
          <w:t>Key Achievements 2015-16</w:t>
        </w:r>
        <w:r w:rsidR="004E6D27">
          <w:rPr>
            <w:noProof/>
            <w:webHidden/>
          </w:rPr>
          <w:tab/>
        </w:r>
        <w:r w:rsidR="004E6D27">
          <w:rPr>
            <w:noProof/>
            <w:webHidden/>
          </w:rPr>
          <w:fldChar w:fldCharType="begin"/>
        </w:r>
        <w:r w:rsidR="004E6D27">
          <w:rPr>
            <w:noProof/>
            <w:webHidden/>
          </w:rPr>
          <w:instrText xml:space="preserve"> PAGEREF _Toc465174247 \h </w:instrText>
        </w:r>
        <w:r w:rsidR="004E6D27">
          <w:rPr>
            <w:noProof/>
            <w:webHidden/>
          </w:rPr>
        </w:r>
        <w:r w:rsidR="004E6D27">
          <w:rPr>
            <w:noProof/>
            <w:webHidden/>
          </w:rPr>
          <w:fldChar w:fldCharType="separate"/>
        </w:r>
        <w:r w:rsidR="00EC5964">
          <w:rPr>
            <w:noProof/>
            <w:webHidden/>
          </w:rPr>
          <w:t>26</w:t>
        </w:r>
        <w:r w:rsidR="004E6D27">
          <w:rPr>
            <w:noProof/>
            <w:webHidden/>
          </w:rPr>
          <w:fldChar w:fldCharType="end"/>
        </w:r>
      </w:hyperlink>
    </w:p>
    <w:p w:rsidR="004E6D27" w:rsidRDefault="001D0360">
      <w:pPr>
        <w:pStyle w:val="TOC2"/>
        <w:tabs>
          <w:tab w:val="right" w:leader="dot" w:pos="9016"/>
        </w:tabs>
        <w:rPr>
          <w:rFonts w:asciiTheme="minorHAnsi" w:eastAsiaTheme="minorEastAsia" w:hAnsiTheme="minorHAnsi"/>
          <w:noProof/>
          <w:lang w:eastAsia="en-AU"/>
        </w:rPr>
      </w:pPr>
      <w:hyperlink w:anchor="_Toc465174248" w:history="1">
        <w:r w:rsidR="004E6D27" w:rsidRPr="00F5012F">
          <w:rPr>
            <w:rStyle w:val="Hyperlink"/>
            <w:noProof/>
          </w:rPr>
          <w:t>Performance Measures 2015-16</w:t>
        </w:r>
        <w:r w:rsidR="004E6D27">
          <w:rPr>
            <w:noProof/>
            <w:webHidden/>
          </w:rPr>
          <w:tab/>
        </w:r>
        <w:r w:rsidR="004E6D27">
          <w:rPr>
            <w:noProof/>
            <w:webHidden/>
          </w:rPr>
          <w:fldChar w:fldCharType="begin"/>
        </w:r>
        <w:r w:rsidR="004E6D27">
          <w:rPr>
            <w:noProof/>
            <w:webHidden/>
          </w:rPr>
          <w:instrText xml:space="preserve"> PAGEREF _Toc465174248 \h </w:instrText>
        </w:r>
        <w:r w:rsidR="004E6D27">
          <w:rPr>
            <w:noProof/>
            <w:webHidden/>
          </w:rPr>
        </w:r>
        <w:r w:rsidR="004E6D27">
          <w:rPr>
            <w:noProof/>
            <w:webHidden/>
          </w:rPr>
          <w:fldChar w:fldCharType="separate"/>
        </w:r>
        <w:r w:rsidR="00EC5964">
          <w:rPr>
            <w:noProof/>
            <w:webHidden/>
          </w:rPr>
          <w:t>33</w:t>
        </w:r>
        <w:r w:rsidR="004E6D27">
          <w:rPr>
            <w:noProof/>
            <w:webHidden/>
          </w:rPr>
          <w:fldChar w:fldCharType="end"/>
        </w:r>
      </w:hyperlink>
    </w:p>
    <w:p w:rsidR="004E6D27" w:rsidRDefault="001D0360">
      <w:pPr>
        <w:pStyle w:val="TOC2"/>
        <w:tabs>
          <w:tab w:val="right" w:leader="dot" w:pos="9016"/>
        </w:tabs>
        <w:rPr>
          <w:rFonts w:asciiTheme="minorHAnsi" w:eastAsiaTheme="minorEastAsia" w:hAnsiTheme="minorHAnsi"/>
          <w:noProof/>
          <w:lang w:eastAsia="en-AU"/>
        </w:rPr>
      </w:pPr>
      <w:hyperlink w:anchor="_Toc465174249" w:history="1">
        <w:r w:rsidR="004E6D27" w:rsidRPr="00F5012F">
          <w:rPr>
            <w:rStyle w:val="Hyperlink"/>
            <w:noProof/>
          </w:rPr>
          <w:t>DHHS in 2016-17</w:t>
        </w:r>
        <w:r w:rsidR="004E6D27">
          <w:rPr>
            <w:noProof/>
            <w:webHidden/>
          </w:rPr>
          <w:tab/>
        </w:r>
        <w:r w:rsidR="004E6D27">
          <w:rPr>
            <w:noProof/>
            <w:webHidden/>
          </w:rPr>
          <w:fldChar w:fldCharType="begin"/>
        </w:r>
        <w:r w:rsidR="004E6D27">
          <w:rPr>
            <w:noProof/>
            <w:webHidden/>
          </w:rPr>
          <w:instrText xml:space="preserve"> PAGEREF _Toc465174249 \h </w:instrText>
        </w:r>
        <w:r w:rsidR="004E6D27">
          <w:rPr>
            <w:noProof/>
            <w:webHidden/>
          </w:rPr>
        </w:r>
        <w:r w:rsidR="004E6D27">
          <w:rPr>
            <w:noProof/>
            <w:webHidden/>
          </w:rPr>
          <w:fldChar w:fldCharType="separate"/>
        </w:r>
        <w:r w:rsidR="00EC5964">
          <w:rPr>
            <w:noProof/>
            <w:webHidden/>
          </w:rPr>
          <w:t>47</w:t>
        </w:r>
        <w:r w:rsidR="004E6D27">
          <w:rPr>
            <w:noProof/>
            <w:webHidden/>
          </w:rPr>
          <w:fldChar w:fldCharType="end"/>
        </w:r>
      </w:hyperlink>
    </w:p>
    <w:p w:rsidR="00AF2CF5" w:rsidRDefault="008604AA" w:rsidP="00AF2CF5">
      <w:r>
        <w:fldChar w:fldCharType="end"/>
      </w:r>
    </w:p>
    <w:p w:rsidR="00AF2CF5" w:rsidRDefault="00AF2CF5" w:rsidP="00AF2CF5">
      <w:pPr>
        <w:sectPr w:rsidR="00AF2CF5" w:rsidSect="00AF2CF5">
          <w:pgSz w:w="11906" w:h="16838"/>
          <w:pgMar w:top="1440" w:right="1440" w:bottom="1440" w:left="1440" w:header="708" w:footer="708" w:gutter="0"/>
          <w:cols w:space="708"/>
          <w:docGrid w:linePitch="360"/>
        </w:sectPr>
      </w:pPr>
    </w:p>
    <w:p w:rsidR="00AF2CF5" w:rsidRPr="007E5614" w:rsidRDefault="00AF2CF5" w:rsidP="00DA2A27">
      <w:pPr>
        <w:pStyle w:val="Heading2"/>
      </w:pPr>
      <w:bookmarkStart w:id="5" w:name="_Toc461619322"/>
      <w:bookmarkStart w:id="6" w:name="_Toc465174241"/>
      <w:r w:rsidRPr="007E5614">
        <w:lastRenderedPageBreak/>
        <w:t>DHHS Overview</w:t>
      </w:r>
      <w:bookmarkEnd w:id="5"/>
      <w:bookmarkEnd w:id="6"/>
    </w:p>
    <w:p w:rsidR="00AF2CF5" w:rsidRPr="007E5614" w:rsidRDefault="00AF2CF5" w:rsidP="00AF2CF5">
      <w:pPr>
        <w:pStyle w:val="Heading3"/>
        <w:sectPr w:rsidR="00AF2CF5" w:rsidRPr="007E5614" w:rsidSect="004E6D27">
          <w:headerReference w:type="default" r:id="rId16"/>
          <w:footerReference w:type="default" r:id="rId17"/>
          <w:pgSz w:w="11906" w:h="16838" w:code="9"/>
          <w:pgMar w:top="907" w:right="1134" w:bottom="720" w:left="1134" w:header="709" w:footer="709" w:gutter="0"/>
          <w:pgNumType w:start="11"/>
          <w:cols w:space="708"/>
          <w:docGrid w:linePitch="360"/>
        </w:sectPr>
      </w:pPr>
    </w:p>
    <w:p w:rsidR="00AF2CF5" w:rsidRPr="007E5614" w:rsidRDefault="00AF2CF5" w:rsidP="00AF2CF5">
      <w:r w:rsidRPr="007E5614">
        <w:lastRenderedPageBreak/>
        <w:t>DHHS improves, promotes, protects and maintains the health, safety and wellbeing of Tasmanians through service planning and managing, procuring and delivering high quality health and human services.</w:t>
      </w:r>
    </w:p>
    <w:p w:rsidR="00AF2CF5" w:rsidRPr="007E5614" w:rsidRDefault="00AF2CF5" w:rsidP="00AF2CF5">
      <w:r w:rsidRPr="007E5614">
        <w:t xml:space="preserve">As outlined in our last Annual Report, a comprehensive organisational review was undertaken </w:t>
      </w:r>
      <w:r>
        <w:t>dur</w:t>
      </w:r>
      <w:r w:rsidRPr="007E5614">
        <w:t>in</w:t>
      </w:r>
      <w:r>
        <w:t>g</w:t>
      </w:r>
      <w:r w:rsidRPr="007E5614">
        <w:t xml:space="preserve"> 2014-15 to clarify and strengthen the Department’s role as system manager, reduce duplication and create a leaner, more efficient organisation. In 2015-16, we have worked to consolidate the recommendations of this review and reshaped DHHS to enable us to deliver better, more responsive and more efficient health and human services for all Tasmanians into the future.  </w:t>
      </w:r>
    </w:p>
    <w:p w:rsidR="00AF2CF5" w:rsidRPr="007E5614" w:rsidRDefault="00AF2CF5" w:rsidP="00DA2A27">
      <w:pPr>
        <w:pStyle w:val="Heading3"/>
      </w:pPr>
      <w:r w:rsidRPr="007E5614">
        <w:t>What We Do</w:t>
      </w:r>
    </w:p>
    <w:p w:rsidR="00AF2CF5" w:rsidRPr="007E5614" w:rsidRDefault="00AF2CF5" w:rsidP="00AF2CF5">
      <w:r w:rsidRPr="007E5614">
        <w:t>As a system manager, DHHS has an important role as a steward and strategic partner in health and human services delivery. The roles and responsibilities of system management are shared across all operational and departmental groups.</w:t>
      </w:r>
    </w:p>
    <w:p w:rsidR="00AF2CF5" w:rsidRDefault="00AF2CF5" w:rsidP="00AF2CF5">
      <w:r w:rsidRPr="007E5614">
        <w:t>The core components of system management include:</w:t>
      </w:r>
    </w:p>
    <w:p w:rsidR="00AF2CF5" w:rsidRPr="007E5614" w:rsidRDefault="00AF2CF5" w:rsidP="00AF2CF5">
      <w:pPr>
        <w:keepNext/>
        <w:keepLines/>
        <w:widowControl w:val="0"/>
        <w:numPr>
          <w:ilvl w:val="0"/>
          <w:numId w:val="3"/>
        </w:numPr>
        <w:spacing w:after="140" w:line="300" w:lineRule="atLeast"/>
        <w:ind w:left="567" w:hanging="567"/>
      </w:pPr>
      <w:r w:rsidRPr="007E5614">
        <w:t>monitoring and oversight of the health and human services systems</w:t>
      </w:r>
    </w:p>
    <w:p w:rsidR="00AF2CF5" w:rsidRPr="007E5614" w:rsidRDefault="00AF2CF5" w:rsidP="00AF2CF5">
      <w:pPr>
        <w:keepNext/>
        <w:keepLines/>
        <w:widowControl w:val="0"/>
        <w:numPr>
          <w:ilvl w:val="0"/>
          <w:numId w:val="3"/>
        </w:numPr>
        <w:spacing w:after="140" w:line="300" w:lineRule="atLeast"/>
        <w:ind w:left="567" w:hanging="567"/>
      </w:pPr>
      <w:r w:rsidRPr="007E5614">
        <w:t>describing and enacting the strategic direction of the health and human services systems</w:t>
      </w:r>
    </w:p>
    <w:p w:rsidR="00AF2CF5" w:rsidRPr="007E5614" w:rsidRDefault="00AF2CF5" w:rsidP="00AF2CF5">
      <w:pPr>
        <w:keepNext/>
        <w:keepLines/>
        <w:widowControl w:val="0"/>
        <w:numPr>
          <w:ilvl w:val="0"/>
          <w:numId w:val="3"/>
        </w:numPr>
        <w:spacing w:after="140" w:line="300" w:lineRule="atLeast"/>
        <w:ind w:left="567" w:hanging="567"/>
      </w:pPr>
      <w:r w:rsidRPr="007E5614">
        <w:t>continuous improvement in the quality of care and service provision</w:t>
      </w:r>
    </w:p>
    <w:p w:rsidR="00AF2CF5" w:rsidRPr="007E5614" w:rsidRDefault="00AF2CF5" w:rsidP="00AF2CF5">
      <w:pPr>
        <w:keepNext/>
        <w:keepLines/>
        <w:widowControl w:val="0"/>
        <w:numPr>
          <w:ilvl w:val="0"/>
          <w:numId w:val="3"/>
        </w:numPr>
        <w:spacing w:after="140" w:line="300" w:lineRule="atLeast"/>
        <w:ind w:left="567" w:hanging="567"/>
      </w:pPr>
      <w:r w:rsidRPr="007E5614">
        <w:t>planning and purchasing of services</w:t>
      </w:r>
    </w:p>
    <w:p w:rsidR="00AF2CF5" w:rsidRPr="007E5614" w:rsidRDefault="00AF2CF5" w:rsidP="00AF2CF5">
      <w:pPr>
        <w:keepNext/>
        <w:keepLines/>
        <w:widowControl w:val="0"/>
        <w:numPr>
          <w:ilvl w:val="0"/>
          <w:numId w:val="3"/>
        </w:numPr>
        <w:spacing w:after="140" w:line="300" w:lineRule="atLeast"/>
        <w:ind w:left="567" w:hanging="567"/>
      </w:pPr>
      <w:r w:rsidRPr="007E5614">
        <w:t xml:space="preserve">performance management (of service providers) </w:t>
      </w:r>
    </w:p>
    <w:p w:rsidR="00AF2CF5" w:rsidRDefault="00AF2CF5" w:rsidP="00AF2CF5">
      <w:pPr>
        <w:pStyle w:val="ListParagraph"/>
        <w:keepNext/>
        <w:keepLines/>
        <w:numPr>
          <w:ilvl w:val="0"/>
          <w:numId w:val="3"/>
        </w:numPr>
        <w:ind w:left="567" w:hanging="567"/>
      </w:pPr>
      <w:r>
        <w:t xml:space="preserve">public and internal </w:t>
      </w:r>
      <w:r w:rsidRPr="007E5614">
        <w:t>system reporting</w:t>
      </w:r>
    </w:p>
    <w:p w:rsidR="00AF2CF5" w:rsidRPr="007E5614" w:rsidRDefault="00AF2CF5" w:rsidP="00AF2CF5">
      <w:pPr>
        <w:keepNext/>
        <w:keepLines/>
        <w:widowControl w:val="0"/>
        <w:numPr>
          <w:ilvl w:val="0"/>
          <w:numId w:val="3"/>
        </w:numPr>
        <w:spacing w:after="140" w:line="300" w:lineRule="atLeast"/>
        <w:ind w:left="567" w:hanging="567"/>
      </w:pPr>
      <w:r>
        <w:br w:type="column"/>
      </w:r>
      <w:r w:rsidRPr="00E02298">
        <w:lastRenderedPageBreak/>
        <w:t>regulatory functions, including regulating public and private health service accreditation; licensing and regulating public hospitals, day procedure centres and non-emergency patient transport providers; and regulation of radiation materials and poisons</w:t>
      </w:r>
    </w:p>
    <w:p w:rsidR="00AF2CF5" w:rsidRPr="007E5614" w:rsidRDefault="00AF2CF5" w:rsidP="00AF2CF5">
      <w:pPr>
        <w:keepNext/>
        <w:keepLines/>
        <w:widowControl w:val="0"/>
        <w:numPr>
          <w:ilvl w:val="0"/>
          <w:numId w:val="3"/>
        </w:numPr>
        <w:spacing w:after="140" w:line="300" w:lineRule="atLeast"/>
        <w:ind w:left="567" w:hanging="567"/>
      </w:pPr>
      <w:r>
        <w:t>inter</w:t>
      </w:r>
      <w:r w:rsidRPr="007E5614">
        <w:t>government</w:t>
      </w:r>
      <w:r>
        <w:t>al</w:t>
      </w:r>
      <w:r w:rsidRPr="007E5614">
        <w:t xml:space="preserve"> relations</w:t>
      </w:r>
    </w:p>
    <w:p w:rsidR="00AF2CF5" w:rsidRPr="002570D7" w:rsidRDefault="00AF2CF5" w:rsidP="00AF2CF5">
      <w:pPr>
        <w:keepNext/>
        <w:keepLines/>
        <w:widowControl w:val="0"/>
        <w:numPr>
          <w:ilvl w:val="0"/>
          <w:numId w:val="3"/>
        </w:numPr>
        <w:spacing w:after="140" w:line="300" w:lineRule="atLeast"/>
        <w:ind w:left="567" w:hanging="567"/>
      </w:pPr>
      <w:r w:rsidRPr="002570D7">
        <w:t>contract management</w:t>
      </w:r>
    </w:p>
    <w:p w:rsidR="00AF2CF5" w:rsidRPr="00464E97" w:rsidRDefault="00AF2CF5" w:rsidP="00AF2CF5">
      <w:pPr>
        <w:pStyle w:val="ListParagraph"/>
        <w:keepNext/>
        <w:keepLines/>
        <w:numPr>
          <w:ilvl w:val="0"/>
          <w:numId w:val="3"/>
        </w:numPr>
        <w:spacing w:after="140" w:line="300" w:lineRule="atLeast"/>
        <w:ind w:left="567" w:hanging="567"/>
        <w:rPr>
          <w:rFonts w:ascii="Gill Sans MT" w:hAnsi="Gill Sans MT"/>
        </w:rPr>
      </w:pPr>
      <w:r w:rsidRPr="00464E97">
        <w:rPr>
          <w:rFonts w:ascii="Gill Sans MT" w:hAnsi="Gill Sans MT"/>
          <w:sz w:val="22"/>
          <w:szCs w:val="22"/>
        </w:rPr>
        <w:t>industrial relations, and</w:t>
      </w:r>
    </w:p>
    <w:p w:rsidR="00AF2CF5" w:rsidRPr="00464E97" w:rsidRDefault="00AF2CF5" w:rsidP="00AF2CF5">
      <w:pPr>
        <w:pStyle w:val="ListParagraph"/>
        <w:keepNext/>
        <w:keepLines/>
        <w:numPr>
          <w:ilvl w:val="0"/>
          <w:numId w:val="3"/>
        </w:numPr>
        <w:spacing w:after="140" w:line="300" w:lineRule="atLeast"/>
        <w:ind w:left="567" w:right="-71" w:hanging="567"/>
        <w:rPr>
          <w:rFonts w:ascii="Gill Sans MT" w:hAnsi="Gill Sans MT"/>
          <w:sz w:val="22"/>
          <w:szCs w:val="22"/>
        </w:rPr>
      </w:pPr>
      <w:proofErr w:type="gramStart"/>
      <w:r w:rsidRPr="00464E97">
        <w:rPr>
          <w:rFonts w:ascii="Gill Sans MT" w:hAnsi="Gill Sans MT"/>
          <w:sz w:val="22"/>
          <w:szCs w:val="22"/>
        </w:rPr>
        <w:t>planning</w:t>
      </w:r>
      <w:proofErr w:type="gramEnd"/>
      <w:r w:rsidRPr="00464E97">
        <w:rPr>
          <w:rFonts w:ascii="Gill Sans MT" w:hAnsi="Gill Sans MT"/>
          <w:sz w:val="22"/>
          <w:szCs w:val="22"/>
        </w:rPr>
        <w:t xml:space="preserve"> and purchasing of capital resources. </w:t>
      </w:r>
    </w:p>
    <w:p w:rsidR="00AF2CF5" w:rsidRDefault="00AF2CF5" w:rsidP="00AF2CF5">
      <w:r>
        <w:t xml:space="preserve">DHHS also has a major role in direct service provision. </w:t>
      </w:r>
      <w:r w:rsidRPr="007E5614">
        <w:t>Our four operational Groups (Ambulance Tasmania; Children and Youth Services; Housing, Disability and Community Services; and Public Health Services) deliver a rang</w:t>
      </w:r>
      <w:r>
        <w:t>e of essential public services.</w:t>
      </w:r>
    </w:p>
    <w:p w:rsidR="00AF2CF5" w:rsidRPr="007E5614" w:rsidRDefault="00AF2CF5" w:rsidP="00AF2CF5">
      <w:r w:rsidRPr="007E5614">
        <w:t>Vital corporate support services and core system manager fu</w:t>
      </w:r>
      <w:r>
        <w:t>nctions are provided by our two </w:t>
      </w:r>
      <w:r w:rsidRPr="007E5614">
        <w:t>departmental Groups</w:t>
      </w:r>
      <w:r>
        <w:t>:</w:t>
      </w:r>
      <w:r w:rsidRPr="007E5614">
        <w:t xml:space="preserve"> Corporate</w:t>
      </w:r>
      <w:r>
        <w:t>,</w:t>
      </w:r>
      <w:r w:rsidRPr="007E5614">
        <w:t xml:space="preserve"> Policy and Regulatory Services; and Planning, Purchasing and Performance. More information about each of the Groups is outlined below.  </w:t>
      </w:r>
    </w:p>
    <w:p w:rsidR="00AF2CF5" w:rsidRPr="007E5614" w:rsidRDefault="00AF2CF5" w:rsidP="00DA2A27">
      <w:pPr>
        <w:pStyle w:val="Heading4"/>
      </w:pPr>
      <w:r w:rsidRPr="007E5614">
        <w:t>Ambulance Tasmania</w:t>
      </w:r>
    </w:p>
    <w:p w:rsidR="00AF2CF5" w:rsidRPr="007E5614" w:rsidRDefault="00AF2CF5" w:rsidP="00AF2CF5">
      <w:r w:rsidRPr="007E5614">
        <w:t>Ambulance Tasmania (AT) provides integrated, high quality, pre-hospital emergency and medical care, health transport and medical retrieval services to the Tasmanian community.</w:t>
      </w:r>
    </w:p>
    <w:p w:rsidR="00AF2CF5" w:rsidRPr="007E5614" w:rsidRDefault="00AF2CF5" w:rsidP="00AF2CF5">
      <w:r w:rsidRPr="007E5614">
        <w:t>This range of services includes 55 ambulance response locations</w:t>
      </w:r>
      <w:r>
        <w:t xml:space="preserve"> across the S</w:t>
      </w:r>
      <w:r w:rsidRPr="007E5614">
        <w:t>tate. There are also approximately 600 community defibrillators registered with AT under the life-saving Early Access to Defibrillation program.</w:t>
      </w:r>
    </w:p>
    <w:p w:rsidR="00AF2CF5" w:rsidRPr="007E5614" w:rsidRDefault="00AF2CF5" w:rsidP="00AF2CF5">
      <w:r w:rsidRPr="007E5614">
        <w:t>Tasmania has a wide dispersal of highly qualified paramedics throughout urban and rural areas across the State. This includes appro</w:t>
      </w:r>
      <w:r>
        <w:t>ximately 600 </w:t>
      </w:r>
      <w:r w:rsidRPr="007E5614">
        <w:t>Volunteer Ambulance Officers across Tasmania.</w:t>
      </w:r>
    </w:p>
    <w:p w:rsidR="00AF2CF5" w:rsidRDefault="00AF2CF5" w:rsidP="00AF2CF5">
      <w:pPr>
        <w:rPr>
          <w:b/>
        </w:rPr>
      </w:pPr>
      <w:r>
        <w:rPr>
          <w:b/>
        </w:rPr>
        <w:br w:type="page"/>
      </w:r>
    </w:p>
    <w:p w:rsidR="00AF2CF5" w:rsidRPr="007E5614" w:rsidRDefault="00AF2CF5" w:rsidP="00DA2A27">
      <w:pPr>
        <w:pStyle w:val="Heading4"/>
      </w:pPr>
      <w:r w:rsidRPr="007E5614">
        <w:lastRenderedPageBreak/>
        <w:t>Children and Youth Services</w:t>
      </w:r>
    </w:p>
    <w:p w:rsidR="00AF2CF5" w:rsidRPr="007E5614" w:rsidRDefault="00AF2CF5" w:rsidP="00AF2CF5">
      <w:r w:rsidRPr="007E5614">
        <w:t>Children and Youth Services (CYS) provides a range of services and support that contribute to ensuring children, young people and their families are safe, nurtured and well.</w:t>
      </w:r>
    </w:p>
    <w:p w:rsidR="00AF2CF5" w:rsidRPr="007E5614" w:rsidRDefault="00AF2CF5" w:rsidP="00AF2CF5">
      <w:r w:rsidRPr="007E5614">
        <w:t>CYS provides services across three service portfolios: Early Years, Child Health and Parenting Services (</w:t>
      </w:r>
      <w:proofErr w:type="spellStart"/>
      <w:r w:rsidRPr="007E5614">
        <w:t>CHaPS</w:t>
      </w:r>
      <w:proofErr w:type="spellEnd"/>
      <w:r w:rsidRPr="007E5614">
        <w:t xml:space="preserve">); Services to Children and Families; and Services for Young People. These services are delivered by </w:t>
      </w:r>
      <w:proofErr w:type="gramStart"/>
      <w:r w:rsidRPr="007E5614">
        <w:t>a professional workforce who are</w:t>
      </w:r>
      <w:proofErr w:type="gramEnd"/>
      <w:r w:rsidRPr="007E5614">
        <w:t xml:space="preserve"> supported by the Program Support and Quality Improvement and Workforce Development teams.</w:t>
      </w:r>
    </w:p>
    <w:p w:rsidR="00AF2CF5" w:rsidRPr="007E5614" w:rsidRDefault="00AF2CF5" w:rsidP="00AF2CF5">
      <w:r w:rsidRPr="007E5614">
        <w:t>Client service activities include:</w:t>
      </w:r>
    </w:p>
    <w:p w:rsidR="00AF2CF5" w:rsidRPr="007E5614" w:rsidRDefault="00AF2CF5" w:rsidP="00AF2CF5">
      <w:pPr>
        <w:widowControl w:val="0"/>
        <w:numPr>
          <w:ilvl w:val="0"/>
          <w:numId w:val="3"/>
        </w:numPr>
        <w:spacing w:after="140" w:line="300" w:lineRule="atLeast"/>
        <w:ind w:left="567" w:hanging="567"/>
      </w:pPr>
      <w:proofErr w:type="spellStart"/>
      <w:r w:rsidRPr="007E5614">
        <w:t>CHaPS</w:t>
      </w:r>
      <w:proofErr w:type="spellEnd"/>
      <w:r w:rsidRPr="007E5614">
        <w:t xml:space="preserve"> delivers a universal child health service to al</w:t>
      </w:r>
      <w:r>
        <w:t>l children in Tasmania aged 0</w:t>
      </w:r>
      <w:r>
        <w:noBreakHyphen/>
        <w:t>5 </w:t>
      </w:r>
      <w:r w:rsidRPr="007E5614">
        <w:t xml:space="preserve">years, operating from clinics and providing home visits throughout </w:t>
      </w:r>
      <w:r>
        <w:t>the S</w:t>
      </w:r>
      <w:r w:rsidRPr="007E5614">
        <w:t>tate. This service w</w:t>
      </w:r>
      <w:r>
        <w:t>ill transfer to the THS in 2016</w:t>
      </w:r>
      <w:r>
        <w:noBreakHyphen/>
      </w:r>
      <w:r w:rsidRPr="007E5614">
        <w:t>17.</w:t>
      </w:r>
    </w:p>
    <w:p w:rsidR="00AF2CF5" w:rsidRPr="007E5614" w:rsidRDefault="00AF2CF5" w:rsidP="00AF2CF5">
      <w:pPr>
        <w:widowControl w:val="0"/>
        <w:numPr>
          <w:ilvl w:val="0"/>
          <w:numId w:val="3"/>
        </w:numPr>
        <w:spacing w:after="140" w:line="300" w:lineRule="atLeast"/>
        <w:ind w:left="567" w:hanging="567"/>
      </w:pPr>
      <w:r w:rsidRPr="007E5614">
        <w:t>CPS delivers a statutory response to notifications of child abuse and neglect; provides out of home care for children unable to remain in their parents’ care; and supports families to become safe enough to resume care of their children. Services are service centre based and home visits occur throughout Tasmania as needed.</w:t>
      </w:r>
    </w:p>
    <w:p w:rsidR="00AF2CF5" w:rsidRPr="007E5614" w:rsidRDefault="00AF2CF5" w:rsidP="00AF2CF5">
      <w:pPr>
        <w:widowControl w:val="0"/>
        <w:numPr>
          <w:ilvl w:val="0"/>
          <w:numId w:val="3"/>
        </w:numPr>
        <w:spacing w:after="140" w:line="300" w:lineRule="atLeast"/>
        <w:ind w:left="567" w:hanging="567"/>
      </w:pPr>
      <w:r w:rsidRPr="007E5614">
        <w:t xml:space="preserve">The Family Violence Counselling and Support Service </w:t>
      </w:r>
      <w:proofErr w:type="gramStart"/>
      <w:r w:rsidRPr="007E5614">
        <w:t>provides</w:t>
      </w:r>
      <w:proofErr w:type="gramEnd"/>
      <w:r w:rsidRPr="007E5614">
        <w:t xml:space="preserve"> counselling and support services to children, young people and adults who have experienced family violence. Services are service centre based.</w:t>
      </w:r>
    </w:p>
    <w:p w:rsidR="00AF2CF5" w:rsidRPr="007E5614" w:rsidRDefault="00AF2CF5" w:rsidP="00AF2CF5">
      <w:pPr>
        <w:widowControl w:val="0"/>
        <w:numPr>
          <w:ilvl w:val="0"/>
          <w:numId w:val="3"/>
        </w:numPr>
        <w:spacing w:after="140" w:line="300" w:lineRule="atLeast"/>
        <w:ind w:left="567" w:hanging="567"/>
      </w:pPr>
      <w:r w:rsidRPr="007E5614">
        <w:t xml:space="preserve">The Adoption, Transfer of Guardianship and Aftercare Service </w:t>
      </w:r>
      <w:proofErr w:type="gramStart"/>
      <w:r w:rsidRPr="007E5614">
        <w:t>provides</w:t>
      </w:r>
      <w:proofErr w:type="gramEnd"/>
      <w:r w:rsidRPr="007E5614">
        <w:t xml:space="preserve"> a range of services including local and international adoption and aftercare for young people who have left out of home care. Services are service centre based in Hobart, supported by staff located within each area.</w:t>
      </w:r>
    </w:p>
    <w:p w:rsidR="00AF2CF5" w:rsidRPr="007E5614" w:rsidRDefault="00AF2CF5" w:rsidP="00AF2CF5">
      <w:pPr>
        <w:widowControl w:val="0"/>
        <w:numPr>
          <w:ilvl w:val="0"/>
          <w:numId w:val="3"/>
        </w:numPr>
        <w:spacing w:after="140" w:line="300" w:lineRule="atLeast"/>
        <w:ind w:left="567" w:hanging="567"/>
      </w:pPr>
      <w:r w:rsidRPr="007E5614">
        <w:t>Community and Custodial Youth Justice responds to children and young people sentenced by the court to secure detention or community supervision as a result of their offending behaviour.</w:t>
      </w:r>
    </w:p>
    <w:p w:rsidR="00AF2CF5" w:rsidRPr="007E5614" w:rsidRDefault="00AF2CF5" w:rsidP="00AF2CF5">
      <w:pPr>
        <w:widowControl w:val="0"/>
        <w:numPr>
          <w:ilvl w:val="0"/>
          <w:numId w:val="3"/>
        </w:numPr>
        <w:spacing w:after="140" w:line="300" w:lineRule="atLeast"/>
        <w:ind w:left="567" w:hanging="567"/>
      </w:pPr>
      <w:r w:rsidRPr="007E5614">
        <w:lastRenderedPageBreak/>
        <w:t>CYS funds community service organisations to deliver some specific services through contracting arrangements.</w:t>
      </w:r>
    </w:p>
    <w:p w:rsidR="00AF2CF5" w:rsidRPr="007E5614" w:rsidRDefault="00AF2CF5" w:rsidP="00DA2A27">
      <w:pPr>
        <w:pStyle w:val="Heading4"/>
      </w:pPr>
      <w:r w:rsidRPr="007E5614">
        <w:t>Housing, Disability and Community Services</w:t>
      </w:r>
    </w:p>
    <w:p w:rsidR="00AF2CF5" w:rsidRPr="007E5614" w:rsidRDefault="00AF2CF5" w:rsidP="00AF2CF5">
      <w:r w:rsidRPr="007E5614">
        <w:t xml:space="preserve">Housing, Disability and Community Services (HDCS) provides affordable housing, quality disability and family services to vulnerable people, families and their </w:t>
      </w:r>
      <w:proofErr w:type="spellStart"/>
      <w:r w:rsidRPr="007E5614">
        <w:t>carers</w:t>
      </w:r>
      <w:proofErr w:type="spellEnd"/>
      <w:r w:rsidRPr="007E5614">
        <w:t>.</w:t>
      </w:r>
    </w:p>
    <w:p w:rsidR="00AF2CF5" w:rsidRPr="007E5614" w:rsidRDefault="00AF2CF5" w:rsidP="00AF2CF5">
      <w:r w:rsidRPr="007E5614">
        <w:t xml:space="preserve">HDCS has the following key responsibilities: </w:t>
      </w:r>
    </w:p>
    <w:p w:rsidR="00AF2CF5" w:rsidRPr="007E5614" w:rsidRDefault="00AF2CF5" w:rsidP="00AF2CF5">
      <w:pPr>
        <w:keepNext/>
        <w:keepLines/>
        <w:widowControl w:val="0"/>
        <w:numPr>
          <w:ilvl w:val="0"/>
          <w:numId w:val="3"/>
        </w:numPr>
        <w:spacing w:after="140" w:line="300" w:lineRule="atLeast"/>
        <w:ind w:left="567" w:hanging="567"/>
      </w:pPr>
      <w:r w:rsidRPr="007E5614">
        <w:t>Planning and monitoring performance to ensure the overall affordable and social housing system is operating effectively, and providing direction and evidence for housing and homelessness policy and systems reform.</w:t>
      </w:r>
    </w:p>
    <w:p w:rsidR="00AF2CF5" w:rsidRPr="007E5614" w:rsidRDefault="00AF2CF5" w:rsidP="00AF2CF5">
      <w:pPr>
        <w:keepNext/>
        <w:keepLines/>
        <w:widowControl w:val="0"/>
        <w:numPr>
          <w:ilvl w:val="0"/>
          <w:numId w:val="3"/>
        </w:numPr>
        <w:spacing w:after="140" w:line="300" w:lineRule="atLeast"/>
        <w:ind w:left="567" w:hanging="567"/>
      </w:pPr>
      <w:r w:rsidRPr="007E5614">
        <w:t xml:space="preserve">Progressing initiatives against the Tasmanian Government’s </w:t>
      </w:r>
      <w:r w:rsidRPr="007E5614">
        <w:rPr>
          <w:i/>
        </w:rPr>
        <w:t>Affordable Housing</w:t>
      </w:r>
      <w:r w:rsidRPr="007E5614">
        <w:t xml:space="preserve"> </w:t>
      </w:r>
      <w:r w:rsidRPr="007E5614">
        <w:rPr>
          <w:i/>
        </w:rPr>
        <w:t xml:space="preserve">Strategy 2015-2025 </w:t>
      </w:r>
      <w:r w:rsidRPr="007E5614">
        <w:t>(</w:t>
      </w:r>
      <w:r w:rsidRPr="007E5614">
        <w:rPr>
          <w:i/>
        </w:rPr>
        <w:t>Affordable Housing Strategy</w:t>
      </w:r>
      <w:r w:rsidRPr="007E5614">
        <w:t xml:space="preserve">) and </w:t>
      </w:r>
      <w:r w:rsidRPr="007E5614">
        <w:rPr>
          <w:i/>
        </w:rPr>
        <w:t xml:space="preserve">Safe Homes, Safe Families: Tasmania’s Family Violence Action Plan 2015-2020 </w:t>
      </w:r>
      <w:r w:rsidRPr="007E5614">
        <w:t>(</w:t>
      </w:r>
      <w:r w:rsidRPr="007E5614">
        <w:rPr>
          <w:i/>
        </w:rPr>
        <w:t>Safe Homes, Safe Families</w:t>
      </w:r>
      <w:r w:rsidRPr="007E5614">
        <w:t>).</w:t>
      </w:r>
    </w:p>
    <w:p w:rsidR="00AF2CF5" w:rsidRPr="007E5614" w:rsidRDefault="00AF2CF5" w:rsidP="00AF2CF5">
      <w:pPr>
        <w:keepNext/>
        <w:keepLines/>
        <w:widowControl w:val="0"/>
        <w:numPr>
          <w:ilvl w:val="0"/>
          <w:numId w:val="3"/>
        </w:numPr>
        <w:spacing w:after="140" w:line="300" w:lineRule="atLeast"/>
        <w:ind w:left="567" w:hanging="567"/>
      </w:pPr>
      <w:r w:rsidRPr="007E5614">
        <w:t>Maintaining the Department’s housing supply by delivering new; maintaining existing; and selling ageing stock.</w:t>
      </w:r>
    </w:p>
    <w:p w:rsidR="00AF2CF5" w:rsidRPr="007E5614" w:rsidRDefault="00AF2CF5" w:rsidP="00AF2CF5">
      <w:pPr>
        <w:keepNext/>
        <w:keepLines/>
        <w:widowControl w:val="0"/>
        <w:numPr>
          <w:ilvl w:val="0"/>
          <w:numId w:val="3"/>
        </w:numPr>
        <w:spacing w:after="140" w:line="300" w:lineRule="atLeast"/>
        <w:ind w:left="567" w:hanging="567"/>
      </w:pPr>
      <w:r w:rsidRPr="007E5614">
        <w:t>Managing the Department’s social housing tenants and residential tenancy management agreements with community housing providers.</w:t>
      </w:r>
    </w:p>
    <w:p w:rsidR="00AF2CF5" w:rsidRDefault="00AF2CF5" w:rsidP="00AF2CF5">
      <w:pPr>
        <w:keepNext/>
        <w:keepLines/>
        <w:widowControl w:val="0"/>
        <w:numPr>
          <w:ilvl w:val="0"/>
          <w:numId w:val="3"/>
        </w:numPr>
        <w:spacing w:after="140" w:line="300" w:lineRule="atLeast"/>
        <w:ind w:left="567" w:hanging="567"/>
      </w:pPr>
      <w:r w:rsidRPr="007E5614">
        <w:t>Delivering programs to support Tasmanians living with disabilit</w:t>
      </w:r>
      <w:r>
        <w:t>y</w:t>
      </w:r>
      <w:r w:rsidRPr="007E5614">
        <w:t>, including oversight of the transition to the N</w:t>
      </w:r>
      <w:r>
        <w:t>DIS</w:t>
      </w:r>
      <w:r w:rsidRPr="007E5614">
        <w:t>.</w:t>
      </w:r>
    </w:p>
    <w:p w:rsidR="00AF2CF5" w:rsidRPr="007E5614" w:rsidRDefault="00AF2CF5" w:rsidP="00AF2CF5">
      <w:pPr>
        <w:keepNext/>
        <w:keepLines/>
        <w:widowControl w:val="0"/>
        <w:numPr>
          <w:ilvl w:val="0"/>
          <w:numId w:val="3"/>
        </w:numPr>
        <w:spacing w:after="140" w:line="300" w:lineRule="atLeast"/>
        <w:ind w:left="567" w:hanging="567"/>
      </w:pPr>
      <w:r>
        <w:t>Providing counselling and support for men, women and children affected by sexual assault through the Sexual Assault Support Service Inc.</w:t>
      </w:r>
    </w:p>
    <w:p w:rsidR="00AF2CF5" w:rsidRPr="007E5614" w:rsidRDefault="00AF2CF5" w:rsidP="00AF2CF5">
      <w:pPr>
        <w:keepNext/>
        <w:keepLines/>
        <w:widowControl w:val="0"/>
        <w:numPr>
          <w:ilvl w:val="0"/>
          <w:numId w:val="3"/>
        </w:numPr>
        <w:spacing w:after="140" w:line="300" w:lineRule="atLeast"/>
        <w:ind w:left="567" w:hanging="567"/>
      </w:pPr>
      <w:r w:rsidRPr="007E5614">
        <w:t>Providing community programs and services for vulnerable families and people to build individual and community resilience and capacity.</w:t>
      </w:r>
    </w:p>
    <w:p w:rsidR="00AF2CF5" w:rsidRDefault="00AF2CF5" w:rsidP="00AF2CF5">
      <w:pPr>
        <w:rPr>
          <w:b/>
        </w:rPr>
      </w:pPr>
      <w:r>
        <w:rPr>
          <w:b/>
        </w:rPr>
        <w:br w:type="page"/>
      </w:r>
    </w:p>
    <w:p w:rsidR="00AF2CF5" w:rsidRPr="007E5614" w:rsidRDefault="00AF2CF5" w:rsidP="00DA2A27">
      <w:pPr>
        <w:pStyle w:val="Heading4"/>
      </w:pPr>
      <w:r w:rsidRPr="007E5614">
        <w:lastRenderedPageBreak/>
        <w:t xml:space="preserve">Public Health Services </w:t>
      </w:r>
    </w:p>
    <w:p w:rsidR="00AF2CF5" w:rsidRPr="007E5614" w:rsidRDefault="00AF2CF5" w:rsidP="00AF2CF5">
      <w:r w:rsidRPr="007E5614">
        <w:t>Public Health Services (PHS) works to improve and protect the health and wellbeing of all Tasmanians by supporting them to make healthy choices and to live in safe environments, working in partnership with individuals, groups and communities.</w:t>
      </w:r>
    </w:p>
    <w:p w:rsidR="00AF2CF5" w:rsidRPr="007E5614" w:rsidRDefault="00AF2CF5" w:rsidP="00AF2CF5">
      <w:r w:rsidRPr="007E5614">
        <w:t xml:space="preserve">PHS develops and delivers public health policy, plans and programs; delivers public health information; and administers public health legislation including the </w:t>
      </w:r>
      <w:r w:rsidRPr="007E5614">
        <w:rPr>
          <w:i/>
        </w:rPr>
        <w:t>Public Health Act 1997</w:t>
      </w:r>
      <w:r w:rsidRPr="007E5614">
        <w:t xml:space="preserve"> and the </w:t>
      </w:r>
      <w:r w:rsidRPr="007E5614">
        <w:rPr>
          <w:i/>
        </w:rPr>
        <w:t>Food Act 2003</w:t>
      </w:r>
      <w:r w:rsidRPr="007E5614">
        <w:t xml:space="preserve">. PHS also manages population health threats and risks, such as communicable disease outbreaks and public health emergencies. </w:t>
      </w:r>
    </w:p>
    <w:p w:rsidR="00AF2CF5" w:rsidRPr="007E5614" w:rsidRDefault="00AF2CF5" w:rsidP="00AF2CF5">
      <w:r w:rsidRPr="007E5614">
        <w:t>In 2015-16, these services included:</w:t>
      </w:r>
    </w:p>
    <w:p w:rsidR="00AF2CF5" w:rsidRPr="007E5614" w:rsidRDefault="00AF2CF5" w:rsidP="00AF2CF5">
      <w:pPr>
        <w:keepNext/>
        <w:keepLines/>
        <w:widowControl w:val="0"/>
        <w:numPr>
          <w:ilvl w:val="0"/>
          <w:numId w:val="3"/>
        </w:numPr>
        <w:spacing w:after="140" w:line="300" w:lineRule="atLeast"/>
        <w:ind w:left="567" w:hanging="567"/>
      </w:pPr>
      <w:r w:rsidRPr="007E5614">
        <w:t>regulation of over 800 tobacco retailers, including 200 controlled purchase operations</w:t>
      </w:r>
    </w:p>
    <w:p w:rsidR="00AF2CF5" w:rsidRPr="007E5614" w:rsidRDefault="00AF2CF5" w:rsidP="00AF2CF5">
      <w:pPr>
        <w:keepNext/>
        <w:keepLines/>
        <w:widowControl w:val="0"/>
        <w:numPr>
          <w:ilvl w:val="0"/>
          <w:numId w:val="3"/>
        </w:numPr>
        <w:spacing w:after="140" w:line="300" w:lineRule="atLeast"/>
        <w:ind w:left="567" w:hanging="567"/>
      </w:pPr>
      <w:r w:rsidRPr="007E5614">
        <w:t>regulation of approximately 800 outdoor smoking areas at licensed venues</w:t>
      </w:r>
    </w:p>
    <w:p w:rsidR="00AF2CF5" w:rsidRPr="007E5614" w:rsidRDefault="00AF2CF5" w:rsidP="00AF2CF5">
      <w:pPr>
        <w:keepNext/>
        <w:keepLines/>
        <w:widowControl w:val="0"/>
        <w:numPr>
          <w:ilvl w:val="0"/>
          <w:numId w:val="3"/>
        </w:numPr>
        <w:spacing w:after="140" w:line="300" w:lineRule="atLeast"/>
        <w:ind w:left="567" w:hanging="567"/>
      </w:pPr>
      <w:r w:rsidRPr="007E5614">
        <w:t>provision of vacci</w:t>
      </w:r>
      <w:r>
        <w:t xml:space="preserve">nes and support services to 206 </w:t>
      </w:r>
      <w:r w:rsidRPr="007E5614">
        <w:t>immunisation providers, including 29</w:t>
      </w:r>
      <w:r>
        <w:t> </w:t>
      </w:r>
      <w:r w:rsidRPr="007E5614">
        <w:t>councils and 103 high schools, and</w:t>
      </w:r>
    </w:p>
    <w:p w:rsidR="00AF2CF5" w:rsidRPr="007E5614" w:rsidRDefault="00AF2CF5" w:rsidP="00AF2CF5">
      <w:pPr>
        <w:keepNext/>
        <w:keepLines/>
        <w:widowControl w:val="0"/>
        <w:numPr>
          <w:ilvl w:val="0"/>
          <w:numId w:val="3"/>
        </w:numPr>
        <w:spacing w:after="140" w:line="300" w:lineRule="atLeast"/>
        <w:ind w:left="567" w:hanging="567"/>
      </w:pPr>
      <w:proofErr w:type="gramStart"/>
      <w:r w:rsidRPr="007E5614">
        <w:t>over</w:t>
      </w:r>
      <w:proofErr w:type="gramEnd"/>
      <w:r w:rsidRPr="007E5614">
        <w:t xml:space="preserve"> 5 300 calls to the Public Health Hotline.</w:t>
      </w:r>
    </w:p>
    <w:p w:rsidR="00AF2CF5" w:rsidRPr="007E5614" w:rsidRDefault="00AF2CF5" w:rsidP="00DA2A27">
      <w:pPr>
        <w:pStyle w:val="Heading4"/>
      </w:pPr>
      <w:r w:rsidRPr="007E5614">
        <w:t>Corporate</w:t>
      </w:r>
      <w:r>
        <w:t>,</w:t>
      </w:r>
      <w:r w:rsidRPr="007E5614">
        <w:t xml:space="preserve"> Policy and Regulatory Services</w:t>
      </w:r>
    </w:p>
    <w:p w:rsidR="00AF2CF5" w:rsidRPr="007E5614" w:rsidRDefault="00AF2CF5" w:rsidP="00AF2CF5">
      <w:r w:rsidRPr="007E5614">
        <w:t>Corporate</w:t>
      </w:r>
      <w:r>
        <w:t>,</w:t>
      </w:r>
      <w:r w:rsidRPr="007E5614">
        <w:t xml:space="preserve"> Policy and Regulatory Services (CPRS) manages the delivery of an efficient and effective </w:t>
      </w:r>
      <w:proofErr w:type="spellStart"/>
      <w:r w:rsidRPr="007E5614">
        <w:t>statewide</w:t>
      </w:r>
      <w:proofErr w:type="spellEnd"/>
      <w:r w:rsidRPr="007E5614">
        <w:t xml:space="preserve"> health and human services system by leading the provision of strategic corporate, policy and regulatory services to DHHS and portfolio Ministers.</w:t>
      </w:r>
    </w:p>
    <w:p w:rsidR="00AF2CF5" w:rsidRPr="007E5614" w:rsidRDefault="00AF2CF5" w:rsidP="00AF2CF5">
      <w:r w:rsidRPr="007E5614">
        <w:t>The key roles of CPRS are to:</w:t>
      </w:r>
    </w:p>
    <w:p w:rsidR="00AF2CF5" w:rsidRPr="007E5614" w:rsidRDefault="00AF2CF5" w:rsidP="00AF2CF5">
      <w:pPr>
        <w:widowControl w:val="0"/>
        <w:numPr>
          <w:ilvl w:val="0"/>
          <w:numId w:val="3"/>
        </w:numPr>
        <w:spacing w:after="140" w:line="300" w:lineRule="atLeast"/>
        <w:ind w:left="567" w:hanging="567"/>
      </w:pPr>
      <w:r w:rsidRPr="007E5614">
        <w:t>across Group boundaries, coordinate high quality, timely and accurate strategic policy advice to the Secretary, portfolio Ministers and Departmental Executive</w:t>
      </w:r>
    </w:p>
    <w:p w:rsidR="00AF2CF5" w:rsidRPr="007E5614" w:rsidRDefault="00AF2CF5" w:rsidP="00AF2CF5">
      <w:pPr>
        <w:widowControl w:val="0"/>
        <w:numPr>
          <w:ilvl w:val="0"/>
          <w:numId w:val="3"/>
        </w:numPr>
        <w:spacing w:after="140" w:line="300" w:lineRule="atLeast"/>
        <w:ind w:left="567" w:hanging="567"/>
      </w:pPr>
      <w:r w:rsidRPr="007E5614">
        <w:t>manage intergovernmental relations</w:t>
      </w:r>
    </w:p>
    <w:p w:rsidR="00AF2CF5" w:rsidRPr="007E5614" w:rsidRDefault="00AF2CF5" w:rsidP="00AF2CF5">
      <w:pPr>
        <w:widowControl w:val="0"/>
        <w:numPr>
          <w:ilvl w:val="0"/>
          <w:numId w:val="3"/>
        </w:numPr>
        <w:spacing w:after="140" w:line="300" w:lineRule="atLeast"/>
        <w:ind w:left="567" w:hanging="567"/>
      </w:pPr>
      <w:r w:rsidRPr="007E5614">
        <w:t>lead the implementation of strategic, policy and reform initiatives on behalf of portfolio Ministers and the Secretary</w:t>
      </w:r>
    </w:p>
    <w:p w:rsidR="00AF2CF5" w:rsidRDefault="00AF2CF5" w:rsidP="00DA2A27">
      <w:pPr>
        <w:widowControl w:val="0"/>
        <w:numPr>
          <w:ilvl w:val="0"/>
          <w:numId w:val="3"/>
        </w:numPr>
        <w:spacing w:after="140" w:line="300" w:lineRule="atLeast"/>
        <w:ind w:left="567" w:hanging="567"/>
      </w:pPr>
      <w:r>
        <w:lastRenderedPageBreak/>
        <w:t>provide shared services (including asset management, procurement services and payroll services) across DHHS and the THS</w:t>
      </w:r>
    </w:p>
    <w:p w:rsidR="00AF2CF5" w:rsidRPr="00DA2A27" w:rsidRDefault="00AF2CF5" w:rsidP="00DA2A27">
      <w:pPr>
        <w:pStyle w:val="ListParagraph"/>
        <w:numPr>
          <w:ilvl w:val="0"/>
          <w:numId w:val="3"/>
        </w:numPr>
        <w:ind w:left="567" w:hanging="567"/>
        <w:rPr>
          <w:rFonts w:ascii="Gill Sans MT" w:hAnsi="Gill Sans MT"/>
        </w:rPr>
      </w:pPr>
      <w:r w:rsidRPr="00DA2A27">
        <w:rPr>
          <w:rFonts w:ascii="Gill Sans MT" w:hAnsi="Gill Sans MT"/>
        </w:rPr>
        <w:t>manage the delivery of efficient and effective services across DHHS, including budget and finance services; human resource management; information and communication technology services; and strategic policy and regulatory services, and</w:t>
      </w:r>
    </w:p>
    <w:p w:rsidR="00AF2CF5" w:rsidRPr="00DA2A27" w:rsidRDefault="00AF2CF5" w:rsidP="00DA2A27">
      <w:pPr>
        <w:pStyle w:val="ListParagraph"/>
        <w:numPr>
          <w:ilvl w:val="0"/>
          <w:numId w:val="3"/>
        </w:numPr>
        <w:ind w:left="567" w:hanging="567"/>
        <w:rPr>
          <w:rFonts w:ascii="Gill Sans MT" w:hAnsi="Gill Sans MT"/>
        </w:rPr>
      </w:pPr>
      <w:proofErr w:type="gramStart"/>
      <w:r w:rsidRPr="00DA2A27">
        <w:rPr>
          <w:rFonts w:ascii="Gill Sans MT" w:hAnsi="Gill Sans MT"/>
        </w:rPr>
        <w:t>provide</w:t>
      </w:r>
      <w:proofErr w:type="gramEnd"/>
      <w:r w:rsidRPr="00DA2A27">
        <w:rPr>
          <w:rFonts w:ascii="Gill Sans MT" w:hAnsi="Gill Sans MT"/>
        </w:rPr>
        <w:t xml:space="preserve"> Professional Advice, namely the Office of the Chief Nursing and Midwifery Officer, Chief Allied Health Advisor and Mental Health and Drug Directorate. </w:t>
      </w:r>
      <w:r w:rsidR="00DA2A27">
        <w:rPr>
          <w:rFonts w:ascii="Gill Sans MT" w:hAnsi="Gill Sans MT"/>
        </w:rPr>
        <w:br/>
      </w:r>
    </w:p>
    <w:p w:rsidR="00AF2CF5" w:rsidRPr="004F64E2" w:rsidRDefault="00AF2CF5" w:rsidP="00AF2CF5">
      <w:pPr>
        <w:rPr>
          <w:b/>
        </w:rPr>
      </w:pPr>
      <w:r w:rsidRPr="004F64E2">
        <w:rPr>
          <w:b/>
        </w:rPr>
        <w:t>Planning, Purchasing and Performance</w:t>
      </w:r>
    </w:p>
    <w:p w:rsidR="00AF2CF5" w:rsidRPr="007E5614" w:rsidRDefault="00AF2CF5" w:rsidP="00AF2CF5">
      <w:r w:rsidRPr="007E5614">
        <w:t>Planning, Purchasing and Performance (PPP) performs the core system management functions of strategy and planning, purchasing, performance management, monitoring, reporting and analysis on behalf of the Secretary and responsible Ministers.</w:t>
      </w:r>
    </w:p>
    <w:p w:rsidR="00AF2CF5" w:rsidRPr="007E5614" w:rsidRDefault="00AF2CF5" w:rsidP="00AF2CF5">
      <w:r w:rsidRPr="007E5614">
        <w:t xml:space="preserve">PPP has a whole-of-system focus, working in a network model to strategically bring these functions together in managing health and human services service delivery organisations, including the THS. </w:t>
      </w:r>
    </w:p>
    <w:p w:rsidR="00AF2CF5" w:rsidRPr="007E5614" w:rsidRDefault="00AF2CF5" w:rsidP="00AF2CF5">
      <w:r w:rsidRPr="007E5614">
        <w:t>PPP also provides access to statistical information for all departmental purchased services to ensure all stakeholders have access to quality data and support evidence-based decision making.</w:t>
      </w:r>
    </w:p>
    <w:p w:rsidR="00AF2CF5" w:rsidRPr="007E5614" w:rsidRDefault="00AF2CF5" w:rsidP="00AF2CF5">
      <w:r w:rsidRPr="007E5614">
        <w:t>As a whole, the service delivery, corporate support and system manager functions of all six of the Department’s operational and corporate Groups work in partnership to meet the objectives of the health and human services systems on behalf of the Government and the Tasmanian community.</w:t>
      </w:r>
    </w:p>
    <w:p w:rsidR="00AF2CF5" w:rsidRDefault="00AF2CF5" w:rsidP="00AF2CF5"/>
    <w:p w:rsidR="00DA2A27" w:rsidRDefault="00DA2A27" w:rsidP="00AF2CF5">
      <w:pPr>
        <w:sectPr w:rsidR="00DA2A27" w:rsidSect="00297380">
          <w:headerReference w:type="even" r:id="rId18"/>
          <w:headerReference w:type="default" r:id="rId19"/>
          <w:type w:val="continuous"/>
          <w:pgSz w:w="11906" w:h="16838" w:code="9"/>
          <w:pgMar w:top="907" w:right="1134" w:bottom="720" w:left="1134" w:header="709" w:footer="709" w:gutter="0"/>
          <w:cols w:num="2" w:space="708"/>
          <w:docGrid w:linePitch="360"/>
        </w:sectPr>
      </w:pPr>
    </w:p>
    <w:p w:rsidR="00AF2CF5" w:rsidRPr="007E5614" w:rsidRDefault="00AF2CF5" w:rsidP="00DA2A27">
      <w:pPr>
        <w:pStyle w:val="Heading2"/>
        <w:rPr>
          <w:highlight w:val="yellow"/>
        </w:rPr>
      </w:pPr>
      <w:bookmarkStart w:id="8" w:name="_Toc402335309"/>
      <w:bookmarkStart w:id="9" w:name="_Toc461619323"/>
      <w:bookmarkStart w:id="10" w:name="_Toc465174242"/>
      <w:r w:rsidRPr="00E643AF">
        <w:lastRenderedPageBreak/>
        <w:t>Financial Overview</w:t>
      </w:r>
      <w:bookmarkEnd w:id="8"/>
      <w:bookmarkEnd w:id="9"/>
      <w:bookmarkEnd w:id="10"/>
    </w:p>
    <w:p w:rsidR="00AF2CF5" w:rsidRPr="000A58C6" w:rsidRDefault="00AF2CF5" w:rsidP="00AF2CF5">
      <w:pPr>
        <w:outlineLvl w:val="0"/>
      </w:pPr>
      <w:bookmarkStart w:id="11" w:name="_Toc432516789"/>
      <w:bookmarkStart w:id="12" w:name="_Toc432517210"/>
      <w:r w:rsidRPr="00AC4AD0">
        <w:t>In 201</w:t>
      </w:r>
      <w:r>
        <w:t>5</w:t>
      </w:r>
      <w:r w:rsidRPr="00AC4AD0">
        <w:t>-1</w:t>
      </w:r>
      <w:r>
        <w:t>6</w:t>
      </w:r>
      <w:r w:rsidRPr="000A58C6">
        <w:t xml:space="preserve">, the total budgeted expenditure for </w:t>
      </w:r>
      <w:r>
        <w:t>DHHS was $1.696</w:t>
      </w:r>
      <w:r w:rsidRPr="000A58C6">
        <w:t xml:space="preserve"> bi</w:t>
      </w:r>
      <w:r>
        <w:t xml:space="preserve">llion </w:t>
      </w:r>
      <w:r w:rsidRPr="000A58C6">
        <w:t>and the</w:t>
      </w:r>
      <w:r>
        <w:t xml:space="preserve"> budgeted</w:t>
      </w:r>
      <w:r w:rsidRPr="000A58C6">
        <w:t xml:space="preserve"> annual appropriation from the Consolidated Fund </w:t>
      </w:r>
      <w:r>
        <w:t>for recurrent services was $1.165</w:t>
      </w:r>
      <w:r w:rsidRPr="000A58C6">
        <w:t xml:space="preserve"> billion.</w:t>
      </w:r>
      <w:bookmarkEnd w:id="11"/>
      <w:bookmarkEnd w:id="12"/>
      <w:r w:rsidRPr="000A58C6">
        <w:t xml:space="preserve"> </w:t>
      </w:r>
    </w:p>
    <w:p w:rsidR="00AF2CF5" w:rsidRDefault="00AF2CF5" w:rsidP="00AF2CF5">
      <w:pPr>
        <w:outlineLvl w:val="0"/>
      </w:pPr>
      <w:bookmarkStart w:id="13" w:name="_Toc432516790"/>
      <w:bookmarkStart w:id="14" w:name="_Toc432517211"/>
      <w:r w:rsidRPr="00AC4AD0">
        <w:t>The Department’s 201</w:t>
      </w:r>
      <w:r>
        <w:t>5</w:t>
      </w:r>
      <w:r w:rsidRPr="00AC4AD0">
        <w:t>-1</w:t>
      </w:r>
      <w:r>
        <w:t>6</w:t>
      </w:r>
      <w:r w:rsidRPr="00AC4AD0">
        <w:t xml:space="preserve"> Budget distribu</w:t>
      </w:r>
      <w:r>
        <w:t xml:space="preserve">ted </w:t>
      </w:r>
      <w:r w:rsidRPr="000A58C6">
        <w:t>by Output included:</w:t>
      </w:r>
      <w:bookmarkEnd w:id="13"/>
      <w:bookmarkEnd w:id="14"/>
      <w:r w:rsidRPr="000A58C6">
        <w:t xml:space="preserve"> </w:t>
      </w:r>
    </w:p>
    <w:p w:rsidR="00AF2CF5" w:rsidRPr="000A58C6" w:rsidRDefault="00AF2CF5" w:rsidP="00AF2CF5">
      <w:pPr>
        <w:pStyle w:val="ListParagraph"/>
        <w:numPr>
          <w:ilvl w:val="0"/>
          <w:numId w:val="4"/>
        </w:numPr>
        <w:spacing w:after="120" w:line="240" w:lineRule="atLeast"/>
        <w:ind w:left="567" w:hanging="567"/>
        <w:outlineLvl w:val="0"/>
        <w:rPr>
          <w:szCs w:val="22"/>
        </w:rPr>
      </w:pPr>
      <w:bookmarkStart w:id="15" w:name="_Toc432516791"/>
      <w:bookmarkStart w:id="16" w:name="_Toc432517212"/>
      <w:r w:rsidRPr="000A58C6">
        <w:rPr>
          <w:szCs w:val="22"/>
        </w:rPr>
        <w:t>Health</w:t>
      </w:r>
      <w:r>
        <w:rPr>
          <w:szCs w:val="22"/>
        </w:rPr>
        <w:t xml:space="preserve"> Services System Management 7.06</w:t>
      </w:r>
      <w:bookmarkEnd w:id="15"/>
      <w:bookmarkEnd w:id="16"/>
      <w:r>
        <w:rPr>
          <w:szCs w:val="22"/>
        </w:rPr>
        <w:t> per cent</w:t>
      </w:r>
    </w:p>
    <w:p w:rsidR="00AF2CF5" w:rsidRPr="000A58C6" w:rsidRDefault="00DA2A27" w:rsidP="00AF2CF5">
      <w:pPr>
        <w:pStyle w:val="ListParagraph"/>
        <w:numPr>
          <w:ilvl w:val="0"/>
          <w:numId w:val="4"/>
        </w:numPr>
        <w:spacing w:after="120" w:line="240" w:lineRule="atLeast"/>
        <w:ind w:left="567" w:hanging="567"/>
        <w:outlineLvl w:val="0"/>
        <w:rPr>
          <w:szCs w:val="22"/>
        </w:rPr>
      </w:pPr>
      <w:bookmarkStart w:id="17" w:name="_Toc432516792"/>
      <w:bookmarkStart w:id="18" w:name="_Toc432517213"/>
      <w:r>
        <w:rPr>
          <w:szCs w:val="22"/>
        </w:rPr>
        <w:br w:type="column"/>
      </w:r>
      <w:r w:rsidR="00AF2CF5" w:rsidRPr="000A58C6">
        <w:rPr>
          <w:szCs w:val="22"/>
        </w:rPr>
        <w:lastRenderedPageBreak/>
        <w:t xml:space="preserve">Tasmanian Health </w:t>
      </w:r>
      <w:r w:rsidR="00AF2CF5">
        <w:rPr>
          <w:szCs w:val="22"/>
        </w:rPr>
        <w:t>Service</w:t>
      </w:r>
      <w:r w:rsidR="00AF2CF5" w:rsidRPr="000A58C6">
        <w:rPr>
          <w:szCs w:val="22"/>
        </w:rPr>
        <w:t xml:space="preserve"> </w:t>
      </w:r>
      <w:r w:rsidR="00AF2CF5">
        <w:rPr>
          <w:szCs w:val="22"/>
        </w:rPr>
        <w:t>38.34</w:t>
      </w:r>
      <w:bookmarkEnd w:id="17"/>
      <w:bookmarkEnd w:id="18"/>
      <w:r w:rsidR="00AF2CF5">
        <w:rPr>
          <w:szCs w:val="22"/>
        </w:rPr>
        <w:t xml:space="preserve"> per cent</w:t>
      </w:r>
    </w:p>
    <w:p w:rsidR="00AF2CF5" w:rsidRPr="000A58C6" w:rsidRDefault="00AF2CF5" w:rsidP="00AF2CF5">
      <w:pPr>
        <w:pStyle w:val="ListParagraph"/>
        <w:numPr>
          <w:ilvl w:val="0"/>
          <w:numId w:val="4"/>
        </w:numPr>
        <w:spacing w:after="120" w:line="240" w:lineRule="atLeast"/>
        <w:ind w:left="567" w:hanging="567"/>
        <w:outlineLvl w:val="0"/>
        <w:rPr>
          <w:szCs w:val="22"/>
        </w:rPr>
      </w:pPr>
      <w:bookmarkStart w:id="19" w:name="_Toc432516793"/>
      <w:bookmarkStart w:id="20" w:name="_Toc432517214"/>
      <w:r>
        <w:rPr>
          <w:szCs w:val="22"/>
        </w:rPr>
        <w:t>Statewide Services 5.81</w:t>
      </w:r>
      <w:bookmarkEnd w:id="19"/>
      <w:bookmarkEnd w:id="20"/>
      <w:r>
        <w:rPr>
          <w:szCs w:val="22"/>
        </w:rPr>
        <w:t xml:space="preserve"> per cent</w:t>
      </w:r>
    </w:p>
    <w:p w:rsidR="00AF2CF5" w:rsidRPr="000A58C6" w:rsidRDefault="00AF2CF5" w:rsidP="00AF2CF5">
      <w:pPr>
        <w:pStyle w:val="ListParagraph"/>
        <w:numPr>
          <w:ilvl w:val="0"/>
          <w:numId w:val="4"/>
        </w:numPr>
        <w:spacing w:after="120" w:line="240" w:lineRule="atLeast"/>
        <w:ind w:left="567" w:hanging="567"/>
        <w:outlineLvl w:val="0"/>
        <w:rPr>
          <w:szCs w:val="22"/>
        </w:rPr>
      </w:pPr>
      <w:bookmarkStart w:id="21" w:name="_Toc432516794"/>
      <w:bookmarkStart w:id="22" w:name="_Toc432517215"/>
      <w:r>
        <w:rPr>
          <w:szCs w:val="22"/>
        </w:rPr>
        <w:t>Human Services 21.91</w:t>
      </w:r>
      <w:bookmarkEnd w:id="21"/>
      <w:bookmarkEnd w:id="22"/>
      <w:r>
        <w:rPr>
          <w:szCs w:val="22"/>
        </w:rPr>
        <w:t xml:space="preserve"> per cent</w:t>
      </w:r>
    </w:p>
    <w:p w:rsidR="00AF2CF5" w:rsidRPr="000A58C6" w:rsidRDefault="00AF2CF5" w:rsidP="00AF2CF5">
      <w:pPr>
        <w:pStyle w:val="ListParagraph"/>
        <w:numPr>
          <w:ilvl w:val="0"/>
          <w:numId w:val="4"/>
        </w:numPr>
        <w:spacing w:after="120" w:line="240" w:lineRule="atLeast"/>
        <w:ind w:left="567" w:hanging="567"/>
        <w:outlineLvl w:val="0"/>
        <w:rPr>
          <w:szCs w:val="22"/>
        </w:rPr>
      </w:pPr>
      <w:bookmarkStart w:id="23" w:name="_Toc432516795"/>
      <w:bookmarkStart w:id="24" w:name="_Toc432517216"/>
      <w:r>
        <w:rPr>
          <w:szCs w:val="22"/>
        </w:rPr>
        <w:t>Children Services 6.73</w:t>
      </w:r>
      <w:bookmarkEnd w:id="23"/>
      <w:bookmarkEnd w:id="24"/>
      <w:r>
        <w:rPr>
          <w:szCs w:val="22"/>
        </w:rPr>
        <w:t xml:space="preserve"> per cent</w:t>
      </w:r>
    </w:p>
    <w:p w:rsidR="00AF2CF5" w:rsidRPr="000A58C6" w:rsidRDefault="00AF2CF5" w:rsidP="00AF2CF5">
      <w:pPr>
        <w:pStyle w:val="ListParagraph"/>
        <w:numPr>
          <w:ilvl w:val="0"/>
          <w:numId w:val="4"/>
        </w:numPr>
        <w:spacing w:after="120" w:line="240" w:lineRule="atLeast"/>
        <w:ind w:left="567" w:hanging="567"/>
        <w:outlineLvl w:val="0"/>
        <w:rPr>
          <w:szCs w:val="22"/>
        </w:rPr>
      </w:pPr>
      <w:bookmarkStart w:id="25" w:name="_Toc432516796"/>
      <w:bookmarkStart w:id="26" w:name="_Toc432517217"/>
      <w:r w:rsidRPr="000A58C6">
        <w:rPr>
          <w:szCs w:val="22"/>
        </w:rPr>
        <w:t>Independent</w:t>
      </w:r>
      <w:r>
        <w:rPr>
          <w:szCs w:val="22"/>
        </w:rPr>
        <w:t xml:space="preserve"> Children’s Review Services 0.05</w:t>
      </w:r>
      <w:bookmarkEnd w:id="25"/>
      <w:bookmarkEnd w:id="26"/>
      <w:r>
        <w:rPr>
          <w:szCs w:val="22"/>
        </w:rPr>
        <w:t> per cent</w:t>
      </w:r>
    </w:p>
    <w:p w:rsidR="00DA2A27" w:rsidRPr="00DA2A27" w:rsidRDefault="00AF2CF5" w:rsidP="00AF2CF5">
      <w:pPr>
        <w:pStyle w:val="ListParagraph"/>
        <w:numPr>
          <w:ilvl w:val="0"/>
          <w:numId w:val="4"/>
        </w:numPr>
        <w:spacing w:after="120" w:line="240" w:lineRule="atLeast"/>
        <w:ind w:left="567" w:hanging="567"/>
        <w:outlineLvl w:val="0"/>
      </w:pPr>
      <w:bookmarkStart w:id="27" w:name="_Toc432516797"/>
      <w:bookmarkStart w:id="28" w:name="_Toc432517218"/>
      <w:r w:rsidRPr="000A58C6">
        <w:rPr>
          <w:szCs w:val="22"/>
        </w:rPr>
        <w:t>Capital In</w:t>
      </w:r>
      <w:r>
        <w:rPr>
          <w:szCs w:val="22"/>
        </w:rPr>
        <w:t>vestment Program 10.26</w:t>
      </w:r>
      <w:bookmarkEnd w:id="27"/>
      <w:bookmarkEnd w:id="28"/>
      <w:r>
        <w:rPr>
          <w:szCs w:val="22"/>
        </w:rPr>
        <w:t xml:space="preserve"> per cent, and</w:t>
      </w:r>
      <w:bookmarkStart w:id="29" w:name="_Toc432516798"/>
      <w:bookmarkStart w:id="30" w:name="_Toc432517219"/>
    </w:p>
    <w:p w:rsidR="00AF2CF5" w:rsidRPr="00DA2A27" w:rsidRDefault="00AF2CF5" w:rsidP="00AF2CF5">
      <w:pPr>
        <w:pStyle w:val="ListParagraph"/>
        <w:numPr>
          <w:ilvl w:val="0"/>
          <w:numId w:val="4"/>
        </w:numPr>
        <w:spacing w:after="120" w:line="240" w:lineRule="atLeast"/>
        <w:ind w:left="567" w:hanging="567"/>
        <w:outlineLvl w:val="0"/>
      </w:pPr>
      <w:r w:rsidRPr="00B1185D">
        <w:rPr>
          <w:szCs w:val="22"/>
        </w:rPr>
        <w:t>Special Capital Investment Funds 9.84</w:t>
      </w:r>
      <w:r>
        <w:rPr>
          <w:szCs w:val="22"/>
        </w:rPr>
        <w:t xml:space="preserve"> per cent</w:t>
      </w:r>
      <w:r w:rsidRPr="00B1185D">
        <w:rPr>
          <w:szCs w:val="22"/>
        </w:rPr>
        <w:t>.</w:t>
      </w:r>
      <w:bookmarkEnd w:id="29"/>
      <w:bookmarkEnd w:id="30"/>
    </w:p>
    <w:p w:rsidR="00DA2A27" w:rsidRDefault="00DA2A27" w:rsidP="00DA2A27">
      <w:pPr>
        <w:spacing w:after="120" w:line="240" w:lineRule="atLeast"/>
        <w:outlineLvl w:val="0"/>
        <w:sectPr w:rsidR="00DA2A27" w:rsidSect="00DA2A27">
          <w:headerReference w:type="default" r:id="rId20"/>
          <w:footerReference w:type="default" r:id="rId21"/>
          <w:pgSz w:w="11906" w:h="16838"/>
          <w:pgMar w:top="1103" w:right="1440" w:bottom="1440" w:left="1440" w:header="708" w:footer="708" w:gutter="0"/>
          <w:cols w:num="2" w:space="708"/>
          <w:docGrid w:linePitch="360"/>
        </w:sectPr>
      </w:pPr>
    </w:p>
    <w:p w:rsidR="00DA2A27" w:rsidRPr="00E643AF" w:rsidRDefault="00DA2A27" w:rsidP="00DA2A27">
      <w:pPr>
        <w:pStyle w:val="Heading2"/>
        <w:spacing w:before="240"/>
        <w:ind w:left="284"/>
        <w:sectPr w:rsidR="00DA2A27" w:rsidRPr="00E643AF" w:rsidSect="00297380">
          <w:type w:val="continuous"/>
          <w:pgSz w:w="11906" w:h="16838" w:code="9"/>
          <w:pgMar w:top="907" w:right="1134" w:bottom="720" w:left="1134" w:header="709" w:footer="709" w:gutter="0"/>
          <w:cols w:space="708"/>
          <w:docGrid w:linePitch="360"/>
        </w:sectPr>
      </w:pPr>
      <w:bookmarkStart w:id="31" w:name="_Toc465174243"/>
      <w:r w:rsidRPr="00E643AF">
        <w:lastRenderedPageBreak/>
        <w:t>Expenses</w:t>
      </w:r>
      <w:bookmarkEnd w:id="31"/>
    </w:p>
    <w:p w:rsidR="00DA2A27" w:rsidRPr="000A58C6" w:rsidRDefault="00DA2A27" w:rsidP="00DA2A27">
      <w:pPr>
        <w:outlineLvl w:val="0"/>
      </w:pPr>
      <w:bookmarkStart w:id="32" w:name="_Toc432516799"/>
      <w:bookmarkStart w:id="33" w:name="_Toc432517220"/>
      <w:r w:rsidRPr="000A58C6">
        <w:lastRenderedPageBreak/>
        <w:t xml:space="preserve">Department of Health and Human Services Expenditure Budget </w:t>
      </w:r>
      <w:r>
        <w:t>2015-16 by Major Category</w:t>
      </w:r>
      <w:bookmarkEnd w:id="32"/>
      <w:bookmarkEnd w:id="33"/>
    </w:p>
    <w:tbl>
      <w:tblPr>
        <w:tblW w:w="9639" w:type="dxa"/>
        <w:tblInd w:w="108" w:type="dxa"/>
        <w:tblBorders>
          <w:top w:val="single" w:sz="2" w:space="0" w:color="808080"/>
          <w:bottom w:val="single" w:sz="2" w:space="0" w:color="808080"/>
          <w:insideH w:val="single" w:sz="2" w:space="0" w:color="808080"/>
        </w:tblBorders>
        <w:tblLook w:val="04A0" w:firstRow="1" w:lastRow="0" w:firstColumn="1" w:lastColumn="0" w:noHBand="0" w:noVBand="1"/>
        <w:tblCaption w:val="DHHS Expenditure Budget 2015-16 by Major Category"/>
      </w:tblPr>
      <w:tblGrid>
        <w:gridCol w:w="6946"/>
        <w:gridCol w:w="2693"/>
      </w:tblGrid>
      <w:tr w:rsidR="00DA2A27" w:rsidRPr="00296516" w:rsidTr="00297380">
        <w:tc>
          <w:tcPr>
            <w:tcW w:w="6946" w:type="dxa"/>
            <w:tcBorders>
              <w:top w:val="single" w:sz="4" w:space="0" w:color="A6A6A6" w:themeColor="background1" w:themeShade="A6"/>
              <w:bottom w:val="single" w:sz="4" w:space="0" w:color="A6A6A6" w:themeColor="background1" w:themeShade="A6"/>
            </w:tcBorders>
            <w:shd w:val="clear" w:color="auto" w:fill="auto"/>
          </w:tcPr>
          <w:p w:rsidR="00DA2A27" w:rsidRPr="00240717" w:rsidRDefault="00DA2A27" w:rsidP="00297380">
            <w:pPr>
              <w:keepNext/>
              <w:spacing w:after="60" w:line="280" w:lineRule="atLeast"/>
              <w:ind w:left="-108"/>
              <w:rPr>
                <w:b/>
                <w:sz w:val="18"/>
                <w:szCs w:val="18"/>
              </w:rPr>
            </w:pPr>
            <w:r w:rsidRPr="00240717">
              <w:rPr>
                <w:b/>
                <w:sz w:val="18"/>
                <w:szCs w:val="18"/>
              </w:rPr>
              <w:t>Budget Expenditure by Output</w:t>
            </w:r>
          </w:p>
        </w:tc>
        <w:tc>
          <w:tcPr>
            <w:tcW w:w="2693" w:type="dxa"/>
            <w:tcBorders>
              <w:top w:val="single" w:sz="4" w:space="0" w:color="A6A6A6" w:themeColor="background1" w:themeShade="A6"/>
              <w:bottom w:val="single" w:sz="4" w:space="0" w:color="A6A6A6" w:themeColor="background1" w:themeShade="A6"/>
            </w:tcBorders>
            <w:shd w:val="clear" w:color="auto" w:fill="auto"/>
          </w:tcPr>
          <w:p w:rsidR="00DA2A27" w:rsidRPr="00240717" w:rsidRDefault="00DA2A27" w:rsidP="00297380">
            <w:pPr>
              <w:keepNext/>
              <w:spacing w:after="60" w:line="280" w:lineRule="atLeast"/>
              <w:jc w:val="right"/>
              <w:rPr>
                <w:b/>
                <w:sz w:val="18"/>
                <w:szCs w:val="18"/>
              </w:rPr>
            </w:pPr>
            <w:r w:rsidRPr="009F7781">
              <w:rPr>
                <w:b/>
                <w:sz w:val="18"/>
                <w:szCs w:val="18"/>
              </w:rPr>
              <w:t>2015-16</w:t>
            </w:r>
          </w:p>
          <w:p w:rsidR="00DA2A27" w:rsidRPr="00240717" w:rsidRDefault="00DA2A27" w:rsidP="00297380">
            <w:pPr>
              <w:keepNext/>
              <w:spacing w:after="60" w:line="280" w:lineRule="atLeast"/>
              <w:jc w:val="right"/>
              <w:rPr>
                <w:b/>
                <w:sz w:val="18"/>
                <w:szCs w:val="18"/>
              </w:rPr>
            </w:pPr>
            <w:r w:rsidRPr="00240717">
              <w:rPr>
                <w:b/>
                <w:sz w:val="18"/>
                <w:szCs w:val="18"/>
              </w:rPr>
              <w:t>$ ‘000</w:t>
            </w:r>
          </w:p>
        </w:tc>
      </w:tr>
      <w:tr w:rsidR="00DA2A27" w:rsidRPr="00296516" w:rsidTr="00297380">
        <w:tc>
          <w:tcPr>
            <w:tcW w:w="6946" w:type="dxa"/>
            <w:tcBorders>
              <w:top w:val="single" w:sz="4" w:space="0" w:color="A6A6A6" w:themeColor="background1" w:themeShade="A6"/>
            </w:tcBorders>
            <w:vAlign w:val="center"/>
          </w:tcPr>
          <w:p w:rsidR="00DA2A27" w:rsidRPr="00296516" w:rsidRDefault="00DA2A27" w:rsidP="00297380">
            <w:pPr>
              <w:keepNext/>
              <w:spacing w:after="60" w:line="280" w:lineRule="atLeast"/>
              <w:ind w:left="-108"/>
              <w:outlineLvl w:val="0"/>
              <w:rPr>
                <w:sz w:val="18"/>
                <w:szCs w:val="18"/>
              </w:rPr>
            </w:pPr>
            <w:bookmarkStart w:id="34" w:name="_Toc432516800"/>
            <w:bookmarkStart w:id="35" w:name="_Toc432517221"/>
            <w:r w:rsidRPr="00296516">
              <w:rPr>
                <w:sz w:val="18"/>
                <w:szCs w:val="18"/>
              </w:rPr>
              <w:t>Health Services System Management</w:t>
            </w:r>
            <w:bookmarkEnd w:id="34"/>
            <w:bookmarkEnd w:id="35"/>
          </w:p>
        </w:tc>
        <w:tc>
          <w:tcPr>
            <w:tcW w:w="2693" w:type="dxa"/>
            <w:tcBorders>
              <w:top w:val="single" w:sz="4" w:space="0" w:color="A6A6A6" w:themeColor="background1" w:themeShade="A6"/>
            </w:tcBorders>
          </w:tcPr>
          <w:p w:rsidR="00DA2A27" w:rsidRPr="00296516" w:rsidRDefault="00DA2A27" w:rsidP="00297380">
            <w:pPr>
              <w:keepNext/>
              <w:spacing w:after="60" w:line="280" w:lineRule="atLeast"/>
              <w:jc w:val="right"/>
              <w:outlineLvl w:val="0"/>
              <w:rPr>
                <w:sz w:val="18"/>
                <w:szCs w:val="18"/>
              </w:rPr>
            </w:pPr>
            <w:bookmarkStart w:id="36" w:name="_Toc432516801"/>
            <w:bookmarkStart w:id="37" w:name="_Toc432517222"/>
            <w:r>
              <w:rPr>
                <w:sz w:val="18"/>
                <w:szCs w:val="18"/>
              </w:rPr>
              <w:t xml:space="preserve">119 </w:t>
            </w:r>
            <w:bookmarkEnd w:id="36"/>
            <w:bookmarkEnd w:id="37"/>
            <w:r>
              <w:rPr>
                <w:sz w:val="18"/>
                <w:szCs w:val="18"/>
              </w:rPr>
              <w:t>696</w:t>
            </w:r>
          </w:p>
        </w:tc>
      </w:tr>
      <w:tr w:rsidR="00DA2A27" w:rsidRPr="00296516" w:rsidTr="00297380">
        <w:tc>
          <w:tcPr>
            <w:tcW w:w="6946" w:type="dxa"/>
            <w:vAlign w:val="center"/>
          </w:tcPr>
          <w:p w:rsidR="00DA2A27" w:rsidRPr="00296516" w:rsidRDefault="00DA2A27" w:rsidP="00297380">
            <w:pPr>
              <w:keepNext/>
              <w:spacing w:after="60" w:line="280" w:lineRule="atLeast"/>
              <w:ind w:left="-108"/>
              <w:outlineLvl w:val="0"/>
              <w:rPr>
                <w:sz w:val="18"/>
                <w:szCs w:val="18"/>
              </w:rPr>
            </w:pPr>
            <w:bookmarkStart w:id="38" w:name="_Toc432516802"/>
            <w:bookmarkStart w:id="39" w:name="_Toc432517223"/>
            <w:r w:rsidRPr="00296516">
              <w:rPr>
                <w:sz w:val="18"/>
                <w:szCs w:val="18"/>
              </w:rPr>
              <w:t xml:space="preserve">Tasmanian Health </w:t>
            </w:r>
            <w:bookmarkEnd w:id="38"/>
            <w:bookmarkEnd w:id="39"/>
            <w:r>
              <w:rPr>
                <w:sz w:val="18"/>
                <w:szCs w:val="18"/>
              </w:rPr>
              <w:t>Service</w:t>
            </w:r>
          </w:p>
        </w:tc>
        <w:tc>
          <w:tcPr>
            <w:tcW w:w="2693" w:type="dxa"/>
          </w:tcPr>
          <w:p w:rsidR="00DA2A27" w:rsidRPr="00296516" w:rsidRDefault="00DA2A27" w:rsidP="00297380">
            <w:pPr>
              <w:keepNext/>
              <w:spacing w:after="60" w:line="280" w:lineRule="atLeast"/>
              <w:jc w:val="right"/>
              <w:outlineLvl w:val="0"/>
              <w:rPr>
                <w:rFonts w:cs="Arial"/>
                <w:color w:val="000000"/>
                <w:sz w:val="18"/>
                <w:szCs w:val="18"/>
              </w:rPr>
            </w:pPr>
            <w:bookmarkStart w:id="40" w:name="_Toc432516803"/>
            <w:bookmarkStart w:id="41" w:name="_Toc432517224"/>
            <w:r>
              <w:rPr>
                <w:rFonts w:cs="Arial"/>
                <w:color w:val="000000"/>
                <w:sz w:val="18"/>
                <w:szCs w:val="18"/>
              </w:rPr>
              <w:t>650 1</w:t>
            </w:r>
            <w:bookmarkEnd w:id="40"/>
            <w:bookmarkEnd w:id="41"/>
            <w:r>
              <w:rPr>
                <w:rFonts w:cs="Arial"/>
                <w:color w:val="000000"/>
                <w:sz w:val="18"/>
                <w:szCs w:val="18"/>
              </w:rPr>
              <w:t>28</w:t>
            </w:r>
          </w:p>
        </w:tc>
      </w:tr>
      <w:tr w:rsidR="00DA2A27" w:rsidRPr="00296516" w:rsidTr="00297380">
        <w:tc>
          <w:tcPr>
            <w:tcW w:w="6946" w:type="dxa"/>
            <w:vAlign w:val="center"/>
          </w:tcPr>
          <w:p w:rsidR="00DA2A27" w:rsidRPr="00296516" w:rsidRDefault="00DA2A27" w:rsidP="00297380">
            <w:pPr>
              <w:keepNext/>
              <w:spacing w:after="60" w:line="280" w:lineRule="atLeast"/>
              <w:ind w:left="-108"/>
              <w:outlineLvl w:val="0"/>
              <w:rPr>
                <w:sz w:val="18"/>
                <w:szCs w:val="18"/>
              </w:rPr>
            </w:pPr>
            <w:bookmarkStart w:id="42" w:name="_Toc432516804"/>
            <w:bookmarkStart w:id="43" w:name="_Toc432517225"/>
            <w:r w:rsidRPr="00296516">
              <w:rPr>
                <w:sz w:val="18"/>
                <w:szCs w:val="18"/>
              </w:rPr>
              <w:t>Statewide Services</w:t>
            </w:r>
            <w:bookmarkEnd w:id="42"/>
            <w:bookmarkEnd w:id="43"/>
          </w:p>
        </w:tc>
        <w:tc>
          <w:tcPr>
            <w:tcW w:w="2693" w:type="dxa"/>
          </w:tcPr>
          <w:p w:rsidR="00DA2A27" w:rsidRPr="00296516" w:rsidRDefault="00DA2A27" w:rsidP="00297380">
            <w:pPr>
              <w:keepNext/>
              <w:spacing w:after="60" w:line="280" w:lineRule="atLeast"/>
              <w:jc w:val="right"/>
              <w:outlineLvl w:val="0"/>
              <w:rPr>
                <w:rFonts w:cs="Arial"/>
                <w:color w:val="000000"/>
                <w:sz w:val="18"/>
                <w:szCs w:val="18"/>
              </w:rPr>
            </w:pPr>
            <w:bookmarkStart w:id="44" w:name="_Toc432516805"/>
            <w:bookmarkStart w:id="45" w:name="_Toc432517226"/>
            <w:r>
              <w:rPr>
                <w:rFonts w:cs="Arial"/>
                <w:color w:val="000000"/>
                <w:sz w:val="18"/>
                <w:szCs w:val="18"/>
              </w:rPr>
              <w:t xml:space="preserve">98 </w:t>
            </w:r>
            <w:bookmarkEnd w:id="44"/>
            <w:bookmarkEnd w:id="45"/>
            <w:r>
              <w:rPr>
                <w:rFonts w:cs="Arial"/>
                <w:color w:val="000000"/>
                <w:sz w:val="18"/>
                <w:szCs w:val="18"/>
              </w:rPr>
              <w:t>546</w:t>
            </w:r>
          </w:p>
        </w:tc>
      </w:tr>
      <w:tr w:rsidR="00DA2A27" w:rsidRPr="00296516" w:rsidTr="00297380">
        <w:tc>
          <w:tcPr>
            <w:tcW w:w="6946" w:type="dxa"/>
            <w:vAlign w:val="center"/>
          </w:tcPr>
          <w:p w:rsidR="00DA2A27" w:rsidRPr="00296516" w:rsidRDefault="00DA2A27" w:rsidP="00297380">
            <w:pPr>
              <w:keepNext/>
              <w:spacing w:after="60" w:line="280" w:lineRule="atLeast"/>
              <w:ind w:left="-108"/>
              <w:outlineLvl w:val="0"/>
              <w:rPr>
                <w:sz w:val="18"/>
                <w:szCs w:val="18"/>
              </w:rPr>
            </w:pPr>
            <w:bookmarkStart w:id="46" w:name="_Toc432516806"/>
            <w:bookmarkStart w:id="47" w:name="_Toc432517227"/>
            <w:r w:rsidRPr="00296516">
              <w:rPr>
                <w:sz w:val="18"/>
                <w:szCs w:val="18"/>
              </w:rPr>
              <w:t>Human Services</w:t>
            </w:r>
            <w:bookmarkEnd w:id="46"/>
            <w:bookmarkEnd w:id="47"/>
            <w:r>
              <w:rPr>
                <w:sz w:val="18"/>
                <w:szCs w:val="18"/>
              </w:rPr>
              <w:t xml:space="preserve"> System Management</w:t>
            </w:r>
          </w:p>
        </w:tc>
        <w:tc>
          <w:tcPr>
            <w:tcW w:w="2693" w:type="dxa"/>
          </w:tcPr>
          <w:p w:rsidR="00DA2A27" w:rsidRPr="00296516" w:rsidRDefault="00DA2A27" w:rsidP="00297380">
            <w:pPr>
              <w:keepNext/>
              <w:spacing w:after="60" w:line="280" w:lineRule="atLeast"/>
              <w:jc w:val="right"/>
              <w:outlineLvl w:val="0"/>
              <w:rPr>
                <w:rFonts w:cs="Arial"/>
                <w:color w:val="000000"/>
                <w:sz w:val="18"/>
                <w:szCs w:val="18"/>
              </w:rPr>
            </w:pPr>
            <w:r>
              <w:rPr>
                <w:rFonts w:cs="Arial"/>
                <w:color w:val="000000"/>
                <w:sz w:val="18"/>
                <w:szCs w:val="18"/>
              </w:rPr>
              <w:t>3 379</w:t>
            </w:r>
          </w:p>
        </w:tc>
      </w:tr>
      <w:tr w:rsidR="00DA2A27" w:rsidRPr="00296516" w:rsidTr="00297380">
        <w:tc>
          <w:tcPr>
            <w:tcW w:w="6946" w:type="dxa"/>
            <w:vAlign w:val="center"/>
          </w:tcPr>
          <w:p w:rsidR="00DA2A27" w:rsidRPr="00296516" w:rsidRDefault="00DA2A27" w:rsidP="00297380">
            <w:pPr>
              <w:keepNext/>
              <w:spacing w:after="60" w:line="280" w:lineRule="atLeast"/>
              <w:ind w:left="-108"/>
              <w:outlineLvl w:val="0"/>
              <w:rPr>
                <w:sz w:val="18"/>
                <w:szCs w:val="18"/>
              </w:rPr>
            </w:pPr>
            <w:r w:rsidRPr="00296516">
              <w:rPr>
                <w:sz w:val="18"/>
                <w:szCs w:val="18"/>
              </w:rPr>
              <w:t>Human Services</w:t>
            </w:r>
          </w:p>
        </w:tc>
        <w:tc>
          <w:tcPr>
            <w:tcW w:w="2693" w:type="dxa"/>
          </w:tcPr>
          <w:p w:rsidR="00DA2A27" w:rsidRDefault="00DA2A27" w:rsidP="00297380">
            <w:pPr>
              <w:keepNext/>
              <w:spacing w:after="60" w:line="280" w:lineRule="atLeast"/>
              <w:jc w:val="right"/>
              <w:outlineLvl w:val="0"/>
              <w:rPr>
                <w:rFonts w:cs="Arial"/>
                <w:color w:val="000000"/>
                <w:sz w:val="18"/>
                <w:szCs w:val="18"/>
              </w:rPr>
            </w:pPr>
            <w:r>
              <w:rPr>
                <w:rFonts w:cs="Arial"/>
                <w:color w:val="000000"/>
                <w:sz w:val="18"/>
                <w:szCs w:val="18"/>
              </w:rPr>
              <w:t>368 157</w:t>
            </w:r>
          </w:p>
        </w:tc>
      </w:tr>
      <w:tr w:rsidR="00DA2A27" w:rsidRPr="00296516" w:rsidTr="00297380">
        <w:tc>
          <w:tcPr>
            <w:tcW w:w="6946" w:type="dxa"/>
            <w:vAlign w:val="center"/>
          </w:tcPr>
          <w:p w:rsidR="00DA2A27" w:rsidRPr="00296516" w:rsidRDefault="00DA2A27" w:rsidP="00297380">
            <w:pPr>
              <w:keepNext/>
              <w:spacing w:after="60" w:line="280" w:lineRule="atLeast"/>
              <w:ind w:left="-108"/>
              <w:outlineLvl w:val="0"/>
              <w:rPr>
                <w:sz w:val="18"/>
                <w:szCs w:val="18"/>
              </w:rPr>
            </w:pPr>
            <w:bookmarkStart w:id="48" w:name="_Toc432516808"/>
            <w:bookmarkStart w:id="49" w:name="_Toc432517229"/>
            <w:r w:rsidRPr="00296516">
              <w:rPr>
                <w:sz w:val="18"/>
                <w:szCs w:val="18"/>
              </w:rPr>
              <w:t>Children Services</w:t>
            </w:r>
            <w:bookmarkEnd w:id="48"/>
            <w:bookmarkEnd w:id="49"/>
            <w:r>
              <w:rPr>
                <w:sz w:val="18"/>
                <w:szCs w:val="18"/>
              </w:rPr>
              <w:t xml:space="preserve"> System Management</w:t>
            </w:r>
          </w:p>
        </w:tc>
        <w:tc>
          <w:tcPr>
            <w:tcW w:w="2693" w:type="dxa"/>
          </w:tcPr>
          <w:p w:rsidR="00DA2A27" w:rsidRPr="00296516" w:rsidRDefault="00DA2A27" w:rsidP="00297380">
            <w:pPr>
              <w:keepNext/>
              <w:spacing w:after="60" w:line="280" w:lineRule="atLeast"/>
              <w:jc w:val="right"/>
              <w:outlineLvl w:val="0"/>
              <w:rPr>
                <w:rFonts w:cs="Arial"/>
                <w:color w:val="000000"/>
                <w:sz w:val="18"/>
                <w:szCs w:val="18"/>
              </w:rPr>
            </w:pPr>
            <w:r>
              <w:rPr>
                <w:rFonts w:cs="Arial"/>
                <w:color w:val="000000"/>
                <w:sz w:val="18"/>
                <w:szCs w:val="18"/>
              </w:rPr>
              <w:t>5 124</w:t>
            </w:r>
          </w:p>
        </w:tc>
      </w:tr>
      <w:tr w:rsidR="00DA2A27" w:rsidRPr="00296516" w:rsidTr="00297380">
        <w:tc>
          <w:tcPr>
            <w:tcW w:w="6946" w:type="dxa"/>
            <w:vAlign w:val="center"/>
          </w:tcPr>
          <w:p w:rsidR="00DA2A27" w:rsidRPr="00296516" w:rsidRDefault="00DA2A27" w:rsidP="00297380">
            <w:pPr>
              <w:keepNext/>
              <w:spacing w:after="60" w:line="280" w:lineRule="atLeast"/>
              <w:ind w:left="-108"/>
              <w:outlineLvl w:val="0"/>
              <w:rPr>
                <w:sz w:val="18"/>
                <w:szCs w:val="18"/>
              </w:rPr>
            </w:pPr>
            <w:r w:rsidRPr="00296516">
              <w:rPr>
                <w:sz w:val="18"/>
                <w:szCs w:val="18"/>
              </w:rPr>
              <w:t>Children Services</w:t>
            </w:r>
          </w:p>
        </w:tc>
        <w:tc>
          <w:tcPr>
            <w:tcW w:w="2693" w:type="dxa"/>
          </w:tcPr>
          <w:p w:rsidR="00DA2A27" w:rsidRDefault="00DA2A27" w:rsidP="00297380">
            <w:pPr>
              <w:keepNext/>
              <w:spacing w:after="60" w:line="280" w:lineRule="atLeast"/>
              <w:jc w:val="right"/>
              <w:outlineLvl w:val="0"/>
              <w:rPr>
                <w:rFonts w:cs="Arial"/>
                <w:color w:val="000000"/>
                <w:sz w:val="18"/>
                <w:szCs w:val="18"/>
              </w:rPr>
            </w:pPr>
            <w:r>
              <w:rPr>
                <w:rFonts w:cs="Arial"/>
                <w:color w:val="000000"/>
                <w:sz w:val="18"/>
                <w:szCs w:val="18"/>
              </w:rPr>
              <w:t>108 934</w:t>
            </w:r>
          </w:p>
        </w:tc>
      </w:tr>
      <w:tr w:rsidR="00DA2A27" w:rsidRPr="00296516" w:rsidTr="00297380">
        <w:tc>
          <w:tcPr>
            <w:tcW w:w="6946" w:type="dxa"/>
            <w:vAlign w:val="center"/>
          </w:tcPr>
          <w:p w:rsidR="00DA2A27" w:rsidRPr="00296516" w:rsidRDefault="00DA2A27" w:rsidP="00297380">
            <w:pPr>
              <w:keepNext/>
              <w:spacing w:after="60" w:line="280" w:lineRule="atLeast"/>
              <w:ind w:left="-108"/>
              <w:outlineLvl w:val="0"/>
              <w:rPr>
                <w:sz w:val="18"/>
                <w:szCs w:val="18"/>
              </w:rPr>
            </w:pPr>
            <w:bookmarkStart w:id="50" w:name="_Toc432516810"/>
            <w:bookmarkStart w:id="51" w:name="_Toc432517231"/>
            <w:r w:rsidRPr="00296516">
              <w:rPr>
                <w:sz w:val="18"/>
                <w:szCs w:val="18"/>
              </w:rPr>
              <w:t>Independent Children’s Review Services</w:t>
            </w:r>
            <w:bookmarkEnd w:id="50"/>
            <w:bookmarkEnd w:id="51"/>
          </w:p>
        </w:tc>
        <w:tc>
          <w:tcPr>
            <w:tcW w:w="2693" w:type="dxa"/>
          </w:tcPr>
          <w:p w:rsidR="00DA2A27" w:rsidRPr="00296516" w:rsidRDefault="00DA2A27" w:rsidP="00297380">
            <w:pPr>
              <w:keepNext/>
              <w:spacing w:after="60" w:line="280" w:lineRule="atLeast"/>
              <w:jc w:val="right"/>
              <w:outlineLvl w:val="0"/>
              <w:rPr>
                <w:rFonts w:cs="Arial"/>
                <w:color w:val="000000"/>
                <w:sz w:val="18"/>
                <w:szCs w:val="18"/>
              </w:rPr>
            </w:pPr>
            <w:r>
              <w:rPr>
                <w:rFonts w:cs="Arial"/>
                <w:color w:val="000000"/>
                <w:sz w:val="18"/>
                <w:szCs w:val="18"/>
              </w:rPr>
              <w:t>922</w:t>
            </w:r>
          </w:p>
        </w:tc>
      </w:tr>
      <w:tr w:rsidR="00DA2A27" w:rsidRPr="00296516" w:rsidTr="00297380">
        <w:tc>
          <w:tcPr>
            <w:tcW w:w="6946" w:type="dxa"/>
            <w:vAlign w:val="center"/>
          </w:tcPr>
          <w:p w:rsidR="00DA2A27" w:rsidRPr="00296516" w:rsidRDefault="00DA2A27" w:rsidP="00297380">
            <w:pPr>
              <w:keepNext/>
              <w:spacing w:after="60" w:line="280" w:lineRule="atLeast"/>
              <w:ind w:left="-108"/>
              <w:outlineLvl w:val="0"/>
              <w:rPr>
                <w:sz w:val="18"/>
                <w:szCs w:val="18"/>
              </w:rPr>
            </w:pPr>
            <w:bookmarkStart w:id="52" w:name="_Toc432516812"/>
            <w:bookmarkStart w:id="53" w:name="_Toc432517233"/>
            <w:r w:rsidRPr="00296516">
              <w:rPr>
                <w:sz w:val="18"/>
                <w:szCs w:val="18"/>
              </w:rPr>
              <w:t>Capital Investment Program</w:t>
            </w:r>
            <w:bookmarkEnd w:id="52"/>
            <w:bookmarkEnd w:id="53"/>
          </w:p>
        </w:tc>
        <w:tc>
          <w:tcPr>
            <w:tcW w:w="2693" w:type="dxa"/>
          </w:tcPr>
          <w:p w:rsidR="00DA2A27" w:rsidRPr="00296516" w:rsidRDefault="00DA2A27" w:rsidP="00297380">
            <w:pPr>
              <w:keepNext/>
              <w:spacing w:after="60" w:line="280" w:lineRule="atLeast"/>
              <w:jc w:val="right"/>
              <w:outlineLvl w:val="0"/>
              <w:rPr>
                <w:rFonts w:cs="Arial"/>
                <w:color w:val="000000"/>
                <w:sz w:val="18"/>
                <w:szCs w:val="18"/>
              </w:rPr>
            </w:pPr>
            <w:bookmarkStart w:id="54" w:name="_Toc432516813"/>
            <w:bookmarkStart w:id="55" w:name="_Toc432517234"/>
            <w:r>
              <w:rPr>
                <w:rFonts w:cs="Arial"/>
                <w:color w:val="000000"/>
                <w:sz w:val="18"/>
                <w:szCs w:val="18"/>
              </w:rPr>
              <w:t xml:space="preserve">173 </w:t>
            </w:r>
            <w:bookmarkEnd w:id="54"/>
            <w:bookmarkEnd w:id="55"/>
            <w:r>
              <w:rPr>
                <w:rFonts w:cs="Arial"/>
                <w:color w:val="000000"/>
                <w:sz w:val="18"/>
                <w:szCs w:val="18"/>
              </w:rPr>
              <w:t>963</w:t>
            </w:r>
          </w:p>
        </w:tc>
      </w:tr>
      <w:tr w:rsidR="00DA2A27" w:rsidRPr="00296516" w:rsidTr="00297380">
        <w:tc>
          <w:tcPr>
            <w:tcW w:w="6946" w:type="dxa"/>
            <w:vAlign w:val="center"/>
          </w:tcPr>
          <w:p w:rsidR="00DA2A27" w:rsidRPr="00296516" w:rsidRDefault="00DA2A27" w:rsidP="00297380">
            <w:pPr>
              <w:keepNext/>
              <w:spacing w:after="60" w:line="280" w:lineRule="atLeast"/>
              <w:ind w:left="-108"/>
              <w:outlineLvl w:val="0"/>
              <w:rPr>
                <w:sz w:val="18"/>
                <w:szCs w:val="18"/>
              </w:rPr>
            </w:pPr>
            <w:bookmarkStart w:id="56" w:name="_Toc432516814"/>
            <w:bookmarkStart w:id="57" w:name="_Toc432517235"/>
            <w:r w:rsidRPr="00296516">
              <w:rPr>
                <w:sz w:val="18"/>
                <w:szCs w:val="18"/>
              </w:rPr>
              <w:t>Special Capital Investment Funds</w:t>
            </w:r>
            <w:bookmarkEnd w:id="56"/>
            <w:bookmarkEnd w:id="57"/>
          </w:p>
        </w:tc>
        <w:tc>
          <w:tcPr>
            <w:tcW w:w="2693" w:type="dxa"/>
          </w:tcPr>
          <w:p w:rsidR="00DA2A27" w:rsidRPr="00296516" w:rsidRDefault="00DA2A27" w:rsidP="00297380">
            <w:pPr>
              <w:keepNext/>
              <w:spacing w:after="60" w:line="280" w:lineRule="atLeast"/>
              <w:jc w:val="right"/>
              <w:outlineLvl w:val="0"/>
              <w:rPr>
                <w:rFonts w:cs="Arial"/>
                <w:color w:val="000000"/>
                <w:sz w:val="18"/>
                <w:szCs w:val="18"/>
              </w:rPr>
            </w:pPr>
            <w:bookmarkStart w:id="58" w:name="_Toc432516815"/>
            <w:bookmarkStart w:id="59" w:name="_Toc432517236"/>
            <w:r>
              <w:rPr>
                <w:rFonts w:cs="Arial"/>
                <w:color w:val="000000"/>
                <w:sz w:val="18"/>
                <w:szCs w:val="18"/>
              </w:rPr>
              <w:t xml:space="preserve">166 </w:t>
            </w:r>
            <w:bookmarkEnd w:id="58"/>
            <w:bookmarkEnd w:id="59"/>
            <w:r>
              <w:rPr>
                <w:rFonts w:cs="Arial"/>
                <w:color w:val="000000"/>
                <w:sz w:val="18"/>
                <w:szCs w:val="18"/>
              </w:rPr>
              <w:t>780</w:t>
            </w:r>
          </w:p>
        </w:tc>
      </w:tr>
      <w:tr w:rsidR="00DA2A27" w:rsidRPr="00296516" w:rsidTr="00297380">
        <w:tc>
          <w:tcPr>
            <w:tcW w:w="6946" w:type="dxa"/>
            <w:vAlign w:val="center"/>
          </w:tcPr>
          <w:p w:rsidR="00DA2A27" w:rsidRPr="00296516" w:rsidRDefault="00DA2A27" w:rsidP="00297380">
            <w:pPr>
              <w:keepNext/>
              <w:spacing w:after="60" w:line="280" w:lineRule="atLeast"/>
              <w:ind w:left="-108"/>
              <w:outlineLvl w:val="0"/>
              <w:rPr>
                <w:b/>
                <w:sz w:val="18"/>
                <w:szCs w:val="18"/>
              </w:rPr>
            </w:pPr>
            <w:bookmarkStart w:id="60" w:name="_Toc432516816"/>
            <w:bookmarkStart w:id="61" w:name="_Toc432517237"/>
            <w:r w:rsidRPr="00296516">
              <w:rPr>
                <w:b/>
                <w:sz w:val="18"/>
                <w:szCs w:val="18"/>
              </w:rPr>
              <w:t>Total</w:t>
            </w:r>
            <w:bookmarkEnd w:id="60"/>
            <w:bookmarkEnd w:id="61"/>
          </w:p>
        </w:tc>
        <w:tc>
          <w:tcPr>
            <w:tcW w:w="2693" w:type="dxa"/>
          </w:tcPr>
          <w:p w:rsidR="00DA2A27" w:rsidRPr="00296516" w:rsidRDefault="00DA2A27" w:rsidP="00297380">
            <w:pPr>
              <w:keepNext/>
              <w:spacing w:after="60" w:line="280" w:lineRule="atLeast"/>
              <w:jc w:val="right"/>
              <w:outlineLvl w:val="0"/>
              <w:rPr>
                <w:rFonts w:cs="Arial"/>
                <w:b/>
                <w:color w:val="000000"/>
                <w:sz w:val="18"/>
                <w:szCs w:val="18"/>
              </w:rPr>
            </w:pPr>
            <w:bookmarkStart w:id="62" w:name="_Toc432516817"/>
            <w:bookmarkStart w:id="63" w:name="_Toc432517238"/>
            <w:r>
              <w:rPr>
                <w:rFonts w:cs="Arial"/>
                <w:b/>
                <w:color w:val="000000"/>
                <w:sz w:val="18"/>
                <w:szCs w:val="18"/>
              </w:rPr>
              <w:t xml:space="preserve">1 695 </w:t>
            </w:r>
            <w:bookmarkEnd w:id="62"/>
            <w:bookmarkEnd w:id="63"/>
            <w:r>
              <w:rPr>
                <w:rFonts w:cs="Arial"/>
                <w:b/>
                <w:color w:val="000000"/>
                <w:sz w:val="18"/>
                <w:szCs w:val="18"/>
              </w:rPr>
              <w:t>629</w:t>
            </w:r>
          </w:p>
        </w:tc>
      </w:tr>
    </w:tbl>
    <w:p w:rsidR="00DA2A27" w:rsidRDefault="00DA2A27" w:rsidP="00DA2A27">
      <w:pPr>
        <w:spacing w:after="120" w:line="240" w:lineRule="atLeast"/>
        <w:outlineLvl w:val="0"/>
        <w:sectPr w:rsidR="00DA2A27" w:rsidSect="00DA2A27">
          <w:type w:val="continuous"/>
          <w:pgSz w:w="11906" w:h="16838"/>
          <w:pgMar w:top="1103" w:right="1440" w:bottom="1440" w:left="1440" w:header="708" w:footer="708" w:gutter="0"/>
          <w:cols w:space="708"/>
          <w:docGrid w:linePitch="360"/>
        </w:sectPr>
      </w:pPr>
    </w:p>
    <w:p w:rsidR="00DA2A27" w:rsidRDefault="00DA2A27" w:rsidP="00DA2A27">
      <w:pPr>
        <w:spacing w:after="120" w:line="240" w:lineRule="atLeast"/>
        <w:outlineLvl w:val="0"/>
        <w:sectPr w:rsidR="00DA2A27" w:rsidSect="00DA2A27">
          <w:type w:val="continuous"/>
          <w:pgSz w:w="11906" w:h="16838"/>
          <w:pgMar w:top="1103" w:right="1440" w:bottom="1440" w:left="1440" w:header="708" w:footer="708" w:gutter="0"/>
          <w:cols w:num="2" w:space="708"/>
          <w:docGrid w:linePitch="360"/>
        </w:sectPr>
      </w:pPr>
    </w:p>
    <w:p w:rsidR="00DA2A27" w:rsidRDefault="00DA2A27" w:rsidP="00DA2A27">
      <w:pPr>
        <w:widowControl w:val="0"/>
        <w:spacing w:before="120" w:after="120"/>
        <w:outlineLvl w:val="0"/>
      </w:pPr>
      <w:bookmarkStart w:id="64" w:name="_Toc432516818"/>
      <w:bookmarkStart w:id="65" w:name="_Toc432517239"/>
      <w:r>
        <w:lastRenderedPageBreak/>
        <w:t>The Department had $1.672</w:t>
      </w:r>
      <w:r w:rsidRPr="000A58C6">
        <w:t xml:space="preserve"> billion in physical </w:t>
      </w:r>
      <w:r>
        <w:t xml:space="preserve">assets under its </w:t>
      </w:r>
      <w:r w:rsidRPr="00AC4AD0">
        <w:t>control in 201</w:t>
      </w:r>
      <w:r>
        <w:t>5</w:t>
      </w:r>
      <w:r w:rsidRPr="00AC4AD0">
        <w:noBreakHyphen/>
        <w:t>1</w:t>
      </w:r>
      <w:r>
        <w:t>6</w:t>
      </w:r>
      <w:r w:rsidRPr="00AC4AD0">
        <w:t>,</w:t>
      </w:r>
      <w:r w:rsidRPr="000A58C6">
        <w:t xml:space="preserve"> and the annual appropriation from the Consolidated Fund </w:t>
      </w:r>
      <w:r>
        <w:t>for recurrent services was $1.194</w:t>
      </w:r>
      <w:r w:rsidRPr="000A58C6">
        <w:t xml:space="preserve"> billion. </w:t>
      </w:r>
    </w:p>
    <w:p w:rsidR="00DA2A27" w:rsidRPr="00155B09" w:rsidRDefault="00DA2A27" w:rsidP="00DA2A27">
      <w:pPr>
        <w:widowControl w:val="0"/>
        <w:spacing w:before="120" w:after="120"/>
        <w:outlineLvl w:val="0"/>
      </w:pPr>
      <w:bookmarkStart w:id="66" w:name="_Toc432516819"/>
      <w:bookmarkStart w:id="67" w:name="_Toc432517240"/>
      <w:r w:rsidRPr="00155B09">
        <w:t xml:space="preserve">The Statement of </w:t>
      </w:r>
      <w:r w:rsidRPr="00AC4AD0">
        <w:t>Comprehensive Income identified that total expenses for 201</w:t>
      </w:r>
      <w:r>
        <w:t>5</w:t>
      </w:r>
      <w:r w:rsidRPr="00AC4AD0">
        <w:t>-1</w:t>
      </w:r>
      <w:r>
        <w:t>6</w:t>
      </w:r>
      <w:r w:rsidRPr="00AC4AD0">
        <w:t xml:space="preserve"> amounted to $1.4</w:t>
      </w:r>
      <w:r>
        <w:t>12</w:t>
      </w:r>
      <w:r w:rsidRPr="00AC4AD0">
        <w:t xml:space="preserve"> billion.</w:t>
      </w:r>
      <w:bookmarkEnd w:id="66"/>
      <w:bookmarkEnd w:id="67"/>
    </w:p>
    <w:p w:rsidR="00DA2A27" w:rsidRPr="00155B09" w:rsidRDefault="00DA2A27" w:rsidP="00DA2A27">
      <w:pPr>
        <w:spacing w:before="120" w:after="120"/>
        <w:outlineLvl w:val="0"/>
      </w:pPr>
      <w:bookmarkStart w:id="68" w:name="_Toc432516820"/>
      <w:bookmarkStart w:id="69" w:name="_Toc432517241"/>
      <w:r w:rsidRPr="00155B09">
        <w:t>Operating expenses incurred throughout the Department are varied but the major categories include:</w:t>
      </w:r>
      <w:bookmarkEnd w:id="68"/>
      <w:bookmarkEnd w:id="69"/>
    </w:p>
    <w:p w:rsidR="00DA2A27" w:rsidRPr="00155B09" w:rsidRDefault="00DA2A27" w:rsidP="00DA2A27">
      <w:pPr>
        <w:numPr>
          <w:ilvl w:val="0"/>
          <w:numId w:val="6"/>
        </w:numPr>
        <w:spacing w:before="120" w:after="120" w:line="240" w:lineRule="auto"/>
        <w:ind w:left="426"/>
        <w:outlineLvl w:val="0"/>
      </w:pPr>
      <w:bookmarkStart w:id="70" w:name="_Toc432516821"/>
      <w:bookmarkStart w:id="71" w:name="_Toc432517242"/>
      <w:r w:rsidRPr="00155B09">
        <w:t>salaries and emplo</w:t>
      </w:r>
      <w:r>
        <w:t>yee related expenses at $183.876</w:t>
      </w:r>
      <w:r w:rsidRPr="00155B09">
        <w:t xml:space="preserve"> million</w:t>
      </w:r>
      <w:bookmarkEnd w:id="70"/>
      <w:bookmarkEnd w:id="71"/>
    </w:p>
    <w:p w:rsidR="00DA2A27" w:rsidRDefault="00DA2A27" w:rsidP="00DA2A27">
      <w:pPr>
        <w:numPr>
          <w:ilvl w:val="0"/>
          <w:numId w:val="6"/>
        </w:numPr>
        <w:spacing w:before="120" w:after="120" w:line="240" w:lineRule="auto"/>
        <w:ind w:left="426"/>
        <w:outlineLvl w:val="0"/>
      </w:pPr>
      <w:bookmarkStart w:id="72" w:name="_Toc432516822"/>
      <w:bookmarkStart w:id="73" w:name="_Toc432517243"/>
      <w:r w:rsidRPr="00155B09">
        <w:lastRenderedPageBreak/>
        <w:t>patien</w:t>
      </w:r>
      <w:r>
        <w:t>t and client services at $41.697 </w:t>
      </w:r>
      <w:r w:rsidRPr="00155B09">
        <w:t>million</w:t>
      </w:r>
      <w:r>
        <w:t xml:space="preserve"> and</w:t>
      </w:r>
      <w:bookmarkEnd w:id="72"/>
      <w:bookmarkEnd w:id="73"/>
    </w:p>
    <w:p w:rsidR="00DA2A27" w:rsidRDefault="00DA2A27" w:rsidP="00464E97">
      <w:pPr>
        <w:numPr>
          <w:ilvl w:val="0"/>
          <w:numId w:val="6"/>
        </w:numPr>
        <w:spacing w:before="120" w:after="120" w:line="240" w:lineRule="auto"/>
        <w:ind w:left="426"/>
        <w:outlineLvl w:val="0"/>
      </w:pPr>
      <w:bookmarkStart w:id="74" w:name="_Toc432516823"/>
      <w:bookmarkStart w:id="75" w:name="_Toc432517244"/>
      <w:proofErr w:type="gramStart"/>
      <w:r w:rsidRPr="00CF2C2A">
        <w:t>property</w:t>
      </w:r>
      <w:proofErr w:type="gramEnd"/>
      <w:r w:rsidRPr="00CF2C2A">
        <w:t>, including rent, rates, mainte</w:t>
      </w:r>
      <w:r>
        <w:t>nance and electricity at $62.902</w:t>
      </w:r>
      <w:r w:rsidRPr="00CF2C2A">
        <w:t xml:space="preserve"> million</w:t>
      </w:r>
      <w:r>
        <w:t>.</w:t>
      </w:r>
      <w:bookmarkEnd w:id="74"/>
      <w:bookmarkEnd w:id="75"/>
    </w:p>
    <w:p w:rsidR="00DA2A27" w:rsidRPr="00285CDC" w:rsidRDefault="00DA2A27" w:rsidP="00DA2A27">
      <w:pPr>
        <w:ind w:left="360"/>
      </w:pPr>
      <w:bookmarkStart w:id="76" w:name="_Toc432516824"/>
      <w:bookmarkStart w:id="77" w:name="_Toc432517245"/>
      <w:r w:rsidRPr="00CF2C2A">
        <w:t>Capital Expenditure for prope</w:t>
      </w:r>
      <w:r>
        <w:t xml:space="preserve">rty, plant and </w:t>
      </w:r>
      <w:r w:rsidRPr="00AC4AD0">
        <w:t>equipment in 201</w:t>
      </w:r>
      <w:r>
        <w:t>5</w:t>
      </w:r>
      <w:r w:rsidRPr="00AC4AD0">
        <w:t>-1</w:t>
      </w:r>
      <w:r>
        <w:t>6</w:t>
      </w:r>
      <w:r w:rsidRPr="00AC4AD0">
        <w:t xml:space="preserve"> totalled $</w:t>
      </w:r>
      <w:r>
        <w:t>124</w:t>
      </w:r>
      <w:r w:rsidRPr="00AC4AD0">
        <w:t>.</w:t>
      </w:r>
      <w:r>
        <w:t>698</w:t>
      </w:r>
      <w:r w:rsidRPr="00AC4AD0">
        <w:t xml:space="preserve"> million, </w:t>
      </w:r>
      <w:r w:rsidRPr="006B1053">
        <w:t>which included expenditure on works at the major hospitals, community health centres and ongoing Housing Tasmania capital programs. Further</w:t>
      </w:r>
      <w:r w:rsidRPr="00CF2C2A">
        <w:t xml:space="preserve"> details on the capital program are available in Part 2</w:t>
      </w:r>
      <w:bookmarkEnd w:id="76"/>
      <w:bookmarkEnd w:id="77"/>
      <w:r w:rsidRPr="00285CDC">
        <w:t>.</w:t>
      </w:r>
    </w:p>
    <w:bookmarkEnd w:id="64"/>
    <w:bookmarkEnd w:id="65"/>
    <w:p w:rsidR="00DA2A27" w:rsidRDefault="00DA2A27" w:rsidP="00DA2A27">
      <w:pPr>
        <w:spacing w:after="120" w:line="240" w:lineRule="atLeast"/>
        <w:outlineLvl w:val="0"/>
        <w:sectPr w:rsidR="00DA2A27" w:rsidSect="00DA2A27">
          <w:type w:val="continuous"/>
          <w:pgSz w:w="11906" w:h="16838"/>
          <w:pgMar w:top="1103" w:right="1440" w:bottom="1440" w:left="1440" w:header="708" w:footer="708" w:gutter="0"/>
          <w:cols w:num="2" w:space="708"/>
          <w:docGrid w:linePitch="360"/>
        </w:sectPr>
      </w:pPr>
    </w:p>
    <w:p w:rsidR="00DA2A27" w:rsidRDefault="00DA2A27">
      <w:r>
        <w:lastRenderedPageBreak/>
        <w:br w:type="page"/>
      </w:r>
    </w:p>
    <w:p w:rsidR="00DA2A27" w:rsidRPr="00155B09" w:rsidRDefault="00DA2A27" w:rsidP="00DA2A27">
      <w:pPr>
        <w:keepNext/>
        <w:outlineLvl w:val="0"/>
      </w:pPr>
      <w:r w:rsidRPr="00155B09">
        <w:lastRenderedPageBreak/>
        <w:t>Department of Health and Human Services A</w:t>
      </w:r>
      <w:r>
        <w:t xml:space="preserve">ctual Expenditure </w:t>
      </w:r>
      <w:r w:rsidRPr="00EB5582">
        <w:t>201</w:t>
      </w:r>
      <w:r>
        <w:t>5</w:t>
      </w:r>
      <w:r w:rsidRPr="00EB5582">
        <w:t>-1</w:t>
      </w:r>
      <w:r>
        <w:t>6</w:t>
      </w:r>
    </w:p>
    <w:tbl>
      <w:tblPr>
        <w:tblW w:w="9639" w:type="dxa"/>
        <w:tblInd w:w="108" w:type="dxa"/>
        <w:tblBorders>
          <w:top w:val="single" w:sz="2" w:space="0" w:color="808080"/>
          <w:bottom w:val="single" w:sz="2" w:space="0" w:color="808080"/>
          <w:insideH w:val="single" w:sz="2" w:space="0" w:color="808080"/>
        </w:tblBorders>
        <w:tblLook w:val="04A0" w:firstRow="1" w:lastRow="0" w:firstColumn="1" w:lastColumn="0" w:noHBand="0" w:noVBand="1"/>
        <w:tblCaption w:val="Table: DHHS Actual Expenditure 2015-16"/>
      </w:tblPr>
      <w:tblGrid>
        <w:gridCol w:w="6946"/>
        <w:gridCol w:w="2693"/>
      </w:tblGrid>
      <w:tr w:rsidR="00DA2A27" w:rsidRPr="00296516" w:rsidTr="00DA2A27">
        <w:tc>
          <w:tcPr>
            <w:tcW w:w="6946" w:type="dxa"/>
            <w:shd w:val="clear" w:color="auto" w:fill="auto"/>
          </w:tcPr>
          <w:p w:rsidR="00DA2A27" w:rsidRPr="00296516" w:rsidRDefault="00DA2A27" w:rsidP="00297380">
            <w:pPr>
              <w:keepNext/>
              <w:spacing w:after="60" w:line="280" w:lineRule="atLeast"/>
              <w:ind w:left="-108"/>
              <w:rPr>
                <w:b/>
                <w:sz w:val="18"/>
                <w:szCs w:val="18"/>
              </w:rPr>
            </w:pPr>
            <w:r w:rsidRPr="00296516">
              <w:rPr>
                <w:b/>
                <w:sz w:val="18"/>
                <w:szCs w:val="18"/>
              </w:rPr>
              <w:t>Actual Expenditure by Output</w:t>
            </w:r>
          </w:p>
        </w:tc>
        <w:tc>
          <w:tcPr>
            <w:tcW w:w="2693" w:type="dxa"/>
            <w:shd w:val="clear" w:color="auto" w:fill="auto"/>
            <w:vAlign w:val="center"/>
          </w:tcPr>
          <w:p w:rsidR="00DA2A27" w:rsidRPr="00296516" w:rsidRDefault="00DA2A27" w:rsidP="00297380">
            <w:pPr>
              <w:keepNext/>
              <w:spacing w:after="60" w:line="280" w:lineRule="atLeast"/>
              <w:jc w:val="right"/>
              <w:rPr>
                <w:b/>
                <w:sz w:val="18"/>
                <w:szCs w:val="18"/>
              </w:rPr>
            </w:pPr>
            <w:r w:rsidRPr="00EB5582">
              <w:rPr>
                <w:b/>
                <w:sz w:val="18"/>
                <w:szCs w:val="18"/>
              </w:rPr>
              <w:t>2015-16</w:t>
            </w:r>
          </w:p>
          <w:p w:rsidR="00DA2A27" w:rsidRPr="00296516" w:rsidRDefault="00DA2A27" w:rsidP="00297380">
            <w:pPr>
              <w:keepNext/>
              <w:spacing w:after="60" w:line="280" w:lineRule="atLeast"/>
              <w:jc w:val="right"/>
              <w:rPr>
                <w:b/>
                <w:sz w:val="18"/>
                <w:szCs w:val="18"/>
              </w:rPr>
            </w:pPr>
            <w:r w:rsidRPr="00296516">
              <w:rPr>
                <w:b/>
                <w:sz w:val="18"/>
                <w:szCs w:val="18"/>
              </w:rPr>
              <w:t>$ ‘000</w:t>
            </w:r>
          </w:p>
        </w:tc>
      </w:tr>
      <w:tr w:rsidR="00DA2A27" w:rsidRPr="00296516" w:rsidTr="00DA2A27">
        <w:tc>
          <w:tcPr>
            <w:tcW w:w="6946" w:type="dxa"/>
            <w:vAlign w:val="center"/>
          </w:tcPr>
          <w:p w:rsidR="00DA2A27" w:rsidRPr="00296516" w:rsidRDefault="00DA2A27" w:rsidP="00297380">
            <w:pPr>
              <w:keepNext/>
              <w:spacing w:after="60" w:line="280" w:lineRule="atLeast"/>
              <w:ind w:left="-108"/>
              <w:outlineLvl w:val="0"/>
              <w:rPr>
                <w:sz w:val="18"/>
                <w:szCs w:val="18"/>
              </w:rPr>
            </w:pPr>
            <w:bookmarkStart w:id="78" w:name="_Toc432516826"/>
            <w:bookmarkStart w:id="79" w:name="_Toc432517247"/>
            <w:r w:rsidRPr="00296516">
              <w:rPr>
                <w:sz w:val="18"/>
                <w:szCs w:val="18"/>
              </w:rPr>
              <w:t>Health Services System Management</w:t>
            </w:r>
            <w:bookmarkEnd w:id="78"/>
            <w:bookmarkEnd w:id="79"/>
          </w:p>
        </w:tc>
        <w:tc>
          <w:tcPr>
            <w:tcW w:w="2693" w:type="dxa"/>
          </w:tcPr>
          <w:p w:rsidR="00DA2A27" w:rsidRPr="00296516" w:rsidRDefault="00DA2A27" w:rsidP="00297380">
            <w:pPr>
              <w:keepNext/>
              <w:spacing w:after="60" w:line="280" w:lineRule="atLeast"/>
              <w:jc w:val="right"/>
              <w:outlineLvl w:val="0"/>
              <w:rPr>
                <w:sz w:val="18"/>
                <w:szCs w:val="18"/>
              </w:rPr>
            </w:pPr>
            <w:r>
              <w:rPr>
                <w:sz w:val="18"/>
                <w:szCs w:val="18"/>
              </w:rPr>
              <w:t xml:space="preserve">       </w:t>
            </w:r>
            <w:bookmarkStart w:id="80" w:name="_Toc432516827"/>
            <w:bookmarkStart w:id="81" w:name="_Toc432517248"/>
            <w:r>
              <w:rPr>
                <w:sz w:val="18"/>
                <w:szCs w:val="18"/>
              </w:rPr>
              <w:t xml:space="preserve">167 </w:t>
            </w:r>
            <w:bookmarkEnd w:id="80"/>
            <w:bookmarkEnd w:id="81"/>
            <w:r>
              <w:rPr>
                <w:sz w:val="18"/>
                <w:szCs w:val="18"/>
              </w:rPr>
              <w:t>089</w:t>
            </w:r>
          </w:p>
        </w:tc>
      </w:tr>
      <w:tr w:rsidR="00DA2A27" w:rsidRPr="00296516" w:rsidTr="00DA2A27">
        <w:tc>
          <w:tcPr>
            <w:tcW w:w="6946" w:type="dxa"/>
            <w:vAlign w:val="center"/>
          </w:tcPr>
          <w:p w:rsidR="00DA2A27" w:rsidRPr="00296516" w:rsidRDefault="00DA2A27" w:rsidP="00297380">
            <w:pPr>
              <w:keepNext/>
              <w:spacing w:after="60" w:line="280" w:lineRule="atLeast"/>
              <w:ind w:left="-108"/>
              <w:outlineLvl w:val="0"/>
              <w:rPr>
                <w:sz w:val="18"/>
                <w:szCs w:val="18"/>
              </w:rPr>
            </w:pPr>
            <w:bookmarkStart w:id="82" w:name="_Toc432516828"/>
            <w:bookmarkStart w:id="83" w:name="_Toc432517249"/>
            <w:r w:rsidRPr="00296516">
              <w:rPr>
                <w:sz w:val="18"/>
                <w:szCs w:val="18"/>
              </w:rPr>
              <w:t xml:space="preserve">Tasmanian Health </w:t>
            </w:r>
            <w:bookmarkEnd w:id="82"/>
            <w:bookmarkEnd w:id="83"/>
            <w:r>
              <w:rPr>
                <w:sz w:val="18"/>
                <w:szCs w:val="18"/>
              </w:rPr>
              <w:t>Service</w:t>
            </w:r>
          </w:p>
        </w:tc>
        <w:tc>
          <w:tcPr>
            <w:tcW w:w="2693" w:type="dxa"/>
          </w:tcPr>
          <w:p w:rsidR="00DA2A27" w:rsidRPr="00296516" w:rsidRDefault="00DA2A27" w:rsidP="00297380">
            <w:pPr>
              <w:keepNext/>
              <w:spacing w:after="60" w:line="280" w:lineRule="atLeast"/>
              <w:jc w:val="right"/>
              <w:outlineLvl w:val="0"/>
              <w:rPr>
                <w:rFonts w:cs="Arial"/>
                <w:color w:val="000000"/>
                <w:sz w:val="18"/>
                <w:szCs w:val="18"/>
              </w:rPr>
            </w:pPr>
            <w:bookmarkStart w:id="84" w:name="_Toc432516829"/>
            <w:bookmarkStart w:id="85" w:name="_Toc432517250"/>
            <w:r>
              <w:rPr>
                <w:rFonts w:cs="Arial"/>
                <w:color w:val="000000"/>
                <w:sz w:val="18"/>
                <w:szCs w:val="18"/>
              </w:rPr>
              <w:t xml:space="preserve">639 </w:t>
            </w:r>
            <w:bookmarkEnd w:id="84"/>
            <w:bookmarkEnd w:id="85"/>
            <w:r>
              <w:rPr>
                <w:rFonts w:cs="Arial"/>
                <w:color w:val="000000"/>
                <w:sz w:val="18"/>
                <w:szCs w:val="18"/>
              </w:rPr>
              <w:t>069</w:t>
            </w:r>
          </w:p>
        </w:tc>
      </w:tr>
      <w:tr w:rsidR="00DA2A27" w:rsidRPr="00296516" w:rsidTr="00DA2A27">
        <w:tc>
          <w:tcPr>
            <w:tcW w:w="6946" w:type="dxa"/>
            <w:vAlign w:val="center"/>
          </w:tcPr>
          <w:p w:rsidR="00DA2A27" w:rsidRPr="00296516" w:rsidRDefault="00DA2A27" w:rsidP="00297380">
            <w:pPr>
              <w:keepNext/>
              <w:spacing w:after="60" w:line="280" w:lineRule="atLeast"/>
              <w:ind w:left="-108"/>
              <w:outlineLvl w:val="0"/>
              <w:rPr>
                <w:sz w:val="18"/>
                <w:szCs w:val="18"/>
              </w:rPr>
            </w:pPr>
            <w:bookmarkStart w:id="86" w:name="_Toc432516830"/>
            <w:bookmarkStart w:id="87" w:name="_Toc432517251"/>
            <w:r w:rsidRPr="00296516">
              <w:rPr>
                <w:sz w:val="18"/>
                <w:szCs w:val="18"/>
              </w:rPr>
              <w:t>Statewide Services</w:t>
            </w:r>
            <w:bookmarkEnd w:id="86"/>
            <w:bookmarkEnd w:id="87"/>
          </w:p>
        </w:tc>
        <w:tc>
          <w:tcPr>
            <w:tcW w:w="2693" w:type="dxa"/>
          </w:tcPr>
          <w:p w:rsidR="00DA2A27" w:rsidRPr="00296516" w:rsidRDefault="00DA2A27" w:rsidP="00297380">
            <w:pPr>
              <w:keepNext/>
              <w:spacing w:after="60" w:line="280" w:lineRule="atLeast"/>
              <w:jc w:val="right"/>
              <w:outlineLvl w:val="0"/>
              <w:rPr>
                <w:rFonts w:cs="Arial"/>
                <w:color w:val="000000"/>
                <w:sz w:val="18"/>
                <w:szCs w:val="18"/>
              </w:rPr>
            </w:pPr>
            <w:bookmarkStart w:id="88" w:name="_Toc432516831"/>
            <w:bookmarkStart w:id="89" w:name="_Toc432517252"/>
            <w:r>
              <w:rPr>
                <w:rFonts w:cs="Arial"/>
                <w:color w:val="000000"/>
                <w:sz w:val="18"/>
                <w:szCs w:val="18"/>
              </w:rPr>
              <w:t xml:space="preserve">89 </w:t>
            </w:r>
            <w:bookmarkEnd w:id="88"/>
            <w:bookmarkEnd w:id="89"/>
            <w:r>
              <w:rPr>
                <w:rFonts w:cs="Arial"/>
                <w:color w:val="000000"/>
                <w:sz w:val="18"/>
                <w:szCs w:val="18"/>
              </w:rPr>
              <w:t>126</w:t>
            </w:r>
          </w:p>
        </w:tc>
      </w:tr>
      <w:tr w:rsidR="00DA2A27" w:rsidRPr="00296516" w:rsidTr="00DA2A27">
        <w:tc>
          <w:tcPr>
            <w:tcW w:w="6946" w:type="dxa"/>
            <w:vAlign w:val="center"/>
          </w:tcPr>
          <w:p w:rsidR="00DA2A27" w:rsidRPr="00296516" w:rsidRDefault="00DA2A27" w:rsidP="00297380">
            <w:pPr>
              <w:keepNext/>
              <w:spacing w:after="60" w:line="280" w:lineRule="atLeast"/>
              <w:ind w:left="-108"/>
              <w:outlineLvl w:val="0"/>
              <w:rPr>
                <w:sz w:val="18"/>
                <w:szCs w:val="18"/>
              </w:rPr>
            </w:pPr>
            <w:bookmarkStart w:id="90" w:name="_Toc432516832"/>
            <w:bookmarkStart w:id="91" w:name="_Toc432517253"/>
            <w:r w:rsidRPr="00296516">
              <w:rPr>
                <w:sz w:val="18"/>
                <w:szCs w:val="18"/>
              </w:rPr>
              <w:t>Human Services</w:t>
            </w:r>
            <w:bookmarkEnd w:id="90"/>
            <w:bookmarkEnd w:id="91"/>
            <w:r>
              <w:rPr>
                <w:sz w:val="18"/>
                <w:szCs w:val="18"/>
              </w:rPr>
              <w:t xml:space="preserve"> System Management</w:t>
            </w:r>
          </w:p>
        </w:tc>
        <w:tc>
          <w:tcPr>
            <w:tcW w:w="2693" w:type="dxa"/>
          </w:tcPr>
          <w:p w:rsidR="00DA2A27" w:rsidRPr="00296516" w:rsidRDefault="00DA2A27" w:rsidP="00297380">
            <w:pPr>
              <w:keepNext/>
              <w:spacing w:after="60" w:line="280" w:lineRule="atLeast"/>
              <w:jc w:val="right"/>
              <w:outlineLvl w:val="0"/>
              <w:rPr>
                <w:rFonts w:cs="Arial"/>
                <w:color w:val="000000"/>
                <w:sz w:val="18"/>
                <w:szCs w:val="18"/>
              </w:rPr>
            </w:pPr>
            <w:r>
              <w:rPr>
                <w:rFonts w:cs="Arial"/>
                <w:color w:val="000000"/>
                <w:sz w:val="18"/>
                <w:szCs w:val="18"/>
              </w:rPr>
              <w:t>6 246</w:t>
            </w:r>
          </w:p>
        </w:tc>
      </w:tr>
      <w:tr w:rsidR="00DA2A27" w:rsidRPr="00296516" w:rsidTr="00DA2A27">
        <w:tc>
          <w:tcPr>
            <w:tcW w:w="6946" w:type="dxa"/>
            <w:vAlign w:val="center"/>
          </w:tcPr>
          <w:p w:rsidR="00DA2A27" w:rsidRPr="00296516" w:rsidRDefault="00DA2A27" w:rsidP="00297380">
            <w:pPr>
              <w:keepNext/>
              <w:spacing w:after="60" w:line="280" w:lineRule="atLeast"/>
              <w:ind w:left="-108"/>
              <w:outlineLvl w:val="0"/>
              <w:rPr>
                <w:sz w:val="18"/>
                <w:szCs w:val="18"/>
              </w:rPr>
            </w:pPr>
            <w:r w:rsidRPr="00296516">
              <w:rPr>
                <w:sz w:val="18"/>
                <w:szCs w:val="18"/>
              </w:rPr>
              <w:t>Human Services</w:t>
            </w:r>
          </w:p>
        </w:tc>
        <w:tc>
          <w:tcPr>
            <w:tcW w:w="2693" w:type="dxa"/>
          </w:tcPr>
          <w:p w:rsidR="00DA2A27" w:rsidRDefault="00DA2A27" w:rsidP="00297380">
            <w:pPr>
              <w:keepNext/>
              <w:spacing w:after="60" w:line="280" w:lineRule="atLeast"/>
              <w:jc w:val="right"/>
              <w:outlineLvl w:val="0"/>
              <w:rPr>
                <w:rFonts w:cs="Arial"/>
                <w:color w:val="000000"/>
                <w:sz w:val="18"/>
                <w:szCs w:val="18"/>
              </w:rPr>
            </w:pPr>
            <w:r>
              <w:rPr>
                <w:rFonts w:cs="Arial"/>
                <w:color w:val="000000"/>
                <w:sz w:val="18"/>
                <w:szCs w:val="18"/>
              </w:rPr>
              <w:t>330 875</w:t>
            </w:r>
          </w:p>
        </w:tc>
      </w:tr>
      <w:tr w:rsidR="00DA2A27" w:rsidRPr="00296516" w:rsidTr="00DA2A27">
        <w:tc>
          <w:tcPr>
            <w:tcW w:w="6946" w:type="dxa"/>
            <w:vAlign w:val="center"/>
          </w:tcPr>
          <w:p w:rsidR="00DA2A27" w:rsidRPr="00296516" w:rsidRDefault="00DA2A27" w:rsidP="00297380">
            <w:pPr>
              <w:keepNext/>
              <w:spacing w:after="60" w:line="280" w:lineRule="atLeast"/>
              <w:ind w:left="-108"/>
              <w:outlineLvl w:val="0"/>
              <w:rPr>
                <w:sz w:val="18"/>
                <w:szCs w:val="18"/>
              </w:rPr>
            </w:pPr>
            <w:bookmarkStart w:id="92" w:name="_Toc432516834"/>
            <w:bookmarkStart w:id="93" w:name="_Toc432517255"/>
            <w:r w:rsidRPr="00296516">
              <w:rPr>
                <w:sz w:val="18"/>
                <w:szCs w:val="18"/>
              </w:rPr>
              <w:t>Children Services</w:t>
            </w:r>
            <w:bookmarkEnd w:id="92"/>
            <w:bookmarkEnd w:id="93"/>
            <w:r>
              <w:rPr>
                <w:sz w:val="18"/>
                <w:szCs w:val="18"/>
              </w:rPr>
              <w:t xml:space="preserve"> System Management</w:t>
            </w:r>
          </w:p>
        </w:tc>
        <w:tc>
          <w:tcPr>
            <w:tcW w:w="2693" w:type="dxa"/>
          </w:tcPr>
          <w:p w:rsidR="00DA2A27" w:rsidRPr="00296516" w:rsidRDefault="00DA2A27" w:rsidP="00297380">
            <w:pPr>
              <w:keepNext/>
              <w:spacing w:after="60" w:line="280" w:lineRule="atLeast"/>
              <w:jc w:val="right"/>
              <w:outlineLvl w:val="0"/>
              <w:rPr>
                <w:rFonts w:cs="Arial"/>
                <w:color w:val="000000"/>
                <w:sz w:val="18"/>
                <w:szCs w:val="18"/>
              </w:rPr>
            </w:pPr>
            <w:r>
              <w:rPr>
                <w:rFonts w:cs="Arial"/>
                <w:color w:val="000000"/>
                <w:sz w:val="18"/>
                <w:szCs w:val="18"/>
              </w:rPr>
              <w:t>3 480</w:t>
            </w:r>
          </w:p>
        </w:tc>
      </w:tr>
      <w:tr w:rsidR="00DA2A27" w:rsidRPr="00296516" w:rsidTr="00DA2A27">
        <w:tc>
          <w:tcPr>
            <w:tcW w:w="6946" w:type="dxa"/>
            <w:vAlign w:val="center"/>
          </w:tcPr>
          <w:p w:rsidR="00DA2A27" w:rsidRPr="00296516" w:rsidRDefault="00DA2A27" w:rsidP="00297380">
            <w:pPr>
              <w:keepNext/>
              <w:spacing w:after="60" w:line="280" w:lineRule="atLeast"/>
              <w:ind w:left="-108"/>
              <w:outlineLvl w:val="0"/>
              <w:rPr>
                <w:sz w:val="18"/>
                <w:szCs w:val="18"/>
              </w:rPr>
            </w:pPr>
            <w:r w:rsidRPr="00296516">
              <w:rPr>
                <w:sz w:val="18"/>
                <w:szCs w:val="18"/>
              </w:rPr>
              <w:t>Children Services</w:t>
            </w:r>
          </w:p>
        </w:tc>
        <w:tc>
          <w:tcPr>
            <w:tcW w:w="2693" w:type="dxa"/>
          </w:tcPr>
          <w:p w:rsidR="00DA2A27" w:rsidRDefault="00DA2A27" w:rsidP="00297380">
            <w:pPr>
              <w:keepNext/>
              <w:spacing w:after="60" w:line="280" w:lineRule="atLeast"/>
              <w:jc w:val="right"/>
              <w:outlineLvl w:val="0"/>
              <w:rPr>
                <w:rFonts w:cs="Arial"/>
                <w:color w:val="000000"/>
                <w:sz w:val="18"/>
                <w:szCs w:val="18"/>
              </w:rPr>
            </w:pPr>
            <w:r>
              <w:rPr>
                <w:rFonts w:cs="Arial"/>
                <w:color w:val="000000"/>
                <w:sz w:val="18"/>
                <w:szCs w:val="18"/>
              </w:rPr>
              <w:t>109 140</w:t>
            </w:r>
          </w:p>
        </w:tc>
      </w:tr>
      <w:tr w:rsidR="00DA2A27" w:rsidRPr="00296516" w:rsidTr="00DA2A27">
        <w:tc>
          <w:tcPr>
            <w:tcW w:w="6946" w:type="dxa"/>
            <w:vAlign w:val="center"/>
          </w:tcPr>
          <w:p w:rsidR="00DA2A27" w:rsidRPr="00296516" w:rsidRDefault="00DA2A27" w:rsidP="00297380">
            <w:pPr>
              <w:keepNext/>
              <w:spacing w:after="60" w:line="280" w:lineRule="atLeast"/>
              <w:ind w:left="-108"/>
              <w:outlineLvl w:val="0"/>
              <w:rPr>
                <w:sz w:val="18"/>
                <w:szCs w:val="18"/>
              </w:rPr>
            </w:pPr>
            <w:bookmarkStart w:id="94" w:name="_Toc432516836"/>
            <w:bookmarkStart w:id="95" w:name="_Toc432517257"/>
            <w:r w:rsidRPr="00296516">
              <w:rPr>
                <w:sz w:val="18"/>
                <w:szCs w:val="18"/>
              </w:rPr>
              <w:t>Independent Children’s Review Services</w:t>
            </w:r>
            <w:bookmarkEnd w:id="94"/>
            <w:bookmarkEnd w:id="95"/>
          </w:p>
        </w:tc>
        <w:tc>
          <w:tcPr>
            <w:tcW w:w="2693" w:type="dxa"/>
          </w:tcPr>
          <w:p w:rsidR="00DA2A27" w:rsidRPr="00296516" w:rsidRDefault="00DA2A27" w:rsidP="00297380">
            <w:pPr>
              <w:keepNext/>
              <w:spacing w:after="60" w:line="280" w:lineRule="atLeast"/>
              <w:jc w:val="right"/>
              <w:outlineLvl w:val="0"/>
              <w:rPr>
                <w:rFonts w:cs="Arial"/>
                <w:color w:val="000000"/>
                <w:sz w:val="18"/>
                <w:szCs w:val="18"/>
              </w:rPr>
            </w:pPr>
            <w:bookmarkStart w:id="96" w:name="_Toc432516837"/>
            <w:bookmarkStart w:id="97" w:name="_Toc432517258"/>
            <w:r>
              <w:rPr>
                <w:rFonts w:cs="Arial"/>
                <w:color w:val="000000"/>
                <w:sz w:val="18"/>
                <w:szCs w:val="18"/>
              </w:rPr>
              <w:t>8</w:t>
            </w:r>
            <w:bookmarkEnd w:id="96"/>
            <w:bookmarkEnd w:id="97"/>
            <w:r>
              <w:rPr>
                <w:rFonts w:cs="Arial"/>
                <w:color w:val="000000"/>
                <w:sz w:val="18"/>
                <w:szCs w:val="18"/>
              </w:rPr>
              <w:t>36</w:t>
            </w:r>
          </w:p>
        </w:tc>
      </w:tr>
      <w:tr w:rsidR="00DA2A27" w:rsidRPr="00296516" w:rsidTr="00DA2A27">
        <w:tc>
          <w:tcPr>
            <w:tcW w:w="6946" w:type="dxa"/>
            <w:vAlign w:val="center"/>
          </w:tcPr>
          <w:p w:rsidR="00DA2A27" w:rsidRPr="00296516" w:rsidRDefault="00DA2A27" w:rsidP="00297380">
            <w:pPr>
              <w:keepNext/>
              <w:spacing w:after="60" w:line="280" w:lineRule="atLeast"/>
              <w:ind w:left="-108"/>
              <w:outlineLvl w:val="0"/>
              <w:rPr>
                <w:sz w:val="18"/>
                <w:szCs w:val="18"/>
              </w:rPr>
            </w:pPr>
            <w:bookmarkStart w:id="98" w:name="_Toc432516838"/>
            <w:bookmarkStart w:id="99" w:name="_Toc432517259"/>
            <w:r w:rsidRPr="00296516">
              <w:rPr>
                <w:sz w:val="18"/>
                <w:szCs w:val="18"/>
              </w:rPr>
              <w:t>Capital Investment Program</w:t>
            </w:r>
            <w:bookmarkEnd w:id="98"/>
            <w:bookmarkEnd w:id="99"/>
          </w:p>
        </w:tc>
        <w:tc>
          <w:tcPr>
            <w:tcW w:w="2693" w:type="dxa"/>
          </w:tcPr>
          <w:p w:rsidR="00DA2A27" w:rsidRPr="00296516" w:rsidRDefault="00DA2A27" w:rsidP="00297380">
            <w:pPr>
              <w:keepNext/>
              <w:spacing w:after="60" w:line="280" w:lineRule="atLeast"/>
              <w:jc w:val="right"/>
              <w:outlineLvl w:val="0"/>
              <w:rPr>
                <w:rFonts w:cs="Arial"/>
                <w:color w:val="000000"/>
                <w:sz w:val="18"/>
                <w:szCs w:val="18"/>
              </w:rPr>
            </w:pPr>
            <w:bookmarkStart w:id="100" w:name="_Toc432516839"/>
            <w:bookmarkStart w:id="101" w:name="_Toc432517260"/>
            <w:r>
              <w:rPr>
                <w:rFonts w:cs="Arial"/>
                <w:color w:val="000000"/>
                <w:sz w:val="18"/>
                <w:szCs w:val="18"/>
              </w:rPr>
              <w:t xml:space="preserve">56 </w:t>
            </w:r>
            <w:bookmarkEnd w:id="100"/>
            <w:bookmarkEnd w:id="101"/>
            <w:r>
              <w:rPr>
                <w:rFonts w:cs="Arial"/>
                <w:color w:val="000000"/>
                <w:sz w:val="18"/>
                <w:szCs w:val="18"/>
              </w:rPr>
              <w:t>186</w:t>
            </w:r>
          </w:p>
        </w:tc>
      </w:tr>
      <w:tr w:rsidR="00DA2A27" w:rsidRPr="00296516" w:rsidTr="00DA2A27">
        <w:tc>
          <w:tcPr>
            <w:tcW w:w="6946" w:type="dxa"/>
            <w:vAlign w:val="center"/>
          </w:tcPr>
          <w:p w:rsidR="00DA2A27" w:rsidRPr="00296516" w:rsidRDefault="00DA2A27" w:rsidP="00297380">
            <w:pPr>
              <w:keepNext/>
              <w:spacing w:after="60" w:line="280" w:lineRule="atLeast"/>
              <w:ind w:left="-108"/>
              <w:outlineLvl w:val="0"/>
              <w:rPr>
                <w:sz w:val="18"/>
                <w:szCs w:val="18"/>
              </w:rPr>
            </w:pPr>
            <w:bookmarkStart w:id="102" w:name="_Toc432516840"/>
            <w:bookmarkStart w:id="103" w:name="_Toc432517261"/>
            <w:r w:rsidRPr="00296516">
              <w:rPr>
                <w:sz w:val="18"/>
                <w:szCs w:val="18"/>
              </w:rPr>
              <w:t>Special Capital Investment Funds</w:t>
            </w:r>
            <w:bookmarkEnd w:id="102"/>
            <w:bookmarkEnd w:id="103"/>
          </w:p>
        </w:tc>
        <w:tc>
          <w:tcPr>
            <w:tcW w:w="2693" w:type="dxa"/>
          </w:tcPr>
          <w:p w:rsidR="00DA2A27" w:rsidRPr="00296516" w:rsidRDefault="00DA2A27" w:rsidP="00297380">
            <w:pPr>
              <w:keepNext/>
              <w:spacing w:after="60" w:line="280" w:lineRule="atLeast"/>
              <w:jc w:val="right"/>
              <w:outlineLvl w:val="0"/>
              <w:rPr>
                <w:rFonts w:cs="Arial"/>
                <w:color w:val="000000"/>
                <w:sz w:val="18"/>
                <w:szCs w:val="18"/>
              </w:rPr>
            </w:pPr>
            <w:bookmarkStart w:id="104" w:name="_Toc432516841"/>
            <w:bookmarkStart w:id="105" w:name="_Toc432517262"/>
            <w:r>
              <w:rPr>
                <w:rFonts w:cs="Arial"/>
                <w:color w:val="000000"/>
                <w:sz w:val="18"/>
                <w:szCs w:val="18"/>
              </w:rPr>
              <w:t xml:space="preserve">9 </w:t>
            </w:r>
            <w:bookmarkEnd w:id="104"/>
            <w:bookmarkEnd w:id="105"/>
            <w:r>
              <w:rPr>
                <w:rFonts w:cs="Arial"/>
                <w:color w:val="000000"/>
                <w:sz w:val="18"/>
                <w:szCs w:val="18"/>
              </w:rPr>
              <w:t>695</w:t>
            </w:r>
          </w:p>
        </w:tc>
      </w:tr>
      <w:tr w:rsidR="00DA2A27" w:rsidRPr="00296516" w:rsidTr="00DA2A27">
        <w:tc>
          <w:tcPr>
            <w:tcW w:w="6946" w:type="dxa"/>
            <w:vAlign w:val="center"/>
          </w:tcPr>
          <w:p w:rsidR="00DA2A27" w:rsidRPr="00296516" w:rsidRDefault="00DA2A27" w:rsidP="00297380">
            <w:pPr>
              <w:keepNext/>
              <w:spacing w:after="60" w:line="280" w:lineRule="atLeast"/>
              <w:ind w:left="-108"/>
              <w:outlineLvl w:val="0"/>
              <w:rPr>
                <w:b/>
                <w:sz w:val="18"/>
                <w:szCs w:val="18"/>
              </w:rPr>
            </w:pPr>
            <w:bookmarkStart w:id="106" w:name="_Toc432516842"/>
            <w:bookmarkStart w:id="107" w:name="_Toc432517263"/>
            <w:r w:rsidRPr="00296516">
              <w:rPr>
                <w:b/>
                <w:sz w:val="18"/>
                <w:szCs w:val="18"/>
              </w:rPr>
              <w:t>Total</w:t>
            </w:r>
            <w:bookmarkEnd w:id="106"/>
            <w:bookmarkEnd w:id="107"/>
          </w:p>
        </w:tc>
        <w:tc>
          <w:tcPr>
            <w:tcW w:w="2693" w:type="dxa"/>
          </w:tcPr>
          <w:p w:rsidR="00DA2A27" w:rsidRPr="00296516" w:rsidRDefault="00DA2A27" w:rsidP="00297380">
            <w:pPr>
              <w:keepNext/>
              <w:spacing w:after="60" w:line="280" w:lineRule="atLeast"/>
              <w:jc w:val="right"/>
              <w:outlineLvl w:val="0"/>
              <w:rPr>
                <w:rFonts w:cs="Arial"/>
                <w:b/>
                <w:color w:val="000000"/>
                <w:sz w:val="18"/>
                <w:szCs w:val="18"/>
              </w:rPr>
            </w:pPr>
            <w:bookmarkStart w:id="108" w:name="_Toc432516843"/>
            <w:bookmarkStart w:id="109" w:name="_Toc432517264"/>
            <w:r>
              <w:rPr>
                <w:rFonts w:cs="Arial"/>
                <w:b/>
                <w:color w:val="000000"/>
                <w:sz w:val="18"/>
                <w:szCs w:val="18"/>
              </w:rPr>
              <w:t>1 411 7</w:t>
            </w:r>
            <w:bookmarkEnd w:id="108"/>
            <w:bookmarkEnd w:id="109"/>
            <w:r>
              <w:rPr>
                <w:rFonts w:cs="Arial"/>
                <w:b/>
                <w:color w:val="000000"/>
                <w:sz w:val="18"/>
                <w:szCs w:val="18"/>
              </w:rPr>
              <w:t>42</w:t>
            </w:r>
          </w:p>
        </w:tc>
      </w:tr>
      <w:tr w:rsidR="00DA2A27" w:rsidRPr="00296516" w:rsidTr="00DA2A27">
        <w:tc>
          <w:tcPr>
            <w:tcW w:w="6946" w:type="dxa"/>
            <w:shd w:val="clear" w:color="auto" w:fill="auto"/>
          </w:tcPr>
          <w:p w:rsidR="00DA2A27" w:rsidRDefault="00DA2A27" w:rsidP="00297380">
            <w:pPr>
              <w:keepNext/>
              <w:spacing w:after="60" w:line="280" w:lineRule="atLeast"/>
              <w:ind w:left="-108"/>
              <w:rPr>
                <w:b/>
                <w:sz w:val="18"/>
                <w:szCs w:val="18"/>
              </w:rPr>
            </w:pPr>
          </w:p>
          <w:p w:rsidR="00DA2A27" w:rsidRPr="00296516" w:rsidRDefault="00DA2A27" w:rsidP="00297380">
            <w:pPr>
              <w:keepNext/>
              <w:spacing w:after="60" w:line="280" w:lineRule="atLeast"/>
              <w:ind w:left="-108"/>
              <w:rPr>
                <w:sz w:val="18"/>
                <w:szCs w:val="18"/>
              </w:rPr>
            </w:pPr>
          </w:p>
        </w:tc>
        <w:tc>
          <w:tcPr>
            <w:tcW w:w="2693" w:type="dxa"/>
            <w:shd w:val="clear" w:color="auto" w:fill="auto"/>
            <w:vAlign w:val="center"/>
          </w:tcPr>
          <w:p w:rsidR="00DA2A27" w:rsidRDefault="00DA2A27" w:rsidP="00297380">
            <w:pPr>
              <w:keepNext/>
              <w:spacing w:after="60" w:line="280" w:lineRule="atLeast"/>
              <w:jc w:val="right"/>
              <w:rPr>
                <w:b/>
                <w:sz w:val="18"/>
                <w:szCs w:val="18"/>
              </w:rPr>
            </w:pPr>
          </w:p>
          <w:p w:rsidR="00DA2A27" w:rsidRPr="00296516" w:rsidRDefault="00DA2A27" w:rsidP="00297380">
            <w:pPr>
              <w:keepNext/>
              <w:spacing w:after="60" w:line="280" w:lineRule="atLeast"/>
              <w:jc w:val="right"/>
              <w:rPr>
                <w:b/>
                <w:sz w:val="18"/>
                <w:szCs w:val="18"/>
              </w:rPr>
            </w:pPr>
          </w:p>
        </w:tc>
      </w:tr>
      <w:tr w:rsidR="00DA2A27" w:rsidRPr="00296516" w:rsidTr="00DA2A27">
        <w:tc>
          <w:tcPr>
            <w:tcW w:w="6946" w:type="dxa"/>
            <w:vAlign w:val="center"/>
          </w:tcPr>
          <w:p w:rsidR="00DA2A27" w:rsidRPr="00296516" w:rsidRDefault="00DA2A27" w:rsidP="00297380">
            <w:pPr>
              <w:keepNext/>
              <w:spacing w:after="60" w:line="280" w:lineRule="atLeast"/>
              <w:ind w:left="-108"/>
              <w:outlineLvl w:val="0"/>
              <w:rPr>
                <w:sz w:val="18"/>
                <w:szCs w:val="18"/>
              </w:rPr>
            </w:pPr>
            <w:bookmarkStart w:id="110" w:name="_Toc432516844"/>
            <w:bookmarkStart w:id="111" w:name="_Toc432517265"/>
            <w:r w:rsidRPr="00296516">
              <w:rPr>
                <w:b/>
                <w:sz w:val="18"/>
                <w:szCs w:val="18"/>
              </w:rPr>
              <w:t>Actual Expenditure by Type</w:t>
            </w:r>
            <w:bookmarkEnd w:id="110"/>
            <w:bookmarkEnd w:id="111"/>
          </w:p>
        </w:tc>
        <w:tc>
          <w:tcPr>
            <w:tcW w:w="2693" w:type="dxa"/>
          </w:tcPr>
          <w:p w:rsidR="00DA2A27" w:rsidRPr="00296516" w:rsidRDefault="00DA2A27" w:rsidP="00297380">
            <w:pPr>
              <w:keepNext/>
              <w:spacing w:after="60" w:line="280" w:lineRule="atLeast"/>
              <w:jc w:val="right"/>
              <w:rPr>
                <w:b/>
                <w:sz w:val="18"/>
                <w:szCs w:val="18"/>
              </w:rPr>
            </w:pPr>
            <w:r w:rsidRPr="00681F6A">
              <w:rPr>
                <w:b/>
                <w:sz w:val="18"/>
                <w:szCs w:val="18"/>
              </w:rPr>
              <w:t>2015-16</w:t>
            </w:r>
          </w:p>
          <w:p w:rsidR="00DA2A27" w:rsidRPr="00296516" w:rsidRDefault="00DA2A27" w:rsidP="00297380">
            <w:pPr>
              <w:keepNext/>
              <w:spacing w:after="60" w:line="280" w:lineRule="atLeast"/>
              <w:jc w:val="right"/>
              <w:rPr>
                <w:rFonts w:cs="Arial"/>
                <w:color w:val="000000"/>
                <w:sz w:val="18"/>
                <w:szCs w:val="18"/>
              </w:rPr>
            </w:pPr>
            <w:r w:rsidRPr="00296516">
              <w:rPr>
                <w:b/>
                <w:sz w:val="18"/>
                <w:szCs w:val="18"/>
              </w:rPr>
              <w:t>$ ‘000</w:t>
            </w:r>
          </w:p>
        </w:tc>
      </w:tr>
      <w:tr w:rsidR="00DA2A27" w:rsidRPr="00296516" w:rsidTr="00DA2A27">
        <w:tc>
          <w:tcPr>
            <w:tcW w:w="6946" w:type="dxa"/>
            <w:vAlign w:val="center"/>
          </w:tcPr>
          <w:p w:rsidR="00DA2A27" w:rsidRPr="00296516" w:rsidRDefault="00DA2A27" w:rsidP="00297380">
            <w:pPr>
              <w:keepNext/>
              <w:spacing w:after="60" w:line="280" w:lineRule="atLeast"/>
              <w:ind w:left="-108"/>
              <w:outlineLvl w:val="0"/>
              <w:rPr>
                <w:sz w:val="18"/>
                <w:szCs w:val="18"/>
              </w:rPr>
            </w:pPr>
            <w:bookmarkStart w:id="112" w:name="_Toc432516845"/>
            <w:bookmarkStart w:id="113" w:name="_Toc432517266"/>
            <w:r w:rsidRPr="00296516">
              <w:rPr>
                <w:sz w:val="18"/>
                <w:szCs w:val="18"/>
              </w:rPr>
              <w:t>Salaries and wages</w:t>
            </w:r>
            <w:bookmarkEnd w:id="112"/>
            <w:bookmarkEnd w:id="113"/>
          </w:p>
        </w:tc>
        <w:tc>
          <w:tcPr>
            <w:tcW w:w="2693" w:type="dxa"/>
          </w:tcPr>
          <w:p w:rsidR="00DA2A27" w:rsidRPr="00296516" w:rsidRDefault="00DA2A27" w:rsidP="00297380">
            <w:pPr>
              <w:keepNext/>
              <w:spacing w:after="60" w:line="280" w:lineRule="atLeast"/>
              <w:jc w:val="right"/>
              <w:rPr>
                <w:rFonts w:cs="Arial"/>
                <w:color w:val="000000"/>
                <w:sz w:val="18"/>
                <w:szCs w:val="18"/>
              </w:rPr>
            </w:pPr>
            <w:r>
              <w:rPr>
                <w:rFonts w:cs="Arial"/>
                <w:color w:val="000000"/>
                <w:sz w:val="18"/>
                <w:szCs w:val="18"/>
              </w:rPr>
              <w:t>135 354</w:t>
            </w:r>
          </w:p>
        </w:tc>
      </w:tr>
      <w:tr w:rsidR="00DA2A27" w:rsidRPr="00296516" w:rsidTr="00DA2A27">
        <w:tc>
          <w:tcPr>
            <w:tcW w:w="6946" w:type="dxa"/>
            <w:vAlign w:val="center"/>
          </w:tcPr>
          <w:p w:rsidR="00DA2A27" w:rsidRPr="00296516" w:rsidRDefault="00DA2A27" w:rsidP="00297380">
            <w:pPr>
              <w:keepNext/>
              <w:spacing w:after="60" w:line="280" w:lineRule="atLeast"/>
              <w:ind w:left="-108"/>
              <w:outlineLvl w:val="0"/>
              <w:rPr>
                <w:sz w:val="18"/>
                <w:szCs w:val="18"/>
              </w:rPr>
            </w:pPr>
            <w:bookmarkStart w:id="114" w:name="_Toc432516846"/>
            <w:bookmarkStart w:id="115" w:name="_Toc432517267"/>
            <w:r w:rsidRPr="00296516">
              <w:rPr>
                <w:sz w:val="18"/>
                <w:szCs w:val="18"/>
              </w:rPr>
              <w:t>Other employee related expenses</w:t>
            </w:r>
            <w:bookmarkEnd w:id="114"/>
            <w:bookmarkEnd w:id="115"/>
          </w:p>
        </w:tc>
        <w:tc>
          <w:tcPr>
            <w:tcW w:w="2693" w:type="dxa"/>
          </w:tcPr>
          <w:p w:rsidR="00DA2A27" w:rsidRPr="00296516" w:rsidRDefault="00DA2A27" w:rsidP="00297380">
            <w:pPr>
              <w:keepNext/>
              <w:spacing w:after="60" w:line="280" w:lineRule="atLeast"/>
              <w:jc w:val="right"/>
              <w:rPr>
                <w:sz w:val="18"/>
                <w:szCs w:val="18"/>
              </w:rPr>
            </w:pPr>
            <w:r>
              <w:rPr>
                <w:sz w:val="18"/>
                <w:szCs w:val="18"/>
              </w:rPr>
              <w:t>28 378</w:t>
            </w:r>
          </w:p>
        </w:tc>
      </w:tr>
      <w:tr w:rsidR="00DA2A27" w:rsidRPr="00296516" w:rsidTr="00DA2A27">
        <w:tc>
          <w:tcPr>
            <w:tcW w:w="6946" w:type="dxa"/>
            <w:vAlign w:val="center"/>
          </w:tcPr>
          <w:p w:rsidR="00DA2A27" w:rsidRPr="00296516" w:rsidRDefault="00DA2A27" w:rsidP="00297380">
            <w:pPr>
              <w:keepNext/>
              <w:spacing w:after="60" w:line="280" w:lineRule="atLeast"/>
              <w:ind w:left="-108"/>
              <w:outlineLvl w:val="0"/>
              <w:rPr>
                <w:sz w:val="18"/>
                <w:szCs w:val="18"/>
              </w:rPr>
            </w:pPr>
            <w:bookmarkStart w:id="116" w:name="_Toc432516847"/>
            <w:bookmarkStart w:id="117" w:name="_Toc432517268"/>
            <w:r w:rsidRPr="00296516">
              <w:rPr>
                <w:sz w:val="18"/>
                <w:szCs w:val="18"/>
              </w:rPr>
              <w:t>Superannuation expenses</w:t>
            </w:r>
            <w:bookmarkEnd w:id="116"/>
            <w:bookmarkEnd w:id="117"/>
          </w:p>
        </w:tc>
        <w:tc>
          <w:tcPr>
            <w:tcW w:w="2693" w:type="dxa"/>
          </w:tcPr>
          <w:p w:rsidR="00DA2A27" w:rsidRPr="00296516" w:rsidRDefault="00DA2A27" w:rsidP="00297380">
            <w:pPr>
              <w:keepNext/>
              <w:spacing w:after="60" w:line="280" w:lineRule="atLeast"/>
              <w:jc w:val="right"/>
              <w:rPr>
                <w:sz w:val="18"/>
                <w:szCs w:val="18"/>
              </w:rPr>
            </w:pPr>
            <w:r>
              <w:rPr>
                <w:sz w:val="18"/>
                <w:szCs w:val="18"/>
              </w:rPr>
              <w:t>20 144</w:t>
            </w:r>
          </w:p>
        </w:tc>
      </w:tr>
      <w:tr w:rsidR="00DA2A27" w:rsidRPr="00296516" w:rsidTr="00DA2A27">
        <w:tc>
          <w:tcPr>
            <w:tcW w:w="6946" w:type="dxa"/>
            <w:vAlign w:val="center"/>
          </w:tcPr>
          <w:p w:rsidR="00DA2A27" w:rsidRPr="00296516" w:rsidRDefault="00DA2A27" w:rsidP="00297380">
            <w:pPr>
              <w:keepNext/>
              <w:spacing w:after="60" w:line="280" w:lineRule="atLeast"/>
              <w:ind w:left="-108"/>
              <w:outlineLvl w:val="0"/>
              <w:rPr>
                <w:sz w:val="18"/>
                <w:szCs w:val="18"/>
              </w:rPr>
            </w:pPr>
            <w:bookmarkStart w:id="118" w:name="_Toc432516848"/>
            <w:bookmarkStart w:id="119" w:name="_Toc432517269"/>
            <w:r w:rsidRPr="00296516">
              <w:rPr>
                <w:sz w:val="18"/>
                <w:szCs w:val="18"/>
              </w:rPr>
              <w:t>Depreciation and amortisation</w:t>
            </w:r>
            <w:bookmarkEnd w:id="118"/>
            <w:bookmarkEnd w:id="119"/>
          </w:p>
        </w:tc>
        <w:tc>
          <w:tcPr>
            <w:tcW w:w="2693" w:type="dxa"/>
          </w:tcPr>
          <w:p w:rsidR="00DA2A27" w:rsidRPr="00296516" w:rsidRDefault="00DA2A27" w:rsidP="00297380">
            <w:pPr>
              <w:keepNext/>
              <w:spacing w:after="60" w:line="280" w:lineRule="atLeast"/>
              <w:jc w:val="right"/>
              <w:rPr>
                <w:sz w:val="18"/>
                <w:szCs w:val="18"/>
              </w:rPr>
            </w:pPr>
            <w:r>
              <w:rPr>
                <w:sz w:val="18"/>
                <w:szCs w:val="18"/>
              </w:rPr>
              <w:t>25 171</w:t>
            </w:r>
          </w:p>
        </w:tc>
      </w:tr>
      <w:tr w:rsidR="00DA2A27" w:rsidRPr="00296516" w:rsidTr="00DA2A27">
        <w:tc>
          <w:tcPr>
            <w:tcW w:w="6946" w:type="dxa"/>
            <w:vAlign w:val="center"/>
          </w:tcPr>
          <w:p w:rsidR="00DA2A27" w:rsidRPr="00296516" w:rsidRDefault="00DA2A27" w:rsidP="00297380">
            <w:pPr>
              <w:keepNext/>
              <w:spacing w:after="60" w:line="280" w:lineRule="atLeast"/>
              <w:ind w:left="-108"/>
              <w:outlineLvl w:val="0"/>
              <w:rPr>
                <w:sz w:val="18"/>
                <w:szCs w:val="18"/>
              </w:rPr>
            </w:pPr>
            <w:bookmarkStart w:id="120" w:name="_Toc432516849"/>
            <w:bookmarkStart w:id="121" w:name="_Toc432517270"/>
            <w:r w:rsidRPr="00296516">
              <w:rPr>
                <w:sz w:val="18"/>
                <w:szCs w:val="18"/>
              </w:rPr>
              <w:t>Consultants</w:t>
            </w:r>
            <w:bookmarkEnd w:id="120"/>
            <w:bookmarkEnd w:id="121"/>
          </w:p>
        </w:tc>
        <w:tc>
          <w:tcPr>
            <w:tcW w:w="2693" w:type="dxa"/>
          </w:tcPr>
          <w:p w:rsidR="00DA2A27" w:rsidRPr="00296516" w:rsidRDefault="00DA2A27" w:rsidP="00297380">
            <w:pPr>
              <w:keepNext/>
              <w:spacing w:after="60" w:line="280" w:lineRule="atLeast"/>
              <w:jc w:val="right"/>
              <w:rPr>
                <w:sz w:val="18"/>
                <w:szCs w:val="18"/>
              </w:rPr>
            </w:pPr>
            <w:r>
              <w:rPr>
                <w:sz w:val="18"/>
                <w:szCs w:val="18"/>
              </w:rPr>
              <w:t xml:space="preserve"> 3 254</w:t>
            </w:r>
          </w:p>
        </w:tc>
      </w:tr>
      <w:tr w:rsidR="00DA2A27" w:rsidRPr="00296516" w:rsidTr="00DA2A27">
        <w:tc>
          <w:tcPr>
            <w:tcW w:w="6946" w:type="dxa"/>
            <w:vAlign w:val="center"/>
          </w:tcPr>
          <w:p w:rsidR="00DA2A27" w:rsidRPr="00296516" w:rsidRDefault="00DA2A27" w:rsidP="00297380">
            <w:pPr>
              <w:keepNext/>
              <w:spacing w:after="60" w:line="280" w:lineRule="atLeast"/>
              <w:ind w:left="-108"/>
              <w:outlineLvl w:val="0"/>
              <w:rPr>
                <w:sz w:val="18"/>
                <w:szCs w:val="18"/>
              </w:rPr>
            </w:pPr>
            <w:bookmarkStart w:id="122" w:name="_Toc432516850"/>
            <w:bookmarkStart w:id="123" w:name="_Toc432517271"/>
            <w:r w:rsidRPr="00296516">
              <w:rPr>
                <w:sz w:val="18"/>
                <w:szCs w:val="18"/>
              </w:rPr>
              <w:t>Maintenance and property services</w:t>
            </w:r>
            <w:bookmarkEnd w:id="122"/>
            <w:bookmarkEnd w:id="123"/>
          </w:p>
        </w:tc>
        <w:tc>
          <w:tcPr>
            <w:tcW w:w="2693" w:type="dxa"/>
          </w:tcPr>
          <w:p w:rsidR="00DA2A27" w:rsidRPr="00296516" w:rsidRDefault="00DA2A27" w:rsidP="00297380">
            <w:pPr>
              <w:keepNext/>
              <w:spacing w:after="60" w:line="280" w:lineRule="atLeast"/>
              <w:jc w:val="right"/>
              <w:rPr>
                <w:sz w:val="18"/>
                <w:szCs w:val="18"/>
              </w:rPr>
            </w:pPr>
            <w:r>
              <w:rPr>
                <w:sz w:val="18"/>
                <w:szCs w:val="18"/>
              </w:rPr>
              <w:t xml:space="preserve">        62 902</w:t>
            </w:r>
          </w:p>
        </w:tc>
      </w:tr>
      <w:tr w:rsidR="00DA2A27" w:rsidRPr="00296516" w:rsidTr="00DA2A27">
        <w:tc>
          <w:tcPr>
            <w:tcW w:w="6946" w:type="dxa"/>
            <w:vAlign w:val="center"/>
          </w:tcPr>
          <w:p w:rsidR="00DA2A27" w:rsidRPr="00296516" w:rsidRDefault="00DA2A27" w:rsidP="00297380">
            <w:pPr>
              <w:keepNext/>
              <w:spacing w:after="60" w:line="280" w:lineRule="atLeast"/>
              <w:ind w:left="-108"/>
              <w:outlineLvl w:val="0"/>
              <w:rPr>
                <w:sz w:val="18"/>
                <w:szCs w:val="18"/>
              </w:rPr>
            </w:pPr>
            <w:bookmarkStart w:id="124" w:name="_Toc432516851"/>
            <w:bookmarkStart w:id="125" w:name="_Toc432517272"/>
            <w:r w:rsidRPr="00296516">
              <w:rPr>
                <w:sz w:val="18"/>
                <w:szCs w:val="18"/>
              </w:rPr>
              <w:t>Communications</w:t>
            </w:r>
            <w:bookmarkEnd w:id="124"/>
            <w:bookmarkEnd w:id="125"/>
          </w:p>
        </w:tc>
        <w:tc>
          <w:tcPr>
            <w:tcW w:w="2693" w:type="dxa"/>
          </w:tcPr>
          <w:p w:rsidR="00DA2A27" w:rsidRPr="00296516" w:rsidRDefault="00DA2A27" w:rsidP="00297380">
            <w:pPr>
              <w:keepNext/>
              <w:spacing w:after="60" w:line="280" w:lineRule="atLeast"/>
              <w:jc w:val="right"/>
              <w:rPr>
                <w:sz w:val="18"/>
                <w:szCs w:val="18"/>
              </w:rPr>
            </w:pPr>
            <w:r>
              <w:rPr>
                <w:sz w:val="18"/>
                <w:szCs w:val="18"/>
              </w:rPr>
              <w:t>2 614</w:t>
            </w:r>
          </w:p>
        </w:tc>
      </w:tr>
      <w:tr w:rsidR="00DA2A27" w:rsidRPr="00296516" w:rsidTr="00DA2A27">
        <w:tc>
          <w:tcPr>
            <w:tcW w:w="6946" w:type="dxa"/>
            <w:vAlign w:val="center"/>
          </w:tcPr>
          <w:p w:rsidR="00DA2A27" w:rsidRPr="00296516" w:rsidRDefault="00DA2A27" w:rsidP="00297380">
            <w:pPr>
              <w:keepNext/>
              <w:spacing w:after="60" w:line="280" w:lineRule="atLeast"/>
              <w:ind w:left="-108"/>
              <w:outlineLvl w:val="0"/>
              <w:rPr>
                <w:sz w:val="18"/>
                <w:szCs w:val="18"/>
              </w:rPr>
            </w:pPr>
            <w:bookmarkStart w:id="126" w:name="_Toc432516852"/>
            <w:bookmarkStart w:id="127" w:name="_Toc432517273"/>
            <w:r w:rsidRPr="00296516">
              <w:rPr>
                <w:sz w:val="18"/>
                <w:szCs w:val="18"/>
              </w:rPr>
              <w:t>Information technology</w:t>
            </w:r>
            <w:bookmarkEnd w:id="126"/>
            <w:bookmarkEnd w:id="127"/>
          </w:p>
        </w:tc>
        <w:tc>
          <w:tcPr>
            <w:tcW w:w="2693" w:type="dxa"/>
          </w:tcPr>
          <w:p w:rsidR="00DA2A27" w:rsidRPr="00296516" w:rsidRDefault="00DA2A27" w:rsidP="00297380">
            <w:pPr>
              <w:keepNext/>
              <w:spacing w:after="60" w:line="280" w:lineRule="atLeast"/>
              <w:jc w:val="right"/>
              <w:rPr>
                <w:sz w:val="18"/>
                <w:szCs w:val="18"/>
              </w:rPr>
            </w:pPr>
            <w:r>
              <w:rPr>
                <w:sz w:val="18"/>
                <w:szCs w:val="18"/>
              </w:rPr>
              <w:t>17 471</w:t>
            </w:r>
          </w:p>
        </w:tc>
      </w:tr>
      <w:tr w:rsidR="00DA2A27" w:rsidRPr="00296516" w:rsidTr="00DA2A27">
        <w:tc>
          <w:tcPr>
            <w:tcW w:w="6946" w:type="dxa"/>
            <w:vAlign w:val="center"/>
          </w:tcPr>
          <w:p w:rsidR="00DA2A27" w:rsidRPr="00296516" w:rsidRDefault="00DA2A27" w:rsidP="00297380">
            <w:pPr>
              <w:keepNext/>
              <w:spacing w:after="60" w:line="280" w:lineRule="atLeast"/>
              <w:ind w:left="-108"/>
              <w:outlineLvl w:val="0"/>
              <w:rPr>
                <w:sz w:val="18"/>
                <w:szCs w:val="18"/>
              </w:rPr>
            </w:pPr>
            <w:bookmarkStart w:id="128" w:name="_Toc432516853"/>
            <w:bookmarkStart w:id="129" w:name="_Toc432517274"/>
            <w:r w:rsidRPr="00296516">
              <w:rPr>
                <w:sz w:val="18"/>
                <w:szCs w:val="18"/>
              </w:rPr>
              <w:t>Travel and transport</w:t>
            </w:r>
            <w:bookmarkEnd w:id="128"/>
            <w:bookmarkEnd w:id="129"/>
          </w:p>
        </w:tc>
        <w:tc>
          <w:tcPr>
            <w:tcW w:w="2693" w:type="dxa"/>
          </w:tcPr>
          <w:p w:rsidR="00DA2A27" w:rsidRPr="00296516" w:rsidRDefault="00DA2A27" w:rsidP="00297380">
            <w:pPr>
              <w:keepNext/>
              <w:spacing w:after="60" w:line="280" w:lineRule="atLeast"/>
              <w:jc w:val="right"/>
              <w:rPr>
                <w:sz w:val="18"/>
                <w:szCs w:val="18"/>
              </w:rPr>
            </w:pPr>
            <w:r>
              <w:rPr>
                <w:sz w:val="18"/>
                <w:szCs w:val="18"/>
              </w:rPr>
              <w:t>5 003</w:t>
            </w:r>
          </w:p>
        </w:tc>
      </w:tr>
      <w:tr w:rsidR="00DA2A27" w:rsidRPr="00296516" w:rsidTr="00DA2A27">
        <w:tc>
          <w:tcPr>
            <w:tcW w:w="6946" w:type="dxa"/>
            <w:vAlign w:val="center"/>
          </w:tcPr>
          <w:p w:rsidR="00DA2A27" w:rsidRPr="00296516" w:rsidRDefault="00DA2A27" w:rsidP="00297380">
            <w:pPr>
              <w:keepNext/>
              <w:spacing w:after="60" w:line="280" w:lineRule="atLeast"/>
              <w:ind w:left="-108"/>
              <w:outlineLvl w:val="0"/>
              <w:rPr>
                <w:sz w:val="18"/>
                <w:szCs w:val="18"/>
              </w:rPr>
            </w:pPr>
            <w:bookmarkStart w:id="130" w:name="_Toc432516854"/>
            <w:bookmarkStart w:id="131" w:name="_Toc432517275"/>
            <w:r w:rsidRPr="00296516">
              <w:rPr>
                <w:sz w:val="18"/>
                <w:szCs w:val="18"/>
              </w:rPr>
              <w:t>Medical, surgical and pharmacy supplies</w:t>
            </w:r>
            <w:bookmarkEnd w:id="130"/>
            <w:bookmarkEnd w:id="131"/>
          </w:p>
        </w:tc>
        <w:tc>
          <w:tcPr>
            <w:tcW w:w="2693" w:type="dxa"/>
          </w:tcPr>
          <w:p w:rsidR="00DA2A27" w:rsidRPr="00296516" w:rsidRDefault="00DA2A27" w:rsidP="00297380">
            <w:pPr>
              <w:keepNext/>
              <w:spacing w:after="60" w:line="280" w:lineRule="atLeast"/>
              <w:jc w:val="right"/>
              <w:rPr>
                <w:sz w:val="18"/>
                <w:szCs w:val="18"/>
              </w:rPr>
            </w:pPr>
            <w:r>
              <w:rPr>
                <w:sz w:val="18"/>
                <w:szCs w:val="18"/>
              </w:rPr>
              <w:t>5 707</w:t>
            </w:r>
          </w:p>
        </w:tc>
      </w:tr>
      <w:tr w:rsidR="00DA2A27" w:rsidRPr="00296516" w:rsidTr="00DA2A27">
        <w:tc>
          <w:tcPr>
            <w:tcW w:w="6946" w:type="dxa"/>
            <w:vAlign w:val="center"/>
          </w:tcPr>
          <w:p w:rsidR="00DA2A27" w:rsidRPr="00296516" w:rsidRDefault="00DA2A27" w:rsidP="00297380">
            <w:pPr>
              <w:keepNext/>
              <w:spacing w:after="60" w:line="280" w:lineRule="atLeast"/>
              <w:ind w:left="-108"/>
              <w:outlineLvl w:val="0"/>
              <w:rPr>
                <w:sz w:val="18"/>
                <w:szCs w:val="18"/>
              </w:rPr>
            </w:pPr>
            <w:bookmarkStart w:id="132" w:name="_Toc432516855"/>
            <w:bookmarkStart w:id="133" w:name="_Toc432517276"/>
            <w:r>
              <w:rPr>
                <w:sz w:val="18"/>
                <w:szCs w:val="18"/>
              </w:rPr>
              <w:t>Patient and Client Services</w:t>
            </w:r>
            <w:bookmarkEnd w:id="132"/>
            <w:bookmarkEnd w:id="133"/>
          </w:p>
        </w:tc>
        <w:tc>
          <w:tcPr>
            <w:tcW w:w="2693" w:type="dxa"/>
          </w:tcPr>
          <w:p w:rsidR="00DA2A27" w:rsidRPr="00296516" w:rsidRDefault="00DA2A27" w:rsidP="00297380">
            <w:pPr>
              <w:keepNext/>
              <w:spacing w:after="60" w:line="280" w:lineRule="atLeast"/>
              <w:jc w:val="right"/>
              <w:rPr>
                <w:sz w:val="18"/>
                <w:szCs w:val="18"/>
              </w:rPr>
            </w:pPr>
            <w:r>
              <w:rPr>
                <w:sz w:val="18"/>
                <w:szCs w:val="18"/>
              </w:rPr>
              <w:t>41 697</w:t>
            </w:r>
          </w:p>
        </w:tc>
      </w:tr>
      <w:tr w:rsidR="00DA2A27" w:rsidRPr="00296516" w:rsidTr="00DA2A27">
        <w:tc>
          <w:tcPr>
            <w:tcW w:w="6946" w:type="dxa"/>
            <w:vAlign w:val="center"/>
          </w:tcPr>
          <w:p w:rsidR="00DA2A27" w:rsidRPr="00296516" w:rsidRDefault="00DA2A27" w:rsidP="00297380">
            <w:pPr>
              <w:keepNext/>
              <w:spacing w:after="60" w:line="280" w:lineRule="atLeast"/>
              <w:ind w:left="-108"/>
              <w:outlineLvl w:val="0"/>
              <w:rPr>
                <w:sz w:val="18"/>
                <w:szCs w:val="18"/>
              </w:rPr>
            </w:pPr>
            <w:bookmarkStart w:id="134" w:name="_Toc432516856"/>
            <w:bookmarkStart w:id="135" w:name="_Toc432517277"/>
            <w:r>
              <w:rPr>
                <w:sz w:val="18"/>
                <w:szCs w:val="18"/>
              </w:rPr>
              <w:t>Service Fees</w:t>
            </w:r>
            <w:bookmarkEnd w:id="134"/>
            <w:bookmarkEnd w:id="135"/>
          </w:p>
        </w:tc>
        <w:tc>
          <w:tcPr>
            <w:tcW w:w="2693" w:type="dxa"/>
          </w:tcPr>
          <w:p w:rsidR="00DA2A27" w:rsidRDefault="00DA2A27" w:rsidP="00297380">
            <w:pPr>
              <w:keepNext/>
              <w:spacing w:after="60" w:line="280" w:lineRule="atLeast"/>
              <w:jc w:val="right"/>
              <w:rPr>
                <w:sz w:val="18"/>
                <w:szCs w:val="18"/>
              </w:rPr>
            </w:pPr>
            <w:r>
              <w:rPr>
                <w:sz w:val="18"/>
                <w:szCs w:val="18"/>
              </w:rPr>
              <w:t>4 928</w:t>
            </w:r>
          </w:p>
        </w:tc>
      </w:tr>
      <w:tr w:rsidR="00DA2A27" w:rsidRPr="00296516" w:rsidTr="00DA2A27">
        <w:tc>
          <w:tcPr>
            <w:tcW w:w="6946" w:type="dxa"/>
            <w:vAlign w:val="center"/>
          </w:tcPr>
          <w:p w:rsidR="00DA2A27" w:rsidRPr="00296516" w:rsidRDefault="00DA2A27" w:rsidP="00297380">
            <w:pPr>
              <w:keepNext/>
              <w:spacing w:after="60" w:line="280" w:lineRule="atLeast"/>
              <w:ind w:left="-108"/>
              <w:outlineLvl w:val="0"/>
              <w:rPr>
                <w:sz w:val="18"/>
                <w:szCs w:val="18"/>
              </w:rPr>
            </w:pPr>
            <w:bookmarkStart w:id="136" w:name="_Toc432516857"/>
            <w:bookmarkStart w:id="137" w:name="_Toc432517278"/>
            <w:r w:rsidRPr="00296516">
              <w:rPr>
                <w:sz w:val="18"/>
                <w:szCs w:val="18"/>
              </w:rPr>
              <w:t>Other supplies and consumables</w:t>
            </w:r>
            <w:bookmarkEnd w:id="136"/>
            <w:bookmarkEnd w:id="137"/>
          </w:p>
        </w:tc>
        <w:tc>
          <w:tcPr>
            <w:tcW w:w="2693" w:type="dxa"/>
          </w:tcPr>
          <w:p w:rsidR="00DA2A27" w:rsidRPr="00296516" w:rsidRDefault="00DA2A27" w:rsidP="00297380">
            <w:pPr>
              <w:keepNext/>
              <w:spacing w:after="60" w:line="280" w:lineRule="atLeast"/>
              <w:jc w:val="right"/>
              <w:rPr>
                <w:sz w:val="18"/>
                <w:szCs w:val="18"/>
              </w:rPr>
            </w:pPr>
            <w:r>
              <w:rPr>
                <w:sz w:val="18"/>
                <w:szCs w:val="18"/>
              </w:rPr>
              <w:t>6 574</w:t>
            </w:r>
          </w:p>
        </w:tc>
      </w:tr>
      <w:tr w:rsidR="00DA2A27" w:rsidRPr="00296516" w:rsidTr="00DA2A27">
        <w:tc>
          <w:tcPr>
            <w:tcW w:w="6946" w:type="dxa"/>
            <w:vAlign w:val="center"/>
          </w:tcPr>
          <w:p w:rsidR="00DA2A27" w:rsidRPr="00296516" w:rsidRDefault="00DA2A27" w:rsidP="00297380">
            <w:pPr>
              <w:keepNext/>
              <w:spacing w:after="60" w:line="280" w:lineRule="atLeast"/>
              <w:ind w:left="-108"/>
              <w:outlineLvl w:val="0"/>
              <w:rPr>
                <w:sz w:val="18"/>
                <w:szCs w:val="18"/>
              </w:rPr>
            </w:pPr>
            <w:bookmarkStart w:id="138" w:name="_Toc432516858"/>
            <w:bookmarkStart w:id="139" w:name="_Toc432517279"/>
            <w:r w:rsidRPr="00296516">
              <w:rPr>
                <w:sz w:val="18"/>
                <w:szCs w:val="18"/>
              </w:rPr>
              <w:t>Grants and subsidies</w:t>
            </w:r>
            <w:bookmarkEnd w:id="138"/>
            <w:bookmarkEnd w:id="139"/>
          </w:p>
        </w:tc>
        <w:tc>
          <w:tcPr>
            <w:tcW w:w="2693" w:type="dxa"/>
          </w:tcPr>
          <w:p w:rsidR="00DA2A27" w:rsidRPr="00296516" w:rsidRDefault="00DA2A27" w:rsidP="00297380">
            <w:pPr>
              <w:keepNext/>
              <w:spacing w:after="60" w:line="280" w:lineRule="atLeast"/>
              <w:jc w:val="right"/>
              <w:rPr>
                <w:sz w:val="18"/>
                <w:szCs w:val="18"/>
              </w:rPr>
            </w:pPr>
            <w:r>
              <w:rPr>
                <w:sz w:val="18"/>
                <w:szCs w:val="18"/>
              </w:rPr>
              <w:t>1 038 791</w:t>
            </w:r>
          </w:p>
        </w:tc>
      </w:tr>
      <w:tr w:rsidR="00DA2A27" w:rsidRPr="00296516" w:rsidTr="00DA2A27">
        <w:tc>
          <w:tcPr>
            <w:tcW w:w="6946" w:type="dxa"/>
            <w:vAlign w:val="center"/>
          </w:tcPr>
          <w:p w:rsidR="00DA2A27" w:rsidRPr="00296516" w:rsidRDefault="00DA2A27" w:rsidP="00297380">
            <w:pPr>
              <w:keepNext/>
              <w:spacing w:after="60" w:line="280" w:lineRule="atLeast"/>
              <w:ind w:left="-108"/>
              <w:outlineLvl w:val="0"/>
              <w:rPr>
                <w:sz w:val="18"/>
                <w:szCs w:val="18"/>
              </w:rPr>
            </w:pPr>
            <w:bookmarkStart w:id="140" w:name="_Toc432516859"/>
            <w:bookmarkStart w:id="141" w:name="_Toc432517280"/>
            <w:r w:rsidRPr="00296516">
              <w:rPr>
                <w:sz w:val="18"/>
                <w:szCs w:val="18"/>
              </w:rPr>
              <w:t>Finance costs</w:t>
            </w:r>
            <w:bookmarkEnd w:id="140"/>
            <w:bookmarkEnd w:id="141"/>
          </w:p>
        </w:tc>
        <w:tc>
          <w:tcPr>
            <w:tcW w:w="2693" w:type="dxa"/>
          </w:tcPr>
          <w:p w:rsidR="00DA2A27" w:rsidRPr="00296516" w:rsidRDefault="00DA2A27" w:rsidP="00297380">
            <w:pPr>
              <w:keepNext/>
              <w:spacing w:after="60" w:line="280" w:lineRule="atLeast"/>
              <w:jc w:val="right"/>
              <w:rPr>
                <w:sz w:val="18"/>
                <w:szCs w:val="18"/>
              </w:rPr>
            </w:pPr>
            <w:r>
              <w:rPr>
                <w:sz w:val="18"/>
                <w:szCs w:val="18"/>
              </w:rPr>
              <w:t>8 856</w:t>
            </w:r>
          </w:p>
        </w:tc>
      </w:tr>
      <w:tr w:rsidR="00DA2A27" w:rsidRPr="00296516" w:rsidTr="00DA2A27">
        <w:tc>
          <w:tcPr>
            <w:tcW w:w="6946" w:type="dxa"/>
            <w:vAlign w:val="center"/>
          </w:tcPr>
          <w:p w:rsidR="00DA2A27" w:rsidRPr="00296516" w:rsidRDefault="00DA2A27" w:rsidP="00297380">
            <w:pPr>
              <w:keepNext/>
              <w:spacing w:after="60" w:line="280" w:lineRule="atLeast"/>
              <w:ind w:left="-108"/>
              <w:outlineLvl w:val="0"/>
              <w:rPr>
                <w:sz w:val="18"/>
                <w:szCs w:val="18"/>
              </w:rPr>
            </w:pPr>
            <w:bookmarkStart w:id="142" w:name="_Toc432516860"/>
            <w:bookmarkStart w:id="143" w:name="_Toc432517281"/>
            <w:r w:rsidRPr="00296516">
              <w:rPr>
                <w:sz w:val="18"/>
                <w:szCs w:val="18"/>
              </w:rPr>
              <w:t>Other expenses</w:t>
            </w:r>
            <w:bookmarkEnd w:id="142"/>
            <w:bookmarkEnd w:id="143"/>
          </w:p>
        </w:tc>
        <w:tc>
          <w:tcPr>
            <w:tcW w:w="2693" w:type="dxa"/>
          </w:tcPr>
          <w:p w:rsidR="00DA2A27" w:rsidRPr="00296516" w:rsidRDefault="00DA2A27" w:rsidP="00297380">
            <w:pPr>
              <w:keepNext/>
              <w:spacing w:after="60" w:line="280" w:lineRule="atLeast"/>
              <w:jc w:val="right"/>
              <w:rPr>
                <w:sz w:val="18"/>
                <w:szCs w:val="18"/>
              </w:rPr>
            </w:pPr>
            <w:r>
              <w:rPr>
                <w:sz w:val="18"/>
                <w:szCs w:val="18"/>
              </w:rPr>
              <w:t>4 898</w:t>
            </w:r>
          </w:p>
        </w:tc>
      </w:tr>
      <w:tr w:rsidR="00DA2A27" w:rsidRPr="00296516" w:rsidTr="00DA2A27">
        <w:tc>
          <w:tcPr>
            <w:tcW w:w="6946" w:type="dxa"/>
            <w:vAlign w:val="center"/>
          </w:tcPr>
          <w:p w:rsidR="00DA2A27" w:rsidRPr="00296516" w:rsidRDefault="00DA2A27" w:rsidP="00297380">
            <w:pPr>
              <w:keepNext/>
              <w:spacing w:after="60" w:line="280" w:lineRule="atLeast"/>
              <w:ind w:left="-108"/>
              <w:outlineLvl w:val="0"/>
              <w:rPr>
                <w:b/>
                <w:sz w:val="18"/>
                <w:szCs w:val="18"/>
              </w:rPr>
            </w:pPr>
            <w:bookmarkStart w:id="144" w:name="_Toc432516861"/>
            <w:bookmarkStart w:id="145" w:name="_Toc432517282"/>
            <w:r w:rsidRPr="00296516">
              <w:rPr>
                <w:b/>
                <w:sz w:val="18"/>
                <w:szCs w:val="18"/>
              </w:rPr>
              <w:t>Total</w:t>
            </w:r>
            <w:bookmarkEnd w:id="144"/>
            <w:bookmarkEnd w:id="145"/>
          </w:p>
        </w:tc>
        <w:tc>
          <w:tcPr>
            <w:tcW w:w="2693" w:type="dxa"/>
          </w:tcPr>
          <w:p w:rsidR="00DA2A27" w:rsidRPr="00296516" w:rsidRDefault="00DA2A27" w:rsidP="00297380">
            <w:pPr>
              <w:keepNext/>
              <w:spacing w:after="60" w:line="280" w:lineRule="atLeast"/>
              <w:jc w:val="right"/>
              <w:rPr>
                <w:b/>
                <w:sz w:val="18"/>
                <w:szCs w:val="18"/>
              </w:rPr>
            </w:pPr>
            <w:r>
              <w:rPr>
                <w:b/>
                <w:sz w:val="18"/>
                <w:szCs w:val="18"/>
              </w:rPr>
              <w:t>1 411 742</w:t>
            </w:r>
          </w:p>
        </w:tc>
      </w:tr>
    </w:tbl>
    <w:p w:rsidR="00DA2A27" w:rsidRDefault="00DA2A27" w:rsidP="00DA2A27">
      <w:pPr>
        <w:spacing w:after="120" w:line="240" w:lineRule="atLeast"/>
        <w:outlineLvl w:val="0"/>
      </w:pPr>
    </w:p>
    <w:p w:rsidR="00DA2A27" w:rsidRDefault="00DA2A27">
      <w:r>
        <w:br w:type="page"/>
      </w:r>
    </w:p>
    <w:p w:rsidR="00DA2A27" w:rsidRDefault="00DA2A27" w:rsidP="00DA2A27">
      <w:pPr>
        <w:pStyle w:val="Heading3"/>
      </w:pPr>
      <w:r>
        <w:lastRenderedPageBreak/>
        <w:t>Revenue</w:t>
      </w:r>
    </w:p>
    <w:p w:rsidR="00DA2A27" w:rsidRDefault="00DA2A27" w:rsidP="00DA2A27">
      <w:pPr>
        <w:keepNext/>
        <w:outlineLvl w:val="0"/>
      </w:pPr>
      <w:bookmarkStart w:id="146" w:name="_Toc432516862"/>
      <w:bookmarkStart w:id="147" w:name="_Toc432517283"/>
      <w:r w:rsidRPr="00155B09">
        <w:t>Department of Health</w:t>
      </w:r>
      <w:r>
        <w:t xml:space="preserve"> and Human Services Revenue 2015-16 by Major Category</w:t>
      </w:r>
      <w:bookmarkEnd w:id="146"/>
      <w:bookmarkEnd w:id="147"/>
    </w:p>
    <w:tbl>
      <w:tblPr>
        <w:tblW w:w="9639" w:type="dxa"/>
        <w:tblInd w:w="108" w:type="dxa"/>
        <w:tblBorders>
          <w:top w:val="single" w:sz="2" w:space="0" w:color="808080"/>
          <w:insideH w:val="single" w:sz="2" w:space="0" w:color="808080"/>
        </w:tblBorders>
        <w:tblLayout w:type="fixed"/>
        <w:tblLook w:val="04A0" w:firstRow="1" w:lastRow="0" w:firstColumn="1" w:lastColumn="0" w:noHBand="0" w:noVBand="1"/>
        <w:tblCaption w:val="DHHS Revenue 2015-16 by Major Category"/>
      </w:tblPr>
      <w:tblGrid>
        <w:gridCol w:w="6946"/>
        <w:gridCol w:w="2693"/>
      </w:tblGrid>
      <w:tr w:rsidR="00DA2A27" w:rsidRPr="00296516" w:rsidTr="00297380">
        <w:tc>
          <w:tcPr>
            <w:tcW w:w="6946" w:type="dxa"/>
            <w:shd w:val="clear" w:color="auto" w:fill="auto"/>
          </w:tcPr>
          <w:p w:rsidR="00DA2A27" w:rsidRPr="00296516" w:rsidRDefault="00DA2A27" w:rsidP="00297380">
            <w:pPr>
              <w:keepNext/>
              <w:spacing w:after="60" w:line="280" w:lineRule="atLeast"/>
              <w:rPr>
                <w:b/>
                <w:sz w:val="18"/>
                <w:szCs w:val="18"/>
              </w:rPr>
            </w:pPr>
            <w:r w:rsidRPr="00296516">
              <w:rPr>
                <w:b/>
                <w:sz w:val="18"/>
                <w:szCs w:val="18"/>
              </w:rPr>
              <w:t>Revenue</w:t>
            </w:r>
          </w:p>
        </w:tc>
        <w:tc>
          <w:tcPr>
            <w:tcW w:w="2693" w:type="dxa"/>
            <w:shd w:val="clear" w:color="auto" w:fill="auto"/>
            <w:vAlign w:val="center"/>
          </w:tcPr>
          <w:p w:rsidR="00DA2A27" w:rsidRPr="00296516" w:rsidRDefault="00DA2A27" w:rsidP="00297380">
            <w:pPr>
              <w:keepNext/>
              <w:spacing w:after="60" w:line="280" w:lineRule="atLeast"/>
              <w:jc w:val="right"/>
              <w:rPr>
                <w:b/>
                <w:sz w:val="18"/>
                <w:szCs w:val="18"/>
              </w:rPr>
            </w:pPr>
            <w:r w:rsidRPr="00A764E3">
              <w:rPr>
                <w:b/>
                <w:sz w:val="18"/>
                <w:szCs w:val="18"/>
              </w:rPr>
              <w:t>2015-16</w:t>
            </w:r>
          </w:p>
          <w:p w:rsidR="00DA2A27" w:rsidRPr="00296516" w:rsidRDefault="00DA2A27" w:rsidP="00297380">
            <w:pPr>
              <w:keepNext/>
              <w:spacing w:after="60" w:line="280" w:lineRule="atLeast"/>
              <w:jc w:val="right"/>
              <w:rPr>
                <w:b/>
                <w:sz w:val="18"/>
                <w:szCs w:val="18"/>
              </w:rPr>
            </w:pPr>
            <w:r w:rsidRPr="00296516">
              <w:rPr>
                <w:b/>
                <w:sz w:val="18"/>
                <w:szCs w:val="18"/>
              </w:rPr>
              <w:t>$ ‘000</w:t>
            </w:r>
          </w:p>
        </w:tc>
      </w:tr>
      <w:tr w:rsidR="00DA2A27" w:rsidRPr="00296516" w:rsidTr="00297380">
        <w:tc>
          <w:tcPr>
            <w:tcW w:w="6946" w:type="dxa"/>
            <w:vAlign w:val="center"/>
          </w:tcPr>
          <w:p w:rsidR="00DA2A27" w:rsidRPr="00296516" w:rsidRDefault="00DA2A27" w:rsidP="00297380">
            <w:pPr>
              <w:keepNext/>
              <w:spacing w:after="60" w:line="280" w:lineRule="atLeast"/>
              <w:outlineLvl w:val="0"/>
              <w:rPr>
                <w:sz w:val="18"/>
                <w:szCs w:val="18"/>
              </w:rPr>
            </w:pPr>
            <w:bookmarkStart w:id="148" w:name="_Toc432516863"/>
            <w:bookmarkStart w:id="149" w:name="_Toc432517284"/>
            <w:r>
              <w:rPr>
                <w:sz w:val="18"/>
                <w:szCs w:val="18"/>
              </w:rPr>
              <w:t>Revenue from Government</w:t>
            </w:r>
            <w:bookmarkEnd w:id="148"/>
            <w:bookmarkEnd w:id="149"/>
          </w:p>
        </w:tc>
        <w:tc>
          <w:tcPr>
            <w:tcW w:w="2693" w:type="dxa"/>
          </w:tcPr>
          <w:p w:rsidR="00DA2A27" w:rsidRPr="00296516" w:rsidRDefault="00DA2A27" w:rsidP="00297380">
            <w:pPr>
              <w:keepNext/>
              <w:spacing w:after="60" w:line="280" w:lineRule="atLeast"/>
              <w:jc w:val="right"/>
              <w:rPr>
                <w:rFonts w:cs="Arial"/>
                <w:color w:val="000000"/>
                <w:sz w:val="18"/>
                <w:szCs w:val="18"/>
              </w:rPr>
            </w:pPr>
            <w:r>
              <w:rPr>
                <w:rFonts w:cs="Arial"/>
                <w:color w:val="000000"/>
                <w:sz w:val="18"/>
                <w:szCs w:val="18"/>
              </w:rPr>
              <w:t>1 231 925</w:t>
            </w:r>
          </w:p>
        </w:tc>
      </w:tr>
      <w:tr w:rsidR="00DA2A27" w:rsidRPr="00296516" w:rsidTr="00297380">
        <w:tc>
          <w:tcPr>
            <w:tcW w:w="6946" w:type="dxa"/>
            <w:vAlign w:val="center"/>
          </w:tcPr>
          <w:p w:rsidR="00DA2A27" w:rsidRPr="00296516" w:rsidRDefault="00DA2A27" w:rsidP="00297380">
            <w:pPr>
              <w:keepNext/>
              <w:spacing w:after="60" w:line="280" w:lineRule="atLeast"/>
              <w:outlineLvl w:val="0"/>
              <w:rPr>
                <w:sz w:val="18"/>
                <w:szCs w:val="18"/>
              </w:rPr>
            </w:pPr>
            <w:bookmarkStart w:id="150" w:name="_Toc432516864"/>
            <w:bookmarkStart w:id="151" w:name="_Toc432517285"/>
            <w:r w:rsidRPr="00296516">
              <w:rPr>
                <w:sz w:val="18"/>
                <w:szCs w:val="18"/>
              </w:rPr>
              <w:t>Revenue from Special Capital Investment Funds</w:t>
            </w:r>
            <w:bookmarkEnd w:id="150"/>
            <w:bookmarkEnd w:id="151"/>
          </w:p>
        </w:tc>
        <w:tc>
          <w:tcPr>
            <w:tcW w:w="2693" w:type="dxa"/>
          </w:tcPr>
          <w:p w:rsidR="00DA2A27" w:rsidRPr="00296516" w:rsidRDefault="00DA2A27" w:rsidP="00297380">
            <w:pPr>
              <w:keepNext/>
              <w:spacing w:after="60" w:line="280" w:lineRule="atLeast"/>
              <w:jc w:val="right"/>
              <w:rPr>
                <w:sz w:val="18"/>
                <w:szCs w:val="18"/>
              </w:rPr>
            </w:pPr>
            <w:r>
              <w:rPr>
                <w:sz w:val="18"/>
                <w:szCs w:val="18"/>
              </w:rPr>
              <w:t>24 682</w:t>
            </w:r>
          </w:p>
        </w:tc>
      </w:tr>
      <w:tr w:rsidR="00DA2A27" w:rsidRPr="00296516" w:rsidTr="00297380">
        <w:tc>
          <w:tcPr>
            <w:tcW w:w="6946" w:type="dxa"/>
            <w:vAlign w:val="center"/>
          </w:tcPr>
          <w:p w:rsidR="00DA2A27" w:rsidRPr="00296516" w:rsidRDefault="00DA2A27" w:rsidP="00297380">
            <w:pPr>
              <w:keepNext/>
              <w:spacing w:after="60" w:line="280" w:lineRule="atLeast"/>
              <w:outlineLvl w:val="0"/>
              <w:rPr>
                <w:sz w:val="18"/>
                <w:szCs w:val="18"/>
              </w:rPr>
            </w:pPr>
            <w:bookmarkStart w:id="152" w:name="_Toc432516865"/>
            <w:bookmarkStart w:id="153" w:name="_Toc432517286"/>
            <w:r w:rsidRPr="00296516">
              <w:rPr>
                <w:sz w:val="18"/>
                <w:szCs w:val="18"/>
              </w:rPr>
              <w:t>Grants</w:t>
            </w:r>
            <w:bookmarkEnd w:id="152"/>
            <w:bookmarkEnd w:id="153"/>
          </w:p>
        </w:tc>
        <w:tc>
          <w:tcPr>
            <w:tcW w:w="2693" w:type="dxa"/>
          </w:tcPr>
          <w:p w:rsidR="00DA2A27" w:rsidRPr="00296516" w:rsidRDefault="00DA2A27" w:rsidP="00297380">
            <w:pPr>
              <w:keepNext/>
              <w:spacing w:after="60" w:line="280" w:lineRule="atLeast"/>
              <w:jc w:val="right"/>
              <w:rPr>
                <w:sz w:val="18"/>
                <w:szCs w:val="18"/>
              </w:rPr>
            </w:pPr>
            <w:r>
              <w:rPr>
                <w:sz w:val="18"/>
                <w:szCs w:val="18"/>
              </w:rPr>
              <w:t>99 696</w:t>
            </w:r>
          </w:p>
        </w:tc>
      </w:tr>
      <w:tr w:rsidR="00DA2A27" w:rsidRPr="00296516" w:rsidTr="00297380">
        <w:tc>
          <w:tcPr>
            <w:tcW w:w="6946" w:type="dxa"/>
            <w:vAlign w:val="center"/>
          </w:tcPr>
          <w:p w:rsidR="00DA2A27" w:rsidRPr="00296516" w:rsidRDefault="00DA2A27" w:rsidP="00297380">
            <w:pPr>
              <w:keepNext/>
              <w:spacing w:after="60" w:line="280" w:lineRule="atLeast"/>
              <w:outlineLvl w:val="0"/>
              <w:rPr>
                <w:sz w:val="18"/>
                <w:szCs w:val="18"/>
              </w:rPr>
            </w:pPr>
            <w:bookmarkStart w:id="154" w:name="_Toc432516866"/>
            <w:bookmarkStart w:id="155" w:name="_Toc432517287"/>
            <w:r w:rsidRPr="00296516">
              <w:rPr>
                <w:sz w:val="18"/>
                <w:szCs w:val="18"/>
              </w:rPr>
              <w:t>Sales of goods and services</w:t>
            </w:r>
            <w:bookmarkEnd w:id="154"/>
            <w:bookmarkEnd w:id="155"/>
          </w:p>
        </w:tc>
        <w:tc>
          <w:tcPr>
            <w:tcW w:w="2693" w:type="dxa"/>
          </w:tcPr>
          <w:p w:rsidR="00DA2A27" w:rsidRPr="00296516" w:rsidRDefault="00DA2A27" w:rsidP="00297380">
            <w:pPr>
              <w:keepNext/>
              <w:spacing w:after="60" w:line="280" w:lineRule="atLeast"/>
              <w:jc w:val="right"/>
              <w:rPr>
                <w:sz w:val="18"/>
                <w:szCs w:val="18"/>
              </w:rPr>
            </w:pPr>
            <w:r>
              <w:rPr>
                <w:sz w:val="18"/>
                <w:szCs w:val="18"/>
              </w:rPr>
              <w:t>71 089</w:t>
            </w:r>
          </w:p>
        </w:tc>
      </w:tr>
      <w:tr w:rsidR="00DA2A27" w:rsidRPr="00296516" w:rsidTr="00297380">
        <w:tc>
          <w:tcPr>
            <w:tcW w:w="6946" w:type="dxa"/>
            <w:vAlign w:val="center"/>
          </w:tcPr>
          <w:p w:rsidR="00DA2A27" w:rsidRPr="00296516" w:rsidRDefault="00DA2A27" w:rsidP="00297380">
            <w:pPr>
              <w:keepNext/>
              <w:spacing w:after="60" w:line="280" w:lineRule="atLeast"/>
              <w:outlineLvl w:val="0"/>
              <w:rPr>
                <w:sz w:val="18"/>
                <w:szCs w:val="18"/>
              </w:rPr>
            </w:pPr>
            <w:bookmarkStart w:id="156" w:name="_Toc432516867"/>
            <w:bookmarkStart w:id="157" w:name="_Toc432517288"/>
            <w:r w:rsidRPr="00296516">
              <w:rPr>
                <w:sz w:val="18"/>
                <w:szCs w:val="18"/>
              </w:rPr>
              <w:t>Interest</w:t>
            </w:r>
            <w:bookmarkEnd w:id="156"/>
            <w:bookmarkEnd w:id="157"/>
          </w:p>
        </w:tc>
        <w:tc>
          <w:tcPr>
            <w:tcW w:w="2693" w:type="dxa"/>
          </w:tcPr>
          <w:p w:rsidR="00DA2A27" w:rsidRPr="00296516" w:rsidRDefault="00DA2A27" w:rsidP="00297380">
            <w:pPr>
              <w:keepNext/>
              <w:spacing w:after="60" w:line="280" w:lineRule="atLeast"/>
              <w:jc w:val="right"/>
              <w:rPr>
                <w:sz w:val="18"/>
                <w:szCs w:val="18"/>
              </w:rPr>
            </w:pPr>
            <w:r>
              <w:rPr>
                <w:sz w:val="18"/>
                <w:szCs w:val="18"/>
              </w:rPr>
              <w:t>66</w:t>
            </w:r>
          </w:p>
        </w:tc>
      </w:tr>
      <w:tr w:rsidR="00DA2A27" w:rsidRPr="00296516" w:rsidTr="00297380">
        <w:tc>
          <w:tcPr>
            <w:tcW w:w="6946" w:type="dxa"/>
            <w:vAlign w:val="center"/>
          </w:tcPr>
          <w:p w:rsidR="00DA2A27" w:rsidRPr="00296516" w:rsidRDefault="00DA2A27" w:rsidP="00297380">
            <w:pPr>
              <w:keepNext/>
              <w:spacing w:after="60" w:line="280" w:lineRule="atLeast"/>
              <w:outlineLvl w:val="0"/>
              <w:rPr>
                <w:sz w:val="18"/>
                <w:szCs w:val="18"/>
              </w:rPr>
            </w:pPr>
            <w:bookmarkStart w:id="158" w:name="_Toc432516868"/>
            <w:bookmarkStart w:id="159" w:name="_Toc432517289"/>
            <w:r w:rsidRPr="00296516">
              <w:rPr>
                <w:sz w:val="18"/>
                <w:szCs w:val="18"/>
              </w:rPr>
              <w:t>Contributions received</w:t>
            </w:r>
            <w:bookmarkEnd w:id="158"/>
            <w:bookmarkEnd w:id="159"/>
          </w:p>
        </w:tc>
        <w:tc>
          <w:tcPr>
            <w:tcW w:w="2693" w:type="dxa"/>
          </w:tcPr>
          <w:p w:rsidR="00DA2A27" w:rsidRPr="00296516" w:rsidRDefault="00DA2A27" w:rsidP="00297380">
            <w:pPr>
              <w:keepNext/>
              <w:spacing w:after="60" w:line="280" w:lineRule="atLeast"/>
              <w:jc w:val="right"/>
              <w:rPr>
                <w:sz w:val="18"/>
                <w:szCs w:val="18"/>
              </w:rPr>
            </w:pPr>
            <w:r>
              <w:rPr>
                <w:sz w:val="18"/>
                <w:szCs w:val="18"/>
              </w:rPr>
              <w:t>0</w:t>
            </w:r>
          </w:p>
        </w:tc>
      </w:tr>
      <w:tr w:rsidR="00DA2A27" w:rsidRPr="00296516" w:rsidTr="00297380">
        <w:tc>
          <w:tcPr>
            <w:tcW w:w="6946" w:type="dxa"/>
            <w:vAlign w:val="center"/>
          </w:tcPr>
          <w:p w:rsidR="00DA2A27" w:rsidRPr="00296516" w:rsidRDefault="00DA2A27" w:rsidP="00297380">
            <w:pPr>
              <w:keepNext/>
              <w:spacing w:after="60" w:line="280" w:lineRule="atLeast"/>
              <w:outlineLvl w:val="0"/>
              <w:rPr>
                <w:sz w:val="18"/>
                <w:szCs w:val="18"/>
              </w:rPr>
            </w:pPr>
            <w:bookmarkStart w:id="160" w:name="_Toc432516869"/>
            <w:bookmarkStart w:id="161" w:name="_Toc432517290"/>
            <w:r w:rsidRPr="00296516">
              <w:rPr>
                <w:sz w:val="18"/>
                <w:szCs w:val="18"/>
              </w:rPr>
              <w:t>Other revenue</w:t>
            </w:r>
            <w:bookmarkEnd w:id="160"/>
            <w:bookmarkEnd w:id="161"/>
          </w:p>
        </w:tc>
        <w:tc>
          <w:tcPr>
            <w:tcW w:w="2693" w:type="dxa"/>
          </w:tcPr>
          <w:p w:rsidR="00DA2A27" w:rsidRPr="00296516" w:rsidRDefault="00DA2A27" w:rsidP="00297380">
            <w:pPr>
              <w:keepNext/>
              <w:spacing w:after="60" w:line="280" w:lineRule="atLeast"/>
              <w:jc w:val="right"/>
              <w:rPr>
                <w:sz w:val="18"/>
                <w:szCs w:val="18"/>
              </w:rPr>
            </w:pPr>
            <w:r>
              <w:rPr>
                <w:sz w:val="18"/>
                <w:szCs w:val="18"/>
              </w:rPr>
              <w:t>24 031</w:t>
            </w:r>
          </w:p>
        </w:tc>
      </w:tr>
      <w:tr w:rsidR="00DA2A27" w:rsidRPr="00296516" w:rsidTr="00297380">
        <w:tc>
          <w:tcPr>
            <w:tcW w:w="6946" w:type="dxa"/>
            <w:vAlign w:val="center"/>
          </w:tcPr>
          <w:p w:rsidR="00DA2A27" w:rsidRPr="00296516" w:rsidRDefault="00DA2A27" w:rsidP="00297380">
            <w:pPr>
              <w:keepNext/>
              <w:spacing w:after="60" w:line="280" w:lineRule="atLeast"/>
              <w:outlineLvl w:val="0"/>
              <w:rPr>
                <w:b/>
                <w:sz w:val="18"/>
                <w:szCs w:val="18"/>
              </w:rPr>
            </w:pPr>
            <w:bookmarkStart w:id="162" w:name="_Toc432516870"/>
            <w:bookmarkStart w:id="163" w:name="_Toc432517291"/>
            <w:r w:rsidRPr="00296516">
              <w:rPr>
                <w:b/>
                <w:sz w:val="18"/>
                <w:szCs w:val="18"/>
              </w:rPr>
              <w:t>Total revenue and other income from transactions</w:t>
            </w:r>
            <w:bookmarkEnd w:id="162"/>
            <w:bookmarkEnd w:id="163"/>
          </w:p>
        </w:tc>
        <w:tc>
          <w:tcPr>
            <w:tcW w:w="2693" w:type="dxa"/>
          </w:tcPr>
          <w:p w:rsidR="00DA2A27" w:rsidRPr="00296516" w:rsidRDefault="00DA2A27" w:rsidP="00297380">
            <w:pPr>
              <w:keepNext/>
              <w:spacing w:after="60" w:line="280" w:lineRule="atLeast"/>
              <w:jc w:val="right"/>
              <w:rPr>
                <w:b/>
                <w:sz w:val="18"/>
                <w:szCs w:val="18"/>
              </w:rPr>
            </w:pPr>
            <w:r>
              <w:rPr>
                <w:b/>
                <w:sz w:val="18"/>
                <w:szCs w:val="18"/>
              </w:rPr>
              <w:t>1 451 489</w:t>
            </w:r>
          </w:p>
        </w:tc>
      </w:tr>
      <w:tr w:rsidR="00DA2A27" w:rsidRPr="00296516" w:rsidTr="00297380">
        <w:tc>
          <w:tcPr>
            <w:tcW w:w="9639" w:type="dxa"/>
            <w:gridSpan w:val="2"/>
            <w:vAlign w:val="center"/>
          </w:tcPr>
          <w:p w:rsidR="00DA2A27" w:rsidRPr="00296516" w:rsidRDefault="00DA2A27" w:rsidP="00297380">
            <w:pPr>
              <w:keepNext/>
              <w:spacing w:after="60" w:line="280" w:lineRule="atLeast"/>
              <w:outlineLvl w:val="0"/>
              <w:rPr>
                <w:b/>
                <w:sz w:val="18"/>
                <w:szCs w:val="18"/>
              </w:rPr>
            </w:pPr>
            <w:bookmarkStart w:id="164" w:name="_Toc432516871"/>
            <w:bookmarkStart w:id="165" w:name="_Toc432517292"/>
            <w:r w:rsidRPr="00296516">
              <w:rPr>
                <w:sz w:val="18"/>
                <w:szCs w:val="18"/>
              </w:rPr>
              <w:t xml:space="preserve">Note: Sale of goods and services includes </w:t>
            </w:r>
            <w:r>
              <w:rPr>
                <w:sz w:val="18"/>
                <w:szCs w:val="18"/>
              </w:rPr>
              <w:t>r</w:t>
            </w:r>
            <w:r w:rsidRPr="00296516">
              <w:rPr>
                <w:sz w:val="18"/>
                <w:szCs w:val="18"/>
              </w:rPr>
              <w:t xml:space="preserve">esidential </w:t>
            </w:r>
            <w:r>
              <w:rPr>
                <w:sz w:val="18"/>
                <w:szCs w:val="18"/>
              </w:rPr>
              <w:t>r</w:t>
            </w:r>
            <w:r w:rsidRPr="00296516">
              <w:rPr>
                <w:sz w:val="18"/>
                <w:szCs w:val="18"/>
              </w:rPr>
              <w:t xml:space="preserve">ental, </w:t>
            </w:r>
            <w:r>
              <w:rPr>
                <w:sz w:val="18"/>
                <w:szCs w:val="18"/>
              </w:rPr>
              <w:t>i</w:t>
            </w:r>
            <w:r w:rsidRPr="00296516">
              <w:rPr>
                <w:sz w:val="18"/>
                <w:szCs w:val="18"/>
              </w:rPr>
              <w:t>nterstate charging, Ambulance Fees</w:t>
            </w:r>
            <w:r>
              <w:rPr>
                <w:sz w:val="18"/>
                <w:szCs w:val="18"/>
              </w:rPr>
              <w:t xml:space="preserve"> and Compensable Fees for Motor </w:t>
            </w:r>
            <w:r w:rsidRPr="00296516">
              <w:rPr>
                <w:sz w:val="18"/>
                <w:szCs w:val="18"/>
              </w:rPr>
              <w:t>Vehicle Accidents.</w:t>
            </w:r>
            <w:bookmarkEnd w:id="164"/>
            <w:bookmarkEnd w:id="165"/>
          </w:p>
        </w:tc>
      </w:tr>
    </w:tbl>
    <w:p w:rsidR="00DA2A27" w:rsidRDefault="00DA2A27" w:rsidP="00DA2A27">
      <w:pPr>
        <w:pStyle w:val="Heading3"/>
      </w:pPr>
    </w:p>
    <w:p w:rsidR="00DA2A27" w:rsidRDefault="00DA2A27" w:rsidP="00DA2A27">
      <w:pPr>
        <w:pStyle w:val="Heading3"/>
      </w:pPr>
      <w:r>
        <w:t>Net Assets</w:t>
      </w:r>
    </w:p>
    <w:p w:rsidR="00DA2A27" w:rsidRPr="00F61608" w:rsidRDefault="00DA2A27" w:rsidP="00DA2A27">
      <w:pPr>
        <w:outlineLvl w:val="0"/>
      </w:pPr>
      <w:bookmarkStart w:id="166" w:name="_Toc432516872"/>
      <w:bookmarkStart w:id="167" w:name="_Toc432517293"/>
      <w:r>
        <w:t>Net Assets of $1.556</w:t>
      </w:r>
      <w:r w:rsidRPr="00F61608">
        <w:t xml:space="preserve"> billion is made up of:</w:t>
      </w:r>
      <w:bookmarkEnd w:id="166"/>
      <w:bookmarkEnd w:id="167"/>
    </w:p>
    <w:tbl>
      <w:tblPr>
        <w:tblW w:w="9639" w:type="dxa"/>
        <w:tblInd w:w="108" w:type="dxa"/>
        <w:tblBorders>
          <w:top w:val="single" w:sz="2" w:space="0" w:color="808080"/>
          <w:bottom w:val="single" w:sz="2" w:space="0" w:color="808080"/>
          <w:insideH w:val="single" w:sz="2" w:space="0" w:color="808080"/>
        </w:tblBorders>
        <w:tblLook w:val="04A0" w:firstRow="1" w:lastRow="0" w:firstColumn="1" w:lastColumn="0" w:noHBand="0" w:noVBand="1"/>
        <w:tblCaption w:val="Net assets of $1.556 billion break down"/>
      </w:tblPr>
      <w:tblGrid>
        <w:gridCol w:w="2552"/>
        <w:gridCol w:w="7087"/>
      </w:tblGrid>
      <w:tr w:rsidR="00DA2A27" w:rsidRPr="00296516" w:rsidTr="00297380">
        <w:tc>
          <w:tcPr>
            <w:tcW w:w="2552" w:type="dxa"/>
            <w:shd w:val="clear" w:color="auto" w:fill="auto"/>
          </w:tcPr>
          <w:p w:rsidR="00DA2A27" w:rsidRPr="00296516" w:rsidRDefault="00DA2A27" w:rsidP="00297380">
            <w:pPr>
              <w:keepNext/>
              <w:spacing w:after="60" w:line="280" w:lineRule="atLeast"/>
              <w:rPr>
                <w:b/>
                <w:sz w:val="18"/>
                <w:szCs w:val="18"/>
              </w:rPr>
            </w:pPr>
            <w:r w:rsidRPr="00296516">
              <w:rPr>
                <w:b/>
                <w:sz w:val="18"/>
                <w:szCs w:val="18"/>
              </w:rPr>
              <w:t>Net Assets</w:t>
            </w:r>
          </w:p>
        </w:tc>
        <w:tc>
          <w:tcPr>
            <w:tcW w:w="7087" w:type="dxa"/>
            <w:shd w:val="clear" w:color="auto" w:fill="auto"/>
            <w:vAlign w:val="center"/>
          </w:tcPr>
          <w:p w:rsidR="00DA2A27" w:rsidRPr="00296516" w:rsidRDefault="00DA2A27" w:rsidP="00297380">
            <w:pPr>
              <w:keepNext/>
              <w:spacing w:after="60" w:line="280" w:lineRule="atLeast"/>
              <w:jc w:val="right"/>
              <w:rPr>
                <w:b/>
                <w:sz w:val="18"/>
                <w:szCs w:val="18"/>
              </w:rPr>
            </w:pPr>
            <w:r w:rsidRPr="008665A4">
              <w:rPr>
                <w:b/>
                <w:sz w:val="18"/>
                <w:szCs w:val="18"/>
              </w:rPr>
              <w:t>2015-16</w:t>
            </w:r>
          </w:p>
          <w:p w:rsidR="00DA2A27" w:rsidRPr="00296516" w:rsidRDefault="00DA2A27" w:rsidP="00297380">
            <w:pPr>
              <w:keepNext/>
              <w:spacing w:after="60" w:line="280" w:lineRule="atLeast"/>
              <w:jc w:val="right"/>
              <w:rPr>
                <w:b/>
                <w:sz w:val="18"/>
                <w:szCs w:val="18"/>
              </w:rPr>
            </w:pPr>
            <w:r w:rsidRPr="00296516">
              <w:rPr>
                <w:b/>
                <w:sz w:val="18"/>
                <w:szCs w:val="18"/>
              </w:rPr>
              <w:t>$ ‘000</w:t>
            </w:r>
          </w:p>
        </w:tc>
      </w:tr>
      <w:tr w:rsidR="00DA2A27" w:rsidRPr="00296516" w:rsidTr="00297380">
        <w:tc>
          <w:tcPr>
            <w:tcW w:w="2552" w:type="dxa"/>
            <w:vAlign w:val="center"/>
          </w:tcPr>
          <w:p w:rsidR="00DA2A27" w:rsidRPr="00296516" w:rsidRDefault="00DA2A27" w:rsidP="00297380">
            <w:pPr>
              <w:keepNext/>
              <w:spacing w:after="60" w:line="280" w:lineRule="atLeast"/>
              <w:outlineLvl w:val="0"/>
              <w:rPr>
                <w:sz w:val="18"/>
                <w:szCs w:val="18"/>
              </w:rPr>
            </w:pPr>
            <w:bookmarkStart w:id="168" w:name="_Toc432516873"/>
            <w:bookmarkStart w:id="169" w:name="_Toc432517294"/>
            <w:r w:rsidRPr="00296516">
              <w:rPr>
                <w:sz w:val="18"/>
                <w:szCs w:val="18"/>
              </w:rPr>
              <w:t>Total Assets</w:t>
            </w:r>
            <w:bookmarkEnd w:id="168"/>
            <w:bookmarkEnd w:id="169"/>
          </w:p>
        </w:tc>
        <w:tc>
          <w:tcPr>
            <w:tcW w:w="7087" w:type="dxa"/>
          </w:tcPr>
          <w:p w:rsidR="00DA2A27" w:rsidRPr="00296516" w:rsidRDefault="00DA2A27" w:rsidP="00297380">
            <w:pPr>
              <w:keepNext/>
              <w:spacing w:after="60" w:line="280" w:lineRule="atLeast"/>
              <w:jc w:val="right"/>
              <w:rPr>
                <w:rFonts w:cs="Arial"/>
                <w:color w:val="000000"/>
                <w:sz w:val="18"/>
                <w:szCs w:val="18"/>
              </w:rPr>
            </w:pPr>
            <w:r>
              <w:rPr>
                <w:rFonts w:cs="Arial"/>
                <w:color w:val="000000"/>
                <w:sz w:val="18"/>
                <w:szCs w:val="18"/>
              </w:rPr>
              <w:t>1 832 819</w:t>
            </w:r>
          </w:p>
        </w:tc>
      </w:tr>
      <w:tr w:rsidR="00DA2A27" w:rsidRPr="00296516" w:rsidTr="00297380">
        <w:tc>
          <w:tcPr>
            <w:tcW w:w="2552" w:type="dxa"/>
            <w:vAlign w:val="center"/>
          </w:tcPr>
          <w:p w:rsidR="00DA2A27" w:rsidRPr="00296516" w:rsidRDefault="00DA2A27" w:rsidP="00297380">
            <w:pPr>
              <w:keepNext/>
              <w:spacing w:after="60" w:line="280" w:lineRule="atLeast"/>
              <w:outlineLvl w:val="0"/>
              <w:rPr>
                <w:sz w:val="18"/>
                <w:szCs w:val="18"/>
              </w:rPr>
            </w:pPr>
            <w:bookmarkStart w:id="170" w:name="_Toc432516874"/>
            <w:bookmarkStart w:id="171" w:name="_Toc432517295"/>
            <w:r w:rsidRPr="00296516">
              <w:rPr>
                <w:sz w:val="18"/>
                <w:szCs w:val="18"/>
              </w:rPr>
              <w:t>Total Liabilities</w:t>
            </w:r>
            <w:bookmarkEnd w:id="170"/>
            <w:bookmarkEnd w:id="171"/>
          </w:p>
        </w:tc>
        <w:tc>
          <w:tcPr>
            <w:tcW w:w="7087" w:type="dxa"/>
          </w:tcPr>
          <w:p w:rsidR="00DA2A27" w:rsidRPr="00296516" w:rsidRDefault="00DA2A27" w:rsidP="00297380">
            <w:pPr>
              <w:keepNext/>
              <w:spacing w:after="60" w:line="280" w:lineRule="atLeast"/>
              <w:jc w:val="right"/>
              <w:rPr>
                <w:sz w:val="18"/>
                <w:szCs w:val="18"/>
              </w:rPr>
            </w:pPr>
            <w:r>
              <w:rPr>
                <w:sz w:val="18"/>
                <w:szCs w:val="18"/>
              </w:rPr>
              <w:t>276 337</w:t>
            </w:r>
          </w:p>
        </w:tc>
      </w:tr>
      <w:tr w:rsidR="00DA2A27" w:rsidRPr="00296516" w:rsidTr="00297380">
        <w:tc>
          <w:tcPr>
            <w:tcW w:w="2552" w:type="dxa"/>
            <w:vAlign w:val="center"/>
          </w:tcPr>
          <w:p w:rsidR="00DA2A27" w:rsidRPr="00296516" w:rsidRDefault="00DA2A27" w:rsidP="00297380">
            <w:pPr>
              <w:keepNext/>
              <w:spacing w:after="60" w:line="280" w:lineRule="atLeast"/>
              <w:outlineLvl w:val="0"/>
              <w:rPr>
                <w:sz w:val="18"/>
                <w:szCs w:val="18"/>
              </w:rPr>
            </w:pPr>
            <w:bookmarkStart w:id="172" w:name="_Toc432516875"/>
            <w:bookmarkStart w:id="173" w:name="_Toc432517296"/>
            <w:r w:rsidRPr="00296516">
              <w:rPr>
                <w:sz w:val="18"/>
                <w:szCs w:val="18"/>
              </w:rPr>
              <w:t>Net Assets</w:t>
            </w:r>
            <w:bookmarkEnd w:id="172"/>
            <w:bookmarkEnd w:id="173"/>
          </w:p>
        </w:tc>
        <w:tc>
          <w:tcPr>
            <w:tcW w:w="7087" w:type="dxa"/>
          </w:tcPr>
          <w:p w:rsidR="00DA2A27" w:rsidRPr="00296516" w:rsidRDefault="00DA2A27" w:rsidP="00297380">
            <w:pPr>
              <w:keepNext/>
              <w:spacing w:after="60" w:line="280" w:lineRule="atLeast"/>
              <w:jc w:val="right"/>
              <w:rPr>
                <w:sz w:val="18"/>
                <w:szCs w:val="18"/>
              </w:rPr>
            </w:pPr>
            <w:r>
              <w:rPr>
                <w:sz w:val="18"/>
                <w:szCs w:val="18"/>
              </w:rPr>
              <w:t>1 556 482</w:t>
            </w:r>
          </w:p>
        </w:tc>
      </w:tr>
    </w:tbl>
    <w:p w:rsidR="00DA2A27" w:rsidRPr="00F61608" w:rsidRDefault="00DA2A27" w:rsidP="00DA2A27">
      <w:pPr>
        <w:outlineLvl w:val="0"/>
      </w:pPr>
    </w:p>
    <w:p w:rsidR="00DA2A27" w:rsidRPr="00AF2CF5" w:rsidRDefault="00DA2A27" w:rsidP="00DA2A27">
      <w:pPr>
        <w:spacing w:after="120" w:line="240" w:lineRule="atLeast"/>
        <w:outlineLvl w:val="0"/>
      </w:pPr>
      <w:r w:rsidRPr="00F61608">
        <w:t xml:space="preserve">For further financial information on the </w:t>
      </w:r>
      <w:r>
        <w:t>Department’s</w:t>
      </w:r>
      <w:r w:rsidRPr="00F61608">
        <w:t xml:space="preserve"> activities, please refer to the Financial Statements in Part 3 of this Report.</w:t>
      </w:r>
    </w:p>
    <w:p w:rsidR="00AF2CF5" w:rsidRDefault="00AF2CF5" w:rsidP="00AF2CF5">
      <w:pPr>
        <w:tabs>
          <w:tab w:val="right" w:pos="4395"/>
        </w:tabs>
        <w:spacing w:before="12480"/>
        <w:rPr>
          <w:rFonts w:ascii="GillSans Light" w:hAnsi="GillSans Light"/>
          <w:caps/>
        </w:rPr>
      </w:pPr>
    </w:p>
    <w:p w:rsidR="00297380" w:rsidRPr="007E5614" w:rsidRDefault="00297380" w:rsidP="00297380">
      <w:pPr>
        <w:pStyle w:val="Heading2"/>
      </w:pPr>
      <w:bookmarkStart w:id="174" w:name="_Toc465174244"/>
      <w:r w:rsidRPr="007E5614">
        <w:t>Workforce Overview</w:t>
      </w:r>
      <w:bookmarkEnd w:id="174"/>
    </w:p>
    <w:p w:rsidR="00297380" w:rsidRPr="007E5614" w:rsidRDefault="00297380" w:rsidP="00297380">
      <w:pPr>
        <w:pStyle w:val="Heading2"/>
        <w:sectPr w:rsidR="00297380" w:rsidRPr="007E5614" w:rsidSect="00297380">
          <w:headerReference w:type="even" r:id="rId22"/>
          <w:headerReference w:type="default" r:id="rId23"/>
          <w:type w:val="continuous"/>
          <w:pgSz w:w="11906" w:h="16838" w:code="9"/>
          <w:pgMar w:top="907" w:right="1134" w:bottom="720" w:left="1134" w:header="709" w:footer="709" w:gutter="0"/>
          <w:cols w:space="708"/>
          <w:docGrid w:linePitch="360"/>
        </w:sectPr>
      </w:pPr>
    </w:p>
    <w:p w:rsidR="00297380" w:rsidRPr="007E5614" w:rsidRDefault="00297380" w:rsidP="00297380">
      <w:r w:rsidRPr="007E5614">
        <w:lastRenderedPageBreak/>
        <w:t>During 2015-16, DHHS consolidated the recommendations from the 2014-15 DHHS organisational review with the establishment of Program Supports Units within operational Groups and centralised corporate functions into the CPRS and PPP Groups.</w:t>
      </w:r>
    </w:p>
    <w:p w:rsidR="00297380" w:rsidRPr="007E5614" w:rsidRDefault="00297380" w:rsidP="00297380">
      <w:r w:rsidRPr="007E5614">
        <w:t>The new structure saw operational units and corporate teams work together on a number of workforce strategies including:</w:t>
      </w:r>
    </w:p>
    <w:p w:rsidR="00297380" w:rsidRPr="007E5614" w:rsidRDefault="00297380" w:rsidP="00297380">
      <w:pPr>
        <w:keepNext/>
        <w:keepLines/>
        <w:widowControl w:val="0"/>
        <w:numPr>
          <w:ilvl w:val="0"/>
          <w:numId w:val="3"/>
        </w:numPr>
        <w:spacing w:after="140" w:line="300" w:lineRule="atLeast"/>
        <w:ind w:left="567" w:hanging="567"/>
      </w:pPr>
      <w:r w:rsidRPr="007E5614">
        <w:t xml:space="preserve">the restructure of Housing Tasmania following the implementation of the Better Housing </w:t>
      </w:r>
      <w:r w:rsidRPr="007E5614">
        <w:rPr>
          <w:i/>
        </w:rPr>
        <w:t>Futures</w:t>
      </w:r>
      <w:r w:rsidRPr="007E5614">
        <w:t xml:space="preserve"> Program</w:t>
      </w:r>
    </w:p>
    <w:p w:rsidR="00297380" w:rsidRPr="007E5614" w:rsidRDefault="00297380" w:rsidP="00297380">
      <w:pPr>
        <w:keepNext/>
        <w:keepLines/>
        <w:widowControl w:val="0"/>
        <w:numPr>
          <w:ilvl w:val="0"/>
          <w:numId w:val="3"/>
        </w:numPr>
        <w:spacing w:after="140" w:line="300" w:lineRule="atLeast"/>
        <w:ind w:left="567" w:hanging="567"/>
      </w:pPr>
      <w:r w:rsidRPr="007E5614">
        <w:t>improvements to recruitment and retention strategies for Child Protection and Support Workers roles</w:t>
      </w:r>
    </w:p>
    <w:p w:rsidR="00297380" w:rsidRPr="007E5614" w:rsidRDefault="00297380" w:rsidP="00297380">
      <w:pPr>
        <w:keepNext/>
        <w:keepLines/>
        <w:widowControl w:val="0"/>
        <w:numPr>
          <w:ilvl w:val="0"/>
          <w:numId w:val="3"/>
        </w:numPr>
        <w:spacing w:after="140" w:line="300" w:lineRule="atLeast"/>
        <w:ind w:left="567" w:hanging="567"/>
      </w:pPr>
      <w:r w:rsidRPr="007E5614">
        <w:t>reorganisation of Payroll Services, and</w:t>
      </w:r>
    </w:p>
    <w:p w:rsidR="00297380" w:rsidRPr="007E5614" w:rsidRDefault="00297380" w:rsidP="00297380">
      <w:pPr>
        <w:keepNext/>
        <w:keepLines/>
        <w:widowControl w:val="0"/>
        <w:numPr>
          <w:ilvl w:val="0"/>
          <w:numId w:val="3"/>
        </w:numPr>
        <w:spacing w:after="140" w:line="300" w:lineRule="atLeast"/>
        <w:ind w:left="567" w:hanging="567"/>
      </w:pPr>
      <w:proofErr w:type="gramStart"/>
      <w:r w:rsidRPr="007E5614">
        <w:t>commencement</w:t>
      </w:r>
      <w:proofErr w:type="gramEnd"/>
      <w:r w:rsidRPr="007E5614">
        <w:t xml:space="preserve"> of the NDIS full </w:t>
      </w:r>
      <w:r>
        <w:t>scheme transition</w:t>
      </w:r>
      <w:r w:rsidRPr="007E5614">
        <w:t>.</w:t>
      </w:r>
    </w:p>
    <w:p w:rsidR="00297380" w:rsidRPr="007E5614" w:rsidRDefault="00297380" w:rsidP="00297380">
      <w:r w:rsidRPr="007E5614">
        <w:t>Another major focus during 2015-16 was addressing the results from the People Matter Survey, which surveys all Tasmanian State Service agencies and authorities about their work and work environment each year. In particular, a high priority has been placed on improving communication and employee engagement across DHHS. A number of strategies were also implemented in response to the Survey including the development of formal change consultation processes and dedicated resources for health and wellbeing initiatives.</w:t>
      </w:r>
    </w:p>
    <w:p w:rsidR="00297380" w:rsidRPr="007E5614" w:rsidRDefault="00297380" w:rsidP="00297380">
      <w:r w:rsidRPr="007E5614">
        <w:br w:type="column"/>
      </w:r>
      <w:r w:rsidRPr="007E5614">
        <w:lastRenderedPageBreak/>
        <w:t>There was also a continued focus on workforce development with formal induction programs, a review of all human resources procedures and improved access to development options.</w:t>
      </w:r>
    </w:p>
    <w:p w:rsidR="00297380" w:rsidRPr="007E5614" w:rsidRDefault="00297380" w:rsidP="00297380">
      <w:r w:rsidRPr="007E5614">
        <w:t>The links between the University of Tasmania and DHHS were strengthened with a large increase in the number of cor</w:t>
      </w:r>
      <w:r>
        <w:t>porate intern placements.  During 2015</w:t>
      </w:r>
      <w:r>
        <w:noBreakHyphen/>
        <w:t>16, the four hundredth</w:t>
      </w:r>
      <w:r w:rsidRPr="007E5614">
        <w:t xml:space="preserve"> DHHS/THS employee benefiting from the Academic Program within the School of Medicine, which commenced in 2009.</w:t>
      </w:r>
    </w:p>
    <w:p w:rsidR="00297380" w:rsidRPr="007E5614" w:rsidRDefault="00297380" w:rsidP="00297380">
      <w:r w:rsidRPr="007E5614">
        <w:t>In 2016-17</w:t>
      </w:r>
      <w:r>
        <w:t>,</w:t>
      </w:r>
      <w:r w:rsidRPr="007E5614">
        <w:t xml:space="preserve"> workforce planning to support the ongoing implementation of the NDIS will continue</w:t>
      </w:r>
      <w:r>
        <w:t xml:space="preserve"> to</w:t>
      </w:r>
      <w:r w:rsidRPr="007E5614">
        <w:t xml:space="preserve"> be a priority for DHHS, as it will see changes to the way in which disability services are delivered across Tasmania. There will also be negotiations on a number of major enterprise agreements occurring </w:t>
      </w:r>
      <w:r>
        <w:t>dur</w:t>
      </w:r>
      <w:r w:rsidRPr="007E5614">
        <w:t>in</w:t>
      </w:r>
      <w:r>
        <w:t>g</w:t>
      </w:r>
      <w:r w:rsidRPr="007E5614">
        <w:t xml:space="preserve"> 2016-17.</w:t>
      </w:r>
    </w:p>
    <w:p w:rsidR="00297380" w:rsidRDefault="00297380" w:rsidP="00297380">
      <w:pPr>
        <w:sectPr w:rsidR="00297380" w:rsidSect="00297380">
          <w:type w:val="continuous"/>
          <w:pgSz w:w="11906" w:h="16838" w:code="9"/>
          <w:pgMar w:top="907" w:right="1134" w:bottom="720" w:left="1134" w:header="709" w:footer="709" w:gutter="0"/>
          <w:cols w:num="2" w:space="708"/>
          <w:docGrid w:linePitch="360"/>
        </w:sectPr>
      </w:pPr>
    </w:p>
    <w:p w:rsidR="00297380" w:rsidRPr="007E5614" w:rsidRDefault="00297380" w:rsidP="00297380"/>
    <w:p w:rsidR="00297380" w:rsidRPr="007E5614" w:rsidRDefault="00297380" w:rsidP="00297380"/>
    <w:p w:rsidR="00297380" w:rsidRPr="007E5614" w:rsidRDefault="00297380" w:rsidP="00297380">
      <w:pPr>
        <w:sectPr w:rsidR="00297380" w:rsidRPr="007E5614" w:rsidSect="00297380">
          <w:type w:val="continuous"/>
          <w:pgSz w:w="11906" w:h="16838" w:code="9"/>
          <w:pgMar w:top="907" w:right="1134" w:bottom="720" w:left="1134" w:header="709" w:footer="709" w:gutter="0"/>
          <w:cols w:num="2" w:space="708"/>
          <w:docGrid w:linePitch="360"/>
        </w:sectPr>
      </w:pPr>
    </w:p>
    <w:p w:rsidR="00297380" w:rsidRPr="007E5614" w:rsidRDefault="00297380" w:rsidP="00297380">
      <w:pPr>
        <w:pStyle w:val="Heading2"/>
        <w:sectPr w:rsidR="00297380" w:rsidRPr="007E5614" w:rsidSect="00297380">
          <w:type w:val="continuous"/>
          <w:pgSz w:w="11906" w:h="16838" w:code="9"/>
          <w:pgMar w:top="907" w:right="1134" w:bottom="720" w:left="1134" w:header="709" w:footer="709" w:gutter="0"/>
          <w:cols w:num="2" w:space="708"/>
          <w:docGrid w:linePitch="360"/>
        </w:sectPr>
      </w:pPr>
    </w:p>
    <w:p w:rsidR="00AF2CF5" w:rsidRDefault="00AF2CF5" w:rsidP="00AF2CF5">
      <w:pPr>
        <w:tabs>
          <w:tab w:val="right" w:pos="4395"/>
        </w:tabs>
        <w:spacing w:before="12480"/>
        <w:rPr>
          <w:rFonts w:ascii="GillSans Light" w:hAnsi="GillSans Light"/>
          <w:caps/>
        </w:rPr>
        <w:sectPr w:rsidR="00AF2CF5" w:rsidSect="00DA2A27">
          <w:type w:val="continuous"/>
          <w:pgSz w:w="11906" w:h="16838"/>
          <w:pgMar w:top="1103" w:right="1440" w:bottom="1440" w:left="1440" w:header="708" w:footer="708" w:gutter="0"/>
          <w:cols w:space="708"/>
          <w:docGrid w:linePitch="360"/>
        </w:sectPr>
      </w:pPr>
    </w:p>
    <w:p w:rsidR="00297380" w:rsidRPr="007E5614" w:rsidRDefault="00297380" w:rsidP="008604AA">
      <w:pPr>
        <w:pStyle w:val="Heading3"/>
      </w:pPr>
      <w:r w:rsidRPr="007E5614">
        <w:lastRenderedPageBreak/>
        <w:t>Current Workforce Profile</w:t>
      </w:r>
    </w:p>
    <w:p w:rsidR="00297380" w:rsidRDefault="00297380" w:rsidP="00297380">
      <w:r w:rsidRPr="007E5614">
        <w:t xml:space="preserve">The DHHS workforce figures for 2015-16 reflect the flow-on effects of the DHHS organisational review (detailed in the DHHS Overview section), which has seen a </w:t>
      </w:r>
      <w:r>
        <w:br w:type="column"/>
      </w:r>
    </w:p>
    <w:p w:rsidR="00297380" w:rsidRDefault="00297380" w:rsidP="00297380">
      <w:proofErr w:type="gramStart"/>
      <w:r>
        <w:t>r</w:t>
      </w:r>
      <w:r w:rsidRPr="007E5614">
        <w:t>eduction</w:t>
      </w:r>
      <w:proofErr w:type="gramEnd"/>
      <w:r w:rsidRPr="007E5614">
        <w:t xml:space="preserve"> of full time equivalent positions, and achievement of budget savings</w:t>
      </w:r>
      <w:r>
        <w:t xml:space="preserve"> over the last four years</w:t>
      </w:r>
      <w:r w:rsidRPr="007E5614">
        <w:t xml:space="preserve">. </w:t>
      </w:r>
    </w:p>
    <w:p w:rsidR="00297380" w:rsidRDefault="00297380" w:rsidP="00297380"/>
    <w:p w:rsidR="00297380" w:rsidRDefault="00297380" w:rsidP="00297380">
      <w:pPr>
        <w:sectPr w:rsidR="00297380" w:rsidSect="00AF2CF5">
          <w:pgSz w:w="11906" w:h="16838"/>
          <w:pgMar w:top="1440" w:right="1440" w:bottom="1440" w:left="1440" w:header="708" w:footer="708" w:gutter="0"/>
          <w:cols w:num="2" w:space="708"/>
          <w:docGrid w:linePitch="360"/>
        </w:sectPr>
      </w:pPr>
    </w:p>
    <w:p w:rsidR="00297380" w:rsidRPr="007E5614" w:rsidRDefault="00297380" w:rsidP="00297380">
      <w:pPr>
        <w:pStyle w:val="Heading4"/>
      </w:pPr>
      <w:r w:rsidRPr="007E5614">
        <w:lastRenderedPageBreak/>
        <w:t>Total Number of Full Time Equivalent (FTE) Paid Employees by Award</w:t>
      </w:r>
    </w:p>
    <w:tbl>
      <w:tblPr>
        <w:tblW w:w="9248" w:type="dxa"/>
        <w:tblInd w:w="108" w:type="dxa"/>
        <w:tblBorders>
          <w:top w:val="single" w:sz="2" w:space="0" w:color="808080"/>
          <w:bottom w:val="single" w:sz="2" w:space="0" w:color="808080"/>
          <w:insideH w:val="single" w:sz="2" w:space="0" w:color="808080"/>
        </w:tblBorders>
        <w:tblLook w:val="04A0" w:firstRow="1" w:lastRow="0" w:firstColumn="1" w:lastColumn="0" w:noHBand="0" w:noVBand="1"/>
        <w:tblCaption w:val="Total Number of Full Time Equivalent (FTE) Paid Employees by Award"/>
      </w:tblPr>
      <w:tblGrid>
        <w:gridCol w:w="4194"/>
        <w:gridCol w:w="1267"/>
        <w:gridCol w:w="1267"/>
        <w:gridCol w:w="1265"/>
        <w:gridCol w:w="1255"/>
      </w:tblGrid>
      <w:tr w:rsidR="008604AA" w:rsidRPr="007E5614" w:rsidTr="008604AA">
        <w:tc>
          <w:tcPr>
            <w:tcW w:w="4194" w:type="dxa"/>
            <w:shd w:val="clear" w:color="auto" w:fill="auto"/>
          </w:tcPr>
          <w:p w:rsidR="008604AA" w:rsidRPr="007E5614" w:rsidRDefault="008604AA" w:rsidP="00297380">
            <w:pPr>
              <w:keepNext/>
              <w:spacing w:afterLines="60" w:after="144" w:line="280" w:lineRule="atLeast"/>
              <w:outlineLvl w:val="0"/>
              <w:rPr>
                <w:b/>
                <w:bCs/>
                <w:kern w:val="32"/>
                <w:sz w:val="18"/>
                <w:szCs w:val="18"/>
              </w:rPr>
            </w:pPr>
            <w:r>
              <w:rPr>
                <w:b/>
                <w:bCs/>
                <w:kern w:val="32"/>
                <w:sz w:val="18"/>
                <w:szCs w:val="18"/>
              </w:rPr>
              <w:t>Award</w:t>
            </w:r>
          </w:p>
        </w:tc>
        <w:tc>
          <w:tcPr>
            <w:tcW w:w="1267" w:type="dxa"/>
            <w:shd w:val="clear" w:color="auto" w:fill="auto"/>
            <w:vAlign w:val="center"/>
          </w:tcPr>
          <w:p w:rsidR="008604AA" w:rsidRPr="007E5614" w:rsidRDefault="008604AA" w:rsidP="00297380">
            <w:pPr>
              <w:spacing w:afterLines="60" w:after="144" w:line="280" w:lineRule="atLeast"/>
              <w:jc w:val="right"/>
              <w:rPr>
                <w:b/>
                <w:kern w:val="32"/>
                <w:sz w:val="18"/>
                <w:szCs w:val="18"/>
              </w:rPr>
            </w:pPr>
            <w:r w:rsidRPr="007E5614">
              <w:rPr>
                <w:b/>
                <w:kern w:val="32"/>
                <w:sz w:val="18"/>
                <w:szCs w:val="18"/>
              </w:rPr>
              <w:t>2012-13</w:t>
            </w:r>
            <w:r w:rsidRPr="007E5614">
              <w:rPr>
                <w:b/>
                <w:kern w:val="32"/>
                <w:sz w:val="18"/>
                <w:szCs w:val="18"/>
                <w:vertAlign w:val="superscript"/>
              </w:rPr>
              <w:t>1</w:t>
            </w:r>
          </w:p>
        </w:tc>
        <w:tc>
          <w:tcPr>
            <w:tcW w:w="1267" w:type="dxa"/>
            <w:shd w:val="clear" w:color="auto" w:fill="auto"/>
          </w:tcPr>
          <w:p w:rsidR="008604AA" w:rsidRPr="007E5614" w:rsidRDefault="008604AA" w:rsidP="00297380">
            <w:pPr>
              <w:spacing w:afterLines="60" w:after="144" w:line="280" w:lineRule="atLeast"/>
              <w:jc w:val="right"/>
              <w:rPr>
                <w:b/>
                <w:kern w:val="32"/>
                <w:sz w:val="18"/>
                <w:szCs w:val="18"/>
              </w:rPr>
            </w:pPr>
            <w:r w:rsidRPr="007E5614">
              <w:rPr>
                <w:b/>
                <w:kern w:val="32"/>
                <w:sz w:val="18"/>
                <w:szCs w:val="18"/>
              </w:rPr>
              <w:t>2013-14</w:t>
            </w:r>
            <w:r w:rsidRPr="007E5614">
              <w:rPr>
                <w:b/>
                <w:kern w:val="32"/>
                <w:sz w:val="18"/>
                <w:szCs w:val="18"/>
                <w:vertAlign w:val="superscript"/>
              </w:rPr>
              <w:t>1</w:t>
            </w:r>
          </w:p>
        </w:tc>
        <w:tc>
          <w:tcPr>
            <w:tcW w:w="1265" w:type="dxa"/>
          </w:tcPr>
          <w:p w:rsidR="008604AA" w:rsidRPr="007E5614" w:rsidRDefault="008604AA" w:rsidP="00297380">
            <w:pPr>
              <w:spacing w:afterLines="60" w:after="144" w:line="280" w:lineRule="atLeast"/>
              <w:jc w:val="right"/>
              <w:rPr>
                <w:b/>
                <w:kern w:val="32"/>
                <w:sz w:val="18"/>
                <w:szCs w:val="18"/>
              </w:rPr>
            </w:pPr>
            <w:r w:rsidRPr="007E5614">
              <w:rPr>
                <w:b/>
                <w:kern w:val="32"/>
                <w:sz w:val="18"/>
                <w:szCs w:val="18"/>
              </w:rPr>
              <w:t>2014-15</w:t>
            </w:r>
            <w:r w:rsidRPr="007E5614">
              <w:rPr>
                <w:b/>
                <w:kern w:val="32"/>
                <w:sz w:val="18"/>
                <w:szCs w:val="18"/>
                <w:vertAlign w:val="superscript"/>
              </w:rPr>
              <w:t>1</w:t>
            </w:r>
          </w:p>
        </w:tc>
        <w:tc>
          <w:tcPr>
            <w:tcW w:w="1255" w:type="dxa"/>
          </w:tcPr>
          <w:p w:rsidR="008604AA" w:rsidRPr="007E5614" w:rsidRDefault="008604AA" w:rsidP="00297380">
            <w:pPr>
              <w:spacing w:afterLines="60" w:after="144" w:line="280" w:lineRule="atLeast"/>
              <w:jc w:val="right"/>
              <w:rPr>
                <w:b/>
                <w:kern w:val="32"/>
                <w:sz w:val="18"/>
                <w:szCs w:val="18"/>
              </w:rPr>
            </w:pPr>
            <w:r w:rsidRPr="007E5614">
              <w:rPr>
                <w:b/>
                <w:kern w:val="32"/>
                <w:sz w:val="18"/>
                <w:szCs w:val="18"/>
              </w:rPr>
              <w:t>2015-16</w:t>
            </w:r>
          </w:p>
        </w:tc>
      </w:tr>
      <w:tr w:rsidR="008604AA" w:rsidRPr="007E5614" w:rsidTr="008604AA">
        <w:tc>
          <w:tcPr>
            <w:tcW w:w="4194" w:type="dxa"/>
            <w:vAlign w:val="center"/>
          </w:tcPr>
          <w:p w:rsidR="008604AA" w:rsidRPr="007E5614" w:rsidRDefault="008604AA" w:rsidP="00297380">
            <w:pPr>
              <w:pStyle w:val="Table-AnnualReport"/>
              <w:spacing w:afterLines="60" w:after="144"/>
            </w:pPr>
            <w:bookmarkStart w:id="176" w:name="_Toc303758119"/>
            <w:bookmarkStart w:id="177" w:name="_Toc304279114"/>
            <w:r w:rsidRPr="007E5614">
              <w:t>Allied Health Professional</w:t>
            </w:r>
            <w:bookmarkEnd w:id="176"/>
            <w:bookmarkEnd w:id="177"/>
          </w:p>
        </w:tc>
        <w:tc>
          <w:tcPr>
            <w:tcW w:w="1267" w:type="dxa"/>
          </w:tcPr>
          <w:p w:rsidR="008604AA" w:rsidRPr="007E5614" w:rsidRDefault="008604AA" w:rsidP="00297380">
            <w:pPr>
              <w:spacing w:afterLines="60" w:after="144" w:line="280" w:lineRule="atLeast"/>
              <w:jc w:val="right"/>
              <w:rPr>
                <w:rFonts w:cs="Arial"/>
                <w:color w:val="000000"/>
                <w:sz w:val="17"/>
                <w:szCs w:val="17"/>
              </w:rPr>
            </w:pPr>
            <w:r w:rsidRPr="007E5614">
              <w:rPr>
                <w:rFonts w:cs="Arial"/>
                <w:color w:val="000000"/>
                <w:sz w:val="17"/>
                <w:szCs w:val="17"/>
              </w:rPr>
              <w:t>304.16</w:t>
            </w:r>
          </w:p>
        </w:tc>
        <w:tc>
          <w:tcPr>
            <w:tcW w:w="1267" w:type="dxa"/>
            <w:shd w:val="clear" w:color="auto" w:fill="auto"/>
            <w:vAlign w:val="bottom"/>
          </w:tcPr>
          <w:p w:rsidR="008604AA" w:rsidRPr="007E5614" w:rsidRDefault="008604AA" w:rsidP="00297380">
            <w:pPr>
              <w:spacing w:afterLines="60" w:after="144" w:line="280" w:lineRule="atLeast"/>
              <w:jc w:val="right"/>
              <w:rPr>
                <w:rFonts w:cs="Arial"/>
                <w:sz w:val="17"/>
                <w:szCs w:val="17"/>
              </w:rPr>
            </w:pPr>
            <w:r w:rsidRPr="007E5614">
              <w:rPr>
                <w:rFonts w:cs="Arial"/>
                <w:sz w:val="17"/>
                <w:szCs w:val="17"/>
              </w:rPr>
              <w:t>303.82</w:t>
            </w:r>
          </w:p>
        </w:tc>
        <w:tc>
          <w:tcPr>
            <w:tcW w:w="1265" w:type="dxa"/>
            <w:vAlign w:val="bottom"/>
          </w:tcPr>
          <w:p w:rsidR="008604AA" w:rsidRPr="007E5614" w:rsidRDefault="008604AA" w:rsidP="00297380">
            <w:pPr>
              <w:spacing w:afterLines="60" w:after="144" w:line="280" w:lineRule="atLeast"/>
              <w:jc w:val="right"/>
              <w:rPr>
                <w:color w:val="000000"/>
                <w:sz w:val="17"/>
                <w:szCs w:val="17"/>
              </w:rPr>
            </w:pPr>
            <w:r w:rsidRPr="007E5614">
              <w:rPr>
                <w:color w:val="000000"/>
                <w:sz w:val="17"/>
                <w:szCs w:val="17"/>
              </w:rPr>
              <w:t>296.89</w:t>
            </w:r>
          </w:p>
        </w:tc>
        <w:tc>
          <w:tcPr>
            <w:tcW w:w="1255" w:type="dxa"/>
            <w:vAlign w:val="bottom"/>
          </w:tcPr>
          <w:p w:rsidR="008604AA" w:rsidRPr="007E5614" w:rsidRDefault="008604AA" w:rsidP="00297380">
            <w:pPr>
              <w:spacing w:afterLines="60" w:after="144" w:line="280" w:lineRule="atLeast"/>
              <w:jc w:val="right"/>
              <w:rPr>
                <w:rFonts w:cs="Arial"/>
                <w:sz w:val="17"/>
                <w:szCs w:val="17"/>
              </w:rPr>
            </w:pPr>
            <w:r w:rsidRPr="007E5614">
              <w:rPr>
                <w:rFonts w:cs="Arial"/>
                <w:sz w:val="17"/>
                <w:szCs w:val="17"/>
              </w:rPr>
              <w:t>302.16</w:t>
            </w:r>
          </w:p>
        </w:tc>
      </w:tr>
      <w:tr w:rsidR="008604AA" w:rsidRPr="007E5614" w:rsidTr="008604AA">
        <w:tc>
          <w:tcPr>
            <w:tcW w:w="4194" w:type="dxa"/>
            <w:vAlign w:val="center"/>
          </w:tcPr>
          <w:p w:rsidR="008604AA" w:rsidRPr="007E5614" w:rsidRDefault="008604AA" w:rsidP="00297380">
            <w:pPr>
              <w:pStyle w:val="Table-AnnualReport"/>
              <w:spacing w:afterLines="60" w:after="144"/>
            </w:pPr>
            <w:bookmarkStart w:id="178" w:name="_Toc303758124"/>
            <w:bookmarkStart w:id="179" w:name="_Toc304279119"/>
            <w:r w:rsidRPr="007E5614">
              <w:t xml:space="preserve">Ambulance </w:t>
            </w:r>
            <w:bookmarkEnd w:id="178"/>
            <w:bookmarkEnd w:id="179"/>
            <w:r w:rsidRPr="007E5614">
              <w:t>Tasmania Award</w:t>
            </w:r>
          </w:p>
        </w:tc>
        <w:tc>
          <w:tcPr>
            <w:tcW w:w="1267" w:type="dxa"/>
          </w:tcPr>
          <w:p w:rsidR="008604AA" w:rsidRPr="007E5614" w:rsidRDefault="008604AA" w:rsidP="00297380">
            <w:pPr>
              <w:spacing w:afterLines="60" w:after="144" w:line="280" w:lineRule="atLeast"/>
              <w:jc w:val="right"/>
              <w:rPr>
                <w:rFonts w:cs="Arial"/>
                <w:color w:val="000000"/>
                <w:sz w:val="17"/>
                <w:szCs w:val="17"/>
              </w:rPr>
            </w:pPr>
            <w:r w:rsidRPr="007E5614">
              <w:rPr>
                <w:rFonts w:cs="Arial"/>
                <w:color w:val="000000"/>
                <w:sz w:val="17"/>
                <w:szCs w:val="17"/>
              </w:rPr>
              <w:t>309.77</w:t>
            </w:r>
          </w:p>
        </w:tc>
        <w:tc>
          <w:tcPr>
            <w:tcW w:w="1267" w:type="dxa"/>
            <w:shd w:val="clear" w:color="auto" w:fill="auto"/>
            <w:vAlign w:val="bottom"/>
          </w:tcPr>
          <w:p w:rsidR="008604AA" w:rsidRPr="007E5614" w:rsidRDefault="008604AA" w:rsidP="00297380">
            <w:pPr>
              <w:spacing w:afterLines="60" w:after="144" w:line="280" w:lineRule="atLeast"/>
              <w:jc w:val="right"/>
              <w:rPr>
                <w:rFonts w:cs="Arial"/>
                <w:sz w:val="17"/>
                <w:szCs w:val="17"/>
              </w:rPr>
            </w:pPr>
            <w:r w:rsidRPr="007E5614">
              <w:rPr>
                <w:rFonts w:cs="Arial"/>
                <w:sz w:val="17"/>
                <w:szCs w:val="17"/>
              </w:rPr>
              <w:t>324.89</w:t>
            </w:r>
          </w:p>
        </w:tc>
        <w:tc>
          <w:tcPr>
            <w:tcW w:w="1265" w:type="dxa"/>
            <w:vAlign w:val="bottom"/>
          </w:tcPr>
          <w:p w:rsidR="008604AA" w:rsidRPr="007E5614" w:rsidRDefault="008604AA" w:rsidP="00297380">
            <w:pPr>
              <w:spacing w:afterLines="60" w:after="144" w:line="280" w:lineRule="atLeast"/>
              <w:jc w:val="right"/>
              <w:rPr>
                <w:color w:val="000000"/>
                <w:sz w:val="17"/>
                <w:szCs w:val="17"/>
              </w:rPr>
            </w:pPr>
            <w:r w:rsidRPr="007E5614">
              <w:rPr>
                <w:color w:val="000000"/>
                <w:sz w:val="17"/>
                <w:szCs w:val="17"/>
              </w:rPr>
              <w:t>306.81</w:t>
            </w:r>
          </w:p>
        </w:tc>
        <w:tc>
          <w:tcPr>
            <w:tcW w:w="1255" w:type="dxa"/>
            <w:vAlign w:val="bottom"/>
          </w:tcPr>
          <w:p w:rsidR="008604AA" w:rsidRPr="007E5614" w:rsidRDefault="008604AA" w:rsidP="00297380">
            <w:pPr>
              <w:spacing w:afterLines="60" w:after="144" w:line="280" w:lineRule="atLeast"/>
              <w:jc w:val="right"/>
              <w:rPr>
                <w:rFonts w:cs="Arial"/>
                <w:sz w:val="17"/>
                <w:szCs w:val="17"/>
              </w:rPr>
            </w:pPr>
            <w:r w:rsidRPr="007E5614">
              <w:rPr>
                <w:rFonts w:cs="Arial"/>
                <w:sz w:val="17"/>
                <w:szCs w:val="17"/>
              </w:rPr>
              <w:t>340.13</w:t>
            </w:r>
          </w:p>
        </w:tc>
      </w:tr>
      <w:tr w:rsidR="008604AA" w:rsidRPr="007E5614" w:rsidTr="008604AA">
        <w:tc>
          <w:tcPr>
            <w:tcW w:w="4194" w:type="dxa"/>
            <w:vAlign w:val="center"/>
          </w:tcPr>
          <w:p w:rsidR="008604AA" w:rsidRPr="007E5614" w:rsidRDefault="008604AA" w:rsidP="00297380">
            <w:pPr>
              <w:pStyle w:val="Table-AnnualReport"/>
              <w:spacing w:afterLines="60" w:after="144"/>
            </w:pPr>
            <w:bookmarkStart w:id="180" w:name="_Toc303758134"/>
            <w:bookmarkStart w:id="181" w:name="_Toc304279129"/>
            <w:r w:rsidRPr="007E5614">
              <w:t>Health and Human Services</w:t>
            </w:r>
            <w:bookmarkEnd w:id="180"/>
            <w:bookmarkEnd w:id="181"/>
          </w:p>
        </w:tc>
        <w:tc>
          <w:tcPr>
            <w:tcW w:w="1267" w:type="dxa"/>
          </w:tcPr>
          <w:p w:rsidR="008604AA" w:rsidRPr="007E5614" w:rsidRDefault="008604AA" w:rsidP="00297380">
            <w:pPr>
              <w:spacing w:afterLines="60" w:after="144" w:line="280" w:lineRule="atLeast"/>
              <w:jc w:val="right"/>
              <w:rPr>
                <w:rFonts w:cs="Arial"/>
                <w:color w:val="000000"/>
                <w:sz w:val="17"/>
                <w:szCs w:val="17"/>
              </w:rPr>
            </w:pPr>
            <w:r w:rsidRPr="007E5614">
              <w:rPr>
                <w:rFonts w:cs="Arial"/>
                <w:color w:val="000000"/>
                <w:sz w:val="17"/>
                <w:szCs w:val="17"/>
              </w:rPr>
              <w:t>1</w:t>
            </w:r>
            <w:r>
              <w:rPr>
                <w:rFonts w:cs="Arial"/>
                <w:color w:val="000000"/>
                <w:sz w:val="17"/>
                <w:szCs w:val="17"/>
              </w:rPr>
              <w:t> </w:t>
            </w:r>
            <w:r w:rsidRPr="007E5614">
              <w:rPr>
                <w:rFonts w:cs="Arial"/>
                <w:color w:val="000000"/>
                <w:sz w:val="17"/>
                <w:szCs w:val="17"/>
              </w:rPr>
              <w:t>022.14</w:t>
            </w:r>
          </w:p>
        </w:tc>
        <w:tc>
          <w:tcPr>
            <w:tcW w:w="1267" w:type="dxa"/>
            <w:shd w:val="clear" w:color="auto" w:fill="auto"/>
            <w:vAlign w:val="bottom"/>
          </w:tcPr>
          <w:p w:rsidR="008604AA" w:rsidRPr="007E5614" w:rsidRDefault="008604AA" w:rsidP="00297380">
            <w:pPr>
              <w:spacing w:afterLines="60" w:after="144" w:line="280" w:lineRule="atLeast"/>
              <w:jc w:val="right"/>
              <w:rPr>
                <w:rFonts w:cs="Arial"/>
                <w:sz w:val="17"/>
                <w:szCs w:val="17"/>
              </w:rPr>
            </w:pPr>
            <w:r w:rsidRPr="007E5614">
              <w:rPr>
                <w:rFonts w:cs="Arial"/>
                <w:sz w:val="17"/>
                <w:szCs w:val="17"/>
              </w:rPr>
              <w:t>1</w:t>
            </w:r>
            <w:r>
              <w:rPr>
                <w:rFonts w:cs="Arial"/>
                <w:sz w:val="17"/>
                <w:szCs w:val="17"/>
              </w:rPr>
              <w:t> </w:t>
            </w:r>
            <w:r w:rsidRPr="007E5614">
              <w:rPr>
                <w:rFonts w:cs="Arial"/>
                <w:sz w:val="17"/>
                <w:szCs w:val="17"/>
              </w:rPr>
              <w:t>030.99</w:t>
            </w:r>
          </w:p>
        </w:tc>
        <w:tc>
          <w:tcPr>
            <w:tcW w:w="1265" w:type="dxa"/>
            <w:vAlign w:val="bottom"/>
          </w:tcPr>
          <w:p w:rsidR="008604AA" w:rsidRPr="007E5614" w:rsidRDefault="008604AA" w:rsidP="00297380">
            <w:pPr>
              <w:spacing w:afterLines="60" w:after="144" w:line="280" w:lineRule="atLeast"/>
              <w:jc w:val="right"/>
              <w:rPr>
                <w:color w:val="000000"/>
                <w:sz w:val="17"/>
                <w:szCs w:val="17"/>
              </w:rPr>
            </w:pPr>
            <w:r w:rsidRPr="007E5614">
              <w:rPr>
                <w:color w:val="000000"/>
                <w:sz w:val="17"/>
                <w:szCs w:val="17"/>
              </w:rPr>
              <w:t>874.02</w:t>
            </w:r>
          </w:p>
        </w:tc>
        <w:tc>
          <w:tcPr>
            <w:tcW w:w="1255" w:type="dxa"/>
            <w:vAlign w:val="bottom"/>
          </w:tcPr>
          <w:p w:rsidR="008604AA" w:rsidRPr="007E5614" w:rsidRDefault="008604AA" w:rsidP="00297380">
            <w:pPr>
              <w:spacing w:afterLines="60" w:after="144" w:line="280" w:lineRule="atLeast"/>
              <w:jc w:val="right"/>
              <w:rPr>
                <w:rFonts w:cs="Arial"/>
                <w:sz w:val="17"/>
                <w:szCs w:val="17"/>
              </w:rPr>
            </w:pPr>
            <w:r w:rsidRPr="007E5614">
              <w:rPr>
                <w:rFonts w:cs="Arial"/>
                <w:sz w:val="17"/>
                <w:szCs w:val="17"/>
              </w:rPr>
              <w:t>873.30</w:t>
            </w:r>
          </w:p>
        </w:tc>
      </w:tr>
      <w:tr w:rsidR="008604AA" w:rsidRPr="007E5614" w:rsidTr="008604AA">
        <w:tc>
          <w:tcPr>
            <w:tcW w:w="4194" w:type="dxa"/>
            <w:vAlign w:val="center"/>
          </w:tcPr>
          <w:p w:rsidR="008604AA" w:rsidRPr="007E5614" w:rsidRDefault="008604AA" w:rsidP="00297380">
            <w:pPr>
              <w:pStyle w:val="Table-AnnualReport"/>
              <w:spacing w:afterLines="60" w:after="144"/>
            </w:pPr>
            <w:bookmarkStart w:id="182" w:name="_Toc303758139"/>
            <w:bookmarkStart w:id="183" w:name="_Toc304279134"/>
            <w:r w:rsidRPr="007E5614">
              <w:t>Medical Practitioners</w:t>
            </w:r>
            <w:bookmarkEnd w:id="182"/>
            <w:bookmarkEnd w:id="183"/>
          </w:p>
        </w:tc>
        <w:tc>
          <w:tcPr>
            <w:tcW w:w="1267" w:type="dxa"/>
          </w:tcPr>
          <w:p w:rsidR="008604AA" w:rsidRPr="007E5614" w:rsidRDefault="008604AA" w:rsidP="00297380">
            <w:pPr>
              <w:spacing w:afterLines="60" w:after="144" w:line="280" w:lineRule="atLeast"/>
              <w:jc w:val="right"/>
              <w:rPr>
                <w:rFonts w:cs="Arial"/>
                <w:color w:val="000000"/>
                <w:sz w:val="17"/>
                <w:szCs w:val="17"/>
              </w:rPr>
            </w:pPr>
            <w:r w:rsidRPr="007E5614">
              <w:rPr>
                <w:rFonts w:cs="Arial"/>
                <w:color w:val="000000"/>
                <w:sz w:val="17"/>
                <w:szCs w:val="17"/>
              </w:rPr>
              <w:t>10.93</w:t>
            </w:r>
          </w:p>
        </w:tc>
        <w:tc>
          <w:tcPr>
            <w:tcW w:w="1267" w:type="dxa"/>
            <w:shd w:val="clear" w:color="auto" w:fill="auto"/>
            <w:vAlign w:val="bottom"/>
          </w:tcPr>
          <w:p w:rsidR="008604AA" w:rsidRPr="007E5614" w:rsidRDefault="008604AA" w:rsidP="00297380">
            <w:pPr>
              <w:spacing w:afterLines="60" w:after="144" w:line="280" w:lineRule="atLeast"/>
              <w:jc w:val="right"/>
              <w:rPr>
                <w:rFonts w:cs="Arial"/>
                <w:sz w:val="17"/>
                <w:szCs w:val="17"/>
              </w:rPr>
            </w:pPr>
            <w:r w:rsidRPr="007E5614">
              <w:rPr>
                <w:rFonts w:cs="Arial"/>
                <w:sz w:val="17"/>
                <w:szCs w:val="17"/>
              </w:rPr>
              <w:t>12.03</w:t>
            </w:r>
          </w:p>
        </w:tc>
        <w:tc>
          <w:tcPr>
            <w:tcW w:w="1265" w:type="dxa"/>
            <w:vAlign w:val="bottom"/>
          </w:tcPr>
          <w:p w:rsidR="008604AA" w:rsidRPr="007E5614" w:rsidRDefault="008604AA" w:rsidP="00297380">
            <w:pPr>
              <w:spacing w:afterLines="60" w:after="144" w:line="280" w:lineRule="atLeast"/>
              <w:jc w:val="right"/>
              <w:rPr>
                <w:color w:val="000000"/>
                <w:sz w:val="17"/>
                <w:szCs w:val="17"/>
              </w:rPr>
            </w:pPr>
            <w:r w:rsidRPr="007E5614">
              <w:rPr>
                <w:color w:val="000000"/>
                <w:sz w:val="17"/>
                <w:szCs w:val="17"/>
              </w:rPr>
              <w:t>10.03</w:t>
            </w:r>
          </w:p>
        </w:tc>
        <w:tc>
          <w:tcPr>
            <w:tcW w:w="1255" w:type="dxa"/>
            <w:vAlign w:val="bottom"/>
          </w:tcPr>
          <w:p w:rsidR="008604AA" w:rsidRPr="007E5614" w:rsidRDefault="008604AA" w:rsidP="00297380">
            <w:pPr>
              <w:spacing w:afterLines="60" w:after="144" w:line="280" w:lineRule="atLeast"/>
              <w:jc w:val="right"/>
              <w:rPr>
                <w:rFonts w:cs="Arial"/>
                <w:sz w:val="17"/>
                <w:szCs w:val="17"/>
              </w:rPr>
            </w:pPr>
            <w:r w:rsidRPr="007E5614">
              <w:rPr>
                <w:rFonts w:cs="Arial"/>
                <w:sz w:val="17"/>
                <w:szCs w:val="17"/>
              </w:rPr>
              <w:t>12.39</w:t>
            </w:r>
          </w:p>
        </w:tc>
      </w:tr>
      <w:tr w:rsidR="008604AA" w:rsidRPr="007E5614" w:rsidTr="008604AA">
        <w:tc>
          <w:tcPr>
            <w:tcW w:w="4194" w:type="dxa"/>
            <w:vAlign w:val="center"/>
          </w:tcPr>
          <w:p w:rsidR="008604AA" w:rsidRPr="007E5614" w:rsidRDefault="008604AA" w:rsidP="00297380">
            <w:pPr>
              <w:pStyle w:val="Table-AnnualReport"/>
              <w:spacing w:afterLines="60" w:after="144"/>
            </w:pPr>
            <w:bookmarkStart w:id="184" w:name="_Toc303758144"/>
            <w:bookmarkStart w:id="185" w:name="_Toc304279139"/>
            <w:r w:rsidRPr="007E5614">
              <w:t>No Award</w:t>
            </w:r>
            <w:bookmarkEnd w:id="184"/>
            <w:bookmarkEnd w:id="185"/>
          </w:p>
        </w:tc>
        <w:tc>
          <w:tcPr>
            <w:tcW w:w="1267" w:type="dxa"/>
          </w:tcPr>
          <w:p w:rsidR="008604AA" w:rsidRPr="007E5614" w:rsidRDefault="008604AA" w:rsidP="00297380">
            <w:pPr>
              <w:spacing w:afterLines="60" w:after="144" w:line="280" w:lineRule="atLeast"/>
              <w:jc w:val="right"/>
              <w:rPr>
                <w:rFonts w:cs="Arial"/>
                <w:color w:val="000000"/>
                <w:sz w:val="17"/>
                <w:szCs w:val="17"/>
              </w:rPr>
            </w:pPr>
            <w:r w:rsidRPr="007E5614">
              <w:rPr>
                <w:rFonts w:cs="Arial"/>
                <w:color w:val="000000"/>
                <w:sz w:val="17"/>
                <w:szCs w:val="17"/>
              </w:rPr>
              <w:t>1.00</w:t>
            </w:r>
          </w:p>
        </w:tc>
        <w:tc>
          <w:tcPr>
            <w:tcW w:w="1267" w:type="dxa"/>
            <w:shd w:val="clear" w:color="auto" w:fill="auto"/>
            <w:vAlign w:val="bottom"/>
          </w:tcPr>
          <w:p w:rsidR="008604AA" w:rsidRPr="007E5614" w:rsidRDefault="008604AA" w:rsidP="00297380">
            <w:pPr>
              <w:spacing w:afterLines="60" w:after="144" w:line="280" w:lineRule="atLeast"/>
              <w:jc w:val="right"/>
              <w:rPr>
                <w:rFonts w:cs="Arial"/>
                <w:sz w:val="17"/>
                <w:szCs w:val="17"/>
              </w:rPr>
            </w:pPr>
            <w:r w:rsidRPr="007E5614">
              <w:rPr>
                <w:rFonts w:cs="Arial"/>
                <w:sz w:val="17"/>
                <w:szCs w:val="17"/>
              </w:rPr>
              <w:t>1.00</w:t>
            </w:r>
          </w:p>
        </w:tc>
        <w:tc>
          <w:tcPr>
            <w:tcW w:w="1265" w:type="dxa"/>
            <w:vAlign w:val="bottom"/>
          </w:tcPr>
          <w:p w:rsidR="008604AA" w:rsidRPr="007E5614" w:rsidRDefault="008604AA" w:rsidP="00297380">
            <w:pPr>
              <w:spacing w:afterLines="60" w:after="144" w:line="280" w:lineRule="atLeast"/>
              <w:jc w:val="right"/>
              <w:rPr>
                <w:color w:val="000000"/>
                <w:sz w:val="17"/>
                <w:szCs w:val="17"/>
              </w:rPr>
            </w:pPr>
            <w:r w:rsidRPr="007E5614">
              <w:rPr>
                <w:color w:val="000000"/>
                <w:sz w:val="17"/>
                <w:szCs w:val="17"/>
              </w:rPr>
              <w:t>1.00</w:t>
            </w:r>
          </w:p>
        </w:tc>
        <w:tc>
          <w:tcPr>
            <w:tcW w:w="1255" w:type="dxa"/>
            <w:vAlign w:val="bottom"/>
          </w:tcPr>
          <w:p w:rsidR="008604AA" w:rsidRPr="007E5614" w:rsidRDefault="008604AA" w:rsidP="00297380">
            <w:pPr>
              <w:spacing w:afterLines="60" w:after="144" w:line="280" w:lineRule="atLeast"/>
              <w:jc w:val="right"/>
              <w:rPr>
                <w:rFonts w:cs="Arial"/>
                <w:sz w:val="17"/>
                <w:szCs w:val="17"/>
              </w:rPr>
            </w:pPr>
            <w:r w:rsidRPr="007E5614">
              <w:rPr>
                <w:rFonts w:cs="Arial"/>
                <w:sz w:val="17"/>
                <w:szCs w:val="17"/>
              </w:rPr>
              <w:t>1.00</w:t>
            </w:r>
          </w:p>
        </w:tc>
      </w:tr>
      <w:tr w:rsidR="008604AA" w:rsidRPr="007E5614" w:rsidTr="008604AA">
        <w:tc>
          <w:tcPr>
            <w:tcW w:w="4194" w:type="dxa"/>
            <w:vAlign w:val="center"/>
          </w:tcPr>
          <w:p w:rsidR="008604AA" w:rsidRPr="007E5614" w:rsidRDefault="008604AA" w:rsidP="00297380">
            <w:pPr>
              <w:pStyle w:val="Table-AnnualReport"/>
              <w:spacing w:afterLines="60" w:after="144"/>
            </w:pPr>
            <w:bookmarkStart w:id="186" w:name="_Toc303758149"/>
            <w:bookmarkStart w:id="187" w:name="_Toc304279144"/>
            <w:r w:rsidRPr="007E5614">
              <w:t>Nursing</w:t>
            </w:r>
            <w:bookmarkEnd w:id="186"/>
            <w:bookmarkEnd w:id="187"/>
          </w:p>
        </w:tc>
        <w:tc>
          <w:tcPr>
            <w:tcW w:w="1267" w:type="dxa"/>
          </w:tcPr>
          <w:p w:rsidR="008604AA" w:rsidRPr="007E5614" w:rsidRDefault="008604AA" w:rsidP="00297380">
            <w:pPr>
              <w:spacing w:afterLines="60" w:after="144" w:line="280" w:lineRule="atLeast"/>
              <w:jc w:val="right"/>
              <w:rPr>
                <w:rFonts w:cs="Arial"/>
                <w:color w:val="000000"/>
                <w:sz w:val="17"/>
                <w:szCs w:val="17"/>
              </w:rPr>
            </w:pPr>
            <w:r w:rsidRPr="007E5614">
              <w:rPr>
                <w:rFonts w:cs="Arial"/>
                <w:color w:val="000000"/>
                <w:sz w:val="17"/>
                <w:szCs w:val="17"/>
              </w:rPr>
              <w:t>125.20</w:t>
            </w:r>
          </w:p>
        </w:tc>
        <w:tc>
          <w:tcPr>
            <w:tcW w:w="1267" w:type="dxa"/>
            <w:shd w:val="clear" w:color="auto" w:fill="auto"/>
            <w:vAlign w:val="bottom"/>
          </w:tcPr>
          <w:p w:rsidR="008604AA" w:rsidRPr="007E5614" w:rsidRDefault="008604AA" w:rsidP="00297380">
            <w:pPr>
              <w:spacing w:afterLines="60" w:after="144" w:line="280" w:lineRule="atLeast"/>
              <w:jc w:val="right"/>
              <w:rPr>
                <w:rFonts w:cs="Arial"/>
                <w:sz w:val="17"/>
                <w:szCs w:val="17"/>
              </w:rPr>
            </w:pPr>
            <w:r w:rsidRPr="007E5614">
              <w:rPr>
                <w:rFonts w:cs="Arial"/>
                <w:sz w:val="17"/>
                <w:szCs w:val="17"/>
              </w:rPr>
              <w:t>119.59</w:t>
            </w:r>
          </w:p>
        </w:tc>
        <w:tc>
          <w:tcPr>
            <w:tcW w:w="1265" w:type="dxa"/>
            <w:vAlign w:val="bottom"/>
          </w:tcPr>
          <w:p w:rsidR="008604AA" w:rsidRPr="007E5614" w:rsidRDefault="008604AA" w:rsidP="00297380">
            <w:pPr>
              <w:spacing w:afterLines="60" w:after="144" w:line="280" w:lineRule="atLeast"/>
              <w:jc w:val="right"/>
              <w:rPr>
                <w:color w:val="000000"/>
                <w:sz w:val="17"/>
                <w:szCs w:val="17"/>
              </w:rPr>
            </w:pPr>
            <w:r w:rsidRPr="007E5614">
              <w:rPr>
                <w:color w:val="000000"/>
                <w:sz w:val="17"/>
                <w:szCs w:val="17"/>
              </w:rPr>
              <w:t>106.96</w:t>
            </w:r>
          </w:p>
        </w:tc>
        <w:tc>
          <w:tcPr>
            <w:tcW w:w="1255" w:type="dxa"/>
            <w:vAlign w:val="bottom"/>
          </w:tcPr>
          <w:p w:rsidR="008604AA" w:rsidRPr="007E5614" w:rsidRDefault="008604AA" w:rsidP="00297380">
            <w:pPr>
              <w:spacing w:afterLines="60" w:after="144" w:line="280" w:lineRule="atLeast"/>
              <w:jc w:val="right"/>
              <w:rPr>
                <w:rFonts w:cs="Arial"/>
                <w:sz w:val="17"/>
                <w:szCs w:val="17"/>
              </w:rPr>
            </w:pPr>
            <w:r w:rsidRPr="007E5614">
              <w:rPr>
                <w:rFonts w:cs="Arial"/>
                <w:sz w:val="17"/>
                <w:szCs w:val="17"/>
              </w:rPr>
              <w:t>112.14</w:t>
            </w:r>
          </w:p>
        </w:tc>
      </w:tr>
      <w:tr w:rsidR="008604AA" w:rsidRPr="007E5614" w:rsidTr="008604AA">
        <w:tc>
          <w:tcPr>
            <w:tcW w:w="4194" w:type="dxa"/>
            <w:vAlign w:val="center"/>
          </w:tcPr>
          <w:p w:rsidR="008604AA" w:rsidRPr="007E5614" w:rsidRDefault="008604AA" w:rsidP="00297380">
            <w:pPr>
              <w:pStyle w:val="Table-AnnualReport"/>
              <w:spacing w:afterLines="60" w:after="144"/>
            </w:pPr>
            <w:bookmarkStart w:id="188" w:name="_Toc303758154"/>
            <w:bookmarkStart w:id="189" w:name="_Toc304279149"/>
            <w:r w:rsidRPr="007E5614">
              <w:t>Senior Executive Service (SES)</w:t>
            </w:r>
            <w:bookmarkEnd w:id="188"/>
            <w:bookmarkEnd w:id="189"/>
          </w:p>
        </w:tc>
        <w:tc>
          <w:tcPr>
            <w:tcW w:w="1267" w:type="dxa"/>
          </w:tcPr>
          <w:p w:rsidR="008604AA" w:rsidRPr="007E5614" w:rsidRDefault="008604AA" w:rsidP="00297380">
            <w:pPr>
              <w:spacing w:afterLines="60" w:after="144" w:line="280" w:lineRule="atLeast"/>
              <w:jc w:val="right"/>
              <w:rPr>
                <w:rFonts w:cs="Arial"/>
                <w:color w:val="000000"/>
                <w:sz w:val="17"/>
                <w:szCs w:val="17"/>
              </w:rPr>
            </w:pPr>
            <w:r w:rsidRPr="007E5614">
              <w:rPr>
                <w:rFonts w:cs="Arial"/>
                <w:color w:val="000000"/>
                <w:sz w:val="17"/>
                <w:szCs w:val="17"/>
              </w:rPr>
              <w:t>24.90</w:t>
            </w:r>
          </w:p>
        </w:tc>
        <w:tc>
          <w:tcPr>
            <w:tcW w:w="1267" w:type="dxa"/>
            <w:shd w:val="clear" w:color="auto" w:fill="auto"/>
            <w:vAlign w:val="bottom"/>
          </w:tcPr>
          <w:p w:rsidR="008604AA" w:rsidRPr="007E5614" w:rsidRDefault="008604AA" w:rsidP="00297380">
            <w:pPr>
              <w:spacing w:afterLines="60" w:after="144" w:line="280" w:lineRule="atLeast"/>
              <w:jc w:val="right"/>
              <w:rPr>
                <w:rFonts w:cs="Arial"/>
                <w:sz w:val="17"/>
                <w:szCs w:val="17"/>
              </w:rPr>
            </w:pPr>
            <w:r w:rsidRPr="007E5614">
              <w:rPr>
                <w:rFonts w:cs="Arial"/>
                <w:sz w:val="17"/>
                <w:szCs w:val="17"/>
              </w:rPr>
              <w:t>22.20</w:t>
            </w:r>
          </w:p>
        </w:tc>
        <w:tc>
          <w:tcPr>
            <w:tcW w:w="1265" w:type="dxa"/>
            <w:vAlign w:val="bottom"/>
          </w:tcPr>
          <w:p w:rsidR="008604AA" w:rsidRPr="007E5614" w:rsidRDefault="008604AA" w:rsidP="00297380">
            <w:pPr>
              <w:spacing w:afterLines="60" w:after="144" w:line="280" w:lineRule="atLeast"/>
              <w:jc w:val="right"/>
              <w:rPr>
                <w:color w:val="000000"/>
                <w:sz w:val="17"/>
                <w:szCs w:val="17"/>
              </w:rPr>
            </w:pPr>
            <w:r w:rsidRPr="007E5614">
              <w:rPr>
                <w:color w:val="000000"/>
                <w:sz w:val="17"/>
                <w:szCs w:val="17"/>
              </w:rPr>
              <w:t>23.50</w:t>
            </w:r>
          </w:p>
        </w:tc>
        <w:tc>
          <w:tcPr>
            <w:tcW w:w="1255" w:type="dxa"/>
            <w:vAlign w:val="bottom"/>
          </w:tcPr>
          <w:p w:rsidR="008604AA" w:rsidRPr="007E5614" w:rsidRDefault="008604AA" w:rsidP="00297380">
            <w:pPr>
              <w:spacing w:afterLines="60" w:after="144" w:line="280" w:lineRule="atLeast"/>
              <w:jc w:val="right"/>
              <w:rPr>
                <w:rFonts w:cs="Arial"/>
                <w:sz w:val="17"/>
                <w:szCs w:val="17"/>
              </w:rPr>
            </w:pPr>
            <w:r w:rsidRPr="007E5614">
              <w:rPr>
                <w:rFonts w:cs="Arial"/>
                <w:sz w:val="17"/>
                <w:szCs w:val="17"/>
              </w:rPr>
              <w:t>24.20</w:t>
            </w:r>
          </w:p>
        </w:tc>
      </w:tr>
      <w:tr w:rsidR="008604AA" w:rsidRPr="007E5614" w:rsidTr="008604AA">
        <w:tc>
          <w:tcPr>
            <w:tcW w:w="4194" w:type="dxa"/>
            <w:vAlign w:val="center"/>
          </w:tcPr>
          <w:p w:rsidR="008604AA" w:rsidRPr="007E5614" w:rsidRDefault="008604AA" w:rsidP="00297380">
            <w:pPr>
              <w:pStyle w:val="Table-AnnualReport"/>
              <w:spacing w:afterLines="60" w:after="144"/>
            </w:pPr>
            <w:bookmarkStart w:id="190" w:name="_Toc303758159"/>
            <w:bookmarkStart w:id="191" w:name="_Toc304279154"/>
            <w:r w:rsidRPr="007E5614">
              <w:t>Visiting Medical Officers</w:t>
            </w:r>
            <w:bookmarkEnd w:id="190"/>
            <w:bookmarkEnd w:id="191"/>
          </w:p>
        </w:tc>
        <w:tc>
          <w:tcPr>
            <w:tcW w:w="1267" w:type="dxa"/>
          </w:tcPr>
          <w:p w:rsidR="008604AA" w:rsidRPr="007E5614" w:rsidRDefault="008604AA" w:rsidP="00297380">
            <w:pPr>
              <w:spacing w:afterLines="60" w:after="144" w:line="280" w:lineRule="atLeast"/>
              <w:jc w:val="right"/>
              <w:rPr>
                <w:rFonts w:cs="Arial"/>
                <w:color w:val="000000"/>
                <w:sz w:val="17"/>
                <w:szCs w:val="17"/>
              </w:rPr>
            </w:pPr>
            <w:r w:rsidRPr="007E5614">
              <w:rPr>
                <w:rFonts w:cs="Arial"/>
                <w:color w:val="000000"/>
                <w:sz w:val="17"/>
                <w:szCs w:val="17"/>
              </w:rPr>
              <w:t>0.58</w:t>
            </w:r>
          </w:p>
        </w:tc>
        <w:tc>
          <w:tcPr>
            <w:tcW w:w="1267" w:type="dxa"/>
            <w:shd w:val="clear" w:color="auto" w:fill="auto"/>
            <w:vAlign w:val="bottom"/>
          </w:tcPr>
          <w:p w:rsidR="008604AA" w:rsidRPr="007E5614" w:rsidRDefault="008604AA" w:rsidP="00297380">
            <w:pPr>
              <w:spacing w:afterLines="60" w:after="144" w:line="280" w:lineRule="atLeast"/>
              <w:jc w:val="right"/>
              <w:rPr>
                <w:rFonts w:cs="Arial"/>
                <w:sz w:val="17"/>
                <w:szCs w:val="17"/>
              </w:rPr>
            </w:pPr>
            <w:r w:rsidRPr="007E5614">
              <w:rPr>
                <w:rFonts w:cs="Arial"/>
                <w:sz w:val="17"/>
                <w:szCs w:val="17"/>
              </w:rPr>
              <w:t>0.53</w:t>
            </w:r>
          </w:p>
        </w:tc>
        <w:tc>
          <w:tcPr>
            <w:tcW w:w="1265" w:type="dxa"/>
            <w:vAlign w:val="bottom"/>
          </w:tcPr>
          <w:p w:rsidR="008604AA" w:rsidRPr="007E5614" w:rsidRDefault="008604AA" w:rsidP="00297380">
            <w:pPr>
              <w:spacing w:afterLines="60" w:after="144" w:line="280" w:lineRule="atLeast"/>
              <w:jc w:val="right"/>
              <w:rPr>
                <w:color w:val="000000"/>
                <w:sz w:val="17"/>
                <w:szCs w:val="17"/>
              </w:rPr>
            </w:pPr>
            <w:r w:rsidRPr="007E5614">
              <w:rPr>
                <w:color w:val="000000"/>
                <w:sz w:val="17"/>
                <w:szCs w:val="17"/>
              </w:rPr>
              <w:t>0.50</w:t>
            </w:r>
          </w:p>
        </w:tc>
        <w:tc>
          <w:tcPr>
            <w:tcW w:w="1255" w:type="dxa"/>
            <w:vAlign w:val="bottom"/>
          </w:tcPr>
          <w:p w:rsidR="008604AA" w:rsidRPr="007E5614" w:rsidRDefault="008604AA" w:rsidP="00297380">
            <w:pPr>
              <w:spacing w:afterLines="60" w:after="144" w:line="280" w:lineRule="atLeast"/>
              <w:jc w:val="right"/>
              <w:rPr>
                <w:rFonts w:cs="Arial"/>
                <w:sz w:val="17"/>
                <w:szCs w:val="17"/>
              </w:rPr>
            </w:pPr>
            <w:r w:rsidRPr="007E5614">
              <w:rPr>
                <w:rFonts w:cs="Arial"/>
                <w:sz w:val="17"/>
                <w:szCs w:val="17"/>
              </w:rPr>
              <w:t>0.62</w:t>
            </w:r>
          </w:p>
        </w:tc>
      </w:tr>
      <w:tr w:rsidR="008604AA" w:rsidRPr="007E5614" w:rsidTr="008604AA">
        <w:tc>
          <w:tcPr>
            <w:tcW w:w="4194" w:type="dxa"/>
            <w:vAlign w:val="center"/>
          </w:tcPr>
          <w:p w:rsidR="008604AA" w:rsidRPr="007E5614" w:rsidRDefault="008604AA" w:rsidP="00297380">
            <w:pPr>
              <w:spacing w:afterLines="60" w:after="144" w:line="280" w:lineRule="atLeast"/>
              <w:rPr>
                <w:b/>
                <w:sz w:val="18"/>
                <w:szCs w:val="18"/>
              </w:rPr>
            </w:pPr>
            <w:bookmarkStart w:id="192" w:name="_Toc303758164"/>
            <w:bookmarkStart w:id="193" w:name="_Toc304279159"/>
            <w:r w:rsidRPr="007E5614">
              <w:rPr>
                <w:b/>
                <w:sz w:val="18"/>
                <w:szCs w:val="18"/>
              </w:rPr>
              <w:t>Total</w:t>
            </w:r>
            <w:bookmarkEnd w:id="192"/>
            <w:bookmarkEnd w:id="193"/>
          </w:p>
        </w:tc>
        <w:tc>
          <w:tcPr>
            <w:tcW w:w="1267" w:type="dxa"/>
          </w:tcPr>
          <w:p w:rsidR="008604AA" w:rsidRPr="007E5614" w:rsidRDefault="008604AA" w:rsidP="00297380">
            <w:pPr>
              <w:spacing w:afterLines="60" w:after="144" w:line="280" w:lineRule="atLeast"/>
              <w:jc w:val="right"/>
              <w:rPr>
                <w:rFonts w:cs="Arial"/>
                <w:b/>
                <w:color w:val="000000"/>
                <w:sz w:val="17"/>
                <w:szCs w:val="17"/>
              </w:rPr>
            </w:pPr>
            <w:r w:rsidRPr="007E5614">
              <w:rPr>
                <w:rFonts w:cs="Arial"/>
                <w:b/>
                <w:color w:val="000000"/>
                <w:sz w:val="17"/>
                <w:szCs w:val="17"/>
              </w:rPr>
              <w:t>1</w:t>
            </w:r>
            <w:r>
              <w:rPr>
                <w:rFonts w:cs="Arial"/>
                <w:b/>
                <w:color w:val="000000"/>
                <w:sz w:val="17"/>
                <w:szCs w:val="17"/>
              </w:rPr>
              <w:t> </w:t>
            </w:r>
            <w:r w:rsidRPr="007E5614">
              <w:rPr>
                <w:rFonts w:cs="Arial"/>
                <w:b/>
                <w:color w:val="000000"/>
                <w:sz w:val="17"/>
                <w:szCs w:val="17"/>
              </w:rPr>
              <w:t>798.68</w:t>
            </w:r>
          </w:p>
        </w:tc>
        <w:tc>
          <w:tcPr>
            <w:tcW w:w="1267" w:type="dxa"/>
            <w:shd w:val="clear" w:color="auto" w:fill="auto"/>
            <w:vAlign w:val="bottom"/>
          </w:tcPr>
          <w:p w:rsidR="008604AA" w:rsidRPr="007E5614" w:rsidRDefault="008604AA" w:rsidP="00297380">
            <w:pPr>
              <w:spacing w:afterLines="60" w:after="144" w:line="280" w:lineRule="atLeast"/>
              <w:jc w:val="right"/>
              <w:rPr>
                <w:rFonts w:cs="Arial"/>
                <w:b/>
                <w:bCs/>
                <w:color w:val="000000"/>
                <w:sz w:val="17"/>
                <w:szCs w:val="17"/>
              </w:rPr>
            </w:pPr>
            <w:r w:rsidRPr="007E5614">
              <w:rPr>
                <w:rFonts w:cs="Arial"/>
                <w:b/>
                <w:bCs/>
                <w:color w:val="000000"/>
                <w:sz w:val="17"/>
                <w:szCs w:val="17"/>
              </w:rPr>
              <w:t>1</w:t>
            </w:r>
            <w:r>
              <w:rPr>
                <w:rFonts w:cs="Arial"/>
                <w:b/>
                <w:bCs/>
                <w:color w:val="000000"/>
                <w:sz w:val="17"/>
                <w:szCs w:val="17"/>
              </w:rPr>
              <w:t> </w:t>
            </w:r>
            <w:r w:rsidRPr="007E5614">
              <w:rPr>
                <w:rFonts w:cs="Arial"/>
                <w:b/>
                <w:bCs/>
                <w:color w:val="000000"/>
                <w:sz w:val="17"/>
                <w:szCs w:val="17"/>
              </w:rPr>
              <w:t>815.05</w:t>
            </w:r>
          </w:p>
        </w:tc>
        <w:tc>
          <w:tcPr>
            <w:tcW w:w="1265" w:type="dxa"/>
            <w:vAlign w:val="bottom"/>
          </w:tcPr>
          <w:p w:rsidR="008604AA" w:rsidRPr="007E5614" w:rsidRDefault="008604AA" w:rsidP="00297380">
            <w:pPr>
              <w:spacing w:afterLines="60" w:after="144" w:line="280" w:lineRule="atLeast"/>
              <w:jc w:val="right"/>
              <w:rPr>
                <w:b/>
                <w:bCs/>
                <w:color w:val="000000"/>
                <w:sz w:val="17"/>
                <w:szCs w:val="17"/>
              </w:rPr>
            </w:pPr>
            <w:r w:rsidRPr="007E5614">
              <w:rPr>
                <w:b/>
                <w:bCs/>
                <w:color w:val="000000"/>
                <w:sz w:val="17"/>
                <w:szCs w:val="17"/>
              </w:rPr>
              <w:t>1</w:t>
            </w:r>
            <w:r>
              <w:rPr>
                <w:b/>
                <w:bCs/>
                <w:color w:val="000000"/>
                <w:sz w:val="17"/>
                <w:szCs w:val="17"/>
              </w:rPr>
              <w:t> </w:t>
            </w:r>
            <w:r w:rsidRPr="007E5614">
              <w:rPr>
                <w:b/>
                <w:bCs/>
                <w:color w:val="000000"/>
                <w:sz w:val="17"/>
                <w:szCs w:val="17"/>
              </w:rPr>
              <w:t>619.71</w:t>
            </w:r>
          </w:p>
        </w:tc>
        <w:tc>
          <w:tcPr>
            <w:tcW w:w="1255" w:type="dxa"/>
            <w:vAlign w:val="bottom"/>
          </w:tcPr>
          <w:p w:rsidR="008604AA" w:rsidRPr="007E5614" w:rsidRDefault="008604AA" w:rsidP="00297380">
            <w:pPr>
              <w:spacing w:afterLines="60" w:after="144" w:line="280" w:lineRule="atLeast"/>
              <w:jc w:val="right"/>
              <w:rPr>
                <w:rFonts w:cs="Arial"/>
                <w:b/>
                <w:sz w:val="17"/>
                <w:szCs w:val="17"/>
              </w:rPr>
            </w:pPr>
            <w:r w:rsidRPr="007E5614">
              <w:rPr>
                <w:rFonts w:cs="Arial"/>
                <w:b/>
                <w:sz w:val="17"/>
                <w:szCs w:val="17"/>
              </w:rPr>
              <w:t>1</w:t>
            </w:r>
            <w:r>
              <w:rPr>
                <w:rFonts w:cs="Arial"/>
                <w:b/>
                <w:sz w:val="17"/>
                <w:szCs w:val="17"/>
              </w:rPr>
              <w:t> </w:t>
            </w:r>
            <w:r w:rsidRPr="007E5614">
              <w:rPr>
                <w:rFonts w:cs="Arial"/>
                <w:b/>
                <w:sz w:val="17"/>
                <w:szCs w:val="17"/>
              </w:rPr>
              <w:t>665.94</w:t>
            </w:r>
          </w:p>
        </w:tc>
      </w:tr>
    </w:tbl>
    <w:p w:rsidR="00297380" w:rsidRPr="00297380" w:rsidRDefault="00297380" w:rsidP="00297380">
      <w:pPr>
        <w:spacing w:before="60" w:after="60" w:line="240" w:lineRule="auto"/>
        <w:rPr>
          <w:rFonts w:eastAsia="Calibri"/>
          <w:sz w:val="16"/>
          <w:szCs w:val="16"/>
        </w:rPr>
      </w:pPr>
      <w:r w:rsidRPr="00297380">
        <w:rPr>
          <w:rFonts w:eastAsia="Calibri"/>
          <w:sz w:val="16"/>
          <w:szCs w:val="16"/>
        </w:rPr>
        <w:t>Note:</w:t>
      </w:r>
    </w:p>
    <w:p w:rsidR="00297380" w:rsidRDefault="00297380" w:rsidP="00297380">
      <w:pPr>
        <w:pStyle w:val="ListParagraph"/>
        <w:keepLines/>
        <w:numPr>
          <w:ilvl w:val="0"/>
          <w:numId w:val="7"/>
        </w:numPr>
        <w:spacing w:line="240" w:lineRule="auto"/>
        <w:rPr>
          <w:sz w:val="16"/>
          <w:szCs w:val="16"/>
        </w:rPr>
      </w:pPr>
      <w:r w:rsidRPr="00297380">
        <w:rPr>
          <w:sz w:val="16"/>
          <w:szCs w:val="16"/>
        </w:rPr>
        <w:t>Due to organisational changes, data for previous years has been remapped to the current organisational structure, and these figures therefore differ from those previously published in DHHS Annual Reports. The organisational changes include the transfer of Cancer Screening and Control Services (CSCS) to the THS, and the transfer of some administrative functions from the THS to DHHS, including the Royal Hobart Hospital (RHH) Redevelopment.</w:t>
      </w:r>
    </w:p>
    <w:p w:rsidR="00297380" w:rsidRDefault="00297380" w:rsidP="00297380">
      <w:pPr>
        <w:keepLines/>
        <w:spacing w:line="240" w:lineRule="auto"/>
        <w:rPr>
          <w:sz w:val="16"/>
          <w:szCs w:val="16"/>
        </w:rPr>
      </w:pPr>
    </w:p>
    <w:p w:rsidR="00297380" w:rsidRPr="007E5614" w:rsidRDefault="00297380" w:rsidP="00297380">
      <w:pPr>
        <w:pStyle w:val="Heading4"/>
      </w:pPr>
      <w:r w:rsidRPr="007E5614">
        <w:t xml:space="preserve">Total Number Paid by Employment Category: Permanent, Full Time, Part Time, Fixed Term and Casual  </w:t>
      </w:r>
    </w:p>
    <w:tbl>
      <w:tblPr>
        <w:tblW w:w="9248" w:type="dxa"/>
        <w:tblInd w:w="108" w:type="dxa"/>
        <w:tblBorders>
          <w:top w:val="single" w:sz="2" w:space="0" w:color="808080"/>
          <w:insideH w:val="single" w:sz="2" w:space="0" w:color="808080"/>
        </w:tblBorders>
        <w:tblLook w:val="04A0" w:firstRow="1" w:lastRow="0" w:firstColumn="1" w:lastColumn="0" w:noHBand="0" w:noVBand="1"/>
        <w:tblCaption w:val="Total Number Paid by Employment Category: Permanent, Full Time, Part Time, Fixed Term and Casual  "/>
      </w:tblPr>
      <w:tblGrid>
        <w:gridCol w:w="4195"/>
        <w:gridCol w:w="1263"/>
        <w:gridCol w:w="1266"/>
        <w:gridCol w:w="1266"/>
        <w:gridCol w:w="1258"/>
      </w:tblGrid>
      <w:tr w:rsidR="008604AA" w:rsidRPr="007E5614" w:rsidTr="008604AA">
        <w:trPr>
          <w:trHeight w:val="424"/>
        </w:trPr>
        <w:tc>
          <w:tcPr>
            <w:tcW w:w="4195" w:type="dxa"/>
            <w:shd w:val="clear" w:color="auto" w:fill="auto"/>
            <w:vAlign w:val="center"/>
          </w:tcPr>
          <w:p w:rsidR="008604AA" w:rsidRPr="007E5614" w:rsidRDefault="008604AA" w:rsidP="008604AA">
            <w:pPr>
              <w:pStyle w:val="Table-AnnualReport"/>
              <w:rPr>
                <w:b/>
              </w:rPr>
            </w:pPr>
            <w:r>
              <w:rPr>
                <w:b/>
              </w:rPr>
              <w:t>Employment Category</w:t>
            </w:r>
          </w:p>
        </w:tc>
        <w:tc>
          <w:tcPr>
            <w:tcW w:w="1263" w:type="dxa"/>
            <w:shd w:val="clear" w:color="auto" w:fill="auto"/>
            <w:vAlign w:val="center"/>
          </w:tcPr>
          <w:p w:rsidR="008604AA" w:rsidRPr="007E5614" w:rsidRDefault="008604AA" w:rsidP="00297380">
            <w:pPr>
              <w:pStyle w:val="Table-AnnualReport"/>
              <w:jc w:val="right"/>
              <w:rPr>
                <w:b/>
              </w:rPr>
            </w:pPr>
            <w:r w:rsidRPr="007E5614">
              <w:rPr>
                <w:b/>
              </w:rPr>
              <w:t>2012-13</w:t>
            </w:r>
            <w:r w:rsidRPr="007E5614">
              <w:rPr>
                <w:b/>
                <w:kern w:val="32"/>
                <w:vertAlign w:val="superscript"/>
              </w:rPr>
              <w:t>1</w:t>
            </w:r>
          </w:p>
        </w:tc>
        <w:tc>
          <w:tcPr>
            <w:tcW w:w="1266" w:type="dxa"/>
            <w:shd w:val="clear" w:color="auto" w:fill="auto"/>
            <w:vAlign w:val="center"/>
          </w:tcPr>
          <w:p w:rsidR="008604AA" w:rsidRPr="007E5614" w:rsidRDefault="008604AA" w:rsidP="00297380">
            <w:pPr>
              <w:pStyle w:val="Table-AnnualReport"/>
              <w:jc w:val="right"/>
              <w:rPr>
                <w:b/>
              </w:rPr>
            </w:pPr>
            <w:r w:rsidRPr="007E5614">
              <w:rPr>
                <w:b/>
              </w:rPr>
              <w:t>2013-14</w:t>
            </w:r>
            <w:r w:rsidRPr="007E5614">
              <w:rPr>
                <w:b/>
                <w:kern w:val="32"/>
                <w:vertAlign w:val="superscript"/>
              </w:rPr>
              <w:t>1</w:t>
            </w:r>
          </w:p>
        </w:tc>
        <w:tc>
          <w:tcPr>
            <w:tcW w:w="1266" w:type="dxa"/>
            <w:vAlign w:val="center"/>
          </w:tcPr>
          <w:p w:rsidR="008604AA" w:rsidRPr="007E5614" w:rsidRDefault="008604AA" w:rsidP="00297380">
            <w:pPr>
              <w:pStyle w:val="Table-AnnualReport"/>
              <w:jc w:val="right"/>
              <w:rPr>
                <w:b/>
              </w:rPr>
            </w:pPr>
            <w:r w:rsidRPr="007E5614">
              <w:rPr>
                <w:b/>
              </w:rPr>
              <w:t>2014-15</w:t>
            </w:r>
            <w:r w:rsidRPr="007E5614">
              <w:rPr>
                <w:b/>
                <w:kern w:val="32"/>
                <w:vertAlign w:val="superscript"/>
              </w:rPr>
              <w:t>1</w:t>
            </w:r>
          </w:p>
        </w:tc>
        <w:tc>
          <w:tcPr>
            <w:tcW w:w="1258" w:type="dxa"/>
          </w:tcPr>
          <w:p w:rsidR="008604AA" w:rsidRPr="007E5614" w:rsidRDefault="008604AA" w:rsidP="00297380">
            <w:pPr>
              <w:pStyle w:val="Table-AnnualReport"/>
              <w:jc w:val="right"/>
              <w:rPr>
                <w:b/>
              </w:rPr>
            </w:pPr>
            <w:r w:rsidRPr="007E5614">
              <w:rPr>
                <w:b/>
                <w:kern w:val="32"/>
              </w:rPr>
              <w:t>2015-16</w:t>
            </w:r>
          </w:p>
        </w:tc>
      </w:tr>
      <w:tr w:rsidR="008604AA" w:rsidRPr="007E5614" w:rsidTr="008604AA">
        <w:tc>
          <w:tcPr>
            <w:tcW w:w="4195" w:type="dxa"/>
          </w:tcPr>
          <w:p w:rsidR="008604AA" w:rsidRPr="007E5614" w:rsidRDefault="008604AA" w:rsidP="00297380">
            <w:pPr>
              <w:pStyle w:val="Table-AnnualReport"/>
            </w:pPr>
            <w:bookmarkStart w:id="194" w:name="_Toc303758174"/>
            <w:bookmarkStart w:id="195" w:name="_Toc304279169"/>
            <w:r w:rsidRPr="007E5614">
              <w:t>Permanent full-time</w:t>
            </w:r>
            <w:bookmarkEnd w:id="194"/>
            <w:bookmarkEnd w:id="195"/>
          </w:p>
        </w:tc>
        <w:tc>
          <w:tcPr>
            <w:tcW w:w="1263" w:type="dxa"/>
          </w:tcPr>
          <w:p w:rsidR="008604AA" w:rsidRPr="007E5614" w:rsidRDefault="008604AA" w:rsidP="00297380">
            <w:pPr>
              <w:jc w:val="right"/>
              <w:rPr>
                <w:rFonts w:cs="Arial"/>
                <w:color w:val="000000"/>
                <w:sz w:val="17"/>
                <w:szCs w:val="17"/>
              </w:rPr>
            </w:pPr>
            <w:r w:rsidRPr="007E5614">
              <w:rPr>
                <w:rFonts w:cs="Arial"/>
                <w:color w:val="000000"/>
                <w:sz w:val="17"/>
                <w:szCs w:val="17"/>
              </w:rPr>
              <w:t>1 288</w:t>
            </w:r>
          </w:p>
        </w:tc>
        <w:tc>
          <w:tcPr>
            <w:tcW w:w="1266" w:type="dxa"/>
            <w:shd w:val="clear" w:color="auto" w:fill="auto"/>
          </w:tcPr>
          <w:p w:rsidR="008604AA" w:rsidRPr="007E5614" w:rsidRDefault="008604AA" w:rsidP="00297380">
            <w:pPr>
              <w:jc w:val="right"/>
              <w:rPr>
                <w:rFonts w:cs="Arial"/>
                <w:color w:val="000000"/>
                <w:sz w:val="17"/>
                <w:szCs w:val="17"/>
              </w:rPr>
            </w:pPr>
            <w:r w:rsidRPr="007E5614">
              <w:rPr>
                <w:rFonts w:cs="Arial"/>
                <w:color w:val="000000"/>
                <w:sz w:val="17"/>
                <w:szCs w:val="17"/>
              </w:rPr>
              <w:t>1 294</w:t>
            </w:r>
          </w:p>
        </w:tc>
        <w:tc>
          <w:tcPr>
            <w:tcW w:w="1266" w:type="dxa"/>
          </w:tcPr>
          <w:p w:rsidR="008604AA" w:rsidRPr="007E5614" w:rsidRDefault="008604AA" w:rsidP="00297380">
            <w:pPr>
              <w:jc w:val="right"/>
              <w:rPr>
                <w:rFonts w:cs="Arial"/>
                <w:color w:val="000000"/>
                <w:sz w:val="17"/>
                <w:szCs w:val="17"/>
              </w:rPr>
            </w:pPr>
            <w:r w:rsidRPr="007E5614">
              <w:rPr>
                <w:rFonts w:cs="Arial"/>
                <w:color w:val="000000"/>
                <w:sz w:val="17"/>
                <w:szCs w:val="17"/>
              </w:rPr>
              <w:t>1 173</w:t>
            </w:r>
          </w:p>
        </w:tc>
        <w:tc>
          <w:tcPr>
            <w:tcW w:w="1258" w:type="dxa"/>
          </w:tcPr>
          <w:p w:rsidR="008604AA" w:rsidRPr="007E5614" w:rsidRDefault="008604AA" w:rsidP="00297380">
            <w:pPr>
              <w:jc w:val="right"/>
              <w:rPr>
                <w:rFonts w:cs="Arial"/>
                <w:color w:val="000000"/>
                <w:sz w:val="17"/>
                <w:szCs w:val="17"/>
              </w:rPr>
            </w:pPr>
            <w:r w:rsidRPr="007E5614">
              <w:rPr>
                <w:rFonts w:cs="Arial"/>
                <w:color w:val="000000"/>
                <w:sz w:val="17"/>
                <w:szCs w:val="17"/>
              </w:rPr>
              <w:t>1 220</w:t>
            </w:r>
          </w:p>
        </w:tc>
      </w:tr>
      <w:tr w:rsidR="008604AA" w:rsidRPr="007E5614" w:rsidTr="008604AA">
        <w:tc>
          <w:tcPr>
            <w:tcW w:w="4195" w:type="dxa"/>
          </w:tcPr>
          <w:p w:rsidR="008604AA" w:rsidRPr="007E5614" w:rsidRDefault="008604AA" w:rsidP="00297380">
            <w:pPr>
              <w:pStyle w:val="Table-AnnualReport"/>
            </w:pPr>
            <w:bookmarkStart w:id="196" w:name="_Toc303758179"/>
            <w:bookmarkStart w:id="197" w:name="_Toc304279174"/>
            <w:r w:rsidRPr="007E5614">
              <w:t>Permanent part-time</w:t>
            </w:r>
            <w:bookmarkEnd w:id="196"/>
            <w:bookmarkEnd w:id="197"/>
          </w:p>
        </w:tc>
        <w:tc>
          <w:tcPr>
            <w:tcW w:w="1263" w:type="dxa"/>
          </w:tcPr>
          <w:p w:rsidR="008604AA" w:rsidRPr="007E5614" w:rsidRDefault="008604AA" w:rsidP="00297380">
            <w:pPr>
              <w:jc w:val="right"/>
              <w:rPr>
                <w:rFonts w:cs="Arial"/>
                <w:color w:val="000000"/>
                <w:sz w:val="17"/>
                <w:szCs w:val="17"/>
              </w:rPr>
            </w:pPr>
            <w:r w:rsidRPr="007E5614">
              <w:rPr>
                <w:rFonts w:cs="Arial"/>
                <w:color w:val="000000"/>
                <w:sz w:val="17"/>
                <w:szCs w:val="17"/>
              </w:rPr>
              <w:t>472</w:t>
            </w:r>
          </w:p>
        </w:tc>
        <w:tc>
          <w:tcPr>
            <w:tcW w:w="1266" w:type="dxa"/>
            <w:shd w:val="clear" w:color="auto" w:fill="auto"/>
          </w:tcPr>
          <w:p w:rsidR="008604AA" w:rsidRPr="007E5614" w:rsidRDefault="008604AA" w:rsidP="00297380">
            <w:pPr>
              <w:jc w:val="right"/>
              <w:rPr>
                <w:rFonts w:cs="Arial"/>
                <w:color w:val="000000"/>
                <w:sz w:val="17"/>
                <w:szCs w:val="17"/>
              </w:rPr>
            </w:pPr>
            <w:r w:rsidRPr="007E5614">
              <w:rPr>
                <w:rFonts w:cs="Arial"/>
                <w:color w:val="000000"/>
                <w:sz w:val="17"/>
                <w:szCs w:val="17"/>
              </w:rPr>
              <w:t>495</w:t>
            </w:r>
          </w:p>
        </w:tc>
        <w:tc>
          <w:tcPr>
            <w:tcW w:w="1266" w:type="dxa"/>
          </w:tcPr>
          <w:p w:rsidR="008604AA" w:rsidRPr="007E5614" w:rsidRDefault="008604AA" w:rsidP="00297380">
            <w:pPr>
              <w:jc w:val="right"/>
              <w:rPr>
                <w:rFonts w:cs="Arial"/>
                <w:color w:val="000000"/>
                <w:sz w:val="17"/>
                <w:szCs w:val="17"/>
              </w:rPr>
            </w:pPr>
            <w:r w:rsidRPr="007E5614">
              <w:rPr>
                <w:rFonts w:cs="Arial"/>
                <w:color w:val="000000"/>
                <w:sz w:val="17"/>
                <w:szCs w:val="17"/>
              </w:rPr>
              <w:t>454</w:t>
            </w:r>
          </w:p>
        </w:tc>
        <w:tc>
          <w:tcPr>
            <w:tcW w:w="1258" w:type="dxa"/>
          </w:tcPr>
          <w:p w:rsidR="008604AA" w:rsidRPr="007E5614" w:rsidRDefault="008604AA" w:rsidP="00297380">
            <w:pPr>
              <w:jc w:val="right"/>
              <w:rPr>
                <w:rFonts w:cs="Arial"/>
                <w:color w:val="000000"/>
                <w:sz w:val="17"/>
                <w:szCs w:val="17"/>
              </w:rPr>
            </w:pPr>
            <w:r w:rsidRPr="007E5614">
              <w:rPr>
                <w:rFonts w:cs="Arial"/>
                <w:color w:val="000000"/>
                <w:sz w:val="17"/>
                <w:szCs w:val="17"/>
              </w:rPr>
              <w:t>476</w:t>
            </w:r>
          </w:p>
        </w:tc>
      </w:tr>
      <w:tr w:rsidR="008604AA" w:rsidRPr="007E5614" w:rsidTr="008604AA">
        <w:tc>
          <w:tcPr>
            <w:tcW w:w="4195" w:type="dxa"/>
          </w:tcPr>
          <w:p w:rsidR="008604AA" w:rsidRPr="007E5614" w:rsidRDefault="008604AA" w:rsidP="00297380">
            <w:pPr>
              <w:pStyle w:val="Table-AnnualReport"/>
            </w:pPr>
            <w:bookmarkStart w:id="198" w:name="_Toc303758184"/>
            <w:bookmarkStart w:id="199" w:name="_Toc304279179"/>
            <w:r w:rsidRPr="007E5614">
              <w:t>Fixed-term full-time</w:t>
            </w:r>
            <w:bookmarkEnd w:id="198"/>
            <w:bookmarkEnd w:id="199"/>
          </w:p>
        </w:tc>
        <w:tc>
          <w:tcPr>
            <w:tcW w:w="1263" w:type="dxa"/>
          </w:tcPr>
          <w:p w:rsidR="008604AA" w:rsidRPr="007E5614" w:rsidRDefault="008604AA" w:rsidP="00297380">
            <w:pPr>
              <w:jc w:val="right"/>
              <w:rPr>
                <w:rFonts w:cs="Arial"/>
                <w:color w:val="000000"/>
                <w:sz w:val="17"/>
                <w:szCs w:val="17"/>
              </w:rPr>
            </w:pPr>
            <w:r w:rsidRPr="007E5614">
              <w:rPr>
                <w:rFonts w:cs="Arial"/>
                <w:color w:val="000000"/>
                <w:sz w:val="17"/>
                <w:szCs w:val="17"/>
              </w:rPr>
              <w:t>126</w:t>
            </w:r>
          </w:p>
        </w:tc>
        <w:tc>
          <w:tcPr>
            <w:tcW w:w="1266" w:type="dxa"/>
            <w:shd w:val="clear" w:color="auto" w:fill="auto"/>
          </w:tcPr>
          <w:p w:rsidR="008604AA" w:rsidRPr="007E5614" w:rsidRDefault="008604AA" w:rsidP="00297380">
            <w:pPr>
              <w:jc w:val="right"/>
              <w:rPr>
                <w:rFonts w:cs="Arial"/>
                <w:color w:val="000000"/>
                <w:sz w:val="17"/>
                <w:szCs w:val="17"/>
              </w:rPr>
            </w:pPr>
            <w:r w:rsidRPr="007E5614">
              <w:rPr>
                <w:rFonts w:cs="Arial"/>
                <w:color w:val="000000"/>
                <w:sz w:val="17"/>
                <w:szCs w:val="17"/>
              </w:rPr>
              <w:t>122</w:t>
            </w:r>
          </w:p>
        </w:tc>
        <w:tc>
          <w:tcPr>
            <w:tcW w:w="1266" w:type="dxa"/>
          </w:tcPr>
          <w:p w:rsidR="008604AA" w:rsidRPr="007E5614" w:rsidRDefault="008604AA" w:rsidP="00297380">
            <w:pPr>
              <w:jc w:val="right"/>
              <w:rPr>
                <w:rFonts w:cs="Arial"/>
                <w:color w:val="000000"/>
                <w:sz w:val="17"/>
                <w:szCs w:val="17"/>
              </w:rPr>
            </w:pPr>
            <w:r w:rsidRPr="007E5614">
              <w:rPr>
                <w:rFonts w:cs="Arial"/>
                <w:color w:val="000000"/>
                <w:sz w:val="17"/>
                <w:szCs w:val="17"/>
              </w:rPr>
              <w:t>86</w:t>
            </w:r>
          </w:p>
        </w:tc>
        <w:tc>
          <w:tcPr>
            <w:tcW w:w="1258" w:type="dxa"/>
          </w:tcPr>
          <w:p w:rsidR="008604AA" w:rsidRPr="007E5614" w:rsidRDefault="008604AA" w:rsidP="00297380">
            <w:pPr>
              <w:jc w:val="right"/>
              <w:rPr>
                <w:rFonts w:cs="Arial"/>
                <w:color w:val="000000"/>
                <w:sz w:val="17"/>
                <w:szCs w:val="17"/>
              </w:rPr>
            </w:pPr>
            <w:r w:rsidRPr="007E5614">
              <w:rPr>
                <w:rFonts w:cs="Arial"/>
                <w:color w:val="000000"/>
                <w:sz w:val="17"/>
                <w:szCs w:val="17"/>
              </w:rPr>
              <w:t>71</w:t>
            </w:r>
          </w:p>
        </w:tc>
      </w:tr>
      <w:tr w:rsidR="008604AA" w:rsidRPr="007E5614" w:rsidTr="008604AA">
        <w:tc>
          <w:tcPr>
            <w:tcW w:w="4195" w:type="dxa"/>
          </w:tcPr>
          <w:p w:rsidR="008604AA" w:rsidRPr="007E5614" w:rsidRDefault="008604AA" w:rsidP="00297380">
            <w:pPr>
              <w:pStyle w:val="Table-AnnualReport"/>
            </w:pPr>
            <w:bookmarkStart w:id="200" w:name="_Toc303758189"/>
            <w:bookmarkStart w:id="201" w:name="_Toc304279184"/>
            <w:r w:rsidRPr="007E5614">
              <w:t>Fixed-term part-time</w:t>
            </w:r>
            <w:bookmarkEnd w:id="200"/>
            <w:bookmarkEnd w:id="201"/>
          </w:p>
        </w:tc>
        <w:tc>
          <w:tcPr>
            <w:tcW w:w="1263" w:type="dxa"/>
          </w:tcPr>
          <w:p w:rsidR="008604AA" w:rsidRPr="007E5614" w:rsidRDefault="008604AA" w:rsidP="00297380">
            <w:pPr>
              <w:jc w:val="right"/>
              <w:rPr>
                <w:rFonts w:cs="Arial"/>
                <w:color w:val="000000"/>
                <w:sz w:val="17"/>
                <w:szCs w:val="17"/>
              </w:rPr>
            </w:pPr>
            <w:r w:rsidRPr="007E5614">
              <w:rPr>
                <w:rFonts w:cs="Arial"/>
                <w:color w:val="000000"/>
                <w:sz w:val="17"/>
                <w:szCs w:val="17"/>
              </w:rPr>
              <w:t>53</w:t>
            </w:r>
          </w:p>
        </w:tc>
        <w:tc>
          <w:tcPr>
            <w:tcW w:w="1266" w:type="dxa"/>
            <w:shd w:val="clear" w:color="auto" w:fill="auto"/>
          </w:tcPr>
          <w:p w:rsidR="008604AA" w:rsidRPr="007E5614" w:rsidRDefault="008604AA" w:rsidP="00297380">
            <w:pPr>
              <w:jc w:val="right"/>
              <w:rPr>
                <w:rFonts w:cs="Arial"/>
                <w:color w:val="000000"/>
                <w:sz w:val="17"/>
                <w:szCs w:val="17"/>
              </w:rPr>
            </w:pPr>
            <w:r w:rsidRPr="007E5614">
              <w:rPr>
                <w:rFonts w:cs="Arial"/>
                <w:color w:val="000000"/>
                <w:sz w:val="17"/>
                <w:szCs w:val="17"/>
              </w:rPr>
              <w:t>58</w:t>
            </w:r>
          </w:p>
        </w:tc>
        <w:tc>
          <w:tcPr>
            <w:tcW w:w="1266" w:type="dxa"/>
          </w:tcPr>
          <w:p w:rsidR="008604AA" w:rsidRPr="007E5614" w:rsidRDefault="008604AA" w:rsidP="00297380">
            <w:pPr>
              <w:jc w:val="right"/>
              <w:rPr>
                <w:rFonts w:cs="Arial"/>
                <w:color w:val="000000"/>
                <w:sz w:val="17"/>
                <w:szCs w:val="17"/>
              </w:rPr>
            </w:pPr>
            <w:r w:rsidRPr="007E5614">
              <w:rPr>
                <w:rFonts w:cs="Arial"/>
                <w:color w:val="000000"/>
                <w:sz w:val="17"/>
                <w:szCs w:val="17"/>
              </w:rPr>
              <w:t>31</w:t>
            </w:r>
          </w:p>
        </w:tc>
        <w:tc>
          <w:tcPr>
            <w:tcW w:w="1258" w:type="dxa"/>
          </w:tcPr>
          <w:p w:rsidR="008604AA" w:rsidRPr="007E5614" w:rsidRDefault="008604AA" w:rsidP="00297380">
            <w:pPr>
              <w:jc w:val="right"/>
              <w:rPr>
                <w:rFonts w:cs="Arial"/>
                <w:color w:val="000000"/>
                <w:sz w:val="17"/>
                <w:szCs w:val="17"/>
              </w:rPr>
            </w:pPr>
            <w:r w:rsidRPr="007E5614">
              <w:rPr>
                <w:rFonts w:cs="Arial"/>
                <w:color w:val="000000"/>
                <w:sz w:val="17"/>
                <w:szCs w:val="17"/>
              </w:rPr>
              <w:t>39</w:t>
            </w:r>
          </w:p>
        </w:tc>
      </w:tr>
      <w:tr w:rsidR="008604AA" w:rsidRPr="007E5614" w:rsidTr="008604AA">
        <w:tc>
          <w:tcPr>
            <w:tcW w:w="4195" w:type="dxa"/>
          </w:tcPr>
          <w:p w:rsidR="008604AA" w:rsidRPr="007E5614" w:rsidRDefault="008604AA" w:rsidP="00297380">
            <w:pPr>
              <w:pStyle w:val="Table-AnnualReport"/>
            </w:pPr>
            <w:bookmarkStart w:id="202" w:name="_Toc303758194"/>
            <w:bookmarkStart w:id="203" w:name="_Toc304279189"/>
            <w:r w:rsidRPr="007E5614">
              <w:t>Part 6</w:t>
            </w:r>
            <w:bookmarkEnd w:id="202"/>
            <w:bookmarkEnd w:id="203"/>
            <w:r w:rsidRPr="007E5614">
              <w:rPr>
                <w:vertAlign w:val="superscript"/>
              </w:rPr>
              <w:t>2</w:t>
            </w:r>
          </w:p>
        </w:tc>
        <w:tc>
          <w:tcPr>
            <w:tcW w:w="1263" w:type="dxa"/>
          </w:tcPr>
          <w:p w:rsidR="008604AA" w:rsidRPr="007E5614" w:rsidRDefault="008604AA" w:rsidP="00297380">
            <w:pPr>
              <w:jc w:val="right"/>
              <w:rPr>
                <w:rFonts w:cs="Arial"/>
                <w:color w:val="000000"/>
                <w:sz w:val="17"/>
                <w:szCs w:val="17"/>
              </w:rPr>
            </w:pPr>
            <w:r w:rsidRPr="007E5614">
              <w:rPr>
                <w:rFonts w:cs="Arial"/>
                <w:color w:val="000000"/>
                <w:sz w:val="17"/>
                <w:szCs w:val="17"/>
              </w:rPr>
              <w:t>30</w:t>
            </w:r>
          </w:p>
        </w:tc>
        <w:tc>
          <w:tcPr>
            <w:tcW w:w="1266" w:type="dxa"/>
            <w:shd w:val="clear" w:color="auto" w:fill="auto"/>
          </w:tcPr>
          <w:p w:rsidR="008604AA" w:rsidRPr="007E5614" w:rsidRDefault="008604AA" w:rsidP="00297380">
            <w:pPr>
              <w:pStyle w:val="Table-AnnualReport"/>
              <w:jc w:val="right"/>
              <w:rPr>
                <w:sz w:val="17"/>
                <w:szCs w:val="17"/>
              </w:rPr>
            </w:pPr>
            <w:r w:rsidRPr="007E5614">
              <w:rPr>
                <w:sz w:val="17"/>
                <w:szCs w:val="17"/>
              </w:rPr>
              <w:t>27</w:t>
            </w:r>
          </w:p>
        </w:tc>
        <w:tc>
          <w:tcPr>
            <w:tcW w:w="1266" w:type="dxa"/>
          </w:tcPr>
          <w:p w:rsidR="008604AA" w:rsidRPr="007E5614" w:rsidRDefault="008604AA" w:rsidP="00297380">
            <w:pPr>
              <w:jc w:val="right"/>
              <w:rPr>
                <w:rFonts w:cs="Arial"/>
                <w:color w:val="000000"/>
                <w:sz w:val="17"/>
                <w:szCs w:val="17"/>
              </w:rPr>
            </w:pPr>
            <w:r w:rsidRPr="007E5614">
              <w:rPr>
                <w:rFonts w:cs="Arial"/>
                <w:color w:val="000000"/>
                <w:sz w:val="17"/>
                <w:szCs w:val="17"/>
              </w:rPr>
              <w:t>25</w:t>
            </w:r>
          </w:p>
        </w:tc>
        <w:tc>
          <w:tcPr>
            <w:tcW w:w="1258" w:type="dxa"/>
          </w:tcPr>
          <w:p w:rsidR="008604AA" w:rsidRPr="007E5614" w:rsidRDefault="008604AA" w:rsidP="00297380">
            <w:pPr>
              <w:jc w:val="right"/>
              <w:rPr>
                <w:rFonts w:cs="Arial"/>
                <w:color w:val="000000"/>
                <w:sz w:val="17"/>
                <w:szCs w:val="17"/>
              </w:rPr>
            </w:pPr>
            <w:r w:rsidRPr="007E5614">
              <w:rPr>
                <w:rFonts w:cs="Arial"/>
                <w:color w:val="000000"/>
                <w:sz w:val="17"/>
                <w:szCs w:val="17"/>
              </w:rPr>
              <w:t>26</w:t>
            </w:r>
          </w:p>
        </w:tc>
      </w:tr>
      <w:tr w:rsidR="008604AA" w:rsidRPr="007E5614" w:rsidTr="008604AA">
        <w:tc>
          <w:tcPr>
            <w:tcW w:w="4195" w:type="dxa"/>
            <w:tcBorders>
              <w:bottom w:val="single" w:sz="2" w:space="0" w:color="808080"/>
            </w:tcBorders>
          </w:tcPr>
          <w:p w:rsidR="008604AA" w:rsidRPr="007E5614" w:rsidRDefault="008604AA" w:rsidP="00297380">
            <w:pPr>
              <w:pStyle w:val="Table-AnnualReport"/>
            </w:pPr>
            <w:bookmarkStart w:id="204" w:name="_Toc303758199"/>
            <w:bookmarkStart w:id="205" w:name="_Toc304279194"/>
            <w:r w:rsidRPr="007E5614">
              <w:t>Casual</w:t>
            </w:r>
            <w:bookmarkEnd w:id="204"/>
            <w:bookmarkEnd w:id="205"/>
          </w:p>
        </w:tc>
        <w:tc>
          <w:tcPr>
            <w:tcW w:w="1263" w:type="dxa"/>
            <w:tcBorders>
              <w:bottom w:val="single" w:sz="2" w:space="0" w:color="808080"/>
            </w:tcBorders>
          </w:tcPr>
          <w:p w:rsidR="008604AA" w:rsidRPr="007E5614" w:rsidRDefault="008604AA" w:rsidP="00297380">
            <w:pPr>
              <w:jc w:val="right"/>
              <w:rPr>
                <w:rFonts w:cs="Arial"/>
                <w:color w:val="000000"/>
                <w:sz w:val="17"/>
                <w:szCs w:val="17"/>
              </w:rPr>
            </w:pPr>
            <w:r w:rsidRPr="007E5614">
              <w:rPr>
                <w:rFonts w:cs="Arial"/>
                <w:color w:val="000000"/>
                <w:sz w:val="17"/>
                <w:szCs w:val="17"/>
              </w:rPr>
              <w:t>31</w:t>
            </w:r>
          </w:p>
        </w:tc>
        <w:tc>
          <w:tcPr>
            <w:tcW w:w="1266" w:type="dxa"/>
            <w:tcBorders>
              <w:bottom w:val="single" w:sz="2" w:space="0" w:color="808080"/>
            </w:tcBorders>
            <w:shd w:val="clear" w:color="auto" w:fill="auto"/>
          </w:tcPr>
          <w:p w:rsidR="008604AA" w:rsidRPr="007E5614" w:rsidRDefault="008604AA" w:rsidP="00297380">
            <w:pPr>
              <w:pStyle w:val="Table-AnnualReport"/>
              <w:jc w:val="right"/>
              <w:rPr>
                <w:sz w:val="17"/>
                <w:szCs w:val="17"/>
              </w:rPr>
            </w:pPr>
            <w:r w:rsidRPr="007E5614">
              <w:rPr>
                <w:sz w:val="17"/>
                <w:szCs w:val="17"/>
              </w:rPr>
              <w:t>36</w:t>
            </w:r>
          </w:p>
        </w:tc>
        <w:tc>
          <w:tcPr>
            <w:tcW w:w="1266" w:type="dxa"/>
            <w:tcBorders>
              <w:bottom w:val="single" w:sz="2" w:space="0" w:color="808080"/>
            </w:tcBorders>
          </w:tcPr>
          <w:p w:rsidR="008604AA" w:rsidRPr="007E5614" w:rsidRDefault="008604AA" w:rsidP="00297380">
            <w:pPr>
              <w:jc w:val="right"/>
              <w:rPr>
                <w:rFonts w:cs="Arial"/>
                <w:color w:val="000000"/>
                <w:sz w:val="17"/>
                <w:szCs w:val="17"/>
              </w:rPr>
            </w:pPr>
            <w:r w:rsidRPr="007E5614">
              <w:rPr>
                <w:rFonts w:cs="Arial"/>
                <w:color w:val="000000"/>
                <w:sz w:val="17"/>
                <w:szCs w:val="17"/>
              </w:rPr>
              <w:t>26</w:t>
            </w:r>
          </w:p>
        </w:tc>
        <w:tc>
          <w:tcPr>
            <w:tcW w:w="1258" w:type="dxa"/>
            <w:tcBorders>
              <w:bottom w:val="single" w:sz="2" w:space="0" w:color="808080"/>
            </w:tcBorders>
          </w:tcPr>
          <w:p w:rsidR="008604AA" w:rsidRPr="007E5614" w:rsidRDefault="008604AA" w:rsidP="00297380">
            <w:pPr>
              <w:jc w:val="right"/>
              <w:rPr>
                <w:rFonts w:cs="Arial"/>
                <w:color w:val="000000"/>
                <w:sz w:val="17"/>
                <w:szCs w:val="17"/>
              </w:rPr>
            </w:pPr>
            <w:r w:rsidRPr="007E5614">
              <w:rPr>
                <w:rFonts w:cs="Arial"/>
                <w:color w:val="000000"/>
                <w:sz w:val="17"/>
                <w:szCs w:val="17"/>
              </w:rPr>
              <w:t>25</w:t>
            </w:r>
          </w:p>
        </w:tc>
      </w:tr>
      <w:tr w:rsidR="008604AA" w:rsidRPr="007E5614" w:rsidTr="008604AA">
        <w:tc>
          <w:tcPr>
            <w:tcW w:w="4195" w:type="dxa"/>
            <w:tcBorders>
              <w:bottom w:val="single" w:sz="4" w:space="0" w:color="808080"/>
            </w:tcBorders>
          </w:tcPr>
          <w:p w:rsidR="008604AA" w:rsidRPr="007E5614" w:rsidRDefault="008604AA" w:rsidP="00297380">
            <w:pPr>
              <w:pStyle w:val="Table-AnnualReport"/>
              <w:rPr>
                <w:b/>
              </w:rPr>
            </w:pPr>
            <w:bookmarkStart w:id="206" w:name="_Toc303758204"/>
            <w:bookmarkStart w:id="207" w:name="_Toc304279199"/>
            <w:r w:rsidRPr="007E5614">
              <w:rPr>
                <w:b/>
              </w:rPr>
              <w:t>Total</w:t>
            </w:r>
            <w:bookmarkEnd w:id="206"/>
            <w:bookmarkEnd w:id="207"/>
          </w:p>
        </w:tc>
        <w:tc>
          <w:tcPr>
            <w:tcW w:w="1263" w:type="dxa"/>
            <w:tcBorders>
              <w:bottom w:val="single" w:sz="4" w:space="0" w:color="808080"/>
            </w:tcBorders>
          </w:tcPr>
          <w:p w:rsidR="008604AA" w:rsidRPr="007E5614" w:rsidRDefault="008604AA" w:rsidP="00297380">
            <w:pPr>
              <w:jc w:val="right"/>
              <w:rPr>
                <w:rFonts w:cs="Arial"/>
                <w:b/>
                <w:color w:val="000000"/>
                <w:sz w:val="17"/>
                <w:szCs w:val="17"/>
              </w:rPr>
            </w:pPr>
            <w:r w:rsidRPr="007E5614">
              <w:rPr>
                <w:rFonts w:cs="Arial"/>
                <w:b/>
                <w:color w:val="000000"/>
                <w:sz w:val="17"/>
                <w:szCs w:val="17"/>
              </w:rPr>
              <w:t>2 000</w:t>
            </w:r>
          </w:p>
        </w:tc>
        <w:tc>
          <w:tcPr>
            <w:tcW w:w="1266" w:type="dxa"/>
            <w:tcBorders>
              <w:bottom w:val="single" w:sz="4" w:space="0" w:color="808080"/>
            </w:tcBorders>
            <w:shd w:val="clear" w:color="auto" w:fill="auto"/>
          </w:tcPr>
          <w:p w:rsidR="008604AA" w:rsidRPr="007E5614" w:rsidRDefault="008604AA" w:rsidP="00297380">
            <w:pPr>
              <w:pStyle w:val="Table-AnnualReport"/>
              <w:jc w:val="right"/>
              <w:rPr>
                <w:b/>
                <w:sz w:val="17"/>
                <w:szCs w:val="17"/>
              </w:rPr>
            </w:pPr>
            <w:r w:rsidRPr="007E5614">
              <w:rPr>
                <w:b/>
                <w:sz w:val="17"/>
                <w:szCs w:val="17"/>
              </w:rPr>
              <w:t>2 032</w:t>
            </w:r>
          </w:p>
        </w:tc>
        <w:tc>
          <w:tcPr>
            <w:tcW w:w="1266" w:type="dxa"/>
            <w:tcBorders>
              <w:bottom w:val="single" w:sz="4" w:space="0" w:color="808080"/>
            </w:tcBorders>
          </w:tcPr>
          <w:p w:rsidR="008604AA" w:rsidRPr="007E5614" w:rsidRDefault="008604AA" w:rsidP="00297380">
            <w:pPr>
              <w:jc w:val="right"/>
              <w:rPr>
                <w:rFonts w:cs="Arial"/>
                <w:b/>
                <w:color w:val="000000"/>
                <w:sz w:val="17"/>
                <w:szCs w:val="17"/>
              </w:rPr>
            </w:pPr>
            <w:r w:rsidRPr="007E5614">
              <w:rPr>
                <w:rFonts w:cs="Arial"/>
                <w:b/>
                <w:color w:val="000000"/>
                <w:sz w:val="17"/>
                <w:szCs w:val="17"/>
              </w:rPr>
              <w:t>1 795</w:t>
            </w:r>
          </w:p>
        </w:tc>
        <w:tc>
          <w:tcPr>
            <w:tcW w:w="1258" w:type="dxa"/>
            <w:tcBorders>
              <w:bottom w:val="single" w:sz="4" w:space="0" w:color="808080"/>
            </w:tcBorders>
          </w:tcPr>
          <w:p w:rsidR="008604AA" w:rsidRPr="007E5614" w:rsidRDefault="008604AA" w:rsidP="00297380">
            <w:pPr>
              <w:jc w:val="right"/>
              <w:rPr>
                <w:rFonts w:cs="Arial"/>
                <w:b/>
                <w:color w:val="000000"/>
                <w:sz w:val="17"/>
                <w:szCs w:val="17"/>
              </w:rPr>
            </w:pPr>
            <w:r w:rsidRPr="007E5614">
              <w:rPr>
                <w:rFonts w:cs="Arial"/>
                <w:b/>
                <w:color w:val="000000"/>
                <w:sz w:val="17"/>
                <w:szCs w:val="17"/>
              </w:rPr>
              <w:t>1 857</w:t>
            </w:r>
          </w:p>
        </w:tc>
      </w:tr>
    </w:tbl>
    <w:p w:rsidR="00297380" w:rsidRPr="00297380" w:rsidRDefault="00297380" w:rsidP="00297380">
      <w:pPr>
        <w:spacing w:before="60" w:after="60" w:line="240" w:lineRule="auto"/>
        <w:rPr>
          <w:sz w:val="16"/>
          <w:szCs w:val="16"/>
        </w:rPr>
      </w:pPr>
      <w:r w:rsidRPr="00297380">
        <w:rPr>
          <w:sz w:val="16"/>
          <w:szCs w:val="16"/>
        </w:rPr>
        <w:t xml:space="preserve">Notes: </w:t>
      </w:r>
    </w:p>
    <w:p w:rsidR="00297380" w:rsidRPr="00297380" w:rsidRDefault="00297380" w:rsidP="00297380">
      <w:pPr>
        <w:pStyle w:val="ListParagraph"/>
        <w:keepLines/>
        <w:numPr>
          <w:ilvl w:val="0"/>
          <w:numId w:val="8"/>
        </w:numPr>
        <w:spacing w:line="240" w:lineRule="auto"/>
        <w:rPr>
          <w:sz w:val="16"/>
          <w:szCs w:val="16"/>
        </w:rPr>
      </w:pPr>
      <w:r w:rsidRPr="00297380">
        <w:rPr>
          <w:sz w:val="16"/>
          <w:szCs w:val="16"/>
        </w:rPr>
        <w:t>Due to organisational changes, data for previous years has been remapped to the current organisational structure, and these figures therefore differ from those previously published in DHHS Annual Reports. The organisational changes include the transfer of CSCS to the THS, and the transfer of some administrative functions from the THS to DHHS, including the RHH Redevelopment.</w:t>
      </w:r>
    </w:p>
    <w:p w:rsidR="00297380" w:rsidRDefault="00297380" w:rsidP="00297380">
      <w:pPr>
        <w:pStyle w:val="ListParagraph"/>
        <w:keepLines/>
        <w:numPr>
          <w:ilvl w:val="0"/>
          <w:numId w:val="8"/>
        </w:numPr>
        <w:spacing w:line="240" w:lineRule="auto"/>
        <w:rPr>
          <w:sz w:val="16"/>
          <w:szCs w:val="16"/>
        </w:rPr>
      </w:pPr>
      <w:r w:rsidRPr="00297380">
        <w:rPr>
          <w:sz w:val="16"/>
          <w:szCs w:val="16"/>
        </w:rPr>
        <w:t>Head of Agency, holders of Prescribed Offices and Senior Executives and equivalents.</w:t>
      </w:r>
    </w:p>
    <w:p w:rsidR="00297380" w:rsidRDefault="00297380" w:rsidP="00297380">
      <w:pPr>
        <w:pStyle w:val="Heading4"/>
      </w:pPr>
      <w:r w:rsidRPr="007E5614">
        <w:lastRenderedPageBreak/>
        <w:t>Total Number of Paid Employees by Award 2015-16</w:t>
      </w:r>
    </w:p>
    <w:p w:rsidR="008604AA" w:rsidRPr="00AE187C" w:rsidRDefault="008604AA" w:rsidP="008604AA">
      <w:pPr>
        <w:rPr>
          <w:b/>
        </w:rPr>
      </w:pPr>
      <w:r w:rsidRPr="00AE187C">
        <w:rPr>
          <w:b/>
        </w:rPr>
        <w:t>Health Services</w:t>
      </w:r>
    </w:p>
    <w:tbl>
      <w:tblPr>
        <w:tblW w:w="0" w:type="auto"/>
        <w:tblInd w:w="108" w:type="dxa"/>
        <w:tblBorders>
          <w:top w:val="single" w:sz="2" w:space="0" w:color="808080"/>
          <w:insideH w:val="single" w:sz="2" w:space="0" w:color="808080"/>
        </w:tblBorders>
        <w:tblLook w:val="04A0" w:firstRow="1" w:lastRow="0" w:firstColumn="1" w:lastColumn="0" w:noHBand="0" w:noVBand="1"/>
        <w:tblCaption w:val="Health Services: Total Number of Paid Employees by Award 2015-16"/>
      </w:tblPr>
      <w:tblGrid>
        <w:gridCol w:w="3828"/>
        <w:gridCol w:w="1842"/>
        <w:gridCol w:w="1701"/>
        <w:gridCol w:w="1560"/>
      </w:tblGrid>
      <w:tr w:rsidR="008604AA" w:rsidRPr="007E5614" w:rsidTr="008604AA">
        <w:tc>
          <w:tcPr>
            <w:tcW w:w="3828" w:type="dxa"/>
            <w:shd w:val="clear" w:color="auto" w:fill="auto"/>
            <w:vAlign w:val="center"/>
          </w:tcPr>
          <w:p w:rsidR="008604AA" w:rsidRPr="00AE187C" w:rsidRDefault="008604AA" w:rsidP="00AE187C">
            <w:pPr>
              <w:rPr>
                <w:b/>
              </w:rPr>
            </w:pPr>
            <w:r w:rsidRPr="00AE187C">
              <w:rPr>
                <w:b/>
              </w:rPr>
              <w:t>Award</w:t>
            </w:r>
          </w:p>
        </w:tc>
        <w:tc>
          <w:tcPr>
            <w:tcW w:w="1842" w:type="dxa"/>
            <w:shd w:val="clear" w:color="auto" w:fill="auto"/>
            <w:vAlign w:val="center"/>
          </w:tcPr>
          <w:p w:rsidR="008604AA" w:rsidRPr="00AE187C" w:rsidRDefault="008604AA" w:rsidP="00AE187C">
            <w:pPr>
              <w:jc w:val="right"/>
              <w:rPr>
                <w:b/>
              </w:rPr>
            </w:pPr>
            <w:r w:rsidRPr="00AE187C">
              <w:rPr>
                <w:b/>
              </w:rPr>
              <w:t>Departmental</w:t>
            </w:r>
            <w:r w:rsidRPr="00AE187C">
              <w:rPr>
                <w:rFonts w:cs="Arial"/>
                <w:b/>
                <w:vertAlign w:val="superscript"/>
              </w:rPr>
              <w:t>1</w:t>
            </w:r>
          </w:p>
        </w:tc>
        <w:tc>
          <w:tcPr>
            <w:tcW w:w="1701" w:type="dxa"/>
            <w:shd w:val="clear" w:color="auto" w:fill="auto"/>
          </w:tcPr>
          <w:p w:rsidR="008604AA" w:rsidRPr="00AE187C" w:rsidRDefault="008604AA" w:rsidP="00AE187C">
            <w:pPr>
              <w:jc w:val="right"/>
              <w:rPr>
                <w:b/>
              </w:rPr>
            </w:pPr>
            <w:r w:rsidRPr="00AE187C">
              <w:rPr>
                <w:b/>
              </w:rPr>
              <w:t>Operational</w:t>
            </w:r>
            <w:r w:rsidRPr="00AE187C">
              <w:rPr>
                <w:rFonts w:cs="Arial"/>
                <w:b/>
                <w:vertAlign w:val="superscript"/>
              </w:rPr>
              <w:t>2</w:t>
            </w:r>
          </w:p>
        </w:tc>
        <w:tc>
          <w:tcPr>
            <w:tcW w:w="1560" w:type="dxa"/>
            <w:shd w:val="clear" w:color="auto" w:fill="auto"/>
            <w:vAlign w:val="center"/>
          </w:tcPr>
          <w:p w:rsidR="008604AA" w:rsidRPr="00AE187C" w:rsidRDefault="008604AA" w:rsidP="00AE187C">
            <w:pPr>
              <w:jc w:val="right"/>
              <w:rPr>
                <w:b/>
              </w:rPr>
            </w:pPr>
            <w:r w:rsidRPr="00AE187C">
              <w:rPr>
                <w:b/>
              </w:rPr>
              <w:t>Total</w:t>
            </w:r>
          </w:p>
        </w:tc>
      </w:tr>
      <w:tr w:rsidR="008604AA" w:rsidRPr="007E5614" w:rsidTr="00AE187C">
        <w:tc>
          <w:tcPr>
            <w:tcW w:w="3828" w:type="dxa"/>
            <w:vAlign w:val="center"/>
          </w:tcPr>
          <w:p w:rsidR="008604AA" w:rsidRPr="007E5614" w:rsidRDefault="008604AA" w:rsidP="008604AA">
            <w:pPr>
              <w:pStyle w:val="Table-AnnualReport"/>
            </w:pPr>
            <w:bookmarkStart w:id="208" w:name="_Hlk461620660"/>
            <w:r w:rsidRPr="007E5614">
              <w:t>Allied Health Professional</w:t>
            </w:r>
          </w:p>
        </w:tc>
        <w:tc>
          <w:tcPr>
            <w:tcW w:w="1842" w:type="dxa"/>
            <w:shd w:val="clear" w:color="auto" w:fill="auto"/>
            <w:vAlign w:val="center"/>
          </w:tcPr>
          <w:p w:rsidR="008604AA" w:rsidRPr="007E5614" w:rsidRDefault="008604AA" w:rsidP="00AE187C">
            <w:pPr>
              <w:jc w:val="right"/>
              <w:rPr>
                <w:rFonts w:cs="Arial"/>
                <w:color w:val="000000"/>
                <w:sz w:val="17"/>
                <w:szCs w:val="17"/>
              </w:rPr>
            </w:pPr>
            <w:r w:rsidRPr="007E5614">
              <w:rPr>
                <w:rFonts w:cs="Arial"/>
                <w:color w:val="000000"/>
                <w:sz w:val="17"/>
                <w:szCs w:val="17"/>
              </w:rPr>
              <w:t>10</w:t>
            </w:r>
          </w:p>
        </w:tc>
        <w:tc>
          <w:tcPr>
            <w:tcW w:w="1701" w:type="dxa"/>
            <w:shd w:val="clear" w:color="auto" w:fill="auto"/>
            <w:vAlign w:val="center"/>
          </w:tcPr>
          <w:p w:rsidR="008604AA" w:rsidRPr="007E5614" w:rsidRDefault="008604AA" w:rsidP="00AE187C">
            <w:pPr>
              <w:jc w:val="right"/>
              <w:rPr>
                <w:rFonts w:cs="Arial"/>
                <w:color w:val="000000"/>
                <w:sz w:val="17"/>
                <w:szCs w:val="17"/>
              </w:rPr>
            </w:pPr>
            <w:r w:rsidRPr="007E5614">
              <w:rPr>
                <w:rFonts w:cs="Arial"/>
                <w:color w:val="000000"/>
                <w:sz w:val="17"/>
                <w:szCs w:val="17"/>
              </w:rPr>
              <w:t>31</w:t>
            </w:r>
          </w:p>
        </w:tc>
        <w:tc>
          <w:tcPr>
            <w:tcW w:w="1560" w:type="dxa"/>
            <w:shd w:val="clear" w:color="auto" w:fill="auto"/>
            <w:vAlign w:val="center"/>
          </w:tcPr>
          <w:p w:rsidR="008604AA" w:rsidRPr="007E5614" w:rsidRDefault="008604AA" w:rsidP="00AE187C">
            <w:pPr>
              <w:jc w:val="right"/>
              <w:rPr>
                <w:rFonts w:cs="Arial"/>
                <w:color w:val="000000"/>
                <w:sz w:val="17"/>
                <w:szCs w:val="17"/>
              </w:rPr>
            </w:pPr>
            <w:r w:rsidRPr="007E5614">
              <w:rPr>
                <w:rFonts w:cs="Arial"/>
                <w:color w:val="000000"/>
                <w:sz w:val="17"/>
                <w:szCs w:val="17"/>
              </w:rPr>
              <w:t>41</w:t>
            </w:r>
          </w:p>
        </w:tc>
      </w:tr>
      <w:tr w:rsidR="008604AA" w:rsidRPr="007E5614" w:rsidTr="00AE187C">
        <w:tc>
          <w:tcPr>
            <w:tcW w:w="3828" w:type="dxa"/>
            <w:vAlign w:val="center"/>
          </w:tcPr>
          <w:p w:rsidR="008604AA" w:rsidRPr="007E5614" w:rsidRDefault="008604AA" w:rsidP="008604AA">
            <w:pPr>
              <w:pStyle w:val="Table-AnnualReport"/>
            </w:pPr>
            <w:r w:rsidRPr="007E5614">
              <w:t>Ambulance Tasmania Award</w:t>
            </w:r>
          </w:p>
        </w:tc>
        <w:tc>
          <w:tcPr>
            <w:tcW w:w="1842" w:type="dxa"/>
            <w:shd w:val="clear" w:color="auto" w:fill="auto"/>
            <w:vAlign w:val="center"/>
          </w:tcPr>
          <w:p w:rsidR="008604AA" w:rsidRPr="007E5614" w:rsidRDefault="008604AA" w:rsidP="00AE187C">
            <w:pPr>
              <w:jc w:val="right"/>
              <w:rPr>
                <w:rFonts w:cs="Arial"/>
                <w:color w:val="000000"/>
                <w:sz w:val="17"/>
                <w:szCs w:val="17"/>
              </w:rPr>
            </w:pPr>
            <w:r w:rsidRPr="007E5614">
              <w:rPr>
                <w:rFonts w:cs="Arial"/>
                <w:color w:val="000000"/>
                <w:sz w:val="17"/>
                <w:szCs w:val="17"/>
              </w:rPr>
              <w:t> </w:t>
            </w:r>
            <w:r w:rsidR="00AE187C">
              <w:rPr>
                <w:rFonts w:cs="Arial"/>
                <w:color w:val="000000"/>
                <w:sz w:val="17"/>
                <w:szCs w:val="17"/>
              </w:rPr>
              <w:t>0</w:t>
            </w:r>
          </w:p>
        </w:tc>
        <w:tc>
          <w:tcPr>
            <w:tcW w:w="1701" w:type="dxa"/>
            <w:shd w:val="clear" w:color="auto" w:fill="auto"/>
            <w:vAlign w:val="center"/>
          </w:tcPr>
          <w:p w:rsidR="008604AA" w:rsidRPr="007E5614" w:rsidRDefault="008604AA" w:rsidP="00AE187C">
            <w:pPr>
              <w:jc w:val="right"/>
              <w:rPr>
                <w:rFonts w:cs="Arial"/>
                <w:color w:val="000000"/>
                <w:sz w:val="17"/>
                <w:szCs w:val="17"/>
              </w:rPr>
            </w:pPr>
            <w:r w:rsidRPr="007E5614">
              <w:rPr>
                <w:rFonts w:cs="Arial"/>
                <w:color w:val="000000"/>
                <w:sz w:val="17"/>
                <w:szCs w:val="17"/>
              </w:rPr>
              <w:t>362</w:t>
            </w:r>
          </w:p>
        </w:tc>
        <w:tc>
          <w:tcPr>
            <w:tcW w:w="1560" w:type="dxa"/>
            <w:shd w:val="clear" w:color="auto" w:fill="auto"/>
            <w:vAlign w:val="center"/>
          </w:tcPr>
          <w:p w:rsidR="008604AA" w:rsidRPr="007E5614" w:rsidRDefault="008604AA" w:rsidP="00AE187C">
            <w:pPr>
              <w:jc w:val="right"/>
              <w:rPr>
                <w:rFonts w:cs="Arial"/>
                <w:color w:val="000000"/>
                <w:sz w:val="17"/>
                <w:szCs w:val="17"/>
              </w:rPr>
            </w:pPr>
            <w:r w:rsidRPr="007E5614">
              <w:rPr>
                <w:rFonts w:cs="Arial"/>
                <w:color w:val="000000"/>
                <w:sz w:val="17"/>
                <w:szCs w:val="17"/>
              </w:rPr>
              <w:t>362</w:t>
            </w:r>
          </w:p>
        </w:tc>
      </w:tr>
      <w:tr w:rsidR="008604AA" w:rsidRPr="007E5614" w:rsidTr="00AE187C">
        <w:tc>
          <w:tcPr>
            <w:tcW w:w="3828" w:type="dxa"/>
            <w:vAlign w:val="center"/>
          </w:tcPr>
          <w:p w:rsidR="008604AA" w:rsidRPr="007E5614" w:rsidRDefault="008604AA" w:rsidP="008604AA">
            <w:pPr>
              <w:pStyle w:val="Table-AnnualReport"/>
            </w:pPr>
            <w:r w:rsidRPr="007E5614">
              <w:t>Health and Human Services Award</w:t>
            </w:r>
            <w:r w:rsidRPr="007E5614">
              <w:rPr>
                <w:rFonts w:cs="Arial"/>
                <w:vertAlign w:val="superscript"/>
              </w:rPr>
              <w:t>3</w:t>
            </w:r>
          </w:p>
        </w:tc>
        <w:tc>
          <w:tcPr>
            <w:tcW w:w="1842" w:type="dxa"/>
            <w:shd w:val="clear" w:color="auto" w:fill="auto"/>
            <w:vAlign w:val="center"/>
          </w:tcPr>
          <w:p w:rsidR="008604AA" w:rsidRPr="007E5614" w:rsidRDefault="008604AA" w:rsidP="00AE187C">
            <w:pPr>
              <w:jc w:val="right"/>
              <w:rPr>
                <w:rFonts w:cs="Arial"/>
                <w:color w:val="000000"/>
                <w:sz w:val="17"/>
                <w:szCs w:val="17"/>
              </w:rPr>
            </w:pPr>
            <w:r w:rsidRPr="007E5614">
              <w:rPr>
                <w:rFonts w:cs="Arial"/>
                <w:color w:val="000000"/>
                <w:sz w:val="17"/>
                <w:szCs w:val="17"/>
              </w:rPr>
              <w:t>240</w:t>
            </w:r>
          </w:p>
        </w:tc>
        <w:tc>
          <w:tcPr>
            <w:tcW w:w="1701" w:type="dxa"/>
            <w:shd w:val="clear" w:color="auto" w:fill="auto"/>
            <w:vAlign w:val="center"/>
          </w:tcPr>
          <w:p w:rsidR="008604AA" w:rsidRPr="007E5614" w:rsidRDefault="008604AA" w:rsidP="00AE187C">
            <w:pPr>
              <w:jc w:val="right"/>
              <w:rPr>
                <w:rFonts w:cs="Arial"/>
                <w:color w:val="000000"/>
                <w:sz w:val="17"/>
                <w:szCs w:val="17"/>
              </w:rPr>
            </w:pPr>
            <w:r w:rsidRPr="007E5614">
              <w:rPr>
                <w:rFonts w:cs="Arial"/>
                <w:color w:val="000000"/>
                <w:sz w:val="17"/>
                <w:szCs w:val="17"/>
              </w:rPr>
              <w:t>347</w:t>
            </w:r>
          </w:p>
        </w:tc>
        <w:tc>
          <w:tcPr>
            <w:tcW w:w="1560" w:type="dxa"/>
            <w:shd w:val="clear" w:color="auto" w:fill="auto"/>
            <w:vAlign w:val="center"/>
          </w:tcPr>
          <w:p w:rsidR="008604AA" w:rsidRPr="007E5614" w:rsidRDefault="008604AA" w:rsidP="00AE187C">
            <w:pPr>
              <w:jc w:val="right"/>
              <w:rPr>
                <w:rFonts w:cs="Arial"/>
                <w:color w:val="000000"/>
                <w:sz w:val="17"/>
                <w:szCs w:val="17"/>
              </w:rPr>
            </w:pPr>
            <w:r w:rsidRPr="007E5614">
              <w:rPr>
                <w:rFonts w:cs="Arial"/>
                <w:color w:val="000000"/>
                <w:sz w:val="17"/>
                <w:szCs w:val="17"/>
              </w:rPr>
              <w:t>587</w:t>
            </w:r>
          </w:p>
        </w:tc>
      </w:tr>
      <w:tr w:rsidR="008604AA" w:rsidRPr="007E5614" w:rsidTr="00AE187C">
        <w:tc>
          <w:tcPr>
            <w:tcW w:w="3828" w:type="dxa"/>
            <w:vAlign w:val="center"/>
          </w:tcPr>
          <w:p w:rsidR="008604AA" w:rsidRPr="007E5614" w:rsidRDefault="008604AA" w:rsidP="008604AA">
            <w:pPr>
              <w:pStyle w:val="Table-AnnualReport"/>
            </w:pPr>
            <w:r w:rsidRPr="007E5614">
              <w:t>Medical Practitioners Award</w:t>
            </w:r>
          </w:p>
        </w:tc>
        <w:tc>
          <w:tcPr>
            <w:tcW w:w="1842" w:type="dxa"/>
            <w:shd w:val="clear" w:color="auto" w:fill="auto"/>
            <w:vAlign w:val="center"/>
          </w:tcPr>
          <w:p w:rsidR="008604AA" w:rsidRPr="007E5614" w:rsidRDefault="008604AA" w:rsidP="00AE187C">
            <w:pPr>
              <w:jc w:val="right"/>
              <w:rPr>
                <w:rFonts w:cs="Arial"/>
                <w:color w:val="000000"/>
                <w:sz w:val="17"/>
                <w:szCs w:val="17"/>
              </w:rPr>
            </w:pPr>
            <w:r w:rsidRPr="007E5614">
              <w:rPr>
                <w:rFonts w:cs="Arial"/>
                <w:color w:val="000000"/>
                <w:sz w:val="17"/>
                <w:szCs w:val="17"/>
              </w:rPr>
              <w:t>6</w:t>
            </w:r>
          </w:p>
        </w:tc>
        <w:tc>
          <w:tcPr>
            <w:tcW w:w="1701" w:type="dxa"/>
            <w:shd w:val="clear" w:color="auto" w:fill="auto"/>
            <w:vAlign w:val="center"/>
          </w:tcPr>
          <w:p w:rsidR="008604AA" w:rsidRPr="007E5614" w:rsidRDefault="008604AA" w:rsidP="00AE187C">
            <w:pPr>
              <w:jc w:val="right"/>
              <w:rPr>
                <w:rFonts w:cs="Arial"/>
                <w:color w:val="000000"/>
                <w:sz w:val="17"/>
                <w:szCs w:val="17"/>
              </w:rPr>
            </w:pPr>
            <w:r w:rsidRPr="007E5614">
              <w:rPr>
                <w:rFonts w:cs="Arial"/>
                <w:color w:val="000000"/>
                <w:sz w:val="17"/>
                <w:szCs w:val="17"/>
              </w:rPr>
              <w:t>13</w:t>
            </w:r>
          </w:p>
        </w:tc>
        <w:tc>
          <w:tcPr>
            <w:tcW w:w="1560" w:type="dxa"/>
            <w:shd w:val="clear" w:color="auto" w:fill="auto"/>
            <w:vAlign w:val="center"/>
          </w:tcPr>
          <w:p w:rsidR="008604AA" w:rsidRPr="007E5614" w:rsidRDefault="008604AA" w:rsidP="00AE187C">
            <w:pPr>
              <w:jc w:val="right"/>
              <w:rPr>
                <w:rFonts w:cs="Arial"/>
                <w:color w:val="000000"/>
                <w:sz w:val="17"/>
                <w:szCs w:val="17"/>
              </w:rPr>
            </w:pPr>
            <w:r w:rsidRPr="007E5614">
              <w:rPr>
                <w:rFonts w:cs="Arial"/>
                <w:color w:val="000000"/>
                <w:sz w:val="17"/>
                <w:szCs w:val="17"/>
              </w:rPr>
              <w:t>19</w:t>
            </w:r>
          </w:p>
        </w:tc>
      </w:tr>
      <w:tr w:rsidR="008604AA" w:rsidRPr="007E5614" w:rsidTr="00AE187C">
        <w:tc>
          <w:tcPr>
            <w:tcW w:w="3828" w:type="dxa"/>
            <w:vAlign w:val="center"/>
          </w:tcPr>
          <w:p w:rsidR="008604AA" w:rsidRPr="007E5614" w:rsidRDefault="008604AA" w:rsidP="008604AA">
            <w:pPr>
              <w:pStyle w:val="Table-AnnualReport"/>
            </w:pPr>
            <w:r w:rsidRPr="007E5614">
              <w:t>No Award</w:t>
            </w:r>
          </w:p>
        </w:tc>
        <w:tc>
          <w:tcPr>
            <w:tcW w:w="1842" w:type="dxa"/>
            <w:shd w:val="clear" w:color="auto" w:fill="auto"/>
            <w:vAlign w:val="center"/>
          </w:tcPr>
          <w:p w:rsidR="008604AA" w:rsidRPr="007E5614" w:rsidRDefault="008604AA" w:rsidP="00AE187C">
            <w:pPr>
              <w:jc w:val="right"/>
              <w:rPr>
                <w:rFonts w:cs="Arial"/>
                <w:color w:val="000000"/>
                <w:sz w:val="17"/>
                <w:szCs w:val="17"/>
              </w:rPr>
            </w:pPr>
            <w:r w:rsidRPr="007E5614">
              <w:rPr>
                <w:rFonts w:cs="Arial"/>
                <w:color w:val="000000"/>
                <w:sz w:val="17"/>
                <w:szCs w:val="17"/>
              </w:rPr>
              <w:t>1</w:t>
            </w:r>
          </w:p>
        </w:tc>
        <w:tc>
          <w:tcPr>
            <w:tcW w:w="1701" w:type="dxa"/>
            <w:shd w:val="clear" w:color="auto" w:fill="auto"/>
            <w:vAlign w:val="center"/>
          </w:tcPr>
          <w:p w:rsidR="008604AA" w:rsidRPr="007E5614" w:rsidRDefault="00AE187C" w:rsidP="00AE187C">
            <w:pPr>
              <w:jc w:val="right"/>
              <w:rPr>
                <w:rFonts w:cs="Arial"/>
                <w:color w:val="000000"/>
                <w:sz w:val="17"/>
                <w:szCs w:val="17"/>
              </w:rPr>
            </w:pPr>
            <w:r>
              <w:rPr>
                <w:rFonts w:cs="Arial"/>
                <w:color w:val="000000"/>
                <w:sz w:val="17"/>
                <w:szCs w:val="17"/>
              </w:rPr>
              <w:t>0</w:t>
            </w:r>
          </w:p>
        </w:tc>
        <w:tc>
          <w:tcPr>
            <w:tcW w:w="1560" w:type="dxa"/>
            <w:shd w:val="clear" w:color="auto" w:fill="auto"/>
            <w:vAlign w:val="center"/>
          </w:tcPr>
          <w:p w:rsidR="008604AA" w:rsidRPr="007E5614" w:rsidRDefault="008604AA" w:rsidP="00AE187C">
            <w:pPr>
              <w:jc w:val="right"/>
              <w:rPr>
                <w:rFonts w:cs="Arial"/>
                <w:color w:val="000000"/>
                <w:sz w:val="17"/>
                <w:szCs w:val="17"/>
              </w:rPr>
            </w:pPr>
            <w:r w:rsidRPr="007E5614">
              <w:rPr>
                <w:rFonts w:cs="Arial"/>
                <w:color w:val="000000"/>
                <w:sz w:val="17"/>
                <w:szCs w:val="17"/>
              </w:rPr>
              <w:t>1</w:t>
            </w:r>
          </w:p>
        </w:tc>
      </w:tr>
      <w:tr w:rsidR="008604AA" w:rsidRPr="007E5614" w:rsidTr="00AE187C">
        <w:tc>
          <w:tcPr>
            <w:tcW w:w="3828" w:type="dxa"/>
            <w:vAlign w:val="center"/>
          </w:tcPr>
          <w:p w:rsidR="008604AA" w:rsidRPr="007E5614" w:rsidRDefault="008604AA" w:rsidP="008604AA">
            <w:pPr>
              <w:pStyle w:val="Table-AnnualReport"/>
            </w:pPr>
            <w:r w:rsidRPr="007E5614">
              <w:t>Nurses Award</w:t>
            </w:r>
          </w:p>
        </w:tc>
        <w:tc>
          <w:tcPr>
            <w:tcW w:w="1842" w:type="dxa"/>
            <w:shd w:val="clear" w:color="auto" w:fill="auto"/>
            <w:vAlign w:val="center"/>
          </w:tcPr>
          <w:p w:rsidR="008604AA" w:rsidRPr="007E5614" w:rsidRDefault="008604AA" w:rsidP="00AE187C">
            <w:pPr>
              <w:jc w:val="right"/>
              <w:rPr>
                <w:rFonts w:cs="Arial"/>
                <w:color w:val="000000"/>
                <w:sz w:val="17"/>
                <w:szCs w:val="17"/>
              </w:rPr>
            </w:pPr>
            <w:r w:rsidRPr="007E5614">
              <w:rPr>
                <w:rFonts w:cs="Arial"/>
                <w:color w:val="000000"/>
                <w:sz w:val="17"/>
                <w:szCs w:val="17"/>
              </w:rPr>
              <w:t>17</w:t>
            </w:r>
          </w:p>
        </w:tc>
        <w:tc>
          <w:tcPr>
            <w:tcW w:w="1701" w:type="dxa"/>
            <w:shd w:val="clear" w:color="auto" w:fill="auto"/>
            <w:vAlign w:val="center"/>
          </w:tcPr>
          <w:p w:rsidR="008604AA" w:rsidRPr="007E5614" w:rsidRDefault="008604AA" w:rsidP="00AE187C">
            <w:pPr>
              <w:jc w:val="right"/>
              <w:rPr>
                <w:rFonts w:cs="Arial"/>
                <w:color w:val="000000"/>
                <w:sz w:val="17"/>
                <w:szCs w:val="17"/>
              </w:rPr>
            </w:pPr>
            <w:r w:rsidRPr="007E5614">
              <w:rPr>
                <w:rFonts w:cs="Arial"/>
                <w:color w:val="000000"/>
                <w:sz w:val="17"/>
                <w:szCs w:val="17"/>
              </w:rPr>
              <w:t>10</w:t>
            </w:r>
          </w:p>
        </w:tc>
        <w:tc>
          <w:tcPr>
            <w:tcW w:w="1560" w:type="dxa"/>
            <w:shd w:val="clear" w:color="auto" w:fill="auto"/>
            <w:vAlign w:val="center"/>
          </w:tcPr>
          <w:p w:rsidR="008604AA" w:rsidRPr="007E5614" w:rsidRDefault="008604AA" w:rsidP="00AE187C">
            <w:pPr>
              <w:jc w:val="right"/>
              <w:rPr>
                <w:rFonts w:cs="Arial"/>
                <w:color w:val="000000"/>
                <w:sz w:val="17"/>
                <w:szCs w:val="17"/>
              </w:rPr>
            </w:pPr>
            <w:r w:rsidRPr="007E5614">
              <w:rPr>
                <w:rFonts w:cs="Arial"/>
                <w:color w:val="000000"/>
                <w:sz w:val="17"/>
                <w:szCs w:val="17"/>
              </w:rPr>
              <w:t>27</w:t>
            </w:r>
          </w:p>
        </w:tc>
      </w:tr>
      <w:tr w:rsidR="008604AA" w:rsidRPr="007E5614" w:rsidTr="00AE187C">
        <w:tc>
          <w:tcPr>
            <w:tcW w:w="3828" w:type="dxa"/>
            <w:vAlign w:val="center"/>
          </w:tcPr>
          <w:p w:rsidR="008604AA" w:rsidRPr="007E5614" w:rsidRDefault="008604AA" w:rsidP="008604AA">
            <w:pPr>
              <w:pStyle w:val="Table-AnnualReport"/>
            </w:pPr>
            <w:r w:rsidRPr="007E5614">
              <w:t>Senior Executive Service</w:t>
            </w:r>
          </w:p>
        </w:tc>
        <w:tc>
          <w:tcPr>
            <w:tcW w:w="1842" w:type="dxa"/>
            <w:shd w:val="clear" w:color="auto" w:fill="auto"/>
            <w:vAlign w:val="center"/>
          </w:tcPr>
          <w:p w:rsidR="008604AA" w:rsidRPr="007E5614" w:rsidRDefault="008604AA" w:rsidP="00AE187C">
            <w:pPr>
              <w:jc w:val="right"/>
              <w:rPr>
                <w:rFonts w:cs="Arial"/>
                <w:color w:val="000000"/>
                <w:sz w:val="17"/>
                <w:szCs w:val="17"/>
              </w:rPr>
            </w:pPr>
            <w:r w:rsidRPr="007E5614">
              <w:rPr>
                <w:rFonts w:cs="Arial"/>
                <w:color w:val="000000"/>
                <w:sz w:val="17"/>
                <w:szCs w:val="17"/>
              </w:rPr>
              <w:t>8</w:t>
            </w:r>
          </w:p>
        </w:tc>
        <w:tc>
          <w:tcPr>
            <w:tcW w:w="1701" w:type="dxa"/>
            <w:shd w:val="clear" w:color="auto" w:fill="auto"/>
            <w:vAlign w:val="center"/>
          </w:tcPr>
          <w:p w:rsidR="008604AA" w:rsidRPr="007E5614" w:rsidRDefault="008604AA" w:rsidP="00AE187C">
            <w:pPr>
              <w:jc w:val="right"/>
              <w:rPr>
                <w:rFonts w:cs="Arial"/>
                <w:color w:val="000000"/>
                <w:sz w:val="17"/>
                <w:szCs w:val="17"/>
              </w:rPr>
            </w:pPr>
            <w:r w:rsidRPr="007E5614">
              <w:rPr>
                <w:rFonts w:cs="Arial"/>
                <w:color w:val="000000"/>
                <w:sz w:val="17"/>
                <w:szCs w:val="17"/>
              </w:rPr>
              <w:t>6</w:t>
            </w:r>
          </w:p>
        </w:tc>
        <w:tc>
          <w:tcPr>
            <w:tcW w:w="1560" w:type="dxa"/>
            <w:shd w:val="clear" w:color="auto" w:fill="auto"/>
            <w:vAlign w:val="center"/>
          </w:tcPr>
          <w:p w:rsidR="008604AA" w:rsidRPr="007E5614" w:rsidRDefault="008604AA" w:rsidP="00AE187C">
            <w:pPr>
              <w:jc w:val="right"/>
              <w:rPr>
                <w:rFonts w:cs="Arial"/>
                <w:color w:val="000000"/>
                <w:sz w:val="17"/>
                <w:szCs w:val="17"/>
              </w:rPr>
            </w:pPr>
            <w:r w:rsidRPr="007E5614">
              <w:rPr>
                <w:rFonts w:cs="Arial"/>
                <w:color w:val="000000"/>
                <w:sz w:val="17"/>
                <w:szCs w:val="17"/>
              </w:rPr>
              <w:t>14</w:t>
            </w:r>
          </w:p>
        </w:tc>
      </w:tr>
      <w:tr w:rsidR="008604AA" w:rsidRPr="007E5614" w:rsidTr="00AE187C">
        <w:tc>
          <w:tcPr>
            <w:tcW w:w="3828" w:type="dxa"/>
            <w:vAlign w:val="center"/>
          </w:tcPr>
          <w:p w:rsidR="008604AA" w:rsidRPr="007E5614" w:rsidRDefault="008604AA" w:rsidP="008604AA">
            <w:pPr>
              <w:pStyle w:val="Table-AnnualReport"/>
              <w:rPr>
                <w:b/>
              </w:rPr>
            </w:pPr>
            <w:r w:rsidRPr="007E5614">
              <w:t>Visiting Medical Officer</w:t>
            </w:r>
          </w:p>
        </w:tc>
        <w:tc>
          <w:tcPr>
            <w:tcW w:w="1842" w:type="dxa"/>
            <w:shd w:val="clear" w:color="auto" w:fill="auto"/>
            <w:vAlign w:val="center"/>
          </w:tcPr>
          <w:p w:rsidR="008604AA" w:rsidRPr="007E5614" w:rsidRDefault="008604AA" w:rsidP="00AE187C">
            <w:pPr>
              <w:jc w:val="right"/>
              <w:rPr>
                <w:rFonts w:cs="Arial"/>
                <w:color w:val="000000"/>
                <w:sz w:val="17"/>
                <w:szCs w:val="17"/>
              </w:rPr>
            </w:pPr>
            <w:r w:rsidRPr="007E5614">
              <w:rPr>
                <w:rFonts w:cs="Arial"/>
                <w:color w:val="000000"/>
                <w:sz w:val="17"/>
                <w:szCs w:val="17"/>
              </w:rPr>
              <w:t>2</w:t>
            </w:r>
          </w:p>
        </w:tc>
        <w:tc>
          <w:tcPr>
            <w:tcW w:w="1701" w:type="dxa"/>
            <w:shd w:val="clear" w:color="auto" w:fill="auto"/>
            <w:vAlign w:val="center"/>
          </w:tcPr>
          <w:p w:rsidR="008604AA" w:rsidRPr="007E5614" w:rsidRDefault="008604AA" w:rsidP="00AE187C">
            <w:pPr>
              <w:jc w:val="right"/>
              <w:rPr>
                <w:rFonts w:cs="Arial"/>
                <w:color w:val="000000"/>
                <w:sz w:val="17"/>
                <w:szCs w:val="17"/>
              </w:rPr>
            </w:pPr>
            <w:r w:rsidRPr="007E5614">
              <w:rPr>
                <w:rFonts w:cs="Arial"/>
                <w:color w:val="000000"/>
                <w:sz w:val="17"/>
                <w:szCs w:val="17"/>
              </w:rPr>
              <w:t>1</w:t>
            </w:r>
          </w:p>
        </w:tc>
        <w:tc>
          <w:tcPr>
            <w:tcW w:w="1560" w:type="dxa"/>
            <w:shd w:val="clear" w:color="auto" w:fill="auto"/>
            <w:vAlign w:val="center"/>
          </w:tcPr>
          <w:p w:rsidR="008604AA" w:rsidRPr="007E5614" w:rsidRDefault="008604AA" w:rsidP="00AE187C">
            <w:pPr>
              <w:jc w:val="right"/>
              <w:rPr>
                <w:rFonts w:cs="Arial"/>
                <w:color w:val="000000"/>
                <w:sz w:val="17"/>
                <w:szCs w:val="17"/>
              </w:rPr>
            </w:pPr>
            <w:r w:rsidRPr="007E5614">
              <w:rPr>
                <w:rFonts w:cs="Arial"/>
                <w:color w:val="000000"/>
                <w:sz w:val="17"/>
                <w:szCs w:val="17"/>
              </w:rPr>
              <w:t>3</w:t>
            </w:r>
          </w:p>
        </w:tc>
      </w:tr>
      <w:tr w:rsidR="008604AA" w:rsidRPr="007E5614" w:rsidTr="00AE187C">
        <w:tc>
          <w:tcPr>
            <w:tcW w:w="3828" w:type="dxa"/>
            <w:vAlign w:val="center"/>
          </w:tcPr>
          <w:p w:rsidR="008604AA" w:rsidRPr="007E5614" w:rsidRDefault="008604AA" w:rsidP="00991320">
            <w:pPr>
              <w:pStyle w:val="Table-AnnualReport"/>
              <w:rPr>
                <w:b/>
              </w:rPr>
            </w:pPr>
            <w:r w:rsidRPr="007E5614">
              <w:rPr>
                <w:b/>
              </w:rPr>
              <w:t>Health Services Total</w:t>
            </w:r>
          </w:p>
        </w:tc>
        <w:tc>
          <w:tcPr>
            <w:tcW w:w="1842" w:type="dxa"/>
            <w:shd w:val="clear" w:color="auto" w:fill="auto"/>
            <w:vAlign w:val="center"/>
          </w:tcPr>
          <w:p w:rsidR="008604AA" w:rsidRPr="007E5614" w:rsidRDefault="008604AA" w:rsidP="00AE187C">
            <w:pPr>
              <w:jc w:val="right"/>
              <w:rPr>
                <w:rFonts w:cs="Arial"/>
                <w:color w:val="000000"/>
                <w:sz w:val="17"/>
                <w:szCs w:val="17"/>
              </w:rPr>
            </w:pPr>
            <w:r w:rsidRPr="007E5614">
              <w:rPr>
                <w:rFonts w:cs="Arial"/>
                <w:color w:val="000000"/>
                <w:sz w:val="17"/>
                <w:szCs w:val="17"/>
              </w:rPr>
              <w:t>284</w:t>
            </w:r>
          </w:p>
        </w:tc>
        <w:tc>
          <w:tcPr>
            <w:tcW w:w="1701" w:type="dxa"/>
            <w:shd w:val="clear" w:color="auto" w:fill="auto"/>
            <w:vAlign w:val="center"/>
          </w:tcPr>
          <w:p w:rsidR="008604AA" w:rsidRPr="007E5614" w:rsidRDefault="008604AA" w:rsidP="00AE187C">
            <w:pPr>
              <w:jc w:val="right"/>
              <w:rPr>
                <w:rFonts w:cs="Arial"/>
                <w:color w:val="000000"/>
                <w:sz w:val="17"/>
                <w:szCs w:val="17"/>
              </w:rPr>
            </w:pPr>
            <w:r w:rsidRPr="007E5614">
              <w:rPr>
                <w:rFonts w:cs="Arial"/>
                <w:color w:val="000000"/>
                <w:sz w:val="17"/>
                <w:szCs w:val="17"/>
              </w:rPr>
              <w:t>770</w:t>
            </w:r>
          </w:p>
        </w:tc>
        <w:tc>
          <w:tcPr>
            <w:tcW w:w="1560" w:type="dxa"/>
            <w:shd w:val="clear" w:color="auto" w:fill="auto"/>
            <w:vAlign w:val="center"/>
          </w:tcPr>
          <w:p w:rsidR="008604AA" w:rsidRPr="007E5614" w:rsidRDefault="008604AA" w:rsidP="00AE187C">
            <w:pPr>
              <w:jc w:val="right"/>
              <w:rPr>
                <w:rFonts w:cs="Arial"/>
                <w:color w:val="000000"/>
                <w:sz w:val="17"/>
                <w:szCs w:val="17"/>
              </w:rPr>
            </w:pPr>
            <w:r w:rsidRPr="007E5614">
              <w:rPr>
                <w:rFonts w:cs="Arial"/>
                <w:color w:val="000000"/>
                <w:sz w:val="17"/>
                <w:szCs w:val="17"/>
              </w:rPr>
              <w:t>1 054</w:t>
            </w:r>
          </w:p>
        </w:tc>
      </w:tr>
    </w:tbl>
    <w:bookmarkEnd w:id="208"/>
    <w:p w:rsidR="008604AA" w:rsidRPr="00AE187C" w:rsidRDefault="008604AA" w:rsidP="00297380">
      <w:pPr>
        <w:spacing w:before="60" w:after="60" w:line="280" w:lineRule="atLeast"/>
        <w:rPr>
          <w:rFonts w:eastAsia="Calibri"/>
          <w:b/>
        </w:rPr>
      </w:pPr>
      <w:r w:rsidRPr="00AE187C">
        <w:rPr>
          <w:rFonts w:eastAsia="Calibri"/>
          <w:b/>
        </w:rPr>
        <w:t>Human Services</w:t>
      </w:r>
    </w:p>
    <w:tbl>
      <w:tblPr>
        <w:tblW w:w="0" w:type="auto"/>
        <w:tblInd w:w="108" w:type="dxa"/>
        <w:tblBorders>
          <w:top w:val="single" w:sz="2" w:space="0" w:color="808080"/>
          <w:insideH w:val="single" w:sz="2" w:space="0" w:color="808080"/>
        </w:tblBorders>
        <w:tblLook w:val="04A0" w:firstRow="1" w:lastRow="0" w:firstColumn="1" w:lastColumn="0" w:noHBand="0" w:noVBand="1"/>
        <w:tblCaption w:val="Human Services - Total Number of Paid Employees by Award 2015-16"/>
      </w:tblPr>
      <w:tblGrid>
        <w:gridCol w:w="3828"/>
        <w:gridCol w:w="1842"/>
        <w:gridCol w:w="1701"/>
        <w:gridCol w:w="1560"/>
      </w:tblGrid>
      <w:tr w:rsidR="00AE187C" w:rsidRPr="007E5614" w:rsidTr="000335E5">
        <w:tc>
          <w:tcPr>
            <w:tcW w:w="3828" w:type="dxa"/>
            <w:shd w:val="clear" w:color="auto" w:fill="auto"/>
            <w:vAlign w:val="center"/>
          </w:tcPr>
          <w:p w:rsidR="00AE187C" w:rsidRPr="00AE187C" w:rsidRDefault="00AE187C" w:rsidP="000335E5">
            <w:pPr>
              <w:rPr>
                <w:b/>
              </w:rPr>
            </w:pPr>
            <w:r w:rsidRPr="00AE187C">
              <w:rPr>
                <w:b/>
              </w:rPr>
              <w:t>Award</w:t>
            </w:r>
          </w:p>
        </w:tc>
        <w:tc>
          <w:tcPr>
            <w:tcW w:w="1842" w:type="dxa"/>
            <w:shd w:val="clear" w:color="auto" w:fill="auto"/>
            <w:vAlign w:val="center"/>
          </w:tcPr>
          <w:p w:rsidR="00AE187C" w:rsidRPr="00AE187C" w:rsidRDefault="00AE187C" w:rsidP="000335E5">
            <w:pPr>
              <w:jc w:val="right"/>
              <w:rPr>
                <w:b/>
              </w:rPr>
            </w:pPr>
            <w:r w:rsidRPr="00AE187C">
              <w:rPr>
                <w:b/>
              </w:rPr>
              <w:t>Departmental</w:t>
            </w:r>
            <w:r w:rsidRPr="00AE187C">
              <w:rPr>
                <w:rFonts w:cs="Arial"/>
                <w:b/>
                <w:vertAlign w:val="superscript"/>
              </w:rPr>
              <w:t>1</w:t>
            </w:r>
          </w:p>
        </w:tc>
        <w:tc>
          <w:tcPr>
            <w:tcW w:w="1701" w:type="dxa"/>
            <w:shd w:val="clear" w:color="auto" w:fill="auto"/>
          </w:tcPr>
          <w:p w:rsidR="00AE187C" w:rsidRPr="00AE187C" w:rsidRDefault="00AE187C" w:rsidP="000335E5">
            <w:pPr>
              <w:jc w:val="right"/>
              <w:rPr>
                <w:b/>
              </w:rPr>
            </w:pPr>
            <w:r w:rsidRPr="00AE187C">
              <w:rPr>
                <w:b/>
              </w:rPr>
              <w:t>Operational</w:t>
            </w:r>
            <w:r w:rsidRPr="00AE187C">
              <w:rPr>
                <w:rFonts w:cs="Arial"/>
                <w:b/>
                <w:vertAlign w:val="superscript"/>
              </w:rPr>
              <w:t>2</w:t>
            </w:r>
          </w:p>
        </w:tc>
        <w:tc>
          <w:tcPr>
            <w:tcW w:w="1560" w:type="dxa"/>
            <w:shd w:val="clear" w:color="auto" w:fill="auto"/>
            <w:vAlign w:val="center"/>
          </w:tcPr>
          <w:p w:rsidR="00AE187C" w:rsidRPr="00AE187C" w:rsidRDefault="00AE187C" w:rsidP="000335E5">
            <w:pPr>
              <w:jc w:val="right"/>
              <w:rPr>
                <w:b/>
              </w:rPr>
            </w:pPr>
            <w:r w:rsidRPr="00AE187C">
              <w:rPr>
                <w:b/>
              </w:rPr>
              <w:t>Total</w:t>
            </w:r>
          </w:p>
        </w:tc>
      </w:tr>
      <w:tr w:rsidR="008604AA" w:rsidRPr="007E5614" w:rsidTr="008604AA">
        <w:tc>
          <w:tcPr>
            <w:tcW w:w="3828" w:type="dxa"/>
            <w:vAlign w:val="center"/>
          </w:tcPr>
          <w:p w:rsidR="008604AA" w:rsidRPr="007E5614" w:rsidRDefault="008604AA" w:rsidP="008604AA">
            <w:pPr>
              <w:pStyle w:val="Table-AnnualReport"/>
            </w:pPr>
            <w:r w:rsidRPr="007E5614">
              <w:t>Allied Health Professional</w:t>
            </w:r>
          </w:p>
        </w:tc>
        <w:tc>
          <w:tcPr>
            <w:tcW w:w="1842" w:type="dxa"/>
            <w:shd w:val="clear" w:color="auto" w:fill="auto"/>
          </w:tcPr>
          <w:p w:rsidR="008604AA" w:rsidRPr="007E5614" w:rsidRDefault="008604AA" w:rsidP="000335E5">
            <w:pPr>
              <w:jc w:val="right"/>
              <w:rPr>
                <w:rFonts w:cs="Arial"/>
                <w:color w:val="000000"/>
                <w:sz w:val="17"/>
                <w:szCs w:val="17"/>
              </w:rPr>
            </w:pPr>
            <w:r w:rsidRPr="007E5614">
              <w:rPr>
                <w:rFonts w:cs="Arial"/>
                <w:color w:val="000000"/>
                <w:sz w:val="17"/>
                <w:szCs w:val="17"/>
              </w:rPr>
              <w:t>1</w:t>
            </w:r>
          </w:p>
        </w:tc>
        <w:tc>
          <w:tcPr>
            <w:tcW w:w="1701" w:type="dxa"/>
            <w:shd w:val="clear" w:color="auto" w:fill="auto"/>
          </w:tcPr>
          <w:p w:rsidR="008604AA" w:rsidRPr="007E5614" w:rsidRDefault="008604AA" w:rsidP="000335E5">
            <w:pPr>
              <w:jc w:val="right"/>
              <w:rPr>
                <w:rFonts w:cs="Arial"/>
                <w:color w:val="000000"/>
                <w:sz w:val="17"/>
                <w:szCs w:val="17"/>
              </w:rPr>
            </w:pPr>
            <w:r w:rsidRPr="007E5614">
              <w:rPr>
                <w:rFonts w:cs="Arial"/>
                <w:color w:val="000000"/>
                <w:sz w:val="17"/>
                <w:szCs w:val="17"/>
              </w:rPr>
              <w:t>302</w:t>
            </w:r>
          </w:p>
        </w:tc>
        <w:tc>
          <w:tcPr>
            <w:tcW w:w="1560" w:type="dxa"/>
            <w:shd w:val="clear" w:color="auto" w:fill="auto"/>
          </w:tcPr>
          <w:p w:rsidR="008604AA" w:rsidRPr="007E5614" w:rsidRDefault="008604AA" w:rsidP="000335E5">
            <w:pPr>
              <w:jc w:val="right"/>
              <w:rPr>
                <w:rFonts w:cs="Arial"/>
                <w:color w:val="000000"/>
                <w:sz w:val="17"/>
                <w:szCs w:val="17"/>
              </w:rPr>
            </w:pPr>
            <w:r w:rsidRPr="007E5614">
              <w:rPr>
                <w:rFonts w:cs="Arial"/>
                <w:color w:val="000000"/>
                <w:sz w:val="17"/>
                <w:szCs w:val="17"/>
              </w:rPr>
              <w:t>303</w:t>
            </w:r>
          </w:p>
        </w:tc>
      </w:tr>
      <w:tr w:rsidR="008604AA" w:rsidRPr="007E5614" w:rsidTr="008604AA">
        <w:tc>
          <w:tcPr>
            <w:tcW w:w="3828" w:type="dxa"/>
            <w:vAlign w:val="center"/>
          </w:tcPr>
          <w:p w:rsidR="008604AA" w:rsidRPr="007E5614" w:rsidRDefault="008604AA" w:rsidP="008604AA">
            <w:pPr>
              <w:pStyle w:val="Table-AnnualReport"/>
            </w:pPr>
            <w:r w:rsidRPr="007E5614">
              <w:t>Health and Human Services Award</w:t>
            </w:r>
          </w:p>
        </w:tc>
        <w:tc>
          <w:tcPr>
            <w:tcW w:w="1842" w:type="dxa"/>
            <w:shd w:val="clear" w:color="auto" w:fill="auto"/>
          </w:tcPr>
          <w:p w:rsidR="008604AA" w:rsidRPr="007E5614" w:rsidRDefault="008604AA" w:rsidP="000335E5">
            <w:pPr>
              <w:jc w:val="right"/>
              <w:rPr>
                <w:rFonts w:cs="Arial"/>
                <w:color w:val="000000"/>
                <w:sz w:val="17"/>
                <w:szCs w:val="17"/>
              </w:rPr>
            </w:pPr>
            <w:r w:rsidRPr="007E5614">
              <w:rPr>
                <w:rFonts w:cs="Arial"/>
                <w:color w:val="000000"/>
                <w:sz w:val="17"/>
                <w:szCs w:val="17"/>
              </w:rPr>
              <w:t>3</w:t>
            </w:r>
          </w:p>
        </w:tc>
        <w:tc>
          <w:tcPr>
            <w:tcW w:w="1701" w:type="dxa"/>
            <w:shd w:val="clear" w:color="auto" w:fill="auto"/>
          </w:tcPr>
          <w:p w:rsidR="008604AA" w:rsidRPr="007E5614" w:rsidRDefault="008604AA" w:rsidP="000335E5">
            <w:pPr>
              <w:jc w:val="right"/>
              <w:rPr>
                <w:rFonts w:cs="Arial"/>
                <w:color w:val="000000"/>
                <w:sz w:val="17"/>
                <w:szCs w:val="17"/>
              </w:rPr>
            </w:pPr>
            <w:r w:rsidRPr="007E5614">
              <w:rPr>
                <w:rFonts w:cs="Arial"/>
                <w:color w:val="000000"/>
                <w:sz w:val="17"/>
                <w:szCs w:val="17"/>
              </w:rPr>
              <w:t>369</w:t>
            </w:r>
          </w:p>
        </w:tc>
        <w:tc>
          <w:tcPr>
            <w:tcW w:w="1560" w:type="dxa"/>
            <w:shd w:val="clear" w:color="auto" w:fill="auto"/>
          </w:tcPr>
          <w:p w:rsidR="008604AA" w:rsidRPr="007E5614" w:rsidRDefault="008604AA" w:rsidP="000335E5">
            <w:pPr>
              <w:jc w:val="right"/>
              <w:rPr>
                <w:rFonts w:cs="Arial"/>
                <w:color w:val="000000"/>
                <w:sz w:val="17"/>
                <w:szCs w:val="17"/>
              </w:rPr>
            </w:pPr>
            <w:r w:rsidRPr="007E5614">
              <w:rPr>
                <w:rFonts w:cs="Arial"/>
                <w:color w:val="000000"/>
                <w:sz w:val="17"/>
                <w:szCs w:val="17"/>
              </w:rPr>
              <w:t>372</w:t>
            </w:r>
          </w:p>
        </w:tc>
      </w:tr>
      <w:tr w:rsidR="008604AA" w:rsidRPr="007E5614" w:rsidTr="008604AA">
        <w:tc>
          <w:tcPr>
            <w:tcW w:w="3828" w:type="dxa"/>
            <w:vAlign w:val="center"/>
          </w:tcPr>
          <w:p w:rsidR="008604AA" w:rsidRPr="007E5614" w:rsidRDefault="008604AA" w:rsidP="008604AA">
            <w:pPr>
              <w:pStyle w:val="Table-AnnualReport"/>
            </w:pPr>
            <w:r w:rsidRPr="007E5614">
              <w:t>Nurses Award</w:t>
            </w:r>
          </w:p>
        </w:tc>
        <w:tc>
          <w:tcPr>
            <w:tcW w:w="1842" w:type="dxa"/>
            <w:shd w:val="clear" w:color="auto" w:fill="auto"/>
          </w:tcPr>
          <w:p w:rsidR="008604AA" w:rsidRPr="007E5614" w:rsidRDefault="008604AA" w:rsidP="00AE187C">
            <w:pPr>
              <w:jc w:val="right"/>
              <w:rPr>
                <w:rFonts w:cs="Arial"/>
                <w:color w:val="000000"/>
                <w:sz w:val="17"/>
                <w:szCs w:val="17"/>
              </w:rPr>
            </w:pPr>
            <w:r w:rsidRPr="007E5614">
              <w:rPr>
                <w:rFonts w:cs="Arial"/>
                <w:color w:val="000000"/>
                <w:sz w:val="17"/>
                <w:szCs w:val="17"/>
              </w:rPr>
              <w:t> </w:t>
            </w:r>
            <w:r w:rsidR="00AE187C">
              <w:rPr>
                <w:rFonts w:cs="Arial"/>
                <w:color w:val="000000"/>
                <w:sz w:val="17"/>
                <w:szCs w:val="17"/>
              </w:rPr>
              <w:t>0</w:t>
            </w:r>
          </w:p>
        </w:tc>
        <w:tc>
          <w:tcPr>
            <w:tcW w:w="1701" w:type="dxa"/>
            <w:shd w:val="clear" w:color="auto" w:fill="auto"/>
          </w:tcPr>
          <w:p w:rsidR="008604AA" w:rsidRPr="007E5614" w:rsidRDefault="008604AA" w:rsidP="000335E5">
            <w:pPr>
              <w:jc w:val="right"/>
              <w:rPr>
                <w:rFonts w:cs="Arial"/>
                <w:color w:val="000000"/>
                <w:sz w:val="17"/>
                <w:szCs w:val="17"/>
              </w:rPr>
            </w:pPr>
            <w:r w:rsidRPr="007E5614">
              <w:rPr>
                <w:rFonts w:cs="Arial"/>
                <w:color w:val="000000"/>
                <w:sz w:val="17"/>
                <w:szCs w:val="17"/>
              </w:rPr>
              <w:t>117</w:t>
            </w:r>
          </w:p>
        </w:tc>
        <w:tc>
          <w:tcPr>
            <w:tcW w:w="1560" w:type="dxa"/>
            <w:shd w:val="clear" w:color="auto" w:fill="auto"/>
          </w:tcPr>
          <w:p w:rsidR="008604AA" w:rsidRPr="007E5614" w:rsidRDefault="008604AA" w:rsidP="000335E5">
            <w:pPr>
              <w:jc w:val="right"/>
              <w:rPr>
                <w:rFonts w:cs="Arial"/>
                <w:color w:val="000000"/>
                <w:sz w:val="17"/>
                <w:szCs w:val="17"/>
              </w:rPr>
            </w:pPr>
            <w:r w:rsidRPr="007E5614">
              <w:rPr>
                <w:rFonts w:cs="Arial"/>
                <w:color w:val="000000"/>
                <w:sz w:val="17"/>
                <w:szCs w:val="17"/>
              </w:rPr>
              <w:t>117</w:t>
            </w:r>
          </w:p>
        </w:tc>
      </w:tr>
      <w:tr w:rsidR="008604AA" w:rsidRPr="007E5614" w:rsidTr="008604AA">
        <w:tc>
          <w:tcPr>
            <w:tcW w:w="3828" w:type="dxa"/>
            <w:vAlign w:val="center"/>
          </w:tcPr>
          <w:p w:rsidR="008604AA" w:rsidRPr="007E5614" w:rsidRDefault="008604AA" w:rsidP="008604AA">
            <w:pPr>
              <w:pStyle w:val="Table-AnnualReport"/>
            </w:pPr>
            <w:r w:rsidRPr="007E5614">
              <w:t>Senior Executive Service</w:t>
            </w:r>
          </w:p>
        </w:tc>
        <w:tc>
          <w:tcPr>
            <w:tcW w:w="1842" w:type="dxa"/>
            <w:shd w:val="clear" w:color="auto" w:fill="auto"/>
          </w:tcPr>
          <w:p w:rsidR="008604AA" w:rsidRPr="007E5614" w:rsidRDefault="008604AA" w:rsidP="000335E5">
            <w:pPr>
              <w:jc w:val="right"/>
              <w:rPr>
                <w:rFonts w:cs="Arial"/>
                <w:color w:val="000000"/>
                <w:sz w:val="17"/>
                <w:szCs w:val="17"/>
              </w:rPr>
            </w:pPr>
            <w:r w:rsidRPr="007E5614">
              <w:rPr>
                <w:rFonts w:cs="Arial"/>
                <w:color w:val="000000"/>
                <w:sz w:val="17"/>
                <w:szCs w:val="17"/>
              </w:rPr>
              <w:t>1</w:t>
            </w:r>
          </w:p>
        </w:tc>
        <w:tc>
          <w:tcPr>
            <w:tcW w:w="1701" w:type="dxa"/>
            <w:shd w:val="clear" w:color="auto" w:fill="auto"/>
          </w:tcPr>
          <w:p w:rsidR="008604AA" w:rsidRPr="007E5614" w:rsidRDefault="008604AA" w:rsidP="000335E5">
            <w:pPr>
              <w:jc w:val="right"/>
              <w:rPr>
                <w:rFonts w:cs="Arial"/>
                <w:color w:val="000000"/>
                <w:sz w:val="17"/>
                <w:szCs w:val="17"/>
              </w:rPr>
            </w:pPr>
            <w:r w:rsidRPr="007E5614">
              <w:rPr>
                <w:rFonts w:cs="Arial"/>
                <w:color w:val="000000"/>
                <w:sz w:val="17"/>
                <w:szCs w:val="17"/>
              </w:rPr>
              <w:t>10</w:t>
            </w:r>
          </w:p>
        </w:tc>
        <w:tc>
          <w:tcPr>
            <w:tcW w:w="1560" w:type="dxa"/>
            <w:shd w:val="clear" w:color="auto" w:fill="auto"/>
          </w:tcPr>
          <w:p w:rsidR="008604AA" w:rsidRPr="007E5614" w:rsidRDefault="008604AA" w:rsidP="000335E5">
            <w:pPr>
              <w:jc w:val="right"/>
              <w:rPr>
                <w:rFonts w:cs="Arial"/>
                <w:color w:val="000000"/>
                <w:sz w:val="17"/>
                <w:szCs w:val="17"/>
              </w:rPr>
            </w:pPr>
            <w:r w:rsidRPr="007E5614">
              <w:rPr>
                <w:rFonts w:cs="Arial"/>
                <w:color w:val="000000"/>
                <w:sz w:val="17"/>
                <w:szCs w:val="17"/>
              </w:rPr>
              <w:t>11</w:t>
            </w:r>
          </w:p>
        </w:tc>
      </w:tr>
      <w:tr w:rsidR="008604AA" w:rsidRPr="007E5614" w:rsidTr="008604AA">
        <w:tc>
          <w:tcPr>
            <w:tcW w:w="3828" w:type="dxa"/>
            <w:vAlign w:val="center"/>
          </w:tcPr>
          <w:p w:rsidR="008604AA" w:rsidRPr="007E5614" w:rsidRDefault="008604AA" w:rsidP="00FD64E2">
            <w:pPr>
              <w:pStyle w:val="Table-AnnualReport"/>
              <w:rPr>
                <w:b/>
              </w:rPr>
            </w:pPr>
            <w:r w:rsidRPr="007E5614">
              <w:rPr>
                <w:b/>
              </w:rPr>
              <w:t>Human Services Total</w:t>
            </w:r>
          </w:p>
        </w:tc>
        <w:tc>
          <w:tcPr>
            <w:tcW w:w="1842" w:type="dxa"/>
            <w:shd w:val="clear" w:color="auto" w:fill="auto"/>
          </w:tcPr>
          <w:p w:rsidR="008604AA" w:rsidRPr="007E5614" w:rsidRDefault="008604AA" w:rsidP="000335E5">
            <w:pPr>
              <w:jc w:val="right"/>
              <w:rPr>
                <w:rFonts w:cs="Arial"/>
                <w:color w:val="000000"/>
                <w:sz w:val="17"/>
                <w:szCs w:val="17"/>
              </w:rPr>
            </w:pPr>
            <w:r w:rsidRPr="007E5614">
              <w:rPr>
                <w:rFonts w:cs="Arial"/>
                <w:color w:val="000000"/>
                <w:sz w:val="17"/>
                <w:szCs w:val="17"/>
              </w:rPr>
              <w:t>5</w:t>
            </w:r>
          </w:p>
        </w:tc>
        <w:tc>
          <w:tcPr>
            <w:tcW w:w="1701" w:type="dxa"/>
            <w:shd w:val="clear" w:color="auto" w:fill="auto"/>
          </w:tcPr>
          <w:p w:rsidR="008604AA" w:rsidRPr="007E5614" w:rsidRDefault="008604AA" w:rsidP="000335E5">
            <w:pPr>
              <w:jc w:val="right"/>
              <w:rPr>
                <w:rFonts w:cs="Arial"/>
                <w:color w:val="000000"/>
                <w:sz w:val="17"/>
                <w:szCs w:val="17"/>
              </w:rPr>
            </w:pPr>
            <w:r w:rsidRPr="007E5614">
              <w:rPr>
                <w:rFonts w:cs="Arial"/>
                <w:color w:val="000000"/>
                <w:sz w:val="17"/>
                <w:szCs w:val="17"/>
              </w:rPr>
              <w:t>798</w:t>
            </w:r>
          </w:p>
        </w:tc>
        <w:tc>
          <w:tcPr>
            <w:tcW w:w="1560" w:type="dxa"/>
            <w:shd w:val="clear" w:color="auto" w:fill="auto"/>
          </w:tcPr>
          <w:p w:rsidR="008604AA" w:rsidRPr="007E5614" w:rsidRDefault="008604AA" w:rsidP="000335E5">
            <w:pPr>
              <w:jc w:val="right"/>
              <w:rPr>
                <w:rFonts w:cs="Arial"/>
                <w:color w:val="000000"/>
                <w:sz w:val="17"/>
                <w:szCs w:val="17"/>
              </w:rPr>
            </w:pPr>
            <w:r w:rsidRPr="007E5614">
              <w:rPr>
                <w:rFonts w:cs="Arial"/>
                <w:color w:val="000000"/>
                <w:sz w:val="17"/>
                <w:szCs w:val="17"/>
              </w:rPr>
              <w:t>803</w:t>
            </w:r>
          </w:p>
        </w:tc>
      </w:tr>
      <w:tr w:rsidR="008604AA" w:rsidRPr="007E5614" w:rsidTr="008604AA">
        <w:tc>
          <w:tcPr>
            <w:tcW w:w="3828" w:type="dxa"/>
            <w:vAlign w:val="center"/>
          </w:tcPr>
          <w:p w:rsidR="008604AA" w:rsidRPr="007E5614" w:rsidRDefault="00AE187C" w:rsidP="000335E5">
            <w:pPr>
              <w:pStyle w:val="Table-AnnualReport"/>
              <w:rPr>
                <w:b/>
              </w:rPr>
            </w:pPr>
            <w:r>
              <w:rPr>
                <w:b/>
              </w:rPr>
              <w:t xml:space="preserve">Health and Human Services </w:t>
            </w:r>
            <w:r w:rsidR="008604AA" w:rsidRPr="007E5614">
              <w:rPr>
                <w:b/>
              </w:rPr>
              <w:t>Total</w:t>
            </w:r>
          </w:p>
        </w:tc>
        <w:tc>
          <w:tcPr>
            <w:tcW w:w="1842" w:type="dxa"/>
            <w:shd w:val="clear" w:color="auto" w:fill="auto"/>
          </w:tcPr>
          <w:p w:rsidR="008604AA" w:rsidRPr="007E5614" w:rsidRDefault="008604AA" w:rsidP="000335E5">
            <w:pPr>
              <w:jc w:val="right"/>
              <w:rPr>
                <w:rFonts w:cs="Arial"/>
                <w:b/>
                <w:color w:val="000000"/>
                <w:sz w:val="17"/>
                <w:szCs w:val="17"/>
              </w:rPr>
            </w:pPr>
            <w:r w:rsidRPr="007E5614">
              <w:rPr>
                <w:rFonts w:cs="Arial"/>
                <w:b/>
                <w:color w:val="000000"/>
                <w:sz w:val="17"/>
                <w:szCs w:val="17"/>
              </w:rPr>
              <w:t>289</w:t>
            </w:r>
          </w:p>
        </w:tc>
        <w:tc>
          <w:tcPr>
            <w:tcW w:w="1701" w:type="dxa"/>
            <w:shd w:val="clear" w:color="auto" w:fill="auto"/>
          </w:tcPr>
          <w:p w:rsidR="008604AA" w:rsidRPr="007E5614" w:rsidRDefault="008604AA" w:rsidP="000335E5">
            <w:pPr>
              <w:jc w:val="right"/>
              <w:rPr>
                <w:rFonts w:cs="Arial"/>
                <w:b/>
                <w:color w:val="000000"/>
                <w:sz w:val="17"/>
                <w:szCs w:val="17"/>
              </w:rPr>
            </w:pPr>
            <w:r w:rsidRPr="007E5614">
              <w:rPr>
                <w:rFonts w:cs="Arial"/>
                <w:b/>
                <w:color w:val="000000"/>
                <w:sz w:val="17"/>
                <w:szCs w:val="17"/>
              </w:rPr>
              <w:t>1 568</w:t>
            </w:r>
          </w:p>
        </w:tc>
        <w:tc>
          <w:tcPr>
            <w:tcW w:w="1560" w:type="dxa"/>
            <w:shd w:val="clear" w:color="auto" w:fill="auto"/>
          </w:tcPr>
          <w:p w:rsidR="008604AA" w:rsidRPr="007E5614" w:rsidRDefault="008604AA" w:rsidP="000335E5">
            <w:pPr>
              <w:jc w:val="right"/>
              <w:rPr>
                <w:rFonts w:cs="Arial"/>
                <w:b/>
                <w:color w:val="000000"/>
                <w:sz w:val="17"/>
                <w:szCs w:val="17"/>
              </w:rPr>
            </w:pPr>
            <w:r w:rsidRPr="007E5614">
              <w:rPr>
                <w:rFonts w:cs="Arial"/>
                <w:b/>
                <w:color w:val="000000"/>
                <w:sz w:val="17"/>
                <w:szCs w:val="17"/>
              </w:rPr>
              <w:t>1 857</w:t>
            </w:r>
          </w:p>
        </w:tc>
      </w:tr>
    </w:tbl>
    <w:p w:rsidR="008604AA" w:rsidRDefault="008604AA" w:rsidP="00297380">
      <w:pPr>
        <w:spacing w:before="60" w:after="60" w:line="280" w:lineRule="atLeast"/>
        <w:rPr>
          <w:rFonts w:eastAsia="Calibri"/>
          <w:sz w:val="16"/>
          <w:szCs w:val="16"/>
        </w:rPr>
      </w:pPr>
    </w:p>
    <w:p w:rsidR="00297380" w:rsidRPr="009C0AF4" w:rsidRDefault="00297380" w:rsidP="00297380">
      <w:pPr>
        <w:spacing w:before="60" w:after="60" w:line="280" w:lineRule="atLeast"/>
        <w:rPr>
          <w:rFonts w:eastAsia="Calibri"/>
          <w:sz w:val="16"/>
          <w:szCs w:val="16"/>
        </w:rPr>
      </w:pPr>
      <w:r w:rsidRPr="009C0AF4">
        <w:rPr>
          <w:rFonts w:eastAsia="Calibri"/>
          <w:sz w:val="16"/>
          <w:szCs w:val="16"/>
        </w:rPr>
        <w:t>Notes:</w:t>
      </w:r>
    </w:p>
    <w:p w:rsidR="00297380" w:rsidRPr="009C0AF4" w:rsidRDefault="00297380" w:rsidP="00297380">
      <w:pPr>
        <w:pStyle w:val="ListParagraph"/>
        <w:keepLines/>
        <w:numPr>
          <w:ilvl w:val="0"/>
          <w:numId w:val="10"/>
        </w:numPr>
        <w:spacing w:line="240" w:lineRule="auto"/>
        <w:rPr>
          <w:sz w:val="16"/>
          <w:szCs w:val="16"/>
        </w:rPr>
      </w:pPr>
      <w:r w:rsidRPr="009C0AF4">
        <w:rPr>
          <w:sz w:val="16"/>
          <w:szCs w:val="16"/>
        </w:rPr>
        <w:t>Departmental areas are responsible for the provision of support for policy, planning, funding performance monitoring and improvements across the service groups; and interface with Government. DHHS departmental areas comprise CPRS, PPP and the Office of the Secretary.</w:t>
      </w:r>
    </w:p>
    <w:p w:rsidR="00297380" w:rsidRPr="009C0AF4" w:rsidRDefault="00297380" w:rsidP="00297380">
      <w:pPr>
        <w:pStyle w:val="ListParagraph"/>
        <w:keepLines/>
        <w:numPr>
          <w:ilvl w:val="0"/>
          <w:numId w:val="10"/>
        </w:numPr>
        <w:spacing w:line="240" w:lineRule="auto"/>
        <w:rPr>
          <w:sz w:val="16"/>
          <w:szCs w:val="16"/>
        </w:rPr>
      </w:pPr>
      <w:r w:rsidRPr="009C0AF4">
        <w:rPr>
          <w:sz w:val="16"/>
          <w:szCs w:val="16"/>
        </w:rPr>
        <w:t>Operational areas deliver services to the public. The Department’s operational areas are AT, CYS, HDCS and PHS.</w:t>
      </w:r>
    </w:p>
    <w:p w:rsidR="00297380" w:rsidRPr="009C0AF4" w:rsidRDefault="00297380" w:rsidP="00297380">
      <w:pPr>
        <w:pStyle w:val="ListParagraph"/>
        <w:keepLines/>
        <w:numPr>
          <w:ilvl w:val="0"/>
          <w:numId w:val="10"/>
        </w:numPr>
        <w:spacing w:line="240" w:lineRule="auto"/>
        <w:rPr>
          <w:sz w:val="16"/>
          <w:szCs w:val="16"/>
        </w:rPr>
      </w:pPr>
      <w:r w:rsidRPr="009C0AF4">
        <w:rPr>
          <w:sz w:val="16"/>
          <w:szCs w:val="16"/>
        </w:rPr>
        <w:t>This Award includes employees from Shared Services that support DHHS and the THS.</w:t>
      </w:r>
    </w:p>
    <w:p w:rsidR="009C0AF4" w:rsidRDefault="009C0AF4" w:rsidP="00297380">
      <w:pPr>
        <w:pStyle w:val="Heading4"/>
      </w:pPr>
    </w:p>
    <w:p w:rsidR="00297380" w:rsidRPr="007E5614" w:rsidRDefault="00297380" w:rsidP="00297380">
      <w:pPr>
        <w:pStyle w:val="Heading4"/>
      </w:pPr>
      <w:r w:rsidRPr="007E5614">
        <w:t>Total Number Paid Employees by Gender</w:t>
      </w:r>
    </w:p>
    <w:tbl>
      <w:tblPr>
        <w:tblW w:w="9248" w:type="dxa"/>
        <w:tblInd w:w="108" w:type="dxa"/>
        <w:tblBorders>
          <w:top w:val="single" w:sz="2" w:space="0" w:color="808080"/>
          <w:bottom w:val="single" w:sz="2" w:space="0" w:color="808080"/>
          <w:insideH w:val="single" w:sz="2" w:space="0" w:color="808080"/>
        </w:tblBorders>
        <w:tblLook w:val="04A0" w:firstRow="1" w:lastRow="0" w:firstColumn="1" w:lastColumn="0" w:noHBand="0" w:noVBand="1"/>
        <w:tblCaption w:val="Total Number Paid Employees by Gender"/>
      </w:tblPr>
      <w:tblGrid>
        <w:gridCol w:w="4195"/>
        <w:gridCol w:w="1265"/>
        <w:gridCol w:w="1265"/>
        <w:gridCol w:w="1265"/>
        <w:gridCol w:w="1258"/>
      </w:tblGrid>
      <w:tr w:rsidR="00AE187C" w:rsidRPr="007E5614" w:rsidTr="00AE187C">
        <w:tc>
          <w:tcPr>
            <w:tcW w:w="4195" w:type="dxa"/>
            <w:shd w:val="clear" w:color="auto" w:fill="auto"/>
          </w:tcPr>
          <w:p w:rsidR="00AE187C" w:rsidRPr="007E5614" w:rsidRDefault="00AE187C" w:rsidP="00297380">
            <w:pPr>
              <w:keepNext/>
              <w:spacing w:before="60" w:after="60" w:line="240" w:lineRule="auto"/>
              <w:outlineLvl w:val="0"/>
              <w:rPr>
                <w:b/>
                <w:bCs/>
                <w:kern w:val="32"/>
                <w:sz w:val="18"/>
                <w:szCs w:val="18"/>
              </w:rPr>
            </w:pPr>
            <w:r>
              <w:rPr>
                <w:b/>
                <w:bCs/>
                <w:kern w:val="32"/>
                <w:sz w:val="18"/>
                <w:szCs w:val="18"/>
              </w:rPr>
              <w:t>Gender</w:t>
            </w:r>
          </w:p>
        </w:tc>
        <w:tc>
          <w:tcPr>
            <w:tcW w:w="1265" w:type="dxa"/>
            <w:shd w:val="clear" w:color="auto" w:fill="auto"/>
            <w:vAlign w:val="center"/>
          </w:tcPr>
          <w:p w:rsidR="00AE187C" w:rsidRPr="007E5614" w:rsidRDefault="00AE187C" w:rsidP="00297380">
            <w:pPr>
              <w:jc w:val="right"/>
              <w:rPr>
                <w:b/>
                <w:kern w:val="32"/>
                <w:sz w:val="18"/>
                <w:szCs w:val="18"/>
              </w:rPr>
            </w:pPr>
            <w:r w:rsidRPr="007E5614">
              <w:rPr>
                <w:b/>
                <w:kern w:val="32"/>
                <w:sz w:val="18"/>
                <w:szCs w:val="18"/>
              </w:rPr>
              <w:t>2012-13</w:t>
            </w:r>
            <w:r w:rsidRPr="007E5614">
              <w:rPr>
                <w:rFonts w:cs="Arial"/>
                <w:b/>
                <w:vertAlign w:val="superscript"/>
              </w:rPr>
              <w:t>1</w:t>
            </w:r>
          </w:p>
        </w:tc>
        <w:tc>
          <w:tcPr>
            <w:tcW w:w="1265" w:type="dxa"/>
            <w:shd w:val="clear" w:color="auto" w:fill="auto"/>
          </w:tcPr>
          <w:p w:rsidR="00AE187C" w:rsidRPr="007E5614" w:rsidRDefault="00AE187C" w:rsidP="00297380">
            <w:pPr>
              <w:jc w:val="right"/>
              <w:rPr>
                <w:b/>
                <w:kern w:val="32"/>
                <w:sz w:val="18"/>
                <w:szCs w:val="18"/>
              </w:rPr>
            </w:pPr>
            <w:r w:rsidRPr="007E5614">
              <w:rPr>
                <w:b/>
                <w:kern w:val="32"/>
                <w:sz w:val="18"/>
                <w:szCs w:val="18"/>
              </w:rPr>
              <w:t>2013-14</w:t>
            </w:r>
            <w:r w:rsidRPr="007E5614">
              <w:rPr>
                <w:rFonts w:cs="Arial"/>
                <w:b/>
                <w:vertAlign w:val="superscript"/>
              </w:rPr>
              <w:t>1</w:t>
            </w:r>
          </w:p>
        </w:tc>
        <w:tc>
          <w:tcPr>
            <w:tcW w:w="1265" w:type="dxa"/>
          </w:tcPr>
          <w:p w:rsidR="00AE187C" w:rsidRPr="007E5614" w:rsidRDefault="00AE187C" w:rsidP="00297380">
            <w:pPr>
              <w:jc w:val="right"/>
              <w:rPr>
                <w:b/>
                <w:kern w:val="32"/>
                <w:sz w:val="18"/>
                <w:szCs w:val="18"/>
              </w:rPr>
            </w:pPr>
            <w:r w:rsidRPr="007E5614">
              <w:rPr>
                <w:b/>
                <w:kern w:val="32"/>
                <w:sz w:val="18"/>
                <w:szCs w:val="18"/>
              </w:rPr>
              <w:t>2014-15</w:t>
            </w:r>
            <w:r w:rsidRPr="007E5614">
              <w:rPr>
                <w:rFonts w:cs="Arial"/>
                <w:b/>
                <w:vertAlign w:val="superscript"/>
              </w:rPr>
              <w:t>1</w:t>
            </w:r>
          </w:p>
        </w:tc>
        <w:tc>
          <w:tcPr>
            <w:tcW w:w="1258" w:type="dxa"/>
          </w:tcPr>
          <w:p w:rsidR="00AE187C" w:rsidRPr="007E5614" w:rsidRDefault="00AE187C" w:rsidP="00297380">
            <w:pPr>
              <w:jc w:val="right"/>
              <w:rPr>
                <w:b/>
                <w:kern w:val="32"/>
                <w:sz w:val="18"/>
                <w:szCs w:val="18"/>
              </w:rPr>
            </w:pPr>
            <w:r w:rsidRPr="007E5614">
              <w:rPr>
                <w:b/>
                <w:kern w:val="32"/>
                <w:sz w:val="18"/>
                <w:szCs w:val="18"/>
              </w:rPr>
              <w:t>2015-16</w:t>
            </w:r>
          </w:p>
        </w:tc>
      </w:tr>
      <w:tr w:rsidR="00AE187C" w:rsidRPr="007E5614" w:rsidTr="00AE187C">
        <w:tc>
          <w:tcPr>
            <w:tcW w:w="4195" w:type="dxa"/>
            <w:vAlign w:val="center"/>
          </w:tcPr>
          <w:p w:rsidR="00AE187C" w:rsidRPr="007E5614" w:rsidRDefault="00AE187C" w:rsidP="00297380">
            <w:pPr>
              <w:pStyle w:val="Table-AnnualReport"/>
            </w:pPr>
            <w:r w:rsidRPr="007E5614">
              <w:t>Female</w:t>
            </w:r>
          </w:p>
        </w:tc>
        <w:tc>
          <w:tcPr>
            <w:tcW w:w="1265" w:type="dxa"/>
          </w:tcPr>
          <w:p w:rsidR="00AE187C" w:rsidRPr="007E5614" w:rsidRDefault="00AE187C" w:rsidP="00297380">
            <w:pPr>
              <w:jc w:val="right"/>
              <w:rPr>
                <w:rFonts w:cs="Arial"/>
                <w:color w:val="000000"/>
                <w:sz w:val="17"/>
                <w:szCs w:val="17"/>
              </w:rPr>
            </w:pPr>
            <w:r w:rsidRPr="007E5614">
              <w:rPr>
                <w:rFonts w:cs="Arial"/>
                <w:color w:val="000000"/>
                <w:sz w:val="17"/>
                <w:szCs w:val="17"/>
              </w:rPr>
              <w:t>1 297</w:t>
            </w:r>
          </w:p>
        </w:tc>
        <w:tc>
          <w:tcPr>
            <w:tcW w:w="1265" w:type="dxa"/>
          </w:tcPr>
          <w:p w:rsidR="00AE187C" w:rsidRPr="007E5614" w:rsidRDefault="00AE187C" w:rsidP="00297380">
            <w:pPr>
              <w:jc w:val="right"/>
              <w:rPr>
                <w:rFonts w:cs="Arial"/>
                <w:color w:val="000000"/>
                <w:sz w:val="17"/>
                <w:szCs w:val="17"/>
              </w:rPr>
            </w:pPr>
            <w:r w:rsidRPr="007E5614">
              <w:rPr>
                <w:rFonts w:cs="Arial"/>
                <w:color w:val="000000"/>
                <w:sz w:val="17"/>
                <w:szCs w:val="17"/>
              </w:rPr>
              <w:t>1 300</w:t>
            </w:r>
          </w:p>
        </w:tc>
        <w:tc>
          <w:tcPr>
            <w:tcW w:w="1265" w:type="dxa"/>
          </w:tcPr>
          <w:p w:rsidR="00AE187C" w:rsidRPr="007E5614" w:rsidRDefault="00AE187C" w:rsidP="00297380">
            <w:pPr>
              <w:jc w:val="right"/>
              <w:rPr>
                <w:rFonts w:cs="Arial"/>
                <w:color w:val="000000"/>
                <w:sz w:val="17"/>
                <w:szCs w:val="17"/>
              </w:rPr>
            </w:pPr>
            <w:r w:rsidRPr="007E5614">
              <w:rPr>
                <w:rFonts w:cs="Arial"/>
                <w:color w:val="000000"/>
                <w:sz w:val="17"/>
                <w:szCs w:val="17"/>
              </w:rPr>
              <w:t>1 144</w:t>
            </w:r>
          </w:p>
        </w:tc>
        <w:tc>
          <w:tcPr>
            <w:tcW w:w="1258" w:type="dxa"/>
          </w:tcPr>
          <w:p w:rsidR="00AE187C" w:rsidRPr="007E5614" w:rsidRDefault="00AE187C" w:rsidP="00297380">
            <w:pPr>
              <w:jc w:val="right"/>
              <w:rPr>
                <w:rFonts w:cs="Arial"/>
                <w:color w:val="000000"/>
                <w:sz w:val="17"/>
                <w:szCs w:val="17"/>
              </w:rPr>
            </w:pPr>
            <w:r w:rsidRPr="007E5614">
              <w:rPr>
                <w:rFonts w:cs="Arial"/>
                <w:color w:val="000000"/>
                <w:sz w:val="17"/>
                <w:szCs w:val="17"/>
              </w:rPr>
              <w:t>1 197</w:t>
            </w:r>
          </w:p>
        </w:tc>
      </w:tr>
      <w:tr w:rsidR="00AE187C" w:rsidRPr="007E5614" w:rsidTr="00AE187C">
        <w:tc>
          <w:tcPr>
            <w:tcW w:w="4195" w:type="dxa"/>
            <w:vAlign w:val="center"/>
          </w:tcPr>
          <w:p w:rsidR="00AE187C" w:rsidRPr="007E5614" w:rsidRDefault="00AE187C" w:rsidP="00297380">
            <w:pPr>
              <w:pStyle w:val="Table-AnnualReport"/>
            </w:pPr>
            <w:r w:rsidRPr="007E5614">
              <w:t>Male</w:t>
            </w:r>
          </w:p>
        </w:tc>
        <w:tc>
          <w:tcPr>
            <w:tcW w:w="1265" w:type="dxa"/>
          </w:tcPr>
          <w:p w:rsidR="00AE187C" w:rsidRPr="007E5614" w:rsidRDefault="00AE187C" w:rsidP="00297380">
            <w:pPr>
              <w:jc w:val="right"/>
              <w:rPr>
                <w:rFonts w:cs="Arial"/>
                <w:color w:val="000000"/>
                <w:sz w:val="17"/>
                <w:szCs w:val="17"/>
              </w:rPr>
            </w:pPr>
            <w:r w:rsidRPr="007E5614">
              <w:rPr>
                <w:rFonts w:cs="Arial"/>
                <w:color w:val="000000"/>
                <w:sz w:val="17"/>
                <w:szCs w:val="17"/>
              </w:rPr>
              <w:t>703</w:t>
            </w:r>
          </w:p>
        </w:tc>
        <w:tc>
          <w:tcPr>
            <w:tcW w:w="1265" w:type="dxa"/>
          </w:tcPr>
          <w:p w:rsidR="00AE187C" w:rsidRPr="007E5614" w:rsidRDefault="00AE187C" w:rsidP="00297380">
            <w:pPr>
              <w:jc w:val="right"/>
              <w:rPr>
                <w:rFonts w:cs="Arial"/>
                <w:color w:val="000000"/>
                <w:sz w:val="17"/>
                <w:szCs w:val="17"/>
              </w:rPr>
            </w:pPr>
            <w:r w:rsidRPr="007E5614">
              <w:rPr>
                <w:rFonts w:cs="Arial"/>
                <w:color w:val="000000"/>
                <w:sz w:val="17"/>
                <w:szCs w:val="17"/>
              </w:rPr>
              <w:t>732</w:t>
            </w:r>
          </w:p>
        </w:tc>
        <w:tc>
          <w:tcPr>
            <w:tcW w:w="1265" w:type="dxa"/>
          </w:tcPr>
          <w:p w:rsidR="00AE187C" w:rsidRPr="007E5614" w:rsidRDefault="00AE187C" w:rsidP="00297380">
            <w:pPr>
              <w:jc w:val="right"/>
              <w:rPr>
                <w:rFonts w:cs="Arial"/>
                <w:color w:val="000000"/>
                <w:sz w:val="17"/>
                <w:szCs w:val="17"/>
              </w:rPr>
            </w:pPr>
            <w:r w:rsidRPr="007E5614">
              <w:rPr>
                <w:rFonts w:cs="Arial"/>
                <w:color w:val="000000"/>
                <w:sz w:val="17"/>
                <w:szCs w:val="17"/>
              </w:rPr>
              <w:t>651</w:t>
            </w:r>
          </w:p>
        </w:tc>
        <w:tc>
          <w:tcPr>
            <w:tcW w:w="1258" w:type="dxa"/>
          </w:tcPr>
          <w:p w:rsidR="00AE187C" w:rsidRPr="007E5614" w:rsidRDefault="00AE187C" w:rsidP="00297380">
            <w:pPr>
              <w:jc w:val="right"/>
              <w:rPr>
                <w:rFonts w:cs="Arial"/>
                <w:color w:val="000000"/>
                <w:sz w:val="17"/>
                <w:szCs w:val="17"/>
              </w:rPr>
            </w:pPr>
            <w:r w:rsidRPr="007E5614">
              <w:rPr>
                <w:rFonts w:cs="Arial"/>
                <w:color w:val="000000"/>
                <w:sz w:val="17"/>
                <w:szCs w:val="17"/>
              </w:rPr>
              <w:t>660</w:t>
            </w:r>
          </w:p>
        </w:tc>
      </w:tr>
      <w:tr w:rsidR="00AE187C" w:rsidRPr="007E5614" w:rsidTr="00AE187C">
        <w:tc>
          <w:tcPr>
            <w:tcW w:w="4195" w:type="dxa"/>
            <w:vAlign w:val="center"/>
          </w:tcPr>
          <w:p w:rsidR="00AE187C" w:rsidRPr="007E5614" w:rsidRDefault="00AE187C" w:rsidP="00297380">
            <w:pPr>
              <w:pStyle w:val="Table-AnnualReport"/>
              <w:rPr>
                <w:b/>
              </w:rPr>
            </w:pPr>
            <w:r w:rsidRPr="007E5614">
              <w:rPr>
                <w:b/>
              </w:rPr>
              <w:t>Total</w:t>
            </w:r>
          </w:p>
        </w:tc>
        <w:tc>
          <w:tcPr>
            <w:tcW w:w="1265" w:type="dxa"/>
          </w:tcPr>
          <w:p w:rsidR="00AE187C" w:rsidRPr="007E5614" w:rsidRDefault="00AE187C" w:rsidP="00297380">
            <w:pPr>
              <w:jc w:val="right"/>
              <w:rPr>
                <w:rFonts w:cs="Arial"/>
                <w:b/>
                <w:color w:val="000000"/>
                <w:sz w:val="17"/>
                <w:szCs w:val="17"/>
              </w:rPr>
            </w:pPr>
            <w:r w:rsidRPr="007E5614">
              <w:rPr>
                <w:rFonts w:cs="Arial"/>
                <w:b/>
                <w:color w:val="000000"/>
                <w:sz w:val="17"/>
                <w:szCs w:val="17"/>
              </w:rPr>
              <w:t>2 000</w:t>
            </w:r>
          </w:p>
        </w:tc>
        <w:tc>
          <w:tcPr>
            <w:tcW w:w="1265" w:type="dxa"/>
          </w:tcPr>
          <w:p w:rsidR="00AE187C" w:rsidRPr="007E5614" w:rsidRDefault="00AE187C" w:rsidP="00297380">
            <w:pPr>
              <w:jc w:val="right"/>
              <w:rPr>
                <w:rFonts w:cs="Arial"/>
                <w:b/>
                <w:color w:val="000000"/>
                <w:sz w:val="17"/>
                <w:szCs w:val="17"/>
              </w:rPr>
            </w:pPr>
            <w:r w:rsidRPr="007E5614">
              <w:rPr>
                <w:rFonts w:cs="Arial"/>
                <w:b/>
                <w:color w:val="000000"/>
                <w:sz w:val="17"/>
                <w:szCs w:val="17"/>
              </w:rPr>
              <w:t>2 032</w:t>
            </w:r>
          </w:p>
        </w:tc>
        <w:tc>
          <w:tcPr>
            <w:tcW w:w="1265" w:type="dxa"/>
          </w:tcPr>
          <w:p w:rsidR="00AE187C" w:rsidRPr="007E5614" w:rsidRDefault="00AE187C" w:rsidP="00297380">
            <w:pPr>
              <w:jc w:val="right"/>
              <w:rPr>
                <w:rFonts w:cs="Arial"/>
                <w:b/>
                <w:color w:val="000000"/>
                <w:sz w:val="17"/>
                <w:szCs w:val="17"/>
              </w:rPr>
            </w:pPr>
            <w:r w:rsidRPr="007E5614">
              <w:rPr>
                <w:rFonts w:cs="Arial"/>
                <w:b/>
                <w:color w:val="000000"/>
                <w:sz w:val="17"/>
                <w:szCs w:val="17"/>
              </w:rPr>
              <w:t>1 795</w:t>
            </w:r>
          </w:p>
        </w:tc>
        <w:tc>
          <w:tcPr>
            <w:tcW w:w="1258" w:type="dxa"/>
          </w:tcPr>
          <w:p w:rsidR="00AE187C" w:rsidRPr="007E5614" w:rsidRDefault="00AE187C" w:rsidP="00297380">
            <w:pPr>
              <w:jc w:val="right"/>
              <w:rPr>
                <w:rFonts w:cs="Arial"/>
                <w:b/>
                <w:color w:val="000000"/>
                <w:sz w:val="17"/>
                <w:szCs w:val="17"/>
              </w:rPr>
            </w:pPr>
            <w:r w:rsidRPr="007E5614">
              <w:rPr>
                <w:rFonts w:cs="Arial"/>
                <w:b/>
                <w:color w:val="000000"/>
                <w:sz w:val="17"/>
                <w:szCs w:val="17"/>
              </w:rPr>
              <w:t>1 857</w:t>
            </w:r>
          </w:p>
        </w:tc>
      </w:tr>
    </w:tbl>
    <w:p w:rsidR="00297380" w:rsidRPr="009C0AF4" w:rsidRDefault="00297380" w:rsidP="00297380">
      <w:pPr>
        <w:pStyle w:val="Heading4"/>
        <w:spacing w:before="60" w:line="240" w:lineRule="auto"/>
        <w:rPr>
          <w:rFonts w:eastAsia="Times New Roman"/>
          <w:b w:val="0"/>
          <w:sz w:val="16"/>
          <w:szCs w:val="16"/>
        </w:rPr>
      </w:pPr>
      <w:r w:rsidRPr="009C0AF4">
        <w:rPr>
          <w:rFonts w:eastAsia="Times New Roman"/>
          <w:b w:val="0"/>
          <w:sz w:val="16"/>
          <w:szCs w:val="16"/>
        </w:rPr>
        <w:t>Note:</w:t>
      </w:r>
    </w:p>
    <w:p w:rsidR="00297380" w:rsidRPr="009C0AF4" w:rsidRDefault="00297380" w:rsidP="00297380">
      <w:pPr>
        <w:pStyle w:val="ListParagraph"/>
        <w:keepLines/>
        <w:numPr>
          <w:ilvl w:val="0"/>
          <w:numId w:val="9"/>
        </w:numPr>
        <w:spacing w:line="240" w:lineRule="auto"/>
        <w:rPr>
          <w:sz w:val="16"/>
          <w:szCs w:val="16"/>
        </w:rPr>
      </w:pPr>
      <w:r w:rsidRPr="009C0AF4">
        <w:rPr>
          <w:sz w:val="16"/>
          <w:szCs w:val="16"/>
        </w:rPr>
        <w:t>Due to organisational changes, data for previous years has been remapped to the current organisational structure, and these figures therefore differ from those previously published in DHHS Annual Reports. The organisational changes include the transfer of CSCS to the THS, and the transfer of some administrative functions from the THS to DHHS, including the RHH Redevelopment.</w:t>
      </w:r>
    </w:p>
    <w:p w:rsidR="00297380" w:rsidRDefault="00297380" w:rsidP="009C0AF4">
      <w:pPr>
        <w:pStyle w:val="ListParagraph"/>
        <w:keepLines/>
        <w:spacing w:line="240" w:lineRule="auto"/>
        <w:ind w:left="360"/>
        <w:rPr>
          <w:sz w:val="16"/>
          <w:szCs w:val="16"/>
        </w:rPr>
      </w:pPr>
    </w:p>
    <w:p w:rsidR="009C0AF4" w:rsidRDefault="009C0AF4">
      <w:pPr>
        <w:rPr>
          <w:sz w:val="16"/>
          <w:szCs w:val="16"/>
        </w:rPr>
      </w:pPr>
      <w:r>
        <w:rPr>
          <w:sz w:val="16"/>
          <w:szCs w:val="16"/>
        </w:rPr>
        <w:br w:type="page"/>
      </w:r>
    </w:p>
    <w:p w:rsidR="009C0AF4" w:rsidRPr="007E5614" w:rsidRDefault="009C0AF4" w:rsidP="009C0AF4">
      <w:pPr>
        <w:pStyle w:val="Heading4"/>
      </w:pPr>
      <w:r w:rsidRPr="007E5614">
        <w:lastRenderedPageBreak/>
        <w:t>Total Number Paid Employees by Gender by Portfolio</w:t>
      </w:r>
    </w:p>
    <w:tbl>
      <w:tblPr>
        <w:tblW w:w="9248" w:type="dxa"/>
        <w:tblInd w:w="108" w:type="dxa"/>
        <w:tblBorders>
          <w:top w:val="single" w:sz="2" w:space="0" w:color="808080"/>
          <w:bottom w:val="single" w:sz="2" w:space="0" w:color="808080"/>
          <w:insideH w:val="single" w:sz="2" w:space="0" w:color="808080"/>
        </w:tblBorders>
        <w:tblLook w:val="04A0" w:firstRow="1" w:lastRow="0" w:firstColumn="1" w:lastColumn="0" w:noHBand="0" w:noVBand="1"/>
        <w:tblCaption w:val="Total Number Paid Employees by Gender by Portfolio"/>
      </w:tblPr>
      <w:tblGrid>
        <w:gridCol w:w="4253"/>
        <w:gridCol w:w="2552"/>
        <w:gridCol w:w="2443"/>
      </w:tblGrid>
      <w:tr w:rsidR="00AE187C" w:rsidRPr="007E5614" w:rsidTr="00AE187C">
        <w:tc>
          <w:tcPr>
            <w:tcW w:w="4253" w:type="dxa"/>
            <w:shd w:val="clear" w:color="auto" w:fill="auto"/>
          </w:tcPr>
          <w:p w:rsidR="00AE187C" w:rsidRPr="007E5614" w:rsidRDefault="00AE187C" w:rsidP="00666795">
            <w:pPr>
              <w:keepNext/>
              <w:spacing w:before="60" w:after="60" w:line="240" w:lineRule="auto"/>
              <w:outlineLvl w:val="0"/>
              <w:rPr>
                <w:b/>
                <w:bCs/>
                <w:kern w:val="32"/>
                <w:sz w:val="18"/>
                <w:szCs w:val="18"/>
              </w:rPr>
            </w:pPr>
            <w:r>
              <w:rPr>
                <w:b/>
                <w:bCs/>
                <w:kern w:val="32"/>
                <w:sz w:val="18"/>
                <w:szCs w:val="18"/>
              </w:rPr>
              <w:t>Gender</w:t>
            </w:r>
          </w:p>
        </w:tc>
        <w:tc>
          <w:tcPr>
            <w:tcW w:w="2552" w:type="dxa"/>
            <w:shd w:val="clear" w:color="auto" w:fill="auto"/>
            <w:vAlign w:val="center"/>
          </w:tcPr>
          <w:p w:rsidR="00AE187C" w:rsidRPr="007E5614" w:rsidRDefault="00AE187C" w:rsidP="00666795">
            <w:pPr>
              <w:jc w:val="right"/>
              <w:rPr>
                <w:b/>
                <w:kern w:val="32"/>
                <w:sz w:val="18"/>
                <w:szCs w:val="18"/>
              </w:rPr>
            </w:pPr>
            <w:r w:rsidRPr="007E5614">
              <w:rPr>
                <w:b/>
                <w:kern w:val="32"/>
                <w:sz w:val="18"/>
                <w:szCs w:val="18"/>
              </w:rPr>
              <w:t>Health</w:t>
            </w:r>
          </w:p>
        </w:tc>
        <w:tc>
          <w:tcPr>
            <w:tcW w:w="2443" w:type="dxa"/>
            <w:shd w:val="clear" w:color="auto" w:fill="auto"/>
          </w:tcPr>
          <w:p w:rsidR="00AE187C" w:rsidRPr="007E5614" w:rsidRDefault="00AE187C" w:rsidP="00666795">
            <w:pPr>
              <w:jc w:val="right"/>
              <w:rPr>
                <w:b/>
                <w:kern w:val="32"/>
                <w:sz w:val="18"/>
                <w:szCs w:val="18"/>
              </w:rPr>
            </w:pPr>
            <w:r w:rsidRPr="007E5614">
              <w:rPr>
                <w:b/>
                <w:kern w:val="32"/>
                <w:sz w:val="18"/>
                <w:szCs w:val="18"/>
              </w:rPr>
              <w:t>Human Services</w:t>
            </w:r>
          </w:p>
        </w:tc>
      </w:tr>
      <w:tr w:rsidR="00AE187C" w:rsidRPr="007E5614" w:rsidTr="00AE187C">
        <w:tc>
          <w:tcPr>
            <w:tcW w:w="4253" w:type="dxa"/>
            <w:vAlign w:val="center"/>
          </w:tcPr>
          <w:p w:rsidR="00AE187C" w:rsidRPr="007E5614" w:rsidRDefault="00AE187C" w:rsidP="00666795">
            <w:pPr>
              <w:pStyle w:val="Table-AnnualReport"/>
            </w:pPr>
            <w:r w:rsidRPr="007E5614">
              <w:t>Female</w:t>
            </w:r>
          </w:p>
        </w:tc>
        <w:tc>
          <w:tcPr>
            <w:tcW w:w="2552" w:type="dxa"/>
          </w:tcPr>
          <w:p w:rsidR="00AE187C" w:rsidRPr="007E5614" w:rsidRDefault="00AE187C" w:rsidP="00666795">
            <w:pPr>
              <w:jc w:val="right"/>
              <w:rPr>
                <w:rFonts w:cs="Arial"/>
                <w:color w:val="000000"/>
                <w:sz w:val="17"/>
                <w:szCs w:val="17"/>
              </w:rPr>
            </w:pPr>
            <w:r w:rsidRPr="007E5614">
              <w:rPr>
                <w:rFonts w:cs="Arial"/>
                <w:color w:val="000000"/>
                <w:sz w:val="17"/>
                <w:szCs w:val="17"/>
              </w:rPr>
              <w:t>572</w:t>
            </w:r>
          </w:p>
        </w:tc>
        <w:tc>
          <w:tcPr>
            <w:tcW w:w="2443" w:type="dxa"/>
          </w:tcPr>
          <w:p w:rsidR="00AE187C" w:rsidRPr="007E5614" w:rsidRDefault="00AE187C" w:rsidP="00666795">
            <w:pPr>
              <w:jc w:val="right"/>
              <w:rPr>
                <w:rFonts w:cs="Arial"/>
                <w:color w:val="000000"/>
                <w:sz w:val="17"/>
                <w:szCs w:val="17"/>
              </w:rPr>
            </w:pPr>
            <w:r w:rsidRPr="007E5614">
              <w:rPr>
                <w:rFonts w:cs="Arial"/>
                <w:color w:val="000000"/>
                <w:sz w:val="17"/>
                <w:szCs w:val="17"/>
              </w:rPr>
              <w:t>625</w:t>
            </w:r>
          </w:p>
        </w:tc>
      </w:tr>
      <w:tr w:rsidR="00AE187C" w:rsidRPr="007E5614" w:rsidTr="00AE187C">
        <w:tc>
          <w:tcPr>
            <w:tcW w:w="4253" w:type="dxa"/>
            <w:vAlign w:val="center"/>
          </w:tcPr>
          <w:p w:rsidR="00AE187C" w:rsidRPr="007E5614" w:rsidRDefault="00AE187C" w:rsidP="00666795">
            <w:pPr>
              <w:pStyle w:val="Table-AnnualReport"/>
            </w:pPr>
            <w:r w:rsidRPr="007E5614">
              <w:t>Male</w:t>
            </w:r>
          </w:p>
        </w:tc>
        <w:tc>
          <w:tcPr>
            <w:tcW w:w="2552" w:type="dxa"/>
          </w:tcPr>
          <w:p w:rsidR="00AE187C" w:rsidRPr="007E5614" w:rsidRDefault="00AE187C" w:rsidP="00666795">
            <w:pPr>
              <w:jc w:val="right"/>
              <w:rPr>
                <w:rFonts w:cs="Arial"/>
                <w:color w:val="000000"/>
                <w:sz w:val="17"/>
                <w:szCs w:val="17"/>
              </w:rPr>
            </w:pPr>
            <w:r w:rsidRPr="007E5614">
              <w:rPr>
                <w:rFonts w:cs="Arial"/>
                <w:color w:val="000000"/>
                <w:sz w:val="17"/>
                <w:szCs w:val="17"/>
              </w:rPr>
              <w:t>482</w:t>
            </w:r>
          </w:p>
        </w:tc>
        <w:tc>
          <w:tcPr>
            <w:tcW w:w="2443" w:type="dxa"/>
          </w:tcPr>
          <w:p w:rsidR="00AE187C" w:rsidRPr="007E5614" w:rsidRDefault="00AE187C" w:rsidP="00666795">
            <w:pPr>
              <w:jc w:val="right"/>
              <w:rPr>
                <w:rFonts w:cs="Arial"/>
                <w:color w:val="000000"/>
                <w:sz w:val="17"/>
                <w:szCs w:val="17"/>
              </w:rPr>
            </w:pPr>
            <w:r w:rsidRPr="007E5614">
              <w:rPr>
                <w:rFonts w:cs="Arial"/>
                <w:color w:val="000000"/>
                <w:sz w:val="17"/>
                <w:szCs w:val="17"/>
              </w:rPr>
              <w:t>178</w:t>
            </w:r>
          </w:p>
        </w:tc>
      </w:tr>
      <w:tr w:rsidR="00AE187C" w:rsidRPr="007E5614" w:rsidTr="00AE187C">
        <w:tc>
          <w:tcPr>
            <w:tcW w:w="4253" w:type="dxa"/>
            <w:vAlign w:val="center"/>
          </w:tcPr>
          <w:p w:rsidR="00AE187C" w:rsidRPr="007E5614" w:rsidRDefault="00AE187C" w:rsidP="00666795">
            <w:pPr>
              <w:pStyle w:val="Table-AnnualReport"/>
              <w:rPr>
                <w:b/>
              </w:rPr>
            </w:pPr>
            <w:r w:rsidRPr="007E5614">
              <w:rPr>
                <w:b/>
              </w:rPr>
              <w:t>Total</w:t>
            </w:r>
          </w:p>
        </w:tc>
        <w:tc>
          <w:tcPr>
            <w:tcW w:w="2552" w:type="dxa"/>
          </w:tcPr>
          <w:p w:rsidR="00AE187C" w:rsidRPr="007E5614" w:rsidRDefault="00AE187C" w:rsidP="00666795">
            <w:pPr>
              <w:jc w:val="right"/>
              <w:rPr>
                <w:rFonts w:cs="Arial"/>
                <w:b/>
                <w:color w:val="000000"/>
                <w:sz w:val="17"/>
                <w:szCs w:val="17"/>
              </w:rPr>
            </w:pPr>
            <w:r w:rsidRPr="007E5614">
              <w:rPr>
                <w:rFonts w:cs="Arial"/>
                <w:b/>
                <w:color w:val="000000"/>
                <w:sz w:val="17"/>
                <w:szCs w:val="17"/>
              </w:rPr>
              <w:t>1 054</w:t>
            </w:r>
          </w:p>
        </w:tc>
        <w:tc>
          <w:tcPr>
            <w:tcW w:w="2443" w:type="dxa"/>
          </w:tcPr>
          <w:p w:rsidR="00AE187C" w:rsidRPr="007E5614" w:rsidRDefault="00AE187C" w:rsidP="00666795">
            <w:pPr>
              <w:jc w:val="right"/>
              <w:rPr>
                <w:rFonts w:cs="Arial"/>
                <w:b/>
                <w:color w:val="000000"/>
                <w:sz w:val="17"/>
                <w:szCs w:val="17"/>
              </w:rPr>
            </w:pPr>
            <w:r w:rsidRPr="007E5614">
              <w:rPr>
                <w:rFonts w:cs="Arial"/>
                <w:b/>
                <w:color w:val="000000"/>
                <w:sz w:val="17"/>
                <w:szCs w:val="17"/>
              </w:rPr>
              <w:t>803</w:t>
            </w:r>
          </w:p>
        </w:tc>
      </w:tr>
    </w:tbl>
    <w:p w:rsidR="009C0AF4" w:rsidRPr="007E5614" w:rsidRDefault="009C0AF4" w:rsidP="009C0AF4"/>
    <w:p w:rsidR="009C0AF4" w:rsidRPr="007E5614" w:rsidRDefault="009C0AF4" w:rsidP="009C0AF4">
      <w:pPr>
        <w:pStyle w:val="Heading4"/>
      </w:pPr>
      <w:r w:rsidRPr="007E5614">
        <w:t xml:space="preserve">Total Number Paid </w:t>
      </w:r>
      <w:r>
        <w:t xml:space="preserve">Employees </w:t>
      </w:r>
      <w:r w:rsidRPr="007E5614">
        <w:t>by Salary Bands (Total Earnings) – Salary for Award Classification</w:t>
      </w:r>
    </w:p>
    <w:tbl>
      <w:tblPr>
        <w:tblW w:w="9248" w:type="dxa"/>
        <w:tblInd w:w="108" w:type="dxa"/>
        <w:tblBorders>
          <w:top w:val="single" w:sz="2" w:space="0" w:color="808080"/>
          <w:bottom w:val="single" w:sz="2" w:space="0" w:color="808080"/>
          <w:insideH w:val="single" w:sz="2" w:space="0" w:color="808080"/>
        </w:tblBorders>
        <w:tblLook w:val="04A0" w:firstRow="1" w:lastRow="0" w:firstColumn="1" w:lastColumn="0" w:noHBand="0" w:noVBand="1"/>
        <w:tblCaption w:val="Total Number Paid Employees by Salary Bands (Total Earnings) – Salary for Award Classification"/>
      </w:tblPr>
      <w:tblGrid>
        <w:gridCol w:w="4195"/>
        <w:gridCol w:w="1265"/>
        <w:gridCol w:w="1265"/>
        <w:gridCol w:w="1265"/>
        <w:gridCol w:w="1258"/>
      </w:tblGrid>
      <w:tr w:rsidR="00AE187C" w:rsidRPr="007E5614" w:rsidTr="00AE187C">
        <w:tc>
          <w:tcPr>
            <w:tcW w:w="4195" w:type="dxa"/>
            <w:shd w:val="clear" w:color="auto" w:fill="auto"/>
          </w:tcPr>
          <w:p w:rsidR="00AE187C" w:rsidRPr="007E5614" w:rsidRDefault="00AE187C" w:rsidP="00666795">
            <w:pPr>
              <w:keepNext/>
              <w:spacing w:before="60" w:after="60" w:line="240" w:lineRule="auto"/>
              <w:outlineLvl w:val="0"/>
              <w:rPr>
                <w:b/>
                <w:bCs/>
                <w:kern w:val="32"/>
                <w:sz w:val="18"/>
                <w:szCs w:val="18"/>
              </w:rPr>
            </w:pPr>
            <w:r>
              <w:rPr>
                <w:b/>
                <w:bCs/>
                <w:kern w:val="32"/>
                <w:sz w:val="18"/>
                <w:szCs w:val="18"/>
              </w:rPr>
              <w:t>Salary Bands (Total Earnings)</w:t>
            </w:r>
          </w:p>
        </w:tc>
        <w:tc>
          <w:tcPr>
            <w:tcW w:w="1265" w:type="dxa"/>
            <w:shd w:val="clear" w:color="auto" w:fill="auto"/>
            <w:vAlign w:val="center"/>
          </w:tcPr>
          <w:p w:rsidR="00AE187C" w:rsidRPr="007E5614" w:rsidRDefault="00AE187C" w:rsidP="00666795">
            <w:pPr>
              <w:jc w:val="right"/>
              <w:rPr>
                <w:b/>
                <w:kern w:val="32"/>
                <w:sz w:val="18"/>
                <w:szCs w:val="18"/>
              </w:rPr>
            </w:pPr>
            <w:r w:rsidRPr="007E5614">
              <w:rPr>
                <w:b/>
                <w:kern w:val="32"/>
                <w:sz w:val="18"/>
                <w:szCs w:val="18"/>
              </w:rPr>
              <w:t>2012-13</w:t>
            </w:r>
            <w:r w:rsidRPr="007E5614">
              <w:rPr>
                <w:b/>
                <w:kern w:val="32"/>
                <w:sz w:val="18"/>
                <w:szCs w:val="18"/>
                <w:vertAlign w:val="superscript"/>
              </w:rPr>
              <w:t>1</w:t>
            </w:r>
          </w:p>
        </w:tc>
        <w:tc>
          <w:tcPr>
            <w:tcW w:w="1265" w:type="dxa"/>
            <w:shd w:val="clear" w:color="auto" w:fill="auto"/>
          </w:tcPr>
          <w:p w:rsidR="00AE187C" w:rsidRPr="009C0AF4" w:rsidRDefault="00AE187C" w:rsidP="00666795">
            <w:pPr>
              <w:jc w:val="right"/>
              <w:rPr>
                <w:b/>
                <w:kern w:val="32"/>
                <w:sz w:val="18"/>
                <w:szCs w:val="18"/>
              </w:rPr>
            </w:pPr>
            <w:r w:rsidRPr="009C0AF4">
              <w:rPr>
                <w:b/>
                <w:kern w:val="32"/>
                <w:sz w:val="18"/>
                <w:szCs w:val="18"/>
              </w:rPr>
              <w:t>2013-14</w:t>
            </w:r>
            <w:r w:rsidRPr="009C0AF4">
              <w:rPr>
                <w:b/>
                <w:kern w:val="32"/>
                <w:sz w:val="18"/>
                <w:szCs w:val="18"/>
                <w:vertAlign w:val="superscript"/>
              </w:rPr>
              <w:t>1</w:t>
            </w:r>
          </w:p>
        </w:tc>
        <w:tc>
          <w:tcPr>
            <w:tcW w:w="1265" w:type="dxa"/>
          </w:tcPr>
          <w:p w:rsidR="00AE187C" w:rsidRPr="007E5614" w:rsidRDefault="00AE187C" w:rsidP="00666795">
            <w:pPr>
              <w:jc w:val="right"/>
              <w:rPr>
                <w:b/>
                <w:kern w:val="32"/>
                <w:sz w:val="18"/>
                <w:szCs w:val="18"/>
              </w:rPr>
            </w:pPr>
            <w:r w:rsidRPr="007E5614">
              <w:rPr>
                <w:b/>
                <w:kern w:val="32"/>
                <w:sz w:val="18"/>
                <w:szCs w:val="18"/>
              </w:rPr>
              <w:t>2014-15</w:t>
            </w:r>
            <w:r w:rsidRPr="007E5614">
              <w:rPr>
                <w:b/>
                <w:kern w:val="32"/>
                <w:sz w:val="18"/>
                <w:szCs w:val="18"/>
                <w:vertAlign w:val="superscript"/>
              </w:rPr>
              <w:t>1</w:t>
            </w:r>
          </w:p>
        </w:tc>
        <w:tc>
          <w:tcPr>
            <w:tcW w:w="1258" w:type="dxa"/>
          </w:tcPr>
          <w:p w:rsidR="00AE187C" w:rsidRPr="007E5614" w:rsidRDefault="00AE187C" w:rsidP="00666795">
            <w:pPr>
              <w:jc w:val="right"/>
              <w:rPr>
                <w:b/>
                <w:kern w:val="32"/>
                <w:sz w:val="18"/>
                <w:szCs w:val="18"/>
              </w:rPr>
            </w:pPr>
            <w:r w:rsidRPr="007E5614">
              <w:rPr>
                <w:b/>
                <w:kern w:val="32"/>
                <w:sz w:val="18"/>
                <w:szCs w:val="18"/>
              </w:rPr>
              <w:t>2015-16</w:t>
            </w:r>
          </w:p>
        </w:tc>
      </w:tr>
      <w:tr w:rsidR="00AE187C" w:rsidRPr="007E5614" w:rsidTr="00AE187C">
        <w:tc>
          <w:tcPr>
            <w:tcW w:w="4195" w:type="dxa"/>
            <w:vAlign w:val="center"/>
          </w:tcPr>
          <w:p w:rsidR="00AE187C" w:rsidRPr="007E5614" w:rsidRDefault="00AE187C" w:rsidP="00666795">
            <w:pPr>
              <w:pStyle w:val="Table-AnnualReport"/>
            </w:pPr>
            <w:bookmarkStart w:id="209" w:name="_Toc304279239"/>
            <w:r w:rsidRPr="007E5614">
              <w:t>40 001-45 000</w:t>
            </w:r>
            <w:bookmarkEnd w:id="209"/>
          </w:p>
        </w:tc>
        <w:tc>
          <w:tcPr>
            <w:tcW w:w="1265" w:type="dxa"/>
            <w:vAlign w:val="center"/>
          </w:tcPr>
          <w:p w:rsidR="00AE187C" w:rsidRPr="007E5614" w:rsidRDefault="00AE187C" w:rsidP="00AE187C">
            <w:pPr>
              <w:jc w:val="right"/>
              <w:rPr>
                <w:rFonts w:cs="Arial"/>
                <w:color w:val="000000"/>
                <w:sz w:val="17"/>
                <w:szCs w:val="17"/>
              </w:rPr>
            </w:pPr>
            <w:r w:rsidRPr="007E5614">
              <w:rPr>
                <w:rFonts w:cs="Arial"/>
                <w:color w:val="000000"/>
                <w:sz w:val="17"/>
                <w:szCs w:val="17"/>
              </w:rPr>
              <w:t>10</w:t>
            </w:r>
          </w:p>
        </w:tc>
        <w:tc>
          <w:tcPr>
            <w:tcW w:w="1265" w:type="dxa"/>
            <w:shd w:val="clear" w:color="auto" w:fill="auto"/>
            <w:vAlign w:val="center"/>
          </w:tcPr>
          <w:p w:rsidR="00AE187C" w:rsidRPr="009C0AF4" w:rsidRDefault="00AE187C" w:rsidP="00AE187C">
            <w:pPr>
              <w:jc w:val="right"/>
              <w:rPr>
                <w:rFonts w:cs="Arial"/>
                <w:color w:val="000000"/>
                <w:sz w:val="17"/>
                <w:szCs w:val="17"/>
              </w:rPr>
            </w:pPr>
            <w:r w:rsidRPr="009C0AF4">
              <w:rPr>
                <w:rFonts w:cs="Arial"/>
                <w:color w:val="000000"/>
                <w:sz w:val="17"/>
                <w:szCs w:val="17"/>
              </w:rPr>
              <w:t>2</w:t>
            </w:r>
          </w:p>
        </w:tc>
        <w:tc>
          <w:tcPr>
            <w:tcW w:w="1265" w:type="dxa"/>
            <w:vAlign w:val="center"/>
          </w:tcPr>
          <w:p w:rsidR="00AE187C" w:rsidRPr="007E5614" w:rsidRDefault="00AE187C" w:rsidP="00AE187C">
            <w:pPr>
              <w:jc w:val="right"/>
              <w:rPr>
                <w:rFonts w:cs="Arial"/>
                <w:color w:val="000000"/>
                <w:sz w:val="17"/>
                <w:szCs w:val="17"/>
              </w:rPr>
            </w:pPr>
            <w:r w:rsidRPr="007E5614">
              <w:rPr>
                <w:rFonts w:cs="Arial"/>
                <w:color w:val="000000"/>
                <w:sz w:val="17"/>
                <w:szCs w:val="17"/>
              </w:rPr>
              <w:t>1</w:t>
            </w:r>
          </w:p>
        </w:tc>
        <w:tc>
          <w:tcPr>
            <w:tcW w:w="1258" w:type="dxa"/>
            <w:vAlign w:val="center"/>
          </w:tcPr>
          <w:p w:rsidR="00AE187C" w:rsidRPr="007E5614" w:rsidRDefault="00AE187C" w:rsidP="00AE187C">
            <w:pPr>
              <w:pStyle w:val="Table-AnnualReport"/>
              <w:jc w:val="right"/>
              <w:rPr>
                <w:rFonts w:cs="Arial"/>
                <w:color w:val="000000"/>
                <w:sz w:val="17"/>
                <w:szCs w:val="17"/>
              </w:rPr>
            </w:pPr>
            <w:r w:rsidRPr="007E5614">
              <w:rPr>
                <w:rFonts w:cs="Arial"/>
                <w:color w:val="000000"/>
                <w:sz w:val="17"/>
                <w:szCs w:val="17"/>
              </w:rPr>
              <w:t>0</w:t>
            </w:r>
          </w:p>
        </w:tc>
      </w:tr>
      <w:tr w:rsidR="00AE187C" w:rsidRPr="007E5614" w:rsidTr="00AE187C">
        <w:tc>
          <w:tcPr>
            <w:tcW w:w="4195" w:type="dxa"/>
            <w:vAlign w:val="center"/>
          </w:tcPr>
          <w:p w:rsidR="00AE187C" w:rsidRPr="007E5614" w:rsidRDefault="00AE187C" w:rsidP="00666795">
            <w:pPr>
              <w:pStyle w:val="Table-AnnualReport"/>
            </w:pPr>
            <w:bookmarkStart w:id="210" w:name="_Toc304279244"/>
            <w:r w:rsidRPr="007E5614">
              <w:t>45 001-50 000</w:t>
            </w:r>
            <w:bookmarkEnd w:id="210"/>
          </w:p>
        </w:tc>
        <w:tc>
          <w:tcPr>
            <w:tcW w:w="1265" w:type="dxa"/>
            <w:vAlign w:val="center"/>
          </w:tcPr>
          <w:p w:rsidR="00AE187C" w:rsidRPr="007E5614" w:rsidRDefault="00AE187C" w:rsidP="00AE187C">
            <w:pPr>
              <w:jc w:val="right"/>
              <w:rPr>
                <w:rFonts w:cs="Arial"/>
                <w:color w:val="000000"/>
                <w:sz w:val="17"/>
                <w:szCs w:val="17"/>
              </w:rPr>
            </w:pPr>
            <w:r w:rsidRPr="007E5614">
              <w:rPr>
                <w:rFonts w:cs="Arial"/>
                <w:color w:val="000000"/>
                <w:sz w:val="17"/>
                <w:szCs w:val="17"/>
              </w:rPr>
              <w:t>60</w:t>
            </w:r>
          </w:p>
        </w:tc>
        <w:tc>
          <w:tcPr>
            <w:tcW w:w="1265" w:type="dxa"/>
            <w:shd w:val="clear" w:color="auto" w:fill="auto"/>
            <w:vAlign w:val="center"/>
          </w:tcPr>
          <w:p w:rsidR="00AE187C" w:rsidRPr="009C0AF4" w:rsidRDefault="00AE187C" w:rsidP="00AE187C">
            <w:pPr>
              <w:jc w:val="right"/>
              <w:rPr>
                <w:rFonts w:cs="Arial"/>
                <w:color w:val="000000"/>
                <w:sz w:val="17"/>
                <w:szCs w:val="17"/>
              </w:rPr>
            </w:pPr>
            <w:r w:rsidRPr="009C0AF4">
              <w:rPr>
                <w:rFonts w:cs="Arial"/>
                <w:color w:val="000000"/>
                <w:sz w:val="17"/>
                <w:szCs w:val="17"/>
              </w:rPr>
              <w:t>62</w:t>
            </w:r>
          </w:p>
        </w:tc>
        <w:tc>
          <w:tcPr>
            <w:tcW w:w="1265" w:type="dxa"/>
            <w:vAlign w:val="center"/>
          </w:tcPr>
          <w:p w:rsidR="00AE187C" w:rsidRPr="007E5614" w:rsidRDefault="00AE187C" w:rsidP="00AE187C">
            <w:pPr>
              <w:jc w:val="right"/>
              <w:rPr>
                <w:rFonts w:cs="Arial"/>
                <w:color w:val="000000"/>
                <w:sz w:val="17"/>
                <w:szCs w:val="17"/>
              </w:rPr>
            </w:pPr>
            <w:r w:rsidRPr="007E5614">
              <w:rPr>
                <w:rFonts w:cs="Arial"/>
                <w:color w:val="000000"/>
                <w:sz w:val="17"/>
                <w:szCs w:val="17"/>
              </w:rPr>
              <w:t>27</w:t>
            </w:r>
          </w:p>
        </w:tc>
        <w:tc>
          <w:tcPr>
            <w:tcW w:w="1258" w:type="dxa"/>
            <w:vAlign w:val="center"/>
          </w:tcPr>
          <w:p w:rsidR="00AE187C" w:rsidRPr="007E5614" w:rsidRDefault="00AE187C" w:rsidP="00AE187C">
            <w:pPr>
              <w:jc w:val="right"/>
              <w:rPr>
                <w:rFonts w:cs="Arial"/>
                <w:color w:val="000000"/>
                <w:sz w:val="17"/>
                <w:szCs w:val="17"/>
              </w:rPr>
            </w:pPr>
            <w:r w:rsidRPr="007E5614">
              <w:rPr>
                <w:rFonts w:cs="Arial"/>
                <w:color w:val="000000"/>
                <w:sz w:val="17"/>
                <w:szCs w:val="17"/>
              </w:rPr>
              <w:t>13</w:t>
            </w:r>
          </w:p>
        </w:tc>
      </w:tr>
      <w:tr w:rsidR="00AE187C" w:rsidRPr="007E5614" w:rsidTr="00AE187C">
        <w:tc>
          <w:tcPr>
            <w:tcW w:w="4195" w:type="dxa"/>
            <w:vAlign w:val="center"/>
          </w:tcPr>
          <w:p w:rsidR="00AE187C" w:rsidRPr="007E5614" w:rsidRDefault="00AE187C" w:rsidP="00666795">
            <w:pPr>
              <w:pStyle w:val="Table-AnnualReport"/>
            </w:pPr>
            <w:bookmarkStart w:id="211" w:name="_Toc304279249"/>
            <w:r w:rsidRPr="007E5614">
              <w:t>50 001-55 000</w:t>
            </w:r>
            <w:bookmarkEnd w:id="211"/>
          </w:p>
        </w:tc>
        <w:tc>
          <w:tcPr>
            <w:tcW w:w="1265" w:type="dxa"/>
            <w:vAlign w:val="center"/>
          </w:tcPr>
          <w:p w:rsidR="00AE187C" w:rsidRPr="007E5614" w:rsidRDefault="00AE187C" w:rsidP="00AE187C">
            <w:pPr>
              <w:jc w:val="right"/>
              <w:rPr>
                <w:rFonts w:cs="Arial"/>
                <w:color w:val="000000"/>
                <w:sz w:val="17"/>
                <w:szCs w:val="17"/>
              </w:rPr>
            </w:pPr>
            <w:r w:rsidRPr="007E5614">
              <w:rPr>
                <w:rFonts w:cs="Arial"/>
                <w:color w:val="000000"/>
                <w:sz w:val="17"/>
                <w:szCs w:val="17"/>
              </w:rPr>
              <w:t>172</w:t>
            </w:r>
          </w:p>
        </w:tc>
        <w:tc>
          <w:tcPr>
            <w:tcW w:w="1265" w:type="dxa"/>
            <w:shd w:val="clear" w:color="auto" w:fill="auto"/>
            <w:vAlign w:val="center"/>
          </w:tcPr>
          <w:p w:rsidR="00AE187C" w:rsidRPr="009C0AF4" w:rsidRDefault="00AE187C" w:rsidP="00AE187C">
            <w:pPr>
              <w:jc w:val="right"/>
              <w:rPr>
                <w:rFonts w:cs="Arial"/>
                <w:color w:val="000000"/>
                <w:sz w:val="17"/>
                <w:szCs w:val="17"/>
              </w:rPr>
            </w:pPr>
            <w:r w:rsidRPr="009C0AF4">
              <w:rPr>
                <w:rFonts w:cs="Arial"/>
                <w:color w:val="000000"/>
                <w:sz w:val="17"/>
                <w:szCs w:val="17"/>
              </w:rPr>
              <w:t>174</w:t>
            </w:r>
          </w:p>
        </w:tc>
        <w:tc>
          <w:tcPr>
            <w:tcW w:w="1265" w:type="dxa"/>
            <w:vAlign w:val="center"/>
          </w:tcPr>
          <w:p w:rsidR="00AE187C" w:rsidRPr="007E5614" w:rsidRDefault="00AE187C" w:rsidP="00AE187C">
            <w:pPr>
              <w:jc w:val="right"/>
              <w:rPr>
                <w:rFonts w:cs="Arial"/>
                <w:color w:val="000000"/>
                <w:sz w:val="17"/>
                <w:szCs w:val="17"/>
              </w:rPr>
            </w:pPr>
            <w:r w:rsidRPr="007E5614">
              <w:rPr>
                <w:rFonts w:cs="Arial"/>
                <w:color w:val="000000"/>
                <w:sz w:val="17"/>
                <w:szCs w:val="17"/>
              </w:rPr>
              <w:t>132</w:t>
            </w:r>
          </w:p>
        </w:tc>
        <w:tc>
          <w:tcPr>
            <w:tcW w:w="1258" w:type="dxa"/>
            <w:vAlign w:val="center"/>
          </w:tcPr>
          <w:p w:rsidR="00AE187C" w:rsidRPr="007E5614" w:rsidRDefault="00AE187C" w:rsidP="00AE187C">
            <w:pPr>
              <w:jc w:val="right"/>
              <w:rPr>
                <w:rFonts w:cs="Arial"/>
                <w:color w:val="000000"/>
                <w:sz w:val="17"/>
                <w:szCs w:val="17"/>
              </w:rPr>
            </w:pPr>
            <w:r w:rsidRPr="007E5614">
              <w:rPr>
                <w:rFonts w:cs="Arial"/>
                <w:color w:val="000000"/>
                <w:sz w:val="17"/>
                <w:szCs w:val="17"/>
              </w:rPr>
              <w:t>46</w:t>
            </w:r>
          </w:p>
        </w:tc>
      </w:tr>
      <w:tr w:rsidR="00AE187C" w:rsidRPr="007E5614" w:rsidTr="00AE187C">
        <w:tc>
          <w:tcPr>
            <w:tcW w:w="4195" w:type="dxa"/>
            <w:vAlign w:val="center"/>
          </w:tcPr>
          <w:p w:rsidR="00AE187C" w:rsidRPr="007E5614" w:rsidRDefault="00AE187C" w:rsidP="00666795">
            <w:pPr>
              <w:pStyle w:val="Table-AnnualReport"/>
            </w:pPr>
            <w:bookmarkStart w:id="212" w:name="_Toc304279254"/>
            <w:r w:rsidRPr="007E5614">
              <w:t>55 001-60 000</w:t>
            </w:r>
            <w:bookmarkEnd w:id="212"/>
          </w:p>
        </w:tc>
        <w:tc>
          <w:tcPr>
            <w:tcW w:w="1265" w:type="dxa"/>
            <w:vAlign w:val="center"/>
          </w:tcPr>
          <w:p w:rsidR="00AE187C" w:rsidRPr="007E5614" w:rsidRDefault="00AE187C" w:rsidP="00AE187C">
            <w:pPr>
              <w:jc w:val="right"/>
              <w:rPr>
                <w:rFonts w:cs="Arial"/>
                <w:color w:val="000000"/>
                <w:sz w:val="17"/>
                <w:szCs w:val="17"/>
              </w:rPr>
            </w:pPr>
            <w:r w:rsidRPr="007E5614">
              <w:rPr>
                <w:rFonts w:cs="Arial"/>
                <w:color w:val="000000"/>
                <w:sz w:val="17"/>
                <w:szCs w:val="17"/>
              </w:rPr>
              <w:t>206</w:t>
            </w:r>
          </w:p>
        </w:tc>
        <w:tc>
          <w:tcPr>
            <w:tcW w:w="1265" w:type="dxa"/>
            <w:shd w:val="clear" w:color="auto" w:fill="auto"/>
            <w:vAlign w:val="center"/>
          </w:tcPr>
          <w:p w:rsidR="00AE187C" w:rsidRPr="009C0AF4" w:rsidRDefault="00AE187C" w:rsidP="00AE187C">
            <w:pPr>
              <w:jc w:val="right"/>
              <w:rPr>
                <w:rFonts w:cs="Arial"/>
                <w:color w:val="000000"/>
                <w:sz w:val="17"/>
                <w:szCs w:val="17"/>
              </w:rPr>
            </w:pPr>
            <w:r w:rsidRPr="009C0AF4">
              <w:rPr>
                <w:rFonts w:cs="Arial"/>
                <w:color w:val="000000"/>
                <w:sz w:val="17"/>
                <w:szCs w:val="17"/>
              </w:rPr>
              <w:t>182</w:t>
            </w:r>
          </w:p>
        </w:tc>
        <w:tc>
          <w:tcPr>
            <w:tcW w:w="1265" w:type="dxa"/>
            <w:vAlign w:val="center"/>
          </w:tcPr>
          <w:p w:rsidR="00AE187C" w:rsidRPr="007E5614" w:rsidRDefault="00AE187C" w:rsidP="00AE187C">
            <w:pPr>
              <w:jc w:val="right"/>
              <w:rPr>
                <w:rFonts w:cs="Arial"/>
                <w:color w:val="000000"/>
                <w:sz w:val="17"/>
                <w:szCs w:val="17"/>
              </w:rPr>
            </w:pPr>
            <w:r w:rsidRPr="007E5614">
              <w:rPr>
                <w:rFonts w:cs="Arial"/>
                <w:color w:val="000000"/>
                <w:sz w:val="17"/>
                <w:szCs w:val="17"/>
              </w:rPr>
              <w:t>49</w:t>
            </w:r>
          </w:p>
        </w:tc>
        <w:tc>
          <w:tcPr>
            <w:tcW w:w="1258" w:type="dxa"/>
            <w:vAlign w:val="center"/>
          </w:tcPr>
          <w:p w:rsidR="00AE187C" w:rsidRPr="007E5614" w:rsidRDefault="00AE187C" w:rsidP="00AE187C">
            <w:pPr>
              <w:jc w:val="right"/>
              <w:rPr>
                <w:rFonts w:cs="Arial"/>
                <w:color w:val="000000"/>
                <w:sz w:val="17"/>
                <w:szCs w:val="17"/>
              </w:rPr>
            </w:pPr>
            <w:r w:rsidRPr="007E5614">
              <w:rPr>
                <w:rFonts w:cs="Arial"/>
                <w:color w:val="000000"/>
                <w:sz w:val="17"/>
                <w:szCs w:val="17"/>
              </w:rPr>
              <w:t>157</w:t>
            </w:r>
          </w:p>
        </w:tc>
      </w:tr>
      <w:tr w:rsidR="00AE187C" w:rsidRPr="007E5614" w:rsidTr="00AE187C">
        <w:tc>
          <w:tcPr>
            <w:tcW w:w="4195" w:type="dxa"/>
            <w:vAlign w:val="center"/>
          </w:tcPr>
          <w:p w:rsidR="00AE187C" w:rsidRPr="007E5614" w:rsidRDefault="00AE187C" w:rsidP="00666795">
            <w:pPr>
              <w:pStyle w:val="Table-AnnualReport"/>
            </w:pPr>
            <w:bookmarkStart w:id="213" w:name="_Toc304279259"/>
            <w:r w:rsidRPr="007E5614">
              <w:t>60 001-65 000</w:t>
            </w:r>
            <w:bookmarkEnd w:id="213"/>
            <w:r w:rsidRPr="007E5614">
              <w:t xml:space="preserve"> </w:t>
            </w:r>
          </w:p>
        </w:tc>
        <w:tc>
          <w:tcPr>
            <w:tcW w:w="1265" w:type="dxa"/>
            <w:vAlign w:val="center"/>
          </w:tcPr>
          <w:p w:rsidR="00AE187C" w:rsidRPr="007E5614" w:rsidRDefault="00AE187C" w:rsidP="00AE187C">
            <w:pPr>
              <w:jc w:val="right"/>
              <w:rPr>
                <w:rFonts w:cs="Arial"/>
                <w:color w:val="000000"/>
                <w:sz w:val="17"/>
                <w:szCs w:val="17"/>
              </w:rPr>
            </w:pPr>
            <w:r w:rsidRPr="007E5614">
              <w:rPr>
                <w:rFonts w:cs="Arial"/>
                <w:color w:val="000000"/>
                <w:sz w:val="17"/>
                <w:szCs w:val="17"/>
              </w:rPr>
              <w:t>137</w:t>
            </w:r>
          </w:p>
        </w:tc>
        <w:tc>
          <w:tcPr>
            <w:tcW w:w="1265" w:type="dxa"/>
            <w:shd w:val="clear" w:color="auto" w:fill="auto"/>
            <w:vAlign w:val="center"/>
          </w:tcPr>
          <w:p w:rsidR="00AE187C" w:rsidRPr="009C0AF4" w:rsidRDefault="00AE187C" w:rsidP="00AE187C">
            <w:pPr>
              <w:jc w:val="right"/>
              <w:rPr>
                <w:rFonts w:cs="Arial"/>
                <w:color w:val="000000"/>
                <w:sz w:val="17"/>
                <w:szCs w:val="17"/>
              </w:rPr>
            </w:pPr>
            <w:r w:rsidRPr="009C0AF4">
              <w:rPr>
                <w:rFonts w:cs="Arial"/>
                <w:color w:val="000000"/>
                <w:sz w:val="17"/>
                <w:szCs w:val="17"/>
              </w:rPr>
              <w:t>78</w:t>
            </w:r>
          </w:p>
        </w:tc>
        <w:tc>
          <w:tcPr>
            <w:tcW w:w="1265" w:type="dxa"/>
            <w:vAlign w:val="center"/>
          </w:tcPr>
          <w:p w:rsidR="00AE187C" w:rsidRPr="007E5614" w:rsidRDefault="00AE187C" w:rsidP="00AE187C">
            <w:pPr>
              <w:jc w:val="right"/>
              <w:rPr>
                <w:rFonts w:cs="Arial"/>
                <w:color w:val="000000"/>
                <w:sz w:val="17"/>
                <w:szCs w:val="17"/>
              </w:rPr>
            </w:pPr>
            <w:r w:rsidRPr="007E5614">
              <w:rPr>
                <w:rFonts w:cs="Arial"/>
                <w:color w:val="000000"/>
                <w:sz w:val="17"/>
                <w:szCs w:val="17"/>
              </w:rPr>
              <w:t>145</w:t>
            </w:r>
          </w:p>
        </w:tc>
        <w:tc>
          <w:tcPr>
            <w:tcW w:w="1258" w:type="dxa"/>
            <w:vAlign w:val="center"/>
          </w:tcPr>
          <w:p w:rsidR="00AE187C" w:rsidRPr="007E5614" w:rsidRDefault="00AE187C" w:rsidP="00AE187C">
            <w:pPr>
              <w:jc w:val="right"/>
              <w:rPr>
                <w:rFonts w:cs="Arial"/>
                <w:color w:val="000000"/>
                <w:sz w:val="17"/>
                <w:szCs w:val="17"/>
              </w:rPr>
            </w:pPr>
            <w:r w:rsidRPr="007E5614">
              <w:rPr>
                <w:rFonts w:cs="Arial"/>
                <w:color w:val="000000"/>
                <w:sz w:val="17"/>
                <w:szCs w:val="17"/>
              </w:rPr>
              <w:t>131</w:t>
            </w:r>
          </w:p>
        </w:tc>
      </w:tr>
      <w:tr w:rsidR="00AE187C" w:rsidRPr="007E5614" w:rsidTr="00AE187C">
        <w:tc>
          <w:tcPr>
            <w:tcW w:w="4195" w:type="dxa"/>
            <w:vAlign w:val="center"/>
          </w:tcPr>
          <w:p w:rsidR="00AE187C" w:rsidRPr="007E5614" w:rsidRDefault="00AE187C" w:rsidP="00666795">
            <w:pPr>
              <w:pStyle w:val="Table-AnnualReport"/>
            </w:pPr>
            <w:bookmarkStart w:id="214" w:name="_Toc304279264"/>
            <w:r w:rsidRPr="007E5614">
              <w:t>65 001-70 000</w:t>
            </w:r>
            <w:bookmarkEnd w:id="214"/>
          </w:p>
        </w:tc>
        <w:tc>
          <w:tcPr>
            <w:tcW w:w="1265" w:type="dxa"/>
            <w:vAlign w:val="center"/>
          </w:tcPr>
          <w:p w:rsidR="00AE187C" w:rsidRPr="007E5614" w:rsidRDefault="00AE187C" w:rsidP="00AE187C">
            <w:pPr>
              <w:jc w:val="right"/>
              <w:rPr>
                <w:rFonts w:cs="Arial"/>
                <w:color w:val="000000"/>
                <w:sz w:val="17"/>
                <w:szCs w:val="17"/>
              </w:rPr>
            </w:pPr>
            <w:r w:rsidRPr="007E5614">
              <w:rPr>
                <w:rFonts w:cs="Arial"/>
                <w:color w:val="000000"/>
                <w:sz w:val="17"/>
                <w:szCs w:val="17"/>
              </w:rPr>
              <w:t>206</w:t>
            </w:r>
          </w:p>
        </w:tc>
        <w:tc>
          <w:tcPr>
            <w:tcW w:w="1265" w:type="dxa"/>
            <w:shd w:val="clear" w:color="auto" w:fill="auto"/>
            <w:vAlign w:val="center"/>
          </w:tcPr>
          <w:p w:rsidR="00AE187C" w:rsidRPr="009C0AF4" w:rsidRDefault="00AE187C" w:rsidP="00AE187C">
            <w:pPr>
              <w:jc w:val="right"/>
              <w:rPr>
                <w:rFonts w:cs="Arial"/>
                <w:color w:val="000000"/>
                <w:sz w:val="17"/>
                <w:szCs w:val="17"/>
              </w:rPr>
            </w:pPr>
            <w:r w:rsidRPr="009C0AF4">
              <w:rPr>
                <w:rFonts w:cs="Arial"/>
                <w:color w:val="000000"/>
                <w:sz w:val="17"/>
                <w:szCs w:val="17"/>
              </w:rPr>
              <w:t>132</w:t>
            </w:r>
          </w:p>
        </w:tc>
        <w:tc>
          <w:tcPr>
            <w:tcW w:w="1265" w:type="dxa"/>
            <w:vAlign w:val="center"/>
          </w:tcPr>
          <w:p w:rsidR="00AE187C" w:rsidRPr="007E5614" w:rsidRDefault="00AE187C" w:rsidP="00AE187C">
            <w:pPr>
              <w:jc w:val="right"/>
              <w:rPr>
                <w:rFonts w:cs="Arial"/>
                <w:color w:val="000000"/>
                <w:sz w:val="17"/>
                <w:szCs w:val="17"/>
              </w:rPr>
            </w:pPr>
            <w:r w:rsidRPr="007E5614">
              <w:rPr>
                <w:rFonts w:cs="Arial"/>
                <w:color w:val="000000"/>
                <w:sz w:val="17"/>
                <w:szCs w:val="17"/>
              </w:rPr>
              <w:t>115</w:t>
            </w:r>
          </w:p>
        </w:tc>
        <w:tc>
          <w:tcPr>
            <w:tcW w:w="1258" w:type="dxa"/>
            <w:vAlign w:val="center"/>
          </w:tcPr>
          <w:p w:rsidR="00AE187C" w:rsidRPr="007E5614" w:rsidRDefault="00AE187C" w:rsidP="00AE187C">
            <w:pPr>
              <w:jc w:val="right"/>
              <w:rPr>
                <w:rFonts w:cs="Arial"/>
                <w:color w:val="000000"/>
                <w:sz w:val="17"/>
                <w:szCs w:val="17"/>
              </w:rPr>
            </w:pPr>
            <w:r w:rsidRPr="007E5614">
              <w:rPr>
                <w:rFonts w:cs="Arial"/>
                <w:color w:val="000000"/>
                <w:sz w:val="17"/>
                <w:szCs w:val="17"/>
              </w:rPr>
              <w:t>66</w:t>
            </w:r>
          </w:p>
        </w:tc>
      </w:tr>
      <w:tr w:rsidR="00AE187C" w:rsidRPr="007E5614" w:rsidTr="00AE187C">
        <w:tc>
          <w:tcPr>
            <w:tcW w:w="4195" w:type="dxa"/>
            <w:vAlign w:val="center"/>
          </w:tcPr>
          <w:p w:rsidR="00AE187C" w:rsidRPr="007E5614" w:rsidRDefault="00AE187C" w:rsidP="00666795">
            <w:pPr>
              <w:pStyle w:val="Table-AnnualReport"/>
            </w:pPr>
            <w:bookmarkStart w:id="215" w:name="_Toc304279269"/>
            <w:r w:rsidRPr="007E5614">
              <w:t>70 001-75 000</w:t>
            </w:r>
            <w:bookmarkEnd w:id="215"/>
          </w:p>
        </w:tc>
        <w:tc>
          <w:tcPr>
            <w:tcW w:w="1265" w:type="dxa"/>
            <w:vAlign w:val="center"/>
          </w:tcPr>
          <w:p w:rsidR="00AE187C" w:rsidRPr="007E5614" w:rsidRDefault="00AE187C" w:rsidP="00AE187C">
            <w:pPr>
              <w:jc w:val="right"/>
              <w:rPr>
                <w:rFonts w:cs="Arial"/>
                <w:color w:val="000000"/>
                <w:sz w:val="17"/>
                <w:szCs w:val="17"/>
              </w:rPr>
            </w:pPr>
            <w:r w:rsidRPr="007E5614">
              <w:rPr>
                <w:rFonts w:cs="Arial"/>
                <w:color w:val="000000"/>
                <w:sz w:val="17"/>
                <w:szCs w:val="17"/>
              </w:rPr>
              <w:t>187</w:t>
            </w:r>
          </w:p>
        </w:tc>
        <w:tc>
          <w:tcPr>
            <w:tcW w:w="1265" w:type="dxa"/>
            <w:shd w:val="clear" w:color="auto" w:fill="auto"/>
            <w:vAlign w:val="center"/>
          </w:tcPr>
          <w:p w:rsidR="00AE187C" w:rsidRPr="009C0AF4" w:rsidRDefault="00AE187C" w:rsidP="00AE187C">
            <w:pPr>
              <w:jc w:val="right"/>
              <w:rPr>
                <w:rFonts w:cs="Arial"/>
                <w:color w:val="000000"/>
                <w:sz w:val="17"/>
                <w:szCs w:val="17"/>
              </w:rPr>
            </w:pPr>
            <w:r w:rsidRPr="009C0AF4">
              <w:rPr>
                <w:rFonts w:cs="Arial"/>
                <w:color w:val="000000"/>
                <w:sz w:val="17"/>
                <w:szCs w:val="17"/>
              </w:rPr>
              <w:t>240</w:t>
            </w:r>
          </w:p>
        </w:tc>
        <w:tc>
          <w:tcPr>
            <w:tcW w:w="1265" w:type="dxa"/>
            <w:vAlign w:val="center"/>
          </w:tcPr>
          <w:p w:rsidR="00AE187C" w:rsidRPr="007E5614" w:rsidRDefault="00AE187C" w:rsidP="00AE187C">
            <w:pPr>
              <w:jc w:val="right"/>
              <w:rPr>
                <w:rFonts w:cs="Arial"/>
                <w:color w:val="000000"/>
                <w:sz w:val="17"/>
                <w:szCs w:val="17"/>
              </w:rPr>
            </w:pPr>
            <w:r w:rsidRPr="007E5614">
              <w:rPr>
                <w:rFonts w:cs="Arial"/>
                <w:color w:val="000000"/>
                <w:sz w:val="17"/>
                <w:szCs w:val="17"/>
              </w:rPr>
              <w:t>179</w:t>
            </w:r>
          </w:p>
        </w:tc>
        <w:tc>
          <w:tcPr>
            <w:tcW w:w="1258" w:type="dxa"/>
            <w:vAlign w:val="center"/>
          </w:tcPr>
          <w:p w:rsidR="00AE187C" w:rsidRPr="007E5614" w:rsidRDefault="00AE187C" w:rsidP="00AE187C">
            <w:pPr>
              <w:jc w:val="right"/>
              <w:rPr>
                <w:rFonts w:cs="Arial"/>
                <w:color w:val="000000"/>
                <w:sz w:val="17"/>
                <w:szCs w:val="17"/>
              </w:rPr>
            </w:pPr>
            <w:r w:rsidRPr="007E5614">
              <w:rPr>
                <w:rFonts w:cs="Arial"/>
                <w:color w:val="000000"/>
                <w:sz w:val="17"/>
                <w:szCs w:val="17"/>
              </w:rPr>
              <w:t>205</w:t>
            </w:r>
          </w:p>
        </w:tc>
      </w:tr>
      <w:tr w:rsidR="00AE187C" w:rsidRPr="007E5614" w:rsidTr="00AE187C">
        <w:tc>
          <w:tcPr>
            <w:tcW w:w="4195" w:type="dxa"/>
            <w:vAlign w:val="center"/>
          </w:tcPr>
          <w:p w:rsidR="00AE187C" w:rsidRPr="007E5614" w:rsidRDefault="00AE187C" w:rsidP="00666795">
            <w:pPr>
              <w:pStyle w:val="Table-AnnualReport"/>
            </w:pPr>
            <w:bookmarkStart w:id="216" w:name="_Toc304279274"/>
            <w:r w:rsidRPr="007E5614">
              <w:t>75 001-80 000</w:t>
            </w:r>
            <w:bookmarkEnd w:id="216"/>
          </w:p>
        </w:tc>
        <w:tc>
          <w:tcPr>
            <w:tcW w:w="1265" w:type="dxa"/>
            <w:vAlign w:val="center"/>
          </w:tcPr>
          <w:p w:rsidR="00AE187C" w:rsidRPr="007E5614" w:rsidRDefault="00AE187C" w:rsidP="00AE187C">
            <w:pPr>
              <w:jc w:val="right"/>
              <w:rPr>
                <w:rFonts w:cs="Arial"/>
                <w:color w:val="000000"/>
                <w:sz w:val="17"/>
                <w:szCs w:val="17"/>
              </w:rPr>
            </w:pPr>
            <w:r w:rsidRPr="007E5614">
              <w:rPr>
                <w:rFonts w:cs="Arial"/>
                <w:color w:val="000000"/>
                <w:sz w:val="17"/>
                <w:szCs w:val="17"/>
              </w:rPr>
              <w:t>253</w:t>
            </w:r>
          </w:p>
        </w:tc>
        <w:tc>
          <w:tcPr>
            <w:tcW w:w="1265" w:type="dxa"/>
            <w:shd w:val="clear" w:color="auto" w:fill="auto"/>
            <w:vAlign w:val="center"/>
          </w:tcPr>
          <w:p w:rsidR="00AE187C" w:rsidRPr="009C0AF4" w:rsidRDefault="00AE187C" w:rsidP="00AE187C">
            <w:pPr>
              <w:jc w:val="right"/>
              <w:rPr>
                <w:rFonts w:cs="Arial"/>
                <w:color w:val="000000"/>
                <w:sz w:val="17"/>
                <w:szCs w:val="17"/>
              </w:rPr>
            </w:pPr>
            <w:r w:rsidRPr="009C0AF4">
              <w:rPr>
                <w:rFonts w:cs="Arial"/>
                <w:color w:val="000000"/>
                <w:sz w:val="17"/>
                <w:szCs w:val="17"/>
              </w:rPr>
              <w:t>238</w:t>
            </w:r>
          </w:p>
        </w:tc>
        <w:tc>
          <w:tcPr>
            <w:tcW w:w="1265" w:type="dxa"/>
            <w:vAlign w:val="center"/>
          </w:tcPr>
          <w:p w:rsidR="00AE187C" w:rsidRPr="007E5614" w:rsidRDefault="00AE187C" w:rsidP="00AE187C">
            <w:pPr>
              <w:jc w:val="right"/>
              <w:rPr>
                <w:rFonts w:cs="Arial"/>
                <w:color w:val="000000"/>
                <w:sz w:val="17"/>
                <w:szCs w:val="17"/>
              </w:rPr>
            </w:pPr>
            <w:r w:rsidRPr="007E5614">
              <w:rPr>
                <w:rFonts w:cs="Arial"/>
                <w:color w:val="000000"/>
                <w:sz w:val="17"/>
                <w:szCs w:val="17"/>
              </w:rPr>
              <w:t>249</w:t>
            </w:r>
          </w:p>
        </w:tc>
        <w:tc>
          <w:tcPr>
            <w:tcW w:w="1258" w:type="dxa"/>
            <w:vAlign w:val="center"/>
          </w:tcPr>
          <w:p w:rsidR="00AE187C" w:rsidRPr="007E5614" w:rsidRDefault="00AE187C" w:rsidP="00AE187C">
            <w:pPr>
              <w:jc w:val="right"/>
              <w:rPr>
                <w:rFonts w:cs="Arial"/>
                <w:color w:val="000000"/>
                <w:sz w:val="17"/>
                <w:szCs w:val="17"/>
              </w:rPr>
            </w:pPr>
            <w:r w:rsidRPr="007E5614">
              <w:rPr>
                <w:rFonts w:cs="Arial"/>
                <w:color w:val="000000"/>
                <w:sz w:val="17"/>
                <w:szCs w:val="17"/>
              </w:rPr>
              <w:t>118</w:t>
            </w:r>
          </w:p>
        </w:tc>
      </w:tr>
      <w:tr w:rsidR="00AE187C" w:rsidRPr="007E5614" w:rsidTr="00AE187C">
        <w:tc>
          <w:tcPr>
            <w:tcW w:w="4195" w:type="dxa"/>
            <w:vAlign w:val="center"/>
          </w:tcPr>
          <w:p w:rsidR="00AE187C" w:rsidRPr="007E5614" w:rsidRDefault="00AE187C" w:rsidP="00666795">
            <w:pPr>
              <w:pStyle w:val="Table-AnnualReport"/>
            </w:pPr>
            <w:bookmarkStart w:id="217" w:name="_Toc304279279"/>
            <w:r w:rsidRPr="007E5614">
              <w:t>80 001-85 000</w:t>
            </w:r>
            <w:bookmarkEnd w:id="217"/>
          </w:p>
        </w:tc>
        <w:tc>
          <w:tcPr>
            <w:tcW w:w="1265" w:type="dxa"/>
            <w:vAlign w:val="center"/>
          </w:tcPr>
          <w:p w:rsidR="00AE187C" w:rsidRPr="007E5614" w:rsidRDefault="00AE187C" w:rsidP="00AE187C">
            <w:pPr>
              <w:jc w:val="right"/>
              <w:rPr>
                <w:rFonts w:cs="Arial"/>
                <w:color w:val="000000"/>
                <w:sz w:val="17"/>
                <w:szCs w:val="17"/>
              </w:rPr>
            </w:pPr>
            <w:r w:rsidRPr="007E5614">
              <w:rPr>
                <w:rFonts w:cs="Arial"/>
                <w:color w:val="000000"/>
                <w:sz w:val="17"/>
                <w:szCs w:val="17"/>
              </w:rPr>
              <w:t>133</w:t>
            </w:r>
          </w:p>
        </w:tc>
        <w:tc>
          <w:tcPr>
            <w:tcW w:w="1265" w:type="dxa"/>
            <w:shd w:val="clear" w:color="auto" w:fill="auto"/>
            <w:vAlign w:val="center"/>
          </w:tcPr>
          <w:p w:rsidR="00AE187C" w:rsidRPr="009C0AF4" w:rsidRDefault="00AE187C" w:rsidP="00AE187C">
            <w:pPr>
              <w:jc w:val="right"/>
              <w:rPr>
                <w:rFonts w:cs="Arial"/>
                <w:color w:val="000000"/>
                <w:sz w:val="17"/>
                <w:szCs w:val="17"/>
              </w:rPr>
            </w:pPr>
            <w:r w:rsidRPr="009C0AF4">
              <w:rPr>
                <w:rFonts w:cs="Arial"/>
                <w:color w:val="000000"/>
                <w:sz w:val="17"/>
                <w:szCs w:val="17"/>
              </w:rPr>
              <w:t>175</w:t>
            </w:r>
          </w:p>
        </w:tc>
        <w:tc>
          <w:tcPr>
            <w:tcW w:w="1265" w:type="dxa"/>
            <w:vAlign w:val="center"/>
          </w:tcPr>
          <w:p w:rsidR="00AE187C" w:rsidRPr="007E5614" w:rsidRDefault="00AE187C" w:rsidP="00AE187C">
            <w:pPr>
              <w:jc w:val="right"/>
              <w:rPr>
                <w:rFonts w:cs="Arial"/>
                <w:color w:val="000000"/>
                <w:sz w:val="17"/>
                <w:szCs w:val="17"/>
              </w:rPr>
            </w:pPr>
            <w:r w:rsidRPr="007E5614">
              <w:rPr>
                <w:rFonts w:cs="Arial"/>
                <w:color w:val="000000"/>
                <w:sz w:val="17"/>
                <w:szCs w:val="17"/>
              </w:rPr>
              <w:t>168</w:t>
            </w:r>
          </w:p>
        </w:tc>
        <w:tc>
          <w:tcPr>
            <w:tcW w:w="1258" w:type="dxa"/>
            <w:vAlign w:val="center"/>
          </w:tcPr>
          <w:p w:rsidR="00AE187C" w:rsidRPr="007E5614" w:rsidRDefault="00AE187C" w:rsidP="00AE187C">
            <w:pPr>
              <w:jc w:val="right"/>
              <w:rPr>
                <w:rFonts w:cs="Arial"/>
                <w:color w:val="000000"/>
                <w:sz w:val="17"/>
                <w:szCs w:val="17"/>
              </w:rPr>
            </w:pPr>
            <w:r w:rsidRPr="007E5614">
              <w:rPr>
                <w:rFonts w:cs="Arial"/>
                <w:color w:val="000000"/>
                <w:sz w:val="17"/>
                <w:szCs w:val="17"/>
              </w:rPr>
              <w:t>263</w:t>
            </w:r>
          </w:p>
        </w:tc>
      </w:tr>
      <w:tr w:rsidR="00AE187C" w:rsidRPr="007E5614" w:rsidTr="00AE187C">
        <w:tc>
          <w:tcPr>
            <w:tcW w:w="4195" w:type="dxa"/>
            <w:vAlign w:val="center"/>
          </w:tcPr>
          <w:p w:rsidR="00AE187C" w:rsidRPr="007E5614" w:rsidRDefault="00AE187C" w:rsidP="00666795">
            <w:pPr>
              <w:pStyle w:val="Table-AnnualReport"/>
            </w:pPr>
            <w:bookmarkStart w:id="218" w:name="_Toc304279284"/>
            <w:r w:rsidRPr="007E5614">
              <w:t>85 001-90 000</w:t>
            </w:r>
            <w:bookmarkEnd w:id="218"/>
          </w:p>
        </w:tc>
        <w:tc>
          <w:tcPr>
            <w:tcW w:w="1265" w:type="dxa"/>
            <w:vAlign w:val="center"/>
          </w:tcPr>
          <w:p w:rsidR="00AE187C" w:rsidRPr="007E5614" w:rsidRDefault="00AE187C" w:rsidP="00AE187C">
            <w:pPr>
              <w:jc w:val="right"/>
              <w:rPr>
                <w:rFonts w:cs="Arial"/>
                <w:color w:val="000000"/>
                <w:sz w:val="17"/>
                <w:szCs w:val="17"/>
              </w:rPr>
            </w:pPr>
            <w:r w:rsidRPr="007E5614">
              <w:rPr>
                <w:rFonts w:cs="Arial"/>
                <w:color w:val="000000"/>
                <w:sz w:val="17"/>
                <w:szCs w:val="17"/>
              </w:rPr>
              <w:t>149</w:t>
            </w:r>
          </w:p>
        </w:tc>
        <w:tc>
          <w:tcPr>
            <w:tcW w:w="1265" w:type="dxa"/>
            <w:shd w:val="clear" w:color="auto" w:fill="auto"/>
            <w:vAlign w:val="center"/>
          </w:tcPr>
          <w:p w:rsidR="00AE187C" w:rsidRPr="009C0AF4" w:rsidRDefault="00AE187C" w:rsidP="00AE187C">
            <w:pPr>
              <w:jc w:val="right"/>
              <w:rPr>
                <w:rFonts w:cs="Arial"/>
                <w:color w:val="000000"/>
                <w:sz w:val="17"/>
                <w:szCs w:val="17"/>
              </w:rPr>
            </w:pPr>
            <w:r w:rsidRPr="009C0AF4">
              <w:rPr>
                <w:rFonts w:cs="Arial"/>
                <w:color w:val="000000"/>
                <w:sz w:val="17"/>
                <w:szCs w:val="17"/>
              </w:rPr>
              <w:t>208</w:t>
            </w:r>
          </w:p>
        </w:tc>
        <w:tc>
          <w:tcPr>
            <w:tcW w:w="1265" w:type="dxa"/>
            <w:vAlign w:val="center"/>
          </w:tcPr>
          <w:p w:rsidR="00AE187C" w:rsidRPr="007E5614" w:rsidRDefault="00AE187C" w:rsidP="00AE187C">
            <w:pPr>
              <w:jc w:val="right"/>
              <w:rPr>
                <w:rFonts w:cs="Arial"/>
                <w:color w:val="000000"/>
                <w:sz w:val="17"/>
                <w:szCs w:val="17"/>
              </w:rPr>
            </w:pPr>
            <w:r w:rsidRPr="007E5614">
              <w:rPr>
                <w:rFonts w:cs="Arial"/>
                <w:color w:val="000000"/>
                <w:sz w:val="17"/>
                <w:szCs w:val="17"/>
              </w:rPr>
              <w:t>115</w:t>
            </w:r>
          </w:p>
        </w:tc>
        <w:tc>
          <w:tcPr>
            <w:tcW w:w="1258" w:type="dxa"/>
            <w:vAlign w:val="center"/>
          </w:tcPr>
          <w:p w:rsidR="00AE187C" w:rsidRPr="007E5614" w:rsidRDefault="00AE187C" w:rsidP="00AE187C">
            <w:pPr>
              <w:jc w:val="right"/>
              <w:rPr>
                <w:rFonts w:cs="Arial"/>
                <w:color w:val="000000"/>
                <w:sz w:val="17"/>
                <w:szCs w:val="17"/>
              </w:rPr>
            </w:pPr>
            <w:r w:rsidRPr="007E5614">
              <w:rPr>
                <w:rFonts w:cs="Arial"/>
                <w:color w:val="000000"/>
                <w:sz w:val="17"/>
                <w:szCs w:val="17"/>
              </w:rPr>
              <w:t>167</w:t>
            </w:r>
          </w:p>
        </w:tc>
      </w:tr>
      <w:tr w:rsidR="00AE187C" w:rsidRPr="007E5614" w:rsidTr="00AE187C">
        <w:tc>
          <w:tcPr>
            <w:tcW w:w="4195" w:type="dxa"/>
            <w:vAlign w:val="center"/>
          </w:tcPr>
          <w:p w:rsidR="00AE187C" w:rsidRPr="007E5614" w:rsidRDefault="00AE187C" w:rsidP="00666795">
            <w:pPr>
              <w:pStyle w:val="Table-AnnualReport"/>
            </w:pPr>
            <w:bookmarkStart w:id="219" w:name="_Toc304279289"/>
            <w:r w:rsidRPr="007E5614">
              <w:t>90 001-95 000</w:t>
            </w:r>
            <w:bookmarkEnd w:id="219"/>
          </w:p>
        </w:tc>
        <w:tc>
          <w:tcPr>
            <w:tcW w:w="1265" w:type="dxa"/>
            <w:vAlign w:val="center"/>
          </w:tcPr>
          <w:p w:rsidR="00AE187C" w:rsidRPr="007E5614" w:rsidRDefault="00AE187C" w:rsidP="00AE187C">
            <w:pPr>
              <w:jc w:val="right"/>
              <w:rPr>
                <w:rFonts w:cs="Arial"/>
                <w:color w:val="000000"/>
                <w:sz w:val="17"/>
                <w:szCs w:val="17"/>
              </w:rPr>
            </w:pPr>
            <w:r w:rsidRPr="007E5614">
              <w:rPr>
                <w:rFonts w:cs="Arial"/>
                <w:color w:val="000000"/>
                <w:sz w:val="17"/>
                <w:szCs w:val="17"/>
              </w:rPr>
              <w:t>171</w:t>
            </w:r>
          </w:p>
        </w:tc>
        <w:tc>
          <w:tcPr>
            <w:tcW w:w="1265" w:type="dxa"/>
            <w:shd w:val="clear" w:color="auto" w:fill="auto"/>
            <w:vAlign w:val="center"/>
          </w:tcPr>
          <w:p w:rsidR="00AE187C" w:rsidRPr="009C0AF4" w:rsidRDefault="00AE187C" w:rsidP="00AE187C">
            <w:pPr>
              <w:jc w:val="right"/>
              <w:rPr>
                <w:rFonts w:cs="Arial"/>
                <w:color w:val="000000"/>
                <w:sz w:val="17"/>
                <w:szCs w:val="17"/>
              </w:rPr>
            </w:pPr>
            <w:r w:rsidRPr="009C0AF4">
              <w:rPr>
                <w:rFonts w:cs="Arial"/>
                <w:color w:val="000000"/>
                <w:sz w:val="17"/>
                <w:szCs w:val="17"/>
              </w:rPr>
              <w:t>169</w:t>
            </w:r>
          </w:p>
        </w:tc>
        <w:tc>
          <w:tcPr>
            <w:tcW w:w="1265" w:type="dxa"/>
            <w:vAlign w:val="center"/>
          </w:tcPr>
          <w:p w:rsidR="00AE187C" w:rsidRPr="007E5614" w:rsidRDefault="00AE187C" w:rsidP="00AE187C">
            <w:pPr>
              <w:jc w:val="right"/>
              <w:rPr>
                <w:rFonts w:cs="Arial"/>
                <w:color w:val="000000"/>
                <w:sz w:val="17"/>
                <w:szCs w:val="17"/>
              </w:rPr>
            </w:pPr>
            <w:r w:rsidRPr="007E5614">
              <w:rPr>
                <w:rFonts w:cs="Arial"/>
                <w:color w:val="000000"/>
                <w:sz w:val="17"/>
                <w:szCs w:val="17"/>
              </w:rPr>
              <w:t>235</w:t>
            </w:r>
          </w:p>
        </w:tc>
        <w:tc>
          <w:tcPr>
            <w:tcW w:w="1258" w:type="dxa"/>
            <w:vAlign w:val="center"/>
          </w:tcPr>
          <w:p w:rsidR="00AE187C" w:rsidRPr="007E5614" w:rsidRDefault="00AE187C" w:rsidP="00AE187C">
            <w:pPr>
              <w:jc w:val="right"/>
              <w:rPr>
                <w:rFonts w:cs="Arial"/>
                <w:color w:val="000000"/>
                <w:sz w:val="17"/>
                <w:szCs w:val="17"/>
              </w:rPr>
            </w:pPr>
            <w:r w:rsidRPr="007E5614">
              <w:rPr>
                <w:rFonts w:cs="Arial"/>
                <w:color w:val="000000"/>
                <w:sz w:val="17"/>
                <w:szCs w:val="17"/>
              </w:rPr>
              <w:t>169</w:t>
            </w:r>
          </w:p>
        </w:tc>
      </w:tr>
      <w:tr w:rsidR="00AE187C" w:rsidRPr="007E5614" w:rsidTr="00AE187C">
        <w:tc>
          <w:tcPr>
            <w:tcW w:w="4195" w:type="dxa"/>
            <w:vAlign w:val="center"/>
          </w:tcPr>
          <w:p w:rsidR="00AE187C" w:rsidRPr="007E5614" w:rsidRDefault="00AE187C" w:rsidP="00666795">
            <w:pPr>
              <w:pStyle w:val="Table-AnnualReport"/>
            </w:pPr>
            <w:bookmarkStart w:id="220" w:name="_Toc304279294"/>
            <w:r w:rsidRPr="007E5614">
              <w:t>95 001-100 000</w:t>
            </w:r>
            <w:bookmarkEnd w:id="220"/>
          </w:p>
        </w:tc>
        <w:tc>
          <w:tcPr>
            <w:tcW w:w="1265" w:type="dxa"/>
            <w:vAlign w:val="center"/>
          </w:tcPr>
          <w:p w:rsidR="00AE187C" w:rsidRPr="007E5614" w:rsidRDefault="00AE187C" w:rsidP="00AE187C">
            <w:pPr>
              <w:jc w:val="right"/>
              <w:rPr>
                <w:rFonts w:cs="Arial"/>
                <w:color w:val="000000"/>
                <w:sz w:val="17"/>
                <w:szCs w:val="17"/>
              </w:rPr>
            </w:pPr>
            <w:r w:rsidRPr="007E5614">
              <w:rPr>
                <w:rFonts w:cs="Arial"/>
                <w:color w:val="000000"/>
                <w:sz w:val="17"/>
                <w:szCs w:val="17"/>
              </w:rPr>
              <w:t>138</w:t>
            </w:r>
          </w:p>
        </w:tc>
        <w:tc>
          <w:tcPr>
            <w:tcW w:w="1265" w:type="dxa"/>
            <w:shd w:val="clear" w:color="auto" w:fill="auto"/>
            <w:vAlign w:val="center"/>
          </w:tcPr>
          <w:p w:rsidR="00AE187C" w:rsidRPr="009C0AF4" w:rsidRDefault="00AE187C" w:rsidP="00AE187C">
            <w:pPr>
              <w:jc w:val="right"/>
              <w:rPr>
                <w:rFonts w:cs="Arial"/>
                <w:color w:val="000000"/>
                <w:sz w:val="17"/>
                <w:szCs w:val="17"/>
              </w:rPr>
            </w:pPr>
            <w:r w:rsidRPr="009C0AF4">
              <w:rPr>
                <w:rFonts w:cs="Arial"/>
                <w:color w:val="000000"/>
                <w:sz w:val="17"/>
                <w:szCs w:val="17"/>
              </w:rPr>
              <w:t>78</w:t>
            </w:r>
          </w:p>
        </w:tc>
        <w:tc>
          <w:tcPr>
            <w:tcW w:w="1265" w:type="dxa"/>
            <w:vAlign w:val="center"/>
          </w:tcPr>
          <w:p w:rsidR="00AE187C" w:rsidRPr="007E5614" w:rsidRDefault="00AE187C" w:rsidP="00AE187C">
            <w:pPr>
              <w:jc w:val="right"/>
              <w:rPr>
                <w:rFonts w:cs="Arial"/>
                <w:color w:val="000000"/>
                <w:sz w:val="17"/>
                <w:szCs w:val="17"/>
              </w:rPr>
            </w:pPr>
            <w:r w:rsidRPr="007E5614">
              <w:rPr>
                <w:rFonts w:cs="Arial"/>
                <w:color w:val="000000"/>
                <w:sz w:val="17"/>
                <w:szCs w:val="17"/>
              </w:rPr>
              <w:t>55</w:t>
            </w:r>
          </w:p>
        </w:tc>
        <w:tc>
          <w:tcPr>
            <w:tcW w:w="1258" w:type="dxa"/>
            <w:vAlign w:val="center"/>
          </w:tcPr>
          <w:p w:rsidR="00AE187C" w:rsidRPr="007E5614" w:rsidRDefault="00AE187C" w:rsidP="00AE187C">
            <w:pPr>
              <w:jc w:val="right"/>
              <w:rPr>
                <w:rFonts w:cs="Arial"/>
                <w:color w:val="000000"/>
                <w:sz w:val="17"/>
                <w:szCs w:val="17"/>
              </w:rPr>
            </w:pPr>
            <w:r w:rsidRPr="007E5614">
              <w:rPr>
                <w:rFonts w:cs="Arial"/>
                <w:color w:val="000000"/>
                <w:sz w:val="17"/>
                <w:szCs w:val="17"/>
              </w:rPr>
              <w:t>167</w:t>
            </w:r>
          </w:p>
        </w:tc>
      </w:tr>
      <w:tr w:rsidR="00AE187C" w:rsidRPr="007E5614" w:rsidTr="00AE187C">
        <w:tc>
          <w:tcPr>
            <w:tcW w:w="4195" w:type="dxa"/>
            <w:vAlign w:val="center"/>
          </w:tcPr>
          <w:p w:rsidR="00AE187C" w:rsidRPr="007E5614" w:rsidRDefault="00AE187C" w:rsidP="00666795">
            <w:pPr>
              <w:pStyle w:val="Table-AnnualReport"/>
            </w:pPr>
            <w:bookmarkStart w:id="221" w:name="_Toc304279299"/>
            <w:r w:rsidRPr="007E5614">
              <w:t>100 000 plus</w:t>
            </w:r>
            <w:bookmarkEnd w:id="221"/>
          </w:p>
        </w:tc>
        <w:tc>
          <w:tcPr>
            <w:tcW w:w="1265" w:type="dxa"/>
            <w:vAlign w:val="center"/>
          </w:tcPr>
          <w:p w:rsidR="00AE187C" w:rsidRPr="007E5614" w:rsidRDefault="00AE187C" w:rsidP="00AE187C">
            <w:pPr>
              <w:jc w:val="right"/>
              <w:rPr>
                <w:rFonts w:cs="Arial"/>
                <w:color w:val="000000"/>
                <w:sz w:val="17"/>
                <w:szCs w:val="17"/>
              </w:rPr>
            </w:pPr>
            <w:r w:rsidRPr="007E5614">
              <w:rPr>
                <w:rFonts w:cs="Arial"/>
                <w:color w:val="000000"/>
                <w:sz w:val="17"/>
                <w:szCs w:val="17"/>
              </w:rPr>
              <w:t>178</w:t>
            </w:r>
          </w:p>
        </w:tc>
        <w:tc>
          <w:tcPr>
            <w:tcW w:w="1265" w:type="dxa"/>
            <w:shd w:val="clear" w:color="auto" w:fill="auto"/>
            <w:vAlign w:val="center"/>
          </w:tcPr>
          <w:p w:rsidR="00AE187C" w:rsidRPr="009C0AF4" w:rsidRDefault="00AE187C" w:rsidP="00AE187C">
            <w:pPr>
              <w:pStyle w:val="Table-AnnualReport"/>
              <w:jc w:val="right"/>
              <w:rPr>
                <w:rFonts w:cs="Arial"/>
                <w:color w:val="000000"/>
                <w:sz w:val="17"/>
                <w:szCs w:val="17"/>
              </w:rPr>
            </w:pPr>
            <w:r w:rsidRPr="009C0AF4">
              <w:rPr>
                <w:rFonts w:cs="Arial"/>
                <w:color w:val="000000"/>
                <w:sz w:val="17"/>
                <w:szCs w:val="17"/>
              </w:rPr>
              <w:t>294</w:t>
            </w:r>
          </w:p>
        </w:tc>
        <w:tc>
          <w:tcPr>
            <w:tcW w:w="1265" w:type="dxa"/>
            <w:vAlign w:val="center"/>
          </w:tcPr>
          <w:p w:rsidR="00AE187C" w:rsidRPr="007E5614" w:rsidRDefault="00AE187C" w:rsidP="00AE187C">
            <w:pPr>
              <w:jc w:val="right"/>
              <w:rPr>
                <w:rFonts w:cs="Arial"/>
                <w:color w:val="000000"/>
                <w:sz w:val="17"/>
                <w:szCs w:val="17"/>
              </w:rPr>
            </w:pPr>
            <w:r w:rsidRPr="007E5614">
              <w:rPr>
                <w:rFonts w:cs="Arial"/>
                <w:color w:val="000000"/>
                <w:sz w:val="17"/>
                <w:szCs w:val="17"/>
              </w:rPr>
              <w:t>325</w:t>
            </w:r>
          </w:p>
        </w:tc>
        <w:tc>
          <w:tcPr>
            <w:tcW w:w="1258" w:type="dxa"/>
            <w:vAlign w:val="center"/>
          </w:tcPr>
          <w:p w:rsidR="00AE187C" w:rsidRPr="007E5614" w:rsidRDefault="00AE187C" w:rsidP="00AE187C">
            <w:pPr>
              <w:pStyle w:val="Table-AnnualReport"/>
              <w:jc w:val="right"/>
              <w:rPr>
                <w:rFonts w:cs="Arial"/>
                <w:color w:val="000000"/>
                <w:sz w:val="17"/>
                <w:szCs w:val="17"/>
              </w:rPr>
            </w:pPr>
            <w:r w:rsidRPr="007E5614">
              <w:rPr>
                <w:rFonts w:cs="Arial"/>
                <w:color w:val="000000"/>
                <w:sz w:val="17"/>
                <w:szCs w:val="17"/>
              </w:rPr>
              <w:t>355</w:t>
            </w:r>
          </w:p>
        </w:tc>
      </w:tr>
      <w:tr w:rsidR="00AE187C" w:rsidRPr="007E5614" w:rsidTr="00AE187C">
        <w:tc>
          <w:tcPr>
            <w:tcW w:w="4195" w:type="dxa"/>
            <w:vAlign w:val="center"/>
          </w:tcPr>
          <w:p w:rsidR="00AE187C" w:rsidRPr="007E5614" w:rsidRDefault="00AE187C" w:rsidP="00666795">
            <w:pPr>
              <w:pStyle w:val="Table-AnnualReport"/>
              <w:rPr>
                <w:b/>
              </w:rPr>
            </w:pPr>
            <w:bookmarkStart w:id="222" w:name="_Toc304279304"/>
            <w:r w:rsidRPr="007E5614">
              <w:rPr>
                <w:b/>
              </w:rPr>
              <w:t>Total</w:t>
            </w:r>
            <w:bookmarkEnd w:id="222"/>
          </w:p>
        </w:tc>
        <w:tc>
          <w:tcPr>
            <w:tcW w:w="1265" w:type="dxa"/>
            <w:vAlign w:val="center"/>
          </w:tcPr>
          <w:p w:rsidR="00AE187C" w:rsidRPr="007E5614" w:rsidRDefault="00AE187C" w:rsidP="00AE187C">
            <w:pPr>
              <w:jc w:val="right"/>
              <w:rPr>
                <w:rFonts w:cs="Arial"/>
                <w:b/>
                <w:color w:val="000000"/>
                <w:sz w:val="17"/>
                <w:szCs w:val="17"/>
              </w:rPr>
            </w:pPr>
            <w:r w:rsidRPr="007E5614">
              <w:rPr>
                <w:rFonts w:cs="Arial"/>
                <w:b/>
                <w:color w:val="000000"/>
                <w:sz w:val="17"/>
                <w:szCs w:val="17"/>
              </w:rPr>
              <w:t>2 000</w:t>
            </w:r>
          </w:p>
        </w:tc>
        <w:tc>
          <w:tcPr>
            <w:tcW w:w="1265" w:type="dxa"/>
            <w:shd w:val="clear" w:color="auto" w:fill="auto"/>
            <w:vAlign w:val="center"/>
          </w:tcPr>
          <w:p w:rsidR="00AE187C" w:rsidRPr="009C0AF4" w:rsidRDefault="00AE187C" w:rsidP="00AE187C">
            <w:pPr>
              <w:pStyle w:val="Table-AnnualReport"/>
              <w:spacing w:after="140" w:line="300" w:lineRule="atLeast"/>
              <w:jc w:val="right"/>
              <w:rPr>
                <w:sz w:val="17"/>
                <w:szCs w:val="17"/>
              </w:rPr>
            </w:pPr>
            <w:r w:rsidRPr="009C0AF4">
              <w:rPr>
                <w:sz w:val="17"/>
                <w:szCs w:val="17"/>
              </w:rPr>
              <w:t>2 032</w:t>
            </w:r>
          </w:p>
        </w:tc>
        <w:tc>
          <w:tcPr>
            <w:tcW w:w="1265" w:type="dxa"/>
            <w:vAlign w:val="center"/>
          </w:tcPr>
          <w:p w:rsidR="00AE187C" w:rsidRPr="007E5614" w:rsidRDefault="00AE187C" w:rsidP="00AE187C">
            <w:pPr>
              <w:jc w:val="right"/>
              <w:rPr>
                <w:rFonts w:cs="Arial"/>
                <w:b/>
                <w:color w:val="000000"/>
                <w:sz w:val="17"/>
                <w:szCs w:val="17"/>
              </w:rPr>
            </w:pPr>
            <w:r w:rsidRPr="007E5614">
              <w:rPr>
                <w:rFonts w:cs="Arial"/>
                <w:b/>
                <w:color w:val="000000"/>
                <w:sz w:val="17"/>
                <w:szCs w:val="17"/>
              </w:rPr>
              <w:t>1 795</w:t>
            </w:r>
          </w:p>
        </w:tc>
        <w:tc>
          <w:tcPr>
            <w:tcW w:w="1258" w:type="dxa"/>
            <w:vAlign w:val="center"/>
          </w:tcPr>
          <w:p w:rsidR="00AE187C" w:rsidRPr="007E5614" w:rsidRDefault="00AE187C" w:rsidP="00AE187C">
            <w:pPr>
              <w:pStyle w:val="Table-AnnualReport"/>
              <w:spacing w:after="140" w:line="300" w:lineRule="atLeast"/>
              <w:jc w:val="right"/>
              <w:rPr>
                <w:rFonts w:cs="Arial"/>
                <w:b/>
                <w:color w:val="000000"/>
                <w:sz w:val="17"/>
                <w:szCs w:val="17"/>
              </w:rPr>
            </w:pPr>
            <w:r w:rsidRPr="007E5614">
              <w:rPr>
                <w:rFonts w:cs="Arial"/>
                <w:b/>
                <w:color w:val="000000"/>
                <w:sz w:val="17"/>
                <w:szCs w:val="17"/>
              </w:rPr>
              <w:t>1 857</w:t>
            </w:r>
          </w:p>
        </w:tc>
      </w:tr>
    </w:tbl>
    <w:p w:rsidR="009C0AF4" w:rsidRPr="007E5614" w:rsidRDefault="009C0AF4" w:rsidP="009C0AF4">
      <w:pPr>
        <w:spacing w:before="60" w:after="60" w:line="240" w:lineRule="auto"/>
        <w:rPr>
          <w:rFonts w:eastAsia="Calibri"/>
          <w:sz w:val="18"/>
          <w:szCs w:val="18"/>
        </w:rPr>
      </w:pPr>
      <w:r w:rsidRPr="007E5614">
        <w:rPr>
          <w:rFonts w:eastAsia="Calibri"/>
          <w:sz w:val="18"/>
          <w:szCs w:val="18"/>
        </w:rPr>
        <w:t>Note:</w:t>
      </w:r>
    </w:p>
    <w:p w:rsidR="009C0AF4" w:rsidRPr="007E5614" w:rsidRDefault="009C0AF4" w:rsidP="009C0AF4">
      <w:pPr>
        <w:pStyle w:val="ListParagraph"/>
        <w:keepLines/>
        <w:numPr>
          <w:ilvl w:val="0"/>
          <w:numId w:val="11"/>
        </w:numPr>
        <w:spacing w:line="240" w:lineRule="auto"/>
        <w:rPr>
          <w:sz w:val="18"/>
          <w:szCs w:val="18"/>
        </w:rPr>
      </w:pPr>
      <w:r w:rsidRPr="007E5614">
        <w:rPr>
          <w:sz w:val="18"/>
          <w:szCs w:val="18"/>
        </w:rPr>
        <w:t>Due to organisational changes, data for previous years has been remapped to the current organisational structure, and these figures therefore differ from those previously published in DHHS Annual Reports. The orga</w:t>
      </w:r>
      <w:r>
        <w:rPr>
          <w:sz w:val="18"/>
          <w:szCs w:val="18"/>
        </w:rPr>
        <w:t>nisational changes include the transfer</w:t>
      </w:r>
      <w:r w:rsidRPr="007E5614">
        <w:rPr>
          <w:sz w:val="18"/>
          <w:szCs w:val="18"/>
        </w:rPr>
        <w:t xml:space="preserve"> of </w:t>
      </w:r>
      <w:r>
        <w:rPr>
          <w:sz w:val="18"/>
          <w:szCs w:val="18"/>
        </w:rPr>
        <w:t>CSCS</w:t>
      </w:r>
      <w:r w:rsidRPr="007E5614">
        <w:rPr>
          <w:sz w:val="18"/>
          <w:szCs w:val="18"/>
        </w:rPr>
        <w:t xml:space="preserve"> to the THS, and the transfer of some administrative functions from the THS to DHHS, including the RHH Redevelopment.</w:t>
      </w:r>
    </w:p>
    <w:p w:rsidR="00297380" w:rsidRPr="00297380" w:rsidRDefault="00297380" w:rsidP="00297380">
      <w:pPr>
        <w:keepLines/>
        <w:spacing w:line="240" w:lineRule="auto"/>
        <w:rPr>
          <w:sz w:val="16"/>
          <w:szCs w:val="16"/>
        </w:rPr>
      </w:pPr>
    </w:p>
    <w:p w:rsidR="00297380" w:rsidRPr="00297380" w:rsidRDefault="00297380" w:rsidP="00297380">
      <w:pPr>
        <w:keepLines/>
        <w:spacing w:line="240" w:lineRule="auto"/>
        <w:rPr>
          <w:sz w:val="16"/>
          <w:szCs w:val="16"/>
        </w:rPr>
      </w:pPr>
    </w:p>
    <w:p w:rsidR="00297380" w:rsidRDefault="00297380" w:rsidP="00297380"/>
    <w:p w:rsidR="009C0AF4" w:rsidRDefault="009C0AF4">
      <w:r>
        <w:br w:type="page"/>
      </w:r>
    </w:p>
    <w:p w:rsidR="009C0AF4" w:rsidRPr="007E5614" w:rsidRDefault="009C0AF4" w:rsidP="009C0AF4">
      <w:pPr>
        <w:pStyle w:val="Heading4"/>
      </w:pPr>
      <w:r w:rsidRPr="007E5614">
        <w:lastRenderedPageBreak/>
        <w:t>Total Number of Paid Employees by Age Profile</w:t>
      </w:r>
    </w:p>
    <w:tbl>
      <w:tblPr>
        <w:tblW w:w="9248" w:type="dxa"/>
        <w:tblInd w:w="108" w:type="dxa"/>
        <w:tblBorders>
          <w:top w:val="single" w:sz="2" w:space="0" w:color="808080"/>
          <w:bottom w:val="single" w:sz="2" w:space="0" w:color="808080"/>
          <w:insideH w:val="single" w:sz="2" w:space="0" w:color="808080"/>
        </w:tblBorders>
        <w:tblLook w:val="04A0" w:firstRow="1" w:lastRow="0" w:firstColumn="1" w:lastColumn="0" w:noHBand="0" w:noVBand="1"/>
        <w:tblCaption w:val="Total Number of Paid Employees by Age Profile"/>
      </w:tblPr>
      <w:tblGrid>
        <w:gridCol w:w="4195"/>
        <w:gridCol w:w="1265"/>
        <w:gridCol w:w="1265"/>
        <w:gridCol w:w="1265"/>
        <w:gridCol w:w="1258"/>
      </w:tblGrid>
      <w:tr w:rsidR="009C0AF4" w:rsidRPr="007E5614" w:rsidTr="009C0AF4">
        <w:tc>
          <w:tcPr>
            <w:tcW w:w="4195" w:type="dxa"/>
            <w:shd w:val="clear" w:color="auto" w:fill="auto"/>
          </w:tcPr>
          <w:p w:rsidR="009C0AF4" w:rsidRPr="007E5614" w:rsidRDefault="007B551C" w:rsidP="00666795">
            <w:pPr>
              <w:pStyle w:val="Table-AnnualReport"/>
              <w:rPr>
                <w:b/>
              </w:rPr>
            </w:pPr>
            <w:r>
              <w:rPr>
                <w:b/>
              </w:rPr>
              <w:t>Age</w:t>
            </w:r>
          </w:p>
        </w:tc>
        <w:tc>
          <w:tcPr>
            <w:tcW w:w="1265" w:type="dxa"/>
            <w:shd w:val="clear" w:color="auto" w:fill="auto"/>
            <w:vAlign w:val="center"/>
          </w:tcPr>
          <w:p w:rsidR="009C0AF4" w:rsidRPr="007E5614" w:rsidRDefault="009C0AF4" w:rsidP="00666795">
            <w:pPr>
              <w:pStyle w:val="Table-AnnualReport"/>
              <w:jc w:val="right"/>
              <w:rPr>
                <w:b/>
              </w:rPr>
            </w:pPr>
            <w:r w:rsidRPr="007E5614">
              <w:rPr>
                <w:b/>
              </w:rPr>
              <w:t>2012-13</w:t>
            </w:r>
            <w:r w:rsidRPr="007E5614">
              <w:rPr>
                <w:b/>
                <w:kern w:val="32"/>
                <w:vertAlign w:val="superscript"/>
              </w:rPr>
              <w:t>1</w:t>
            </w:r>
          </w:p>
        </w:tc>
        <w:tc>
          <w:tcPr>
            <w:tcW w:w="1265" w:type="dxa"/>
            <w:shd w:val="clear" w:color="auto" w:fill="auto"/>
          </w:tcPr>
          <w:p w:rsidR="009C0AF4" w:rsidRPr="007E5614" w:rsidRDefault="009C0AF4" w:rsidP="00666795">
            <w:pPr>
              <w:pStyle w:val="Table-AnnualReport"/>
              <w:jc w:val="right"/>
              <w:rPr>
                <w:b/>
              </w:rPr>
            </w:pPr>
            <w:r w:rsidRPr="007E5614">
              <w:rPr>
                <w:b/>
              </w:rPr>
              <w:t>2013-14</w:t>
            </w:r>
            <w:r w:rsidRPr="007E5614">
              <w:rPr>
                <w:b/>
                <w:kern w:val="32"/>
                <w:vertAlign w:val="superscript"/>
              </w:rPr>
              <w:t>1</w:t>
            </w:r>
          </w:p>
        </w:tc>
        <w:tc>
          <w:tcPr>
            <w:tcW w:w="1265" w:type="dxa"/>
          </w:tcPr>
          <w:p w:rsidR="009C0AF4" w:rsidRPr="007E5614" w:rsidRDefault="009C0AF4" w:rsidP="00666795">
            <w:pPr>
              <w:pStyle w:val="Table-AnnualReport"/>
              <w:jc w:val="right"/>
              <w:rPr>
                <w:b/>
              </w:rPr>
            </w:pPr>
            <w:r w:rsidRPr="007E5614">
              <w:rPr>
                <w:b/>
              </w:rPr>
              <w:t>2014-15</w:t>
            </w:r>
            <w:r w:rsidRPr="007E5614">
              <w:rPr>
                <w:b/>
                <w:kern w:val="32"/>
                <w:vertAlign w:val="superscript"/>
              </w:rPr>
              <w:t>1</w:t>
            </w:r>
          </w:p>
        </w:tc>
        <w:tc>
          <w:tcPr>
            <w:tcW w:w="1258" w:type="dxa"/>
          </w:tcPr>
          <w:p w:rsidR="009C0AF4" w:rsidRPr="007E5614" w:rsidRDefault="009C0AF4" w:rsidP="00666795">
            <w:pPr>
              <w:pStyle w:val="Table-AnnualReport"/>
              <w:jc w:val="right"/>
              <w:rPr>
                <w:b/>
              </w:rPr>
            </w:pPr>
            <w:r w:rsidRPr="007E5614">
              <w:rPr>
                <w:b/>
                <w:kern w:val="32"/>
              </w:rPr>
              <w:t>2015-16</w:t>
            </w:r>
          </w:p>
        </w:tc>
      </w:tr>
      <w:tr w:rsidR="009C0AF4" w:rsidRPr="007E5614" w:rsidTr="009C0AF4">
        <w:tc>
          <w:tcPr>
            <w:tcW w:w="4195" w:type="dxa"/>
            <w:vAlign w:val="center"/>
          </w:tcPr>
          <w:p w:rsidR="009C0AF4" w:rsidRPr="007E5614" w:rsidRDefault="009C0AF4" w:rsidP="00666795">
            <w:pPr>
              <w:pStyle w:val="Table-AnnualReport"/>
            </w:pPr>
            <w:bookmarkStart w:id="223" w:name="_Toc303758339"/>
            <w:bookmarkStart w:id="224" w:name="_Toc304279334"/>
            <w:r w:rsidRPr="007E5614">
              <w:t>15-19 years</w:t>
            </w:r>
            <w:bookmarkEnd w:id="223"/>
            <w:bookmarkEnd w:id="224"/>
          </w:p>
        </w:tc>
        <w:tc>
          <w:tcPr>
            <w:tcW w:w="1265" w:type="dxa"/>
          </w:tcPr>
          <w:p w:rsidR="009C0AF4" w:rsidRPr="007E5614" w:rsidRDefault="009C0AF4" w:rsidP="00666795">
            <w:pPr>
              <w:jc w:val="right"/>
              <w:rPr>
                <w:rFonts w:cs="Arial"/>
                <w:color w:val="000000"/>
                <w:sz w:val="17"/>
                <w:szCs w:val="17"/>
              </w:rPr>
            </w:pPr>
            <w:r w:rsidRPr="007E5614">
              <w:rPr>
                <w:rFonts w:cs="Arial"/>
                <w:color w:val="000000"/>
                <w:sz w:val="17"/>
                <w:szCs w:val="17"/>
              </w:rPr>
              <w:t>1</w:t>
            </w:r>
          </w:p>
        </w:tc>
        <w:tc>
          <w:tcPr>
            <w:tcW w:w="1265" w:type="dxa"/>
            <w:shd w:val="clear" w:color="auto" w:fill="auto"/>
          </w:tcPr>
          <w:p w:rsidR="009C0AF4" w:rsidRPr="007E5614" w:rsidRDefault="009C0AF4" w:rsidP="00666795">
            <w:pPr>
              <w:jc w:val="right"/>
              <w:rPr>
                <w:rFonts w:cs="Arial"/>
                <w:color w:val="000000"/>
                <w:sz w:val="17"/>
                <w:szCs w:val="17"/>
              </w:rPr>
            </w:pPr>
            <w:r w:rsidRPr="007E5614">
              <w:rPr>
                <w:rFonts w:cs="Arial"/>
                <w:color w:val="000000"/>
                <w:sz w:val="17"/>
                <w:szCs w:val="17"/>
              </w:rPr>
              <w:t>1</w:t>
            </w:r>
          </w:p>
        </w:tc>
        <w:tc>
          <w:tcPr>
            <w:tcW w:w="1265" w:type="dxa"/>
          </w:tcPr>
          <w:p w:rsidR="009C0AF4" w:rsidRPr="007E5614" w:rsidRDefault="009C0AF4" w:rsidP="00666795">
            <w:pPr>
              <w:pStyle w:val="Table-AnnualReport"/>
              <w:jc w:val="right"/>
              <w:rPr>
                <w:rFonts w:cs="Arial"/>
                <w:color w:val="000000"/>
                <w:sz w:val="17"/>
                <w:szCs w:val="17"/>
              </w:rPr>
            </w:pPr>
            <w:r w:rsidRPr="007E5614">
              <w:rPr>
                <w:rFonts w:cs="Arial"/>
                <w:color w:val="000000"/>
                <w:sz w:val="17"/>
                <w:szCs w:val="17"/>
              </w:rPr>
              <w:t>0</w:t>
            </w:r>
          </w:p>
        </w:tc>
        <w:tc>
          <w:tcPr>
            <w:tcW w:w="1258" w:type="dxa"/>
          </w:tcPr>
          <w:p w:rsidR="009C0AF4" w:rsidRPr="007E5614" w:rsidRDefault="009C0AF4" w:rsidP="00666795">
            <w:pPr>
              <w:pStyle w:val="Table-AnnualReport"/>
              <w:jc w:val="right"/>
              <w:rPr>
                <w:rFonts w:cs="Arial"/>
                <w:color w:val="000000"/>
                <w:sz w:val="17"/>
                <w:szCs w:val="17"/>
              </w:rPr>
            </w:pPr>
            <w:r w:rsidRPr="007E5614">
              <w:rPr>
                <w:rFonts w:cs="Arial"/>
                <w:color w:val="000000"/>
                <w:sz w:val="17"/>
                <w:szCs w:val="17"/>
              </w:rPr>
              <w:t>0</w:t>
            </w:r>
          </w:p>
        </w:tc>
      </w:tr>
      <w:tr w:rsidR="009C0AF4" w:rsidRPr="007E5614" w:rsidTr="009C0AF4">
        <w:tc>
          <w:tcPr>
            <w:tcW w:w="4195" w:type="dxa"/>
            <w:vAlign w:val="center"/>
          </w:tcPr>
          <w:p w:rsidR="009C0AF4" w:rsidRPr="007E5614" w:rsidRDefault="009C0AF4" w:rsidP="00666795">
            <w:pPr>
              <w:pStyle w:val="Table-AnnualReport"/>
            </w:pPr>
            <w:bookmarkStart w:id="225" w:name="_Toc303758344"/>
            <w:bookmarkStart w:id="226" w:name="_Toc304279339"/>
            <w:r w:rsidRPr="007E5614">
              <w:t>20-24 years</w:t>
            </w:r>
            <w:bookmarkEnd w:id="225"/>
            <w:bookmarkEnd w:id="226"/>
          </w:p>
        </w:tc>
        <w:tc>
          <w:tcPr>
            <w:tcW w:w="1265" w:type="dxa"/>
          </w:tcPr>
          <w:p w:rsidR="009C0AF4" w:rsidRPr="007E5614" w:rsidRDefault="009C0AF4" w:rsidP="00666795">
            <w:pPr>
              <w:jc w:val="right"/>
              <w:rPr>
                <w:rFonts w:cs="Arial"/>
                <w:color w:val="000000"/>
                <w:sz w:val="17"/>
                <w:szCs w:val="17"/>
              </w:rPr>
            </w:pPr>
            <w:r w:rsidRPr="007E5614">
              <w:rPr>
                <w:rFonts w:cs="Arial"/>
                <w:color w:val="000000"/>
                <w:sz w:val="17"/>
                <w:szCs w:val="17"/>
              </w:rPr>
              <w:t>53</w:t>
            </w:r>
          </w:p>
        </w:tc>
        <w:tc>
          <w:tcPr>
            <w:tcW w:w="1265" w:type="dxa"/>
            <w:shd w:val="clear" w:color="auto" w:fill="auto"/>
          </w:tcPr>
          <w:p w:rsidR="009C0AF4" w:rsidRPr="007E5614" w:rsidRDefault="009C0AF4" w:rsidP="00666795">
            <w:pPr>
              <w:jc w:val="right"/>
              <w:rPr>
                <w:rFonts w:cs="Arial"/>
                <w:color w:val="000000"/>
                <w:sz w:val="17"/>
                <w:szCs w:val="17"/>
              </w:rPr>
            </w:pPr>
            <w:r w:rsidRPr="007E5614">
              <w:rPr>
                <w:rFonts w:cs="Arial"/>
                <w:color w:val="000000"/>
                <w:sz w:val="17"/>
                <w:szCs w:val="17"/>
              </w:rPr>
              <w:t>53</w:t>
            </w:r>
          </w:p>
        </w:tc>
        <w:tc>
          <w:tcPr>
            <w:tcW w:w="1265" w:type="dxa"/>
          </w:tcPr>
          <w:p w:rsidR="009C0AF4" w:rsidRPr="007E5614" w:rsidRDefault="009C0AF4" w:rsidP="00666795">
            <w:pPr>
              <w:jc w:val="right"/>
              <w:rPr>
                <w:rFonts w:cs="Arial"/>
                <w:color w:val="000000"/>
                <w:sz w:val="17"/>
                <w:szCs w:val="17"/>
              </w:rPr>
            </w:pPr>
            <w:r w:rsidRPr="007E5614">
              <w:rPr>
                <w:rFonts w:cs="Arial"/>
                <w:color w:val="000000"/>
                <w:sz w:val="17"/>
                <w:szCs w:val="17"/>
              </w:rPr>
              <w:t>33</w:t>
            </w:r>
          </w:p>
        </w:tc>
        <w:tc>
          <w:tcPr>
            <w:tcW w:w="1258" w:type="dxa"/>
          </w:tcPr>
          <w:p w:rsidR="009C0AF4" w:rsidRPr="007E5614" w:rsidRDefault="009C0AF4" w:rsidP="00666795">
            <w:pPr>
              <w:jc w:val="right"/>
              <w:rPr>
                <w:rFonts w:cs="Arial"/>
                <w:color w:val="000000"/>
                <w:sz w:val="17"/>
                <w:szCs w:val="17"/>
              </w:rPr>
            </w:pPr>
            <w:r w:rsidRPr="007E5614">
              <w:rPr>
                <w:rFonts w:cs="Arial"/>
                <w:color w:val="000000"/>
                <w:sz w:val="17"/>
                <w:szCs w:val="17"/>
              </w:rPr>
              <w:t>46</w:t>
            </w:r>
          </w:p>
        </w:tc>
      </w:tr>
      <w:tr w:rsidR="009C0AF4" w:rsidRPr="007E5614" w:rsidTr="009C0AF4">
        <w:tc>
          <w:tcPr>
            <w:tcW w:w="4195" w:type="dxa"/>
            <w:vAlign w:val="center"/>
          </w:tcPr>
          <w:p w:rsidR="009C0AF4" w:rsidRPr="007E5614" w:rsidRDefault="009C0AF4" w:rsidP="00666795">
            <w:pPr>
              <w:pStyle w:val="Table-AnnualReport"/>
            </w:pPr>
            <w:bookmarkStart w:id="227" w:name="_Toc303758349"/>
            <w:bookmarkStart w:id="228" w:name="_Toc304279344"/>
            <w:r w:rsidRPr="007E5614">
              <w:t>25-29 years</w:t>
            </w:r>
            <w:bookmarkEnd w:id="227"/>
            <w:bookmarkEnd w:id="228"/>
          </w:p>
        </w:tc>
        <w:tc>
          <w:tcPr>
            <w:tcW w:w="1265" w:type="dxa"/>
          </w:tcPr>
          <w:p w:rsidR="009C0AF4" w:rsidRPr="007E5614" w:rsidRDefault="009C0AF4" w:rsidP="00666795">
            <w:pPr>
              <w:jc w:val="right"/>
              <w:rPr>
                <w:rFonts w:cs="Arial"/>
                <w:color w:val="000000"/>
                <w:sz w:val="17"/>
                <w:szCs w:val="17"/>
              </w:rPr>
            </w:pPr>
            <w:r w:rsidRPr="007E5614">
              <w:rPr>
                <w:rFonts w:cs="Arial"/>
                <w:color w:val="000000"/>
                <w:sz w:val="17"/>
                <w:szCs w:val="17"/>
              </w:rPr>
              <w:t>155</w:t>
            </w:r>
          </w:p>
        </w:tc>
        <w:tc>
          <w:tcPr>
            <w:tcW w:w="1265" w:type="dxa"/>
            <w:shd w:val="clear" w:color="auto" w:fill="auto"/>
          </w:tcPr>
          <w:p w:rsidR="009C0AF4" w:rsidRPr="007E5614" w:rsidRDefault="009C0AF4" w:rsidP="00666795">
            <w:pPr>
              <w:jc w:val="right"/>
              <w:rPr>
                <w:rFonts w:cs="Arial"/>
                <w:color w:val="000000"/>
                <w:sz w:val="17"/>
                <w:szCs w:val="17"/>
              </w:rPr>
            </w:pPr>
            <w:r w:rsidRPr="007E5614">
              <w:rPr>
                <w:rFonts w:cs="Arial"/>
                <w:color w:val="000000"/>
                <w:sz w:val="17"/>
                <w:szCs w:val="17"/>
              </w:rPr>
              <w:t>146</w:t>
            </w:r>
          </w:p>
        </w:tc>
        <w:tc>
          <w:tcPr>
            <w:tcW w:w="1265" w:type="dxa"/>
          </w:tcPr>
          <w:p w:rsidR="009C0AF4" w:rsidRPr="007E5614" w:rsidRDefault="009C0AF4" w:rsidP="00666795">
            <w:pPr>
              <w:jc w:val="right"/>
              <w:rPr>
                <w:rFonts w:cs="Arial"/>
                <w:color w:val="000000"/>
                <w:sz w:val="17"/>
                <w:szCs w:val="17"/>
              </w:rPr>
            </w:pPr>
            <w:r w:rsidRPr="007E5614">
              <w:rPr>
                <w:rFonts w:cs="Arial"/>
                <w:color w:val="000000"/>
                <w:sz w:val="17"/>
                <w:szCs w:val="17"/>
              </w:rPr>
              <w:t>112</w:t>
            </w:r>
          </w:p>
        </w:tc>
        <w:tc>
          <w:tcPr>
            <w:tcW w:w="1258" w:type="dxa"/>
          </w:tcPr>
          <w:p w:rsidR="009C0AF4" w:rsidRPr="007E5614" w:rsidRDefault="009C0AF4" w:rsidP="00666795">
            <w:pPr>
              <w:jc w:val="right"/>
              <w:rPr>
                <w:rFonts w:cs="Arial"/>
                <w:color w:val="000000"/>
                <w:sz w:val="17"/>
                <w:szCs w:val="17"/>
              </w:rPr>
            </w:pPr>
            <w:r w:rsidRPr="007E5614">
              <w:rPr>
                <w:rFonts w:cs="Arial"/>
                <w:color w:val="000000"/>
                <w:sz w:val="17"/>
                <w:szCs w:val="17"/>
              </w:rPr>
              <w:t>131</w:t>
            </w:r>
          </w:p>
        </w:tc>
      </w:tr>
      <w:tr w:rsidR="009C0AF4" w:rsidRPr="007E5614" w:rsidTr="009C0AF4">
        <w:tc>
          <w:tcPr>
            <w:tcW w:w="4195" w:type="dxa"/>
            <w:vAlign w:val="center"/>
          </w:tcPr>
          <w:p w:rsidR="009C0AF4" w:rsidRPr="007E5614" w:rsidRDefault="009C0AF4" w:rsidP="00666795">
            <w:pPr>
              <w:pStyle w:val="Table-AnnualReport"/>
            </w:pPr>
            <w:bookmarkStart w:id="229" w:name="_Toc303758354"/>
            <w:bookmarkStart w:id="230" w:name="_Toc304279349"/>
            <w:r w:rsidRPr="007E5614">
              <w:t>30-34 years</w:t>
            </w:r>
            <w:bookmarkEnd w:id="229"/>
            <w:bookmarkEnd w:id="230"/>
          </w:p>
        </w:tc>
        <w:tc>
          <w:tcPr>
            <w:tcW w:w="1265" w:type="dxa"/>
          </w:tcPr>
          <w:p w:rsidR="009C0AF4" w:rsidRPr="007E5614" w:rsidRDefault="009C0AF4" w:rsidP="00666795">
            <w:pPr>
              <w:jc w:val="right"/>
              <w:rPr>
                <w:rFonts w:cs="Arial"/>
                <w:color w:val="000000"/>
                <w:sz w:val="17"/>
                <w:szCs w:val="17"/>
              </w:rPr>
            </w:pPr>
            <w:r w:rsidRPr="007E5614">
              <w:rPr>
                <w:rFonts w:cs="Arial"/>
                <w:color w:val="000000"/>
                <w:sz w:val="17"/>
                <w:szCs w:val="17"/>
              </w:rPr>
              <w:t>246</w:t>
            </w:r>
          </w:p>
        </w:tc>
        <w:tc>
          <w:tcPr>
            <w:tcW w:w="1265" w:type="dxa"/>
            <w:shd w:val="clear" w:color="auto" w:fill="auto"/>
          </w:tcPr>
          <w:p w:rsidR="009C0AF4" w:rsidRPr="007E5614" w:rsidRDefault="009C0AF4" w:rsidP="00666795">
            <w:pPr>
              <w:jc w:val="right"/>
              <w:rPr>
                <w:rFonts w:cs="Arial"/>
                <w:color w:val="000000"/>
                <w:sz w:val="17"/>
                <w:szCs w:val="17"/>
              </w:rPr>
            </w:pPr>
            <w:r w:rsidRPr="007E5614">
              <w:rPr>
                <w:rFonts w:cs="Arial"/>
                <w:color w:val="000000"/>
                <w:sz w:val="17"/>
                <w:szCs w:val="17"/>
              </w:rPr>
              <w:t>268</w:t>
            </w:r>
          </w:p>
        </w:tc>
        <w:tc>
          <w:tcPr>
            <w:tcW w:w="1265" w:type="dxa"/>
          </w:tcPr>
          <w:p w:rsidR="009C0AF4" w:rsidRPr="007E5614" w:rsidRDefault="009C0AF4" w:rsidP="00666795">
            <w:pPr>
              <w:jc w:val="right"/>
              <w:rPr>
                <w:rFonts w:cs="Arial"/>
                <w:color w:val="000000"/>
                <w:sz w:val="17"/>
                <w:szCs w:val="17"/>
              </w:rPr>
            </w:pPr>
            <w:r w:rsidRPr="007E5614">
              <w:rPr>
                <w:rFonts w:cs="Arial"/>
                <w:color w:val="000000"/>
                <w:sz w:val="17"/>
                <w:szCs w:val="17"/>
              </w:rPr>
              <w:t>210</w:t>
            </w:r>
          </w:p>
        </w:tc>
        <w:tc>
          <w:tcPr>
            <w:tcW w:w="1258" w:type="dxa"/>
          </w:tcPr>
          <w:p w:rsidR="009C0AF4" w:rsidRPr="007E5614" w:rsidRDefault="009C0AF4" w:rsidP="00666795">
            <w:pPr>
              <w:jc w:val="right"/>
              <w:rPr>
                <w:rFonts w:cs="Arial"/>
                <w:color w:val="000000"/>
                <w:sz w:val="17"/>
                <w:szCs w:val="17"/>
              </w:rPr>
            </w:pPr>
            <w:r w:rsidRPr="007E5614">
              <w:rPr>
                <w:rFonts w:cs="Arial"/>
                <w:color w:val="000000"/>
                <w:sz w:val="17"/>
                <w:szCs w:val="17"/>
              </w:rPr>
              <w:t>199</w:t>
            </w:r>
          </w:p>
        </w:tc>
      </w:tr>
      <w:tr w:rsidR="009C0AF4" w:rsidRPr="007E5614" w:rsidTr="009C0AF4">
        <w:tc>
          <w:tcPr>
            <w:tcW w:w="4195" w:type="dxa"/>
            <w:vAlign w:val="center"/>
          </w:tcPr>
          <w:p w:rsidR="009C0AF4" w:rsidRPr="007E5614" w:rsidRDefault="009C0AF4" w:rsidP="00666795">
            <w:pPr>
              <w:pStyle w:val="Table-AnnualReport"/>
            </w:pPr>
            <w:bookmarkStart w:id="231" w:name="_Toc303758359"/>
            <w:bookmarkStart w:id="232" w:name="_Toc304279354"/>
            <w:r w:rsidRPr="007E5614">
              <w:t>35-39 years</w:t>
            </w:r>
            <w:bookmarkEnd w:id="231"/>
            <w:bookmarkEnd w:id="232"/>
          </w:p>
        </w:tc>
        <w:tc>
          <w:tcPr>
            <w:tcW w:w="1265" w:type="dxa"/>
          </w:tcPr>
          <w:p w:rsidR="009C0AF4" w:rsidRPr="007E5614" w:rsidRDefault="009C0AF4" w:rsidP="00666795">
            <w:pPr>
              <w:jc w:val="right"/>
              <w:rPr>
                <w:rFonts w:cs="Arial"/>
                <w:color w:val="000000"/>
                <w:sz w:val="17"/>
                <w:szCs w:val="17"/>
              </w:rPr>
            </w:pPr>
            <w:r w:rsidRPr="007E5614">
              <w:rPr>
                <w:rFonts w:cs="Arial"/>
                <w:color w:val="000000"/>
                <w:sz w:val="17"/>
                <w:szCs w:val="17"/>
              </w:rPr>
              <w:t>225</w:t>
            </w:r>
          </w:p>
        </w:tc>
        <w:tc>
          <w:tcPr>
            <w:tcW w:w="1265" w:type="dxa"/>
            <w:shd w:val="clear" w:color="auto" w:fill="auto"/>
          </w:tcPr>
          <w:p w:rsidR="009C0AF4" w:rsidRPr="007E5614" w:rsidRDefault="009C0AF4" w:rsidP="00666795">
            <w:pPr>
              <w:jc w:val="right"/>
              <w:rPr>
                <w:rFonts w:cs="Arial"/>
                <w:color w:val="000000"/>
                <w:sz w:val="17"/>
                <w:szCs w:val="17"/>
              </w:rPr>
            </w:pPr>
            <w:r w:rsidRPr="007E5614">
              <w:rPr>
                <w:rFonts w:cs="Arial"/>
                <w:color w:val="000000"/>
                <w:sz w:val="17"/>
                <w:szCs w:val="17"/>
              </w:rPr>
              <w:t>236</w:t>
            </w:r>
          </w:p>
        </w:tc>
        <w:tc>
          <w:tcPr>
            <w:tcW w:w="1265" w:type="dxa"/>
          </w:tcPr>
          <w:p w:rsidR="009C0AF4" w:rsidRPr="007E5614" w:rsidRDefault="009C0AF4" w:rsidP="00666795">
            <w:pPr>
              <w:jc w:val="right"/>
              <w:rPr>
                <w:rFonts w:cs="Arial"/>
                <w:color w:val="000000"/>
                <w:sz w:val="17"/>
                <w:szCs w:val="17"/>
              </w:rPr>
            </w:pPr>
            <w:r w:rsidRPr="007E5614">
              <w:rPr>
                <w:rFonts w:cs="Arial"/>
                <w:color w:val="000000"/>
                <w:sz w:val="17"/>
                <w:szCs w:val="17"/>
              </w:rPr>
              <w:t>244</w:t>
            </w:r>
          </w:p>
        </w:tc>
        <w:tc>
          <w:tcPr>
            <w:tcW w:w="1258" w:type="dxa"/>
          </w:tcPr>
          <w:p w:rsidR="009C0AF4" w:rsidRPr="007E5614" w:rsidRDefault="009C0AF4" w:rsidP="00666795">
            <w:pPr>
              <w:jc w:val="right"/>
              <w:rPr>
                <w:rFonts w:cs="Arial"/>
                <w:color w:val="000000"/>
                <w:sz w:val="17"/>
                <w:szCs w:val="17"/>
              </w:rPr>
            </w:pPr>
            <w:r w:rsidRPr="007E5614">
              <w:rPr>
                <w:rFonts w:cs="Arial"/>
                <w:color w:val="000000"/>
                <w:sz w:val="17"/>
                <w:szCs w:val="17"/>
              </w:rPr>
              <w:t>247</w:t>
            </w:r>
          </w:p>
        </w:tc>
      </w:tr>
      <w:tr w:rsidR="009C0AF4" w:rsidRPr="007E5614" w:rsidTr="009C0AF4">
        <w:tc>
          <w:tcPr>
            <w:tcW w:w="4195" w:type="dxa"/>
            <w:vAlign w:val="center"/>
          </w:tcPr>
          <w:p w:rsidR="009C0AF4" w:rsidRPr="007E5614" w:rsidRDefault="009C0AF4" w:rsidP="00666795">
            <w:pPr>
              <w:pStyle w:val="Table-AnnualReport"/>
            </w:pPr>
            <w:bookmarkStart w:id="233" w:name="_Toc303758364"/>
            <w:bookmarkStart w:id="234" w:name="_Toc304279359"/>
            <w:r w:rsidRPr="007E5614">
              <w:t>40-44 years</w:t>
            </w:r>
            <w:bookmarkEnd w:id="233"/>
            <w:bookmarkEnd w:id="234"/>
          </w:p>
        </w:tc>
        <w:tc>
          <w:tcPr>
            <w:tcW w:w="1265" w:type="dxa"/>
          </w:tcPr>
          <w:p w:rsidR="009C0AF4" w:rsidRPr="007E5614" w:rsidRDefault="009C0AF4" w:rsidP="00666795">
            <w:pPr>
              <w:jc w:val="right"/>
              <w:rPr>
                <w:rFonts w:cs="Arial"/>
                <w:color w:val="000000"/>
                <w:sz w:val="17"/>
                <w:szCs w:val="17"/>
              </w:rPr>
            </w:pPr>
            <w:r w:rsidRPr="007E5614">
              <w:rPr>
                <w:rFonts w:cs="Arial"/>
                <w:color w:val="000000"/>
                <w:sz w:val="17"/>
                <w:szCs w:val="17"/>
              </w:rPr>
              <w:t>285</w:t>
            </w:r>
          </w:p>
        </w:tc>
        <w:tc>
          <w:tcPr>
            <w:tcW w:w="1265" w:type="dxa"/>
            <w:shd w:val="clear" w:color="auto" w:fill="auto"/>
          </w:tcPr>
          <w:p w:rsidR="009C0AF4" w:rsidRPr="007E5614" w:rsidRDefault="009C0AF4" w:rsidP="00666795">
            <w:pPr>
              <w:jc w:val="right"/>
              <w:rPr>
                <w:rFonts w:cs="Arial"/>
                <w:color w:val="000000"/>
                <w:sz w:val="17"/>
                <w:szCs w:val="17"/>
              </w:rPr>
            </w:pPr>
            <w:r w:rsidRPr="007E5614">
              <w:rPr>
                <w:rFonts w:cs="Arial"/>
                <w:color w:val="000000"/>
                <w:sz w:val="17"/>
                <w:szCs w:val="17"/>
              </w:rPr>
              <w:t>281</w:t>
            </w:r>
          </w:p>
        </w:tc>
        <w:tc>
          <w:tcPr>
            <w:tcW w:w="1265" w:type="dxa"/>
          </w:tcPr>
          <w:p w:rsidR="009C0AF4" w:rsidRPr="007E5614" w:rsidRDefault="009C0AF4" w:rsidP="00666795">
            <w:pPr>
              <w:jc w:val="right"/>
              <w:rPr>
                <w:rFonts w:cs="Arial"/>
                <w:color w:val="000000"/>
                <w:sz w:val="17"/>
                <w:szCs w:val="17"/>
              </w:rPr>
            </w:pPr>
            <w:r w:rsidRPr="007E5614">
              <w:rPr>
                <w:rFonts w:cs="Arial"/>
                <w:color w:val="000000"/>
                <w:sz w:val="17"/>
                <w:szCs w:val="17"/>
              </w:rPr>
              <w:t>246</w:t>
            </w:r>
          </w:p>
        </w:tc>
        <w:tc>
          <w:tcPr>
            <w:tcW w:w="1258" w:type="dxa"/>
          </w:tcPr>
          <w:p w:rsidR="009C0AF4" w:rsidRPr="007E5614" w:rsidRDefault="009C0AF4" w:rsidP="00666795">
            <w:pPr>
              <w:jc w:val="right"/>
              <w:rPr>
                <w:rFonts w:cs="Arial"/>
                <w:color w:val="000000"/>
                <w:sz w:val="17"/>
                <w:szCs w:val="17"/>
              </w:rPr>
            </w:pPr>
            <w:r w:rsidRPr="007E5614">
              <w:rPr>
                <w:rFonts w:cs="Arial"/>
                <w:color w:val="000000"/>
                <w:sz w:val="17"/>
                <w:szCs w:val="17"/>
              </w:rPr>
              <w:t>274</w:t>
            </w:r>
          </w:p>
        </w:tc>
      </w:tr>
      <w:tr w:rsidR="009C0AF4" w:rsidRPr="007E5614" w:rsidTr="009C0AF4">
        <w:tc>
          <w:tcPr>
            <w:tcW w:w="4195" w:type="dxa"/>
            <w:vAlign w:val="center"/>
          </w:tcPr>
          <w:p w:rsidR="009C0AF4" w:rsidRPr="007E5614" w:rsidRDefault="009C0AF4" w:rsidP="00666795">
            <w:pPr>
              <w:pStyle w:val="Table-AnnualReport"/>
            </w:pPr>
            <w:bookmarkStart w:id="235" w:name="_Toc303758369"/>
            <w:bookmarkStart w:id="236" w:name="_Toc304279364"/>
            <w:r w:rsidRPr="007E5614">
              <w:t>45-49 years</w:t>
            </w:r>
            <w:bookmarkEnd w:id="235"/>
            <w:bookmarkEnd w:id="236"/>
          </w:p>
        </w:tc>
        <w:tc>
          <w:tcPr>
            <w:tcW w:w="1265" w:type="dxa"/>
          </w:tcPr>
          <w:p w:rsidR="009C0AF4" w:rsidRPr="007E5614" w:rsidRDefault="009C0AF4" w:rsidP="00666795">
            <w:pPr>
              <w:jc w:val="right"/>
              <w:rPr>
                <w:rFonts w:cs="Arial"/>
                <w:color w:val="000000"/>
                <w:sz w:val="17"/>
                <w:szCs w:val="17"/>
              </w:rPr>
            </w:pPr>
            <w:r w:rsidRPr="007E5614">
              <w:rPr>
                <w:rFonts w:cs="Arial"/>
                <w:color w:val="000000"/>
                <w:sz w:val="17"/>
                <w:szCs w:val="17"/>
              </w:rPr>
              <w:t>300</w:t>
            </w:r>
          </w:p>
        </w:tc>
        <w:tc>
          <w:tcPr>
            <w:tcW w:w="1265" w:type="dxa"/>
            <w:shd w:val="clear" w:color="auto" w:fill="auto"/>
          </w:tcPr>
          <w:p w:rsidR="009C0AF4" w:rsidRPr="007E5614" w:rsidRDefault="009C0AF4" w:rsidP="00666795">
            <w:pPr>
              <w:jc w:val="right"/>
              <w:rPr>
                <w:rFonts w:cs="Arial"/>
                <w:color w:val="000000"/>
                <w:sz w:val="17"/>
                <w:szCs w:val="17"/>
              </w:rPr>
            </w:pPr>
            <w:r w:rsidRPr="007E5614">
              <w:rPr>
                <w:rFonts w:cs="Arial"/>
                <w:color w:val="000000"/>
                <w:sz w:val="17"/>
                <w:szCs w:val="17"/>
              </w:rPr>
              <w:t>294</w:t>
            </w:r>
          </w:p>
        </w:tc>
        <w:tc>
          <w:tcPr>
            <w:tcW w:w="1265" w:type="dxa"/>
          </w:tcPr>
          <w:p w:rsidR="009C0AF4" w:rsidRPr="007E5614" w:rsidRDefault="009C0AF4" w:rsidP="00666795">
            <w:pPr>
              <w:jc w:val="right"/>
              <w:rPr>
                <w:rFonts w:cs="Arial"/>
                <w:color w:val="000000"/>
                <w:sz w:val="17"/>
                <w:szCs w:val="17"/>
              </w:rPr>
            </w:pPr>
            <w:r w:rsidRPr="007E5614">
              <w:rPr>
                <w:rFonts w:cs="Arial"/>
                <w:color w:val="000000"/>
                <w:sz w:val="17"/>
                <w:szCs w:val="17"/>
              </w:rPr>
              <w:t>256</w:t>
            </w:r>
          </w:p>
        </w:tc>
        <w:tc>
          <w:tcPr>
            <w:tcW w:w="1258" w:type="dxa"/>
          </w:tcPr>
          <w:p w:rsidR="009C0AF4" w:rsidRPr="007E5614" w:rsidRDefault="009C0AF4" w:rsidP="00666795">
            <w:pPr>
              <w:jc w:val="right"/>
              <w:rPr>
                <w:rFonts w:cs="Arial"/>
                <w:color w:val="000000"/>
                <w:sz w:val="17"/>
                <w:szCs w:val="17"/>
              </w:rPr>
            </w:pPr>
            <w:r w:rsidRPr="007E5614">
              <w:rPr>
                <w:rFonts w:cs="Arial"/>
                <w:color w:val="000000"/>
                <w:sz w:val="17"/>
                <w:szCs w:val="17"/>
              </w:rPr>
              <w:t>273</w:t>
            </w:r>
          </w:p>
        </w:tc>
      </w:tr>
      <w:tr w:rsidR="009C0AF4" w:rsidRPr="007E5614" w:rsidTr="009C0AF4">
        <w:tc>
          <w:tcPr>
            <w:tcW w:w="4195" w:type="dxa"/>
            <w:vAlign w:val="center"/>
          </w:tcPr>
          <w:p w:rsidR="009C0AF4" w:rsidRPr="007E5614" w:rsidRDefault="009C0AF4" w:rsidP="00666795">
            <w:pPr>
              <w:pStyle w:val="Table-AnnualReport"/>
            </w:pPr>
            <w:bookmarkStart w:id="237" w:name="_Toc303758374"/>
            <w:bookmarkStart w:id="238" w:name="_Toc304279369"/>
            <w:r w:rsidRPr="007E5614">
              <w:t>50-54 years</w:t>
            </w:r>
            <w:bookmarkEnd w:id="237"/>
            <w:bookmarkEnd w:id="238"/>
          </w:p>
        </w:tc>
        <w:tc>
          <w:tcPr>
            <w:tcW w:w="1265" w:type="dxa"/>
          </w:tcPr>
          <w:p w:rsidR="009C0AF4" w:rsidRPr="007E5614" w:rsidRDefault="009C0AF4" w:rsidP="00666795">
            <w:pPr>
              <w:jc w:val="right"/>
              <w:rPr>
                <w:rFonts w:cs="Arial"/>
                <w:color w:val="000000"/>
                <w:sz w:val="17"/>
                <w:szCs w:val="17"/>
              </w:rPr>
            </w:pPr>
            <w:r w:rsidRPr="007E5614">
              <w:rPr>
                <w:rFonts w:cs="Arial"/>
                <w:color w:val="000000"/>
                <w:sz w:val="17"/>
                <w:szCs w:val="17"/>
              </w:rPr>
              <w:t>316</w:t>
            </w:r>
          </w:p>
        </w:tc>
        <w:tc>
          <w:tcPr>
            <w:tcW w:w="1265" w:type="dxa"/>
            <w:shd w:val="clear" w:color="auto" w:fill="auto"/>
          </w:tcPr>
          <w:p w:rsidR="009C0AF4" w:rsidRPr="007E5614" w:rsidRDefault="009C0AF4" w:rsidP="00666795">
            <w:pPr>
              <w:jc w:val="right"/>
              <w:rPr>
                <w:rFonts w:cs="Arial"/>
                <w:color w:val="000000"/>
                <w:sz w:val="17"/>
                <w:szCs w:val="17"/>
              </w:rPr>
            </w:pPr>
            <w:r w:rsidRPr="007E5614">
              <w:rPr>
                <w:rFonts w:cs="Arial"/>
                <w:color w:val="000000"/>
                <w:sz w:val="17"/>
                <w:szCs w:val="17"/>
              </w:rPr>
              <w:t>307</w:t>
            </w:r>
          </w:p>
        </w:tc>
        <w:tc>
          <w:tcPr>
            <w:tcW w:w="1265" w:type="dxa"/>
          </w:tcPr>
          <w:p w:rsidR="009C0AF4" w:rsidRPr="007E5614" w:rsidRDefault="009C0AF4" w:rsidP="00666795">
            <w:pPr>
              <w:jc w:val="right"/>
              <w:rPr>
                <w:rFonts w:cs="Arial"/>
                <w:color w:val="000000"/>
                <w:sz w:val="17"/>
                <w:szCs w:val="17"/>
              </w:rPr>
            </w:pPr>
            <w:r w:rsidRPr="007E5614">
              <w:rPr>
                <w:rFonts w:cs="Arial"/>
                <w:color w:val="000000"/>
                <w:sz w:val="17"/>
                <w:szCs w:val="17"/>
              </w:rPr>
              <w:t>293</w:t>
            </w:r>
          </w:p>
        </w:tc>
        <w:tc>
          <w:tcPr>
            <w:tcW w:w="1258" w:type="dxa"/>
          </w:tcPr>
          <w:p w:rsidR="009C0AF4" w:rsidRPr="007E5614" w:rsidRDefault="009C0AF4" w:rsidP="00666795">
            <w:pPr>
              <w:jc w:val="right"/>
              <w:rPr>
                <w:rFonts w:cs="Arial"/>
                <w:color w:val="000000"/>
                <w:sz w:val="17"/>
                <w:szCs w:val="17"/>
              </w:rPr>
            </w:pPr>
            <w:r w:rsidRPr="007E5614">
              <w:rPr>
                <w:rFonts w:cs="Arial"/>
                <w:color w:val="000000"/>
                <w:sz w:val="17"/>
                <w:szCs w:val="17"/>
              </w:rPr>
              <w:t>267</w:t>
            </w:r>
          </w:p>
        </w:tc>
      </w:tr>
      <w:tr w:rsidR="009C0AF4" w:rsidRPr="007E5614" w:rsidTr="009C0AF4">
        <w:tc>
          <w:tcPr>
            <w:tcW w:w="4195" w:type="dxa"/>
            <w:vAlign w:val="center"/>
          </w:tcPr>
          <w:p w:rsidR="009C0AF4" w:rsidRPr="007E5614" w:rsidRDefault="009C0AF4" w:rsidP="00666795">
            <w:pPr>
              <w:pStyle w:val="Table-AnnualReport"/>
            </w:pPr>
            <w:bookmarkStart w:id="239" w:name="_Toc303758379"/>
            <w:bookmarkStart w:id="240" w:name="_Toc304279374"/>
            <w:r w:rsidRPr="007E5614">
              <w:t>55-59 years</w:t>
            </w:r>
            <w:bookmarkEnd w:id="239"/>
            <w:bookmarkEnd w:id="240"/>
          </w:p>
        </w:tc>
        <w:tc>
          <w:tcPr>
            <w:tcW w:w="1265" w:type="dxa"/>
          </w:tcPr>
          <w:p w:rsidR="009C0AF4" w:rsidRPr="007E5614" w:rsidRDefault="009C0AF4" w:rsidP="00666795">
            <w:pPr>
              <w:jc w:val="right"/>
              <w:rPr>
                <w:rFonts w:cs="Arial"/>
                <w:color w:val="000000"/>
                <w:sz w:val="17"/>
                <w:szCs w:val="17"/>
              </w:rPr>
            </w:pPr>
            <w:r w:rsidRPr="007E5614">
              <w:rPr>
                <w:rFonts w:cs="Arial"/>
                <w:color w:val="000000"/>
                <w:sz w:val="17"/>
                <w:szCs w:val="17"/>
              </w:rPr>
              <w:t>241</w:t>
            </w:r>
          </w:p>
        </w:tc>
        <w:tc>
          <w:tcPr>
            <w:tcW w:w="1265" w:type="dxa"/>
            <w:shd w:val="clear" w:color="auto" w:fill="auto"/>
          </w:tcPr>
          <w:p w:rsidR="009C0AF4" w:rsidRPr="007E5614" w:rsidRDefault="009C0AF4" w:rsidP="00666795">
            <w:pPr>
              <w:jc w:val="right"/>
              <w:rPr>
                <w:rFonts w:cs="Arial"/>
                <w:color w:val="000000"/>
                <w:sz w:val="17"/>
                <w:szCs w:val="17"/>
              </w:rPr>
            </w:pPr>
            <w:r w:rsidRPr="007E5614">
              <w:rPr>
                <w:rFonts w:cs="Arial"/>
                <w:color w:val="000000"/>
                <w:sz w:val="17"/>
                <w:szCs w:val="17"/>
              </w:rPr>
              <w:t>257</w:t>
            </w:r>
          </w:p>
        </w:tc>
        <w:tc>
          <w:tcPr>
            <w:tcW w:w="1265" w:type="dxa"/>
          </w:tcPr>
          <w:p w:rsidR="009C0AF4" w:rsidRPr="007E5614" w:rsidRDefault="009C0AF4" w:rsidP="00666795">
            <w:pPr>
              <w:jc w:val="right"/>
              <w:rPr>
                <w:rFonts w:cs="Arial"/>
                <w:color w:val="000000"/>
                <w:sz w:val="17"/>
                <w:szCs w:val="17"/>
              </w:rPr>
            </w:pPr>
            <w:r w:rsidRPr="007E5614">
              <w:rPr>
                <w:rFonts w:cs="Arial"/>
                <w:color w:val="000000"/>
                <w:sz w:val="17"/>
                <w:szCs w:val="17"/>
              </w:rPr>
              <w:t>226</w:t>
            </w:r>
          </w:p>
        </w:tc>
        <w:tc>
          <w:tcPr>
            <w:tcW w:w="1258" w:type="dxa"/>
          </w:tcPr>
          <w:p w:rsidR="009C0AF4" w:rsidRPr="007E5614" w:rsidRDefault="009C0AF4" w:rsidP="00666795">
            <w:pPr>
              <w:jc w:val="right"/>
              <w:rPr>
                <w:rFonts w:cs="Arial"/>
                <w:color w:val="000000"/>
                <w:sz w:val="17"/>
                <w:szCs w:val="17"/>
              </w:rPr>
            </w:pPr>
            <w:r w:rsidRPr="007E5614">
              <w:rPr>
                <w:rFonts w:cs="Arial"/>
                <w:color w:val="000000"/>
                <w:sz w:val="17"/>
                <w:szCs w:val="17"/>
              </w:rPr>
              <w:t>225</w:t>
            </w:r>
          </w:p>
        </w:tc>
      </w:tr>
      <w:tr w:rsidR="009C0AF4" w:rsidRPr="007E5614" w:rsidTr="009C0AF4">
        <w:tc>
          <w:tcPr>
            <w:tcW w:w="4195" w:type="dxa"/>
            <w:vAlign w:val="center"/>
          </w:tcPr>
          <w:p w:rsidR="009C0AF4" w:rsidRPr="007E5614" w:rsidRDefault="009C0AF4" w:rsidP="00666795">
            <w:pPr>
              <w:pStyle w:val="Table-AnnualReport"/>
            </w:pPr>
            <w:bookmarkStart w:id="241" w:name="_Toc303758384"/>
            <w:bookmarkStart w:id="242" w:name="_Toc304279379"/>
            <w:r w:rsidRPr="007E5614">
              <w:t>60+ years</w:t>
            </w:r>
            <w:bookmarkEnd w:id="241"/>
            <w:bookmarkEnd w:id="242"/>
          </w:p>
        </w:tc>
        <w:tc>
          <w:tcPr>
            <w:tcW w:w="1265" w:type="dxa"/>
          </w:tcPr>
          <w:p w:rsidR="009C0AF4" w:rsidRPr="007E5614" w:rsidRDefault="009C0AF4" w:rsidP="00666795">
            <w:pPr>
              <w:jc w:val="right"/>
              <w:rPr>
                <w:rFonts w:cs="Arial"/>
                <w:color w:val="000000"/>
                <w:sz w:val="17"/>
                <w:szCs w:val="17"/>
              </w:rPr>
            </w:pPr>
            <w:r w:rsidRPr="007E5614">
              <w:rPr>
                <w:rFonts w:cs="Arial"/>
                <w:color w:val="000000"/>
                <w:sz w:val="17"/>
                <w:szCs w:val="17"/>
              </w:rPr>
              <w:t>178</w:t>
            </w:r>
          </w:p>
        </w:tc>
        <w:tc>
          <w:tcPr>
            <w:tcW w:w="1265" w:type="dxa"/>
            <w:shd w:val="clear" w:color="auto" w:fill="auto"/>
          </w:tcPr>
          <w:p w:rsidR="009C0AF4" w:rsidRPr="007E5614" w:rsidRDefault="009C0AF4" w:rsidP="00666795">
            <w:pPr>
              <w:jc w:val="right"/>
              <w:rPr>
                <w:rFonts w:cs="Arial"/>
                <w:color w:val="000000"/>
                <w:sz w:val="17"/>
                <w:szCs w:val="17"/>
              </w:rPr>
            </w:pPr>
            <w:r w:rsidRPr="007E5614">
              <w:rPr>
                <w:rFonts w:cs="Arial"/>
                <w:color w:val="000000"/>
                <w:sz w:val="17"/>
                <w:szCs w:val="17"/>
              </w:rPr>
              <w:t>189</w:t>
            </w:r>
          </w:p>
        </w:tc>
        <w:tc>
          <w:tcPr>
            <w:tcW w:w="1265" w:type="dxa"/>
          </w:tcPr>
          <w:p w:rsidR="009C0AF4" w:rsidRPr="007E5614" w:rsidRDefault="009C0AF4" w:rsidP="00666795">
            <w:pPr>
              <w:jc w:val="right"/>
              <w:rPr>
                <w:rFonts w:cs="Arial"/>
                <w:color w:val="000000"/>
                <w:sz w:val="17"/>
                <w:szCs w:val="17"/>
              </w:rPr>
            </w:pPr>
            <w:r w:rsidRPr="007E5614">
              <w:rPr>
                <w:rFonts w:cs="Arial"/>
                <w:color w:val="000000"/>
                <w:sz w:val="17"/>
                <w:szCs w:val="17"/>
              </w:rPr>
              <w:t>175</w:t>
            </w:r>
          </w:p>
        </w:tc>
        <w:tc>
          <w:tcPr>
            <w:tcW w:w="1258" w:type="dxa"/>
          </w:tcPr>
          <w:p w:rsidR="009C0AF4" w:rsidRPr="007E5614" w:rsidRDefault="009C0AF4" w:rsidP="00666795">
            <w:pPr>
              <w:jc w:val="right"/>
              <w:rPr>
                <w:rFonts w:cs="Arial"/>
                <w:color w:val="000000"/>
                <w:sz w:val="17"/>
                <w:szCs w:val="17"/>
              </w:rPr>
            </w:pPr>
            <w:r w:rsidRPr="007E5614">
              <w:rPr>
                <w:rFonts w:cs="Arial"/>
                <w:color w:val="000000"/>
                <w:sz w:val="17"/>
                <w:szCs w:val="17"/>
              </w:rPr>
              <w:t>195</w:t>
            </w:r>
          </w:p>
        </w:tc>
      </w:tr>
      <w:tr w:rsidR="009C0AF4" w:rsidRPr="007E5614" w:rsidTr="009C0AF4">
        <w:tc>
          <w:tcPr>
            <w:tcW w:w="4195" w:type="dxa"/>
            <w:vAlign w:val="center"/>
          </w:tcPr>
          <w:p w:rsidR="009C0AF4" w:rsidRPr="007E5614" w:rsidRDefault="009C0AF4" w:rsidP="00666795">
            <w:pPr>
              <w:pStyle w:val="Table-AnnualReport"/>
              <w:rPr>
                <w:b/>
              </w:rPr>
            </w:pPr>
            <w:bookmarkStart w:id="243" w:name="_Toc303758389"/>
            <w:bookmarkStart w:id="244" w:name="_Toc304279384"/>
            <w:r w:rsidRPr="007E5614">
              <w:rPr>
                <w:b/>
              </w:rPr>
              <w:t>Total</w:t>
            </w:r>
            <w:bookmarkEnd w:id="243"/>
            <w:bookmarkEnd w:id="244"/>
          </w:p>
        </w:tc>
        <w:tc>
          <w:tcPr>
            <w:tcW w:w="1265" w:type="dxa"/>
          </w:tcPr>
          <w:p w:rsidR="009C0AF4" w:rsidRPr="007E5614" w:rsidRDefault="009C0AF4" w:rsidP="00666795">
            <w:pPr>
              <w:jc w:val="right"/>
              <w:rPr>
                <w:rFonts w:cs="Arial"/>
                <w:b/>
                <w:color w:val="000000"/>
                <w:sz w:val="17"/>
                <w:szCs w:val="17"/>
              </w:rPr>
            </w:pPr>
            <w:r w:rsidRPr="007E5614">
              <w:rPr>
                <w:rFonts w:cs="Arial"/>
                <w:b/>
                <w:color w:val="000000"/>
                <w:sz w:val="17"/>
                <w:szCs w:val="17"/>
              </w:rPr>
              <w:t>2 000</w:t>
            </w:r>
          </w:p>
        </w:tc>
        <w:tc>
          <w:tcPr>
            <w:tcW w:w="1265" w:type="dxa"/>
            <w:shd w:val="clear" w:color="auto" w:fill="auto"/>
          </w:tcPr>
          <w:p w:rsidR="009C0AF4" w:rsidRPr="007E5614" w:rsidRDefault="009C0AF4" w:rsidP="00666795">
            <w:pPr>
              <w:jc w:val="right"/>
              <w:rPr>
                <w:rFonts w:cs="Arial"/>
                <w:b/>
                <w:color w:val="000000"/>
                <w:sz w:val="17"/>
                <w:szCs w:val="17"/>
              </w:rPr>
            </w:pPr>
            <w:r w:rsidRPr="007E5614">
              <w:rPr>
                <w:rFonts w:cs="Arial"/>
                <w:b/>
                <w:color w:val="000000"/>
                <w:sz w:val="17"/>
                <w:szCs w:val="17"/>
              </w:rPr>
              <w:t>2 032</w:t>
            </w:r>
          </w:p>
        </w:tc>
        <w:tc>
          <w:tcPr>
            <w:tcW w:w="1265" w:type="dxa"/>
          </w:tcPr>
          <w:p w:rsidR="009C0AF4" w:rsidRPr="007E5614" w:rsidRDefault="009C0AF4" w:rsidP="00666795">
            <w:pPr>
              <w:jc w:val="right"/>
              <w:rPr>
                <w:rFonts w:cs="Arial"/>
                <w:b/>
                <w:color w:val="000000"/>
                <w:sz w:val="17"/>
                <w:szCs w:val="17"/>
              </w:rPr>
            </w:pPr>
            <w:r w:rsidRPr="007E5614">
              <w:rPr>
                <w:rFonts w:cs="Arial"/>
                <w:b/>
                <w:color w:val="000000"/>
                <w:sz w:val="17"/>
                <w:szCs w:val="17"/>
              </w:rPr>
              <w:t>1 795</w:t>
            </w:r>
          </w:p>
        </w:tc>
        <w:tc>
          <w:tcPr>
            <w:tcW w:w="1258" w:type="dxa"/>
          </w:tcPr>
          <w:p w:rsidR="009C0AF4" w:rsidRPr="007E5614" w:rsidRDefault="009C0AF4" w:rsidP="00666795">
            <w:pPr>
              <w:jc w:val="right"/>
              <w:rPr>
                <w:rFonts w:cs="Arial"/>
                <w:b/>
                <w:color w:val="000000"/>
                <w:sz w:val="17"/>
                <w:szCs w:val="17"/>
              </w:rPr>
            </w:pPr>
            <w:r w:rsidRPr="007E5614">
              <w:rPr>
                <w:rFonts w:cs="Arial"/>
                <w:b/>
                <w:color w:val="000000"/>
                <w:sz w:val="17"/>
                <w:szCs w:val="17"/>
              </w:rPr>
              <w:t>1 857</w:t>
            </w:r>
          </w:p>
        </w:tc>
      </w:tr>
    </w:tbl>
    <w:p w:rsidR="009C0AF4" w:rsidRPr="009C0AF4" w:rsidRDefault="009C0AF4" w:rsidP="009C0AF4">
      <w:pPr>
        <w:keepNext/>
        <w:spacing w:before="60" w:after="60" w:line="240" w:lineRule="auto"/>
        <w:rPr>
          <w:rFonts w:eastAsia="Calibri"/>
          <w:sz w:val="16"/>
          <w:szCs w:val="16"/>
        </w:rPr>
      </w:pPr>
      <w:r w:rsidRPr="009C0AF4">
        <w:rPr>
          <w:rFonts w:eastAsia="Calibri"/>
          <w:sz w:val="16"/>
          <w:szCs w:val="16"/>
        </w:rPr>
        <w:t>Note:</w:t>
      </w:r>
    </w:p>
    <w:p w:rsidR="009C0AF4" w:rsidRPr="009C0AF4" w:rsidRDefault="009C0AF4" w:rsidP="009C0AF4">
      <w:pPr>
        <w:pStyle w:val="ListParagraph"/>
        <w:keepLines/>
        <w:numPr>
          <w:ilvl w:val="0"/>
          <w:numId w:val="12"/>
        </w:numPr>
        <w:spacing w:line="240" w:lineRule="auto"/>
        <w:rPr>
          <w:sz w:val="16"/>
          <w:szCs w:val="16"/>
        </w:rPr>
      </w:pPr>
      <w:r w:rsidRPr="009C0AF4">
        <w:rPr>
          <w:sz w:val="16"/>
          <w:szCs w:val="16"/>
        </w:rPr>
        <w:t>Due to organisational changes, data for previous years has been remapped to the current organisational structure, and these figures therefore differ from those previously published in DHHS Annual Reports. The organisational changes include the transfer of CSCS to the THS, and the transfer of some administrative functions from the THS to DHHS, including the RHH Redevelopment.</w:t>
      </w:r>
    </w:p>
    <w:p w:rsidR="009C0AF4" w:rsidRPr="007E5614" w:rsidRDefault="009C0AF4" w:rsidP="00DF724A">
      <w:pPr>
        <w:pStyle w:val="Heading3"/>
      </w:pPr>
      <w:r w:rsidRPr="007E5614">
        <w:t>Indicators of Organisational Health</w:t>
      </w:r>
    </w:p>
    <w:p w:rsidR="009C0AF4" w:rsidRPr="007E5614" w:rsidRDefault="009C0AF4" w:rsidP="009C0AF4">
      <w:pPr>
        <w:pStyle w:val="Heading4"/>
      </w:pPr>
      <w:r w:rsidRPr="007E5614">
        <w:t>Leave</w:t>
      </w:r>
    </w:p>
    <w:tbl>
      <w:tblPr>
        <w:tblW w:w="9214" w:type="dxa"/>
        <w:tblInd w:w="108" w:type="dxa"/>
        <w:tblBorders>
          <w:top w:val="single" w:sz="2" w:space="0" w:color="808080"/>
          <w:insideH w:val="single" w:sz="2" w:space="0" w:color="808080"/>
        </w:tblBorders>
        <w:tblLayout w:type="fixed"/>
        <w:tblLook w:val="04A0" w:firstRow="1" w:lastRow="0" w:firstColumn="1" w:lastColumn="0" w:noHBand="0" w:noVBand="1"/>
        <w:tblCaption w:val="Indicators of Organisational Health - Leave"/>
      </w:tblPr>
      <w:tblGrid>
        <w:gridCol w:w="2694"/>
        <w:gridCol w:w="2551"/>
        <w:gridCol w:w="992"/>
        <w:gridCol w:w="993"/>
        <w:gridCol w:w="992"/>
        <w:gridCol w:w="992"/>
      </w:tblGrid>
      <w:tr w:rsidR="007B551C" w:rsidRPr="007E5614" w:rsidTr="007B551C">
        <w:tc>
          <w:tcPr>
            <w:tcW w:w="2694" w:type="dxa"/>
          </w:tcPr>
          <w:p w:rsidR="00D35284" w:rsidRDefault="007B551C" w:rsidP="007B551C">
            <w:pPr>
              <w:keepNext/>
              <w:spacing w:before="60" w:after="60" w:line="240" w:lineRule="auto"/>
              <w:outlineLvl w:val="0"/>
              <w:rPr>
                <w:b/>
                <w:bCs/>
                <w:kern w:val="32"/>
                <w:sz w:val="18"/>
                <w:szCs w:val="18"/>
              </w:rPr>
            </w:pPr>
            <w:r>
              <w:rPr>
                <w:b/>
                <w:bCs/>
                <w:kern w:val="32"/>
                <w:sz w:val="18"/>
                <w:szCs w:val="18"/>
              </w:rPr>
              <w:t>Type</w:t>
            </w:r>
          </w:p>
        </w:tc>
        <w:tc>
          <w:tcPr>
            <w:tcW w:w="2551" w:type="dxa"/>
            <w:shd w:val="clear" w:color="auto" w:fill="auto"/>
          </w:tcPr>
          <w:p w:rsidR="00D35284" w:rsidRPr="007E5614" w:rsidRDefault="007B551C" w:rsidP="007B551C">
            <w:pPr>
              <w:keepNext/>
              <w:spacing w:before="60" w:after="60" w:line="240" w:lineRule="auto"/>
              <w:outlineLvl w:val="0"/>
              <w:rPr>
                <w:b/>
                <w:bCs/>
                <w:kern w:val="32"/>
                <w:sz w:val="18"/>
                <w:szCs w:val="18"/>
              </w:rPr>
            </w:pPr>
            <w:r>
              <w:rPr>
                <w:b/>
                <w:bCs/>
                <w:kern w:val="32"/>
                <w:sz w:val="18"/>
                <w:szCs w:val="18"/>
              </w:rPr>
              <w:t>Indicator</w:t>
            </w:r>
          </w:p>
        </w:tc>
        <w:tc>
          <w:tcPr>
            <w:tcW w:w="992" w:type="dxa"/>
            <w:shd w:val="clear" w:color="auto" w:fill="auto"/>
          </w:tcPr>
          <w:p w:rsidR="00D35284" w:rsidRPr="007E5614" w:rsidRDefault="00D35284" w:rsidP="007B551C">
            <w:pPr>
              <w:jc w:val="right"/>
              <w:rPr>
                <w:b/>
                <w:kern w:val="32"/>
                <w:sz w:val="18"/>
                <w:szCs w:val="18"/>
              </w:rPr>
            </w:pPr>
            <w:r w:rsidRPr="007E5614">
              <w:rPr>
                <w:b/>
                <w:kern w:val="32"/>
                <w:sz w:val="18"/>
                <w:szCs w:val="18"/>
              </w:rPr>
              <w:t>2012-13</w:t>
            </w:r>
            <w:r w:rsidRPr="007E5614">
              <w:rPr>
                <w:b/>
                <w:kern w:val="32"/>
                <w:sz w:val="18"/>
                <w:szCs w:val="18"/>
                <w:vertAlign w:val="superscript"/>
              </w:rPr>
              <w:t>1</w:t>
            </w:r>
          </w:p>
        </w:tc>
        <w:tc>
          <w:tcPr>
            <w:tcW w:w="993" w:type="dxa"/>
            <w:shd w:val="clear" w:color="auto" w:fill="auto"/>
          </w:tcPr>
          <w:p w:rsidR="00D35284" w:rsidRPr="007E5614" w:rsidRDefault="00D35284" w:rsidP="007B551C">
            <w:pPr>
              <w:jc w:val="right"/>
              <w:rPr>
                <w:b/>
                <w:kern w:val="32"/>
                <w:sz w:val="18"/>
                <w:szCs w:val="18"/>
              </w:rPr>
            </w:pPr>
            <w:r w:rsidRPr="007E5614">
              <w:rPr>
                <w:b/>
                <w:kern w:val="32"/>
                <w:sz w:val="18"/>
                <w:szCs w:val="18"/>
              </w:rPr>
              <w:t>2013-14</w:t>
            </w:r>
            <w:r w:rsidRPr="007E5614">
              <w:rPr>
                <w:b/>
                <w:kern w:val="32"/>
                <w:sz w:val="18"/>
                <w:szCs w:val="18"/>
                <w:vertAlign w:val="superscript"/>
              </w:rPr>
              <w:t>1</w:t>
            </w:r>
          </w:p>
        </w:tc>
        <w:tc>
          <w:tcPr>
            <w:tcW w:w="992" w:type="dxa"/>
            <w:shd w:val="clear" w:color="auto" w:fill="auto"/>
          </w:tcPr>
          <w:p w:rsidR="00D35284" w:rsidRPr="007E5614" w:rsidRDefault="00D35284" w:rsidP="007B551C">
            <w:pPr>
              <w:jc w:val="right"/>
              <w:rPr>
                <w:b/>
                <w:kern w:val="32"/>
                <w:sz w:val="18"/>
                <w:szCs w:val="18"/>
              </w:rPr>
            </w:pPr>
            <w:r w:rsidRPr="007E5614">
              <w:rPr>
                <w:b/>
                <w:kern w:val="32"/>
                <w:sz w:val="18"/>
                <w:szCs w:val="18"/>
              </w:rPr>
              <w:t>2014-15</w:t>
            </w:r>
            <w:r w:rsidRPr="007E5614">
              <w:rPr>
                <w:b/>
                <w:kern w:val="32"/>
                <w:sz w:val="18"/>
                <w:szCs w:val="18"/>
                <w:vertAlign w:val="superscript"/>
              </w:rPr>
              <w:t>1</w:t>
            </w:r>
          </w:p>
        </w:tc>
        <w:tc>
          <w:tcPr>
            <w:tcW w:w="992" w:type="dxa"/>
          </w:tcPr>
          <w:p w:rsidR="00D35284" w:rsidRPr="007E5614" w:rsidRDefault="00D35284" w:rsidP="007B551C">
            <w:pPr>
              <w:jc w:val="right"/>
              <w:rPr>
                <w:b/>
                <w:kern w:val="32"/>
                <w:sz w:val="18"/>
                <w:szCs w:val="18"/>
              </w:rPr>
            </w:pPr>
            <w:r w:rsidRPr="007E5614">
              <w:rPr>
                <w:b/>
                <w:kern w:val="32"/>
                <w:sz w:val="18"/>
                <w:szCs w:val="18"/>
              </w:rPr>
              <w:t>2015-16</w:t>
            </w:r>
          </w:p>
        </w:tc>
      </w:tr>
      <w:tr w:rsidR="007B551C" w:rsidRPr="007E5614" w:rsidTr="007B551C">
        <w:tc>
          <w:tcPr>
            <w:tcW w:w="2694" w:type="dxa"/>
          </w:tcPr>
          <w:p w:rsidR="00D35284" w:rsidRPr="007E5614" w:rsidRDefault="00D35284" w:rsidP="007B551C">
            <w:pPr>
              <w:pStyle w:val="Table-AnnualReport"/>
              <w:rPr>
                <w:b/>
              </w:rPr>
            </w:pPr>
            <w:r w:rsidRPr="007E5614">
              <w:rPr>
                <w:b/>
              </w:rPr>
              <w:t>Annual Leave</w:t>
            </w:r>
          </w:p>
        </w:tc>
        <w:tc>
          <w:tcPr>
            <w:tcW w:w="2551" w:type="dxa"/>
            <w:shd w:val="clear" w:color="auto" w:fill="auto"/>
          </w:tcPr>
          <w:p w:rsidR="00D35284" w:rsidRPr="007E5614" w:rsidRDefault="00D35284" w:rsidP="007B551C">
            <w:pPr>
              <w:pStyle w:val="Table-AnnualReport"/>
              <w:rPr>
                <w:b/>
              </w:rPr>
            </w:pPr>
            <w:r w:rsidRPr="007E5614">
              <w:t>Average number of days used per paid FTE</w:t>
            </w:r>
          </w:p>
        </w:tc>
        <w:tc>
          <w:tcPr>
            <w:tcW w:w="992" w:type="dxa"/>
            <w:shd w:val="clear" w:color="auto" w:fill="auto"/>
          </w:tcPr>
          <w:p w:rsidR="00D35284" w:rsidRPr="007E5614" w:rsidRDefault="00D35284" w:rsidP="007B551C">
            <w:pPr>
              <w:pStyle w:val="Table-AnnualReport"/>
              <w:jc w:val="right"/>
              <w:rPr>
                <w:b/>
              </w:rPr>
            </w:pPr>
            <w:r w:rsidRPr="007E5614">
              <w:t>22.1</w:t>
            </w:r>
          </w:p>
        </w:tc>
        <w:tc>
          <w:tcPr>
            <w:tcW w:w="993" w:type="dxa"/>
            <w:shd w:val="clear" w:color="auto" w:fill="auto"/>
          </w:tcPr>
          <w:p w:rsidR="00D35284" w:rsidRPr="007E5614" w:rsidRDefault="00D35284" w:rsidP="007B551C">
            <w:pPr>
              <w:pStyle w:val="Table-AnnualReport"/>
              <w:jc w:val="right"/>
              <w:rPr>
                <w:b/>
              </w:rPr>
            </w:pPr>
            <w:r w:rsidRPr="007E5614">
              <w:t>22.8</w:t>
            </w:r>
          </w:p>
        </w:tc>
        <w:tc>
          <w:tcPr>
            <w:tcW w:w="992" w:type="dxa"/>
            <w:shd w:val="clear" w:color="auto" w:fill="auto"/>
          </w:tcPr>
          <w:p w:rsidR="00D35284" w:rsidRPr="007E5614" w:rsidRDefault="00D35284" w:rsidP="007B551C">
            <w:pPr>
              <w:pStyle w:val="Table-AnnualReport"/>
              <w:jc w:val="right"/>
              <w:rPr>
                <w:b/>
              </w:rPr>
            </w:pPr>
            <w:r w:rsidRPr="007E5614">
              <w:t>22.9</w:t>
            </w:r>
          </w:p>
        </w:tc>
        <w:tc>
          <w:tcPr>
            <w:tcW w:w="992" w:type="dxa"/>
          </w:tcPr>
          <w:p w:rsidR="00D35284" w:rsidRPr="007E5614" w:rsidRDefault="00D35284" w:rsidP="007B551C">
            <w:pPr>
              <w:pStyle w:val="Table-AnnualReport"/>
              <w:jc w:val="right"/>
              <w:rPr>
                <w:b/>
              </w:rPr>
            </w:pPr>
            <w:r w:rsidRPr="007E5614">
              <w:t>21.6</w:t>
            </w:r>
          </w:p>
        </w:tc>
      </w:tr>
      <w:tr w:rsidR="007B551C" w:rsidRPr="007E5614" w:rsidTr="007B551C">
        <w:tc>
          <w:tcPr>
            <w:tcW w:w="2694" w:type="dxa"/>
          </w:tcPr>
          <w:p w:rsidR="00D35284" w:rsidRPr="007E5614" w:rsidRDefault="007B551C" w:rsidP="007B551C">
            <w:pPr>
              <w:pStyle w:val="Table-AnnualReport"/>
            </w:pPr>
            <w:r w:rsidRPr="007E5614">
              <w:rPr>
                <w:b/>
              </w:rPr>
              <w:t>Annual Leave</w:t>
            </w:r>
          </w:p>
        </w:tc>
        <w:tc>
          <w:tcPr>
            <w:tcW w:w="2551" w:type="dxa"/>
            <w:shd w:val="clear" w:color="auto" w:fill="auto"/>
          </w:tcPr>
          <w:p w:rsidR="00D35284" w:rsidRPr="007E5614" w:rsidRDefault="00D35284" w:rsidP="007B551C">
            <w:pPr>
              <w:pStyle w:val="Table-AnnualReport"/>
            </w:pPr>
            <w:r w:rsidRPr="007E5614">
              <w:t>Number of FTEs with entitlements equal to the two year limit</w:t>
            </w:r>
          </w:p>
        </w:tc>
        <w:tc>
          <w:tcPr>
            <w:tcW w:w="992" w:type="dxa"/>
            <w:shd w:val="clear" w:color="auto" w:fill="auto"/>
          </w:tcPr>
          <w:p w:rsidR="00D35284" w:rsidRPr="007E5614" w:rsidRDefault="00D35284" w:rsidP="007B551C">
            <w:pPr>
              <w:pStyle w:val="Table-AnnualReport"/>
              <w:jc w:val="right"/>
            </w:pPr>
            <w:r w:rsidRPr="007E5614">
              <w:t>1.0</w:t>
            </w:r>
          </w:p>
        </w:tc>
        <w:tc>
          <w:tcPr>
            <w:tcW w:w="993" w:type="dxa"/>
            <w:shd w:val="clear" w:color="auto" w:fill="auto"/>
          </w:tcPr>
          <w:p w:rsidR="00D35284" w:rsidRPr="007E5614" w:rsidRDefault="00D35284" w:rsidP="007B551C">
            <w:pPr>
              <w:pStyle w:val="Table-AnnualReport"/>
              <w:jc w:val="right"/>
            </w:pPr>
            <w:r w:rsidRPr="007E5614">
              <w:t>2.6</w:t>
            </w:r>
          </w:p>
        </w:tc>
        <w:tc>
          <w:tcPr>
            <w:tcW w:w="992" w:type="dxa"/>
            <w:shd w:val="clear" w:color="auto" w:fill="auto"/>
          </w:tcPr>
          <w:p w:rsidR="00D35284" w:rsidRPr="007E5614" w:rsidRDefault="00D35284" w:rsidP="007B551C">
            <w:pPr>
              <w:pStyle w:val="Table-AnnualReport"/>
              <w:jc w:val="right"/>
            </w:pPr>
            <w:r w:rsidRPr="007E5614">
              <w:t>2.6</w:t>
            </w:r>
          </w:p>
        </w:tc>
        <w:tc>
          <w:tcPr>
            <w:tcW w:w="992" w:type="dxa"/>
          </w:tcPr>
          <w:p w:rsidR="00D35284" w:rsidRPr="007E5614" w:rsidRDefault="00D35284" w:rsidP="007B551C">
            <w:pPr>
              <w:pStyle w:val="Table-AnnualReport"/>
              <w:jc w:val="right"/>
            </w:pPr>
            <w:r w:rsidRPr="007E5614">
              <w:t>1.0</w:t>
            </w:r>
          </w:p>
        </w:tc>
      </w:tr>
      <w:tr w:rsidR="007B551C" w:rsidRPr="007E5614" w:rsidTr="007B551C">
        <w:trPr>
          <w:trHeight w:val="290"/>
        </w:trPr>
        <w:tc>
          <w:tcPr>
            <w:tcW w:w="2694" w:type="dxa"/>
          </w:tcPr>
          <w:p w:rsidR="00D35284" w:rsidRPr="007E5614" w:rsidRDefault="007B551C" w:rsidP="007B551C">
            <w:pPr>
              <w:pStyle w:val="Table-AnnualReport"/>
              <w:spacing w:after="0" w:line="240" w:lineRule="atLeast"/>
            </w:pPr>
            <w:r w:rsidRPr="007E5614">
              <w:rPr>
                <w:b/>
              </w:rPr>
              <w:t>Annual Leave</w:t>
            </w:r>
          </w:p>
        </w:tc>
        <w:tc>
          <w:tcPr>
            <w:tcW w:w="2551" w:type="dxa"/>
            <w:shd w:val="clear" w:color="auto" w:fill="auto"/>
          </w:tcPr>
          <w:p w:rsidR="00D35284" w:rsidRPr="007E5614" w:rsidRDefault="00D35284" w:rsidP="007B551C">
            <w:pPr>
              <w:pStyle w:val="Table-AnnualReport"/>
              <w:spacing w:after="0" w:line="240" w:lineRule="atLeast"/>
            </w:pPr>
            <w:r w:rsidRPr="007E5614">
              <w:t>Number of FTEs in excess of two year limit</w:t>
            </w:r>
          </w:p>
        </w:tc>
        <w:tc>
          <w:tcPr>
            <w:tcW w:w="992" w:type="dxa"/>
            <w:shd w:val="clear" w:color="auto" w:fill="auto"/>
          </w:tcPr>
          <w:p w:rsidR="00D35284" w:rsidRPr="007E5614" w:rsidRDefault="00D35284" w:rsidP="007B551C">
            <w:pPr>
              <w:pStyle w:val="Table-AnnualReport"/>
              <w:jc w:val="right"/>
            </w:pPr>
            <w:r w:rsidRPr="007E5614">
              <w:t>77.0</w:t>
            </w:r>
          </w:p>
        </w:tc>
        <w:tc>
          <w:tcPr>
            <w:tcW w:w="993" w:type="dxa"/>
            <w:shd w:val="clear" w:color="auto" w:fill="auto"/>
          </w:tcPr>
          <w:p w:rsidR="00D35284" w:rsidRPr="007E5614" w:rsidRDefault="00D35284" w:rsidP="007B551C">
            <w:pPr>
              <w:pStyle w:val="Table-AnnualReport"/>
              <w:jc w:val="right"/>
            </w:pPr>
            <w:r w:rsidRPr="007E5614">
              <w:t>61.5</w:t>
            </w:r>
          </w:p>
        </w:tc>
        <w:tc>
          <w:tcPr>
            <w:tcW w:w="992" w:type="dxa"/>
            <w:shd w:val="clear" w:color="auto" w:fill="auto"/>
          </w:tcPr>
          <w:p w:rsidR="00D35284" w:rsidRPr="007E5614" w:rsidRDefault="00D35284" w:rsidP="007B551C">
            <w:pPr>
              <w:pStyle w:val="Table-AnnualReport"/>
              <w:jc w:val="right"/>
            </w:pPr>
            <w:r w:rsidRPr="007E5614">
              <w:t>54.1</w:t>
            </w:r>
          </w:p>
        </w:tc>
        <w:tc>
          <w:tcPr>
            <w:tcW w:w="992" w:type="dxa"/>
          </w:tcPr>
          <w:p w:rsidR="00D35284" w:rsidRPr="007E5614" w:rsidRDefault="00D35284" w:rsidP="007B551C">
            <w:pPr>
              <w:pStyle w:val="Table-AnnualReport"/>
              <w:jc w:val="right"/>
            </w:pPr>
            <w:r w:rsidRPr="007E5614">
              <w:t>64.4</w:t>
            </w:r>
          </w:p>
        </w:tc>
      </w:tr>
      <w:tr w:rsidR="007B551C" w:rsidRPr="007E5614" w:rsidTr="007B551C">
        <w:tc>
          <w:tcPr>
            <w:tcW w:w="2694" w:type="dxa"/>
          </w:tcPr>
          <w:p w:rsidR="00D35284" w:rsidRPr="007E5614" w:rsidRDefault="00D35284" w:rsidP="007B551C">
            <w:pPr>
              <w:pStyle w:val="Table-AnnualReport"/>
            </w:pPr>
            <w:r w:rsidRPr="007E5614">
              <w:rPr>
                <w:b/>
                <w:bCs/>
              </w:rPr>
              <w:t>Long Service Leave (includes Maternity Leave)</w:t>
            </w:r>
          </w:p>
        </w:tc>
        <w:tc>
          <w:tcPr>
            <w:tcW w:w="2551" w:type="dxa"/>
            <w:shd w:val="clear" w:color="auto" w:fill="auto"/>
          </w:tcPr>
          <w:p w:rsidR="00D35284" w:rsidRPr="007E5614" w:rsidRDefault="00D35284" w:rsidP="007B551C">
            <w:pPr>
              <w:pStyle w:val="Table-AnnualReport"/>
            </w:pPr>
            <w:r w:rsidRPr="007E5614">
              <w:t>Average number of days used per paid FTE</w:t>
            </w:r>
          </w:p>
        </w:tc>
        <w:tc>
          <w:tcPr>
            <w:tcW w:w="992" w:type="dxa"/>
            <w:shd w:val="clear" w:color="auto" w:fill="auto"/>
          </w:tcPr>
          <w:p w:rsidR="00D35284" w:rsidRPr="007E5614" w:rsidRDefault="00D35284" w:rsidP="007B551C">
            <w:pPr>
              <w:pStyle w:val="Table-AnnualReport"/>
              <w:jc w:val="right"/>
            </w:pPr>
            <w:r w:rsidRPr="007E5614">
              <w:t>3.3</w:t>
            </w:r>
          </w:p>
        </w:tc>
        <w:tc>
          <w:tcPr>
            <w:tcW w:w="993" w:type="dxa"/>
            <w:shd w:val="clear" w:color="auto" w:fill="auto"/>
          </w:tcPr>
          <w:p w:rsidR="00D35284" w:rsidRPr="007E5614" w:rsidRDefault="00D35284" w:rsidP="007B551C">
            <w:pPr>
              <w:pStyle w:val="Table-AnnualReport"/>
              <w:jc w:val="right"/>
            </w:pPr>
            <w:r w:rsidRPr="007E5614">
              <w:t>3.4</w:t>
            </w:r>
          </w:p>
        </w:tc>
        <w:tc>
          <w:tcPr>
            <w:tcW w:w="992" w:type="dxa"/>
            <w:shd w:val="clear" w:color="auto" w:fill="auto"/>
          </w:tcPr>
          <w:p w:rsidR="00D35284" w:rsidRPr="007E5614" w:rsidRDefault="00D35284" w:rsidP="007B551C">
            <w:pPr>
              <w:pStyle w:val="Table-AnnualReport"/>
              <w:jc w:val="right"/>
            </w:pPr>
            <w:r w:rsidRPr="007E5614">
              <w:t>3.8</w:t>
            </w:r>
          </w:p>
        </w:tc>
        <w:tc>
          <w:tcPr>
            <w:tcW w:w="992" w:type="dxa"/>
          </w:tcPr>
          <w:p w:rsidR="00D35284" w:rsidRPr="007E5614" w:rsidRDefault="00D35284" w:rsidP="007B551C">
            <w:pPr>
              <w:pStyle w:val="Table-AnnualReport"/>
              <w:jc w:val="right"/>
            </w:pPr>
            <w:r w:rsidRPr="007E5614">
              <w:t>4.4</w:t>
            </w:r>
          </w:p>
        </w:tc>
      </w:tr>
      <w:tr w:rsidR="007B551C" w:rsidRPr="007E5614" w:rsidTr="007B551C">
        <w:tc>
          <w:tcPr>
            <w:tcW w:w="2694" w:type="dxa"/>
          </w:tcPr>
          <w:p w:rsidR="00D35284" w:rsidRPr="007E5614" w:rsidRDefault="00D35284" w:rsidP="007B551C">
            <w:pPr>
              <w:pStyle w:val="Table-AnnualReport"/>
            </w:pPr>
            <w:r w:rsidRPr="007E5614">
              <w:rPr>
                <w:b/>
                <w:bCs/>
              </w:rPr>
              <w:t>Personal Leave Days (includes sick, carers and family leave)</w:t>
            </w:r>
          </w:p>
        </w:tc>
        <w:tc>
          <w:tcPr>
            <w:tcW w:w="2551" w:type="dxa"/>
            <w:shd w:val="clear" w:color="auto" w:fill="auto"/>
          </w:tcPr>
          <w:p w:rsidR="00D35284" w:rsidRPr="007E5614" w:rsidRDefault="00D35284" w:rsidP="007B551C">
            <w:pPr>
              <w:pStyle w:val="Table-AnnualReport"/>
            </w:pPr>
            <w:bookmarkStart w:id="245" w:name="_Toc303758687"/>
            <w:bookmarkStart w:id="246" w:name="_Toc304279682"/>
            <w:r w:rsidRPr="007E5614">
              <w:t>Personal leave days per average paid FTE</w:t>
            </w:r>
            <w:bookmarkEnd w:id="245"/>
            <w:bookmarkEnd w:id="246"/>
          </w:p>
        </w:tc>
        <w:tc>
          <w:tcPr>
            <w:tcW w:w="992" w:type="dxa"/>
            <w:shd w:val="clear" w:color="auto" w:fill="auto"/>
          </w:tcPr>
          <w:p w:rsidR="00D35284" w:rsidRPr="007E5614" w:rsidRDefault="00D35284" w:rsidP="007B551C">
            <w:pPr>
              <w:pStyle w:val="Table-AnnualReport"/>
              <w:jc w:val="right"/>
            </w:pPr>
            <w:r w:rsidRPr="007E5614">
              <w:t>12.3</w:t>
            </w:r>
          </w:p>
        </w:tc>
        <w:tc>
          <w:tcPr>
            <w:tcW w:w="993" w:type="dxa"/>
            <w:shd w:val="clear" w:color="auto" w:fill="auto"/>
          </w:tcPr>
          <w:p w:rsidR="00D35284" w:rsidRPr="007E5614" w:rsidRDefault="00D35284" w:rsidP="007B551C">
            <w:pPr>
              <w:pStyle w:val="Table-AnnualReport"/>
              <w:jc w:val="right"/>
            </w:pPr>
            <w:r w:rsidRPr="007E5614">
              <w:t>12.6</w:t>
            </w:r>
          </w:p>
        </w:tc>
        <w:tc>
          <w:tcPr>
            <w:tcW w:w="992" w:type="dxa"/>
            <w:shd w:val="clear" w:color="auto" w:fill="auto"/>
          </w:tcPr>
          <w:p w:rsidR="00D35284" w:rsidRPr="007E5614" w:rsidRDefault="00D35284" w:rsidP="007B551C">
            <w:pPr>
              <w:pStyle w:val="Table-AnnualReport"/>
              <w:jc w:val="right"/>
            </w:pPr>
            <w:r w:rsidRPr="007E5614">
              <w:t>14.4</w:t>
            </w:r>
          </w:p>
        </w:tc>
        <w:tc>
          <w:tcPr>
            <w:tcW w:w="992" w:type="dxa"/>
          </w:tcPr>
          <w:p w:rsidR="00D35284" w:rsidRPr="007E5614" w:rsidRDefault="00D35284" w:rsidP="007B551C">
            <w:pPr>
              <w:pStyle w:val="Table-AnnualReport"/>
              <w:jc w:val="right"/>
            </w:pPr>
            <w:r w:rsidRPr="007E5614">
              <w:t>13.2</w:t>
            </w:r>
          </w:p>
        </w:tc>
      </w:tr>
      <w:tr w:rsidR="007B551C" w:rsidRPr="007E5614" w:rsidTr="007B551C">
        <w:tc>
          <w:tcPr>
            <w:tcW w:w="2694" w:type="dxa"/>
          </w:tcPr>
          <w:p w:rsidR="007B551C" w:rsidRPr="007E5614" w:rsidRDefault="007B551C" w:rsidP="007B551C">
            <w:pPr>
              <w:pStyle w:val="Table-AnnualReport"/>
            </w:pPr>
            <w:r w:rsidRPr="007E5614">
              <w:rPr>
                <w:b/>
                <w:bCs/>
              </w:rPr>
              <w:t xml:space="preserve">Overtime Hours (includes </w:t>
            </w:r>
            <w:proofErr w:type="spellStart"/>
            <w:r w:rsidRPr="007E5614">
              <w:rPr>
                <w:b/>
                <w:bCs/>
              </w:rPr>
              <w:t>callback</w:t>
            </w:r>
            <w:proofErr w:type="spellEnd"/>
            <w:r w:rsidRPr="007E5614">
              <w:rPr>
                <w:b/>
                <w:bCs/>
              </w:rPr>
              <w:t xml:space="preserve"> and overtime hours)</w:t>
            </w:r>
          </w:p>
        </w:tc>
        <w:tc>
          <w:tcPr>
            <w:tcW w:w="2551" w:type="dxa"/>
            <w:shd w:val="clear" w:color="auto" w:fill="auto"/>
          </w:tcPr>
          <w:p w:rsidR="007B551C" w:rsidRPr="007E5614" w:rsidRDefault="007B551C" w:rsidP="007B551C">
            <w:pPr>
              <w:pStyle w:val="Table-AnnualReport"/>
            </w:pPr>
            <w:r w:rsidRPr="007E5614">
              <w:t>Overtime/</w:t>
            </w:r>
            <w:proofErr w:type="spellStart"/>
            <w:r w:rsidRPr="007E5614">
              <w:t>callback</w:t>
            </w:r>
            <w:proofErr w:type="spellEnd"/>
            <w:r w:rsidRPr="007E5614">
              <w:t xml:space="preserve"> paid hours per average paid FTE</w:t>
            </w:r>
          </w:p>
        </w:tc>
        <w:tc>
          <w:tcPr>
            <w:tcW w:w="992" w:type="dxa"/>
            <w:shd w:val="clear" w:color="auto" w:fill="auto"/>
          </w:tcPr>
          <w:p w:rsidR="007B551C" w:rsidRPr="007E5614" w:rsidRDefault="007B551C" w:rsidP="007B551C">
            <w:pPr>
              <w:pStyle w:val="Table-AnnualReport"/>
              <w:jc w:val="right"/>
            </w:pPr>
            <w:r w:rsidRPr="007E5614">
              <w:t>52.0</w:t>
            </w:r>
          </w:p>
        </w:tc>
        <w:tc>
          <w:tcPr>
            <w:tcW w:w="993" w:type="dxa"/>
            <w:shd w:val="clear" w:color="auto" w:fill="auto"/>
          </w:tcPr>
          <w:p w:rsidR="007B551C" w:rsidRPr="007E5614" w:rsidRDefault="007B551C" w:rsidP="007B551C">
            <w:pPr>
              <w:pStyle w:val="Table-AnnualReport"/>
              <w:jc w:val="right"/>
            </w:pPr>
            <w:r w:rsidRPr="007E5614">
              <w:t>45.4</w:t>
            </w:r>
          </w:p>
        </w:tc>
        <w:tc>
          <w:tcPr>
            <w:tcW w:w="992" w:type="dxa"/>
            <w:shd w:val="clear" w:color="auto" w:fill="auto"/>
          </w:tcPr>
          <w:p w:rsidR="007B551C" w:rsidRPr="007E5614" w:rsidRDefault="007B551C" w:rsidP="007B551C">
            <w:pPr>
              <w:pStyle w:val="Table-AnnualReport"/>
              <w:jc w:val="right"/>
            </w:pPr>
            <w:r w:rsidRPr="007E5614">
              <w:t>41.5</w:t>
            </w:r>
          </w:p>
        </w:tc>
        <w:tc>
          <w:tcPr>
            <w:tcW w:w="992" w:type="dxa"/>
          </w:tcPr>
          <w:p w:rsidR="007B551C" w:rsidRPr="007E5614" w:rsidRDefault="007B551C" w:rsidP="007B551C">
            <w:pPr>
              <w:pStyle w:val="Table-AnnualReport"/>
              <w:jc w:val="right"/>
            </w:pPr>
            <w:r w:rsidRPr="007E5614">
              <w:t>44.1</w:t>
            </w:r>
          </w:p>
        </w:tc>
      </w:tr>
      <w:tr w:rsidR="007B551C" w:rsidRPr="007E5614" w:rsidTr="007B551C">
        <w:tc>
          <w:tcPr>
            <w:tcW w:w="2694" w:type="dxa"/>
          </w:tcPr>
          <w:p w:rsidR="007B551C" w:rsidRPr="007E5614" w:rsidRDefault="007B551C" w:rsidP="007B551C">
            <w:pPr>
              <w:pStyle w:val="Table-AnnualReport"/>
              <w:tabs>
                <w:tab w:val="left" w:pos="4712"/>
              </w:tabs>
            </w:pPr>
            <w:r w:rsidRPr="007E5614">
              <w:rPr>
                <w:b/>
                <w:bCs/>
              </w:rPr>
              <w:t>Turnover Rate (</w:t>
            </w:r>
            <w:r w:rsidRPr="007E5614">
              <w:rPr>
                <w:b/>
              </w:rPr>
              <w:t>rate at which people were leaving DHHS as at 30 June)</w:t>
            </w:r>
          </w:p>
        </w:tc>
        <w:tc>
          <w:tcPr>
            <w:tcW w:w="2551" w:type="dxa"/>
            <w:shd w:val="clear" w:color="auto" w:fill="auto"/>
          </w:tcPr>
          <w:p w:rsidR="007B551C" w:rsidRPr="007E5614" w:rsidRDefault="007B551C" w:rsidP="007B551C">
            <w:pPr>
              <w:pStyle w:val="Table-AnnualReport"/>
              <w:tabs>
                <w:tab w:val="left" w:pos="4712"/>
              </w:tabs>
            </w:pPr>
            <w:r w:rsidRPr="007E5614">
              <w:t>Total number of separations (FTEs) divided by the average paid FTE</w:t>
            </w:r>
          </w:p>
        </w:tc>
        <w:tc>
          <w:tcPr>
            <w:tcW w:w="992" w:type="dxa"/>
            <w:shd w:val="clear" w:color="auto" w:fill="auto"/>
          </w:tcPr>
          <w:p w:rsidR="007B551C" w:rsidRPr="007E5614" w:rsidRDefault="007B551C" w:rsidP="007B551C">
            <w:pPr>
              <w:pStyle w:val="Table-AnnualReport"/>
              <w:jc w:val="right"/>
            </w:pPr>
            <w:r w:rsidRPr="007E5614">
              <w:t>11.2%</w:t>
            </w:r>
          </w:p>
        </w:tc>
        <w:tc>
          <w:tcPr>
            <w:tcW w:w="993" w:type="dxa"/>
            <w:shd w:val="clear" w:color="auto" w:fill="auto"/>
          </w:tcPr>
          <w:p w:rsidR="007B551C" w:rsidRPr="007E5614" w:rsidRDefault="007B551C" w:rsidP="007B551C">
            <w:pPr>
              <w:pStyle w:val="Table-AnnualReport"/>
              <w:jc w:val="right"/>
            </w:pPr>
            <w:r w:rsidRPr="007E5614">
              <w:t>9.6%</w:t>
            </w:r>
          </w:p>
        </w:tc>
        <w:tc>
          <w:tcPr>
            <w:tcW w:w="992" w:type="dxa"/>
            <w:shd w:val="clear" w:color="auto" w:fill="auto"/>
          </w:tcPr>
          <w:p w:rsidR="007B551C" w:rsidRPr="007E5614" w:rsidRDefault="007B551C" w:rsidP="007B551C">
            <w:pPr>
              <w:pStyle w:val="Table-AnnualReport"/>
              <w:jc w:val="right"/>
            </w:pPr>
            <w:r w:rsidRPr="007E5614">
              <w:t>15.3%</w:t>
            </w:r>
          </w:p>
        </w:tc>
        <w:tc>
          <w:tcPr>
            <w:tcW w:w="992" w:type="dxa"/>
          </w:tcPr>
          <w:p w:rsidR="007B551C" w:rsidRPr="007E5614" w:rsidRDefault="007B551C" w:rsidP="007B551C">
            <w:pPr>
              <w:pStyle w:val="Table-AnnualReport"/>
              <w:jc w:val="right"/>
            </w:pPr>
            <w:r w:rsidRPr="007E5614">
              <w:t>8.2%</w:t>
            </w:r>
            <w:r w:rsidRPr="007E5614">
              <w:rPr>
                <w:vertAlign w:val="superscript"/>
              </w:rPr>
              <w:t>2</w:t>
            </w:r>
          </w:p>
        </w:tc>
      </w:tr>
    </w:tbl>
    <w:p w:rsidR="00703272" w:rsidRPr="009C0AF4" w:rsidRDefault="00703272" w:rsidP="00703272">
      <w:pPr>
        <w:spacing w:before="60" w:after="60" w:line="240" w:lineRule="auto"/>
        <w:ind w:left="-74"/>
        <w:rPr>
          <w:sz w:val="16"/>
          <w:szCs w:val="16"/>
        </w:rPr>
      </w:pPr>
      <w:r w:rsidRPr="009C0AF4">
        <w:rPr>
          <w:sz w:val="16"/>
          <w:szCs w:val="16"/>
        </w:rPr>
        <w:t xml:space="preserve">Notes: </w:t>
      </w:r>
    </w:p>
    <w:p w:rsidR="007B551C" w:rsidRPr="007B551C" w:rsidRDefault="00703272" w:rsidP="00703272">
      <w:pPr>
        <w:pStyle w:val="ListParagraph"/>
        <w:keepLines/>
        <w:numPr>
          <w:ilvl w:val="0"/>
          <w:numId w:val="13"/>
        </w:numPr>
        <w:spacing w:line="240" w:lineRule="auto"/>
      </w:pPr>
      <w:r w:rsidRPr="007B551C">
        <w:rPr>
          <w:sz w:val="16"/>
          <w:szCs w:val="16"/>
        </w:rPr>
        <w:t xml:space="preserve">Due to organisational changes, data for previous years has been remapped to the current organisational structure, and these figures therefore differ from those previously published in DHHS Annual Reports. The organisational changes include the transfer of CSCS to the THS, and the transfer of some administrative functions from the THS to DHHS, including the RHH Redevelopment </w:t>
      </w:r>
    </w:p>
    <w:p w:rsidR="007B551C" w:rsidRDefault="00703272" w:rsidP="00703272">
      <w:pPr>
        <w:pStyle w:val="ListParagraph"/>
        <w:keepLines/>
        <w:numPr>
          <w:ilvl w:val="0"/>
          <w:numId w:val="13"/>
        </w:numPr>
        <w:spacing w:line="240" w:lineRule="auto"/>
        <w:rPr>
          <w:sz w:val="16"/>
          <w:szCs w:val="16"/>
        </w:rPr>
        <w:sectPr w:rsidR="007B551C" w:rsidSect="007B551C">
          <w:type w:val="continuous"/>
          <w:pgSz w:w="11906" w:h="16838"/>
          <w:pgMar w:top="851" w:right="1274" w:bottom="567" w:left="1440" w:header="708" w:footer="708" w:gutter="0"/>
          <w:cols w:space="708"/>
          <w:docGrid w:linePitch="360"/>
        </w:sectPr>
      </w:pPr>
      <w:r w:rsidRPr="007B551C">
        <w:rPr>
          <w:sz w:val="16"/>
          <w:szCs w:val="16"/>
        </w:rPr>
        <w:t>The turnover rate is the rate at which people were leaving DHHS as at 30 June 2016.</w:t>
      </w:r>
    </w:p>
    <w:p w:rsidR="007B551C" w:rsidRDefault="007B551C" w:rsidP="00DF724A">
      <w:pPr>
        <w:pStyle w:val="Heading3"/>
      </w:pPr>
      <w:r w:rsidRPr="007E5614">
        <w:lastRenderedPageBreak/>
        <w:t>Workplace Health and Safety</w:t>
      </w:r>
    </w:p>
    <w:p w:rsidR="007B551C" w:rsidRDefault="007B551C" w:rsidP="00DF724A">
      <w:pPr>
        <w:pStyle w:val="Heading3"/>
        <w:sectPr w:rsidR="007B551C" w:rsidSect="007B551C">
          <w:pgSz w:w="11906" w:h="16838" w:code="9"/>
          <w:pgMar w:top="907" w:right="1134" w:bottom="720" w:left="1134" w:header="709" w:footer="709" w:gutter="0"/>
          <w:cols w:space="708"/>
          <w:docGrid w:linePitch="360"/>
        </w:sectPr>
      </w:pPr>
    </w:p>
    <w:p w:rsidR="007B551C" w:rsidRPr="007E5614" w:rsidRDefault="007B551C" w:rsidP="007B551C">
      <w:pPr>
        <w:keepNext/>
        <w:keepLines/>
      </w:pPr>
      <w:r w:rsidRPr="007E5614">
        <w:lastRenderedPageBreak/>
        <w:t xml:space="preserve">DHHS recognises the importance of work health and safety (WHS). We strive for continual improvement of the Department’s WHS environment, and support a range of activities and strategies. In 2015-16, </w:t>
      </w:r>
      <w:r>
        <w:t>WHS initiatives have</w:t>
      </w:r>
      <w:r w:rsidRPr="007E5614">
        <w:t xml:space="preserve"> included:</w:t>
      </w:r>
    </w:p>
    <w:p w:rsidR="007B551C" w:rsidRPr="007E5614" w:rsidRDefault="007B551C" w:rsidP="007B551C">
      <w:pPr>
        <w:keepNext/>
        <w:keepLines/>
        <w:widowControl w:val="0"/>
        <w:numPr>
          <w:ilvl w:val="0"/>
          <w:numId w:val="3"/>
        </w:numPr>
        <w:spacing w:after="140" w:line="300" w:lineRule="atLeast"/>
        <w:ind w:left="567" w:hanging="567"/>
      </w:pPr>
      <w:r w:rsidRPr="007E5614">
        <w:rPr>
          <w:rFonts w:cs="Tahoma"/>
          <w:bCs/>
          <w:kern w:val="36"/>
        </w:rPr>
        <w:t>Improved reporting on WHS matters from and for the Department’s business units through engaging and supporting business units to meet reporting requirements; consolidation of WHS data; removing duplication</w:t>
      </w:r>
      <w:r>
        <w:rPr>
          <w:rFonts w:cs="Tahoma"/>
          <w:bCs/>
          <w:kern w:val="36"/>
        </w:rPr>
        <w:t>;</w:t>
      </w:r>
      <w:r w:rsidRPr="007E5614">
        <w:rPr>
          <w:rFonts w:cs="Tahoma"/>
          <w:bCs/>
          <w:kern w:val="36"/>
        </w:rPr>
        <w:t xml:space="preserve"> and providing consistent standardised WHS reporting.</w:t>
      </w:r>
    </w:p>
    <w:p w:rsidR="007B551C" w:rsidRPr="007E5614" w:rsidRDefault="007B551C" w:rsidP="007B551C">
      <w:pPr>
        <w:keepNext/>
        <w:keepLines/>
        <w:widowControl w:val="0"/>
        <w:numPr>
          <w:ilvl w:val="0"/>
          <w:numId w:val="3"/>
        </w:numPr>
        <w:spacing w:after="140" w:line="300" w:lineRule="atLeast"/>
        <w:ind w:left="567" w:hanging="567"/>
      </w:pPr>
      <w:r w:rsidRPr="007E5614">
        <w:t>A collective approach with Asset Management Services</w:t>
      </w:r>
      <w:r>
        <w:t xml:space="preserve"> (AMS)</w:t>
      </w:r>
      <w:r w:rsidRPr="007E5614">
        <w:t xml:space="preserve"> in the improvement of Emergency Management planning and maintenance.</w:t>
      </w:r>
    </w:p>
    <w:p w:rsidR="007B551C" w:rsidRPr="007E5614" w:rsidRDefault="007B551C" w:rsidP="007B551C">
      <w:pPr>
        <w:keepLines/>
        <w:widowControl w:val="0"/>
        <w:numPr>
          <w:ilvl w:val="0"/>
          <w:numId w:val="3"/>
        </w:numPr>
        <w:spacing w:after="140" w:line="300" w:lineRule="atLeast"/>
        <w:ind w:left="567" w:hanging="567"/>
      </w:pPr>
      <w:r w:rsidRPr="007E5614">
        <w:t>A review of the WHS training and development needs for DHHS.</w:t>
      </w:r>
    </w:p>
    <w:p w:rsidR="007B551C" w:rsidRPr="007E5614" w:rsidRDefault="007B551C" w:rsidP="007B551C">
      <w:pPr>
        <w:keepLines/>
        <w:widowControl w:val="0"/>
        <w:numPr>
          <w:ilvl w:val="0"/>
          <w:numId w:val="3"/>
        </w:numPr>
        <w:spacing w:after="140" w:line="300" w:lineRule="atLeast"/>
        <w:ind w:left="567" w:hanging="567"/>
      </w:pPr>
      <w:r w:rsidRPr="007E5614">
        <w:t xml:space="preserve">The ongoing development, review and updating of policies and procedures relating to Safety, Health and Wellbeing with a particular focus this year on injury management. </w:t>
      </w:r>
    </w:p>
    <w:p w:rsidR="007B551C" w:rsidRPr="007E5614" w:rsidRDefault="007B551C" w:rsidP="007B551C">
      <w:r w:rsidRPr="007E5614">
        <w:t>DHHS received 11</w:t>
      </w:r>
      <w:r>
        <w:t>6</w:t>
      </w:r>
      <w:r w:rsidRPr="007E5614">
        <w:t xml:space="preserve"> workers compensation claims during 2015-16, compared to 129 claims</w:t>
      </w:r>
      <w:r w:rsidRPr="007E5614">
        <w:rPr>
          <w:vertAlign w:val="superscript"/>
        </w:rPr>
        <w:t>1</w:t>
      </w:r>
      <w:r>
        <w:t xml:space="preserve"> in 2014</w:t>
      </w:r>
      <w:r>
        <w:noBreakHyphen/>
      </w:r>
      <w:r w:rsidRPr="007E5614">
        <w:t>15. The major areas of injury were:</w:t>
      </w:r>
    </w:p>
    <w:p w:rsidR="007B551C" w:rsidRPr="007E5614" w:rsidRDefault="007B551C" w:rsidP="007B551C">
      <w:pPr>
        <w:keepLines/>
        <w:widowControl w:val="0"/>
        <w:numPr>
          <w:ilvl w:val="0"/>
          <w:numId w:val="3"/>
        </w:numPr>
        <w:spacing w:after="140" w:line="300" w:lineRule="atLeast"/>
        <w:ind w:left="567" w:hanging="567"/>
      </w:pPr>
      <w:r w:rsidRPr="007E5614">
        <w:t>88 non-stress claims (decreased by 19.3 </w:t>
      </w:r>
      <w:r>
        <w:t>per </w:t>
      </w:r>
      <w:r w:rsidRPr="007E5614">
        <w:t>cent when compared to 109 in 2014</w:t>
      </w:r>
      <w:r w:rsidRPr="007E5614">
        <w:noBreakHyphen/>
        <w:t>15) with notable reductions in subcategories connecting with objects (decreased by 41.7 per cent) and muscular stress claims (decreased by 20.</w:t>
      </w:r>
      <w:r>
        <w:t>4</w:t>
      </w:r>
      <w:r w:rsidRPr="007E5614">
        <w:t xml:space="preserve"> per cent). </w:t>
      </w:r>
    </w:p>
    <w:p w:rsidR="007B551C" w:rsidRPr="007E5614" w:rsidRDefault="007B551C" w:rsidP="007B551C">
      <w:pPr>
        <w:keepLines/>
        <w:widowControl w:val="0"/>
        <w:numPr>
          <w:ilvl w:val="0"/>
          <w:numId w:val="3"/>
        </w:numPr>
        <w:spacing w:after="140" w:line="300" w:lineRule="atLeast"/>
        <w:ind w:left="567" w:hanging="567"/>
      </w:pPr>
      <w:r w:rsidRPr="007E5614">
        <w:t xml:space="preserve">28 stress claims (an increase of </w:t>
      </w:r>
      <w:r>
        <w:t>eight</w:t>
      </w:r>
      <w:r w:rsidRPr="007E5614">
        <w:t xml:space="preserve"> stress claims from 2014</w:t>
      </w:r>
      <w:r w:rsidRPr="007E5614">
        <w:noBreakHyphen/>
        <w:t xml:space="preserve">15). </w:t>
      </w:r>
    </w:p>
    <w:p w:rsidR="007B551C" w:rsidRPr="007B551C" w:rsidRDefault="007B551C" w:rsidP="007B551C">
      <w:pPr>
        <w:pStyle w:val="ListParagraph"/>
        <w:keepLines/>
        <w:numPr>
          <w:ilvl w:val="0"/>
          <w:numId w:val="3"/>
        </w:numPr>
        <w:rPr>
          <w:rFonts w:ascii="Gill Sans MT" w:hAnsi="Gill Sans MT"/>
        </w:rPr>
      </w:pPr>
      <w:r w:rsidRPr="007B551C">
        <w:rPr>
          <w:rFonts w:ascii="Gill Sans MT" w:hAnsi="Gill Sans MT"/>
        </w:rPr>
        <w:t>Total claim costs (normal weekly earnings plus associated costs) for 2015-16 were $4.93 million, an increase of approximately $755 000 from 2014-15 where total claim costs were $4.17 million.</w:t>
      </w:r>
      <w:r w:rsidRPr="007B551C">
        <w:rPr>
          <w:rFonts w:ascii="Gill Sans MT" w:hAnsi="Gill Sans MT"/>
          <w:vertAlign w:val="superscript"/>
        </w:rPr>
        <w:t>2</w:t>
      </w:r>
      <w:r w:rsidRPr="007B551C">
        <w:rPr>
          <w:rFonts w:ascii="Gill Sans MT" w:hAnsi="Gill Sans MT"/>
        </w:rPr>
        <w:t xml:space="preserve"> The increase is due to common law and disability payments relating to settlements. Year on year costs increased by $558 000 and $48 000 respectively. </w:t>
      </w:r>
    </w:p>
    <w:p w:rsidR="007B551C" w:rsidRPr="007B551C" w:rsidRDefault="007B551C" w:rsidP="007B551C">
      <w:pPr>
        <w:pStyle w:val="ListParagraph"/>
        <w:numPr>
          <w:ilvl w:val="0"/>
          <w:numId w:val="3"/>
        </w:numPr>
        <w:ind w:left="426"/>
        <w:rPr>
          <w:rFonts w:ascii="Gill Sans MT" w:hAnsi="Gill Sans MT"/>
        </w:rPr>
      </w:pPr>
      <w:r w:rsidRPr="007B551C">
        <w:rPr>
          <w:rFonts w:ascii="Gill Sans MT" w:hAnsi="Gill Sans MT"/>
        </w:rPr>
        <w:lastRenderedPageBreak/>
        <w:t>During 2015-16, there were five settlements paid, four stress claims with a total common law and disability cost component of $1.32 million and one non-stress claim with a common law cost component of $60 000.</w:t>
      </w:r>
    </w:p>
    <w:p w:rsidR="007B551C" w:rsidRDefault="007B551C" w:rsidP="007B551C">
      <w:pPr>
        <w:pStyle w:val="ListParagraph"/>
        <w:numPr>
          <w:ilvl w:val="0"/>
          <w:numId w:val="3"/>
        </w:numPr>
        <w:ind w:left="426"/>
        <w:rPr>
          <w:rFonts w:ascii="Gill Sans MT" w:hAnsi="Gill Sans MT"/>
        </w:rPr>
      </w:pPr>
      <w:r w:rsidRPr="007B551C">
        <w:rPr>
          <w:rFonts w:ascii="Gill Sans MT" w:hAnsi="Gill Sans MT"/>
        </w:rPr>
        <w:t>Cash cost (premium paid plus normal weekly earnings paid, less normal weekly earnings reimbursements from insurer) for 2015-16 was $4.12 million, a decrease of $1.52 million from 2014-15 where the cash cost was $5.64 million.</w:t>
      </w:r>
    </w:p>
    <w:p w:rsidR="007B551C" w:rsidRDefault="007B551C" w:rsidP="007B551C"/>
    <w:p w:rsidR="007B551C" w:rsidRPr="007B551C" w:rsidRDefault="007B551C" w:rsidP="007B551C">
      <w:pPr>
        <w:pStyle w:val="NotesHeading"/>
        <w:tabs>
          <w:tab w:val="num" w:pos="0"/>
        </w:tabs>
        <w:rPr>
          <w:rFonts w:ascii="Gill Sans MT" w:eastAsia="Times New Roman" w:hAnsi="Gill Sans MT"/>
          <w:sz w:val="16"/>
          <w:szCs w:val="16"/>
        </w:rPr>
      </w:pPr>
      <w:r w:rsidRPr="007B551C">
        <w:rPr>
          <w:rFonts w:ascii="Gill Sans MT" w:eastAsia="Times New Roman" w:hAnsi="Gill Sans MT"/>
          <w:sz w:val="16"/>
          <w:szCs w:val="16"/>
        </w:rPr>
        <w:t>Notes:</w:t>
      </w:r>
    </w:p>
    <w:p w:rsidR="007B551C" w:rsidRPr="007B551C" w:rsidRDefault="007B551C" w:rsidP="007B551C">
      <w:pPr>
        <w:pStyle w:val="ListParagraph"/>
        <w:keepLines/>
        <w:numPr>
          <w:ilvl w:val="0"/>
          <w:numId w:val="14"/>
        </w:numPr>
        <w:spacing w:line="240" w:lineRule="auto"/>
        <w:rPr>
          <w:rFonts w:ascii="Gill Sans MT" w:hAnsi="Gill Sans MT"/>
          <w:sz w:val="16"/>
          <w:szCs w:val="16"/>
        </w:rPr>
      </w:pPr>
      <w:r w:rsidRPr="007B551C">
        <w:rPr>
          <w:rFonts w:ascii="Gill Sans MT" w:hAnsi="Gill Sans MT"/>
          <w:sz w:val="16"/>
          <w:szCs w:val="16"/>
        </w:rPr>
        <w:t xml:space="preserve">The 2014-15 </w:t>
      </w:r>
      <w:proofErr w:type="gramStart"/>
      <w:r w:rsidRPr="007B551C">
        <w:rPr>
          <w:rFonts w:ascii="Gill Sans MT" w:hAnsi="Gill Sans MT"/>
          <w:sz w:val="16"/>
          <w:szCs w:val="16"/>
        </w:rPr>
        <w:t>figure</w:t>
      </w:r>
      <w:proofErr w:type="gramEnd"/>
      <w:r w:rsidRPr="007B551C">
        <w:rPr>
          <w:rFonts w:ascii="Gill Sans MT" w:hAnsi="Gill Sans MT"/>
          <w:sz w:val="16"/>
          <w:szCs w:val="16"/>
        </w:rPr>
        <w:t xml:space="preserve"> reported here is slightly different to that reported in last year’s Annual Report due to organisational structural changes.</w:t>
      </w:r>
    </w:p>
    <w:p w:rsidR="007B551C" w:rsidRPr="007B551C" w:rsidRDefault="007B551C" w:rsidP="007B551C">
      <w:pPr>
        <w:pStyle w:val="ListParagraph"/>
        <w:keepLines/>
        <w:numPr>
          <w:ilvl w:val="0"/>
          <w:numId w:val="14"/>
        </w:numPr>
        <w:spacing w:line="240" w:lineRule="auto"/>
        <w:rPr>
          <w:rFonts w:ascii="Gill Sans MT" w:hAnsi="Gill Sans MT"/>
          <w:sz w:val="16"/>
          <w:szCs w:val="16"/>
        </w:rPr>
      </w:pPr>
      <w:r w:rsidRPr="007B551C">
        <w:rPr>
          <w:rFonts w:ascii="Gill Sans MT" w:hAnsi="Gill Sans MT"/>
          <w:sz w:val="16"/>
          <w:szCs w:val="16"/>
        </w:rPr>
        <w:t>The 2014-15 figure reported here is slightly different to that reported in last year’s Annual Report due to adjustments made to the 2014-15 payroll periods (fortnight) in the 2015-16 financial year.</w:t>
      </w:r>
    </w:p>
    <w:p w:rsidR="007B551C" w:rsidRDefault="007B551C" w:rsidP="007B551C"/>
    <w:p w:rsidR="007B551C" w:rsidRDefault="007B551C" w:rsidP="007B551C">
      <w:pPr>
        <w:sectPr w:rsidR="007B551C" w:rsidSect="007B551C">
          <w:type w:val="continuous"/>
          <w:pgSz w:w="11906" w:h="16838" w:code="9"/>
          <w:pgMar w:top="907" w:right="1134" w:bottom="720" w:left="1134" w:header="709" w:footer="709" w:gutter="0"/>
          <w:cols w:num="2" w:space="708"/>
          <w:docGrid w:linePitch="360"/>
        </w:sectPr>
      </w:pPr>
    </w:p>
    <w:p w:rsidR="007B551C" w:rsidRDefault="007B551C" w:rsidP="007B551C">
      <w:pPr>
        <w:pStyle w:val="Heading2"/>
      </w:pPr>
      <w:bookmarkStart w:id="247" w:name="_Toc465174245"/>
      <w:r>
        <w:lastRenderedPageBreak/>
        <w:t>Stakeholder Engagement</w:t>
      </w:r>
      <w:bookmarkEnd w:id="247"/>
    </w:p>
    <w:p w:rsidR="007B551C" w:rsidRPr="007E5614" w:rsidRDefault="007B551C" w:rsidP="007B551C">
      <w:r w:rsidRPr="007E5614">
        <w:t>DHHS recognises the importance of consulting with Tasmanians about their health and wellbeing. In 2015-16, DHHS consulted widely to develop plans and strategies to improve the lives of Tasmanians, particularly our most vulnerable.</w:t>
      </w:r>
    </w:p>
    <w:p w:rsidR="007B551C" w:rsidRDefault="007B551C" w:rsidP="007B551C">
      <w:r>
        <w:t>Examples</w:t>
      </w:r>
      <w:r w:rsidRPr="007E5614">
        <w:t xml:space="preserve"> of broad consultation </w:t>
      </w:r>
      <w:r>
        <w:t>in 2015-16 include</w:t>
      </w:r>
      <w:r w:rsidRPr="007E5614">
        <w:t xml:space="preserve">: </w:t>
      </w:r>
    </w:p>
    <w:p w:rsidR="007B551C" w:rsidRDefault="007B551C" w:rsidP="007B551C">
      <w:pPr>
        <w:keepLines/>
        <w:widowControl w:val="0"/>
        <w:numPr>
          <w:ilvl w:val="0"/>
          <w:numId w:val="3"/>
        </w:numPr>
        <w:spacing w:after="140" w:line="300" w:lineRule="atLeast"/>
        <w:ind w:left="567" w:hanging="567"/>
      </w:pPr>
      <w:r>
        <w:t xml:space="preserve">the </w:t>
      </w:r>
      <w:r>
        <w:rPr>
          <w:i/>
        </w:rPr>
        <w:t>Affordable Housing Strategy</w:t>
      </w:r>
    </w:p>
    <w:p w:rsidR="007B551C" w:rsidRDefault="007B551C" w:rsidP="007B551C">
      <w:pPr>
        <w:keepLines/>
        <w:widowControl w:val="0"/>
        <w:numPr>
          <w:ilvl w:val="0"/>
          <w:numId w:val="3"/>
        </w:numPr>
        <w:spacing w:after="140" w:line="300" w:lineRule="atLeast"/>
        <w:ind w:left="567" w:hanging="567"/>
      </w:pPr>
      <w:r>
        <w:t>the redesign of CPS</w:t>
      </w:r>
    </w:p>
    <w:p w:rsidR="007B551C" w:rsidRDefault="007B551C" w:rsidP="007B551C">
      <w:pPr>
        <w:keepLines/>
        <w:widowControl w:val="0"/>
        <w:numPr>
          <w:ilvl w:val="0"/>
          <w:numId w:val="3"/>
        </w:numPr>
        <w:spacing w:after="140" w:line="300" w:lineRule="atLeast"/>
        <w:ind w:left="567" w:hanging="567"/>
      </w:pPr>
      <w:r w:rsidRPr="007E5614">
        <w:t xml:space="preserve">the Healthy Tasmania Five Year Strategic Plan (Healthy Tasmania Strategic Plan) </w:t>
      </w:r>
    </w:p>
    <w:p w:rsidR="007B551C" w:rsidRDefault="007B551C" w:rsidP="007B551C">
      <w:pPr>
        <w:keepLines/>
        <w:widowControl w:val="0"/>
        <w:numPr>
          <w:ilvl w:val="0"/>
          <w:numId w:val="3"/>
        </w:numPr>
        <w:spacing w:after="140" w:line="300" w:lineRule="atLeast"/>
        <w:ind w:left="567" w:hanging="567"/>
      </w:pPr>
      <w:r w:rsidRPr="007E5614">
        <w:t>the</w:t>
      </w:r>
      <w:r w:rsidRPr="00FA534E">
        <w:t xml:space="preserve"> </w:t>
      </w:r>
      <w:r w:rsidRPr="007E5614">
        <w:t>Youth at Risk strategy</w:t>
      </w:r>
      <w:r>
        <w:t xml:space="preserve">, </w:t>
      </w:r>
      <w:r w:rsidRPr="007E5614">
        <w:t xml:space="preserve">and </w:t>
      </w:r>
    </w:p>
    <w:p w:rsidR="007B551C" w:rsidRPr="007E5614" w:rsidRDefault="007B551C" w:rsidP="007B551C">
      <w:pPr>
        <w:keepLines/>
        <w:widowControl w:val="0"/>
        <w:numPr>
          <w:ilvl w:val="0"/>
          <w:numId w:val="3"/>
        </w:numPr>
        <w:spacing w:after="140" w:line="300" w:lineRule="atLeast"/>
        <w:ind w:left="567" w:hanging="567"/>
      </w:pPr>
      <w:proofErr w:type="gramStart"/>
      <w:r>
        <w:t>the</w:t>
      </w:r>
      <w:proofErr w:type="gramEnd"/>
      <w:r>
        <w:t xml:space="preserve"> </w:t>
      </w:r>
      <w:r w:rsidRPr="007E5614">
        <w:t>development of a suite of suicide prevention measures.</w:t>
      </w:r>
    </w:p>
    <w:p w:rsidR="007B551C" w:rsidRDefault="007B551C" w:rsidP="007B551C">
      <w:r>
        <w:t>As outlined earlier, the Government announced a comprehensive review of CPS in Tasmania in August 2015. A Redesign Reference Group was established to provide expert advice to DHHS in development of the Redesign, which included a broad consultation program with a variety of stakeholders, including CPS staff, service providers, children and their families. Following the release of the Reference Group’s final report in March 2016, DHHS undertook an extensive consultation process with other Government agencies to consider the ways in which the report’s recommendations could be implemented. This consultation resulted in the Strong Families, Safe Kids – Implementation Plan, which was published in May 2016.</w:t>
      </w:r>
    </w:p>
    <w:p w:rsidR="007B551C" w:rsidRDefault="007B551C" w:rsidP="007B551C">
      <w:r w:rsidRPr="002C2D06">
        <w:t xml:space="preserve">In 2015-16, DHHS completed the extensive stakeholder consultation program for the </w:t>
      </w:r>
      <w:r w:rsidRPr="008B7EB2">
        <w:rPr>
          <w:i/>
        </w:rPr>
        <w:t>Affordable Housing Strategy</w:t>
      </w:r>
      <w:r w:rsidRPr="002C2D06">
        <w:t>, which commenced in 2014-15. This consultation included a series of workshops with stakeholders from the community sector, the private sector and industry groups.</w:t>
      </w:r>
    </w:p>
    <w:p w:rsidR="007B551C" w:rsidRPr="007E5614" w:rsidRDefault="007B551C" w:rsidP="007B551C">
      <w:r w:rsidRPr="007E5614">
        <w:t>Throughout the year we consulted with the community and medical experts to develop a plan to support the Government’s goal of making Tasmania the healthiest population in Australia by 2025.</w:t>
      </w:r>
    </w:p>
    <w:p w:rsidR="007B551C" w:rsidRPr="007E5614" w:rsidRDefault="007B551C" w:rsidP="007B551C">
      <w:r w:rsidRPr="007E5614">
        <w:lastRenderedPageBreak/>
        <w:t>This is necessarily an ambitious target as Tasmanians have some of the worst population health outcomes in Australia. These include high rates of chronic disease and health risk factors like smoking, obesity, poor nutrition, low physical activity levels, and risky alcohol consumption.</w:t>
      </w:r>
    </w:p>
    <w:p w:rsidR="007B551C" w:rsidRPr="007E5614" w:rsidRDefault="007B551C" w:rsidP="007B551C">
      <w:r w:rsidRPr="007E5614">
        <w:t>Community and medical expert input led directly to the development of the Healthy Tasmania Strategic Plan, which will be progressed in 2016-17. It lays the foundation for us to work together for better health and wellbeing for all Tasmanians over the next five years. As part of the consultation process, DHHS will continue to share progress with the community.</w:t>
      </w:r>
    </w:p>
    <w:p w:rsidR="007B551C" w:rsidRDefault="007B551C" w:rsidP="007B551C">
      <w:r w:rsidRPr="007E5614">
        <w:t>In recognition of the devastating effect suicide has on individuals, families and communit</w:t>
      </w:r>
      <w:r>
        <w:t xml:space="preserve">ies, the </w:t>
      </w:r>
      <w:r w:rsidRPr="007E5614">
        <w:t xml:space="preserve">Government launched a new </w:t>
      </w:r>
      <w:r w:rsidRPr="007E5614">
        <w:rPr>
          <w:iCs/>
        </w:rPr>
        <w:t>Tasmanian Suicide Prevention Strategy 2016-2020</w:t>
      </w:r>
      <w:r w:rsidRPr="007E5614">
        <w:t xml:space="preserve">; the first </w:t>
      </w:r>
      <w:r w:rsidRPr="007E5614">
        <w:rPr>
          <w:iCs/>
        </w:rPr>
        <w:t>Youth Suicide Prevention Plan for Tasmania 2016-2020</w:t>
      </w:r>
      <w:r w:rsidRPr="007E5614">
        <w:t xml:space="preserve">; and the first </w:t>
      </w:r>
      <w:r w:rsidRPr="007E5614">
        <w:rPr>
          <w:iCs/>
        </w:rPr>
        <w:t>Suicide Prevention Workforce Development and Training Plan for Tasmania 2016-2020</w:t>
      </w:r>
      <w:r w:rsidRPr="007E5614">
        <w:t xml:space="preserve"> in March 2016.</w:t>
      </w:r>
    </w:p>
    <w:p w:rsidR="007B551C" w:rsidRPr="007E5614" w:rsidRDefault="007B551C" w:rsidP="007B551C">
      <w:r w:rsidRPr="007E5614">
        <w:t xml:space="preserve">These plans reflect the outcomes of an extensive </w:t>
      </w:r>
      <w:proofErr w:type="spellStart"/>
      <w:r w:rsidRPr="007E5614">
        <w:t>statewide</w:t>
      </w:r>
      <w:proofErr w:type="spellEnd"/>
      <w:r w:rsidRPr="007E5614">
        <w:t xml:space="preserve"> and online consultation process. This consultation included young people, the youth sector, </w:t>
      </w:r>
      <w:proofErr w:type="gramStart"/>
      <w:r w:rsidRPr="007E5614">
        <w:t>the</w:t>
      </w:r>
      <w:proofErr w:type="gramEnd"/>
      <w:r w:rsidRPr="007E5614">
        <w:t xml:space="preserve"> broad suicide prevention workforce, clinicians, GPs, mental health consumers and people bereaved by suicide. Together these plans set the course for collaborative action to reduce suicide and its effect over the next five years.</w:t>
      </w:r>
    </w:p>
    <w:p w:rsidR="007B551C" w:rsidRPr="007E5614" w:rsidRDefault="007B551C" w:rsidP="007B551C">
      <w:r w:rsidRPr="007E5614">
        <w:t xml:space="preserve">While suicide prevention is a shared community responsibility, it is the Department’s overall responsibility to implement the new strategic direction. We will do this with support from the </w:t>
      </w:r>
      <w:hyperlink r:id="rId24" w:tooltip="Tasmanian Suicide Prevention Committee" w:history="1">
        <w:r w:rsidRPr="007E5614">
          <w:t>Tasmanian Suicide Prevention Committee</w:t>
        </w:r>
      </w:hyperlink>
      <w:r w:rsidRPr="007E5614">
        <w:t xml:space="preserve">, the </w:t>
      </w:r>
      <w:hyperlink r:id="rId25" w:tooltip="Tasmanian Suicide Prevention Community Network" w:history="1">
        <w:r w:rsidRPr="007E5614">
          <w:t>Tasmanian Suicide Prevention Community Network</w:t>
        </w:r>
      </w:hyperlink>
      <w:r w:rsidRPr="007E5614">
        <w:t xml:space="preserve"> and the Tasmanian community. Again, we look forward to reporting progress on these plans and strategies to the community.</w:t>
      </w:r>
    </w:p>
    <w:p w:rsidR="007B551C" w:rsidRDefault="007B551C" w:rsidP="007B551C"/>
    <w:p w:rsidR="007B551C" w:rsidRDefault="007B551C" w:rsidP="007B551C">
      <w:r>
        <w:t>We</w:t>
      </w:r>
      <w:r w:rsidRPr="007E5614">
        <w:t xml:space="preserve"> also consulted extensively with the community to inform our Youth at Risk strategy. DHHS has commenced work with other agencies and stakeholders to develop the strategy, which considers options for custodial youth justice, including youth detention. </w:t>
      </w:r>
    </w:p>
    <w:p w:rsidR="007B551C" w:rsidRDefault="007B551C" w:rsidP="007B551C">
      <w:r w:rsidRPr="007E5614">
        <w:lastRenderedPageBreak/>
        <w:t>We will also consider several other Tasmanian youth service reforms underway across Government that affect youth at risk services as we develop our strategy.</w:t>
      </w:r>
    </w:p>
    <w:p w:rsidR="007B551C" w:rsidRPr="007E5614" w:rsidRDefault="007B551C" w:rsidP="007B551C">
      <w:pPr>
        <w:pStyle w:val="Heading3"/>
      </w:pPr>
      <w:r w:rsidRPr="007E5614">
        <w:t>Publications</w:t>
      </w:r>
    </w:p>
    <w:p w:rsidR="007B551C" w:rsidRPr="007E5614" w:rsidRDefault="007B551C" w:rsidP="007B551C">
      <w:pPr>
        <w:rPr>
          <w:b/>
        </w:rPr>
      </w:pPr>
      <w:r w:rsidRPr="007E5614">
        <w:rPr>
          <w:b/>
        </w:rPr>
        <w:t>For the Public</w:t>
      </w:r>
    </w:p>
    <w:p w:rsidR="007B551C" w:rsidRPr="007E5614" w:rsidRDefault="007B551C" w:rsidP="007B551C">
      <w:r w:rsidRPr="007E5614">
        <w:t>We have launched several significant publications this financial year that further our goal of improving health and human services in Tasmania.</w:t>
      </w:r>
    </w:p>
    <w:p w:rsidR="007B551C" w:rsidRPr="007E5614" w:rsidRDefault="007B551C" w:rsidP="007B551C">
      <w:r w:rsidRPr="007E5614">
        <w:t xml:space="preserve">These are available on our website at: </w:t>
      </w:r>
      <w:hyperlink r:id="rId26" w:history="1">
        <w:r w:rsidRPr="007E5614">
          <w:rPr>
            <w:rStyle w:val="Hyperlink"/>
          </w:rPr>
          <w:t>www.dhhs.tas.gov.au/about_the_department/our_plans_and_strategies</w:t>
        </w:r>
      </w:hyperlink>
      <w:r w:rsidRPr="007E5614">
        <w:t xml:space="preserve"> </w:t>
      </w:r>
    </w:p>
    <w:p w:rsidR="007B551C" w:rsidRPr="007E5614" w:rsidRDefault="007B551C" w:rsidP="007B551C">
      <w:r w:rsidRPr="007E5614">
        <w:t>We use these plans and strategies to ensure we are providing effective and efficient care and support for all Tasmanians.</w:t>
      </w:r>
    </w:p>
    <w:p w:rsidR="007B551C" w:rsidRPr="007E5614" w:rsidRDefault="007B551C" w:rsidP="007B551C">
      <w:pPr>
        <w:rPr>
          <w:b/>
        </w:rPr>
      </w:pPr>
      <w:r w:rsidRPr="007E5614">
        <w:rPr>
          <w:b/>
        </w:rPr>
        <w:t>For Staff</w:t>
      </w:r>
    </w:p>
    <w:p w:rsidR="007B551C" w:rsidRPr="00164535" w:rsidRDefault="007B551C" w:rsidP="007B551C">
      <w:r w:rsidRPr="007E5614">
        <w:t>We produce several regular internal publications that keep our staff up to date on important work</w:t>
      </w:r>
      <w:r w:rsidRPr="007E5614">
        <w:noBreakHyphen/>
        <w:t xml:space="preserve">related issues. For example, all staff </w:t>
      </w:r>
      <w:proofErr w:type="gramStart"/>
      <w:r w:rsidRPr="007E5614">
        <w:t>receive</w:t>
      </w:r>
      <w:proofErr w:type="gramEnd"/>
      <w:r w:rsidRPr="007E5614">
        <w:t xml:space="preserve"> the weekly </w:t>
      </w:r>
      <w:r w:rsidRPr="007E5614">
        <w:rPr>
          <w:i/>
        </w:rPr>
        <w:t>News and Announcements</w:t>
      </w:r>
      <w:r w:rsidRPr="007E5614">
        <w:t xml:space="preserve"> e-bulletin and regular communication from the Secretary.</w:t>
      </w:r>
      <w:r w:rsidRPr="007E5614">
        <w:rPr>
          <w:b/>
        </w:rPr>
        <w:br w:type="column"/>
      </w:r>
      <w:r w:rsidR="00164535">
        <w:rPr>
          <w:b/>
        </w:rPr>
        <w:lastRenderedPageBreak/>
        <w:t>L</w:t>
      </w:r>
      <w:r w:rsidRPr="007E5614">
        <w:rPr>
          <w:b/>
        </w:rPr>
        <w:t>ibrary Services</w:t>
      </w:r>
    </w:p>
    <w:p w:rsidR="007B551C" w:rsidRPr="007E5614" w:rsidRDefault="007B551C" w:rsidP="007B551C">
      <w:pPr>
        <w:rPr>
          <w:rFonts w:cs="Arial"/>
          <w:color w:val="222222"/>
          <w:shd w:val="clear" w:color="auto" w:fill="FFFFFF"/>
        </w:rPr>
      </w:pPr>
      <w:r w:rsidRPr="007E5614">
        <w:rPr>
          <w:rFonts w:cs="Arial"/>
          <w:color w:val="222222"/>
          <w:shd w:val="clear" w:color="auto" w:fill="FFFFFF"/>
        </w:rPr>
        <w:t xml:space="preserve">DHHS Library Services supports staff information and research needs. </w:t>
      </w:r>
    </w:p>
    <w:p w:rsidR="007B551C" w:rsidRPr="007E5614" w:rsidRDefault="007B551C" w:rsidP="007B551C">
      <w:pPr>
        <w:rPr>
          <w:rFonts w:cs="Arial"/>
          <w:color w:val="222222"/>
          <w:shd w:val="clear" w:color="auto" w:fill="FFFFFF"/>
        </w:rPr>
      </w:pPr>
      <w:r w:rsidRPr="007E5614">
        <w:rPr>
          <w:rFonts w:cs="Arial"/>
          <w:color w:val="222222"/>
          <w:shd w:val="clear" w:color="auto" w:fill="FFFFFF"/>
        </w:rPr>
        <w:t xml:space="preserve">It comprises four libraries: the AT Library and Wingfield Library in the State’s south, and the </w:t>
      </w:r>
      <w:proofErr w:type="spellStart"/>
      <w:r w:rsidRPr="007E5614">
        <w:rPr>
          <w:rFonts w:cs="Arial"/>
          <w:color w:val="222222"/>
          <w:shd w:val="clear" w:color="auto" w:fill="FFFFFF"/>
        </w:rPr>
        <w:t>Buttfield</w:t>
      </w:r>
      <w:proofErr w:type="spellEnd"/>
      <w:r w:rsidRPr="007E5614">
        <w:rPr>
          <w:rFonts w:cs="Arial"/>
          <w:color w:val="222222"/>
          <w:shd w:val="clear" w:color="auto" w:fill="FFFFFF"/>
        </w:rPr>
        <w:t xml:space="preserve"> Library and Ramsay Library in the State’s </w:t>
      </w:r>
      <w:r>
        <w:rPr>
          <w:rFonts w:cs="Arial"/>
          <w:color w:val="222222"/>
          <w:shd w:val="clear" w:color="auto" w:fill="FFFFFF"/>
        </w:rPr>
        <w:t>north.</w:t>
      </w:r>
    </w:p>
    <w:p w:rsidR="007B551C" w:rsidRPr="007E5614" w:rsidRDefault="007B551C" w:rsidP="007B551C">
      <w:pPr>
        <w:rPr>
          <w:color w:val="000000"/>
        </w:rPr>
      </w:pPr>
      <w:r w:rsidRPr="007E5614">
        <w:rPr>
          <w:rFonts w:cs="Arial"/>
          <w:color w:val="222222"/>
          <w:shd w:val="clear" w:color="auto" w:fill="FFFFFF"/>
        </w:rPr>
        <w:t>Our</w:t>
      </w:r>
      <w:r w:rsidRPr="007E5614">
        <w:t xml:space="preserve"> Electronic Portal for Online Clinical Help </w:t>
      </w:r>
      <w:r w:rsidRPr="007E5614">
        <w:rPr>
          <w:color w:val="000000"/>
        </w:rPr>
        <w:t>allows users to search for quality health information simply and quickly.</w:t>
      </w:r>
    </w:p>
    <w:p w:rsidR="007B551C" w:rsidRPr="007E5614" w:rsidRDefault="007B551C" w:rsidP="007B551C">
      <w:r w:rsidRPr="007E5614">
        <w:rPr>
          <w:color w:val="000000"/>
        </w:rPr>
        <w:t xml:space="preserve">Library Services also publishes </w:t>
      </w:r>
      <w:r w:rsidRPr="007E5614">
        <w:t xml:space="preserve">academic research and publications written by our staff in its </w:t>
      </w:r>
      <w:proofErr w:type="gramStart"/>
      <w:r w:rsidRPr="007E5614">
        <w:rPr>
          <w:i/>
        </w:rPr>
        <w:t>Who’s</w:t>
      </w:r>
      <w:proofErr w:type="gramEnd"/>
      <w:r w:rsidRPr="007E5614">
        <w:rPr>
          <w:i/>
        </w:rPr>
        <w:t> in Print</w:t>
      </w:r>
      <w:r w:rsidRPr="007E5614">
        <w:t xml:space="preserve"> newsletter. </w:t>
      </w:r>
    </w:p>
    <w:p w:rsidR="007B551C" w:rsidRDefault="007B551C" w:rsidP="007B551C">
      <w:r w:rsidRPr="007E5614">
        <w:t>A list of high level publications released in 2015</w:t>
      </w:r>
      <w:r w:rsidRPr="007E5614">
        <w:noBreakHyphen/>
        <w:t>16 follows.</w:t>
      </w:r>
    </w:p>
    <w:p w:rsidR="00164535" w:rsidRDefault="00164535" w:rsidP="007B551C"/>
    <w:p w:rsidR="00164535" w:rsidRDefault="00164535" w:rsidP="007B551C">
      <w:pPr>
        <w:sectPr w:rsidR="00164535" w:rsidSect="007B551C">
          <w:pgSz w:w="11906" w:h="16838" w:code="9"/>
          <w:pgMar w:top="907" w:right="1134" w:bottom="720" w:left="1134" w:header="709" w:footer="709" w:gutter="0"/>
          <w:cols w:num="2" w:space="708"/>
          <w:docGrid w:linePitch="360"/>
        </w:sectPr>
      </w:pPr>
    </w:p>
    <w:p w:rsidR="00164535" w:rsidRDefault="00164535" w:rsidP="00164535">
      <w:pPr>
        <w:pStyle w:val="Heading3"/>
      </w:pPr>
    </w:p>
    <w:p w:rsidR="00164535" w:rsidRDefault="00164535" w:rsidP="00164535">
      <w:pPr>
        <w:pStyle w:val="Heading3"/>
      </w:pPr>
      <w:r w:rsidRPr="007E5614">
        <w:t>Key Publications 2015-16</w:t>
      </w:r>
    </w:p>
    <w:tbl>
      <w:tblPr>
        <w:tblW w:w="9531" w:type="dxa"/>
        <w:tblInd w:w="108" w:type="dxa"/>
        <w:tblBorders>
          <w:top w:val="single" w:sz="2" w:space="0" w:color="808080"/>
          <w:bottom w:val="single" w:sz="2" w:space="0" w:color="808080"/>
          <w:insideH w:val="single" w:sz="2" w:space="0" w:color="808080"/>
        </w:tblBorders>
        <w:tblLayout w:type="fixed"/>
        <w:tblLook w:val="0000" w:firstRow="0" w:lastRow="0" w:firstColumn="0" w:lastColumn="0" w:noHBand="0" w:noVBand="0"/>
        <w:tblCaption w:val="Key Publications 2015-16 listing"/>
      </w:tblPr>
      <w:tblGrid>
        <w:gridCol w:w="8114"/>
        <w:gridCol w:w="1417"/>
      </w:tblGrid>
      <w:tr w:rsidR="00164535" w:rsidRPr="007E5614" w:rsidTr="00666795">
        <w:trPr>
          <w:trHeight w:val="340"/>
        </w:trPr>
        <w:tc>
          <w:tcPr>
            <w:tcW w:w="8114" w:type="dxa"/>
            <w:tcBorders>
              <w:top w:val="nil"/>
              <w:bottom w:val="single" w:sz="4" w:space="0" w:color="808080" w:themeColor="background1" w:themeShade="80"/>
            </w:tcBorders>
            <w:shd w:val="clear" w:color="auto" w:fill="auto"/>
            <w:vAlign w:val="center"/>
          </w:tcPr>
          <w:p w:rsidR="00164535" w:rsidRPr="007E5614" w:rsidRDefault="00164535" w:rsidP="00666795">
            <w:pPr>
              <w:pStyle w:val="Heading4"/>
            </w:pPr>
            <w:r>
              <w:t>Key Publications</w:t>
            </w:r>
          </w:p>
        </w:tc>
        <w:tc>
          <w:tcPr>
            <w:tcW w:w="1417" w:type="dxa"/>
            <w:tcBorders>
              <w:top w:val="nil"/>
              <w:bottom w:val="single" w:sz="4" w:space="0" w:color="808080" w:themeColor="background1" w:themeShade="80"/>
            </w:tcBorders>
            <w:shd w:val="clear" w:color="auto" w:fill="auto"/>
            <w:vAlign w:val="center"/>
          </w:tcPr>
          <w:p w:rsidR="00164535" w:rsidRPr="007E5614" w:rsidRDefault="00164535" w:rsidP="00666795">
            <w:pPr>
              <w:pStyle w:val="Heading4"/>
              <w:jc w:val="right"/>
            </w:pPr>
            <w:r>
              <w:t>Year</w:t>
            </w:r>
          </w:p>
        </w:tc>
      </w:tr>
      <w:tr w:rsidR="00164535" w:rsidRPr="007E5614" w:rsidTr="00666795">
        <w:trPr>
          <w:trHeight w:val="340"/>
        </w:trPr>
        <w:tc>
          <w:tcPr>
            <w:tcW w:w="8114" w:type="dxa"/>
            <w:vAlign w:val="center"/>
          </w:tcPr>
          <w:p w:rsidR="00164535" w:rsidRPr="007E5614" w:rsidRDefault="00164535" w:rsidP="00666795">
            <w:pPr>
              <w:pStyle w:val="Table-AnnualReport"/>
              <w:rPr>
                <w:sz w:val="20"/>
                <w:szCs w:val="20"/>
              </w:rPr>
            </w:pPr>
            <w:r w:rsidRPr="007E5614">
              <w:rPr>
                <w:sz w:val="20"/>
                <w:szCs w:val="20"/>
              </w:rPr>
              <w:t>DHHS Annual Report 2014-15</w:t>
            </w:r>
          </w:p>
        </w:tc>
        <w:tc>
          <w:tcPr>
            <w:tcW w:w="1417" w:type="dxa"/>
            <w:vAlign w:val="center"/>
          </w:tcPr>
          <w:p w:rsidR="00164535" w:rsidRPr="007E5614" w:rsidRDefault="00164535" w:rsidP="00666795">
            <w:pPr>
              <w:pStyle w:val="Table-AnnualReport"/>
              <w:jc w:val="right"/>
              <w:rPr>
                <w:sz w:val="20"/>
                <w:szCs w:val="20"/>
              </w:rPr>
            </w:pPr>
            <w:r w:rsidRPr="007E5614">
              <w:rPr>
                <w:sz w:val="20"/>
                <w:szCs w:val="20"/>
              </w:rPr>
              <w:t>2015</w:t>
            </w:r>
          </w:p>
        </w:tc>
      </w:tr>
      <w:tr w:rsidR="00164535" w:rsidRPr="007E5614" w:rsidTr="00666795">
        <w:trPr>
          <w:trHeight w:val="340"/>
        </w:trPr>
        <w:tc>
          <w:tcPr>
            <w:tcW w:w="8114" w:type="dxa"/>
            <w:vAlign w:val="center"/>
          </w:tcPr>
          <w:p w:rsidR="00164535" w:rsidRPr="007E5614" w:rsidRDefault="00164535" w:rsidP="00666795">
            <w:pPr>
              <w:pStyle w:val="Table-AnnualReport"/>
              <w:rPr>
                <w:i/>
                <w:sz w:val="20"/>
                <w:szCs w:val="20"/>
              </w:rPr>
            </w:pPr>
            <w:r w:rsidRPr="007E5614">
              <w:rPr>
                <w:i/>
                <w:sz w:val="20"/>
                <w:szCs w:val="20"/>
              </w:rPr>
              <w:t>Safe Homes, Safe Families: Tasmania’s Family Violence Action Plan</w:t>
            </w:r>
          </w:p>
        </w:tc>
        <w:tc>
          <w:tcPr>
            <w:tcW w:w="1417" w:type="dxa"/>
            <w:vAlign w:val="center"/>
          </w:tcPr>
          <w:p w:rsidR="00164535" w:rsidRPr="007E5614" w:rsidRDefault="00164535" w:rsidP="00666795">
            <w:pPr>
              <w:pStyle w:val="Table-AnnualReport"/>
              <w:jc w:val="right"/>
              <w:rPr>
                <w:sz w:val="20"/>
                <w:szCs w:val="20"/>
              </w:rPr>
            </w:pPr>
            <w:r w:rsidRPr="007E5614">
              <w:rPr>
                <w:sz w:val="20"/>
                <w:szCs w:val="20"/>
              </w:rPr>
              <w:t>2015</w:t>
            </w:r>
          </w:p>
        </w:tc>
      </w:tr>
      <w:tr w:rsidR="00164535" w:rsidRPr="007E5614" w:rsidTr="00666795">
        <w:trPr>
          <w:trHeight w:val="340"/>
        </w:trPr>
        <w:tc>
          <w:tcPr>
            <w:tcW w:w="8114" w:type="dxa"/>
            <w:vAlign w:val="center"/>
          </w:tcPr>
          <w:p w:rsidR="00164535" w:rsidRPr="007E5614" w:rsidRDefault="00164535" w:rsidP="00666795">
            <w:pPr>
              <w:pStyle w:val="Table-AnnualReport"/>
              <w:rPr>
                <w:sz w:val="20"/>
                <w:szCs w:val="20"/>
              </w:rPr>
            </w:pPr>
            <w:r w:rsidRPr="007E5614">
              <w:rPr>
                <w:sz w:val="20"/>
                <w:szCs w:val="20"/>
              </w:rPr>
              <w:t>Safe Homes, Safe Families Implementation Plan</w:t>
            </w:r>
          </w:p>
        </w:tc>
        <w:tc>
          <w:tcPr>
            <w:tcW w:w="1417" w:type="dxa"/>
            <w:vAlign w:val="center"/>
          </w:tcPr>
          <w:p w:rsidR="00164535" w:rsidRPr="007E5614" w:rsidRDefault="00164535" w:rsidP="00666795">
            <w:pPr>
              <w:pStyle w:val="Table-AnnualReport"/>
              <w:jc w:val="right"/>
              <w:rPr>
                <w:sz w:val="20"/>
                <w:szCs w:val="20"/>
              </w:rPr>
            </w:pPr>
            <w:r w:rsidRPr="007E5614">
              <w:rPr>
                <w:sz w:val="20"/>
                <w:szCs w:val="20"/>
              </w:rPr>
              <w:t>2015</w:t>
            </w:r>
          </w:p>
        </w:tc>
      </w:tr>
      <w:tr w:rsidR="00164535" w:rsidRPr="007E5614" w:rsidTr="00666795">
        <w:trPr>
          <w:trHeight w:val="340"/>
        </w:trPr>
        <w:tc>
          <w:tcPr>
            <w:tcW w:w="8114" w:type="dxa"/>
            <w:vAlign w:val="center"/>
          </w:tcPr>
          <w:p w:rsidR="00164535" w:rsidRPr="007E5614" w:rsidRDefault="00164535" w:rsidP="00666795">
            <w:pPr>
              <w:pStyle w:val="Table-AnnualReport"/>
              <w:rPr>
                <w:i/>
                <w:sz w:val="20"/>
                <w:szCs w:val="20"/>
              </w:rPr>
            </w:pPr>
            <w:r w:rsidRPr="007E5614">
              <w:rPr>
                <w:i/>
                <w:sz w:val="20"/>
                <w:szCs w:val="20"/>
              </w:rPr>
              <w:t>Tasmania’s Affordable Housing Strategy 2015-2025</w:t>
            </w:r>
          </w:p>
        </w:tc>
        <w:tc>
          <w:tcPr>
            <w:tcW w:w="1417" w:type="dxa"/>
            <w:vAlign w:val="center"/>
          </w:tcPr>
          <w:p w:rsidR="00164535" w:rsidRPr="007E5614" w:rsidRDefault="00164535" w:rsidP="00666795">
            <w:pPr>
              <w:pStyle w:val="Table-AnnualReport"/>
              <w:jc w:val="right"/>
              <w:rPr>
                <w:sz w:val="20"/>
                <w:szCs w:val="20"/>
              </w:rPr>
            </w:pPr>
            <w:r w:rsidRPr="007E5614">
              <w:rPr>
                <w:sz w:val="20"/>
                <w:szCs w:val="20"/>
              </w:rPr>
              <w:t>2015</w:t>
            </w:r>
          </w:p>
        </w:tc>
      </w:tr>
      <w:tr w:rsidR="00164535" w:rsidRPr="007E5614" w:rsidTr="00666795">
        <w:trPr>
          <w:trHeight w:val="340"/>
        </w:trPr>
        <w:tc>
          <w:tcPr>
            <w:tcW w:w="8114" w:type="dxa"/>
            <w:vAlign w:val="center"/>
          </w:tcPr>
          <w:p w:rsidR="00164535" w:rsidRPr="007E5614" w:rsidRDefault="00164535" w:rsidP="00666795">
            <w:pPr>
              <w:pStyle w:val="Table-AnnualReport"/>
              <w:rPr>
                <w:i/>
                <w:sz w:val="20"/>
                <w:szCs w:val="20"/>
              </w:rPr>
            </w:pPr>
            <w:r w:rsidRPr="007E5614">
              <w:rPr>
                <w:i/>
                <w:sz w:val="20"/>
                <w:szCs w:val="20"/>
              </w:rPr>
              <w:t>Tasmania’s Affordable Housing Strategy Action Plan 2015-2019</w:t>
            </w:r>
          </w:p>
        </w:tc>
        <w:tc>
          <w:tcPr>
            <w:tcW w:w="1417" w:type="dxa"/>
            <w:vAlign w:val="center"/>
          </w:tcPr>
          <w:p w:rsidR="00164535" w:rsidRPr="007E5614" w:rsidRDefault="00164535" w:rsidP="00666795">
            <w:pPr>
              <w:pStyle w:val="Table-AnnualReport"/>
              <w:jc w:val="right"/>
              <w:rPr>
                <w:sz w:val="20"/>
                <w:szCs w:val="20"/>
              </w:rPr>
            </w:pPr>
            <w:r w:rsidRPr="007E5614">
              <w:rPr>
                <w:sz w:val="20"/>
                <w:szCs w:val="20"/>
              </w:rPr>
              <w:t>2015</w:t>
            </w:r>
          </w:p>
        </w:tc>
      </w:tr>
      <w:tr w:rsidR="00164535" w:rsidRPr="007E5614" w:rsidTr="00666795">
        <w:trPr>
          <w:trHeight w:val="340"/>
        </w:trPr>
        <w:tc>
          <w:tcPr>
            <w:tcW w:w="8114" w:type="dxa"/>
            <w:vAlign w:val="center"/>
          </w:tcPr>
          <w:p w:rsidR="00164535" w:rsidRPr="007E5614" w:rsidRDefault="00164535" w:rsidP="00666795">
            <w:pPr>
              <w:pStyle w:val="Table-AnnualReport"/>
              <w:rPr>
                <w:i/>
                <w:sz w:val="20"/>
                <w:szCs w:val="20"/>
              </w:rPr>
            </w:pPr>
            <w:r w:rsidRPr="007E5614">
              <w:rPr>
                <w:i/>
                <w:sz w:val="20"/>
                <w:szCs w:val="20"/>
              </w:rPr>
              <w:t>Rethink Mental Health: Better Mental Health and Wellbeing – A Long Term Plan for Mental Health in Tasmania 2015-2025</w:t>
            </w:r>
          </w:p>
        </w:tc>
        <w:tc>
          <w:tcPr>
            <w:tcW w:w="1417" w:type="dxa"/>
            <w:vAlign w:val="center"/>
          </w:tcPr>
          <w:p w:rsidR="00164535" w:rsidRPr="007E5614" w:rsidRDefault="00164535" w:rsidP="00666795">
            <w:pPr>
              <w:pStyle w:val="Table-AnnualReport"/>
              <w:jc w:val="right"/>
              <w:rPr>
                <w:sz w:val="20"/>
                <w:szCs w:val="20"/>
              </w:rPr>
            </w:pPr>
            <w:r w:rsidRPr="007E5614">
              <w:rPr>
                <w:sz w:val="20"/>
                <w:szCs w:val="20"/>
              </w:rPr>
              <w:t>2015</w:t>
            </w:r>
          </w:p>
        </w:tc>
      </w:tr>
      <w:tr w:rsidR="00164535" w:rsidRPr="007E5614" w:rsidTr="00666795">
        <w:trPr>
          <w:trHeight w:val="340"/>
        </w:trPr>
        <w:tc>
          <w:tcPr>
            <w:tcW w:w="8114" w:type="dxa"/>
            <w:vAlign w:val="center"/>
          </w:tcPr>
          <w:p w:rsidR="00164535" w:rsidRPr="007E5614" w:rsidRDefault="00164535" w:rsidP="00666795">
            <w:pPr>
              <w:pStyle w:val="Table-AnnualReport"/>
              <w:rPr>
                <w:sz w:val="20"/>
                <w:szCs w:val="20"/>
              </w:rPr>
            </w:pPr>
            <w:r w:rsidRPr="007E5614">
              <w:rPr>
                <w:sz w:val="20"/>
                <w:szCs w:val="20"/>
              </w:rPr>
              <w:t>Healthy Tasmania Five Year Strategic Plan – Community Consultation Draft</w:t>
            </w:r>
          </w:p>
        </w:tc>
        <w:tc>
          <w:tcPr>
            <w:tcW w:w="1417" w:type="dxa"/>
            <w:vAlign w:val="center"/>
          </w:tcPr>
          <w:p w:rsidR="00164535" w:rsidRPr="007E5614" w:rsidRDefault="00164535" w:rsidP="00666795">
            <w:pPr>
              <w:pStyle w:val="Table-AnnualReport"/>
              <w:jc w:val="right"/>
              <w:rPr>
                <w:sz w:val="20"/>
                <w:szCs w:val="20"/>
              </w:rPr>
            </w:pPr>
            <w:r w:rsidRPr="007E5614">
              <w:rPr>
                <w:sz w:val="20"/>
                <w:szCs w:val="20"/>
              </w:rPr>
              <w:t>2015</w:t>
            </w:r>
          </w:p>
        </w:tc>
      </w:tr>
      <w:tr w:rsidR="00164535" w:rsidRPr="007E5614" w:rsidTr="00666795">
        <w:trPr>
          <w:trHeight w:val="340"/>
        </w:trPr>
        <w:tc>
          <w:tcPr>
            <w:tcW w:w="8114" w:type="dxa"/>
            <w:vAlign w:val="center"/>
          </w:tcPr>
          <w:p w:rsidR="00164535" w:rsidRPr="007E5614" w:rsidRDefault="00164535" w:rsidP="00666795">
            <w:pPr>
              <w:pStyle w:val="Table-AnnualReport"/>
              <w:rPr>
                <w:sz w:val="20"/>
                <w:szCs w:val="20"/>
              </w:rPr>
            </w:pPr>
            <w:r w:rsidRPr="007E5614">
              <w:rPr>
                <w:sz w:val="20"/>
                <w:szCs w:val="20"/>
              </w:rPr>
              <w:t xml:space="preserve">2015-16 Service Agreement Tasmanian Health Service </w:t>
            </w:r>
          </w:p>
        </w:tc>
        <w:tc>
          <w:tcPr>
            <w:tcW w:w="1417" w:type="dxa"/>
            <w:vAlign w:val="center"/>
          </w:tcPr>
          <w:p w:rsidR="00164535" w:rsidRPr="007E5614" w:rsidRDefault="00164535" w:rsidP="00666795">
            <w:pPr>
              <w:pStyle w:val="Table-AnnualReport"/>
              <w:jc w:val="right"/>
              <w:rPr>
                <w:sz w:val="20"/>
                <w:szCs w:val="20"/>
              </w:rPr>
            </w:pPr>
            <w:r w:rsidRPr="007E5614">
              <w:rPr>
                <w:sz w:val="20"/>
                <w:szCs w:val="20"/>
              </w:rPr>
              <w:t>2015-16</w:t>
            </w:r>
          </w:p>
        </w:tc>
      </w:tr>
      <w:tr w:rsidR="00164535" w:rsidRPr="007E5614" w:rsidTr="00666795">
        <w:trPr>
          <w:trHeight w:val="340"/>
        </w:trPr>
        <w:tc>
          <w:tcPr>
            <w:tcW w:w="8114" w:type="dxa"/>
            <w:vAlign w:val="center"/>
          </w:tcPr>
          <w:p w:rsidR="00164535" w:rsidRPr="007E5614" w:rsidRDefault="00164535" w:rsidP="00666795">
            <w:pPr>
              <w:pStyle w:val="Table-AnnualReport"/>
              <w:rPr>
                <w:sz w:val="20"/>
                <w:szCs w:val="20"/>
              </w:rPr>
            </w:pPr>
            <w:r w:rsidRPr="007E5614">
              <w:rPr>
                <w:sz w:val="20"/>
                <w:szCs w:val="20"/>
                <w:lang w:eastAsia="en-AU"/>
              </w:rPr>
              <w:t>2015-16</w:t>
            </w:r>
            <w:r>
              <w:rPr>
                <w:sz w:val="20"/>
                <w:szCs w:val="20"/>
                <w:lang w:eastAsia="en-AU"/>
              </w:rPr>
              <w:t xml:space="preserve"> </w:t>
            </w:r>
            <w:r w:rsidRPr="007E5614">
              <w:rPr>
                <w:sz w:val="20"/>
                <w:szCs w:val="20"/>
                <w:lang w:eastAsia="en-AU"/>
              </w:rPr>
              <w:t xml:space="preserve">Service Agreement Performance Framework </w:t>
            </w:r>
          </w:p>
        </w:tc>
        <w:tc>
          <w:tcPr>
            <w:tcW w:w="1417" w:type="dxa"/>
            <w:vAlign w:val="center"/>
          </w:tcPr>
          <w:p w:rsidR="00164535" w:rsidRPr="007E5614" w:rsidRDefault="00164535" w:rsidP="00666795">
            <w:pPr>
              <w:pStyle w:val="Table-AnnualReport"/>
              <w:jc w:val="right"/>
              <w:rPr>
                <w:sz w:val="20"/>
                <w:szCs w:val="20"/>
              </w:rPr>
            </w:pPr>
            <w:r w:rsidRPr="007E5614">
              <w:rPr>
                <w:sz w:val="20"/>
                <w:szCs w:val="20"/>
              </w:rPr>
              <w:t>2015-16</w:t>
            </w:r>
          </w:p>
        </w:tc>
      </w:tr>
      <w:tr w:rsidR="00164535" w:rsidRPr="007E5614" w:rsidTr="00666795">
        <w:trPr>
          <w:trHeight w:val="340"/>
        </w:trPr>
        <w:tc>
          <w:tcPr>
            <w:tcW w:w="8114" w:type="dxa"/>
            <w:vAlign w:val="center"/>
          </w:tcPr>
          <w:p w:rsidR="00164535" w:rsidRPr="007E5614" w:rsidRDefault="00164535" w:rsidP="00666795">
            <w:pPr>
              <w:pStyle w:val="Table-AnnualReport"/>
              <w:rPr>
                <w:sz w:val="20"/>
                <w:szCs w:val="20"/>
                <w:shd w:val="clear" w:color="auto" w:fill="FBFAF7"/>
              </w:rPr>
            </w:pPr>
            <w:r w:rsidRPr="007E5614">
              <w:rPr>
                <w:sz w:val="20"/>
                <w:szCs w:val="20"/>
                <w:shd w:val="clear" w:color="auto" w:fill="FBFAF7"/>
              </w:rPr>
              <w:t>Northern Hospice Feasibility Study</w:t>
            </w:r>
          </w:p>
        </w:tc>
        <w:tc>
          <w:tcPr>
            <w:tcW w:w="1417" w:type="dxa"/>
            <w:vAlign w:val="center"/>
          </w:tcPr>
          <w:p w:rsidR="00164535" w:rsidRPr="007E5614" w:rsidRDefault="00164535" w:rsidP="00666795">
            <w:pPr>
              <w:pStyle w:val="Table-AnnualReport"/>
              <w:jc w:val="right"/>
              <w:rPr>
                <w:sz w:val="20"/>
                <w:szCs w:val="20"/>
              </w:rPr>
            </w:pPr>
            <w:r w:rsidRPr="007E5614">
              <w:rPr>
                <w:sz w:val="20"/>
                <w:szCs w:val="20"/>
              </w:rPr>
              <w:t>2016</w:t>
            </w:r>
          </w:p>
        </w:tc>
      </w:tr>
      <w:tr w:rsidR="00164535" w:rsidRPr="007E5614" w:rsidTr="00666795">
        <w:trPr>
          <w:trHeight w:val="340"/>
        </w:trPr>
        <w:tc>
          <w:tcPr>
            <w:tcW w:w="8114" w:type="dxa"/>
            <w:vAlign w:val="center"/>
          </w:tcPr>
          <w:p w:rsidR="00164535" w:rsidRPr="007E5614" w:rsidRDefault="00164535" w:rsidP="00666795">
            <w:pPr>
              <w:pStyle w:val="Table-AnnualReport"/>
              <w:rPr>
                <w:sz w:val="20"/>
                <w:szCs w:val="20"/>
              </w:rPr>
            </w:pPr>
            <w:r w:rsidRPr="007E5614">
              <w:rPr>
                <w:sz w:val="20"/>
                <w:szCs w:val="20"/>
              </w:rPr>
              <w:t xml:space="preserve">Strong Families – Safe Kids Implementation Plan </w:t>
            </w:r>
          </w:p>
        </w:tc>
        <w:tc>
          <w:tcPr>
            <w:tcW w:w="1417" w:type="dxa"/>
            <w:vAlign w:val="center"/>
          </w:tcPr>
          <w:p w:rsidR="00164535" w:rsidRPr="007E5614" w:rsidRDefault="00164535" w:rsidP="00666795">
            <w:pPr>
              <w:pStyle w:val="Table-AnnualReport"/>
              <w:jc w:val="right"/>
              <w:rPr>
                <w:sz w:val="20"/>
                <w:szCs w:val="20"/>
              </w:rPr>
            </w:pPr>
            <w:r w:rsidRPr="007E5614">
              <w:rPr>
                <w:sz w:val="20"/>
                <w:szCs w:val="20"/>
              </w:rPr>
              <w:t>2016</w:t>
            </w:r>
          </w:p>
        </w:tc>
      </w:tr>
      <w:tr w:rsidR="00164535" w:rsidRPr="007E5614" w:rsidTr="00666795">
        <w:trPr>
          <w:trHeight w:val="340"/>
        </w:trPr>
        <w:tc>
          <w:tcPr>
            <w:tcW w:w="8114" w:type="dxa"/>
            <w:vAlign w:val="center"/>
          </w:tcPr>
          <w:p w:rsidR="00164535" w:rsidRPr="007E5614" w:rsidRDefault="00164535" w:rsidP="00666795">
            <w:pPr>
              <w:pStyle w:val="Table-AnnualReport"/>
              <w:rPr>
                <w:sz w:val="20"/>
                <w:szCs w:val="20"/>
              </w:rPr>
            </w:pPr>
            <w:bookmarkStart w:id="248" w:name="OLE_LINK18"/>
            <w:bookmarkStart w:id="249" w:name="OLE_LINK19"/>
            <w:r w:rsidRPr="007E5614">
              <w:rPr>
                <w:sz w:val="20"/>
                <w:szCs w:val="20"/>
              </w:rPr>
              <w:t xml:space="preserve">Tasmanian Suicide Prevention Strategy </w:t>
            </w:r>
            <w:bookmarkEnd w:id="248"/>
            <w:bookmarkEnd w:id="249"/>
            <w:r w:rsidRPr="007E5614">
              <w:rPr>
                <w:sz w:val="20"/>
                <w:szCs w:val="20"/>
              </w:rPr>
              <w:t>2016-2020</w:t>
            </w:r>
          </w:p>
        </w:tc>
        <w:tc>
          <w:tcPr>
            <w:tcW w:w="1417" w:type="dxa"/>
            <w:vAlign w:val="center"/>
          </w:tcPr>
          <w:p w:rsidR="00164535" w:rsidRPr="007E5614" w:rsidRDefault="00164535" w:rsidP="00666795">
            <w:pPr>
              <w:pStyle w:val="Table-AnnualReport"/>
              <w:jc w:val="right"/>
              <w:rPr>
                <w:sz w:val="20"/>
                <w:szCs w:val="20"/>
              </w:rPr>
            </w:pPr>
            <w:r w:rsidRPr="007E5614">
              <w:rPr>
                <w:sz w:val="20"/>
                <w:szCs w:val="20"/>
              </w:rPr>
              <w:t>2016</w:t>
            </w:r>
          </w:p>
        </w:tc>
      </w:tr>
      <w:tr w:rsidR="00164535" w:rsidRPr="007E5614" w:rsidTr="00666795">
        <w:trPr>
          <w:trHeight w:val="340"/>
        </w:trPr>
        <w:tc>
          <w:tcPr>
            <w:tcW w:w="8114" w:type="dxa"/>
            <w:vAlign w:val="center"/>
          </w:tcPr>
          <w:p w:rsidR="00164535" w:rsidRPr="007E5614" w:rsidRDefault="00164535" w:rsidP="00666795">
            <w:pPr>
              <w:pStyle w:val="Table-AnnualReport"/>
              <w:spacing w:before="60"/>
              <w:rPr>
                <w:sz w:val="20"/>
                <w:szCs w:val="20"/>
              </w:rPr>
            </w:pPr>
            <w:r w:rsidRPr="007E5614">
              <w:rPr>
                <w:sz w:val="20"/>
                <w:szCs w:val="20"/>
              </w:rPr>
              <w:t>Youth Suicide Prevention Plan for Tasmania 2016-2020</w:t>
            </w:r>
          </w:p>
        </w:tc>
        <w:tc>
          <w:tcPr>
            <w:tcW w:w="1417" w:type="dxa"/>
            <w:vAlign w:val="center"/>
          </w:tcPr>
          <w:p w:rsidR="00164535" w:rsidRPr="007E5614" w:rsidRDefault="00164535" w:rsidP="00666795">
            <w:pPr>
              <w:pStyle w:val="Table-AnnualReport"/>
              <w:spacing w:before="60"/>
              <w:jc w:val="right"/>
              <w:rPr>
                <w:sz w:val="20"/>
                <w:szCs w:val="20"/>
              </w:rPr>
            </w:pPr>
            <w:r w:rsidRPr="007E5614">
              <w:rPr>
                <w:sz w:val="20"/>
                <w:szCs w:val="20"/>
              </w:rPr>
              <w:t>2016</w:t>
            </w:r>
          </w:p>
        </w:tc>
      </w:tr>
      <w:tr w:rsidR="00164535" w:rsidRPr="007E5614" w:rsidTr="00666795">
        <w:trPr>
          <w:trHeight w:val="340"/>
        </w:trPr>
        <w:tc>
          <w:tcPr>
            <w:tcW w:w="8114" w:type="dxa"/>
            <w:vAlign w:val="center"/>
          </w:tcPr>
          <w:p w:rsidR="00164535" w:rsidRPr="007E5614" w:rsidRDefault="00164535" w:rsidP="00666795">
            <w:pPr>
              <w:pStyle w:val="Table-AnnualReport"/>
              <w:spacing w:before="60"/>
              <w:rPr>
                <w:sz w:val="20"/>
                <w:szCs w:val="20"/>
              </w:rPr>
            </w:pPr>
            <w:r w:rsidRPr="007E5614">
              <w:rPr>
                <w:sz w:val="20"/>
                <w:szCs w:val="20"/>
              </w:rPr>
              <w:t>Suicide Prevention Workforce Development and Training Plan for Tasmania 2016-2020</w:t>
            </w:r>
          </w:p>
        </w:tc>
        <w:tc>
          <w:tcPr>
            <w:tcW w:w="1417" w:type="dxa"/>
            <w:vAlign w:val="center"/>
          </w:tcPr>
          <w:p w:rsidR="00164535" w:rsidRPr="007E5614" w:rsidRDefault="00164535" w:rsidP="00666795">
            <w:pPr>
              <w:pStyle w:val="Table-AnnualReport"/>
              <w:spacing w:before="60"/>
              <w:jc w:val="right"/>
              <w:rPr>
                <w:sz w:val="20"/>
                <w:szCs w:val="20"/>
              </w:rPr>
            </w:pPr>
            <w:r w:rsidRPr="007E5614">
              <w:rPr>
                <w:sz w:val="20"/>
                <w:szCs w:val="20"/>
              </w:rPr>
              <w:t>2016</w:t>
            </w:r>
          </w:p>
        </w:tc>
      </w:tr>
      <w:tr w:rsidR="00164535" w:rsidRPr="007E5614" w:rsidTr="00666795">
        <w:trPr>
          <w:trHeight w:val="340"/>
        </w:trPr>
        <w:tc>
          <w:tcPr>
            <w:tcW w:w="8114" w:type="dxa"/>
            <w:vAlign w:val="center"/>
          </w:tcPr>
          <w:p w:rsidR="00164535" w:rsidRPr="007E5614" w:rsidRDefault="00164535" w:rsidP="00666795">
            <w:pPr>
              <w:pStyle w:val="Table-AnnualReport"/>
              <w:spacing w:before="60"/>
              <w:rPr>
                <w:sz w:val="20"/>
                <w:szCs w:val="20"/>
              </w:rPr>
            </w:pPr>
            <w:r w:rsidRPr="007E5614">
              <w:rPr>
                <w:i/>
                <w:sz w:val="20"/>
                <w:szCs w:val="20"/>
              </w:rPr>
              <w:t>Patients First</w:t>
            </w:r>
            <w:r w:rsidRPr="007E5614">
              <w:rPr>
                <w:sz w:val="20"/>
                <w:szCs w:val="20"/>
              </w:rPr>
              <w:t xml:space="preserve"> Report (with the THS)</w:t>
            </w:r>
          </w:p>
        </w:tc>
        <w:tc>
          <w:tcPr>
            <w:tcW w:w="1417" w:type="dxa"/>
            <w:vAlign w:val="center"/>
          </w:tcPr>
          <w:p w:rsidR="00164535" w:rsidRPr="007E5614" w:rsidRDefault="00164535" w:rsidP="00666795">
            <w:pPr>
              <w:pStyle w:val="Table-AnnualReport"/>
              <w:spacing w:before="60"/>
              <w:jc w:val="right"/>
              <w:rPr>
                <w:sz w:val="20"/>
                <w:szCs w:val="20"/>
              </w:rPr>
            </w:pPr>
            <w:r w:rsidRPr="007E5614">
              <w:rPr>
                <w:sz w:val="20"/>
                <w:szCs w:val="20"/>
              </w:rPr>
              <w:t>2016</w:t>
            </w:r>
          </w:p>
        </w:tc>
      </w:tr>
    </w:tbl>
    <w:p w:rsidR="00164535" w:rsidRPr="007B551C" w:rsidRDefault="00164535" w:rsidP="007B551C">
      <w:pPr>
        <w:sectPr w:rsidR="00164535" w:rsidRPr="007B551C" w:rsidSect="00164535">
          <w:type w:val="continuous"/>
          <w:pgSz w:w="11906" w:h="16838" w:code="9"/>
          <w:pgMar w:top="907" w:right="1134" w:bottom="720" w:left="1134" w:header="709" w:footer="709" w:gutter="0"/>
          <w:cols w:space="708"/>
          <w:docGrid w:linePitch="360"/>
        </w:sectPr>
      </w:pPr>
    </w:p>
    <w:p w:rsidR="00164535" w:rsidRPr="007E5614" w:rsidRDefault="00164535" w:rsidP="00DF724A">
      <w:pPr>
        <w:pStyle w:val="Heading2"/>
      </w:pPr>
      <w:bookmarkStart w:id="250" w:name="_Toc461619326"/>
      <w:bookmarkStart w:id="251" w:name="_Toc465174246"/>
      <w:r w:rsidRPr="007E5614">
        <w:lastRenderedPageBreak/>
        <w:t>Disability Framework for Action</w:t>
      </w:r>
      <w:bookmarkEnd w:id="250"/>
      <w:bookmarkEnd w:id="251"/>
    </w:p>
    <w:p w:rsidR="00164535" w:rsidRDefault="00164535" w:rsidP="00164535"/>
    <w:p w:rsidR="00164535" w:rsidRPr="007E5614" w:rsidRDefault="00164535" w:rsidP="00164535">
      <w:r w:rsidRPr="007E5614">
        <w:t>In response to the</w:t>
      </w:r>
      <w:r w:rsidRPr="007E5614">
        <w:rPr>
          <w:i/>
        </w:rPr>
        <w:t xml:space="preserve"> National Disability Strategy 2010-2020</w:t>
      </w:r>
      <w:r w:rsidRPr="007E5614">
        <w:t>, Tasmania</w:t>
      </w:r>
      <w:r w:rsidRPr="007E5614">
        <w:rPr>
          <w:i/>
        </w:rPr>
        <w:t xml:space="preserve"> </w:t>
      </w:r>
      <w:r w:rsidRPr="007E5614">
        <w:t xml:space="preserve">has developed and implemented a framework which aims to embed the rights of people living with disability into the structures and processes of all </w:t>
      </w:r>
      <w:r>
        <w:t xml:space="preserve">State </w:t>
      </w:r>
      <w:r w:rsidRPr="007E5614">
        <w:t xml:space="preserve">Government agencies. This framework is the </w:t>
      </w:r>
      <w:r w:rsidRPr="007E5614">
        <w:rPr>
          <w:i/>
        </w:rPr>
        <w:t>Disability Framework for Action 2013–2017</w:t>
      </w:r>
      <w:r w:rsidRPr="007E5614">
        <w:t>.</w:t>
      </w:r>
    </w:p>
    <w:p w:rsidR="00164535" w:rsidRPr="007E5614" w:rsidRDefault="00164535" w:rsidP="00164535">
      <w:r w:rsidRPr="007E5614">
        <w:t xml:space="preserve">In accordance with the </w:t>
      </w:r>
      <w:r w:rsidRPr="007E5614">
        <w:rPr>
          <w:i/>
        </w:rPr>
        <w:t>Disability Framework for Action 2013–2017</w:t>
      </w:r>
      <w:r w:rsidRPr="007E5614">
        <w:t xml:space="preserve">, DHHS and the THS developed the </w:t>
      </w:r>
      <w:r w:rsidRPr="007E5614">
        <w:rPr>
          <w:i/>
        </w:rPr>
        <w:t>Disability Action Plan 2013</w:t>
      </w:r>
      <w:r w:rsidRPr="007E5614">
        <w:rPr>
          <w:i/>
        </w:rPr>
        <w:noBreakHyphen/>
        <w:t>2017</w:t>
      </w:r>
      <w:r w:rsidRPr="007E5614">
        <w:t xml:space="preserve">.  The Plan outlines initiatives which will help improve the lives of Tasmanians living with disability. </w:t>
      </w:r>
    </w:p>
    <w:p w:rsidR="00164535" w:rsidRPr="007E5614" w:rsidRDefault="00164535" w:rsidP="00164535">
      <w:r w:rsidRPr="007E5614">
        <w:t>In 2015-16, progress has been made under the Plan, with almost all actions either completed or underway.</w:t>
      </w:r>
    </w:p>
    <w:p w:rsidR="00164535" w:rsidRPr="007E5614" w:rsidRDefault="00164535" w:rsidP="00164535">
      <w:r w:rsidRPr="007E5614">
        <w:t>Key achievements over the last 12 months include:</w:t>
      </w:r>
    </w:p>
    <w:p w:rsidR="00164535" w:rsidRPr="007E5614" w:rsidRDefault="00164535" w:rsidP="00164535">
      <w:pPr>
        <w:numPr>
          <w:ilvl w:val="0"/>
          <w:numId w:val="15"/>
        </w:numPr>
        <w:tabs>
          <w:tab w:val="left" w:pos="567"/>
        </w:tabs>
        <w:spacing w:after="140" w:line="300" w:lineRule="atLeast"/>
        <w:ind w:left="567" w:hanging="567"/>
      </w:pPr>
      <w:proofErr w:type="gramStart"/>
      <w:r w:rsidRPr="007E5614">
        <w:t>Progressing</w:t>
      </w:r>
      <w:proofErr w:type="gramEnd"/>
      <w:r w:rsidRPr="007E5614">
        <w:t xml:space="preserve"> the NDIS. As at</w:t>
      </w:r>
      <w:r>
        <w:t xml:space="preserve"> </w:t>
      </w:r>
      <w:r w:rsidRPr="007E5614">
        <w:t>3</w:t>
      </w:r>
      <w:r>
        <w:t xml:space="preserve">0 June 2016 </w:t>
      </w:r>
      <w:r w:rsidRPr="007E5614">
        <w:t>1</w:t>
      </w:r>
      <w:r>
        <w:t> 0</w:t>
      </w:r>
      <w:r w:rsidRPr="007E5614">
        <w:t>35 NDIS participants</w:t>
      </w:r>
      <w:r>
        <w:t xml:space="preserve"> had transitioned into the scheme with</w:t>
      </w:r>
      <w:r w:rsidRPr="007E5614">
        <w:t xml:space="preserve"> funded and approved plans in Tasmania, </w:t>
      </w:r>
      <w:r>
        <w:t>exceeding the bilaterally agreed target for 2016</w:t>
      </w:r>
      <w:r w:rsidRPr="007E5614">
        <w:t xml:space="preserve">. A collaborative working relationship between the Government, </w:t>
      </w:r>
      <w:r>
        <w:t xml:space="preserve">the </w:t>
      </w:r>
      <w:r w:rsidRPr="007E5614">
        <w:t>National Disability Insurance Agency (NDIA) and the disability sector is a major factor in this success.</w:t>
      </w:r>
    </w:p>
    <w:p w:rsidR="00164535" w:rsidRPr="007E5614" w:rsidRDefault="00164535" w:rsidP="00164535">
      <w:pPr>
        <w:numPr>
          <w:ilvl w:val="0"/>
          <w:numId w:val="15"/>
        </w:numPr>
        <w:tabs>
          <w:tab w:val="left" w:pos="567"/>
        </w:tabs>
        <w:spacing w:after="140" w:line="300" w:lineRule="atLeast"/>
        <w:ind w:left="567" w:hanging="567"/>
      </w:pPr>
      <w:r w:rsidRPr="007E5614">
        <w:t xml:space="preserve">The </w:t>
      </w:r>
      <w:r w:rsidRPr="007E5614">
        <w:rPr>
          <w:i/>
        </w:rPr>
        <w:t xml:space="preserve">Affordable Housing Strategy </w:t>
      </w:r>
      <w:r w:rsidRPr="007E5614">
        <w:t>was released in September 2015, which incorporates strategies specific to individuals with disability, ensuring we meet the needs of clients today and meet their chan</w:t>
      </w:r>
      <w:r>
        <w:t>ging needs over their lifetime.</w:t>
      </w:r>
    </w:p>
    <w:p w:rsidR="00164535" w:rsidRPr="007E5614" w:rsidRDefault="00164535" w:rsidP="00164535">
      <w:pPr>
        <w:numPr>
          <w:ilvl w:val="0"/>
          <w:numId w:val="15"/>
        </w:numPr>
        <w:tabs>
          <w:tab w:val="left" w:pos="567"/>
        </w:tabs>
        <w:spacing w:after="140" w:line="300" w:lineRule="atLeast"/>
        <w:ind w:left="567" w:hanging="567"/>
      </w:pPr>
      <w:r w:rsidRPr="007E5614">
        <w:br w:type="column"/>
      </w:r>
      <w:r w:rsidRPr="007E5614">
        <w:lastRenderedPageBreak/>
        <w:t>The refurbishment of properties to meet Platinum or Gold standard set out in the Liv</w:t>
      </w:r>
      <w:r>
        <w:t>e</w:t>
      </w:r>
      <w:r w:rsidRPr="007E5614">
        <w:t>able Housing Design Guidelines, and new properties being purchased or built for people living with disability, which will be completed during 2016-17.</w:t>
      </w:r>
      <w:r>
        <w:t xml:space="preserve"> </w:t>
      </w:r>
      <w:r w:rsidRPr="007E5614">
        <w:t>The development of Trinity H</w:t>
      </w:r>
      <w:r>
        <w:t>i</w:t>
      </w:r>
      <w:r w:rsidRPr="007E5614">
        <w:t xml:space="preserve">ll youth accommodation units to provide independent and supported housing for vulnerable young people, including those living with disability. More information on Trinity Hill is available in the case study </w:t>
      </w:r>
      <w:r>
        <w:t>as detailed in the ‘Key Achievements 2015-16’ section</w:t>
      </w:r>
      <w:r w:rsidRPr="007E5614">
        <w:t xml:space="preserve">. </w:t>
      </w:r>
    </w:p>
    <w:p w:rsidR="00164535" w:rsidRDefault="00164535" w:rsidP="00164535">
      <w:r w:rsidRPr="007E5614">
        <w:t xml:space="preserve">DHHS will continue to work together </w:t>
      </w:r>
      <w:r>
        <w:t>in 2016</w:t>
      </w:r>
      <w:r>
        <w:noBreakHyphen/>
      </w:r>
      <w:r w:rsidRPr="007E5614">
        <w:t xml:space="preserve">17 to ensure the actions set out in the </w:t>
      </w:r>
      <w:r w:rsidRPr="007E5614">
        <w:rPr>
          <w:i/>
        </w:rPr>
        <w:t>Disability Action Plan 2013</w:t>
      </w:r>
      <w:r w:rsidRPr="007E5614">
        <w:rPr>
          <w:i/>
        </w:rPr>
        <w:noBreakHyphen/>
        <w:t>2017</w:t>
      </w:r>
      <w:r w:rsidRPr="007E5614">
        <w:t xml:space="preserve"> are met.</w:t>
      </w:r>
    </w:p>
    <w:p w:rsidR="00164535" w:rsidRDefault="00164535" w:rsidP="00164535">
      <w:pPr>
        <w:sectPr w:rsidR="00164535" w:rsidSect="00164535">
          <w:pgSz w:w="11906" w:h="16838"/>
          <w:pgMar w:top="851" w:right="1274" w:bottom="567" w:left="1440" w:header="708" w:footer="708" w:gutter="0"/>
          <w:cols w:num="2" w:space="708"/>
          <w:docGrid w:linePitch="360"/>
        </w:sectPr>
      </w:pPr>
    </w:p>
    <w:p w:rsidR="00164535" w:rsidRDefault="00164535" w:rsidP="00164535">
      <w:pPr>
        <w:pStyle w:val="Heading2"/>
      </w:pPr>
      <w:bookmarkStart w:id="252" w:name="_Toc461619327"/>
      <w:bookmarkStart w:id="253" w:name="_Toc465174247"/>
      <w:r w:rsidRPr="007E5614">
        <w:lastRenderedPageBreak/>
        <w:t>Key Achievements 2015-16</w:t>
      </w:r>
      <w:bookmarkEnd w:id="252"/>
      <w:bookmarkEnd w:id="253"/>
    </w:p>
    <w:p w:rsidR="00164535" w:rsidRPr="00164535" w:rsidRDefault="00164535" w:rsidP="00164535"/>
    <w:p w:rsidR="00164535" w:rsidRPr="007E5614" w:rsidRDefault="00164535" w:rsidP="00164535">
      <w:r w:rsidRPr="007E5614">
        <w:t>It has been a</w:t>
      </w:r>
      <w:r>
        <w:t>nother</w:t>
      </w:r>
      <w:r w:rsidRPr="007E5614">
        <w:t xml:space="preserve"> year of change for DHHS in 2015-16</w:t>
      </w:r>
      <w:r>
        <w:t>, but also one of consolidation of reforms commenced two years ago</w:t>
      </w:r>
      <w:r w:rsidRPr="007E5614">
        <w:t>. We have worked hard to progress the important reform priorities the Government has set for us across a number of areas, while maintaining and striving to improve our service delivery and system management roles to best serve the Tasmanian community.</w:t>
      </w:r>
    </w:p>
    <w:p w:rsidR="00164535" w:rsidRPr="007E5614" w:rsidRDefault="00164535" w:rsidP="00164535">
      <w:r w:rsidRPr="007E5614">
        <w:t xml:space="preserve">We have progressed important work to support and protect the most vulnerable in our community; implemented actions to respond to family violence; provided more housing for Tasmanians in need; and worked to improve the health and wellbeing of all Tasmanians. Some of our key achievements </w:t>
      </w:r>
      <w:r>
        <w:t>du</w:t>
      </w:r>
      <w:r w:rsidRPr="007E5614">
        <w:t>r</w:t>
      </w:r>
      <w:r>
        <w:t>ing</w:t>
      </w:r>
      <w:r w:rsidRPr="007E5614">
        <w:t xml:space="preserve"> 2015-16 are outlined below.</w:t>
      </w:r>
    </w:p>
    <w:p w:rsidR="00164535" w:rsidRPr="007E5614" w:rsidRDefault="00164535" w:rsidP="00164535">
      <w:pPr>
        <w:pStyle w:val="Heading3"/>
      </w:pPr>
      <w:r w:rsidRPr="007E5614">
        <w:t xml:space="preserve">Continuing implementation of a redesigned health and human services system </w:t>
      </w:r>
    </w:p>
    <w:p w:rsidR="00164535" w:rsidRPr="007E5614" w:rsidRDefault="00164535" w:rsidP="00164535">
      <w:r w:rsidRPr="007E5614">
        <w:t xml:space="preserve">In 2015-16, DHHS </w:t>
      </w:r>
      <w:proofErr w:type="gramStart"/>
      <w:r w:rsidRPr="007E5614">
        <w:t>progressed</w:t>
      </w:r>
      <w:proofErr w:type="gramEnd"/>
      <w:r w:rsidRPr="007E5614">
        <w:t xml:space="preserve"> significant work on a number of reforms designed to support better outcomes in Tasmania’s health and human services systems.</w:t>
      </w:r>
    </w:p>
    <w:p w:rsidR="00164535" w:rsidRPr="007E5614" w:rsidRDefault="00164535" w:rsidP="00164535">
      <w:r w:rsidRPr="007E5614">
        <w:t xml:space="preserve">The THS was established on 1 July 2015 with the transition of the three regional THOs into a single </w:t>
      </w:r>
      <w:proofErr w:type="spellStart"/>
      <w:r w:rsidRPr="007E5614">
        <w:t>statewide</w:t>
      </w:r>
      <w:proofErr w:type="spellEnd"/>
      <w:r w:rsidRPr="007E5614">
        <w:t xml:space="preserve"> service. Work on health system reform has continued to be progressed collaboratively between DHHS (as service purchaser and system manager) and the THS.</w:t>
      </w:r>
    </w:p>
    <w:p w:rsidR="00164535" w:rsidRDefault="00164535" w:rsidP="00164535">
      <w:r w:rsidRPr="007E5614">
        <w:t>Led by the CEO, the primary role of the THS is to provide and coordinate health services and health support services across Tasmania. These services are provided in a range of inpatient, outpatient, community health, residential aged care and in-home settings.</w:t>
      </w:r>
    </w:p>
    <w:p w:rsidR="00164535" w:rsidRPr="007E5614" w:rsidRDefault="00164535" w:rsidP="00164535">
      <w:r w:rsidRPr="007E5614">
        <w:t xml:space="preserve">Services delivered by the THS include acute, subacute, emergency, non-admitted, primary health care, palliative care, oral health, cancer screening, mental health and alcohol and drug services. The services provided are flexible enough to provide an integrated, holistic and </w:t>
      </w:r>
      <w:r w:rsidRPr="007E5614">
        <w:lastRenderedPageBreak/>
        <w:t>patient-centred approach to health care delivery</w:t>
      </w:r>
      <w:r>
        <w:t>.</w:t>
      </w:r>
    </w:p>
    <w:p w:rsidR="00164535" w:rsidRPr="007E5614" w:rsidRDefault="00164535" w:rsidP="00164535">
      <w:r w:rsidRPr="007E5614">
        <w:t xml:space="preserve">We worked with the THS in 2015-16 on continued implementation of the </w:t>
      </w:r>
      <w:r w:rsidRPr="007E5614">
        <w:rPr>
          <w:i/>
        </w:rPr>
        <w:t>One State, One Health System, Better Outcomes</w:t>
      </w:r>
      <w:r w:rsidRPr="007E5614">
        <w:t xml:space="preserve"> reform program (One Health System reforms), aiming to design a health system that functions effectively as a true </w:t>
      </w:r>
      <w:proofErr w:type="spellStart"/>
      <w:r w:rsidRPr="007E5614">
        <w:t>statewide</w:t>
      </w:r>
      <w:proofErr w:type="spellEnd"/>
      <w:r w:rsidRPr="007E5614">
        <w:t xml:space="preserve"> service. Achievements in 2015-16 include the opening of the new North West Cancer Centre in Burnie and commencement of the development of </w:t>
      </w:r>
      <w:proofErr w:type="spellStart"/>
      <w:r w:rsidRPr="007E5614">
        <w:t>statewide</w:t>
      </w:r>
      <w:proofErr w:type="spellEnd"/>
      <w:r w:rsidRPr="007E5614">
        <w:t xml:space="preserve"> service delivery models for 41 clinical services areas. </w:t>
      </w:r>
    </w:p>
    <w:p w:rsidR="00164535" w:rsidRPr="007E5614" w:rsidRDefault="00164535" w:rsidP="00164535">
      <w:r w:rsidRPr="007E5614">
        <w:t xml:space="preserve">Several initiatives to improve ambulance services also progressed in 2015-16, as part of broader measures to better support patient transport, accommodation and care coordination. Further information is available in the case study </w:t>
      </w:r>
      <w:r>
        <w:t>on additional investment in ambulance services later in this section</w:t>
      </w:r>
      <w:r w:rsidRPr="007E5614">
        <w:t>.</w:t>
      </w:r>
    </w:p>
    <w:p w:rsidR="00164535" w:rsidRPr="007E5614" w:rsidRDefault="00164535" w:rsidP="00164535">
      <w:pPr>
        <w:rPr>
          <w:i/>
          <w:iCs/>
        </w:rPr>
      </w:pPr>
      <w:r w:rsidRPr="007E5614">
        <w:t xml:space="preserve">The </w:t>
      </w:r>
      <w:r w:rsidRPr="007E5614">
        <w:rPr>
          <w:i/>
          <w:iCs/>
        </w:rPr>
        <w:t>Rethink Mental Health: Better Mental Health and Wellbeing – A Long-Term Plan for Mental Health in Tasmania 2015</w:t>
      </w:r>
      <w:r w:rsidRPr="007E5614">
        <w:rPr>
          <w:i/>
          <w:iCs/>
        </w:rPr>
        <w:noBreakHyphen/>
        <w:t xml:space="preserve">2025 </w:t>
      </w:r>
      <w:r w:rsidRPr="007E5614">
        <w:t>(the</w:t>
      </w:r>
      <w:r w:rsidRPr="007E5614">
        <w:rPr>
          <w:i/>
          <w:iCs/>
        </w:rPr>
        <w:t xml:space="preserve"> </w:t>
      </w:r>
      <w:r w:rsidRPr="007E5614">
        <w:rPr>
          <w:i/>
        </w:rPr>
        <w:t xml:space="preserve">Rethink Mental Health </w:t>
      </w:r>
      <w:r w:rsidRPr="007E5614">
        <w:t xml:space="preserve">Plan) was launched in October 2015.  This is a long-term plan to deliver a coordinated and integrated mental health system and improve the mental health and wellbeing of Tasmanians. The </w:t>
      </w:r>
      <w:r w:rsidRPr="007E5614">
        <w:rPr>
          <w:i/>
        </w:rPr>
        <w:t>Rethink Mental Health</w:t>
      </w:r>
      <w:r w:rsidRPr="007E5614">
        <w:t xml:space="preserve"> Plan brings together actions to strengthen mental health promotion, prevention and early intervention, and to improve care and support for people with mental illness, their families and carers. </w:t>
      </w:r>
    </w:p>
    <w:p w:rsidR="00164535" w:rsidRPr="007E5614" w:rsidRDefault="00164535" w:rsidP="00164535">
      <w:r w:rsidRPr="007E5614">
        <w:t xml:space="preserve">Consistent with the </w:t>
      </w:r>
      <w:r w:rsidRPr="007E5614">
        <w:rPr>
          <w:i/>
        </w:rPr>
        <w:t>Rethink Mental Health</w:t>
      </w:r>
      <w:r w:rsidRPr="007E5614">
        <w:t xml:space="preserve"> Plan, the Government launched three key documents in March 2016:</w:t>
      </w:r>
    </w:p>
    <w:p w:rsidR="00164535" w:rsidRPr="007E5614" w:rsidRDefault="00164535" w:rsidP="00164535">
      <w:pPr>
        <w:numPr>
          <w:ilvl w:val="0"/>
          <w:numId w:val="16"/>
        </w:numPr>
        <w:spacing w:after="140" w:line="300" w:lineRule="atLeast"/>
        <w:ind w:left="567" w:hanging="567"/>
      </w:pPr>
      <w:r w:rsidRPr="007E5614">
        <w:t>the Tasmanian Suicide Prevention Strategy 2016-2020</w:t>
      </w:r>
    </w:p>
    <w:p w:rsidR="00164535" w:rsidRPr="007E5614" w:rsidRDefault="00164535" w:rsidP="00164535">
      <w:pPr>
        <w:numPr>
          <w:ilvl w:val="0"/>
          <w:numId w:val="16"/>
        </w:numPr>
        <w:spacing w:after="140" w:line="300" w:lineRule="atLeast"/>
        <w:ind w:left="567" w:hanging="567"/>
      </w:pPr>
      <w:r w:rsidRPr="007E5614">
        <w:t>the Youth Suicide Prevention Plan for Tasmania 2016-2020, and</w:t>
      </w:r>
    </w:p>
    <w:p w:rsidR="00164535" w:rsidRPr="007E5614" w:rsidRDefault="00164535" w:rsidP="00164535">
      <w:pPr>
        <w:numPr>
          <w:ilvl w:val="0"/>
          <w:numId w:val="16"/>
        </w:numPr>
        <w:spacing w:after="140" w:line="300" w:lineRule="atLeast"/>
        <w:ind w:left="567" w:hanging="567"/>
      </w:pPr>
      <w:proofErr w:type="gramStart"/>
      <w:r w:rsidRPr="007E5614">
        <w:t>the</w:t>
      </w:r>
      <w:proofErr w:type="gramEnd"/>
      <w:r w:rsidRPr="007E5614">
        <w:t xml:space="preserve"> Suicide Prevention Workforce Development and Training Plan for Tasmania 2016-2020.</w:t>
      </w:r>
    </w:p>
    <w:p w:rsidR="00164535" w:rsidRPr="007E5614" w:rsidRDefault="00164535" w:rsidP="00164535">
      <w:r w:rsidRPr="007E5614">
        <w:t xml:space="preserve">These documents recognise the specific knowledge, services and resources that exist in </w:t>
      </w:r>
      <w:r w:rsidRPr="007E5614">
        <w:lastRenderedPageBreak/>
        <w:t xml:space="preserve">Tasmania and have been developed to align with the health system and broader mental health reforms, detailed in the </w:t>
      </w:r>
      <w:r w:rsidRPr="007E5614">
        <w:rPr>
          <w:i/>
        </w:rPr>
        <w:t xml:space="preserve">Rethink Mental Health </w:t>
      </w:r>
      <w:r w:rsidRPr="007E5614">
        <w:t>Plan. The strategy documents demonstrate a renewed focus and commitment to suicide prevention and aim to reduce suicide, suicidal behaviour and its impacts in Tasmania.</w:t>
      </w:r>
    </w:p>
    <w:p w:rsidR="00164535" w:rsidRPr="00BC030F" w:rsidRDefault="00164535" w:rsidP="00164535">
      <w:r>
        <w:t>T</w:t>
      </w:r>
      <w:r w:rsidRPr="007E5614">
        <w:t>he Government announced a comprehensive redesign o</w:t>
      </w:r>
      <w:r>
        <w:t xml:space="preserve">f CPS in Tasmania in August 2015, resulting in the </w:t>
      </w:r>
      <w:r w:rsidRPr="007E5614">
        <w:t>Strong Families – Safe Kids Implementation Plan</w:t>
      </w:r>
      <w:r>
        <w:t xml:space="preserve"> published in May 2016. This</w:t>
      </w:r>
      <w:r w:rsidRPr="007E5614">
        <w:t xml:space="preserve"> is a comprehensive strategy that will reposition CPS as part of a broader child and family service system and recognise the role that government and the community has in keeping children safe and well, as well as the need to support families to meet their obligations as primary carers for children.  </w:t>
      </w:r>
    </w:p>
    <w:p w:rsidR="00164535" w:rsidRPr="007E5614" w:rsidRDefault="00164535" w:rsidP="00164535">
      <w:pPr>
        <w:rPr>
          <w:i/>
        </w:rPr>
      </w:pPr>
      <w:r w:rsidRPr="007E5614">
        <w:t>Strong Families – Safe Kids will deliver a more integrated and professionally capable system for the protection of children, with a strong focus on building strength in children and families.  It emphasises the need to protect children at high risk, but also ensures a range of integrated government, community support and intervention services to build support for families and children experiencing adverse circumstances so the potential for long-term harm is reduced.</w:t>
      </w:r>
    </w:p>
    <w:p w:rsidR="00164535" w:rsidRDefault="00164535" w:rsidP="00164535">
      <w:r w:rsidRPr="007E5614">
        <w:t>The reforms are a fundamental change in the way that child protection services are delivered in Tasmania. The measures will support our child protection workers to do their job and create a stronger and safer future for Tasmania's children and young people.</w:t>
      </w:r>
    </w:p>
    <w:p w:rsidR="00164535" w:rsidRPr="007E5614" w:rsidRDefault="00164535" w:rsidP="00164535">
      <w:r w:rsidRPr="00501017">
        <w:t>DHHS has continued to support the phasing in of the N</w:t>
      </w:r>
      <w:r>
        <w:t xml:space="preserve">DIS </w:t>
      </w:r>
      <w:r w:rsidRPr="00501017">
        <w:t xml:space="preserve">in 2015-16. The Bilateral Agreement for transition to the full NDIS was signed by the </w:t>
      </w:r>
      <w:r>
        <w:t>Tasmanian and Australian governments on 11 December </w:t>
      </w:r>
      <w:r w:rsidRPr="00501017">
        <w:t>2015, which will guide the transition from the trial phase through to the full roll-out in July 2019. We will be continuing this work in 2016-17.</w:t>
      </w:r>
    </w:p>
    <w:p w:rsidR="00164535" w:rsidRPr="007E5614" w:rsidRDefault="00164535" w:rsidP="00164535">
      <w:pPr>
        <w:pStyle w:val="Heading3"/>
      </w:pPr>
      <w:r w:rsidRPr="007E5614">
        <w:lastRenderedPageBreak/>
        <w:t>Delivering the Government’s reform agenda</w:t>
      </w:r>
    </w:p>
    <w:p w:rsidR="00164535" w:rsidRPr="007E5614" w:rsidRDefault="00164535" w:rsidP="00164535">
      <w:r w:rsidRPr="007E5614">
        <w:t xml:space="preserve">In addition to those initiatives discussed above, DHHS has worked to progress the Government’s broader reform agenda in </w:t>
      </w:r>
      <w:r w:rsidRPr="007E5614">
        <w:br/>
        <w:t xml:space="preserve">2015-16, which has included deliverables under </w:t>
      </w:r>
      <w:r w:rsidRPr="007E5614">
        <w:rPr>
          <w:i/>
        </w:rPr>
        <w:t>Our Plan for the Next 365 Days</w:t>
      </w:r>
      <w:r w:rsidRPr="007E5614">
        <w:t xml:space="preserve">, and, from March 2016, </w:t>
      </w:r>
      <w:r w:rsidRPr="007E5614">
        <w:rPr>
          <w:i/>
        </w:rPr>
        <w:t>Agenda 2016</w:t>
      </w:r>
      <w:r w:rsidRPr="007E5614">
        <w:t>. DHHS has had, and continues to have, key initiatives to take forward as part of this program of work.</w:t>
      </w:r>
    </w:p>
    <w:p w:rsidR="00164535" w:rsidRPr="007E5614" w:rsidRDefault="00164535" w:rsidP="00164535">
      <w:r w:rsidRPr="007E5614">
        <w:t>The</w:t>
      </w:r>
      <w:r w:rsidRPr="007E5614">
        <w:rPr>
          <w:i/>
        </w:rPr>
        <w:t xml:space="preserve"> Affordable Housing Strategy </w:t>
      </w:r>
      <w:r w:rsidRPr="007E5614">
        <w:t xml:space="preserve">and </w:t>
      </w:r>
      <w:r w:rsidRPr="007E5614">
        <w:rPr>
          <w:i/>
        </w:rPr>
        <w:t xml:space="preserve">Affordable Housing Action Plan </w:t>
      </w:r>
      <w:r w:rsidRPr="007E5614">
        <w:t xml:space="preserve">were released in September 2015 to guide Tasmania’s efforts to improve housing affordability over the next 10 years. </w:t>
      </w:r>
    </w:p>
    <w:p w:rsidR="00164535" w:rsidRPr="007E5614" w:rsidRDefault="00164535" w:rsidP="00164535">
      <w:r w:rsidRPr="007E5614">
        <w:t xml:space="preserve">Implementation of the </w:t>
      </w:r>
      <w:r w:rsidRPr="007E5614">
        <w:rPr>
          <w:i/>
        </w:rPr>
        <w:t xml:space="preserve">Affordable Housing Action Plan </w:t>
      </w:r>
      <w:r w:rsidRPr="007E5614">
        <w:t xml:space="preserve">is underway and there has been significant progress on a number of activities. To the end of June 2016, </w:t>
      </w:r>
      <w:r>
        <w:t xml:space="preserve">under the </w:t>
      </w:r>
      <w:r>
        <w:rPr>
          <w:i/>
        </w:rPr>
        <w:t>Affordable Housing Action Plan</w:t>
      </w:r>
      <w:r>
        <w:t xml:space="preserve">, </w:t>
      </w:r>
      <w:r w:rsidRPr="007E5614">
        <w:t xml:space="preserve">140 new households </w:t>
      </w:r>
      <w:r>
        <w:t xml:space="preserve">have been assisted </w:t>
      </w:r>
      <w:r w:rsidRPr="007E5614">
        <w:t>to access safe and affordable housing. Some key achievements in 2015</w:t>
      </w:r>
      <w:r w:rsidRPr="007E5614">
        <w:noBreakHyphen/>
        <w:t>16 include:</w:t>
      </w:r>
    </w:p>
    <w:p w:rsidR="00164535" w:rsidRPr="007E5614" w:rsidRDefault="00164535" w:rsidP="00164535">
      <w:pPr>
        <w:numPr>
          <w:ilvl w:val="0"/>
          <w:numId w:val="16"/>
        </w:numPr>
        <w:spacing w:after="140" w:line="300" w:lineRule="atLeast"/>
        <w:ind w:left="567" w:hanging="567"/>
      </w:pPr>
      <w:r w:rsidRPr="007E5614">
        <w:t>HomeShare assisted 65 households into home ownership, including 14 public housing dwellings and the construction of 51 new homes</w:t>
      </w:r>
    </w:p>
    <w:p w:rsidR="00164535" w:rsidRPr="007E5614" w:rsidRDefault="00164535" w:rsidP="00164535">
      <w:pPr>
        <w:numPr>
          <w:ilvl w:val="0"/>
          <w:numId w:val="16"/>
        </w:numPr>
        <w:spacing w:after="140" w:line="300" w:lineRule="atLeast"/>
        <w:ind w:left="567" w:hanging="567"/>
      </w:pPr>
      <w:r w:rsidRPr="007E5614">
        <w:t>Streets Ahead assisted 38 households into home ownership, which is almost double the number assisted the previous year</w:t>
      </w:r>
    </w:p>
    <w:p w:rsidR="00164535" w:rsidRDefault="00164535" w:rsidP="00164535">
      <w:pPr>
        <w:numPr>
          <w:ilvl w:val="0"/>
          <w:numId w:val="16"/>
        </w:numPr>
        <w:spacing w:after="140" w:line="300" w:lineRule="atLeast"/>
        <w:ind w:left="567" w:hanging="567"/>
      </w:pPr>
      <w:r w:rsidRPr="007E5614">
        <w:t>around 350 sites have been identified for potential public housing redevelopment, and</w:t>
      </w:r>
    </w:p>
    <w:p w:rsidR="00164535" w:rsidRDefault="00164535" w:rsidP="00164535">
      <w:r>
        <w:br w:type="page"/>
      </w:r>
    </w:p>
    <w:p w:rsidR="00164535" w:rsidRPr="007E5614" w:rsidRDefault="00164535" w:rsidP="00164535">
      <w:pPr>
        <w:numPr>
          <w:ilvl w:val="0"/>
          <w:numId w:val="16"/>
        </w:numPr>
        <w:spacing w:after="140" w:line="300" w:lineRule="atLeast"/>
        <w:ind w:left="567" w:hanging="567"/>
      </w:pPr>
      <w:r w:rsidRPr="007E5614">
        <w:lastRenderedPageBreak/>
        <w:t xml:space="preserve">Trinity Hill Supported Youth Accommodation Facility was completed and 37 young people were living at the facility at the end of June 2016. The Trinity Hill case study </w:t>
      </w:r>
      <w:r>
        <w:t xml:space="preserve">in this section </w:t>
      </w:r>
      <w:r w:rsidRPr="007E5614">
        <w:t>provides more information.</w:t>
      </w:r>
    </w:p>
    <w:p w:rsidR="00164535" w:rsidRPr="007E5614" w:rsidRDefault="00164535" w:rsidP="00164535">
      <w:r w:rsidRPr="007E5614">
        <w:t xml:space="preserve">Concurrently, legislative amendments to the </w:t>
      </w:r>
      <w:r w:rsidRPr="007E5614">
        <w:rPr>
          <w:i/>
        </w:rPr>
        <w:t xml:space="preserve">Homes Act 1935 </w:t>
      </w:r>
      <w:r w:rsidRPr="007E5614">
        <w:t xml:space="preserve">and the </w:t>
      </w:r>
      <w:r w:rsidRPr="007E5614">
        <w:rPr>
          <w:i/>
        </w:rPr>
        <w:t xml:space="preserve">Residential Tenancy Act 1997 </w:t>
      </w:r>
      <w:r w:rsidRPr="007E5614">
        <w:t>were passed in</w:t>
      </w:r>
      <w:r>
        <w:t xml:space="preserve"> </w:t>
      </w:r>
      <w:r w:rsidRPr="007E5614">
        <w:t>May 2016. The changes allow the Director of Housing to lease, transfer or sell homes and land to housing providers and housing support providers. This will support the Tasmanian Government to progress the Community Housing Stock Leverage Program under the Strategy, allowing community housing organisations to leverage additional borrowing capacity to increase housing supply.</w:t>
      </w:r>
    </w:p>
    <w:p w:rsidR="00164535" w:rsidRPr="007E5614" w:rsidRDefault="00164535" w:rsidP="00164535">
      <w:r w:rsidRPr="007E5614">
        <w:t xml:space="preserve">DHHS has worked hard in 2015-16 to progress initiatives responding to family violence, and has responsibility for implementing five actions under </w:t>
      </w:r>
      <w:r w:rsidRPr="007E5614">
        <w:rPr>
          <w:i/>
        </w:rPr>
        <w:t>Safe Homes, Safe Families</w:t>
      </w:r>
      <w:r w:rsidRPr="007E5614">
        <w:t>.</w:t>
      </w:r>
    </w:p>
    <w:p w:rsidR="00164535" w:rsidRPr="007E5614" w:rsidRDefault="00164535" w:rsidP="00164535">
      <w:r w:rsidRPr="007E5614">
        <w:t xml:space="preserve">We are improving access to counselling services for children and young people who have experienced family violence, in partnership with non-government organisations. Additional services were provided by </w:t>
      </w:r>
      <w:proofErr w:type="spellStart"/>
      <w:r w:rsidRPr="007E5614">
        <w:t>CatholicCare</w:t>
      </w:r>
      <w:proofErr w:type="spellEnd"/>
      <w:r w:rsidRPr="007E5614">
        <w:t xml:space="preserve"> for </w:t>
      </w:r>
      <w:proofErr w:type="spellStart"/>
      <w:r w:rsidRPr="007E5614">
        <w:t>statewide</w:t>
      </w:r>
      <w:proofErr w:type="spellEnd"/>
      <w:r w:rsidRPr="007E5614">
        <w:t xml:space="preserve"> counselling services to children, which reduced the Children and Young People’s Program wait list. In June 2016, the Australian Childhood Foundation was announced as the successful provider of </w:t>
      </w:r>
      <w:r>
        <w:t xml:space="preserve">additional </w:t>
      </w:r>
      <w:r w:rsidRPr="007E5614">
        <w:t>counselling services for children and young people a</w:t>
      </w:r>
      <w:r>
        <w:t>cross the S</w:t>
      </w:r>
      <w:r w:rsidRPr="007E5614">
        <w:t>tate.</w:t>
      </w:r>
    </w:p>
    <w:p w:rsidR="00164535" w:rsidRPr="007E5614" w:rsidRDefault="00164535" w:rsidP="00164535">
      <w:r w:rsidRPr="007E5614">
        <w:t xml:space="preserve">Support Help Empowerment (SHE), Huon Domestic Violence Service, </w:t>
      </w:r>
      <w:proofErr w:type="spellStart"/>
      <w:r w:rsidRPr="007E5614">
        <w:t>Yemaya</w:t>
      </w:r>
      <w:proofErr w:type="spellEnd"/>
      <w:r w:rsidRPr="007E5614">
        <w:t>, and Anglicare (for the RAIN Program in Burnie) were funded to increase capacity as an interim response to increased demand on adult family violence services.  SHE was announced in</w:t>
      </w:r>
      <w:r>
        <w:t xml:space="preserve"> June </w:t>
      </w:r>
      <w:r w:rsidRPr="007E5614">
        <w:t xml:space="preserve">2016 as the successful provider for </w:t>
      </w:r>
      <w:proofErr w:type="spellStart"/>
      <w:r w:rsidRPr="007E5614">
        <w:t>statewide</w:t>
      </w:r>
      <w:proofErr w:type="spellEnd"/>
      <w:r w:rsidRPr="007E5614">
        <w:t xml:space="preserve"> counselling services for adults experiencing family violence and supporting groups of people within the community at higher risk of experiencing family violence, including women with disability, women from </w:t>
      </w:r>
      <w:r w:rsidRPr="007E5614">
        <w:lastRenderedPageBreak/>
        <w:t>culturally and linguistically diverse backgrounds and Aboriginal women.</w:t>
      </w:r>
    </w:p>
    <w:p w:rsidR="00164535" w:rsidRPr="007E5614" w:rsidRDefault="00164535" w:rsidP="00164535">
      <w:r w:rsidRPr="007E5614">
        <w:t>In 2015-16, the new Rapid Rehousing initiative commenced in Tasmania to provide safe and supported housing in the private rental market for families and individuals escaping family violence. Enabling legislation was passed and nine homes were acquired providing practical assistance to address the immediate needs of these families and individuals.</w:t>
      </w:r>
    </w:p>
    <w:p w:rsidR="00164535" w:rsidRPr="007E5614" w:rsidRDefault="00164535" w:rsidP="00164535">
      <w:r w:rsidRPr="007E5614">
        <w:t xml:space="preserve">Also within the Department’s responsibilities under the </w:t>
      </w:r>
      <w:r w:rsidRPr="007E5614">
        <w:rPr>
          <w:i/>
        </w:rPr>
        <w:t>Family Violence Action Plan</w:t>
      </w:r>
      <w:r>
        <w:t>,</w:t>
      </w:r>
      <w:r w:rsidRPr="007E5614">
        <w:rPr>
          <w:i/>
        </w:rPr>
        <w:t xml:space="preserve"> </w:t>
      </w:r>
      <w:r w:rsidRPr="007E5614">
        <w:t>the THS has provided forensic medical examinations for victims of family violence, which began in April 2016. The pilot program, based at the RHH, undertakes forensic evaluation and documentation of injuries by a specialist forensic nurse examiner. The forensic nurse examiner can be called as an expert witness or supply a medico-legal report as evidence providing the justice system the best possible chance of convicting perpetrators of family violence.</w:t>
      </w:r>
    </w:p>
    <w:p w:rsidR="00164535" w:rsidRPr="007E5614" w:rsidRDefault="00164535" w:rsidP="00164535">
      <w:r w:rsidRPr="007E5614">
        <w:t xml:space="preserve">DHHS is working with the Hobart Women’s Shelter in providing dedicated crisis accommodation for women and women and their children affected by family violence.  A new site has been acquired in the South for women and their children who need housing and support to stabilise their crisis. This initiative will progress further in 2016-17. </w:t>
      </w:r>
    </w:p>
    <w:p w:rsidR="00164535" w:rsidRDefault="00164535" w:rsidP="00164535">
      <w:r w:rsidRPr="007E5614">
        <w:t>We have also been focused on preventative health in 2015-16, in line with the Government’s goal to make Tasmania the healthiest state in the country by 2025.</w:t>
      </w:r>
    </w:p>
    <w:p w:rsidR="00164535" w:rsidRPr="007E5614" w:rsidRDefault="00164535" w:rsidP="00164535">
      <w:r w:rsidRPr="007E5614">
        <w:t>The Healthy Tasmania Five Year Strategic Plan – Community Consultation Draft was released on 20 December 2015. The Tasmanian community was invited to respond to the Consultation Draft, and over 100 public submissions were received. The Health Council of Tasmania ran four community forums in February 2016, and DHHS subsequently ran four forums in conjunction with local councils.</w:t>
      </w:r>
    </w:p>
    <w:p w:rsidR="00164535" w:rsidRPr="007E5614" w:rsidRDefault="00164535" w:rsidP="00164535">
      <w:r w:rsidRPr="007E5614">
        <w:lastRenderedPageBreak/>
        <w:t>Other achievements in the preventative health space include PHS’ partnership with 26Ten to establish the Health Literacy Network. This collaboration aims to raise public awareness and to ensure health and community services make it as easy as possible for individuals and communities to access, understand and use information to make effective decisions about health and health care. The Health Literacy Network currently has 1</w:t>
      </w:r>
      <w:r>
        <w:t>57</w:t>
      </w:r>
      <w:r w:rsidRPr="007E5614">
        <w:t xml:space="preserve"> members from more than </w:t>
      </w:r>
      <w:r>
        <w:t>4</w:t>
      </w:r>
      <w:r w:rsidRPr="007E5614">
        <w:t xml:space="preserve">9 </w:t>
      </w:r>
      <w:r>
        <w:t xml:space="preserve">organisations </w:t>
      </w:r>
      <w:r w:rsidRPr="007E5614">
        <w:t>across Tasmania, and continues to grow. The Department’s Move Well Eat Well joint program with the Department of Education continued to grow in 2015-16, with 80 per cent of all schools and 80 per cent of all Long Day Care centres engaged with the program.</w:t>
      </w:r>
    </w:p>
    <w:p w:rsidR="00164535" w:rsidRPr="007E5614" w:rsidRDefault="00164535" w:rsidP="00164535">
      <w:r w:rsidRPr="007E5614">
        <w:t xml:space="preserve">Work continued in 2015-16 on the Joined </w:t>
      </w:r>
      <w:proofErr w:type="gramStart"/>
      <w:r w:rsidRPr="007E5614">
        <w:t>Up</w:t>
      </w:r>
      <w:proofErr w:type="gramEnd"/>
      <w:r w:rsidRPr="007E5614">
        <w:t xml:space="preserve"> Human Services Project, which is a long-term four staged approach to develop a joined up service system. It forms part of the Government’s long term vision for a better service experience for Tasmanians. </w:t>
      </w:r>
      <w:proofErr w:type="gramStart"/>
      <w:r w:rsidRPr="007E5614">
        <w:t>Efforts in 2015-16 included consultation and collaboration with the community sector and different government agencies to build a shared vision for a more joined up response to service system.</w:t>
      </w:r>
      <w:proofErr w:type="gramEnd"/>
      <w:r w:rsidRPr="007E5614">
        <w:t xml:space="preserve"> A dedicated project team continues to collaborate with the community sector to progress this work</w:t>
      </w:r>
      <w:r>
        <w:t>.</w:t>
      </w:r>
    </w:p>
    <w:p w:rsidR="00164535" w:rsidRDefault="00164535" w:rsidP="00164535"/>
    <w:p w:rsidR="00164535" w:rsidRPr="007E5614" w:rsidRDefault="00164535" w:rsidP="00164535">
      <w:pPr>
        <w:pStyle w:val="Heading3"/>
      </w:pPr>
      <w:r w:rsidRPr="007E5614">
        <w:t>Facilitating safe access to medicines</w:t>
      </w:r>
    </w:p>
    <w:p w:rsidR="00164535" w:rsidRPr="007E5614" w:rsidRDefault="00164535" w:rsidP="00164535">
      <w:r w:rsidRPr="007E5614">
        <w:t>In recognition of the support within the Tasmanian community for medical cannabis, and changes to national arrangements governing its cultivation, production, manufacture and possession, on 23 April 2016 the Tasmanian Government announced the introduction of a Controlled Access Scheme (CAS) for medical cannabis.</w:t>
      </w:r>
    </w:p>
    <w:p w:rsidR="00164535" w:rsidRPr="007E5614" w:rsidRDefault="00164535" w:rsidP="00164535">
      <w:r w:rsidRPr="007E5614">
        <w:t>The CAS will allow for Tasmanian medical specialists to prescribe medical cannabis products to their patients in certain circumstances where treatment with conventional medicines has been unsuccessful.</w:t>
      </w:r>
    </w:p>
    <w:p w:rsidR="00164535" w:rsidRPr="007E5614" w:rsidRDefault="00164535" w:rsidP="00164535">
      <w:r w:rsidRPr="007E5614">
        <w:lastRenderedPageBreak/>
        <w:t>DHHS is working to deliver a CAS which will achieve an appropriate balance between patient safety and providing access to medical cannabis products.</w:t>
      </w:r>
    </w:p>
    <w:p w:rsidR="00164535" w:rsidRPr="007E5614" w:rsidRDefault="00164535" w:rsidP="00164535">
      <w:pPr>
        <w:pStyle w:val="Heading3"/>
      </w:pPr>
      <w:r w:rsidRPr="007E5614">
        <w:t>Improving organisational governance and building our capabilities</w:t>
      </w:r>
    </w:p>
    <w:p w:rsidR="00164535" w:rsidRPr="007E5614" w:rsidRDefault="00164535" w:rsidP="00164535">
      <w:r w:rsidRPr="007E5614">
        <w:t xml:space="preserve">As highlighted earlier, DHHS has undergone significant organisational change in 2015-16, implementing the recommendations of the organisational review completed in 2014-15. This has involved restructuring of the Department’s corporate functions to create a more efficient and effective service delivery model with clear frameworks to support the operational functions of DHHS. Implementation of the review’s recommendations </w:t>
      </w:r>
      <w:r>
        <w:t>is</w:t>
      </w:r>
      <w:r w:rsidRPr="007E5614">
        <w:t xml:space="preserve"> </w:t>
      </w:r>
      <w:proofErr w:type="gramStart"/>
      <w:r w:rsidRPr="007E5614">
        <w:t>ongoing,</w:t>
      </w:r>
      <w:proofErr w:type="gramEnd"/>
      <w:r w:rsidRPr="007E5614">
        <w:t xml:space="preserve"> recognising the way we deliver our corporate functions, and how we are structured and operate, will always be subject to ongoing refinement and improvement.</w:t>
      </w:r>
    </w:p>
    <w:p w:rsidR="00164535" w:rsidRPr="007E5614" w:rsidRDefault="00164535" w:rsidP="00164535">
      <w:r w:rsidRPr="007E5614">
        <w:t>In recognition of the number of major reform projects with a whole-of-agency or whole-of-government opportunities that DHHS has responsibility for delivering, a new Major Projects Framework was introduced in 2015-16 to enhance our capability to manage strategic projects. The Framework is discussed in more detail in the case study</w:t>
      </w:r>
      <w:r>
        <w:t xml:space="preserve"> later in this section</w:t>
      </w:r>
      <w:r w:rsidRPr="007E5614">
        <w:t xml:space="preserve">. </w:t>
      </w:r>
    </w:p>
    <w:p w:rsidR="00164535" w:rsidRPr="007E5614" w:rsidRDefault="00164535" w:rsidP="00164535">
      <w:r w:rsidRPr="007E5614">
        <w:t xml:space="preserve">DHHS undertook several initiatives in 2015-16 to strengthen our focus and approaches to risk management, with a view to embedding risk approaches within our day-to-day business. We also commenced the development of a new corporate plan in 2015-16 to set the strategic direction for DHHS over the next two years. </w:t>
      </w:r>
    </w:p>
    <w:p w:rsidR="00164535" w:rsidRDefault="00164535" w:rsidP="00164535">
      <w:r w:rsidRPr="007E5614">
        <w:t>More information on the Department’s approach to risk management and development of the new Corporate Plan is available in the Corporate Governance and Risk Management section i</w:t>
      </w:r>
      <w:r>
        <w:t>n Part 2 of this Annual Report.</w:t>
      </w:r>
      <w:r w:rsidRPr="007E5614">
        <w:t xml:space="preserve"> </w:t>
      </w:r>
    </w:p>
    <w:p w:rsidR="00164535" w:rsidRDefault="00164535" w:rsidP="00164535"/>
    <w:p w:rsidR="00164535" w:rsidRDefault="00164535" w:rsidP="00164535">
      <w:pPr>
        <w:sectPr w:rsidR="00164535" w:rsidSect="00164535">
          <w:pgSz w:w="11906" w:h="16838"/>
          <w:pgMar w:top="851" w:right="1274" w:bottom="567" w:left="1440" w:header="708" w:footer="708" w:gutter="0"/>
          <w:cols w:num="2" w:space="708"/>
          <w:docGrid w:linePitch="360"/>
        </w:sectPr>
      </w:pPr>
    </w:p>
    <w:p w:rsidR="00164535" w:rsidRDefault="00164535" w:rsidP="00DF724A">
      <w:pPr>
        <w:pStyle w:val="Heading3"/>
      </w:pPr>
      <w:r>
        <w:lastRenderedPageBreak/>
        <w:t>Case Study</w:t>
      </w:r>
    </w:p>
    <w:p w:rsidR="00164535" w:rsidRDefault="00164535" w:rsidP="00DF724A">
      <w:pPr>
        <w:pStyle w:val="Heading3"/>
        <w:sectPr w:rsidR="00164535" w:rsidSect="00164535">
          <w:pgSz w:w="11906" w:h="16838"/>
          <w:pgMar w:top="851" w:right="1274" w:bottom="567" w:left="1440" w:header="708" w:footer="708" w:gutter="0"/>
          <w:cols w:num="2" w:space="708"/>
          <w:docGrid w:linePitch="360"/>
        </w:sectPr>
      </w:pPr>
    </w:p>
    <w:p w:rsidR="00164535" w:rsidRDefault="00164535" w:rsidP="00164535"/>
    <w:p w:rsidR="00164535" w:rsidRPr="007E5614" w:rsidRDefault="00164535" w:rsidP="00DF724A">
      <w:pPr>
        <w:pStyle w:val="Heading4"/>
      </w:pPr>
      <w:bookmarkStart w:id="254" w:name="OLE_LINK12"/>
      <w:bookmarkStart w:id="255" w:name="OLE_LINK13"/>
      <w:r w:rsidRPr="007E5614">
        <w:t>Additional Investment in Ambulance Services</w:t>
      </w:r>
    </w:p>
    <w:bookmarkEnd w:id="254"/>
    <w:bookmarkEnd w:id="255"/>
    <w:p w:rsidR="00164535" w:rsidRPr="007E5614" w:rsidRDefault="00164535" w:rsidP="00164535">
      <w:r w:rsidRPr="007E5614">
        <w:t>The One Health System</w:t>
      </w:r>
      <w:r w:rsidRPr="007E5614">
        <w:rPr>
          <w:i/>
        </w:rPr>
        <w:t xml:space="preserve"> </w:t>
      </w:r>
      <w:r w:rsidRPr="007E5614">
        <w:t xml:space="preserve">reforms included a strong focus on improved access to services, with the Government committing an additional $24 million over four years to provide better support for patient transport, accommodation and care coordination. </w:t>
      </w:r>
    </w:p>
    <w:p w:rsidR="00164535" w:rsidRPr="007E5614" w:rsidRDefault="00164535" w:rsidP="00164535">
      <w:r w:rsidRPr="007E5614">
        <w:t xml:space="preserve">Included in this package was funding for AT to employ an additional 12 paramedics in the Devonport/Latrobe area to provide additional coverage in peak periods; and funding for three additional paramedics to be employed in the North of the State as extended care paramedics (ECPs).  </w:t>
      </w:r>
    </w:p>
    <w:p w:rsidR="00164535" w:rsidRPr="007E5614" w:rsidRDefault="00164535" w:rsidP="00164535">
      <w:r w:rsidRPr="007E5614">
        <w:t xml:space="preserve">The recruitment of the additional paramedics for both of these initiatives was carried out </w:t>
      </w:r>
      <w:r>
        <w:t>dur</w:t>
      </w:r>
      <w:r w:rsidRPr="007E5614">
        <w:t>in</w:t>
      </w:r>
      <w:r>
        <w:t>g</w:t>
      </w:r>
      <w:r w:rsidRPr="007E5614">
        <w:t xml:space="preserve"> 2015-16 to enable commencement of the expanded services from 2016-17.  </w:t>
      </w:r>
    </w:p>
    <w:p w:rsidR="00164535" w:rsidRPr="007E5614" w:rsidRDefault="00164535" w:rsidP="00164535">
      <w:r w:rsidRPr="007E5614">
        <w:rPr>
          <w:i/>
        </w:rPr>
        <w:t>Extended Care Paramedics</w:t>
      </w:r>
      <w:r>
        <w:rPr>
          <w:i/>
        </w:rPr>
        <w:t xml:space="preserve">: </w:t>
      </w:r>
      <w:r w:rsidRPr="007E5614">
        <w:t>ECPs are experienced paramedics with advanced training and skills in patient assessment, delivery of quality care and coordination of appropriate referral pathways. ECPs reduce the need for patients to be transported to an emergency department by treating some patients in their home.</w:t>
      </w:r>
    </w:p>
    <w:p w:rsidR="00164535" w:rsidRPr="007E5614" w:rsidRDefault="00164535" w:rsidP="00164535">
      <w:r w:rsidRPr="007E5614">
        <w:t xml:space="preserve">A trial of ECPs was conducted in Launceston in 2013-14. The trial was very successful, finding that ECPs were able to significantly improve the integration of care provided for certain patients, particularly patients transitioning out of acute care and back in to the community. </w:t>
      </w:r>
    </w:p>
    <w:p w:rsidR="00164535" w:rsidRPr="007E5614" w:rsidRDefault="00164535" w:rsidP="00164535">
      <w:r w:rsidRPr="007E5614">
        <w:t xml:space="preserve">In the trial, </w:t>
      </w:r>
      <w:proofErr w:type="gramStart"/>
      <w:r w:rsidRPr="007E5614">
        <w:t>a high proportion (69 per cent) of patients seen by ECPs were</w:t>
      </w:r>
      <w:proofErr w:type="gramEnd"/>
      <w:r w:rsidRPr="007E5614">
        <w:t xml:space="preserve"> able to be treated at home rather than transported to a hospital. There were no adverse incidents during the trial. </w:t>
      </w:r>
    </w:p>
    <w:p w:rsidR="00164535" w:rsidRPr="007E5614" w:rsidRDefault="00164535" w:rsidP="00164535">
      <w:pPr>
        <w:keepLines/>
      </w:pPr>
      <w:r w:rsidRPr="007E5614">
        <w:t xml:space="preserve">The implementation of the ECP program on an ongoing basis will improve services for patients by enabling them to receive certain types of care in their homes as well as reducing pressure on our acute health services (in particular our emergency departments). </w:t>
      </w:r>
    </w:p>
    <w:p w:rsidR="00164535" w:rsidRPr="007E5614" w:rsidRDefault="00164535" w:rsidP="00164535">
      <w:pPr>
        <w:keepLines/>
      </w:pPr>
      <w:r w:rsidRPr="007E5614">
        <w:t xml:space="preserve">The three paramedics selected to be ECPs will complete an intensive training program in the second half of 2016, and will be providing services under their expanded scope of practice from late September 2016. </w:t>
      </w:r>
    </w:p>
    <w:p w:rsidR="00164535" w:rsidRPr="007E5614" w:rsidRDefault="00164535" w:rsidP="00164535">
      <w:r w:rsidRPr="007E5614">
        <w:rPr>
          <w:i/>
        </w:rPr>
        <w:t>Additional Paramedics in Devonport/Latrobe</w:t>
      </w:r>
      <w:r>
        <w:rPr>
          <w:i/>
        </w:rPr>
        <w:t xml:space="preserve">: </w:t>
      </w:r>
      <w:r w:rsidRPr="007E5614">
        <w:t xml:space="preserve">In the development of the </w:t>
      </w:r>
      <w:r>
        <w:t>White Paper on delivering safe and sustainable clinical s</w:t>
      </w:r>
      <w:r w:rsidRPr="00A64DAB">
        <w:t>ervices</w:t>
      </w:r>
      <w:r>
        <w:t>,</w:t>
      </w:r>
      <w:r w:rsidRPr="007E5614">
        <w:rPr>
          <w:i/>
        </w:rPr>
        <w:t xml:space="preserve"> </w:t>
      </w:r>
      <w:r w:rsidRPr="007E5614">
        <w:t xml:space="preserve">it was identified that certain changes to the clinical service profiles of our hospitals, such as the consolidation of maternity services in Burnie, may result in additional demand for emergency ambulance services in the Devonport/Latrobe area. </w:t>
      </w:r>
    </w:p>
    <w:p w:rsidR="00ED3561" w:rsidRDefault="00ED3561" w:rsidP="00ED3561">
      <w:pPr>
        <w:ind w:left="5103"/>
        <w:sectPr w:rsidR="00ED3561" w:rsidSect="00164535">
          <w:type w:val="continuous"/>
          <w:pgSz w:w="11906" w:h="16838"/>
          <w:pgMar w:top="851" w:right="1274" w:bottom="567" w:left="1440" w:header="708" w:footer="708" w:gutter="0"/>
          <w:cols w:space="708"/>
          <w:docGrid w:linePitch="360"/>
        </w:sectPr>
      </w:pPr>
      <w:r>
        <w:rPr>
          <w:noProof/>
          <w:lang w:eastAsia="en-AU"/>
        </w:rPr>
        <mc:AlternateContent>
          <mc:Choice Requires="wps">
            <w:drawing>
              <wp:anchor distT="0" distB="0" distL="114300" distR="114300" simplePos="0" relativeHeight="251667456" behindDoc="0" locked="0" layoutInCell="1" allowOverlap="1" wp14:anchorId="55B0FF23" wp14:editId="0238CED1">
                <wp:simplePos x="0" y="0"/>
                <wp:positionH relativeFrom="column">
                  <wp:posOffset>-17780</wp:posOffset>
                </wp:positionH>
                <wp:positionV relativeFrom="paragraph">
                  <wp:posOffset>1920240</wp:posOffset>
                </wp:positionV>
                <wp:extent cx="3157220" cy="635"/>
                <wp:effectExtent l="0" t="0" r="5080" b="8255"/>
                <wp:wrapTight wrapText="bothSides">
                  <wp:wrapPolygon edited="0">
                    <wp:start x="0" y="0"/>
                    <wp:lineTo x="0" y="21005"/>
                    <wp:lineTo x="21504" y="21005"/>
                    <wp:lineTo x="21504"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3157220" cy="635"/>
                        </a:xfrm>
                        <a:prstGeom prst="rect">
                          <a:avLst/>
                        </a:prstGeom>
                        <a:solidFill>
                          <a:prstClr val="white"/>
                        </a:solidFill>
                        <a:ln>
                          <a:noFill/>
                        </a:ln>
                        <a:effectLst/>
                      </wps:spPr>
                      <wps:txbx>
                        <w:txbxContent>
                          <w:p w:rsidR="00A87AE2" w:rsidRPr="00164535" w:rsidRDefault="00A87AE2" w:rsidP="00164535">
                            <w:pPr>
                              <w:pStyle w:val="Caption"/>
                              <w:rPr>
                                <w:i/>
                                <w:noProof/>
                                <w:color w:val="auto"/>
                              </w:rPr>
                            </w:pPr>
                            <w:r w:rsidRPr="00164535">
                              <w:rPr>
                                <w:i/>
                                <w:color w:val="auto"/>
                              </w:rPr>
                              <w:t xml:space="preserve">Figure </w:t>
                            </w:r>
                            <w:r w:rsidRPr="00164535">
                              <w:rPr>
                                <w:i/>
                                <w:color w:val="auto"/>
                              </w:rPr>
                              <w:fldChar w:fldCharType="begin"/>
                            </w:r>
                            <w:r w:rsidRPr="00164535">
                              <w:rPr>
                                <w:i/>
                                <w:color w:val="auto"/>
                              </w:rPr>
                              <w:instrText xml:space="preserve"> SEQ Figure \* ARABIC </w:instrText>
                            </w:r>
                            <w:r w:rsidRPr="00164535">
                              <w:rPr>
                                <w:i/>
                                <w:color w:val="auto"/>
                              </w:rPr>
                              <w:fldChar w:fldCharType="separate"/>
                            </w:r>
                            <w:r w:rsidR="00EC5964">
                              <w:rPr>
                                <w:i/>
                                <w:noProof/>
                                <w:color w:val="auto"/>
                              </w:rPr>
                              <w:t>1</w:t>
                            </w:r>
                            <w:r w:rsidRPr="00164535">
                              <w:rPr>
                                <w:i/>
                                <w:color w:val="auto"/>
                              </w:rPr>
                              <w:fldChar w:fldCharType="end"/>
                            </w:r>
                            <w:r w:rsidRPr="00164535">
                              <w:rPr>
                                <w:i/>
                                <w:color w:val="auto"/>
                              </w:rPr>
                              <w:t>: Ambulance Tasmania's First Intervention Vehicle which is operated by the ECPs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4pt;margin-top:151.2pt;width:248.6pt;height:.0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" stroked="f">
                <v:textbox style="mso-fit-shape-to-text:t" inset="0,0,0,0">
                  <w:txbxContent>
                    <w:p w:rsidR="00A87AE2" w:rsidRPr="00164535" w:rsidRDefault="00A87AE2" w:rsidP="00164535">
                      <w:pPr>
                        <w:pStyle w:val="Caption"/>
                        <w:rPr>
                          <w:i/>
                          <w:noProof/>
                          <w:color w:val="auto"/>
                        </w:rPr>
                      </w:pPr>
                      <w:r w:rsidRPr="00164535">
                        <w:rPr>
                          <w:i/>
                          <w:color w:val="auto"/>
                        </w:rPr>
                        <w:t xml:space="preserve">Figure </w:t>
                      </w:r>
                      <w:r w:rsidRPr="00164535">
                        <w:rPr>
                          <w:i/>
                          <w:color w:val="auto"/>
                        </w:rPr>
                        <w:fldChar w:fldCharType="begin"/>
                      </w:r>
                      <w:r w:rsidRPr="00164535">
                        <w:rPr>
                          <w:i/>
                          <w:color w:val="auto"/>
                        </w:rPr>
                        <w:instrText xml:space="preserve"> SEQ Figure \* ARABIC </w:instrText>
                      </w:r>
                      <w:r w:rsidRPr="00164535">
                        <w:rPr>
                          <w:i/>
                          <w:color w:val="auto"/>
                        </w:rPr>
                        <w:fldChar w:fldCharType="separate"/>
                      </w:r>
                      <w:r w:rsidR="00EC5964">
                        <w:rPr>
                          <w:i/>
                          <w:noProof/>
                          <w:color w:val="auto"/>
                        </w:rPr>
                        <w:t>1</w:t>
                      </w:r>
                      <w:r w:rsidRPr="00164535">
                        <w:rPr>
                          <w:i/>
                          <w:color w:val="auto"/>
                        </w:rPr>
                        <w:fldChar w:fldCharType="end"/>
                      </w:r>
                      <w:r w:rsidRPr="00164535">
                        <w:rPr>
                          <w:i/>
                          <w:color w:val="auto"/>
                        </w:rPr>
                        <w:t>: Ambulance Tasmania's First Intervention Vehicle which is operated by the ECPs</w:t>
                      </w:r>
                    </w:p>
                  </w:txbxContent>
                </v:textbox>
                <w10:wrap type="tight"/>
              </v:shape>
            </w:pict>
          </mc:Fallback>
        </mc:AlternateContent>
      </w:r>
      <w:r>
        <w:rPr>
          <w:noProof/>
          <w:lang w:eastAsia="en-AU"/>
        </w:rPr>
        <w:drawing>
          <wp:anchor distT="0" distB="0" distL="114300" distR="114300" simplePos="0" relativeHeight="251665408" behindDoc="1" locked="0" layoutInCell="1" allowOverlap="1" wp14:anchorId="188D6FF5" wp14:editId="050CC367">
            <wp:simplePos x="0" y="0"/>
            <wp:positionH relativeFrom="column">
              <wp:posOffset>-69215</wp:posOffset>
            </wp:positionH>
            <wp:positionV relativeFrom="paragraph">
              <wp:posOffset>407035</wp:posOffset>
            </wp:positionV>
            <wp:extent cx="3157220" cy="1504315"/>
            <wp:effectExtent l="0" t="0" r="5080" b="635"/>
            <wp:wrapTight wrapText="bothSides">
              <wp:wrapPolygon edited="0">
                <wp:start x="0" y="0"/>
                <wp:lineTo x="0" y="21336"/>
                <wp:lineTo x="21504" y="21336"/>
                <wp:lineTo x="21504" y="0"/>
                <wp:lineTo x="0" y="0"/>
              </wp:wrapPolygon>
            </wp:wrapTight>
            <wp:docPr id="4" name="Picture 4" descr="Ambulance Tasmania's first Intervention Vehicle which is operated by the ECPs." title="Figure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ecretary\Reporting\Annual Report\Annual Report 2015-2016\aWorkflow\Part 1 - Overview and Open\02 - Ready for Collation (Returned from BUs)\FIV.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36462"/>
                    <a:stretch/>
                  </pic:blipFill>
                  <pic:spPr bwMode="auto">
                    <a:xfrm>
                      <a:off x="0" y="0"/>
                      <a:ext cx="3157220" cy="1504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4535" w:rsidRPr="007E5614">
        <w:t xml:space="preserve">The Government addressed this by investing $5.4 million </w:t>
      </w:r>
      <w:r w:rsidR="00164535">
        <w:t xml:space="preserve">in the Patient Transport Initiative </w:t>
      </w:r>
      <w:r w:rsidR="00164535" w:rsidRPr="007E5614">
        <w:t xml:space="preserve">over four years to provide an increased level of emergency ambulance coverage operating out of AT’s Latrobe station. </w:t>
      </w:r>
      <w:r w:rsidR="00164535">
        <w:t xml:space="preserve"> </w:t>
      </w:r>
      <w:r w:rsidR="00164535" w:rsidRPr="007E5614">
        <w:t>The employment of 12 additional paramedics in the Devonport/Latrobe area represents a significant increase in AT’s emergency response capacity in the region, with two extra crews now operating during peak periods.  The expanded service commenced on 27 June 2016.</w:t>
      </w:r>
    </w:p>
    <w:p w:rsidR="00ED3561" w:rsidRDefault="00ED3561" w:rsidP="00DF724A">
      <w:pPr>
        <w:pStyle w:val="Heading3"/>
      </w:pPr>
      <w:r>
        <w:lastRenderedPageBreak/>
        <w:t>Case Study</w:t>
      </w:r>
    </w:p>
    <w:p w:rsidR="00ED3561" w:rsidRDefault="00ED3561" w:rsidP="00DF724A">
      <w:pPr>
        <w:pStyle w:val="Heading3"/>
        <w:sectPr w:rsidR="00ED3561" w:rsidSect="00164535">
          <w:pgSz w:w="11906" w:h="16838"/>
          <w:pgMar w:top="851" w:right="1274" w:bottom="567" w:left="1440" w:header="708" w:footer="708" w:gutter="0"/>
          <w:cols w:num="2" w:space="708"/>
          <w:docGrid w:linePitch="360"/>
        </w:sectPr>
      </w:pPr>
    </w:p>
    <w:p w:rsidR="00ED3561" w:rsidRPr="007E5614" w:rsidRDefault="00ED3561" w:rsidP="00DF724A">
      <w:pPr>
        <w:pStyle w:val="Heading4"/>
      </w:pPr>
      <w:r w:rsidRPr="007E5614">
        <w:lastRenderedPageBreak/>
        <w:t>DHHS Major Projects Framework</w:t>
      </w:r>
    </w:p>
    <w:p w:rsidR="00ED3561" w:rsidRPr="007E5614" w:rsidRDefault="00ED3561" w:rsidP="00ED3561">
      <w:r w:rsidRPr="007E5614">
        <w:t xml:space="preserve">In 2015-16, DHHS introduced a new Major Projects Framework to enhance its capability to manage strategic projects. </w:t>
      </w:r>
    </w:p>
    <w:p w:rsidR="00ED3561" w:rsidRPr="007E5614" w:rsidRDefault="00ED3561" w:rsidP="00ED3561">
      <w:r w:rsidRPr="007E5614">
        <w:rPr>
          <w:rFonts w:cstheme="minorHAnsi"/>
        </w:rPr>
        <w:t>DHHS is undertaking a number of major reform projects with whole-of-government or whole-of-agency imp</w:t>
      </w:r>
      <w:r>
        <w:rPr>
          <w:rFonts w:cstheme="minorHAnsi"/>
        </w:rPr>
        <w:t>lications.  T</w:t>
      </w:r>
      <w:r w:rsidRPr="007E5614">
        <w:rPr>
          <w:rFonts w:cstheme="minorHAnsi"/>
        </w:rPr>
        <w:t>hese Major Projects will drive significant improvements in terms of delivery of services across DHHS, in the THS and in the non-government sector. The Major Projects Framework is designed to improve the quality of project outcomes delivered to the Tasmanian community.</w:t>
      </w:r>
    </w:p>
    <w:p w:rsidR="00ED3561" w:rsidRPr="007E5614" w:rsidRDefault="00ED3561" w:rsidP="00ED3561">
      <w:r w:rsidRPr="007E5614">
        <w:t>The Major Projects Framework provides authority, accountability, strategic alignment and capability to the project cycle. It reduces departmental risk and is embedded within the broader operating environment and strategic planning process for DHHS.</w:t>
      </w:r>
    </w:p>
    <w:p w:rsidR="00ED3561" w:rsidRPr="007E5614" w:rsidRDefault="00ED3561" w:rsidP="00ED3561">
      <w:r w:rsidRPr="007E5614">
        <w:t xml:space="preserve">The Framework divides the project cycle into six stages and emphasises the importance of planning, programming and resourcing projects prior to full implementation.  The Framework also promotes clear roles, responsibilities and accountabilities for Major Projects, as well as a shared commitment to the delivery of Major Projects by the Departmental Executive. </w:t>
      </w:r>
    </w:p>
    <w:p w:rsidR="00ED3561" w:rsidRPr="007E5614" w:rsidRDefault="00ED3561" w:rsidP="00ED3561">
      <w:r w:rsidRPr="007E5614">
        <w:t>The scope, timing and resources available for the implementation of all Major Projects are endorsed by the Department</w:t>
      </w:r>
      <w:r>
        <w:t>al</w:t>
      </w:r>
      <w:r w:rsidRPr="007E5614">
        <w:t xml:space="preserve"> Executive, which is also kept informed of progress and risks.</w:t>
      </w:r>
    </w:p>
    <w:p w:rsidR="00ED3561" w:rsidRPr="007E5614" w:rsidRDefault="00ED3561" w:rsidP="00ED3561">
      <w:pPr>
        <w:rPr>
          <w:rFonts w:cstheme="minorHAnsi"/>
        </w:rPr>
      </w:pPr>
      <w:r w:rsidRPr="007E5614">
        <w:t xml:space="preserve">By taking a portfolio approach to project management, DHHS can decide where resources are best directed and can respond to changes in departmental priorities. It ensures that DHHS works together to support and deliver strategic projects. </w:t>
      </w:r>
      <w:r w:rsidRPr="007E5614">
        <w:rPr>
          <w:rFonts w:cstheme="minorHAnsi"/>
        </w:rPr>
        <w:t xml:space="preserve">This approach increases the </w:t>
      </w:r>
      <w:r>
        <w:rPr>
          <w:rFonts w:cstheme="minorHAnsi"/>
        </w:rPr>
        <w:t>likelihood</w:t>
      </w:r>
      <w:r w:rsidRPr="007E5614">
        <w:rPr>
          <w:rFonts w:cstheme="minorHAnsi"/>
        </w:rPr>
        <w:t xml:space="preserve"> of successful outcomes for individual projects because issues, risks and resources are managed better than if the projects were managed in isolation. </w:t>
      </w:r>
    </w:p>
    <w:p w:rsidR="00ED3561" w:rsidRPr="007E5614" w:rsidRDefault="00A81C68" w:rsidP="00ED3561">
      <w:pPr>
        <w:rPr>
          <w:rFonts w:cstheme="minorHAnsi"/>
        </w:rPr>
      </w:pPr>
      <w:r>
        <w:rPr>
          <w:noProof/>
          <w:lang w:eastAsia="en-AU"/>
        </w:rPr>
        <mc:AlternateContent>
          <mc:Choice Requires="wps">
            <w:drawing>
              <wp:anchor distT="0" distB="0" distL="114300" distR="114300" simplePos="0" relativeHeight="251673600" behindDoc="0" locked="0" layoutInCell="1" allowOverlap="1" wp14:anchorId="7EF6E5E5" wp14:editId="60DE8983">
                <wp:simplePos x="0" y="0"/>
                <wp:positionH relativeFrom="column">
                  <wp:posOffset>4445</wp:posOffset>
                </wp:positionH>
                <wp:positionV relativeFrom="paragraph">
                  <wp:posOffset>2917825</wp:posOffset>
                </wp:positionV>
                <wp:extent cx="3066415" cy="635"/>
                <wp:effectExtent l="0" t="0" r="0" b="0"/>
                <wp:wrapTight wrapText="bothSides">
                  <wp:wrapPolygon edited="0">
                    <wp:start x="0" y="0"/>
                    <wp:lineTo x="0" y="21600"/>
                    <wp:lineTo x="21600" y="21600"/>
                    <wp:lineTo x="21600" y="0"/>
                  </wp:wrapPolygon>
                </wp:wrapTight>
                <wp:docPr id="10" name="Text Box 10"/>
                <wp:cNvGraphicFramePr/>
                <a:graphic xmlns:a="http://schemas.openxmlformats.org/drawingml/2006/main">
                  <a:graphicData uri="http://schemas.microsoft.com/office/word/2010/wordprocessingShape">
                    <wps:wsp>
                      <wps:cNvSpPr txBox="1"/>
                      <wps:spPr>
                        <a:xfrm>
                          <a:off x="0" y="0"/>
                          <a:ext cx="3066415" cy="635"/>
                        </a:xfrm>
                        <a:prstGeom prst="rect">
                          <a:avLst/>
                        </a:prstGeom>
                        <a:solidFill>
                          <a:prstClr val="white"/>
                        </a:solidFill>
                        <a:ln>
                          <a:noFill/>
                        </a:ln>
                        <a:effectLst/>
                      </wps:spPr>
                      <wps:txbx>
                        <w:txbxContent>
                          <w:p w:rsidR="00A87AE2" w:rsidRPr="00A81C68" w:rsidRDefault="00A87AE2" w:rsidP="00A81C68">
                            <w:pPr>
                              <w:pStyle w:val="Caption"/>
                              <w:rPr>
                                <w:noProof/>
                                <w:color w:val="auto"/>
                              </w:rPr>
                            </w:pPr>
                            <w:r w:rsidRPr="00A81C68">
                              <w:rPr>
                                <w:color w:val="auto"/>
                              </w:rPr>
                              <w:t xml:space="preserve">Figure </w:t>
                            </w:r>
                            <w:r w:rsidRPr="00A81C68">
                              <w:rPr>
                                <w:color w:val="auto"/>
                              </w:rPr>
                              <w:fldChar w:fldCharType="begin"/>
                            </w:r>
                            <w:r w:rsidRPr="00A81C68">
                              <w:rPr>
                                <w:color w:val="auto"/>
                              </w:rPr>
                              <w:instrText xml:space="preserve"> SEQ Figure \* ARABIC </w:instrText>
                            </w:r>
                            <w:r w:rsidRPr="00A81C68">
                              <w:rPr>
                                <w:color w:val="auto"/>
                              </w:rPr>
                              <w:fldChar w:fldCharType="separate"/>
                            </w:r>
                            <w:r w:rsidR="00EC5964">
                              <w:rPr>
                                <w:noProof/>
                                <w:color w:val="auto"/>
                              </w:rPr>
                              <w:t>2</w:t>
                            </w:r>
                            <w:r w:rsidRPr="00A81C68">
                              <w:rPr>
                                <w:color w:val="auto"/>
                              </w:rPr>
                              <w:fldChar w:fldCharType="end"/>
                            </w:r>
                            <w:r w:rsidRPr="00A81C68">
                              <w:rPr>
                                <w:color w:val="auto"/>
                              </w:rPr>
                              <w:t>: DHHS Major Project Framework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0" o:spid="_x0000_s1027" type="#_x0000_t202" style="position:absolute;margin-left:.35pt;margin-top:229.75pt;width:241.45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" stroked="f">
                <v:textbox style="mso-fit-shape-to-text:t" inset="0,0,0,0">
                  <w:txbxContent>
                    <w:p w:rsidR="00A87AE2" w:rsidRPr="00A81C68" w:rsidRDefault="00A87AE2" w:rsidP="00A81C68">
                      <w:pPr>
                        <w:pStyle w:val="Caption"/>
                        <w:rPr>
                          <w:noProof/>
                          <w:color w:val="auto"/>
                        </w:rPr>
                      </w:pPr>
                      <w:r w:rsidRPr="00A81C68">
                        <w:rPr>
                          <w:color w:val="auto"/>
                        </w:rPr>
                        <w:t xml:space="preserve">Figure </w:t>
                      </w:r>
                      <w:r w:rsidRPr="00A81C68">
                        <w:rPr>
                          <w:color w:val="auto"/>
                        </w:rPr>
                        <w:fldChar w:fldCharType="begin"/>
                      </w:r>
                      <w:r w:rsidRPr="00A81C68">
                        <w:rPr>
                          <w:color w:val="auto"/>
                        </w:rPr>
                        <w:instrText xml:space="preserve"> SEQ Figure \* ARABIC </w:instrText>
                      </w:r>
                      <w:r w:rsidRPr="00A81C68">
                        <w:rPr>
                          <w:color w:val="auto"/>
                        </w:rPr>
                        <w:fldChar w:fldCharType="separate"/>
                      </w:r>
                      <w:r w:rsidR="00EC5964">
                        <w:rPr>
                          <w:noProof/>
                          <w:color w:val="auto"/>
                        </w:rPr>
                        <w:t>2</w:t>
                      </w:r>
                      <w:r w:rsidRPr="00A81C68">
                        <w:rPr>
                          <w:color w:val="auto"/>
                        </w:rPr>
                        <w:fldChar w:fldCharType="end"/>
                      </w:r>
                      <w:r w:rsidRPr="00A81C68">
                        <w:rPr>
                          <w:color w:val="auto"/>
                        </w:rPr>
                        <w:t>: DHHS Major Project Framework</w:t>
                      </w:r>
                    </w:p>
                  </w:txbxContent>
                </v:textbox>
                <w10:wrap type="tight"/>
              </v:shape>
            </w:pict>
          </mc:Fallback>
        </mc:AlternateContent>
      </w:r>
      <w:r w:rsidR="00ED3561" w:rsidRPr="007E5614">
        <w:rPr>
          <w:noProof/>
          <w:lang w:eastAsia="en-AU"/>
        </w:rPr>
        <w:drawing>
          <wp:anchor distT="0" distB="0" distL="114300" distR="114300" simplePos="0" relativeHeight="251669504" behindDoc="1" locked="0" layoutInCell="1" allowOverlap="1" wp14:anchorId="4147F8FE" wp14:editId="0127FD79">
            <wp:simplePos x="0" y="0"/>
            <wp:positionH relativeFrom="margin">
              <wp:posOffset>4445</wp:posOffset>
            </wp:positionH>
            <wp:positionV relativeFrom="paragraph">
              <wp:posOffset>2540</wp:posOffset>
            </wp:positionV>
            <wp:extent cx="3066415" cy="2858135"/>
            <wp:effectExtent l="0" t="0" r="635" b="0"/>
            <wp:wrapTight wrapText="bothSides">
              <wp:wrapPolygon edited="0">
                <wp:start x="0" y="0"/>
                <wp:lineTo x="0" y="21451"/>
                <wp:lineTo x="21470" y="21451"/>
                <wp:lineTo x="21470" y="0"/>
                <wp:lineTo x="0" y="0"/>
              </wp:wrapPolygon>
            </wp:wrapTight>
            <wp:docPr id="7" name="Picture 7" descr="The Framework provides authority, accountability, strategic alignment and capability to the project cycle.&#10;The Framework divides the project cycle into six stages:&#10;Concept, Program, Activate, Set-up, Manage and Evaluate and Report.&#10;" title="Figure 2: DHHS Major Projects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28A0092B-C50C-407E-A947-70E740481C1C}">
                          <a14:useLocalDpi xmlns:a14="http://schemas.microsoft.com/office/drawing/2010/main" val="0"/>
                        </a:ext>
                      </a:extLst>
                    </a:blip>
                    <a:srcRect l="8120" r="11405"/>
                    <a:stretch/>
                  </pic:blipFill>
                  <pic:spPr bwMode="auto">
                    <a:xfrm>
                      <a:off x="0" y="0"/>
                      <a:ext cx="3066415" cy="2858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3561" w:rsidRPr="007E5614">
        <w:rPr>
          <w:rFonts w:cstheme="minorHAnsi"/>
        </w:rPr>
        <w:t>There are around 20 projects currently on the Major Projects Program. One third of these are managed centrally by the Strategic Projects Unit and two thirds are managed by business units. Examples of Major Projects include Strong Families – Safe Kids;</w:t>
      </w:r>
      <w:r w:rsidR="00ED3561" w:rsidRPr="007E5614">
        <w:rPr>
          <w:rFonts w:cstheme="minorHAnsi"/>
          <w:i/>
        </w:rPr>
        <w:t xml:space="preserve"> </w:t>
      </w:r>
      <w:r w:rsidR="00ED3561" w:rsidRPr="007E5614">
        <w:rPr>
          <w:rFonts w:cstheme="minorHAnsi"/>
        </w:rPr>
        <w:t>Youth at Risk; Joined Up Services; Affordable Housing and Better Access to Palliative Care.</w:t>
      </w:r>
      <w:r w:rsidR="00ED3561" w:rsidRPr="007E5614">
        <w:rPr>
          <w:noProof/>
        </w:rPr>
        <w:t xml:space="preserve"> </w:t>
      </w:r>
    </w:p>
    <w:p w:rsidR="00ED3561" w:rsidRDefault="00ED3561" w:rsidP="00ED3561">
      <w:pPr>
        <w:rPr>
          <w:noProof/>
        </w:rPr>
      </w:pPr>
    </w:p>
    <w:p w:rsidR="00ED3561" w:rsidRDefault="00ED3561" w:rsidP="00ED3561">
      <w:pPr>
        <w:rPr>
          <w:noProof/>
        </w:rPr>
        <w:sectPr w:rsidR="00ED3561" w:rsidSect="00ED3561">
          <w:type w:val="continuous"/>
          <w:pgSz w:w="11906" w:h="16838"/>
          <w:pgMar w:top="851" w:right="1274" w:bottom="567" w:left="1440" w:header="708" w:footer="708" w:gutter="0"/>
          <w:cols w:space="708"/>
          <w:docGrid w:linePitch="360"/>
        </w:sectPr>
      </w:pPr>
    </w:p>
    <w:p w:rsidR="00ED3561" w:rsidRDefault="00ED3561" w:rsidP="00DF724A">
      <w:pPr>
        <w:pStyle w:val="Heading3"/>
      </w:pPr>
      <w:r>
        <w:lastRenderedPageBreak/>
        <w:t>Case Study</w:t>
      </w:r>
    </w:p>
    <w:p w:rsidR="00ED3561" w:rsidRDefault="00ED3561" w:rsidP="00DF724A">
      <w:pPr>
        <w:pStyle w:val="Heading3"/>
        <w:rPr>
          <w:noProof/>
        </w:rPr>
        <w:sectPr w:rsidR="00ED3561" w:rsidSect="00164535">
          <w:pgSz w:w="11906" w:h="16838"/>
          <w:pgMar w:top="851" w:right="1274" w:bottom="567" w:left="1440" w:header="708" w:footer="708" w:gutter="0"/>
          <w:cols w:num="2" w:space="708"/>
          <w:docGrid w:linePitch="360"/>
        </w:sectPr>
      </w:pPr>
    </w:p>
    <w:p w:rsidR="00ED3561" w:rsidRPr="007E5614" w:rsidRDefault="00ED3561" w:rsidP="00DF724A">
      <w:pPr>
        <w:pStyle w:val="Heading4"/>
        <w:rPr>
          <w:noProof/>
        </w:rPr>
      </w:pPr>
      <w:r w:rsidRPr="007E5614">
        <w:rPr>
          <w:noProof/>
        </w:rPr>
        <w:lastRenderedPageBreak/>
        <w:t>Trinity Hill helping young people flourish</w:t>
      </w:r>
    </w:p>
    <w:p w:rsidR="00ED3561" w:rsidRPr="007E5614" w:rsidRDefault="00ED3561" w:rsidP="00ED3561">
      <w:pPr>
        <w:rPr>
          <w:noProof/>
        </w:rPr>
      </w:pPr>
      <w:r w:rsidRPr="007E5614">
        <w:rPr>
          <w:noProof/>
        </w:rPr>
        <w:t>Construction of the $14.2 million Trinity Hill supported accommodation facility for young people in North Hobart was completed during 2015-16.</w:t>
      </w:r>
    </w:p>
    <w:p w:rsidR="00ED3561" w:rsidRPr="007E5614" w:rsidRDefault="00ED3561" w:rsidP="00ED3561">
      <w:pPr>
        <w:rPr>
          <w:noProof/>
        </w:rPr>
      </w:pPr>
      <w:r w:rsidRPr="007E5614">
        <w:rPr>
          <w:noProof/>
        </w:rPr>
        <w:t>Managed by Anglicare Tasmania, Trinity</w:t>
      </w:r>
      <w:r w:rsidRPr="00501017">
        <w:rPr>
          <w:noProof/>
          <w:lang w:eastAsia="en-AU"/>
        </w:rPr>
        <w:t xml:space="preserve"> </w:t>
      </w:r>
      <w:r w:rsidRPr="007E5614">
        <w:rPr>
          <w:noProof/>
        </w:rPr>
        <w:t xml:space="preserve">Hill is providing independent and supported housing for </w:t>
      </w:r>
      <w:r>
        <w:rPr>
          <w:noProof/>
        </w:rPr>
        <w:t>up to 46 </w:t>
      </w:r>
      <w:r w:rsidRPr="007E5614">
        <w:rPr>
          <w:noProof/>
        </w:rPr>
        <w:t>vulnerable young people aged 16 to 25 years, including 16 living with disability.</w:t>
      </w:r>
    </w:p>
    <w:p w:rsidR="00ED3561" w:rsidRPr="007E5614" w:rsidRDefault="00ED3561" w:rsidP="00ED3561">
      <w:pPr>
        <w:rPr>
          <w:noProof/>
        </w:rPr>
      </w:pPr>
      <w:r w:rsidRPr="007E5614">
        <w:rPr>
          <w:noProof/>
        </w:rPr>
        <w:t>In addition to providing the comforts of home, the centre engages residents in training, employment and educational activities to help them flourish in our community.</w:t>
      </w:r>
    </w:p>
    <w:p w:rsidR="00ED3561" w:rsidRPr="007E5614" w:rsidRDefault="00ED3561" w:rsidP="00ED3561">
      <w:pPr>
        <w:rPr>
          <w:noProof/>
        </w:rPr>
      </w:pPr>
      <w:r w:rsidRPr="007E5614">
        <w:rPr>
          <w:noProof/>
        </w:rPr>
        <w:t>The centre includes:</w:t>
      </w:r>
    </w:p>
    <w:p w:rsidR="00ED3561" w:rsidRPr="00ED3561" w:rsidRDefault="00ED3561" w:rsidP="00ED3561">
      <w:pPr>
        <w:pStyle w:val="ListParagraph"/>
        <w:numPr>
          <w:ilvl w:val="0"/>
          <w:numId w:val="17"/>
        </w:numPr>
        <w:ind w:left="567" w:hanging="567"/>
        <w:rPr>
          <w:rFonts w:ascii="Gill Sans MT" w:hAnsi="Gill Sans MT"/>
          <w:noProof/>
          <w:sz w:val="22"/>
          <w:szCs w:val="22"/>
        </w:rPr>
      </w:pPr>
      <w:r w:rsidRPr="00ED3561">
        <w:rPr>
          <w:rFonts w:ascii="Gill Sans MT" w:hAnsi="Gill Sans MT"/>
          <w:noProof/>
          <w:sz w:val="22"/>
          <w:szCs w:val="22"/>
        </w:rPr>
        <w:t>24-hour onsite staff</w:t>
      </w:r>
    </w:p>
    <w:p w:rsidR="00ED3561" w:rsidRPr="00ED3561" w:rsidRDefault="00ED3561" w:rsidP="00ED3561">
      <w:pPr>
        <w:pStyle w:val="ListParagraph"/>
        <w:numPr>
          <w:ilvl w:val="0"/>
          <w:numId w:val="17"/>
        </w:numPr>
        <w:ind w:left="567" w:hanging="567"/>
        <w:rPr>
          <w:rFonts w:ascii="Gill Sans MT" w:hAnsi="Gill Sans MT"/>
          <w:noProof/>
          <w:sz w:val="22"/>
          <w:szCs w:val="22"/>
        </w:rPr>
      </w:pPr>
      <w:r w:rsidRPr="00ED3561">
        <w:rPr>
          <w:rFonts w:ascii="Gill Sans MT" w:hAnsi="Gill Sans MT"/>
          <w:noProof/>
          <w:sz w:val="22"/>
          <w:szCs w:val="22"/>
        </w:rPr>
        <w:t>a live-in caretaker house and manager residence</w:t>
      </w:r>
    </w:p>
    <w:p w:rsidR="00ED3561" w:rsidRPr="00ED3561" w:rsidRDefault="00ED3561" w:rsidP="00ED3561">
      <w:pPr>
        <w:pStyle w:val="ListParagraph"/>
        <w:numPr>
          <w:ilvl w:val="0"/>
          <w:numId w:val="17"/>
        </w:numPr>
        <w:ind w:left="567" w:hanging="567"/>
        <w:rPr>
          <w:rFonts w:ascii="Gill Sans MT" w:hAnsi="Gill Sans MT"/>
          <w:noProof/>
          <w:sz w:val="22"/>
          <w:szCs w:val="22"/>
        </w:rPr>
      </w:pPr>
      <w:r w:rsidRPr="00ED3561">
        <w:rPr>
          <w:rFonts w:ascii="Gill Sans MT" w:hAnsi="Gill Sans MT"/>
          <w:noProof/>
          <w:sz w:val="22"/>
          <w:szCs w:val="22"/>
        </w:rPr>
        <w:t>offices, communal meeting areas and consulting rooms, and</w:t>
      </w:r>
    </w:p>
    <w:p w:rsidR="00ED3561" w:rsidRPr="00ED3561" w:rsidRDefault="00ED3561" w:rsidP="00ED3561">
      <w:pPr>
        <w:pStyle w:val="ListParagraph"/>
        <w:numPr>
          <w:ilvl w:val="0"/>
          <w:numId w:val="17"/>
        </w:numPr>
        <w:ind w:left="567" w:hanging="567"/>
        <w:rPr>
          <w:rFonts w:ascii="Gill Sans MT" w:hAnsi="Gill Sans MT"/>
          <w:noProof/>
          <w:sz w:val="22"/>
          <w:szCs w:val="22"/>
        </w:rPr>
      </w:pPr>
      <w:r w:rsidRPr="00ED3561">
        <w:rPr>
          <w:rFonts w:ascii="Gill Sans MT" w:hAnsi="Gill Sans MT"/>
          <w:noProof/>
          <w:sz w:val="22"/>
          <w:szCs w:val="22"/>
        </w:rPr>
        <w:t>training rooms, commercial kitchen, gym, computer room, library and laundry.</w:t>
      </w:r>
      <w:r w:rsidR="00A81C68">
        <w:rPr>
          <w:rFonts w:ascii="Gill Sans MT" w:hAnsi="Gill Sans MT"/>
          <w:noProof/>
          <w:sz w:val="22"/>
          <w:szCs w:val="22"/>
        </w:rPr>
        <w:br/>
      </w:r>
    </w:p>
    <w:p w:rsidR="00ED3561" w:rsidRPr="007E5614" w:rsidRDefault="00ED3561" w:rsidP="00ED3561">
      <w:pPr>
        <w:rPr>
          <w:noProof/>
        </w:rPr>
      </w:pPr>
      <w:r w:rsidRPr="007E5614">
        <w:rPr>
          <w:noProof/>
        </w:rPr>
        <w:t>The facility provides tenants with stable, supported, long-term accommodation. It enables them to access key services, reconnect with their family and community, and to focus on employment, education and training opportunities.</w:t>
      </w:r>
    </w:p>
    <w:p w:rsidR="00ED3561" w:rsidRPr="007E5614" w:rsidRDefault="00ED3561" w:rsidP="00ED3561">
      <w:pPr>
        <w:rPr>
          <w:noProof/>
        </w:rPr>
      </w:pPr>
      <w:r w:rsidRPr="007E5614">
        <w:rPr>
          <w:noProof/>
        </w:rPr>
        <w:t>Trinity Hill’s 30 standard units are available for young people registered as priority applicants on the social housing waitlist</w:t>
      </w:r>
      <w:r>
        <w:rPr>
          <w:noProof/>
        </w:rPr>
        <w:t xml:space="preserve"> and those at immediate risk of </w:t>
      </w:r>
      <w:r w:rsidRPr="007E5614">
        <w:rPr>
          <w:noProof/>
        </w:rPr>
        <w:t xml:space="preserve">homeless. </w:t>
      </w:r>
    </w:p>
    <w:p w:rsidR="00ED3561" w:rsidRPr="007E5614" w:rsidRDefault="00ED3561" w:rsidP="00ED3561">
      <w:pPr>
        <w:rPr>
          <w:noProof/>
        </w:rPr>
      </w:pPr>
      <w:r w:rsidRPr="007E5614">
        <w:rPr>
          <w:noProof/>
        </w:rPr>
        <w:t>The remaining 16 units are for vulnerable young people living with disability who have a funded support package through the NDIS.</w:t>
      </w:r>
    </w:p>
    <w:p w:rsidR="00ED3561" w:rsidRPr="007E5614" w:rsidRDefault="00ED3561" w:rsidP="00ED3561">
      <w:pPr>
        <w:rPr>
          <w:noProof/>
        </w:rPr>
      </w:pPr>
      <w:r w:rsidRPr="007E5614">
        <w:rPr>
          <w:noProof/>
        </w:rPr>
        <w:t>At the end of June 2016, there were 37 young people living at Trinity Hill, and Anglicare Tasmania was continuing to allocate tenants.</w:t>
      </w:r>
    </w:p>
    <w:p w:rsidR="00ED3561" w:rsidRPr="007E5614" w:rsidRDefault="00A81C68" w:rsidP="00ED3561">
      <w:pPr>
        <w:rPr>
          <w:noProof/>
        </w:rPr>
      </w:pPr>
      <w:r>
        <w:rPr>
          <w:noProof/>
          <w:lang w:eastAsia="en-AU"/>
        </w:rPr>
        <mc:AlternateContent>
          <mc:Choice Requires="wps">
            <w:drawing>
              <wp:anchor distT="0" distB="0" distL="114300" distR="114300" simplePos="0" relativeHeight="251675648" behindDoc="0" locked="0" layoutInCell="1" allowOverlap="1" wp14:anchorId="3B1B536F" wp14:editId="225C9E5F">
                <wp:simplePos x="0" y="0"/>
                <wp:positionH relativeFrom="column">
                  <wp:posOffset>2294255</wp:posOffset>
                </wp:positionH>
                <wp:positionV relativeFrom="paragraph">
                  <wp:posOffset>2554605</wp:posOffset>
                </wp:positionV>
                <wp:extent cx="3751580" cy="63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3751580" cy="635"/>
                        </a:xfrm>
                        <a:prstGeom prst="rect">
                          <a:avLst/>
                        </a:prstGeom>
                        <a:solidFill>
                          <a:prstClr val="white"/>
                        </a:solidFill>
                        <a:ln>
                          <a:noFill/>
                        </a:ln>
                        <a:effectLst/>
                      </wps:spPr>
                      <wps:txbx>
                        <w:txbxContent>
                          <w:p w:rsidR="00A87AE2" w:rsidRPr="00A81C68" w:rsidRDefault="00A87AE2" w:rsidP="00A81C68">
                            <w:pPr>
                              <w:pStyle w:val="Caption"/>
                              <w:rPr>
                                <w:noProof/>
                                <w:color w:val="auto"/>
                              </w:rPr>
                            </w:pPr>
                            <w:r w:rsidRPr="00A81C68">
                              <w:rPr>
                                <w:color w:val="auto"/>
                              </w:rPr>
                              <w:t xml:space="preserve">Figure </w:t>
                            </w:r>
                            <w:r w:rsidRPr="00A81C68">
                              <w:rPr>
                                <w:color w:val="auto"/>
                              </w:rPr>
                              <w:fldChar w:fldCharType="begin"/>
                            </w:r>
                            <w:r w:rsidRPr="00A81C68">
                              <w:rPr>
                                <w:color w:val="auto"/>
                              </w:rPr>
                              <w:instrText xml:space="preserve"> SEQ Figure \* ARABIC </w:instrText>
                            </w:r>
                            <w:r w:rsidRPr="00A81C68">
                              <w:rPr>
                                <w:color w:val="auto"/>
                              </w:rPr>
                              <w:fldChar w:fldCharType="separate"/>
                            </w:r>
                            <w:r w:rsidR="00EC5964">
                              <w:rPr>
                                <w:noProof/>
                                <w:color w:val="auto"/>
                              </w:rPr>
                              <w:t>3</w:t>
                            </w:r>
                            <w:r w:rsidRPr="00A81C68">
                              <w:rPr>
                                <w:color w:val="auto"/>
                              </w:rPr>
                              <w:fldChar w:fldCharType="end"/>
                            </w:r>
                            <w:r w:rsidRPr="00A81C68">
                              <w:rPr>
                                <w:color w:val="auto"/>
                              </w:rPr>
                              <w:t>: Trinity Hill Supported Accommodation Centre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1" o:spid="_x0000_s1028" type="#_x0000_t202" style="position:absolute;margin-left:180.65pt;margin-top:201.15pt;width:295.4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" stroked="f">
                <v:textbox style="mso-fit-shape-to-text:t" inset="0,0,0,0">
                  <w:txbxContent>
                    <w:p w:rsidR="00A87AE2" w:rsidRPr="00A81C68" w:rsidRDefault="00A87AE2" w:rsidP="00A81C68">
                      <w:pPr>
                        <w:pStyle w:val="Caption"/>
                        <w:rPr>
                          <w:noProof/>
                          <w:color w:val="auto"/>
                        </w:rPr>
                      </w:pPr>
                      <w:r w:rsidRPr="00A81C68">
                        <w:rPr>
                          <w:color w:val="auto"/>
                        </w:rPr>
                        <w:t xml:space="preserve">Figure </w:t>
                      </w:r>
                      <w:r w:rsidRPr="00A81C68">
                        <w:rPr>
                          <w:color w:val="auto"/>
                        </w:rPr>
                        <w:fldChar w:fldCharType="begin"/>
                      </w:r>
                      <w:r w:rsidRPr="00A81C68">
                        <w:rPr>
                          <w:color w:val="auto"/>
                        </w:rPr>
                        <w:instrText xml:space="preserve"> SEQ Figure \* ARABIC </w:instrText>
                      </w:r>
                      <w:r w:rsidRPr="00A81C68">
                        <w:rPr>
                          <w:color w:val="auto"/>
                        </w:rPr>
                        <w:fldChar w:fldCharType="separate"/>
                      </w:r>
                      <w:r w:rsidR="00EC5964">
                        <w:rPr>
                          <w:noProof/>
                          <w:color w:val="auto"/>
                        </w:rPr>
                        <w:t>3</w:t>
                      </w:r>
                      <w:r w:rsidRPr="00A81C68">
                        <w:rPr>
                          <w:color w:val="auto"/>
                        </w:rPr>
                        <w:fldChar w:fldCharType="end"/>
                      </w:r>
                      <w:r w:rsidRPr="00A81C68">
                        <w:rPr>
                          <w:color w:val="auto"/>
                        </w:rPr>
                        <w:t>: Trinity Hill Supported Accommodation Centre</w:t>
                      </w:r>
                    </w:p>
                  </w:txbxContent>
                </v:textbox>
                <w10:wrap type="square"/>
              </v:shape>
            </w:pict>
          </mc:Fallback>
        </mc:AlternateContent>
      </w:r>
      <w:r w:rsidR="00ED3561" w:rsidRPr="007E5614">
        <w:rPr>
          <w:noProof/>
          <w:lang w:eastAsia="en-AU"/>
        </w:rPr>
        <w:drawing>
          <wp:anchor distT="0" distB="0" distL="114300" distR="114300" simplePos="0" relativeHeight="251671552" behindDoc="0" locked="0" layoutInCell="1" allowOverlap="1" wp14:anchorId="0FB190DB" wp14:editId="2A0EE0CD">
            <wp:simplePos x="0" y="0"/>
            <wp:positionH relativeFrom="column">
              <wp:posOffset>2294255</wp:posOffset>
            </wp:positionH>
            <wp:positionV relativeFrom="paragraph">
              <wp:posOffset>635</wp:posOffset>
            </wp:positionV>
            <wp:extent cx="3751580" cy="2496820"/>
            <wp:effectExtent l="0" t="0" r="1270" b="0"/>
            <wp:wrapSquare wrapText="bothSides"/>
            <wp:docPr id="9" name="Picture 9" title="Figure 3: Trinity Hill Supported Accommodation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_1514_small.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751580" cy="2496820"/>
                    </a:xfrm>
                    <a:prstGeom prst="rect">
                      <a:avLst/>
                    </a:prstGeom>
                  </pic:spPr>
                </pic:pic>
              </a:graphicData>
            </a:graphic>
            <wp14:sizeRelH relativeFrom="margin">
              <wp14:pctWidth>0</wp14:pctWidth>
            </wp14:sizeRelH>
            <wp14:sizeRelV relativeFrom="margin">
              <wp14:pctHeight>0</wp14:pctHeight>
            </wp14:sizeRelV>
          </wp:anchor>
        </w:drawing>
      </w:r>
      <w:r w:rsidR="00ED3561">
        <w:rPr>
          <w:noProof/>
        </w:rPr>
        <w:t>Tasmania now has 10</w:t>
      </w:r>
      <w:r w:rsidR="00ED3561" w:rsidRPr="007E5614">
        <w:rPr>
          <w:noProof/>
        </w:rPr>
        <w:t xml:space="preserve"> supported accommodation centres around the State. Three are in the North, two in the North West and five in the South. Another new facility in Devonport will co</w:t>
      </w:r>
      <w:r w:rsidR="00ED3561">
        <w:rPr>
          <w:noProof/>
        </w:rPr>
        <w:t>mmence construction during 2016</w:t>
      </w:r>
      <w:r w:rsidR="00ED3561">
        <w:rPr>
          <w:noProof/>
        </w:rPr>
        <w:noBreakHyphen/>
      </w:r>
      <w:r w:rsidR="00ED3561" w:rsidRPr="007E5614">
        <w:rPr>
          <w:noProof/>
        </w:rPr>
        <w:t>17.</w:t>
      </w:r>
    </w:p>
    <w:p w:rsidR="00ED3561" w:rsidRDefault="00ED3561" w:rsidP="00ED3561">
      <w:pPr>
        <w:pStyle w:val="Heading2"/>
        <w:sectPr w:rsidR="00ED3561" w:rsidSect="00ED3561">
          <w:type w:val="continuous"/>
          <w:pgSz w:w="11906" w:h="16838"/>
          <w:pgMar w:top="851" w:right="1274" w:bottom="567" w:left="1440" w:header="708" w:footer="708" w:gutter="0"/>
          <w:cols w:space="708"/>
          <w:docGrid w:linePitch="360"/>
        </w:sectPr>
      </w:pPr>
    </w:p>
    <w:p w:rsidR="00ED3561" w:rsidRDefault="00ED3561" w:rsidP="00ED3561">
      <w:pPr>
        <w:pStyle w:val="Heading2"/>
      </w:pPr>
    </w:p>
    <w:p w:rsidR="00A81C68" w:rsidRDefault="00A81C68" w:rsidP="00ED3561">
      <w:pPr>
        <w:sectPr w:rsidR="00A81C68" w:rsidSect="00ED3561">
          <w:type w:val="continuous"/>
          <w:pgSz w:w="11906" w:h="16838"/>
          <w:pgMar w:top="851" w:right="1274" w:bottom="567" w:left="1440" w:header="708" w:footer="708" w:gutter="0"/>
          <w:cols w:num="2" w:space="708"/>
          <w:docGrid w:linePitch="360"/>
        </w:sectPr>
      </w:pPr>
    </w:p>
    <w:p w:rsidR="00A81C68" w:rsidRPr="007E5614" w:rsidRDefault="00A81C68" w:rsidP="00DF724A">
      <w:pPr>
        <w:pStyle w:val="Heading2"/>
      </w:pPr>
      <w:bookmarkStart w:id="256" w:name="_Toc461619328"/>
      <w:bookmarkStart w:id="257" w:name="_Toc465174248"/>
      <w:r w:rsidRPr="007E5614">
        <w:lastRenderedPageBreak/>
        <w:t>Performance Measures 2015-16</w:t>
      </w:r>
      <w:bookmarkEnd w:id="256"/>
      <w:bookmarkEnd w:id="257"/>
    </w:p>
    <w:p w:rsidR="00A81C68" w:rsidRPr="007E5614" w:rsidRDefault="00A81C68" w:rsidP="00A81C68">
      <w:r w:rsidRPr="007E5614">
        <w:t>DHHS measures its performance against targets which see us striving for quality health and human services for all Tasmanians.</w:t>
      </w:r>
    </w:p>
    <w:p w:rsidR="00A81C68" w:rsidRPr="007E5614" w:rsidRDefault="00A81C68" w:rsidP="00A81C68">
      <w:r w:rsidRPr="007E5614">
        <w:t xml:space="preserve">In 2015-16, our 1 857 staff delivered services across the State which protect our most vulnerable Tasmanians and help them to live their lives safe and well. </w:t>
      </w:r>
      <w:r>
        <w:br w:type="column"/>
      </w:r>
    </w:p>
    <w:p w:rsidR="00A81C68" w:rsidRPr="007E5614" w:rsidRDefault="00A81C68" w:rsidP="00A81C68">
      <w:r w:rsidRPr="007E5614">
        <w:t xml:space="preserve">We work together across our programs, projects and </w:t>
      </w:r>
      <w:proofErr w:type="gramStart"/>
      <w:r w:rsidRPr="007E5614">
        <w:t>services,</w:t>
      </w:r>
      <w:proofErr w:type="gramEnd"/>
      <w:r w:rsidRPr="007E5614">
        <w:t xml:space="preserve"> all contributing to goals that ensure the health and wellbeing of the Tasmanian community is maintained and enhanced. We are committed to quality and consistency in everything we do.</w:t>
      </w:r>
    </w:p>
    <w:p w:rsidR="00A81C68" w:rsidRPr="007E5614" w:rsidRDefault="00A81C68" w:rsidP="00A81C68">
      <w:r w:rsidRPr="007E5614">
        <w:t>The performance indicators that follow are a snapshot of our journey over the past four years.</w:t>
      </w:r>
    </w:p>
    <w:p w:rsidR="00A81C68" w:rsidRDefault="00A81C68" w:rsidP="00ED3561">
      <w:pPr>
        <w:sectPr w:rsidR="00A81C68" w:rsidSect="00A81C68">
          <w:headerReference w:type="even" r:id="rId30"/>
          <w:headerReference w:type="default" r:id="rId31"/>
          <w:pgSz w:w="11906" w:h="16838"/>
          <w:pgMar w:top="851" w:right="1274" w:bottom="567" w:left="1440" w:header="708" w:footer="708" w:gutter="0"/>
          <w:cols w:num="2" w:space="708"/>
          <w:docGrid w:linePitch="360"/>
        </w:sectPr>
      </w:pPr>
    </w:p>
    <w:p w:rsidR="00A81C68" w:rsidRPr="007E5614" w:rsidRDefault="00A81C68" w:rsidP="00DF724A">
      <w:pPr>
        <w:pStyle w:val="Heading3"/>
      </w:pPr>
      <w:r w:rsidRPr="007E5614">
        <w:lastRenderedPageBreak/>
        <w:t>Ambulance Tasmania</w:t>
      </w:r>
    </w:p>
    <w:tbl>
      <w:tblPr>
        <w:tblW w:w="9530" w:type="dxa"/>
        <w:tblInd w:w="108" w:type="dxa"/>
        <w:tblBorders>
          <w:top w:val="single" w:sz="2" w:space="0" w:color="A6A6A6"/>
          <w:bottom w:val="single" w:sz="2" w:space="0" w:color="A6A6A6"/>
          <w:insideH w:val="single" w:sz="2" w:space="0" w:color="A6A6A6"/>
        </w:tblBorders>
        <w:tblLook w:val="04A0" w:firstRow="1" w:lastRow="0" w:firstColumn="1" w:lastColumn="0" w:noHBand="0" w:noVBand="1"/>
        <w:tblCaption w:val="Ambulance Tasmania Performance Comparison"/>
      </w:tblPr>
      <w:tblGrid>
        <w:gridCol w:w="3828"/>
        <w:gridCol w:w="1174"/>
        <w:gridCol w:w="1119"/>
        <w:gridCol w:w="1119"/>
        <w:gridCol w:w="1153"/>
        <w:gridCol w:w="1137"/>
      </w:tblGrid>
      <w:tr w:rsidR="00A81C68" w:rsidRPr="007E5614" w:rsidTr="00A81C68">
        <w:tc>
          <w:tcPr>
            <w:tcW w:w="3828" w:type="dxa"/>
            <w:vAlign w:val="center"/>
          </w:tcPr>
          <w:p w:rsidR="00A81C68" w:rsidRPr="007E5614" w:rsidRDefault="00A81C68" w:rsidP="00666795">
            <w:pPr>
              <w:spacing w:before="60" w:after="60" w:line="240" w:lineRule="auto"/>
              <w:rPr>
                <w:b/>
                <w:sz w:val="18"/>
                <w:szCs w:val="18"/>
              </w:rPr>
            </w:pPr>
            <w:r w:rsidRPr="007E5614">
              <w:rPr>
                <w:b/>
                <w:sz w:val="18"/>
                <w:szCs w:val="18"/>
              </w:rPr>
              <w:t>Performance Measure</w:t>
            </w:r>
          </w:p>
        </w:tc>
        <w:tc>
          <w:tcPr>
            <w:tcW w:w="1174" w:type="dxa"/>
          </w:tcPr>
          <w:p w:rsidR="00A81C68" w:rsidRPr="007E5614" w:rsidRDefault="00A81C68" w:rsidP="00666795">
            <w:pPr>
              <w:spacing w:before="60" w:after="60" w:line="240" w:lineRule="auto"/>
              <w:jc w:val="right"/>
              <w:rPr>
                <w:b/>
                <w:sz w:val="18"/>
                <w:szCs w:val="18"/>
              </w:rPr>
            </w:pPr>
            <w:r w:rsidRPr="007E5614">
              <w:rPr>
                <w:b/>
                <w:sz w:val="18"/>
                <w:szCs w:val="18"/>
              </w:rPr>
              <w:t>Unit of Measure</w:t>
            </w:r>
          </w:p>
        </w:tc>
        <w:tc>
          <w:tcPr>
            <w:tcW w:w="1119" w:type="dxa"/>
          </w:tcPr>
          <w:p w:rsidR="00A81C68" w:rsidRPr="007E5614" w:rsidRDefault="00A81C68" w:rsidP="00666795">
            <w:pPr>
              <w:spacing w:before="60" w:after="60" w:line="240" w:lineRule="auto"/>
              <w:jc w:val="right"/>
              <w:rPr>
                <w:b/>
                <w:sz w:val="18"/>
                <w:szCs w:val="18"/>
              </w:rPr>
            </w:pPr>
            <w:r w:rsidRPr="007E5614">
              <w:rPr>
                <w:b/>
                <w:sz w:val="18"/>
                <w:szCs w:val="18"/>
              </w:rPr>
              <w:t xml:space="preserve">2012-13 </w:t>
            </w:r>
            <w:r w:rsidRPr="007E5614">
              <w:rPr>
                <w:b/>
                <w:sz w:val="18"/>
                <w:szCs w:val="18"/>
              </w:rPr>
              <w:br/>
              <w:t>Actual</w:t>
            </w:r>
          </w:p>
        </w:tc>
        <w:tc>
          <w:tcPr>
            <w:tcW w:w="1119" w:type="dxa"/>
          </w:tcPr>
          <w:p w:rsidR="00A81C68" w:rsidRPr="007E5614" w:rsidRDefault="00A81C68" w:rsidP="00666795">
            <w:pPr>
              <w:spacing w:before="60" w:after="60" w:line="240" w:lineRule="auto"/>
              <w:jc w:val="right"/>
              <w:rPr>
                <w:b/>
                <w:sz w:val="18"/>
                <w:szCs w:val="18"/>
              </w:rPr>
            </w:pPr>
            <w:r w:rsidRPr="007E5614">
              <w:rPr>
                <w:b/>
                <w:sz w:val="18"/>
                <w:szCs w:val="18"/>
              </w:rPr>
              <w:t xml:space="preserve">2013-14 </w:t>
            </w:r>
            <w:r w:rsidRPr="007E5614">
              <w:rPr>
                <w:b/>
                <w:sz w:val="18"/>
                <w:szCs w:val="18"/>
              </w:rPr>
              <w:br/>
              <w:t>Actual</w:t>
            </w:r>
          </w:p>
        </w:tc>
        <w:tc>
          <w:tcPr>
            <w:tcW w:w="1153" w:type="dxa"/>
          </w:tcPr>
          <w:p w:rsidR="00A81C68" w:rsidRPr="007E5614" w:rsidRDefault="00A81C68" w:rsidP="00666795">
            <w:pPr>
              <w:spacing w:before="60" w:after="60" w:line="240" w:lineRule="auto"/>
              <w:jc w:val="right"/>
              <w:rPr>
                <w:b/>
                <w:sz w:val="18"/>
                <w:szCs w:val="18"/>
              </w:rPr>
            </w:pPr>
            <w:r w:rsidRPr="007E5614">
              <w:rPr>
                <w:b/>
                <w:sz w:val="18"/>
                <w:szCs w:val="18"/>
              </w:rPr>
              <w:t>2014-15 Actual</w:t>
            </w:r>
          </w:p>
        </w:tc>
        <w:tc>
          <w:tcPr>
            <w:tcW w:w="1137" w:type="dxa"/>
          </w:tcPr>
          <w:p w:rsidR="00A81C68" w:rsidRPr="007E5614" w:rsidRDefault="00A81C68" w:rsidP="00666795">
            <w:pPr>
              <w:spacing w:before="60" w:after="60" w:line="240" w:lineRule="auto"/>
              <w:jc w:val="right"/>
              <w:rPr>
                <w:b/>
                <w:sz w:val="18"/>
                <w:szCs w:val="18"/>
              </w:rPr>
            </w:pPr>
            <w:r w:rsidRPr="007E5614">
              <w:rPr>
                <w:b/>
                <w:sz w:val="18"/>
                <w:szCs w:val="18"/>
              </w:rPr>
              <w:t>2015-16 Actual</w:t>
            </w:r>
          </w:p>
        </w:tc>
      </w:tr>
      <w:tr w:rsidR="00A81C68" w:rsidRPr="007E5614" w:rsidTr="00A81C68">
        <w:tc>
          <w:tcPr>
            <w:tcW w:w="3828" w:type="dxa"/>
          </w:tcPr>
          <w:p w:rsidR="00A81C68" w:rsidRPr="007E5614" w:rsidRDefault="00A81C68" w:rsidP="00666795">
            <w:pPr>
              <w:pStyle w:val="Table-AnnualReport"/>
            </w:pPr>
            <w:r w:rsidRPr="007E5614">
              <w:t>Total Ambulance Responses</w:t>
            </w:r>
          </w:p>
        </w:tc>
        <w:tc>
          <w:tcPr>
            <w:tcW w:w="1174" w:type="dxa"/>
            <w:vAlign w:val="center"/>
          </w:tcPr>
          <w:p w:rsidR="00A81C68" w:rsidRPr="007E5614" w:rsidRDefault="00A81C68" w:rsidP="00666795">
            <w:pPr>
              <w:pStyle w:val="Table-AnnualReport"/>
              <w:jc w:val="right"/>
            </w:pPr>
            <w:r w:rsidRPr="007E5614">
              <w:t>Number</w:t>
            </w:r>
          </w:p>
        </w:tc>
        <w:tc>
          <w:tcPr>
            <w:tcW w:w="1119" w:type="dxa"/>
            <w:vAlign w:val="center"/>
          </w:tcPr>
          <w:p w:rsidR="00A81C68" w:rsidRPr="007E5614" w:rsidRDefault="00A81C68" w:rsidP="00666795">
            <w:pPr>
              <w:pStyle w:val="Table-AnnualReport"/>
              <w:jc w:val="right"/>
            </w:pPr>
            <w:r w:rsidRPr="007E5614">
              <w:t>76 377</w:t>
            </w:r>
          </w:p>
        </w:tc>
        <w:tc>
          <w:tcPr>
            <w:tcW w:w="1119" w:type="dxa"/>
            <w:vAlign w:val="center"/>
          </w:tcPr>
          <w:p w:rsidR="00A81C68" w:rsidRPr="007E5614" w:rsidRDefault="00A81C68" w:rsidP="00666795">
            <w:pPr>
              <w:pStyle w:val="Table-AnnualReport"/>
              <w:jc w:val="right"/>
            </w:pPr>
            <w:r w:rsidRPr="007E5614">
              <w:t>78 911</w:t>
            </w:r>
          </w:p>
        </w:tc>
        <w:tc>
          <w:tcPr>
            <w:tcW w:w="1153" w:type="dxa"/>
            <w:vAlign w:val="center"/>
          </w:tcPr>
          <w:p w:rsidR="00A81C68" w:rsidRPr="007E5614" w:rsidRDefault="00A81C68" w:rsidP="00666795">
            <w:pPr>
              <w:pStyle w:val="Table-AnnualReport"/>
              <w:jc w:val="right"/>
            </w:pPr>
            <w:r w:rsidRPr="007E5614">
              <w:t>78 749</w:t>
            </w:r>
            <w:r w:rsidRPr="007E5614">
              <w:rPr>
                <w:vertAlign w:val="superscript"/>
              </w:rPr>
              <w:t>1</w:t>
            </w:r>
          </w:p>
        </w:tc>
        <w:tc>
          <w:tcPr>
            <w:tcW w:w="1137" w:type="dxa"/>
          </w:tcPr>
          <w:p w:rsidR="00A81C68" w:rsidRPr="007E5614" w:rsidRDefault="00A81C68" w:rsidP="00666795">
            <w:pPr>
              <w:pStyle w:val="Table-AnnualReport"/>
              <w:jc w:val="right"/>
            </w:pPr>
            <w:r w:rsidRPr="007E5614">
              <w:t>81 409</w:t>
            </w:r>
          </w:p>
        </w:tc>
      </w:tr>
      <w:tr w:rsidR="00A81C68" w:rsidRPr="007E5614" w:rsidTr="00A81C68">
        <w:tc>
          <w:tcPr>
            <w:tcW w:w="3828" w:type="dxa"/>
          </w:tcPr>
          <w:p w:rsidR="00A81C68" w:rsidRPr="007E5614" w:rsidRDefault="00A81C68" w:rsidP="00666795">
            <w:pPr>
              <w:pStyle w:val="Table-AnnualReport"/>
            </w:pPr>
            <w:r w:rsidRPr="007E5614">
              <w:t>Emergency Ambulance Responses</w:t>
            </w:r>
          </w:p>
        </w:tc>
        <w:tc>
          <w:tcPr>
            <w:tcW w:w="1174" w:type="dxa"/>
            <w:vAlign w:val="center"/>
          </w:tcPr>
          <w:p w:rsidR="00A81C68" w:rsidRPr="007E5614" w:rsidRDefault="00A81C68" w:rsidP="00666795">
            <w:pPr>
              <w:pStyle w:val="Table-AnnualReport"/>
              <w:jc w:val="right"/>
            </w:pPr>
            <w:r w:rsidRPr="007E5614">
              <w:t>Number</w:t>
            </w:r>
          </w:p>
        </w:tc>
        <w:tc>
          <w:tcPr>
            <w:tcW w:w="1119" w:type="dxa"/>
            <w:vAlign w:val="center"/>
          </w:tcPr>
          <w:p w:rsidR="00A81C68" w:rsidRPr="007E5614" w:rsidRDefault="00A81C68" w:rsidP="00666795">
            <w:pPr>
              <w:pStyle w:val="Table-AnnualReport"/>
              <w:jc w:val="right"/>
            </w:pPr>
            <w:r w:rsidRPr="007E5614">
              <w:t>47 315</w:t>
            </w:r>
          </w:p>
        </w:tc>
        <w:tc>
          <w:tcPr>
            <w:tcW w:w="1119" w:type="dxa"/>
            <w:vAlign w:val="center"/>
          </w:tcPr>
          <w:p w:rsidR="00A81C68" w:rsidRPr="007E5614" w:rsidRDefault="00A81C68" w:rsidP="00666795">
            <w:pPr>
              <w:pStyle w:val="Table-AnnualReport"/>
              <w:jc w:val="right"/>
            </w:pPr>
            <w:r w:rsidRPr="007E5614">
              <w:t>48 607</w:t>
            </w:r>
          </w:p>
        </w:tc>
        <w:tc>
          <w:tcPr>
            <w:tcW w:w="1153" w:type="dxa"/>
            <w:vAlign w:val="center"/>
          </w:tcPr>
          <w:p w:rsidR="00A81C68" w:rsidRPr="007E5614" w:rsidRDefault="00A81C68" w:rsidP="00666795">
            <w:pPr>
              <w:pStyle w:val="Table-AnnualReport"/>
              <w:jc w:val="right"/>
            </w:pPr>
            <w:r w:rsidRPr="007E5614">
              <w:t>47 799</w:t>
            </w:r>
            <w:r w:rsidRPr="007E5614">
              <w:rPr>
                <w:vertAlign w:val="superscript"/>
              </w:rPr>
              <w:t>1</w:t>
            </w:r>
          </w:p>
        </w:tc>
        <w:tc>
          <w:tcPr>
            <w:tcW w:w="1137" w:type="dxa"/>
          </w:tcPr>
          <w:p w:rsidR="00A81C68" w:rsidRPr="007E5614" w:rsidRDefault="00A81C68" w:rsidP="00666795">
            <w:pPr>
              <w:pStyle w:val="Table-AnnualReport"/>
              <w:jc w:val="right"/>
            </w:pPr>
            <w:r w:rsidRPr="007E5614">
              <w:t>49 644</w:t>
            </w:r>
          </w:p>
        </w:tc>
      </w:tr>
      <w:tr w:rsidR="00A81C68" w:rsidRPr="007E5614" w:rsidTr="00A81C68">
        <w:tc>
          <w:tcPr>
            <w:tcW w:w="3828" w:type="dxa"/>
          </w:tcPr>
          <w:p w:rsidR="00A81C68" w:rsidRPr="007E5614" w:rsidRDefault="00A81C68" w:rsidP="00666795">
            <w:pPr>
              <w:pStyle w:val="Table-AnnualReport"/>
            </w:pPr>
            <w:r w:rsidRPr="007E5614">
              <w:t>Satisfaction with Ambulance Services</w:t>
            </w:r>
            <w:r w:rsidRPr="007E5614">
              <w:rPr>
                <w:vertAlign w:val="superscript"/>
              </w:rPr>
              <w:t>3</w:t>
            </w:r>
          </w:p>
        </w:tc>
        <w:tc>
          <w:tcPr>
            <w:tcW w:w="1174" w:type="dxa"/>
            <w:vAlign w:val="center"/>
          </w:tcPr>
          <w:p w:rsidR="00A81C68" w:rsidRPr="007E5614" w:rsidRDefault="00A81C68" w:rsidP="00666795">
            <w:pPr>
              <w:pStyle w:val="Table-AnnualReport"/>
              <w:jc w:val="right"/>
            </w:pPr>
            <w:r w:rsidRPr="007E5614">
              <w:t>%</w:t>
            </w:r>
          </w:p>
        </w:tc>
        <w:tc>
          <w:tcPr>
            <w:tcW w:w="1119" w:type="dxa"/>
            <w:vAlign w:val="center"/>
          </w:tcPr>
          <w:p w:rsidR="00A81C68" w:rsidRPr="007E5614" w:rsidRDefault="00A81C68" w:rsidP="00666795">
            <w:pPr>
              <w:pStyle w:val="Table-AnnualReport"/>
              <w:jc w:val="right"/>
            </w:pPr>
            <w:r w:rsidRPr="007E5614">
              <w:t>98.0</w:t>
            </w:r>
          </w:p>
        </w:tc>
        <w:tc>
          <w:tcPr>
            <w:tcW w:w="1119" w:type="dxa"/>
            <w:vAlign w:val="center"/>
          </w:tcPr>
          <w:p w:rsidR="00A81C68" w:rsidRPr="007E5614" w:rsidRDefault="00A81C68" w:rsidP="00666795">
            <w:pPr>
              <w:pStyle w:val="Table-AnnualReport"/>
              <w:jc w:val="right"/>
            </w:pPr>
            <w:r w:rsidRPr="007E5614">
              <w:t>98.0</w:t>
            </w:r>
          </w:p>
        </w:tc>
        <w:tc>
          <w:tcPr>
            <w:tcW w:w="1153" w:type="dxa"/>
            <w:vAlign w:val="center"/>
          </w:tcPr>
          <w:p w:rsidR="00A81C68" w:rsidRPr="007E5614" w:rsidRDefault="00A81C68" w:rsidP="00666795">
            <w:pPr>
              <w:pStyle w:val="Table-AnnualReport"/>
              <w:jc w:val="right"/>
              <w:rPr>
                <w:vertAlign w:val="superscript"/>
              </w:rPr>
            </w:pPr>
            <w:r w:rsidRPr="007E5614">
              <w:t>98.0</w:t>
            </w:r>
            <w:r w:rsidRPr="007E5614">
              <w:rPr>
                <w:vertAlign w:val="superscript"/>
              </w:rPr>
              <w:t>2</w:t>
            </w:r>
          </w:p>
        </w:tc>
        <w:tc>
          <w:tcPr>
            <w:tcW w:w="1137" w:type="dxa"/>
            <w:vAlign w:val="center"/>
          </w:tcPr>
          <w:p w:rsidR="00A81C68" w:rsidRPr="007E5614" w:rsidRDefault="00A81C68" w:rsidP="00666795">
            <w:pPr>
              <w:pStyle w:val="Table-AnnualReport"/>
              <w:jc w:val="right"/>
            </w:pPr>
            <w:r w:rsidRPr="007E5614">
              <w:t>98.0</w:t>
            </w:r>
          </w:p>
        </w:tc>
      </w:tr>
      <w:tr w:rsidR="00A81C68" w:rsidRPr="007E5614" w:rsidTr="00A81C68">
        <w:tc>
          <w:tcPr>
            <w:tcW w:w="3828" w:type="dxa"/>
          </w:tcPr>
          <w:p w:rsidR="00A81C68" w:rsidRPr="007E5614" w:rsidRDefault="00A81C68" w:rsidP="00A81C68">
            <w:pPr>
              <w:pStyle w:val="Table-AnnualReport"/>
              <w:tabs>
                <w:tab w:val="left" w:pos="4423"/>
              </w:tabs>
            </w:pPr>
            <w:r w:rsidRPr="007E5614">
              <w:t>Median Emergency Response Times (</w:t>
            </w:r>
            <w:proofErr w:type="spellStart"/>
            <w:r w:rsidRPr="007E5614">
              <w:t>statewide</w:t>
            </w:r>
            <w:proofErr w:type="spellEnd"/>
            <w:r w:rsidRPr="007E5614">
              <w:t>)</w:t>
            </w:r>
            <w:r w:rsidRPr="007E5614">
              <w:rPr>
                <w:vertAlign w:val="superscript"/>
              </w:rPr>
              <w:t xml:space="preserve">4 </w:t>
            </w:r>
          </w:p>
        </w:tc>
        <w:tc>
          <w:tcPr>
            <w:tcW w:w="1174" w:type="dxa"/>
          </w:tcPr>
          <w:p w:rsidR="00A81C68" w:rsidRPr="007E5614" w:rsidRDefault="00A81C68" w:rsidP="00A81C68">
            <w:pPr>
              <w:pStyle w:val="Table-AnnualReport"/>
              <w:tabs>
                <w:tab w:val="left" w:pos="4423"/>
              </w:tabs>
              <w:jc w:val="right"/>
            </w:pPr>
            <w:r w:rsidRPr="007E5614">
              <w:t>Mins</w:t>
            </w:r>
          </w:p>
        </w:tc>
        <w:tc>
          <w:tcPr>
            <w:tcW w:w="1119" w:type="dxa"/>
            <w:vAlign w:val="center"/>
          </w:tcPr>
          <w:p w:rsidR="00A81C68" w:rsidRPr="007E5614" w:rsidRDefault="00A81C68" w:rsidP="00666795">
            <w:pPr>
              <w:pStyle w:val="Table-AnnualReport"/>
              <w:jc w:val="right"/>
            </w:pPr>
            <w:r w:rsidRPr="007E5614">
              <w:t>11.6</w:t>
            </w:r>
          </w:p>
        </w:tc>
        <w:tc>
          <w:tcPr>
            <w:tcW w:w="1119" w:type="dxa"/>
            <w:vAlign w:val="center"/>
          </w:tcPr>
          <w:p w:rsidR="00A81C68" w:rsidRPr="007E5614" w:rsidRDefault="00A81C68" w:rsidP="00666795">
            <w:pPr>
              <w:pStyle w:val="Table-AnnualReport"/>
              <w:jc w:val="right"/>
            </w:pPr>
            <w:r w:rsidRPr="007E5614">
              <w:t>12.1</w:t>
            </w:r>
          </w:p>
        </w:tc>
        <w:tc>
          <w:tcPr>
            <w:tcW w:w="1153" w:type="dxa"/>
            <w:vAlign w:val="center"/>
          </w:tcPr>
          <w:p w:rsidR="00A81C68" w:rsidRPr="007E5614" w:rsidRDefault="00A81C68" w:rsidP="00666795">
            <w:pPr>
              <w:pStyle w:val="Table-AnnualReport"/>
              <w:jc w:val="right"/>
            </w:pPr>
            <w:r w:rsidRPr="007E5614">
              <w:t>12.3</w:t>
            </w:r>
          </w:p>
        </w:tc>
        <w:tc>
          <w:tcPr>
            <w:tcW w:w="1137" w:type="dxa"/>
            <w:vAlign w:val="center"/>
          </w:tcPr>
          <w:p w:rsidR="00A81C68" w:rsidRPr="007E5614" w:rsidRDefault="00A81C68" w:rsidP="00666795">
            <w:pPr>
              <w:pStyle w:val="Table-AnnualReport"/>
              <w:jc w:val="right"/>
            </w:pPr>
            <w:r w:rsidRPr="007E5614">
              <w:t>12.9</w:t>
            </w:r>
          </w:p>
        </w:tc>
      </w:tr>
      <w:tr w:rsidR="00A81C68" w:rsidRPr="007E5614" w:rsidTr="00A81C68">
        <w:tc>
          <w:tcPr>
            <w:tcW w:w="3828" w:type="dxa"/>
          </w:tcPr>
          <w:p w:rsidR="00A81C68" w:rsidRPr="007E5614" w:rsidRDefault="00A81C68" w:rsidP="00A81C68">
            <w:pPr>
              <w:pStyle w:val="Table-AnnualReport"/>
              <w:tabs>
                <w:tab w:val="left" w:pos="4423"/>
              </w:tabs>
            </w:pPr>
            <w:r w:rsidRPr="007E5614">
              <w:t>Median Emergency Response Times (Burnie)</w:t>
            </w:r>
            <w:r w:rsidRPr="007E5614">
              <w:rPr>
                <w:vertAlign w:val="superscript"/>
              </w:rPr>
              <w:t>4</w:t>
            </w:r>
            <w:r w:rsidRPr="007E5614">
              <w:rPr>
                <w:vertAlign w:val="superscript"/>
              </w:rPr>
              <w:tab/>
            </w:r>
          </w:p>
        </w:tc>
        <w:tc>
          <w:tcPr>
            <w:tcW w:w="1174" w:type="dxa"/>
          </w:tcPr>
          <w:p w:rsidR="00A81C68" w:rsidRPr="007E5614" w:rsidRDefault="00A81C68" w:rsidP="00A81C68">
            <w:pPr>
              <w:pStyle w:val="Table-AnnualReport"/>
              <w:tabs>
                <w:tab w:val="left" w:pos="4423"/>
              </w:tabs>
              <w:jc w:val="right"/>
            </w:pPr>
            <w:r w:rsidRPr="007E5614">
              <w:t>Mins</w:t>
            </w:r>
          </w:p>
        </w:tc>
        <w:tc>
          <w:tcPr>
            <w:tcW w:w="1119" w:type="dxa"/>
            <w:vAlign w:val="center"/>
          </w:tcPr>
          <w:p w:rsidR="00A81C68" w:rsidRPr="007E5614" w:rsidRDefault="00A81C68" w:rsidP="00666795">
            <w:pPr>
              <w:pStyle w:val="Table-AnnualReport"/>
              <w:tabs>
                <w:tab w:val="left" w:pos="4423"/>
              </w:tabs>
              <w:jc w:val="right"/>
            </w:pPr>
            <w:r w:rsidRPr="007E5614">
              <w:t>9.7</w:t>
            </w:r>
          </w:p>
        </w:tc>
        <w:tc>
          <w:tcPr>
            <w:tcW w:w="1119" w:type="dxa"/>
            <w:vAlign w:val="center"/>
          </w:tcPr>
          <w:p w:rsidR="00A81C68" w:rsidRPr="007E5614" w:rsidRDefault="00A81C68" w:rsidP="00666795">
            <w:pPr>
              <w:pStyle w:val="Table-AnnualReport"/>
              <w:tabs>
                <w:tab w:val="left" w:pos="4423"/>
              </w:tabs>
              <w:jc w:val="right"/>
            </w:pPr>
            <w:r w:rsidRPr="007E5614">
              <w:t>10.2</w:t>
            </w:r>
          </w:p>
        </w:tc>
        <w:tc>
          <w:tcPr>
            <w:tcW w:w="1153" w:type="dxa"/>
            <w:vAlign w:val="center"/>
          </w:tcPr>
          <w:p w:rsidR="00A81C68" w:rsidRPr="007E5614" w:rsidRDefault="00A81C68" w:rsidP="00666795">
            <w:pPr>
              <w:pStyle w:val="Table-AnnualReport"/>
              <w:tabs>
                <w:tab w:val="left" w:pos="4423"/>
              </w:tabs>
              <w:jc w:val="right"/>
            </w:pPr>
            <w:r w:rsidRPr="007E5614">
              <w:t>9.8</w:t>
            </w:r>
          </w:p>
        </w:tc>
        <w:tc>
          <w:tcPr>
            <w:tcW w:w="1137" w:type="dxa"/>
            <w:vAlign w:val="center"/>
          </w:tcPr>
          <w:p w:rsidR="00A81C68" w:rsidRPr="007E5614" w:rsidRDefault="00A81C68" w:rsidP="00666795">
            <w:pPr>
              <w:pStyle w:val="Table-AnnualReport"/>
              <w:tabs>
                <w:tab w:val="left" w:pos="4423"/>
              </w:tabs>
              <w:jc w:val="right"/>
            </w:pPr>
            <w:r w:rsidRPr="007E5614">
              <w:t>10.1</w:t>
            </w:r>
          </w:p>
        </w:tc>
      </w:tr>
      <w:tr w:rsidR="00A81C68" w:rsidRPr="007E5614" w:rsidTr="00A81C68">
        <w:tc>
          <w:tcPr>
            <w:tcW w:w="3828" w:type="dxa"/>
          </w:tcPr>
          <w:p w:rsidR="00A81C68" w:rsidRPr="007E5614" w:rsidRDefault="00A81C68" w:rsidP="00A81C68">
            <w:pPr>
              <w:pStyle w:val="Table-AnnualReport"/>
              <w:tabs>
                <w:tab w:val="left" w:pos="4423"/>
              </w:tabs>
            </w:pPr>
            <w:r w:rsidRPr="007E5614">
              <w:t>Median Emergency Response Times (Devonport)</w:t>
            </w:r>
            <w:r w:rsidRPr="007E5614">
              <w:rPr>
                <w:vertAlign w:val="superscript"/>
              </w:rPr>
              <w:t>4</w:t>
            </w:r>
            <w:r w:rsidRPr="007E5614">
              <w:rPr>
                <w:vertAlign w:val="superscript"/>
              </w:rPr>
              <w:tab/>
            </w:r>
          </w:p>
        </w:tc>
        <w:tc>
          <w:tcPr>
            <w:tcW w:w="1174" w:type="dxa"/>
          </w:tcPr>
          <w:p w:rsidR="00A81C68" w:rsidRPr="007E5614" w:rsidRDefault="00A81C68" w:rsidP="00A81C68">
            <w:pPr>
              <w:pStyle w:val="Table-AnnualReport"/>
              <w:tabs>
                <w:tab w:val="left" w:pos="4423"/>
              </w:tabs>
              <w:jc w:val="right"/>
            </w:pPr>
            <w:r w:rsidRPr="007E5614">
              <w:t>Mins</w:t>
            </w:r>
          </w:p>
        </w:tc>
        <w:tc>
          <w:tcPr>
            <w:tcW w:w="1119" w:type="dxa"/>
            <w:vAlign w:val="center"/>
          </w:tcPr>
          <w:p w:rsidR="00A81C68" w:rsidRPr="007E5614" w:rsidRDefault="00A81C68" w:rsidP="00666795">
            <w:pPr>
              <w:pStyle w:val="Table-AnnualReport"/>
              <w:tabs>
                <w:tab w:val="left" w:pos="4423"/>
              </w:tabs>
              <w:jc w:val="right"/>
            </w:pPr>
            <w:r w:rsidRPr="007E5614">
              <w:t>9.5</w:t>
            </w:r>
          </w:p>
        </w:tc>
        <w:tc>
          <w:tcPr>
            <w:tcW w:w="1119" w:type="dxa"/>
            <w:vAlign w:val="center"/>
          </w:tcPr>
          <w:p w:rsidR="00A81C68" w:rsidRPr="007E5614" w:rsidRDefault="00A81C68" w:rsidP="00666795">
            <w:pPr>
              <w:pStyle w:val="Table-AnnualReport"/>
              <w:tabs>
                <w:tab w:val="left" w:pos="4423"/>
              </w:tabs>
              <w:jc w:val="right"/>
            </w:pPr>
            <w:r w:rsidRPr="007E5614">
              <w:t>10.1</w:t>
            </w:r>
          </w:p>
        </w:tc>
        <w:tc>
          <w:tcPr>
            <w:tcW w:w="1153" w:type="dxa"/>
            <w:vAlign w:val="center"/>
          </w:tcPr>
          <w:p w:rsidR="00A81C68" w:rsidRPr="007E5614" w:rsidRDefault="00A81C68" w:rsidP="00666795">
            <w:pPr>
              <w:pStyle w:val="Table-AnnualReport"/>
              <w:tabs>
                <w:tab w:val="left" w:pos="4423"/>
              </w:tabs>
              <w:jc w:val="right"/>
            </w:pPr>
            <w:r w:rsidRPr="007E5614">
              <w:t>10.2</w:t>
            </w:r>
          </w:p>
        </w:tc>
        <w:tc>
          <w:tcPr>
            <w:tcW w:w="1137" w:type="dxa"/>
            <w:vAlign w:val="center"/>
          </w:tcPr>
          <w:p w:rsidR="00A81C68" w:rsidRPr="007E5614" w:rsidRDefault="00A81C68" w:rsidP="00666795">
            <w:pPr>
              <w:pStyle w:val="Table-AnnualReport"/>
              <w:tabs>
                <w:tab w:val="left" w:pos="4423"/>
              </w:tabs>
              <w:jc w:val="right"/>
            </w:pPr>
            <w:r w:rsidRPr="007E5614">
              <w:t>10.5</w:t>
            </w:r>
          </w:p>
        </w:tc>
      </w:tr>
      <w:tr w:rsidR="00A81C68" w:rsidRPr="007E5614" w:rsidTr="00A81C68">
        <w:tc>
          <w:tcPr>
            <w:tcW w:w="3828" w:type="dxa"/>
          </w:tcPr>
          <w:p w:rsidR="00A81C68" w:rsidRPr="007E5614" w:rsidRDefault="00A81C68" w:rsidP="00A81C68">
            <w:pPr>
              <w:pStyle w:val="Table-AnnualReport"/>
              <w:tabs>
                <w:tab w:val="left" w:pos="4423"/>
              </w:tabs>
            </w:pPr>
            <w:r w:rsidRPr="007E5614">
              <w:t>Median Emergency Response Times (Hobart)</w:t>
            </w:r>
            <w:r w:rsidRPr="007E5614">
              <w:rPr>
                <w:vertAlign w:val="superscript"/>
              </w:rPr>
              <w:t xml:space="preserve">4  </w:t>
            </w:r>
            <w:r w:rsidRPr="007E5614">
              <w:rPr>
                <w:vertAlign w:val="superscript"/>
              </w:rPr>
              <w:tab/>
            </w:r>
          </w:p>
        </w:tc>
        <w:tc>
          <w:tcPr>
            <w:tcW w:w="1174" w:type="dxa"/>
          </w:tcPr>
          <w:p w:rsidR="00A81C68" w:rsidRPr="007E5614" w:rsidRDefault="00A81C68" w:rsidP="00A81C68">
            <w:pPr>
              <w:pStyle w:val="Table-AnnualReport"/>
              <w:tabs>
                <w:tab w:val="left" w:pos="4423"/>
              </w:tabs>
              <w:jc w:val="right"/>
            </w:pPr>
            <w:r w:rsidRPr="007E5614">
              <w:t>Mins</w:t>
            </w:r>
          </w:p>
        </w:tc>
        <w:tc>
          <w:tcPr>
            <w:tcW w:w="1119" w:type="dxa"/>
            <w:vAlign w:val="center"/>
          </w:tcPr>
          <w:p w:rsidR="00A81C68" w:rsidRPr="007E5614" w:rsidRDefault="00A81C68" w:rsidP="00666795">
            <w:pPr>
              <w:pStyle w:val="Table-AnnualReport"/>
              <w:tabs>
                <w:tab w:val="left" w:pos="4423"/>
              </w:tabs>
              <w:jc w:val="right"/>
            </w:pPr>
            <w:r w:rsidRPr="007E5614">
              <w:t>10.8</w:t>
            </w:r>
          </w:p>
        </w:tc>
        <w:tc>
          <w:tcPr>
            <w:tcW w:w="1119" w:type="dxa"/>
            <w:vAlign w:val="center"/>
          </w:tcPr>
          <w:p w:rsidR="00A81C68" w:rsidRPr="007E5614" w:rsidRDefault="00A81C68" w:rsidP="00666795">
            <w:pPr>
              <w:pStyle w:val="Table-AnnualReport"/>
              <w:tabs>
                <w:tab w:val="left" w:pos="4423"/>
              </w:tabs>
              <w:jc w:val="right"/>
            </w:pPr>
            <w:r w:rsidRPr="007E5614">
              <w:t>11.1</w:t>
            </w:r>
          </w:p>
        </w:tc>
        <w:tc>
          <w:tcPr>
            <w:tcW w:w="1153" w:type="dxa"/>
            <w:vAlign w:val="center"/>
          </w:tcPr>
          <w:p w:rsidR="00A81C68" w:rsidRPr="007E5614" w:rsidRDefault="00A81C68" w:rsidP="00666795">
            <w:pPr>
              <w:pStyle w:val="Table-AnnualReport"/>
              <w:tabs>
                <w:tab w:val="left" w:pos="4423"/>
              </w:tabs>
              <w:jc w:val="right"/>
            </w:pPr>
            <w:r w:rsidRPr="007E5614">
              <w:t>11.5</w:t>
            </w:r>
          </w:p>
        </w:tc>
        <w:tc>
          <w:tcPr>
            <w:tcW w:w="1137" w:type="dxa"/>
            <w:vAlign w:val="center"/>
          </w:tcPr>
          <w:p w:rsidR="00A81C68" w:rsidRPr="007E5614" w:rsidRDefault="00A81C68" w:rsidP="00666795">
            <w:pPr>
              <w:pStyle w:val="Table-AnnualReport"/>
              <w:tabs>
                <w:tab w:val="left" w:pos="4423"/>
              </w:tabs>
              <w:jc w:val="right"/>
            </w:pPr>
            <w:r w:rsidRPr="007E5614">
              <w:t>11.9</w:t>
            </w:r>
          </w:p>
        </w:tc>
      </w:tr>
      <w:tr w:rsidR="00A81C68" w:rsidRPr="007E5614" w:rsidTr="00A81C68">
        <w:tc>
          <w:tcPr>
            <w:tcW w:w="3828" w:type="dxa"/>
          </w:tcPr>
          <w:p w:rsidR="00A81C68" w:rsidRPr="007E5614" w:rsidRDefault="00A81C68" w:rsidP="00A81C68">
            <w:pPr>
              <w:pStyle w:val="Table-AnnualReport"/>
              <w:tabs>
                <w:tab w:val="left" w:pos="4423"/>
              </w:tabs>
            </w:pPr>
            <w:r w:rsidRPr="007E5614">
              <w:t>Median Emergency Response Times (Launceston)</w:t>
            </w:r>
            <w:r w:rsidRPr="007E5614">
              <w:rPr>
                <w:vertAlign w:val="superscript"/>
              </w:rPr>
              <w:t xml:space="preserve">4 </w:t>
            </w:r>
            <w:r w:rsidRPr="007E5614">
              <w:rPr>
                <w:vertAlign w:val="superscript"/>
              </w:rPr>
              <w:tab/>
            </w:r>
          </w:p>
        </w:tc>
        <w:tc>
          <w:tcPr>
            <w:tcW w:w="1174" w:type="dxa"/>
          </w:tcPr>
          <w:p w:rsidR="00A81C68" w:rsidRPr="007E5614" w:rsidRDefault="00A81C68" w:rsidP="00A81C68">
            <w:pPr>
              <w:pStyle w:val="Table-AnnualReport"/>
              <w:tabs>
                <w:tab w:val="left" w:pos="4423"/>
              </w:tabs>
              <w:jc w:val="right"/>
            </w:pPr>
            <w:r w:rsidRPr="007E5614">
              <w:t>Mins</w:t>
            </w:r>
          </w:p>
        </w:tc>
        <w:tc>
          <w:tcPr>
            <w:tcW w:w="1119" w:type="dxa"/>
            <w:vAlign w:val="center"/>
          </w:tcPr>
          <w:p w:rsidR="00A81C68" w:rsidRPr="007E5614" w:rsidRDefault="00A81C68" w:rsidP="00666795">
            <w:pPr>
              <w:pStyle w:val="Table-AnnualReport"/>
              <w:tabs>
                <w:tab w:val="left" w:pos="4423"/>
              </w:tabs>
              <w:jc w:val="right"/>
            </w:pPr>
            <w:r w:rsidRPr="007E5614">
              <w:t>10.3</w:t>
            </w:r>
          </w:p>
        </w:tc>
        <w:tc>
          <w:tcPr>
            <w:tcW w:w="1119" w:type="dxa"/>
            <w:vAlign w:val="center"/>
          </w:tcPr>
          <w:p w:rsidR="00A81C68" w:rsidRPr="007E5614" w:rsidRDefault="00A81C68" w:rsidP="00666795">
            <w:pPr>
              <w:pStyle w:val="Table-AnnualReport"/>
              <w:tabs>
                <w:tab w:val="left" w:pos="4423"/>
              </w:tabs>
              <w:jc w:val="right"/>
            </w:pPr>
            <w:r w:rsidRPr="007E5614">
              <w:t>10.7</w:t>
            </w:r>
          </w:p>
        </w:tc>
        <w:tc>
          <w:tcPr>
            <w:tcW w:w="1153" w:type="dxa"/>
            <w:vAlign w:val="center"/>
          </w:tcPr>
          <w:p w:rsidR="00A81C68" w:rsidRPr="007E5614" w:rsidRDefault="00A81C68" w:rsidP="00666795">
            <w:pPr>
              <w:pStyle w:val="Table-AnnualReport"/>
              <w:tabs>
                <w:tab w:val="left" w:pos="4423"/>
              </w:tabs>
              <w:jc w:val="right"/>
            </w:pPr>
            <w:r w:rsidRPr="007E5614">
              <w:t>11.0</w:t>
            </w:r>
          </w:p>
        </w:tc>
        <w:tc>
          <w:tcPr>
            <w:tcW w:w="1137" w:type="dxa"/>
            <w:vAlign w:val="center"/>
          </w:tcPr>
          <w:p w:rsidR="00A81C68" w:rsidRPr="007E5614" w:rsidRDefault="00A81C68" w:rsidP="00666795">
            <w:pPr>
              <w:pStyle w:val="Table-AnnualReport"/>
              <w:tabs>
                <w:tab w:val="left" w:pos="4423"/>
              </w:tabs>
              <w:jc w:val="right"/>
            </w:pPr>
            <w:r w:rsidRPr="007E5614">
              <w:t>11.7</w:t>
            </w:r>
          </w:p>
        </w:tc>
      </w:tr>
      <w:tr w:rsidR="00A81C68" w:rsidRPr="007E5614" w:rsidTr="00A81C68">
        <w:tc>
          <w:tcPr>
            <w:tcW w:w="3828" w:type="dxa"/>
            <w:tcBorders>
              <w:bottom w:val="single" w:sz="2" w:space="0" w:color="A6A6A6"/>
            </w:tcBorders>
          </w:tcPr>
          <w:p w:rsidR="00A81C68" w:rsidRPr="007E5614" w:rsidRDefault="00A81C68" w:rsidP="00A81C68">
            <w:pPr>
              <w:pStyle w:val="Table-AnnualReport"/>
              <w:tabs>
                <w:tab w:val="left" w:pos="4649"/>
              </w:tabs>
            </w:pPr>
            <w:r w:rsidRPr="007E5614">
              <w:t>Ambulance Services expenditure per person</w:t>
            </w:r>
            <w:r w:rsidRPr="007E5614">
              <w:rPr>
                <w:vertAlign w:val="superscript"/>
              </w:rPr>
              <w:t>5</w:t>
            </w:r>
          </w:p>
        </w:tc>
        <w:tc>
          <w:tcPr>
            <w:tcW w:w="1174" w:type="dxa"/>
            <w:tcBorders>
              <w:bottom w:val="single" w:sz="2" w:space="0" w:color="A6A6A6"/>
            </w:tcBorders>
          </w:tcPr>
          <w:p w:rsidR="00A81C68" w:rsidRPr="007E5614" w:rsidRDefault="00A81C68" w:rsidP="00A81C68">
            <w:pPr>
              <w:pStyle w:val="Table-AnnualReport"/>
              <w:tabs>
                <w:tab w:val="left" w:pos="4649"/>
              </w:tabs>
              <w:jc w:val="right"/>
            </w:pPr>
            <w:r w:rsidRPr="007E5614">
              <w:t>$</w:t>
            </w:r>
          </w:p>
        </w:tc>
        <w:tc>
          <w:tcPr>
            <w:tcW w:w="1119" w:type="dxa"/>
            <w:tcBorders>
              <w:bottom w:val="single" w:sz="2" w:space="0" w:color="A6A6A6"/>
            </w:tcBorders>
            <w:vAlign w:val="center"/>
          </w:tcPr>
          <w:p w:rsidR="00A81C68" w:rsidRPr="007E5614" w:rsidRDefault="00A81C68" w:rsidP="00666795">
            <w:pPr>
              <w:pStyle w:val="Table-AnnualReport"/>
              <w:tabs>
                <w:tab w:val="left" w:pos="4423"/>
              </w:tabs>
              <w:jc w:val="right"/>
            </w:pPr>
            <w:r w:rsidRPr="007E5614">
              <w:t>122.52</w:t>
            </w:r>
          </w:p>
        </w:tc>
        <w:tc>
          <w:tcPr>
            <w:tcW w:w="1119" w:type="dxa"/>
            <w:tcBorders>
              <w:bottom w:val="single" w:sz="2" w:space="0" w:color="A6A6A6"/>
            </w:tcBorders>
            <w:vAlign w:val="center"/>
          </w:tcPr>
          <w:p w:rsidR="00A81C68" w:rsidRPr="007E5614" w:rsidRDefault="00A81C68" w:rsidP="00666795">
            <w:pPr>
              <w:pStyle w:val="Table-AnnualReport"/>
              <w:tabs>
                <w:tab w:val="left" w:pos="4423"/>
              </w:tabs>
              <w:jc w:val="right"/>
            </w:pPr>
            <w:r w:rsidRPr="007E5614">
              <w:t>129.81</w:t>
            </w:r>
          </w:p>
        </w:tc>
        <w:tc>
          <w:tcPr>
            <w:tcW w:w="1153" w:type="dxa"/>
            <w:tcBorders>
              <w:bottom w:val="single" w:sz="2" w:space="0" w:color="A6A6A6"/>
            </w:tcBorders>
            <w:vAlign w:val="center"/>
          </w:tcPr>
          <w:p w:rsidR="00A81C68" w:rsidRPr="007E5614" w:rsidRDefault="00A81C68" w:rsidP="00666795">
            <w:pPr>
              <w:pStyle w:val="Table-AnnualReport"/>
              <w:tabs>
                <w:tab w:val="left" w:pos="4423"/>
              </w:tabs>
              <w:jc w:val="right"/>
            </w:pPr>
            <w:r w:rsidRPr="007E5614">
              <w:t>127.27</w:t>
            </w:r>
          </w:p>
        </w:tc>
        <w:tc>
          <w:tcPr>
            <w:tcW w:w="1137" w:type="dxa"/>
            <w:tcBorders>
              <w:bottom w:val="single" w:sz="2" w:space="0" w:color="A6A6A6"/>
            </w:tcBorders>
            <w:vAlign w:val="center"/>
          </w:tcPr>
          <w:p w:rsidR="00A81C68" w:rsidRPr="007E5614" w:rsidRDefault="00A81C68" w:rsidP="00666795">
            <w:pPr>
              <w:pStyle w:val="Table-AnnualReport"/>
              <w:tabs>
                <w:tab w:val="left" w:pos="4423"/>
              </w:tabs>
              <w:jc w:val="right"/>
            </w:pPr>
            <w:r w:rsidRPr="007E5614">
              <w:t>N/A</w:t>
            </w:r>
          </w:p>
        </w:tc>
      </w:tr>
    </w:tbl>
    <w:p w:rsidR="00A81C68" w:rsidRPr="00A81C68" w:rsidRDefault="00A81C68" w:rsidP="00A81C68">
      <w:pPr>
        <w:pStyle w:val="NotesHeading"/>
        <w:tabs>
          <w:tab w:val="num" w:pos="0"/>
        </w:tabs>
        <w:spacing w:before="60" w:after="60"/>
        <w:rPr>
          <w:rFonts w:ascii="GillSans Light" w:eastAsia="Times New Roman" w:hAnsi="GillSans Light"/>
          <w:sz w:val="16"/>
          <w:szCs w:val="16"/>
        </w:rPr>
      </w:pPr>
      <w:r w:rsidRPr="00A81C68">
        <w:rPr>
          <w:rFonts w:ascii="GillSans Light" w:eastAsia="Times New Roman" w:hAnsi="GillSans Light"/>
          <w:sz w:val="16"/>
          <w:szCs w:val="16"/>
        </w:rPr>
        <w:t>Notes:</w:t>
      </w:r>
    </w:p>
    <w:p w:rsidR="00A81C68" w:rsidRPr="00A81C68" w:rsidRDefault="00A81C68" w:rsidP="00A81C68">
      <w:pPr>
        <w:pStyle w:val="Notes"/>
        <w:numPr>
          <w:ilvl w:val="0"/>
          <w:numId w:val="19"/>
        </w:numPr>
        <w:spacing w:after="60"/>
        <w:ind w:left="357" w:hanging="357"/>
        <w:jc w:val="left"/>
        <w:rPr>
          <w:rFonts w:ascii="GillSans Light" w:hAnsi="GillSans Light"/>
          <w:sz w:val="16"/>
          <w:szCs w:val="16"/>
        </w:rPr>
      </w:pPr>
      <w:r w:rsidRPr="00A81C68">
        <w:rPr>
          <w:rFonts w:ascii="GillSans Light" w:hAnsi="GillSans Light"/>
          <w:sz w:val="16"/>
          <w:szCs w:val="16"/>
        </w:rPr>
        <w:t>The 2014-15 Actual response figures reported here are slightly different to those reported in last year’s Annual Report due to more up to date data being available.</w:t>
      </w:r>
    </w:p>
    <w:p w:rsidR="00A81C68" w:rsidRPr="00A81C68" w:rsidRDefault="00A81C68" w:rsidP="00A81C68">
      <w:pPr>
        <w:pStyle w:val="Notes"/>
        <w:numPr>
          <w:ilvl w:val="0"/>
          <w:numId w:val="19"/>
        </w:numPr>
        <w:spacing w:after="60"/>
        <w:ind w:left="357" w:hanging="357"/>
        <w:jc w:val="left"/>
        <w:rPr>
          <w:rFonts w:ascii="GillSans Light" w:hAnsi="GillSans Light"/>
          <w:sz w:val="16"/>
          <w:szCs w:val="16"/>
        </w:rPr>
      </w:pPr>
      <w:r w:rsidRPr="00A81C68">
        <w:rPr>
          <w:rFonts w:ascii="GillSans Light" w:hAnsi="GillSans Light"/>
          <w:sz w:val="16"/>
          <w:szCs w:val="16"/>
        </w:rPr>
        <w:t>The 2014-15 Actual satisfaction figure reported here is slightly different to that reported in last year’s Annual Report due to more up-to-date data being available.</w:t>
      </w:r>
    </w:p>
    <w:p w:rsidR="00A81C68" w:rsidRPr="00A81C68" w:rsidRDefault="00A81C68" w:rsidP="00A81C68">
      <w:pPr>
        <w:pStyle w:val="Notes"/>
        <w:numPr>
          <w:ilvl w:val="0"/>
          <w:numId w:val="19"/>
        </w:numPr>
        <w:spacing w:after="60"/>
        <w:ind w:left="357" w:hanging="357"/>
        <w:jc w:val="left"/>
        <w:rPr>
          <w:rFonts w:ascii="GillSans Light" w:hAnsi="GillSans Light"/>
          <w:sz w:val="16"/>
          <w:szCs w:val="16"/>
        </w:rPr>
      </w:pPr>
      <w:r w:rsidRPr="00A81C68">
        <w:rPr>
          <w:rFonts w:ascii="GillSans Light" w:hAnsi="GillSans Light"/>
          <w:sz w:val="16"/>
          <w:szCs w:val="16"/>
        </w:rPr>
        <w:t>Level of patient satisfaction is defined as the total number of patients who were either ‘satisfied’ or ‘very satisfied’ with ambulance services they had received in the previous 12 months, divided by the total number of patients that responded to the Patient Satisfaction Survey. The Patient Satisfaction Survey results for 2015-16 will be published in the Report on Government Services (ROGS) in January 2017. The figure provided here for 2015-16 is AT’s target for 2015-16.</w:t>
      </w:r>
    </w:p>
    <w:p w:rsidR="00A81C68" w:rsidRPr="00A81C68" w:rsidRDefault="00A81C68" w:rsidP="00A81C68">
      <w:pPr>
        <w:pStyle w:val="Notes"/>
        <w:numPr>
          <w:ilvl w:val="0"/>
          <w:numId w:val="19"/>
        </w:numPr>
        <w:spacing w:after="60"/>
        <w:ind w:left="357" w:hanging="357"/>
        <w:jc w:val="left"/>
        <w:rPr>
          <w:rFonts w:ascii="GillSans Light" w:hAnsi="GillSans Light"/>
          <w:sz w:val="16"/>
          <w:szCs w:val="16"/>
        </w:rPr>
      </w:pPr>
      <w:r w:rsidRPr="00A81C68">
        <w:rPr>
          <w:rFonts w:ascii="GillSans Light" w:hAnsi="GillSans Light"/>
          <w:sz w:val="16"/>
          <w:szCs w:val="16"/>
        </w:rPr>
        <w:t>AT has updated the methodology used to calculate the Median Emergency Response Time (MERT) indicator. The new methodology uses the definition proposed by the Productivity Commission in ROGS, which uses the time of first keystroke as the beginning of the response time calculation. AT has previously used the time when AT had enough information to dispatch an emergency vehicle as the beginning of the response time calculation. The ambulance emergency response time is now calculated as the difference in time between AT recording the first keystroke on receipt of a triple zero call in the AT State Operations Centre, and the first vehicle arriving at the location to treat a sick or injured patient. The MERT is the middle time value when all response times for emergency incidents are ordered from shortest to longest. The MERT can be broadly interpreted as the time within which approximately 50 per cent of the first responding ambulance resources arrive at the scene of an emergency. Response times for all previous years have been updated using this new methodology, and therefore differ from previously reported figures in DHHS Annual Reports. This change in calculation methodology in no way affects the performance of ambulance crews responding to emergencies.</w:t>
      </w:r>
    </w:p>
    <w:p w:rsidR="00A81C68" w:rsidRPr="00A81C68" w:rsidRDefault="00A81C68" w:rsidP="00A81C68">
      <w:pPr>
        <w:pStyle w:val="Notes"/>
        <w:numPr>
          <w:ilvl w:val="0"/>
          <w:numId w:val="19"/>
        </w:numPr>
        <w:spacing w:after="60"/>
        <w:ind w:left="357" w:hanging="357"/>
        <w:jc w:val="left"/>
        <w:rPr>
          <w:rFonts w:ascii="GillSans Light" w:hAnsi="GillSans Light"/>
          <w:sz w:val="16"/>
          <w:szCs w:val="16"/>
        </w:rPr>
      </w:pPr>
      <w:r w:rsidRPr="00A81C68">
        <w:rPr>
          <w:rFonts w:ascii="GillSans Light" w:hAnsi="GillSans Light"/>
          <w:sz w:val="16"/>
          <w:szCs w:val="16"/>
        </w:rPr>
        <w:t>Historical rates for AT’s expenditure per person may differ from those in previous reports, as historical data have been adjusted to 2014</w:t>
      </w:r>
      <w:r w:rsidRPr="00A81C68">
        <w:rPr>
          <w:rFonts w:ascii="GillSans Light" w:hAnsi="GillSans Light"/>
          <w:sz w:val="16"/>
          <w:szCs w:val="16"/>
        </w:rPr>
        <w:noBreakHyphen/>
        <w:t xml:space="preserve">15 dollars using the General Government Final Consumption Expenditure (GGFCE) chain price deflator. The GGFCE replaces the Gross Domestic Product implicit price deflator used previously. Estimated Resident Populations (ERPs) to June 2011 used to derive rates are revised to the ABS final 2011 Census rebased ERPs. The final ERP replaces the preliminary 2006 Census based ERPs used previously. Population data relates to </w:t>
      </w:r>
      <w:r w:rsidRPr="00A81C68">
        <w:rPr>
          <w:rFonts w:ascii="GillSans Light" w:hAnsi="GillSans Light"/>
          <w:sz w:val="16"/>
          <w:szCs w:val="16"/>
        </w:rPr>
        <w:lastRenderedPageBreak/>
        <w:t>31 December, so that ERP at 31 December 2011 is used as the denominator for 2011</w:t>
      </w:r>
      <w:r w:rsidRPr="00A81C68">
        <w:rPr>
          <w:rFonts w:ascii="GillSans Light" w:hAnsi="GillSans Light"/>
          <w:sz w:val="16"/>
          <w:szCs w:val="16"/>
        </w:rPr>
        <w:noBreakHyphen/>
        <w:t>12. The rates will also differ from those reported in prior years as each year the then</w:t>
      </w:r>
      <w:r w:rsidRPr="00A81C68">
        <w:rPr>
          <w:rFonts w:ascii="GillSans Light" w:hAnsi="GillSans Light"/>
          <w:sz w:val="16"/>
          <w:szCs w:val="16"/>
        </w:rPr>
        <w:noBreakHyphen/>
        <w:t>current GDP deflator is applied to all years to enable meaningful comparison. The figures here are those reported in ROGS. The figure for 2015-16 is not yet available and will be published in ROGS in January 2017.</w:t>
      </w:r>
    </w:p>
    <w:p w:rsidR="00A81C68" w:rsidRDefault="00A81C68" w:rsidP="00ED3561"/>
    <w:p w:rsidR="00A81C68" w:rsidRDefault="00A81C68" w:rsidP="00ED3561">
      <w:pPr>
        <w:sectPr w:rsidR="00A81C68" w:rsidSect="00A81C68">
          <w:type w:val="continuous"/>
          <w:pgSz w:w="11906" w:h="16838"/>
          <w:pgMar w:top="851" w:right="1274" w:bottom="567" w:left="1440" w:header="708" w:footer="708" w:gutter="0"/>
          <w:cols w:space="708"/>
          <w:docGrid w:linePitch="360"/>
        </w:sectPr>
      </w:pPr>
    </w:p>
    <w:p w:rsidR="00A81C68" w:rsidRPr="007E5614" w:rsidRDefault="00A81C68" w:rsidP="00A81C68">
      <w:r w:rsidRPr="007E5614">
        <w:lastRenderedPageBreak/>
        <w:t>The demand for Ambulance Services in 2015</w:t>
      </w:r>
      <w:r w:rsidRPr="007E5614">
        <w:noBreakHyphen/>
        <w:t xml:space="preserve">16 was 81 409 </w:t>
      </w:r>
      <w:r>
        <w:t>responses, an increase of 2 660 </w:t>
      </w:r>
      <w:r w:rsidRPr="007E5614">
        <w:t>ambulance responses</w:t>
      </w:r>
      <w:r>
        <w:t>,</w:t>
      </w:r>
      <w:r w:rsidRPr="007E5614">
        <w:t xml:space="preserve"> or 3.4 per cent on the previous year. </w:t>
      </w:r>
    </w:p>
    <w:p w:rsidR="00A81C68" w:rsidRPr="007E5614" w:rsidRDefault="00A81C68" w:rsidP="00A81C68">
      <w:r w:rsidRPr="007E5614">
        <w:t xml:space="preserve">There is a direct correlation between increased calls for help and decreased ambulance response times as the same number of vehicles become busier. The </w:t>
      </w:r>
      <w:r>
        <w:t>case study on a</w:t>
      </w:r>
      <w:r w:rsidRPr="007E5614">
        <w:t xml:space="preserve">dditional </w:t>
      </w:r>
      <w:r>
        <w:t>i</w:t>
      </w:r>
      <w:r w:rsidRPr="007E5614">
        <w:t xml:space="preserve">nvestment in </w:t>
      </w:r>
      <w:r>
        <w:t>a</w:t>
      </w:r>
      <w:r w:rsidRPr="007E5614">
        <w:t xml:space="preserve">mbulance </w:t>
      </w:r>
      <w:r>
        <w:t>s</w:t>
      </w:r>
      <w:r w:rsidRPr="007E5614">
        <w:t xml:space="preserve">ervices </w:t>
      </w:r>
      <w:r>
        <w:t xml:space="preserve">in the previous section </w:t>
      </w:r>
      <w:r w:rsidRPr="007E5614">
        <w:t>provides more information on initiatives that are providing additional resources.</w:t>
      </w:r>
    </w:p>
    <w:p w:rsidR="00A81C68" w:rsidRPr="007E5614" w:rsidRDefault="00A81C68" w:rsidP="00A81C68">
      <w:r w:rsidRPr="007E5614">
        <w:t xml:space="preserve">There are a variety of factors which affect ambulance response times in Tasmania including: </w:t>
      </w:r>
    </w:p>
    <w:p w:rsidR="00A81C68" w:rsidRPr="007E5614" w:rsidRDefault="00A81C68" w:rsidP="00A81C68">
      <w:pPr>
        <w:numPr>
          <w:ilvl w:val="0"/>
          <w:numId w:val="15"/>
        </w:numPr>
        <w:tabs>
          <w:tab w:val="left" w:pos="567"/>
        </w:tabs>
        <w:spacing w:after="140" w:line="300" w:lineRule="atLeast"/>
        <w:ind w:left="567" w:hanging="567"/>
      </w:pPr>
      <w:r w:rsidRPr="007E5614">
        <w:t>demand for service against the available resource base</w:t>
      </w:r>
    </w:p>
    <w:p w:rsidR="00A81C68" w:rsidRPr="007E5614" w:rsidRDefault="00A81C68" w:rsidP="00A81C68">
      <w:pPr>
        <w:numPr>
          <w:ilvl w:val="0"/>
          <w:numId w:val="15"/>
        </w:numPr>
        <w:tabs>
          <w:tab w:val="left" w:pos="567"/>
        </w:tabs>
        <w:spacing w:after="140" w:line="300" w:lineRule="atLeast"/>
        <w:ind w:left="567" w:hanging="567"/>
      </w:pPr>
      <w:r w:rsidRPr="007E5614">
        <w:t>the ageing population as a primary driver of demand</w:t>
      </w:r>
    </w:p>
    <w:p w:rsidR="00A81C68" w:rsidRPr="007E5614" w:rsidRDefault="00A81C68" w:rsidP="00A81C68">
      <w:pPr>
        <w:numPr>
          <w:ilvl w:val="0"/>
          <w:numId w:val="15"/>
        </w:numPr>
        <w:tabs>
          <w:tab w:val="left" w:pos="567"/>
        </w:tabs>
        <w:spacing w:after="140" w:line="300" w:lineRule="atLeast"/>
        <w:ind w:left="567" w:hanging="567"/>
      </w:pPr>
      <w:r w:rsidRPr="007E5614">
        <w:t>a relatively high proportion of the population living in rural and remote areas</w:t>
      </w:r>
    </w:p>
    <w:p w:rsidR="00A81C68" w:rsidRPr="007E5614" w:rsidRDefault="00A81C68" w:rsidP="00A81C68">
      <w:pPr>
        <w:numPr>
          <w:ilvl w:val="0"/>
          <w:numId w:val="15"/>
        </w:numPr>
        <w:tabs>
          <w:tab w:val="left" w:pos="567"/>
        </w:tabs>
        <w:spacing w:after="140" w:line="300" w:lineRule="atLeast"/>
        <w:ind w:left="567" w:hanging="567"/>
      </w:pPr>
      <w:r w:rsidRPr="007E5614">
        <w:t>hilly terrain, ribbon urban development along the Derwent and Tamar rivers, and</w:t>
      </w:r>
    </w:p>
    <w:p w:rsidR="00A81C68" w:rsidRPr="007E5614" w:rsidRDefault="00A81C68" w:rsidP="00A81C68">
      <w:pPr>
        <w:numPr>
          <w:ilvl w:val="0"/>
          <w:numId w:val="15"/>
        </w:numPr>
        <w:tabs>
          <w:tab w:val="left" w:pos="567"/>
        </w:tabs>
        <w:spacing w:after="140" w:line="300" w:lineRule="atLeast"/>
        <w:ind w:left="567" w:hanging="567"/>
      </w:pPr>
      <w:proofErr w:type="gramStart"/>
      <w:r w:rsidRPr="007E5614">
        <w:t>a</w:t>
      </w:r>
      <w:proofErr w:type="gramEnd"/>
      <w:r w:rsidRPr="007E5614">
        <w:t xml:space="preserve"> high reliance on Volunteer Ambulance Officers.</w:t>
      </w:r>
    </w:p>
    <w:p w:rsidR="00A81C68" w:rsidRPr="007E5614" w:rsidRDefault="00A81C68" w:rsidP="00A81C68">
      <w:r w:rsidRPr="007E5614">
        <w:t xml:space="preserve">The 2015-16 median emergency response </w:t>
      </w:r>
      <w:proofErr w:type="gramStart"/>
      <w:r w:rsidRPr="007E5614">
        <w:t>time</w:t>
      </w:r>
      <w:proofErr w:type="gramEnd"/>
      <w:r w:rsidRPr="007E5614">
        <w:t xml:space="preserve"> for Tasmania is 12.9 minutes.  Approximately 50 per cent of all Tasmanian emergency calls were responded to within that timeframe. </w:t>
      </w:r>
    </w:p>
    <w:p w:rsidR="00A81C68" w:rsidRPr="007E5614" w:rsidRDefault="00A81C68" w:rsidP="00A81C68">
      <w:r w:rsidRPr="007E5614">
        <w:t>The increase in demand for services can explain the decline in median emergency response times.</w:t>
      </w:r>
    </w:p>
    <w:p w:rsidR="00A81C68" w:rsidRDefault="00A81C68" w:rsidP="00A81C68">
      <w:r w:rsidRPr="007E5614">
        <w:t xml:space="preserve">Ambulance response times in Tasmania are affected by the wide dispersal of the population. Tasmania has the greatest proportion of people living in rural areas of all states and territories.  </w:t>
      </w:r>
    </w:p>
    <w:p w:rsidR="00A81C68" w:rsidRPr="007E5614" w:rsidRDefault="00A81C68" w:rsidP="00A81C68">
      <w:pPr>
        <w:rPr>
          <w:lang w:eastAsia="en-AU"/>
        </w:rPr>
      </w:pPr>
      <w:r w:rsidRPr="007E5614">
        <w:rPr>
          <w:lang w:eastAsia="en-AU"/>
        </w:rPr>
        <w:lastRenderedPageBreak/>
        <w:t>According to the Rural, Remote and Metropolitan Areas index, Tasmania has almost twice the national average population in rural and remote areas than other jurisdictions.  Tasmania also has the lowest proportion of its population living in highly accessible locations.</w:t>
      </w:r>
    </w:p>
    <w:p w:rsidR="00A81C68" w:rsidRPr="007E5614" w:rsidRDefault="00A81C68" w:rsidP="00A81C68">
      <w:pPr>
        <w:rPr>
          <w:lang w:eastAsia="en-AU"/>
        </w:rPr>
      </w:pPr>
      <w:r w:rsidRPr="007E5614">
        <w:rPr>
          <w:lang w:eastAsia="en-AU"/>
        </w:rPr>
        <w:t>Strategies to reduce the impact of demand are a focal point of AT operations.  These include public education campaigns and community announcements, improvements in technology and encouraging the public to only call an ambulance through 000 to save lives.</w:t>
      </w:r>
    </w:p>
    <w:p w:rsidR="00A81C68" w:rsidRPr="007E5614" w:rsidRDefault="00A81C68" w:rsidP="00A81C68">
      <w:r w:rsidRPr="007E5614">
        <w:rPr>
          <w:lang w:eastAsia="en-AU"/>
        </w:rPr>
        <w:t xml:space="preserve">An Operational and Technical Review was undertaken in 2015-16, and a Communications Reform Program (CRP) was developed to undertake a comprehensive review of systems through a risk management methodology. The CRP provides for a re-engineering of the way work within the AT State Operations Centre is approached. </w:t>
      </w:r>
    </w:p>
    <w:p w:rsidR="00A81C68" w:rsidRPr="007E5614" w:rsidRDefault="00A81C68" w:rsidP="00A81C68">
      <w:r w:rsidRPr="007E5614">
        <w:t>Additionally, work progressed in 2015-16 on upgrading AT’s Guardian Computer Aided Dispatch system. The planned transition to the upgraded system will occur in 2016-17.</w:t>
      </w:r>
    </w:p>
    <w:p w:rsidR="00A81C68" w:rsidRDefault="00A81C68" w:rsidP="00ED3561"/>
    <w:p w:rsidR="00A81C68" w:rsidRDefault="00A81C68" w:rsidP="00ED3561"/>
    <w:p w:rsidR="00A81C68" w:rsidRDefault="00A81C68" w:rsidP="00ED3561">
      <w:pPr>
        <w:sectPr w:rsidR="00A81C68" w:rsidSect="00A81C68">
          <w:type w:val="continuous"/>
          <w:pgSz w:w="11906" w:h="16838"/>
          <w:pgMar w:top="851" w:right="1274" w:bottom="567" w:left="1440" w:header="708" w:footer="708" w:gutter="0"/>
          <w:cols w:num="2" w:space="708"/>
          <w:docGrid w:linePitch="360"/>
        </w:sectPr>
      </w:pPr>
    </w:p>
    <w:p w:rsidR="00666795" w:rsidRPr="00666795" w:rsidRDefault="00666795" w:rsidP="00DF724A">
      <w:pPr>
        <w:pStyle w:val="Heading3"/>
      </w:pPr>
      <w:r w:rsidRPr="00666795">
        <w:lastRenderedPageBreak/>
        <w:t>Public Health Services</w:t>
      </w:r>
    </w:p>
    <w:tbl>
      <w:tblPr>
        <w:tblW w:w="8918" w:type="dxa"/>
        <w:tblInd w:w="108" w:type="dxa"/>
        <w:tblBorders>
          <w:top w:val="single" w:sz="2" w:space="0" w:color="A6A6A6"/>
          <w:bottom w:val="single" w:sz="2" w:space="0" w:color="A6A6A6"/>
          <w:insideH w:val="single" w:sz="2" w:space="0" w:color="A6A6A6"/>
        </w:tblBorders>
        <w:tblLook w:val="04A0" w:firstRow="1" w:lastRow="0" w:firstColumn="1" w:lastColumn="0" w:noHBand="0" w:noVBand="1"/>
        <w:tblCaption w:val="Public Health Services Performance Comparison"/>
      </w:tblPr>
      <w:tblGrid>
        <w:gridCol w:w="3828"/>
        <w:gridCol w:w="1134"/>
        <w:gridCol w:w="992"/>
        <w:gridCol w:w="992"/>
        <w:gridCol w:w="992"/>
        <w:gridCol w:w="980"/>
      </w:tblGrid>
      <w:tr w:rsidR="00666795" w:rsidRPr="007E5614" w:rsidTr="00DB5123">
        <w:tc>
          <w:tcPr>
            <w:tcW w:w="3828" w:type="dxa"/>
            <w:vAlign w:val="center"/>
          </w:tcPr>
          <w:p w:rsidR="00666795" w:rsidRPr="007E5614" w:rsidRDefault="00666795" w:rsidP="00666795">
            <w:pPr>
              <w:spacing w:before="60" w:after="60" w:line="240" w:lineRule="auto"/>
              <w:rPr>
                <w:b/>
                <w:sz w:val="18"/>
                <w:szCs w:val="18"/>
              </w:rPr>
            </w:pPr>
            <w:r w:rsidRPr="007E5614">
              <w:rPr>
                <w:b/>
                <w:sz w:val="18"/>
                <w:szCs w:val="18"/>
              </w:rPr>
              <w:t>Performance Measure</w:t>
            </w:r>
          </w:p>
        </w:tc>
        <w:tc>
          <w:tcPr>
            <w:tcW w:w="1134" w:type="dxa"/>
          </w:tcPr>
          <w:p w:rsidR="00666795" w:rsidRPr="007E5614" w:rsidRDefault="00666795" w:rsidP="00666795">
            <w:pPr>
              <w:spacing w:before="60" w:after="60" w:line="240" w:lineRule="auto"/>
              <w:jc w:val="right"/>
              <w:rPr>
                <w:b/>
                <w:sz w:val="18"/>
                <w:szCs w:val="18"/>
              </w:rPr>
            </w:pPr>
            <w:r w:rsidRPr="007E5614">
              <w:rPr>
                <w:b/>
                <w:sz w:val="18"/>
                <w:szCs w:val="18"/>
              </w:rPr>
              <w:t>Unit of</w:t>
            </w:r>
            <w:r w:rsidRPr="007E5614">
              <w:rPr>
                <w:b/>
                <w:sz w:val="18"/>
                <w:szCs w:val="18"/>
              </w:rPr>
              <w:br/>
              <w:t>Measure</w:t>
            </w:r>
          </w:p>
        </w:tc>
        <w:tc>
          <w:tcPr>
            <w:tcW w:w="992" w:type="dxa"/>
          </w:tcPr>
          <w:p w:rsidR="00666795" w:rsidRPr="007E5614" w:rsidRDefault="00666795" w:rsidP="00666795">
            <w:pPr>
              <w:spacing w:before="60" w:after="60" w:line="240" w:lineRule="auto"/>
              <w:jc w:val="right"/>
              <w:rPr>
                <w:b/>
                <w:sz w:val="18"/>
                <w:szCs w:val="18"/>
              </w:rPr>
            </w:pPr>
            <w:r w:rsidRPr="007E5614">
              <w:rPr>
                <w:b/>
                <w:sz w:val="18"/>
                <w:szCs w:val="18"/>
              </w:rPr>
              <w:t>2012-13</w:t>
            </w:r>
            <w:r w:rsidRPr="007E5614">
              <w:rPr>
                <w:b/>
                <w:sz w:val="18"/>
                <w:szCs w:val="18"/>
              </w:rPr>
              <w:br/>
              <w:t>Actual</w:t>
            </w:r>
          </w:p>
        </w:tc>
        <w:tc>
          <w:tcPr>
            <w:tcW w:w="992" w:type="dxa"/>
          </w:tcPr>
          <w:p w:rsidR="00666795" w:rsidRPr="007E5614" w:rsidRDefault="00666795" w:rsidP="00666795">
            <w:pPr>
              <w:spacing w:before="60" w:after="60" w:line="240" w:lineRule="auto"/>
              <w:jc w:val="right"/>
              <w:rPr>
                <w:b/>
                <w:sz w:val="18"/>
                <w:szCs w:val="18"/>
              </w:rPr>
            </w:pPr>
            <w:r w:rsidRPr="007E5614">
              <w:rPr>
                <w:b/>
                <w:sz w:val="18"/>
                <w:szCs w:val="18"/>
              </w:rPr>
              <w:t>2013-14</w:t>
            </w:r>
            <w:r w:rsidRPr="007E5614">
              <w:rPr>
                <w:b/>
                <w:sz w:val="18"/>
                <w:szCs w:val="18"/>
              </w:rPr>
              <w:br/>
              <w:t>Actual</w:t>
            </w:r>
          </w:p>
        </w:tc>
        <w:tc>
          <w:tcPr>
            <w:tcW w:w="992" w:type="dxa"/>
          </w:tcPr>
          <w:p w:rsidR="00666795" w:rsidRPr="007E5614" w:rsidRDefault="00666795" w:rsidP="00666795">
            <w:pPr>
              <w:spacing w:before="60" w:after="60" w:line="240" w:lineRule="auto"/>
              <w:jc w:val="right"/>
              <w:rPr>
                <w:b/>
                <w:sz w:val="18"/>
                <w:szCs w:val="18"/>
              </w:rPr>
            </w:pPr>
            <w:r w:rsidRPr="007E5614">
              <w:rPr>
                <w:b/>
                <w:sz w:val="18"/>
                <w:szCs w:val="18"/>
              </w:rPr>
              <w:t>2014-15</w:t>
            </w:r>
            <w:r w:rsidRPr="007E5614">
              <w:rPr>
                <w:b/>
                <w:sz w:val="18"/>
                <w:szCs w:val="18"/>
              </w:rPr>
              <w:br/>
              <w:t>Actual</w:t>
            </w:r>
          </w:p>
        </w:tc>
        <w:tc>
          <w:tcPr>
            <w:tcW w:w="980" w:type="dxa"/>
          </w:tcPr>
          <w:p w:rsidR="00666795" w:rsidRPr="007E5614" w:rsidRDefault="00666795" w:rsidP="00666795">
            <w:pPr>
              <w:spacing w:before="60" w:after="60" w:line="240" w:lineRule="auto"/>
              <w:jc w:val="right"/>
              <w:rPr>
                <w:b/>
                <w:sz w:val="18"/>
                <w:szCs w:val="18"/>
              </w:rPr>
            </w:pPr>
            <w:r w:rsidRPr="007E5614">
              <w:rPr>
                <w:b/>
                <w:sz w:val="18"/>
                <w:szCs w:val="18"/>
              </w:rPr>
              <w:t>2015-16 Actual</w:t>
            </w:r>
          </w:p>
        </w:tc>
      </w:tr>
      <w:tr w:rsidR="00666795" w:rsidRPr="007E5614" w:rsidTr="00DB5123">
        <w:tc>
          <w:tcPr>
            <w:tcW w:w="3828" w:type="dxa"/>
            <w:vAlign w:val="center"/>
          </w:tcPr>
          <w:p w:rsidR="00666795" w:rsidRPr="007E5614" w:rsidRDefault="00666795" w:rsidP="00666795">
            <w:pPr>
              <w:pStyle w:val="Table-AnnualReport"/>
              <w:rPr>
                <w:b/>
              </w:rPr>
            </w:pPr>
            <w:r w:rsidRPr="007E5614">
              <w:rPr>
                <w:b/>
              </w:rPr>
              <w:t>Vaccines</w:t>
            </w:r>
          </w:p>
        </w:tc>
        <w:tc>
          <w:tcPr>
            <w:tcW w:w="1134" w:type="dxa"/>
            <w:vAlign w:val="center"/>
          </w:tcPr>
          <w:p w:rsidR="00666795" w:rsidRPr="007E5614" w:rsidRDefault="00666795" w:rsidP="00666795">
            <w:pPr>
              <w:pStyle w:val="Table-AnnualReport"/>
              <w:jc w:val="right"/>
              <w:rPr>
                <w:b/>
              </w:rPr>
            </w:pPr>
          </w:p>
        </w:tc>
        <w:tc>
          <w:tcPr>
            <w:tcW w:w="992" w:type="dxa"/>
            <w:vAlign w:val="center"/>
          </w:tcPr>
          <w:p w:rsidR="00666795" w:rsidRPr="007E5614" w:rsidRDefault="00666795" w:rsidP="00666795">
            <w:pPr>
              <w:pStyle w:val="Table-AnnualReport"/>
              <w:jc w:val="right"/>
              <w:rPr>
                <w:b/>
              </w:rPr>
            </w:pPr>
          </w:p>
        </w:tc>
        <w:tc>
          <w:tcPr>
            <w:tcW w:w="992" w:type="dxa"/>
            <w:vAlign w:val="center"/>
          </w:tcPr>
          <w:p w:rsidR="00666795" w:rsidRPr="007E5614" w:rsidRDefault="00666795" w:rsidP="00666795">
            <w:pPr>
              <w:pStyle w:val="Table-AnnualReport"/>
              <w:jc w:val="right"/>
              <w:rPr>
                <w:b/>
              </w:rPr>
            </w:pPr>
          </w:p>
        </w:tc>
        <w:tc>
          <w:tcPr>
            <w:tcW w:w="992" w:type="dxa"/>
            <w:vAlign w:val="center"/>
          </w:tcPr>
          <w:p w:rsidR="00666795" w:rsidRPr="007E5614" w:rsidRDefault="00666795" w:rsidP="00666795">
            <w:pPr>
              <w:pStyle w:val="Table-AnnualReport"/>
              <w:jc w:val="right"/>
              <w:rPr>
                <w:b/>
              </w:rPr>
            </w:pPr>
          </w:p>
        </w:tc>
        <w:tc>
          <w:tcPr>
            <w:tcW w:w="980" w:type="dxa"/>
          </w:tcPr>
          <w:p w:rsidR="00666795" w:rsidRPr="007E5614" w:rsidRDefault="00666795" w:rsidP="00666795">
            <w:pPr>
              <w:pStyle w:val="Table-AnnualReport"/>
              <w:jc w:val="right"/>
              <w:rPr>
                <w:b/>
              </w:rPr>
            </w:pPr>
          </w:p>
        </w:tc>
      </w:tr>
      <w:tr w:rsidR="00666795" w:rsidRPr="007E5614" w:rsidTr="00DB5123">
        <w:tc>
          <w:tcPr>
            <w:tcW w:w="3828" w:type="dxa"/>
            <w:vAlign w:val="center"/>
          </w:tcPr>
          <w:p w:rsidR="00666795" w:rsidRPr="007E5614" w:rsidRDefault="00666795" w:rsidP="00666795">
            <w:pPr>
              <w:pStyle w:val="Table-AnnualReport"/>
            </w:pPr>
            <w:r w:rsidRPr="007E5614">
              <w:t>Vaccine coverage in children aged</w:t>
            </w:r>
            <w:r w:rsidRPr="007E5614">
              <w:br/>
              <w:t>12-15 months</w:t>
            </w:r>
          </w:p>
        </w:tc>
        <w:tc>
          <w:tcPr>
            <w:tcW w:w="1134" w:type="dxa"/>
            <w:vAlign w:val="center"/>
          </w:tcPr>
          <w:p w:rsidR="00666795" w:rsidRPr="007E5614" w:rsidRDefault="00666795" w:rsidP="00666795">
            <w:pPr>
              <w:pStyle w:val="Table-AnnualReport"/>
              <w:jc w:val="right"/>
            </w:pPr>
            <w:r w:rsidRPr="007E5614">
              <w:t>%</w:t>
            </w:r>
          </w:p>
        </w:tc>
        <w:tc>
          <w:tcPr>
            <w:tcW w:w="992" w:type="dxa"/>
            <w:vAlign w:val="center"/>
          </w:tcPr>
          <w:p w:rsidR="00666795" w:rsidRPr="007E5614" w:rsidRDefault="00666795" w:rsidP="00666795">
            <w:pPr>
              <w:pStyle w:val="Table-AnnualReport"/>
              <w:jc w:val="right"/>
            </w:pPr>
            <w:r w:rsidRPr="007E5614">
              <w:t>92.7</w:t>
            </w:r>
          </w:p>
        </w:tc>
        <w:tc>
          <w:tcPr>
            <w:tcW w:w="992" w:type="dxa"/>
            <w:vAlign w:val="center"/>
          </w:tcPr>
          <w:p w:rsidR="00666795" w:rsidRPr="007E5614" w:rsidRDefault="00666795" w:rsidP="00666795">
            <w:pPr>
              <w:pStyle w:val="Table-AnnualReport"/>
              <w:jc w:val="right"/>
            </w:pPr>
            <w:r w:rsidRPr="007E5614">
              <w:t>89.8</w:t>
            </w:r>
          </w:p>
        </w:tc>
        <w:tc>
          <w:tcPr>
            <w:tcW w:w="992" w:type="dxa"/>
            <w:vAlign w:val="center"/>
          </w:tcPr>
          <w:p w:rsidR="00666795" w:rsidRPr="007E5614" w:rsidRDefault="00666795" w:rsidP="00666795">
            <w:pPr>
              <w:pStyle w:val="Table-AnnualReport"/>
              <w:jc w:val="right"/>
            </w:pPr>
            <w:r w:rsidRPr="007E5614">
              <w:t>90.4</w:t>
            </w:r>
          </w:p>
        </w:tc>
        <w:tc>
          <w:tcPr>
            <w:tcW w:w="980" w:type="dxa"/>
            <w:vAlign w:val="center"/>
          </w:tcPr>
          <w:p w:rsidR="00666795" w:rsidRPr="007E5614" w:rsidRDefault="00666795" w:rsidP="00666795">
            <w:pPr>
              <w:pStyle w:val="Table-AnnualReport"/>
              <w:jc w:val="right"/>
            </w:pPr>
            <w:r w:rsidRPr="007E5614">
              <w:t>92.9</w:t>
            </w:r>
          </w:p>
        </w:tc>
      </w:tr>
      <w:tr w:rsidR="00666795" w:rsidRPr="007E5614" w:rsidTr="00DB5123">
        <w:tc>
          <w:tcPr>
            <w:tcW w:w="3828" w:type="dxa"/>
            <w:vAlign w:val="center"/>
          </w:tcPr>
          <w:p w:rsidR="00666795" w:rsidRPr="007E5614" w:rsidRDefault="00666795" w:rsidP="00666795">
            <w:pPr>
              <w:pStyle w:val="Table-AnnualReport"/>
            </w:pPr>
            <w:r w:rsidRPr="007E5614">
              <w:t xml:space="preserve">Vaccine coverage in children aged </w:t>
            </w:r>
            <w:r w:rsidRPr="007E5614">
              <w:br/>
              <w:t>24-27 months</w:t>
            </w:r>
          </w:p>
        </w:tc>
        <w:tc>
          <w:tcPr>
            <w:tcW w:w="1134" w:type="dxa"/>
            <w:vAlign w:val="center"/>
          </w:tcPr>
          <w:p w:rsidR="00666795" w:rsidRPr="007E5614" w:rsidRDefault="00666795" w:rsidP="00666795">
            <w:pPr>
              <w:pStyle w:val="Table-AnnualReport"/>
              <w:jc w:val="right"/>
            </w:pPr>
            <w:r w:rsidRPr="007E5614">
              <w:t>%</w:t>
            </w:r>
          </w:p>
        </w:tc>
        <w:tc>
          <w:tcPr>
            <w:tcW w:w="992" w:type="dxa"/>
            <w:vAlign w:val="center"/>
          </w:tcPr>
          <w:p w:rsidR="00666795" w:rsidRPr="007E5614" w:rsidRDefault="00666795" w:rsidP="00666795">
            <w:pPr>
              <w:pStyle w:val="Table-AnnualReport"/>
              <w:jc w:val="right"/>
            </w:pPr>
            <w:r w:rsidRPr="007E5614">
              <w:t>94.0</w:t>
            </w:r>
          </w:p>
        </w:tc>
        <w:tc>
          <w:tcPr>
            <w:tcW w:w="992" w:type="dxa"/>
            <w:vAlign w:val="center"/>
          </w:tcPr>
          <w:p w:rsidR="00666795" w:rsidRPr="007E5614" w:rsidRDefault="00666795" w:rsidP="00666795">
            <w:pPr>
              <w:pStyle w:val="Table-AnnualReport"/>
              <w:jc w:val="right"/>
            </w:pPr>
            <w:r w:rsidRPr="007E5614">
              <w:t>93.5</w:t>
            </w:r>
          </w:p>
        </w:tc>
        <w:tc>
          <w:tcPr>
            <w:tcW w:w="992" w:type="dxa"/>
            <w:vAlign w:val="center"/>
          </w:tcPr>
          <w:p w:rsidR="00666795" w:rsidRPr="007E5614" w:rsidRDefault="00666795" w:rsidP="00666795">
            <w:pPr>
              <w:pStyle w:val="Table-AnnualReport"/>
              <w:jc w:val="right"/>
            </w:pPr>
            <w:r w:rsidRPr="007E5614">
              <w:t>88.7</w:t>
            </w:r>
          </w:p>
        </w:tc>
        <w:tc>
          <w:tcPr>
            <w:tcW w:w="980" w:type="dxa"/>
            <w:vAlign w:val="center"/>
          </w:tcPr>
          <w:p w:rsidR="00666795" w:rsidRPr="007E5614" w:rsidRDefault="00666795" w:rsidP="00666795">
            <w:pPr>
              <w:pStyle w:val="Table-AnnualReport"/>
              <w:jc w:val="right"/>
            </w:pPr>
            <w:r w:rsidRPr="007E5614">
              <w:t>89.7</w:t>
            </w:r>
          </w:p>
        </w:tc>
      </w:tr>
    </w:tbl>
    <w:p w:rsidR="00DB5123" w:rsidRDefault="00DB5123" w:rsidP="00ED3561">
      <w:pPr>
        <w:sectPr w:rsidR="00DB5123" w:rsidSect="00666795">
          <w:pgSz w:w="11906" w:h="16838"/>
          <w:pgMar w:top="851" w:right="1274" w:bottom="567" w:left="1440" w:header="708" w:footer="708" w:gutter="0"/>
          <w:cols w:space="708"/>
          <w:docGrid w:linePitch="360"/>
        </w:sectPr>
      </w:pPr>
    </w:p>
    <w:p w:rsidR="00A81C68" w:rsidRDefault="00A81C68" w:rsidP="00ED3561"/>
    <w:p w:rsidR="00DB5123" w:rsidRPr="007E5614" w:rsidRDefault="00DB5123" w:rsidP="00DF724A">
      <w:pPr>
        <w:pStyle w:val="Heading4"/>
      </w:pPr>
      <w:r w:rsidRPr="007E5614">
        <w:t>Performance</w:t>
      </w:r>
    </w:p>
    <w:p w:rsidR="00DB5123" w:rsidRPr="007E5614" w:rsidRDefault="00DB5123" w:rsidP="00DB5123">
      <w:proofErr w:type="gramStart"/>
      <w:r w:rsidRPr="007E5614">
        <w:t>Reported vaccination coverage in the 12</w:t>
      </w:r>
      <w:r w:rsidRPr="007E5614">
        <w:noBreakHyphen/>
        <w:t>15 month age cohort increased by 2.5 per cent from 2014-15 to 2015-16 to be just above the Australian national average of 92.7 per cent.</w:t>
      </w:r>
      <w:proofErr w:type="gramEnd"/>
      <w:r w:rsidRPr="007E5614">
        <w:t xml:space="preserve"> (</w:t>
      </w:r>
      <w:r w:rsidRPr="007E5614">
        <w:rPr>
          <w:i/>
        </w:rPr>
        <w:t>Data Source</w:t>
      </w:r>
      <w:r w:rsidRPr="007E5614">
        <w:t>: Australian Childhood Immunisation Register as at 31 December 2015).</w:t>
      </w:r>
    </w:p>
    <w:p w:rsidR="00DB5123" w:rsidRPr="007E5614" w:rsidRDefault="00DB5123" w:rsidP="00DB5123">
      <w:r w:rsidRPr="007E5614">
        <w:t>Reported vaccination coverage in the 24</w:t>
      </w:r>
      <w:r w:rsidRPr="007E5614">
        <w:noBreakHyphen/>
        <w:t>27 month age cohort increased by 1.0 per cent from 2014-15 to 2015-16</w:t>
      </w:r>
      <w:r>
        <w:t>,</w:t>
      </w:r>
      <w:r w:rsidRPr="007E5614">
        <w:t xml:space="preserve"> and is just below the Australian national average of 90.1 per cent. (</w:t>
      </w:r>
      <w:r w:rsidRPr="007E5614">
        <w:rPr>
          <w:i/>
        </w:rPr>
        <w:t>Data Source</w:t>
      </w:r>
      <w:r w:rsidRPr="007E5614">
        <w:t>: Australian Childhood Immunisation Register as at 31 December 2015).</w:t>
      </w:r>
    </w:p>
    <w:p w:rsidR="00DB5123" w:rsidRPr="007E5614" w:rsidRDefault="00DB5123" w:rsidP="00DB5123">
      <w:r w:rsidRPr="007E5614">
        <w:t>Previously reported drops in vaccination coverage rates were attributed to changes to the definition of ‘fully immunised’ to include several new vaccines. Rates typically increase in subsequent years as provision and documentation of these new vaccines becomes routine.</w:t>
      </w:r>
    </w:p>
    <w:p w:rsidR="00DB5123" w:rsidRPr="007E5614" w:rsidRDefault="00DB5123" w:rsidP="00DF724A">
      <w:pPr>
        <w:pStyle w:val="Heading4"/>
      </w:pPr>
      <w:r w:rsidRPr="007E5614">
        <w:t>Additional Vaccination Initiatives</w:t>
      </w:r>
    </w:p>
    <w:p w:rsidR="00DB5123" w:rsidRPr="007E5614" w:rsidRDefault="00DB5123" w:rsidP="00DB5123">
      <w:r w:rsidRPr="007E5614">
        <w:t>Separate to the performance measures above, DHHS introduced two Tasmanian Government funded vaccination initiatives over 2015-16.  A program to protect young infants against whooping cough (pertussis) by providing free vaccine to women in their third trimester of pregnancy began in June 2015.</w:t>
      </w:r>
      <w:r w:rsidRPr="007E5614">
        <w:br w:type="column"/>
      </w:r>
    </w:p>
    <w:p w:rsidR="00DB5123" w:rsidRPr="007E5614" w:rsidRDefault="00DB5123" w:rsidP="00DB5123">
      <w:r w:rsidRPr="007E5614">
        <w:t xml:space="preserve">Around 5 000 doses of pertussis vaccine have been provided, indicating good take-up of the new program. </w:t>
      </w:r>
    </w:p>
    <w:p w:rsidR="00DB5123" w:rsidRPr="007E5614" w:rsidRDefault="00DB5123" w:rsidP="00DB5123">
      <w:pPr>
        <w:rPr>
          <w:lang w:val="en-US"/>
        </w:rPr>
      </w:pPr>
      <w:r w:rsidRPr="007E5614">
        <w:t xml:space="preserve">Additionally, in late </w:t>
      </w:r>
      <w:r w:rsidRPr="007E5614">
        <w:rPr>
          <w:lang w:val="en-US"/>
        </w:rPr>
        <w:t>2015 we implemented a program to provide hepatitis B vaccine to those (mostly adult) populations in Tasmania who were unvaccinate</w:t>
      </w:r>
      <w:r>
        <w:rPr>
          <w:lang w:val="en-US"/>
        </w:rPr>
        <w:t>d and most at risk of hepatitis </w:t>
      </w:r>
      <w:r w:rsidRPr="007E5614">
        <w:rPr>
          <w:lang w:val="en-US"/>
        </w:rPr>
        <w:t>B</w:t>
      </w:r>
      <w:r w:rsidRPr="007E5614">
        <w:t xml:space="preserve">. This time-limited program, funded until June 2017, has </w:t>
      </w:r>
      <w:r w:rsidRPr="007E5614">
        <w:rPr>
          <w:lang w:val="en-US"/>
        </w:rPr>
        <w:t>distribute</w:t>
      </w:r>
      <w:r>
        <w:rPr>
          <w:lang w:val="en-US"/>
        </w:rPr>
        <w:t>d around 700 </w:t>
      </w:r>
      <w:r w:rsidRPr="007E5614">
        <w:rPr>
          <w:lang w:val="en-US"/>
        </w:rPr>
        <w:t>doses of hepatitis B vaccine to providers for this initiative. DHHS is providing more information to providers and those at risk of hepatitis B, aiming to increase uptake of the vaccine.</w:t>
      </w:r>
    </w:p>
    <w:p w:rsidR="00DB5123" w:rsidRPr="007E5614" w:rsidRDefault="00DB5123" w:rsidP="00DB5123">
      <w:r w:rsidRPr="007E5614">
        <w:t>During 2015-16, Cancer Screening and Control Services (CSCS) transferred from PHS to the THS.  The performance indicators for CSCS will now be reported on by the THS in its Annual Report.</w:t>
      </w:r>
    </w:p>
    <w:p w:rsidR="00DB5123" w:rsidRDefault="00DB5123" w:rsidP="00ED3561"/>
    <w:p w:rsidR="00572F54" w:rsidRDefault="00572F54" w:rsidP="00ED3561">
      <w:pPr>
        <w:sectPr w:rsidR="00572F54" w:rsidSect="00DB5123">
          <w:type w:val="continuous"/>
          <w:pgSz w:w="11906" w:h="16838"/>
          <w:pgMar w:top="851" w:right="1274" w:bottom="567" w:left="1440" w:header="708" w:footer="708" w:gutter="0"/>
          <w:cols w:num="2" w:space="708"/>
          <w:docGrid w:linePitch="360"/>
        </w:sectPr>
      </w:pPr>
    </w:p>
    <w:p w:rsidR="00630D60" w:rsidRDefault="00630D60" w:rsidP="00DF724A">
      <w:pPr>
        <w:pStyle w:val="Heading3"/>
        <w:rPr>
          <w:rFonts w:eastAsia="Times New Roman"/>
        </w:rPr>
      </w:pPr>
      <w:r w:rsidRPr="007E5614">
        <w:rPr>
          <w:rFonts w:eastAsia="Times New Roman"/>
        </w:rPr>
        <w:lastRenderedPageBreak/>
        <w:t>Housing</w:t>
      </w:r>
      <w:r>
        <w:rPr>
          <w:rFonts w:eastAsia="Times New Roman"/>
        </w:rPr>
        <w:t>,</w:t>
      </w:r>
      <w:r w:rsidRPr="007E5614">
        <w:rPr>
          <w:rFonts w:eastAsia="Times New Roman"/>
        </w:rPr>
        <w:t xml:space="preserve"> </w:t>
      </w:r>
      <w:r>
        <w:rPr>
          <w:rFonts w:eastAsia="Times New Roman"/>
        </w:rPr>
        <w:t xml:space="preserve">Disability </w:t>
      </w:r>
      <w:r w:rsidRPr="007E5614">
        <w:rPr>
          <w:rFonts w:eastAsia="Times New Roman"/>
        </w:rPr>
        <w:t>and Community Services</w:t>
      </w:r>
    </w:p>
    <w:p w:rsidR="002F3755" w:rsidRPr="002F3755" w:rsidRDefault="002F3755" w:rsidP="00DF724A">
      <w:pPr>
        <w:pStyle w:val="Heading4"/>
      </w:pPr>
      <w:r>
        <w:t>Disability Services</w:t>
      </w:r>
    </w:p>
    <w:tbl>
      <w:tblPr>
        <w:tblW w:w="8883" w:type="dxa"/>
        <w:tblInd w:w="108"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CellMar>
          <w:left w:w="0" w:type="dxa"/>
          <w:right w:w="0" w:type="dxa"/>
        </w:tblCellMar>
        <w:tblLook w:val="04A0" w:firstRow="1" w:lastRow="0" w:firstColumn="1" w:lastColumn="0" w:noHBand="0" w:noVBand="1"/>
        <w:tblCaption w:val="Disability Services Performance Comparison"/>
      </w:tblPr>
      <w:tblGrid>
        <w:gridCol w:w="3261"/>
        <w:gridCol w:w="1124"/>
        <w:gridCol w:w="1124"/>
        <w:gridCol w:w="1125"/>
        <w:gridCol w:w="1124"/>
        <w:gridCol w:w="1125"/>
      </w:tblGrid>
      <w:tr w:rsidR="002F3755" w:rsidRPr="007E5614" w:rsidTr="00A87AE2">
        <w:tc>
          <w:tcPr>
            <w:tcW w:w="3261" w:type="dxa"/>
            <w:tcMar>
              <w:top w:w="0" w:type="dxa"/>
              <w:left w:w="108" w:type="dxa"/>
              <w:bottom w:w="0" w:type="dxa"/>
              <w:right w:w="108" w:type="dxa"/>
            </w:tcMar>
            <w:vAlign w:val="center"/>
            <w:hideMark/>
          </w:tcPr>
          <w:p w:rsidR="002F3755" w:rsidRPr="007E5614" w:rsidRDefault="002F3755" w:rsidP="00A87AE2">
            <w:pPr>
              <w:pStyle w:val="Table-AnnualReport"/>
              <w:rPr>
                <w:b/>
                <w:bCs/>
              </w:rPr>
            </w:pPr>
            <w:r w:rsidRPr="007E5614">
              <w:rPr>
                <w:b/>
                <w:bCs/>
              </w:rPr>
              <w:t>Performance Measure</w:t>
            </w:r>
          </w:p>
        </w:tc>
        <w:tc>
          <w:tcPr>
            <w:tcW w:w="1124" w:type="dxa"/>
            <w:tcMar>
              <w:top w:w="0" w:type="dxa"/>
              <w:left w:w="108" w:type="dxa"/>
              <w:bottom w:w="0" w:type="dxa"/>
              <w:right w:w="108" w:type="dxa"/>
            </w:tcMar>
            <w:hideMark/>
          </w:tcPr>
          <w:p w:rsidR="002F3755" w:rsidRPr="007E5614" w:rsidRDefault="002F3755" w:rsidP="00A87AE2">
            <w:pPr>
              <w:pStyle w:val="Table-AnnualReport"/>
              <w:jc w:val="right"/>
              <w:rPr>
                <w:b/>
                <w:bCs/>
              </w:rPr>
            </w:pPr>
            <w:r w:rsidRPr="007E5614">
              <w:rPr>
                <w:b/>
                <w:bCs/>
              </w:rPr>
              <w:t>Unit of Measure</w:t>
            </w:r>
          </w:p>
        </w:tc>
        <w:tc>
          <w:tcPr>
            <w:tcW w:w="1124" w:type="dxa"/>
            <w:tcMar>
              <w:top w:w="0" w:type="dxa"/>
              <w:left w:w="108" w:type="dxa"/>
              <w:bottom w:w="0" w:type="dxa"/>
              <w:right w:w="108" w:type="dxa"/>
            </w:tcMar>
            <w:hideMark/>
          </w:tcPr>
          <w:p w:rsidR="002F3755" w:rsidRPr="007E5614" w:rsidRDefault="002F3755" w:rsidP="00A87AE2">
            <w:pPr>
              <w:pStyle w:val="Table-AnnualReport"/>
              <w:jc w:val="right"/>
              <w:rPr>
                <w:b/>
                <w:bCs/>
              </w:rPr>
            </w:pPr>
            <w:r w:rsidRPr="007E5614">
              <w:rPr>
                <w:b/>
                <w:bCs/>
              </w:rPr>
              <w:t xml:space="preserve">2012-13 </w:t>
            </w:r>
            <w:r w:rsidRPr="007E5614">
              <w:rPr>
                <w:b/>
                <w:bCs/>
              </w:rPr>
              <w:br/>
              <w:t>Actual</w:t>
            </w:r>
          </w:p>
        </w:tc>
        <w:tc>
          <w:tcPr>
            <w:tcW w:w="1125" w:type="dxa"/>
            <w:tcMar>
              <w:top w:w="0" w:type="dxa"/>
              <w:left w:w="108" w:type="dxa"/>
              <w:bottom w:w="0" w:type="dxa"/>
              <w:right w:w="108" w:type="dxa"/>
            </w:tcMar>
            <w:hideMark/>
          </w:tcPr>
          <w:p w:rsidR="002F3755" w:rsidRPr="007E5614" w:rsidRDefault="002F3755" w:rsidP="00A87AE2">
            <w:pPr>
              <w:pStyle w:val="Table-AnnualReport"/>
              <w:jc w:val="right"/>
              <w:rPr>
                <w:b/>
                <w:bCs/>
              </w:rPr>
            </w:pPr>
            <w:r w:rsidRPr="007E5614">
              <w:rPr>
                <w:b/>
                <w:bCs/>
              </w:rPr>
              <w:t>2013-14 Actual</w:t>
            </w:r>
          </w:p>
        </w:tc>
        <w:tc>
          <w:tcPr>
            <w:tcW w:w="1124" w:type="dxa"/>
            <w:tcMar>
              <w:top w:w="0" w:type="dxa"/>
              <w:left w:w="108" w:type="dxa"/>
              <w:bottom w:w="0" w:type="dxa"/>
              <w:right w:w="108" w:type="dxa"/>
            </w:tcMar>
            <w:hideMark/>
          </w:tcPr>
          <w:p w:rsidR="002F3755" w:rsidRPr="007E5614" w:rsidRDefault="002F3755" w:rsidP="00A87AE2">
            <w:pPr>
              <w:pStyle w:val="Table-AnnualReport"/>
              <w:jc w:val="right"/>
              <w:rPr>
                <w:b/>
                <w:bCs/>
              </w:rPr>
            </w:pPr>
            <w:r w:rsidRPr="007E5614">
              <w:rPr>
                <w:b/>
                <w:bCs/>
              </w:rPr>
              <w:t>2014-15</w:t>
            </w:r>
            <w:r w:rsidRPr="007E5614">
              <w:rPr>
                <w:b/>
                <w:bCs/>
              </w:rPr>
              <w:br/>
              <w:t>Actual</w:t>
            </w:r>
          </w:p>
        </w:tc>
        <w:tc>
          <w:tcPr>
            <w:tcW w:w="1125" w:type="dxa"/>
          </w:tcPr>
          <w:p w:rsidR="002F3755" w:rsidRPr="007E5614" w:rsidRDefault="002F3755" w:rsidP="00A87AE2">
            <w:pPr>
              <w:pStyle w:val="Table-AnnualReport"/>
              <w:jc w:val="right"/>
              <w:rPr>
                <w:b/>
                <w:bCs/>
              </w:rPr>
            </w:pPr>
            <w:r w:rsidRPr="007E5614">
              <w:rPr>
                <w:b/>
                <w:bCs/>
              </w:rPr>
              <w:t>2015-16</w:t>
            </w:r>
            <w:r w:rsidRPr="007E5614">
              <w:rPr>
                <w:b/>
                <w:bCs/>
              </w:rPr>
              <w:br/>
              <w:t>Actual</w:t>
            </w:r>
          </w:p>
        </w:tc>
      </w:tr>
      <w:tr w:rsidR="002F3755" w:rsidRPr="007E5614" w:rsidTr="00A87AE2">
        <w:tc>
          <w:tcPr>
            <w:tcW w:w="3261" w:type="dxa"/>
            <w:tcMar>
              <w:top w:w="0" w:type="dxa"/>
              <w:left w:w="108" w:type="dxa"/>
              <w:bottom w:w="0" w:type="dxa"/>
              <w:right w:w="108" w:type="dxa"/>
            </w:tcMar>
            <w:vAlign w:val="center"/>
            <w:hideMark/>
          </w:tcPr>
          <w:p w:rsidR="002F3755" w:rsidRPr="007E5614" w:rsidRDefault="002F3755" w:rsidP="00A87AE2">
            <w:pPr>
              <w:pStyle w:val="Table-AnnualReport"/>
            </w:pPr>
            <w:r w:rsidRPr="007E5614">
              <w:t>Accommodation support clients</w:t>
            </w:r>
          </w:p>
        </w:tc>
        <w:tc>
          <w:tcPr>
            <w:tcW w:w="1124" w:type="dxa"/>
            <w:tcMar>
              <w:top w:w="0" w:type="dxa"/>
              <w:left w:w="108" w:type="dxa"/>
              <w:bottom w:w="0" w:type="dxa"/>
              <w:right w:w="108" w:type="dxa"/>
            </w:tcMar>
            <w:vAlign w:val="center"/>
            <w:hideMark/>
          </w:tcPr>
          <w:p w:rsidR="002F3755" w:rsidRPr="007E5614" w:rsidRDefault="002F3755" w:rsidP="00A87AE2">
            <w:pPr>
              <w:pStyle w:val="Table-AnnualReport"/>
              <w:jc w:val="right"/>
            </w:pPr>
            <w:r w:rsidRPr="007E5614">
              <w:t>Number</w:t>
            </w:r>
          </w:p>
        </w:tc>
        <w:tc>
          <w:tcPr>
            <w:tcW w:w="1124" w:type="dxa"/>
            <w:tcMar>
              <w:top w:w="0" w:type="dxa"/>
              <w:left w:w="108" w:type="dxa"/>
              <w:bottom w:w="0" w:type="dxa"/>
              <w:right w:w="108" w:type="dxa"/>
            </w:tcMar>
            <w:vAlign w:val="center"/>
            <w:hideMark/>
          </w:tcPr>
          <w:p w:rsidR="002F3755" w:rsidRPr="007E5614" w:rsidRDefault="002F3755" w:rsidP="00A87AE2">
            <w:pPr>
              <w:pStyle w:val="Table-AnnualReport"/>
              <w:jc w:val="right"/>
            </w:pPr>
            <w:r w:rsidRPr="007E5614">
              <w:t>1 326</w:t>
            </w:r>
          </w:p>
        </w:tc>
        <w:tc>
          <w:tcPr>
            <w:tcW w:w="1125" w:type="dxa"/>
            <w:tcMar>
              <w:top w:w="0" w:type="dxa"/>
              <w:left w:w="108" w:type="dxa"/>
              <w:bottom w:w="0" w:type="dxa"/>
              <w:right w:w="108" w:type="dxa"/>
            </w:tcMar>
            <w:vAlign w:val="center"/>
            <w:hideMark/>
          </w:tcPr>
          <w:p w:rsidR="002F3755" w:rsidRPr="007E5614" w:rsidRDefault="002F3755" w:rsidP="00A87AE2">
            <w:pPr>
              <w:pStyle w:val="Table-AnnualReport"/>
              <w:jc w:val="right"/>
            </w:pPr>
            <w:r w:rsidRPr="007E5614">
              <w:t>1 346</w:t>
            </w:r>
          </w:p>
        </w:tc>
        <w:tc>
          <w:tcPr>
            <w:tcW w:w="1124" w:type="dxa"/>
            <w:tcMar>
              <w:top w:w="0" w:type="dxa"/>
              <w:left w:w="108" w:type="dxa"/>
              <w:bottom w:w="0" w:type="dxa"/>
              <w:right w:w="108" w:type="dxa"/>
            </w:tcMar>
            <w:vAlign w:val="center"/>
            <w:hideMark/>
          </w:tcPr>
          <w:p w:rsidR="002F3755" w:rsidRPr="007E5614" w:rsidRDefault="002F3755" w:rsidP="00A87AE2">
            <w:pPr>
              <w:pStyle w:val="Table-AnnualReport"/>
              <w:jc w:val="right"/>
            </w:pPr>
            <w:r w:rsidRPr="007E5614">
              <w:t>1 222</w:t>
            </w:r>
          </w:p>
        </w:tc>
        <w:tc>
          <w:tcPr>
            <w:tcW w:w="1125" w:type="dxa"/>
            <w:vAlign w:val="center"/>
          </w:tcPr>
          <w:p w:rsidR="002F3755" w:rsidRPr="007E5614" w:rsidRDefault="002F3755" w:rsidP="00A87AE2">
            <w:pPr>
              <w:ind w:left="400"/>
              <w:jc w:val="right"/>
            </w:pPr>
            <w:r w:rsidRPr="007E5614">
              <w:rPr>
                <w:sz w:val="18"/>
                <w:szCs w:val="18"/>
              </w:rPr>
              <w:t>1 209</w:t>
            </w:r>
            <w:r w:rsidRPr="007E5614">
              <w:rPr>
                <w:sz w:val="18"/>
                <w:szCs w:val="18"/>
                <w:vertAlign w:val="superscript"/>
              </w:rPr>
              <w:t>1</w:t>
            </w:r>
          </w:p>
        </w:tc>
      </w:tr>
      <w:tr w:rsidR="002F3755" w:rsidRPr="007E5614" w:rsidTr="00A87AE2">
        <w:tc>
          <w:tcPr>
            <w:tcW w:w="3261" w:type="dxa"/>
            <w:tcMar>
              <w:top w:w="0" w:type="dxa"/>
              <w:left w:w="108" w:type="dxa"/>
              <w:bottom w:w="0" w:type="dxa"/>
              <w:right w:w="108" w:type="dxa"/>
            </w:tcMar>
            <w:vAlign w:val="center"/>
            <w:hideMark/>
          </w:tcPr>
          <w:p w:rsidR="002F3755" w:rsidRPr="007E5614" w:rsidRDefault="002F3755" w:rsidP="00A87AE2">
            <w:pPr>
              <w:pStyle w:val="Table-AnnualReport"/>
            </w:pPr>
            <w:r w:rsidRPr="007E5614">
              <w:t>Community access clients</w:t>
            </w:r>
          </w:p>
        </w:tc>
        <w:tc>
          <w:tcPr>
            <w:tcW w:w="1124" w:type="dxa"/>
            <w:tcMar>
              <w:top w:w="0" w:type="dxa"/>
              <w:left w:w="108" w:type="dxa"/>
              <w:bottom w:w="0" w:type="dxa"/>
              <w:right w:w="108" w:type="dxa"/>
            </w:tcMar>
            <w:vAlign w:val="center"/>
            <w:hideMark/>
          </w:tcPr>
          <w:p w:rsidR="002F3755" w:rsidRPr="007E5614" w:rsidRDefault="002F3755" w:rsidP="00A87AE2">
            <w:pPr>
              <w:pStyle w:val="Table-AnnualReport"/>
              <w:jc w:val="right"/>
            </w:pPr>
            <w:r w:rsidRPr="007E5614">
              <w:t>Number</w:t>
            </w:r>
          </w:p>
        </w:tc>
        <w:tc>
          <w:tcPr>
            <w:tcW w:w="1124" w:type="dxa"/>
            <w:tcMar>
              <w:top w:w="0" w:type="dxa"/>
              <w:left w:w="108" w:type="dxa"/>
              <w:bottom w:w="0" w:type="dxa"/>
              <w:right w:w="108" w:type="dxa"/>
            </w:tcMar>
            <w:vAlign w:val="center"/>
            <w:hideMark/>
          </w:tcPr>
          <w:p w:rsidR="002F3755" w:rsidRPr="007E5614" w:rsidRDefault="002F3755" w:rsidP="00A87AE2">
            <w:pPr>
              <w:pStyle w:val="Table-AnnualReport"/>
              <w:jc w:val="right"/>
            </w:pPr>
            <w:r w:rsidRPr="007E5614">
              <w:t>1 567</w:t>
            </w:r>
          </w:p>
        </w:tc>
        <w:tc>
          <w:tcPr>
            <w:tcW w:w="1125" w:type="dxa"/>
            <w:tcMar>
              <w:top w:w="0" w:type="dxa"/>
              <w:left w:w="108" w:type="dxa"/>
              <w:bottom w:w="0" w:type="dxa"/>
              <w:right w:w="108" w:type="dxa"/>
            </w:tcMar>
            <w:vAlign w:val="center"/>
            <w:hideMark/>
          </w:tcPr>
          <w:p w:rsidR="002F3755" w:rsidRPr="007E5614" w:rsidRDefault="002F3755" w:rsidP="00A87AE2">
            <w:pPr>
              <w:pStyle w:val="Table-AnnualReport"/>
              <w:jc w:val="right"/>
            </w:pPr>
            <w:r w:rsidRPr="007E5614">
              <w:t>1 419</w:t>
            </w:r>
          </w:p>
        </w:tc>
        <w:tc>
          <w:tcPr>
            <w:tcW w:w="1124" w:type="dxa"/>
            <w:tcMar>
              <w:top w:w="0" w:type="dxa"/>
              <w:left w:w="108" w:type="dxa"/>
              <w:bottom w:w="0" w:type="dxa"/>
              <w:right w:w="108" w:type="dxa"/>
            </w:tcMar>
            <w:vAlign w:val="center"/>
            <w:hideMark/>
          </w:tcPr>
          <w:p w:rsidR="002F3755" w:rsidRPr="007E5614" w:rsidRDefault="002F3755" w:rsidP="00A87AE2">
            <w:pPr>
              <w:pStyle w:val="Table-AnnualReport"/>
              <w:jc w:val="right"/>
            </w:pPr>
            <w:r w:rsidRPr="007E5614">
              <w:t>1 074</w:t>
            </w:r>
          </w:p>
        </w:tc>
        <w:tc>
          <w:tcPr>
            <w:tcW w:w="1125" w:type="dxa"/>
            <w:vAlign w:val="center"/>
          </w:tcPr>
          <w:p w:rsidR="002F3755" w:rsidRPr="007E5614" w:rsidRDefault="002F3755" w:rsidP="00A87AE2">
            <w:pPr>
              <w:ind w:left="400"/>
              <w:jc w:val="right"/>
            </w:pPr>
            <w:r w:rsidRPr="007E5614">
              <w:rPr>
                <w:sz w:val="18"/>
                <w:szCs w:val="18"/>
              </w:rPr>
              <w:t>1 083</w:t>
            </w:r>
            <w:r w:rsidRPr="007E5614">
              <w:rPr>
                <w:sz w:val="18"/>
                <w:szCs w:val="18"/>
                <w:vertAlign w:val="superscript"/>
              </w:rPr>
              <w:t>1</w:t>
            </w:r>
          </w:p>
        </w:tc>
      </w:tr>
      <w:tr w:rsidR="002F3755" w:rsidRPr="007E5614" w:rsidTr="00A87AE2">
        <w:tc>
          <w:tcPr>
            <w:tcW w:w="3261" w:type="dxa"/>
            <w:tcMar>
              <w:top w:w="0" w:type="dxa"/>
              <w:left w:w="108" w:type="dxa"/>
              <w:bottom w:w="0" w:type="dxa"/>
              <w:right w:w="108" w:type="dxa"/>
            </w:tcMar>
            <w:vAlign w:val="center"/>
            <w:hideMark/>
          </w:tcPr>
          <w:p w:rsidR="002F3755" w:rsidRPr="007E5614" w:rsidRDefault="002F3755" w:rsidP="00A87AE2">
            <w:pPr>
              <w:pStyle w:val="Table-AnnualReport"/>
            </w:pPr>
            <w:r w:rsidRPr="007E5614">
              <w:t>Supported accommodation waiting list</w:t>
            </w:r>
          </w:p>
        </w:tc>
        <w:tc>
          <w:tcPr>
            <w:tcW w:w="1124" w:type="dxa"/>
            <w:tcMar>
              <w:top w:w="0" w:type="dxa"/>
              <w:left w:w="108" w:type="dxa"/>
              <w:bottom w:w="0" w:type="dxa"/>
              <w:right w:w="108" w:type="dxa"/>
            </w:tcMar>
            <w:vAlign w:val="center"/>
            <w:hideMark/>
          </w:tcPr>
          <w:p w:rsidR="002F3755" w:rsidRPr="007E5614" w:rsidRDefault="002F3755" w:rsidP="00A87AE2">
            <w:pPr>
              <w:pStyle w:val="Table-AnnualReport"/>
              <w:jc w:val="right"/>
            </w:pPr>
            <w:r w:rsidRPr="007E5614">
              <w:t>Number</w:t>
            </w:r>
          </w:p>
        </w:tc>
        <w:tc>
          <w:tcPr>
            <w:tcW w:w="1124" w:type="dxa"/>
            <w:tcMar>
              <w:top w:w="0" w:type="dxa"/>
              <w:left w:w="108" w:type="dxa"/>
              <w:bottom w:w="0" w:type="dxa"/>
              <w:right w:w="108" w:type="dxa"/>
            </w:tcMar>
            <w:vAlign w:val="center"/>
            <w:hideMark/>
          </w:tcPr>
          <w:p w:rsidR="002F3755" w:rsidRPr="007E5614" w:rsidRDefault="002F3755" w:rsidP="00A87AE2">
            <w:pPr>
              <w:pStyle w:val="Table-AnnualReport"/>
              <w:jc w:val="right"/>
              <w:rPr>
                <w:vertAlign w:val="superscript"/>
              </w:rPr>
            </w:pPr>
            <w:r w:rsidRPr="007E5614">
              <w:t>142</w:t>
            </w:r>
          </w:p>
        </w:tc>
        <w:tc>
          <w:tcPr>
            <w:tcW w:w="1125" w:type="dxa"/>
            <w:tcMar>
              <w:top w:w="0" w:type="dxa"/>
              <w:left w:w="108" w:type="dxa"/>
              <w:bottom w:w="0" w:type="dxa"/>
              <w:right w:w="108" w:type="dxa"/>
            </w:tcMar>
            <w:vAlign w:val="center"/>
            <w:hideMark/>
          </w:tcPr>
          <w:p w:rsidR="002F3755" w:rsidRPr="007E5614" w:rsidRDefault="002F3755" w:rsidP="00A87AE2">
            <w:pPr>
              <w:pStyle w:val="Table-AnnualReport"/>
              <w:jc w:val="right"/>
              <w:rPr>
                <w:vertAlign w:val="superscript"/>
              </w:rPr>
            </w:pPr>
            <w:r w:rsidRPr="007E5614">
              <w:t>111</w:t>
            </w:r>
          </w:p>
        </w:tc>
        <w:tc>
          <w:tcPr>
            <w:tcW w:w="1124" w:type="dxa"/>
            <w:tcMar>
              <w:top w:w="0" w:type="dxa"/>
              <w:left w:w="108" w:type="dxa"/>
              <w:bottom w:w="0" w:type="dxa"/>
              <w:right w:w="108" w:type="dxa"/>
            </w:tcMar>
            <w:vAlign w:val="center"/>
            <w:hideMark/>
          </w:tcPr>
          <w:p w:rsidR="002F3755" w:rsidRPr="007E5614" w:rsidRDefault="002F3755" w:rsidP="00A87AE2">
            <w:pPr>
              <w:pStyle w:val="Table-AnnualReport"/>
              <w:jc w:val="right"/>
            </w:pPr>
            <w:r w:rsidRPr="007E5614">
              <w:t>93</w:t>
            </w:r>
          </w:p>
        </w:tc>
        <w:tc>
          <w:tcPr>
            <w:tcW w:w="1125" w:type="dxa"/>
            <w:vAlign w:val="center"/>
          </w:tcPr>
          <w:p w:rsidR="002F3755" w:rsidRPr="007E5614" w:rsidRDefault="002F3755" w:rsidP="00A87AE2">
            <w:pPr>
              <w:spacing w:line="240" w:lineRule="auto"/>
              <w:ind w:left="403"/>
              <w:jc w:val="right"/>
            </w:pPr>
            <w:r w:rsidRPr="007E5614">
              <w:rPr>
                <w:sz w:val="18"/>
                <w:szCs w:val="18"/>
              </w:rPr>
              <w:br/>
              <w:t>82</w:t>
            </w:r>
          </w:p>
        </w:tc>
      </w:tr>
      <w:tr w:rsidR="002F3755" w:rsidRPr="007E5614" w:rsidTr="00A87AE2">
        <w:tc>
          <w:tcPr>
            <w:tcW w:w="3261" w:type="dxa"/>
            <w:tcMar>
              <w:top w:w="0" w:type="dxa"/>
              <w:left w:w="108" w:type="dxa"/>
              <w:bottom w:w="0" w:type="dxa"/>
              <w:right w:w="108" w:type="dxa"/>
            </w:tcMar>
            <w:vAlign w:val="center"/>
            <w:hideMark/>
          </w:tcPr>
          <w:p w:rsidR="002F3755" w:rsidRPr="007E5614" w:rsidRDefault="002F3755" w:rsidP="00A87AE2">
            <w:pPr>
              <w:pStyle w:val="Table-AnnualReport"/>
            </w:pPr>
            <w:r w:rsidRPr="007E5614">
              <w:t>Community access waiting list</w:t>
            </w:r>
          </w:p>
        </w:tc>
        <w:tc>
          <w:tcPr>
            <w:tcW w:w="1124" w:type="dxa"/>
            <w:tcMar>
              <w:top w:w="0" w:type="dxa"/>
              <w:left w:w="108" w:type="dxa"/>
              <w:bottom w:w="0" w:type="dxa"/>
              <w:right w:w="108" w:type="dxa"/>
            </w:tcMar>
            <w:vAlign w:val="center"/>
            <w:hideMark/>
          </w:tcPr>
          <w:p w:rsidR="002F3755" w:rsidRPr="007E5614" w:rsidRDefault="002F3755" w:rsidP="00A87AE2">
            <w:pPr>
              <w:pStyle w:val="Table-AnnualReport"/>
              <w:jc w:val="right"/>
            </w:pPr>
            <w:r w:rsidRPr="007E5614">
              <w:t>Number</w:t>
            </w:r>
          </w:p>
        </w:tc>
        <w:tc>
          <w:tcPr>
            <w:tcW w:w="1124" w:type="dxa"/>
            <w:tcMar>
              <w:top w:w="0" w:type="dxa"/>
              <w:left w:w="108" w:type="dxa"/>
              <w:bottom w:w="0" w:type="dxa"/>
              <w:right w:w="108" w:type="dxa"/>
            </w:tcMar>
            <w:vAlign w:val="center"/>
            <w:hideMark/>
          </w:tcPr>
          <w:p w:rsidR="002F3755" w:rsidRPr="007E5614" w:rsidRDefault="002F3755" w:rsidP="00A87AE2">
            <w:pPr>
              <w:pStyle w:val="Table-AnnualReport"/>
              <w:jc w:val="right"/>
              <w:rPr>
                <w:vertAlign w:val="superscript"/>
              </w:rPr>
            </w:pPr>
            <w:r w:rsidRPr="007E5614">
              <w:t>176</w:t>
            </w:r>
          </w:p>
        </w:tc>
        <w:tc>
          <w:tcPr>
            <w:tcW w:w="1125" w:type="dxa"/>
            <w:tcMar>
              <w:top w:w="0" w:type="dxa"/>
              <w:left w:w="108" w:type="dxa"/>
              <w:bottom w:w="0" w:type="dxa"/>
              <w:right w:w="108" w:type="dxa"/>
            </w:tcMar>
            <w:vAlign w:val="center"/>
            <w:hideMark/>
          </w:tcPr>
          <w:p w:rsidR="002F3755" w:rsidRPr="007E5614" w:rsidRDefault="002F3755" w:rsidP="00A87AE2">
            <w:pPr>
              <w:pStyle w:val="Table-AnnualReport"/>
              <w:jc w:val="right"/>
              <w:rPr>
                <w:vertAlign w:val="superscript"/>
              </w:rPr>
            </w:pPr>
            <w:r w:rsidRPr="007E5614">
              <w:t>82</w:t>
            </w:r>
          </w:p>
        </w:tc>
        <w:tc>
          <w:tcPr>
            <w:tcW w:w="1124" w:type="dxa"/>
            <w:tcMar>
              <w:top w:w="0" w:type="dxa"/>
              <w:left w:w="108" w:type="dxa"/>
              <w:bottom w:w="0" w:type="dxa"/>
              <w:right w:w="108" w:type="dxa"/>
            </w:tcMar>
            <w:vAlign w:val="center"/>
            <w:hideMark/>
          </w:tcPr>
          <w:p w:rsidR="002F3755" w:rsidRPr="007E5614" w:rsidRDefault="002F3755" w:rsidP="00A87AE2">
            <w:pPr>
              <w:pStyle w:val="Table-AnnualReport"/>
              <w:jc w:val="right"/>
            </w:pPr>
            <w:r w:rsidRPr="007E5614">
              <w:t>76</w:t>
            </w:r>
          </w:p>
        </w:tc>
        <w:tc>
          <w:tcPr>
            <w:tcW w:w="1125" w:type="dxa"/>
            <w:vAlign w:val="center"/>
          </w:tcPr>
          <w:p w:rsidR="002F3755" w:rsidRPr="007E5614" w:rsidRDefault="002F3755" w:rsidP="00A87AE2">
            <w:pPr>
              <w:ind w:left="400"/>
              <w:jc w:val="right"/>
            </w:pPr>
            <w:r w:rsidRPr="007E5614">
              <w:rPr>
                <w:sz w:val="18"/>
                <w:szCs w:val="18"/>
              </w:rPr>
              <w:t>88</w:t>
            </w:r>
          </w:p>
        </w:tc>
      </w:tr>
    </w:tbl>
    <w:p w:rsidR="002F3755" w:rsidRDefault="002F3755" w:rsidP="002F3755"/>
    <w:p w:rsidR="002F3755" w:rsidRPr="00DF724A" w:rsidRDefault="002F3755" w:rsidP="00DF724A">
      <w:pPr>
        <w:pStyle w:val="Heading3"/>
      </w:pPr>
      <w:r w:rsidRPr="00DF724A">
        <w:t>Housing Tasmania</w:t>
      </w:r>
    </w:p>
    <w:tbl>
      <w:tblPr>
        <w:tblW w:w="8883" w:type="dxa"/>
        <w:tblInd w:w="108"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CellMar>
          <w:left w:w="0" w:type="dxa"/>
          <w:right w:w="0" w:type="dxa"/>
        </w:tblCellMar>
        <w:tblLook w:val="04A0" w:firstRow="1" w:lastRow="0" w:firstColumn="1" w:lastColumn="0" w:noHBand="0" w:noVBand="1"/>
        <w:tblCaption w:val="Housing Tasmania Performance Comparison"/>
      </w:tblPr>
      <w:tblGrid>
        <w:gridCol w:w="3261"/>
        <w:gridCol w:w="1124"/>
        <w:gridCol w:w="1124"/>
        <w:gridCol w:w="1125"/>
        <w:gridCol w:w="1124"/>
        <w:gridCol w:w="1125"/>
      </w:tblGrid>
      <w:tr w:rsidR="00630D60" w:rsidRPr="007E5614" w:rsidTr="00A87AE2">
        <w:tc>
          <w:tcPr>
            <w:tcW w:w="3261" w:type="dxa"/>
            <w:tcMar>
              <w:top w:w="0" w:type="dxa"/>
              <w:left w:w="108" w:type="dxa"/>
              <w:bottom w:w="0" w:type="dxa"/>
              <w:right w:w="108" w:type="dxa"/>
            </w:tcMar>
            <w:vAlign w:val="center"/>
          </w:tcPr>
          <w:p w:rsidR="00630D60" w:rsidRPr="007E5614" w:rsidRDefault="00630D60" w:rsidP="00A87AE2">
            <w:pPr>
              <w:pStyle w:val="Table-AnnualReport"/>
              <w:rPr>
                <w:b/>
                <w:bCs/>
              </w:rPr>
            </w:pPr>
            <w:r w:rsidRPr="007E5614">
              <w:rPr>
                <w:b/>
                <w:bCs/>
              </w:rPr>
              <w:t>Performance Measure</w:t>
            </w:r>
          </w:p>
        </w:tc>
        <w:tc>
          <w:tcPr>
            <w:tcW w:w="1124" w:type="dxa"/>
            <w:tcMar>
              <w:top w:w="0" w:type="dxa"/>
              <w:left w:w="108" w:type="dxa"/>
              <w:bottom w:w="0" w:type="dxa"/>
              <w:right w:w="108" w:type="dxa"/>
            </w:tcMar>
          </w:tcPr>
          <w:p w:rsidR="00630D60" w:rsidRPr="007E5614" w:rsidRDefault="00630D60" w:rsidP="00A87AE2">
            <w:pPr>
              <w:pStyle w:val="Table-AnnualReport"/>
              <w:jc w:val="right"/>
              <w:rPr>
                <w:b/>
                <w:bCs/>
              </w:rPr>
            </w:pPr>
            <w:r w:rsidRPr="007E5614">
              <w:rPr>
                <w:b/>
                <w:bCs/>
              </w:rPr>
              <w:t>Unit of Measure</w:t>
            </w:r>
          </w:p>
        </w:tc>
        <w:tc>
          <w:tcPr>
            <w:tcW w:w="1124" w:type="dxa"/>
            <w:tcMar>
              <w:top w:w="0" w:type="dxa"/>
              <w:left w:w="108" w:type="dxa"/>
              <w:bottom w:w="0" w:type="dxa"/>
              <w:right w:w="108" w:type="dxa"/>
            </w:tcMar>
          </w:tcPr>
          <w:p w:rsidR="00630D60" w:rsidRPr="007E5614" w:rsidRDefault="00630D60" w:rsidP="00A87AE2">
            <w:pPr>
              <w:pStyle w:val="Table-AnnualReport"/>
              <w:jc w:val="right"/>
              <w:rPr>
                <w:b/>
                <w:bCs/>
              </w:rPr>
            </w:pPr>
            <w:r w:rsidRPr="007E5614">
              <w:rPr>
                <w:b/>
                <w:bCs/>
              </w:rPr>
              <w:t xml:space="preserve">2012-13 </w:t>
            </w:r>
            <w:r w:rsidRPr="007E5614">
              <w:rPr>
                <w:b/>
                <w:bCs/>
              </w:rPr>
              <w:br/>
              <w:t>Actual</w:t>
            </w:r>
          </w:p>
        </w:tc>
        <w:tc>
          <w:tcPr>
            <w:tcW w:w="1125" w:type="dxa"/>
            <w:tcMar>
              <w:top w:w="0" w:type="dxa"/>
              <w:left w:w="108" w:type="dxa"/>
              <w:bottom w:w="0" w:type="dxa"/>
              <w:right w:w="108" w:type="dxa"/>
            </w:tcMar>
          </w:tcPr>
          <w:p w:rsidR="00630D60" w:rsidRPr="007E5614" w:rsidRDefault="00630D60" w:rsidP="00A87AE2">
            <w:pPr>
              <w:pStyle w:val="Table-AnnualReport"/>
              <w:jc w:val="right"/>
              <w:rPr>
                <w:b/>
                <w:bCs/>
              </w:rPr>
            </w:pPr>
            <w:r w:rsidRPr="007E5614">
              <w:rPr>
                <w:b/>
                <w:bCs/>
              </w:rPr>
              <w:t>2013-14 Actual</w:t>
            </w:r>
          </w:p>
        </w:tc>
        <w:tc>
          <w:tcPr>
            <w:tcW w:w="1124" w:type="dxa"/>
            <w:tcMar>
              <w:top w:w="0" w:type="dxa"/>
              <w:left w:w="108" w:type="dxa"/>
              <w:bottom w:w="0" w:type="dxa"/>
              <w:right w:w="108" w:type="dxa"/>
            </w:tcMar>
          </w:tcPr>
          <w:p w:rsidR="00630D60" w:rsidRPr="007E5614" w:rsidRDefault="00630D60" w:rsidP="00A87AE2">
            <w:pPr>
              <w:pStyle w:val="Table-AnnualReport"/>
              <w:jc w:val="right"/>
              <w:rPr>
                <w:b/>
                <w:bCs/>
              </w:rPr>
            </w:pPr>
            <w:r w:rsidRPr="007E5614">
              <w:rPr>
                <w:b/>
                <w:bCs/>
              </w:rPr>
              <w:t>2014-15 Actual</w:t>
            </w:r>
          </w:p>
        </w:tc>
        <w:tc>
          <w:tcPr>
            <w:tcW w:w="1125" w:type="dxa"/>
          </w:tcPr>
          <w:p w:rsidR="00630D60" w:rsidRPr="007E5614" w:rsidRDefault="00630D60" w:rsidP="00A87AE2">
            <w:pPr>
              <w:pStyle w:val="Table-AnnualReport"/>
              <w:jc w:val="right"/>
              <w:rPr>
                <w:b/>
              </w:rPr>
            </w:pPr>
            <w:r w:rsidRPr="007E5614">
              <w:rPr>
                <w:b/>
              </w:rPr>
              <w:t xml:space="preserve">2015-16 </w:t>
            </w:r>
            <w:r w:rsidRPr="007E5614">
              <w:rPr>
                <w:b/>
              </w:rPr>
              <w:br/>
              <w:t>Actual</w:t>
            </w:r>
          </w:p>
        </w:tc>
      </w:tr>
      <w:tr w:rsidR="00630D60" w:rsidRPr="007E5614" w:rsidTr="00A87AE2">
        <w:trPr>
          <w:trHeight w:val="397"/>
        </w:trPr>
        <w:tc>
          <w:tcPr>
            <w:tcW w:w="3261" w:type="dxa"/>
            <w:tcMar>
              <w:top w:w="0" w:type="dxa"/>
              <w:left w:w="108" w:type="dxa"/>
              <w:bottom w:w="0" w:type="dxa"/>
              <w:right w:w="108" w:type="dxa"/>
            </w:tcMar>
            <w:vAlign w:val="center"/>
          </w:tcPr>
          <w:p w:rsidR="00630D60" w:rsidRPr="007E5614" w:rsidRDefault="00630D60" w:rsidP="00A87AE2">
            <w:pPr>
              <w:pStyle w:val="Table-AnnualReport"/>
            </w:pPr>
            <w:r w:rsidRPr="007E5614">
              <w:t>Public Housing occupancy rate</w:t>
            </w:r>
            <w:r w:rsidRPr="007E5614">
              <w:rPr>
                <w:vertAlign w:val="superscript"/>
              </w:rPr>
              <w:t>2</w:t>
            </w:r>
          </w:p>
        </w:tc>
        <w:tc>
          <w:tcPr>
            <w:tcW w:w="1124" w:type="dxa"/>
            <w:tcMar>
              <w:top w:w="0" w:type="dxa"/>
              <w:left w:w="108" w:type="dxa"/>
              <w:bottom w:w="0" w:type="dxa"/>
              <w:right w:w="108" w:type="dxa"/>
            </w:tcMar>
            <w:vAlign w:val="center"/>
          </w:tcPr>
          <w:p w:rsidR="00630D60" w:rsidRPr="007E5614" w:rsidRDefault="00630D60" w:rsidP="00A87AE2">
            <w:pPr>
              <w:pStyle w:val="Table-AnnualReport"/>
              <w:jc w:val="right"/>
            </w:pPr>
            <w:r w:rsidRPr="007E5614">
              <w:t>%</w:t>
            </w:r>
          </w:p>
        </w:tc>
        <w:tc>
          <w:tcPr>
            <w:tcW w:w="1124" w:type="dxa"/>
            <w:tcMar>
              <w:top w:w="0" w:type="dxa"/>
              <w:left w:w="108" w:type="dxa"/>
              <w:bottom w:w="0" w:type="dxa"/>
              <w:right w:w="108" w:type="dxa"/>
            </w:tcMar>
            <w:vAlign w:val="center"/>
          </w:tcPr>
          <w:p w:rsidR="00630D60" w:rsidRPr="007E5614" w:rsidRDefault="00630D60" w:rsidP="00A87AE2">
            <w:pPr>
              <w:pStyle w:val="Table-AnnualReport"/>
              <w:spacing w:after="0"/>
              <w:jc w:val="right"/>
            </w:pPr>
            <w:r w:rsidRPr="007E5614">
              <w:t>97.1</w:t>
            </w:r>
          </w:p>
        </w:tc>
        <w:tc>
          <w:tcPr>
            <w:tcW w:w="1125" w:type="dxa"/>
            <w:tcMar>
              <w:top w:w="0" w:type="dxa"/>
              <w:left w:w="108" w:type="dxa"/>
              <w:bottom w:w="0" w:type="dxa"/>
              <w:right w:w="108" w:type="dxa"/>
            </w:tcMar>
            <w:vAlign w:val="center"/>
          </w:tcPr>
          <w:p w:rsidR="00630D60" w:rsidRPr="007E5614" w:rsidRDefault="00630D60" w:rsidP="00A87AE2">
            <w:pPr>
              <w:pStyle w:val="Table-AnnualReport"/>
              <w:spacing w:after="0"/>
              <w:jc w:val="right"/>
            </w:pPr>
            <w:r w:rsidRPr="007E5614">
              <w:t>98.1</w:t>
            </w:r>
          </w:p>
        </w:tc>
        <w:tc>
          <w:tcPr>
            <w:tcW w:w="1124" w:type="dxa"/>
            <w:tcMar>
              <w:top w:w="0" w:type="dxa"/>
              <w:left w:w="108" w:type="dxa"/>
              <w:bottom w:w="0" w:type="dxa"/>
              <w:right w:w="108" w:type="dxa"/>
            </w:tcMar>
            <w:vAlign w:val="center"/>
          </w:tcPr>
          <w:p w:rsidR="00630D60" w:rsidRPr="007E5614" w:rsidRDefault="00630D60" w:rsidP="00A87AE2">
            <w:pPr>
              <w:pStyle w:val="Table-AnnualReport"/>
              <w:spacing w:after="0"/>
              <w:jc w:val="right"/>
            </w:pPr>
            <w:r w:rsidRPr="007E5614">
              <w:t>98.3</w:t>
            </w:r>
          </w:p>
        </w:tc>
        <w:tc>
          <w:tcPr>
            <w:tcW w:w="1125" w:type="dxa"/>
            <w:vAlign w:val="center"/>
          </w:tcPr>
          <w:p w:rsidR="00630D60" w:rsidRPr="007E5614" w:rsidRDefault="00630D60" w:rsidP="00A87AE2">
            <w:pPr>
              <w:spacing w:after="0"/>
              <w:jc w:val="right"/>
              <w:rPr>
                <w:sz w:val="18"/>
                <w:szCs w:val="18"/>
              </w:rPr>
            </w:pPr>
            <w:r w:rsidRPr="007E5614">
              <w:rPr>
                <w:sz w:val="18"/>
                <w:szCs w:val="18"/>
              </w:rPr>
              <w:t>98.5</w:t>
            </w:r>
          </w:p>
        </w:tc>
      </w:tr>
      <w:tr w:rsidR="00630D60" w:rsidRPr="007E5614" w:rsidTr="00A87AE2">
        <w:trPr>
          <w:trHeight w:val="397"/>
        </w:trPr>
        <w:tc>
          <w:tcPr>
            <w:tcW w:w="3261" w:type="dxa"/>
            <w:tcMar>
              <w:top w:w="0" w:type="dxa"/>
              <w:left w:w="108" w:type="dxa"/>
              <w:bottom w:w="0" w:type="dxa"/>
              <w:right w:w="108" w:type="dxa"/>
            </w:tcMar>
            <w:vAlign w:val="center"/>
          </w:tcPr>
          <w:p w:rsidR="00630D60" w:rsidRPr="007E5614" w:rsidRDefault="00630D60" w:rsidP="00A87AE2">
            <w:pPr>
              <w:pStyle w:val="Table-AnnualReport"/>
            </w:pPr>
            <w:r w:rsidRPr="007E5614">
              <w:t>Applicants housed</w:t>
            </w:r>
            <w:r w:rsidRPr="007E5614">
              <w:rPr>
                <w:vertAlign w:val="superscript"/>
              </w:rPr>
              <w:t>3</w:t>
            </w:r>
          </w:p>
        </w:tc>
        <w:tc>
          <w:tcPr>
            <w:tcW w:w="1124" w:type="dxa"/>
            <w:tcMar>
              <w:top w:w="0" w:type="dxa"/>
              <w:left w:w="108" w:type="dxa"/>
              <w:bottom w:w="0" w:type="dxa"/>
              <w:right w:w="108" w:type="dxa"/>
            </w:tcMar>
            <w:vAlign w:val="center"/>
          </w:tcPr>
          <w:p w:rsidR="00630D60" w:rsidRPr="007E5614" w:rsidRDefault="00630D60" w:rsidP="00A87AE2">
            <w:pPr>
              <w:pStyle w:val="Table-AnnualReport"/>
              <w:jc w:val="right"/>
            </w:pPr>
            <w:r w:rsidRPr="007E5614">
              <w:t>Number</w:t>
            </w:r>
          </w:p>
        </w:tc>
        <w:tc>
          <w:tcPr>
            <w:tcW w:w="1124" w:type="dxa"/>
            <w:tcMar>
              <w:top w:w="0" w:type="dxa"/>
              <w:left w:w="108" w:type="dxa"/>
              <w:bottom w:w="0" w:type="dxa"/>
              <w:right w:w="108" w:type="dxa"/>
            </w:tcMar>
            <w:vAlign w:val="center"/>
          </w:tcPr>
          <w:p w:rsidR="00630D60" w:rsidRPr="007E5614" w:rsidRDefault="00630D60" w:rsidP="00A87AE2">
            <w:pPr>
              <w:pStyle w:val="Table-AnnualReport"/>
              <w:spacing w:after="0"/>
              <w:jc w:val="right"/>
            </w:pPr>
            <w:r w:rsidRPr="007E5614">
              <w:t>1 011</w:t>
            </w:r>
          </w:p>
        </w:tc>
        <w:tc>
          <w:tcPr>
            <w:tcW w:w="1125" w:type="dxa"/>
            <w:tcMar>
              <w:top w:w="0" w:type="dxa"/>
              <w:left w:w="108" w:type="dxa"/>
              <w:bottom w:w="0" w:type="dxa"/>
              <w:right w:w="108" w:type="dxa"/>
            </w:tcMar>
            <w:vAlign w:val="center"/>
          </w:tcPr>
          <w:p w:rsidR="00630D60" w:rsidRPr="007E5614" w:rsidRDefault="00630D60" w:rsidP="00A87AE2">
            <w:pPr>
              <w:pStyle w:val="Table-AnnualReport"/>
              <w:spacing w:after="0"/>
              <w:jc w:val="right"/>
            </w:pPr>
            <w:r w:rsidRPr="007E5614">
              <w:t>1 066</w:t>
            </w:r>
          </w:p>
        </w:tc>
        <w:tc>
          <w:tcPr>
            <w:tcW w:w="1124" w:type="dxa"/>
            <w:tcMar>
              <w:top w:w="0" w:type="dxa"/>
              <w:left w:w="108" w:type="dxa"/>
              <w:bottom w:w="0" w:type="dxa"/>
              <w:right w:w="108" w:type="dxa"/>
            </w:tcMar>
            <w:vAlign w:val="center"/>
          </w:tcPr>
          <w:p w:rsidR="00630D60" w:rsidRPr="007E5614" w:rsidRDefault="00630D60" w:rsidP="00A87AE2">
            <w:pPr>
              <w:pStyle w:val="Table-AnnualReport"/>
              <w:spacing w:after="0"/>
              <w:jc w:val="right"/>
            </w:pPr>
            <w:r w:rsidRPr="007E5614">
              <w:t>1 085</w:t>
            </w:r>
          </w:p>
        </w:tc>
        <w:tc>
          <w:tcPr>
            <w:tcW w:w="1125" w:type="dxa"/>
            <w:vAlign w:val="center"/>
          </w:tcPr>
          <w:p w:rsidR="00630D60" w:rsidRPr="007E5614" w:rsidRDefault="00630D60" w:rsidP="00A87AE2">
            <w:pPr>
              <w:spacing w:after="0"/>
              <w:jc w:val="right"/>
              <w:rPr>
                <w:sz w:val="18"/>
                <w:szCs w:val="18"/>
              </w:rPr>
            </w:pPr>
            <w:r w:rsidRPr="007E5614">
              <w:rPr>
                <w:sz w:val="18"/>
                <w:szCs w:val="18"/>
              </w:rPr>
              <w:t>926</w:t>
            </w:r>
          </w:p>
        </w:tc>
      </w:tr>
      <w:tr w:rsidR="002F3755" w:rsidRPr="007E5614" w:rsidTr="002F3755">
        <w:trPr>
          <w:trHeight w:val="397"/>
        </w:trPr>
        <w:tc>
          <w:tcPr>
            <w:tcW w:w="3261" w:type="dxa"/>
            <w:tcMar>
              <w:top w:w="0" w:type="dxa"/>
              <w:left w:w="108" w:type="dxa"/>
              <w:bottom w:w="0" w:type="dxa"/>
              <w:right w:w="108" w:type="dxa"/>
            </w:tcMar>
            <w:vAlign w:val="center"/>
          </w:tcPr>
          <w:p w:rsidR="002F3755" w:rsidRPr="007E5614" w:rsidRDefault="002F3755" w:rsidP="002F3755">
            <w:pPr>
              <w:pStyle w:val="Table-AnnualReport"/>
            </w:pPr>
            <w:r w:rsidRPr="007E5614">
              <w:t>New allocations to those in the greatest need</w:t>
            </w:r>
            <w:r w:rsidRPr="007E5614">
              <w:rPr>
                <w:vertAlign w:val="superscript"/>
              </w:rPr>
              <w:t>2</w:t>
            </w:r>
            <w:r w:rsidRPr="007E5614">
              <w:rPr>
                <w:vertAlign w:val="superscript"/>
              </w:rPr>
              <w:tab/>
            </w:r>
          </w:p>
        </w:tc>
        <w:tc>
          <w:tcPr>
            <w:tcW w:w="1124" w:type="dxa"/>
            <w:vAlign w:val="center"/>
          </w:tcPr>
          <w:p w:rsidR="002F3755" w:rsidRPr="007E5614" w:rsidRDefault="002F3755" w:rsidP="002F3755">
            <w:pPr>
              <w:pStyle w:val="Table-AnnualReport"/>
              <w:jc w:val="right"/>
            </w:pPr>
            <w:r w:rsidRPr="007E5614">
              <w:rPr>
                <w:vertAlign w:val="superscript"/>
              </w:rPr>
              <w:t xml:space="preserve">              </w:t>
            </w:r>
            <w:r w:rsidRPr="007E5614">
              <w:t>%</w:t>
            </w:r>
          </w:p>
        </w:tc>
        <w:tc>
          <w:tcPr>
            <w:tcW w:w="1124" w:type="dxa"/>
            <w:tcMar>
              <w:top w:w="0" w:type="dxa"/>
              <w:left w:w="108" w:type="dxa"/>
              <w:bottom w:w="0" w:type="dxa"/>
              <w:right w:w="108" w:type="dxa"/>
            </w:tcMar>
            <w:vAlign w:val="center"/>
          </w:tcPr>
          <w:p w:rsidR="002F3755" w:rsidRPr="007E5614" w:rsidRDefault="002F3755" w:rsidP="00A87AE2">
            <w:pPr>
              <w:pStyle w:val="Table-AnnualReport"/>
              <w:spacing w:after="0"/>
              <w:jc w:val="right"/>
            </w:pPr>
            <w:r w:rsidRPr="007E5614">
              <w:t>89.3</w:t>
            </w:r>
          </w:p>
        </w:tc>
        <w:tc>
          <w:tcPr>
            <w:tcW w:w="1125" w:type="dxa"/>
            <w:tcMar>
              <w:top w:w="0" w:type="dxa"/>
              <w:left w:w="108" w:type="dxa"/>
              <w:bottom w:w="0" w:type="dxa"/>
              <w:right w:w="108" w:type="dxa"/>
            </w:tcMar>
            <w:vAlign w:val="center"/>
          </w:tcPr>
          <w:p w:rsidR="002F3755" w:rsidRPr="007E5614" w:rsidRDefault="002F3755" w:rsidP="00A87AE2">
            <w:pPr>
              <w:pStyle w:val="Table-AnnualReport"/>
              <w:spacing w:after="0"/>
              <w:jc w:val="right"/>
            </w:pPr>
            <w:r w:rsidRPr="007E5614">
              <w:t>85.3</w:t>
            </w:r>
          </w:p>
        </w:tc>
        <w:tc>
          <w:tcPr>
            <w:tcW w:w="1124" w:type="dxa"/>
            <w:tcMar>
              <w:top w:w="0" w:type="dxa"/>
              <w:left w:w="108" w:type="dxa"/>
              <w:bottom w:w="0" w:type="dxa"/>
              <w:right w:w="108" w:type="dxa"/>
            </w:tcMar>
            <w:vAlign w:val="center"/>
          </w:tcPr>
          <w:p w:rsidR="002F3755" w:rsidRPr="007E5614" w:rsidRDefault="002F3755" w:rsidP="00A87AE2">
            <w:pPr>
              <w:pStyle w:val="Table-AnnualReport"/>
              <w:spacing w:after="0"/>
              <w:jc w:val="right"/>
            </w:pPr>
            <w:r w:rsidRPr="007E5614">
              <w:t>80.5</w:t>
            </w:r>
          </w:p>
        </w:tc>
        <w:tc>
          <w:tcPr>
            <w:tcW w:w="1125" w:type="dxa"/>
            <w:vAlign w:val="center"/>
          </w:tcPr>
          <w:p w:rsidR="002F3755" w:rsidRPr="007E5614" w:rsidRDefault="002F3755" w:rsidP="00A87AE2">
            <w:pPr>
              <w:spacing w:after="0"/>
              <w:jc w:val="right"/>
              <w:rPr>
                <w:sz w:val="18"/>
                <w:szCs w:val="18"/>
              </w:rPr>
            </w:pPr>
            <w:r w:rsidRPr="007E5614">
              <w:rPr>
                <w:sz w:val="18"/>
                <w:szCs w:val="18"/>
              </w:rPr>
              <w:t>95.5</w:t>
            </w:r>
          </w:p>
        </w:tc>
      </w:tr>
      <w:tr w:rsidR="00630D60" w:rsidRPr="007E5614" w:rsidTr="00A87AE2">
        <w:trPr>
          <w:trHeight w:val="397"/>
        </w:trPr>
        <w:tc>
          <w:tcPr>
            <w:tcW w:w="3261" w:type="dxa"/>
            <w:tcMar>
              <w:top w:w="0" w:type="dxa"/>
              <w:left w:w="108" w:type="dxa"/>
              <w:bottom w:w="0" w:type="dxa"/>
              <w:right w:w="108" w:type="dxa"/>
            </w:tcMar>
            <w:vAlign w:val="center"/>
          </w:tcPr>
          <w:p w:rsidR="00630D60" w:rsidRPr="007E5614" w:rsidRDefault="00630D60" w:rsidP="00A87AE2">
            <w:pPr>
              <w:pStyle w:val="Table-AnnualReport"/>
            </w:pPr>
            <w:r w:rsidRPr="007E5614">
              <w:t>Households assisted through Private</w:t>
            </w:r>
            <w:r w:rsidRPr="007E5614">
              <w:br/>
              <w:t>Rental Assistance</w:t>
            </w:r>
          </w:p>
        </w:tc>
        <w:tc>
          <w:tcPr>
            <w:tcW w:w="1124" w:type="dxa"/>
            <w:tcMar>
              <w:top w:w="0" w:type="dxa"/>
              <w:left w:w="108" w:type="dxa"/>
              <w:bottom w:w="0" w:type="dxa"/>
              <w:right w:w="108" w:type="dxa"/>
            </w:tcMar>
            <w:vAlign w:val="center"/>
          </w:tcPr>
          <w:p w:rsidR="00630D60" w:rsidRPr="007E5614" w:rsidRDefault="00630D60" w:rsidP="00A87AE2">
            <w:pPr>
              <w:pStyle w:val="Table-AnnualReport"/>
              <w:jc w:val="right"/>
            </w:pPr>
            <w:r w:rsidRPr="007E5614">
              <w:t>Number</w:t>
            </w:r>
          </w:p>
        </w:tc>
        <w:tc>
          <w:tcPr>
            <w:tcW w:w="1124" w:type="dxa"/>
            <w:tcMar>
              <w:top w:w="0" w:type="dxa"/>
              <w:left w:w="108" w:type="dxa"/>
              <w:bottom w:w="0" w:type="dxa"/>
              <w:right w:w="108" w:type="dxa"/>
            </w:tcMar>
            <w:vAlign w:val="center"/>
          </w:tcPr>
          <w:p w:rsidR="00630D60" w:rsidRPr="007E5614" w:rsidRDefault="00630D60" w:rsidP="00A87AE2">
            <w:pPr>
              <w:pStyle w:val="Table-AnnualReport"/>
              <w:spacing w:after="0"/>
              <w:jc w:val="right"/>
            </w:pPr>
            <w:r w:rsidRPr="007E5614">
              <w:t>4 128</w:t>
            </w:r>
          </w:p>
        </w:tc>
        <w:tc>
          <w:tcPr>
            <w:tcW w:w="1125" w:type="dxa"/>
            <w:tcMar>
              <w:top w:w="0" w:type="dxa"/>
              <w:left w:w="108" w:type="dxa"/>
              <w:bottom w:w="0" w:type="dxa"/>
              <w:right w:w="108" w:type="dxa"/>
            </w:tcMar>
            <w:vAlign w:val="center"/>
          </w:tcPr>
          <w:p w:rsidR="00630D60" w:rsidRPr="007E5614" w:rsidRDefault="00630D60" w:rsidP="00A87AE2">
            <w:pPr>
              <w:pStyle w:val="Table-AnnualReport"/>
              <w:spacing w:after="0"/>
              <w:jc w:val="right"/>
            </w:pPr>
            <w:r w:rsidRPr="007E5614">
              <w:t>4 100</w:t>
            </w:r>
          </w:p>
        </w:tc>
        <w:tc>
          <w:tcPr>
            <w:tcW w:w="1124" w:type="dxa"/>
            <w:tcMar>
              <w:top w:w="0" w:type="dxa"/>
              <w:left w:w="108" w:type="dxa"/>
              <w:bottom w:w="0" w:type="dxa"/>
              <w:right w:w="108" w:type="dxa"/>
            </w:tcMar>
            <w:vAlign w:val="center"/>
          </w:tcPr>
          <w:p w:rsidR="00630D60" w:rsidRPr="007E5614" w:rsidRDefault="00630D60" w:rsidP="00A87AE2">
            <w:pPr>
              <w:pStyle w:val="Table-AnnualReport"/>
              <w:spacing w:after="0"/>
              <w:jc w:val="right"/>
            </w:pPr>
            <w:r w:rsidRPr="007E5614">
              <w:t>3 666</w:t>
            </w:r>
          </w:p>
        </w:tc>
        <w:tc>
          <w:tcPr>
            <w:tcW w:w="1125" w:type="dxa"/>
            <w:vAlign w:val="center"/>
          </w:tcPr>
          <w:p w:rsidR="00630D60" w:rsidRPr="007E5614" w:rsidRDefault="00630D60" w:rsidP="00A87AE2">
            <w:pPr>
              <w:spacing w:after="0"/>
              <w:jc w:val="right"/>
              <w:rPr>
                <w:sz w:val="18"/>
                <w:szCs w:val="18"/>
              </w:rPr>
            </w:pPr>
            <w:r w:rsidRPr="007E5614">
              <w:rPr>
                <w:sz w:val="18"/>
                <w:szCs w:val="18"/>
              </w:rPr>
              <w:t>3 544</w:t>
            </w:r>
          </w:p>
        </w:tc>
      </w:tr>
      <w:tr w:rsidR="00630D60" w:rsidRPr="007E5614" w:rsidTr="00A87AE2">
        <w:trPr>
          <w:trHeight w:val="397"/>
        </w:trPr>
        <w:tc>
          <w:tcPr>
            <w:tcW w:w="3261" w:type="dxa"/>
            <w:tcMar>
              <w:top w:w="0" w:type="dxa"/>
              <w:left w:w="108" w:type="dxa"/>
              <w:bottom w:w="0" w:type="dxa"/>
              <w:right w:w="108" w:type="dxa"/>
            </w:tcMar>
            <w:vAlign w:val="center"/>
          </w:tcPr>
          <w:p w:rsidR="00630D60" w:rsidRPr="007E5614" w:rsidRDefault="00630D60" w:rsidP="00A87AE2">
            <w:pPr>
              <w:pStyle w:val="Table-AnnualReport"/>
            </w:pPr>
            <w:r w:rsidRPr="007E5614">
              <w:t xml:space="preserve">Applicants on </w:t>
            </w:r>
            <w:r>
              <w:t>wait list</w:t>
            </w:r>
          </w:p>
        </w:tc>
        <w:tc>
          <w:tcPr>
            <w:tcW w:w="1124" w:type="dxa"/>
            <w:tcMar>
              <w:top w:w="0" w:type="dxa"/>
              <w:left w:w="108" w:type="dxa"/>
              <w:bottom w:w="0" w:type="dxa"/>
              <w:right w:w="108" w:type="dxa"/>
            </w:tcMar>
            <w:vAlign w:val="center"/>
          </w:tcPr>
          <w:p w:rsidR="00630D60" w:rsidRPr="007E5614" w:rsidRDefault="00630D60" w:rsidP="00A87AE2">
            <w:pPr>
              <w:pStyle w:val="Table-AnnualReport"/>
              <w:jc w:val="right"/>
            </w:pPr>
            <w:r w:rsidRPr="007E5614">
              <w:t>Number</w:t>
            </w:r>
          </w:p>
        </w:tc>
        <w:tc>
          <w:tcPr>
            <w:tcW w:w="1124" w:type="dxa"/>
            <w:tcMar>
              <w:top w:w="0" w:type="dxa"/>
              <w:left w:w="108" w:type="dxa"/>
              <w:bottom w:w="0" w:type="dxa"/>
              <w:right w:w="108" w:type="dxa"/>
            </w:tcMar>
            <w:vAlign w:val="center"/>
          </w:tcPr>
          <w:p w:rsidR="00630D60" w:rsidRPr="007E5614" w:rsidRDefault="00630D60" w:rsidP="00A87AE2">
            <w:pPr>
              <w:pStyle w:val="Table-AnnualReport"/>
              <w:spacing w:after="0"/>
              <w:jc w:val="right"/>
            </w:pPr>
            <w:r w:rsidRPr="007E5614">
              <w:t>2 310</w:t>
            </w:r>
          </w:p>
        </w:tc>
        <w:tc>
          <w:tcPr>
            <w:tcW w:w="1125" w:type="dxa"/>
            <w:tcMar>
              <w:top w:w="0" w:type="dxa"/>
              <w:left w:w="108" w:type="dxa"/>
              <w:bottom w:w="0" w:type="dxa"/>
              <w:right w:w="108" w:type="dxa"/>
            </w:tcMar>
            <w:vAlign w:val="center"/>
          </w:tcPr>
          <w:p w:rsidR="00630D60" w:rsidRPr="007E5614" w:rsidRDefault="00630D60" w:rsidP="00A87AE2">
            <w:pPr>
              <w:pStyle w:val="Table-AnnualReport"/>
              <w:spacing w:after="0"/>
              <w:jc w:val="right"/>
            </w:pPr>
            <w:r w:rsidRPr="007E5614">
              <w:t>2 465</w:t>
            </w:r>
          </w:p>
        </w:tc>
        <w:tc>
          <w:tcPr>
            <w:tcW w:w="1124" w:type="dxa"/>
            <w:tcMar>
              <w:top w:w="0" w:type="dxa"/>
              <w:left w:w="108" w:type="dxa"/>
              <w:bottom w:w="0" w:type="dxa"/>
              <w:right w:w="108" w:type="dxa"/>
            </w:tcMar>
            <w:vAlign w:val="center"/>
          </w:tcPr>
          <w:p w:rsidR="00630D60" w:rsidRPr="007E5614" w:rsidRDefault="00630D60" w:rsidP="00A87AE2">
            <w:pPr>
              <w:pStyle w:val="Table-AnnualReport"/>
              <w:spacing w:after="0"/>
              <w:jc w:val="right"/>
            </w:pPr>
            <w:r w:rsidRPr="007E5614">
              <w:t>2 771</w:t>
            </w:r>
          </w:p>
        </w:tc>
        <w:tc>
          <w:tcPr>
            <w:tcW w:w="1125" w:type="dxa"/>
            <w:vAlign w:val="center"/>
          </w:tcPr>
          <w:p w:rsidR="00630D60" w:rsidRPr="007E5614" w:rsidRDefault="00630D60" w:rsidP="00A87AE2">
            <w:pPr>
              <w:spacing w:after="0"/>
              <w:jc w:val="right"/>
              <w:rPr>
                <w:sz w:val="18"/>
                <w:szCs w:val="18"/>
              </w:rPr>
            </w:pPr>
            <w:r w:rsidRPr="007E5614">
              <w:rPr>
                <w:sz w:val="18"/>
                <w:szCs w:val="18"/>
              </w:rPr>
              <w:t>3 573</w:t>
            </w:r>
          </w:p>
        </w:tc>
      </w:tr>
      <w:tr w:rsidR="002F3755" w:rsidRPr="007E5614" w:rsidTr="002F3755">
        <w:trPr>
          <w:trHeight w:val="397"/>
        </w:trPr>
        <w:tc>
          <w:tcPr>
            <w:tcW w:w="3261" w:type="dxa"/>
            <w:tcMar>
              <w:top w:w="0" w:type="dxa"/>
              <w:left w:w="108" w:type="dxa"/>
              <w:bottom w:w="0" w:type="dxa"/>
              <w:right w:w="108" w:type="dxa"/>
            </w:tcMar>
            <w:vAlign w:val="center"/>
          </w:tcPr>
          <w:p w:rsidR="002F3755" w:rsidRPr="007E5614" w:rsidRDefault="002F3755" w:rsidP="002F3755">
            <w:pPr>
              <w:pStyle w:val="Table-AnnualReport"/>
            </w:pPr>
            <w:r w:rsidRPr="007E5614">
              <w:t>Average wait time for people who are housed</w:t>
            </w:r>
            <w:r w:rsidRPr="007E5614">
              <w:tab/>
            </w:r>
          </w:p>
        </w:tc>
        <w:tc>
          <w:tcPr>
            <w:tcW w:w="1124" w:type="dxa"/>
            <w:vAlign w:val="center"/>
          </w:tcPr>
          <w:p w:rsidR="002F3755" w:rsidRPr="007E5614" w:rsidRDefault="002F3755" w:rsidP="002F3755">
            <w:pPr>
              <w:pStyle w:val="Table-AnnualReport"/>
              <w:jc w:val="right"/>
            </w:pPr>
            <w:r w:rsidRPr="007E5614">
              <w:t>Weeks</w:t>
            </w:r>
          </w:p>
        </w:tc>
        <w:tc>
          <w:tcPr>
            <w:tcW w:w="1124" w:type="dxa"/>
            <w:tcMar>
              <w:top w:w="0" w:type="dxa"/>
              <w:left w:w="108" w:type="dxa"/>
              <w:bottom w:w="0" w:type="dxa"/>
              <w:right w:w="108" w:type="dxa"/>
            </w:tcMar>
            <w:vAlign w:val="center"/>
          </w:tcPr>
          <w:p w:rsidR="002F3755" w:rsidRPr="007E5614" w:rsidRDefault="002F3755" w:rsidP="00A87AE2">
            <w:pPr>
              <w:pStyle w:val="Table-AnnualReport"/>
              <w:spacing w:after="0"/>
              <w:jc w:val="right"/>
            </w:pPr>
            <w:r w:rsidRPr="007E5614">
              <w:t>37.9</w:t>
            </w:r>
          </w:p>
        </w:tc>
        <w:tc>
          <w:tcPr>
            <w:tcW w:w="1125" w:type="dxa"/>
            <w:tcMar>
              <w:top w:w="0" w:type="dxa"/>
              <w:left w:w="108" w:type="dxa"/>
              <w:bottom w:w="0" w:type="dxa"/>
              <w:right w:w="108" w:type="dxa"/>
            </w:tcMar>
            <w:vAlign w:val="center"/>
          </w:tcPr>
          <w:p w:rsidR="002F3755" w:rsidRPr="007E5614" w:rsidRDefault="002F3755" w:rsidP="00A87AE2">
            <w:pPr>
              <w:pStyle w:val="Table-AnnualReport"/>
              <w:spacing w:after="0"/>
              <w:jc w:val="right"/>
            </w:pPr>
            <w:r w:rsidRPr="007E5614">
              <w:t>35.7</w:t>
            </w:r>
          </w:p>
        </w:tc>
        <w:tc>
          <w:tcPr>
            <w:tcW w:w="1124" w:type="dxa"/>
            <w:tcMar>
              <w:top w:w="0" w:type="dxa"/>
              <w:left w:w="108" w:type="dxa"/>
              <w:bottom w:w="0" w:type="dxa"/>
              <w:right w:w="108" w:type="dxa"/>
            </w:tcMar>
            <w:vAlign w:val="center"/>
          </w:tcPr>
          <w:p w:rsidR="002F3755" w:rsidRPr="007E5614" w:rsidRDefault="002F3755" w:rsidP="00A87AE2">
            <w:pPr>
              <w:pStyle w:val="Table-AnnualReport"/>
              <w:spacing w:after="0"/>
              <w:jc w:val="right"/>
            </w:pPr>
            <w:r w:rsidRPr="007E5614">
              <w:t>42.2</w:t>
            </w:r>
          </w:p>
        </w:tc>
        <w:tc>
          <w:tcPr>
            <w:tcW w:w="1125" w:type="dxa"/>
            <w:vAlign w:val="center"/>
          </w:tcPr>
          <w:p w:rsidR="002F3755" w:rsidRPr="007E5614" w:rsidRDefault="002F3755" w:rsidP="00A87AE2">
            <w:pPr>
              <w:spacing w:after="0"/>
              <w:jc w:val="right"/>
              <w:rPr>
                <w:sz w:val="18"/>
                <w:szCs w:val="18"/>
              </w:rPr>
            </w:pPr>
            <w:r w:rsidRPr="007E5614">
              <w:rPr>
                <w:sz w:val="18"/>
                <w:szCs w:val="18"/>
              </w:rPr>
              <w:t>47.7</w:t>
            </w:r>
          </w:p>
        </w:tc>
      </w:tr>
      <w:tr w:rsidR="002F3755" w:rsidRPr="007E5614" w:rsidTr="002F3755">
        <w:trPr>
          <w:trHeight w:val="397"/>
        </w:trPr>
        <w:tc>
          <w:tcPr>
            <w:tcW w:w="3261" w:type="dxa"/>
            <w:tcMar>
              <w:top w:w="0" w:type="dxa"/>
              <w:left w:w="108" w:type="dxa"/>
              <w:bottom w:w="0" w:type="dxa"/>
              <w:right w:w="108" w:type="dxa"/>
            </w:tcMar>
            <w:vAlign w:val="center"/>
          </w:tcPr>
          <w:p w:rsidR="002F3755" w:rsidRPr="007E5614" w:rsidRDefault="002F3755" w:rsidP="002F3755">
            <w:pPr>
              <w:pStyle w:val="Table-AnnualReport"/>
            </w:pPr>
            <w:r w:rsidRPr="007E5614">
              <w:t>Average time to house Category 1 applicants</w:t>
            </w:r>
            <w:r w:rsidRPr="007E5614">
              <w:tab/>
              <w:t xml:space="preserve"> </w:t>
            </w:r>
          </w:p>
        </w:tc>
        <w:tc>
          <w:tcPr>
            <w:tcW w:w="1124" w:type="dxa"/>
            <w:vAlign w:val="center"/>
          </w:tcPr>
          <w:p w:rsidR="002F3755" w:rsidRPr="007E5614" w:rsidRDefault="002F3755" w:rsidP="002F3755">
            <w:pPr>
              <w:pStyle w:val="Table-AnnualReport"/>
              <w:jc w:val="right"/>
            </w:pPr>
            <w:r w:rsidRPr="007E5614">
              <w:t>Weeks</w:t>
            </w:r>
          </w:p>
        </w:tc>
        <w:tc>
          <w:tcPr>
            <w:tcW w:w="1124" w:type="dxa"/>
            <w:tcMar>
              <w:top w:w="0" w:type="dxa"/>
              <w:left w:w="108" w:type="dxa"/>
              <w:bottom w:w="0" w:type="dxa"/>
              <w:right w:w="108" w:type="dxa"/>
            </w:tcMar>
            <w:vAlign w:val="center"/>
          </w:tcPr>
          <w:p w:rsidR="002F3755" w:rsidRPr="007E5614" w:rsidRDefault="002F3755" w:rsidP="00A87AE2">
            <w:pPr>
              <w:pStyle w:val="Table-AnnualReport"/>
              <w:spacing w:after="0"/>
              <w:jc w:val="right"/>
            </w:pPr>
            <w:r w:rsidRPr="007E5614">
              <w:t>16.2</w:t>
            </w:r>
          </w:p>
        </w:tc>
        <w:tc>
          <w:tcPr>
            <w:tcW w:w="1125" w:type="dxa"/>
            <w:tcMar>
              <w:top w:w="0" w:type="dxa"/>
              <w:left w:w="108" w:type="dxa"/>
              <w:bottom w:w="0" w:type="dxa"/>
              <w:right w:w="108" w:type="dxa"/>
            </w:tcMar>
            <w:vAlign w:val="center"/>
          </w:tcPr>
          <w:p w:rsidR="002F3755" w:rsidRPr="007E5614" w:rsidRDefault="002F3755" w:rsidP="00A87AE2">
            <w:pPr>
              <w:pStyle w:val="Table-AnnualReport"/>
              <w:spacing w:after="0"/>
              <w:jc w:val="right"/>
            </w:pPr>
            <w:r w:rsidRPr="007E5614">
              <w:t>20.7</w:t>
            </w:r>
          </w:p>
        </w:tc>
        <w:tc>
          <w:tcPr>
            <w:tcW w:w="1124" w:type="dxa"/>
            <w:tcMar>
              <w:top w:w="0" w:type="dxa"/>
              <w:left w:w="108" w:type="dxa"/>
              <w:bottom w:w="0" w:type="dxa"/>
              <w:right w:w="108" w:type="dxa"/>
            </w:tcMar>
            <w:vAlign w:val="center"/>
          </w:tcPr>
          <w:p w:rsidR="002F3755" w:rsidRPr="007E5614" w:rsidRDefault="002F3755" w:rsidP="00A87AE2">
            <w:pPr>
              <w:pStyle w:val="Table-AnnualReport"/>
              <w:spacing w:after="0"/>
              <w:jc w:val="right"/>
            </w:pPr>
            <w:r w:rsidRPr="007E5614">
              <w:t>22.4</w:t>
            </w:r>
            <w:r w:rsidRPr="007E5614">
              <w:rPr>
                <w:vertAlign w:val="superscript"/>
              </w:rPr>
              <w:t>4</w:t>
            </w:r>
          </w:p>
        </w:tc>
        <w:tc>
          <w:tcPr>
            <w:tcW w:w="1125" w:type="dxa"/>
            <w:vAlign w:val="center"/>
          </w:tcPr>
          <w:p w:rsidR="002F3755" w:rsidRPr="007E5614" w:rsidRDefault="002F3755" w:rsidP="00A87AE2">
            <w:pPr>
              <w:spacing w:after="0"/>
              <w:jc w:val="right"/>
              <w:rPr>
                <w:sz w:val="18"/>
                <w:szCs w:val="18"/>
              </w:rPr>
            </w:pPr>
            <w:r w:rsidRPr="007E5614">
              <w:rPr>
                <w:sz w:val="18"/>
                <w:szCs w:val="18"/>
              </w:rPr>
              <w:t>N/A</w:t>
            </w:r>
            <w:r w:rsidRPr="007E5614">
              <w:rPr>
                <w:sz w:val="18"/>
                <w:szCs w:val="18"/>
                <w:vertAlign w:val="superscript"/>
              </w:rPr>
              <w:t>5</w:t>
            </w:r>
          </w:p>
        </w:tc>
      </w:tr>
      <w:tr w:rsidR="00630D60" w:rsidRPr="007E5614" w:rsidTr="00A87AE2">
        <w:trPr>
          <w:trHeight w:val="397"/>
        </w:trPr>
        <w:tc>
          <w:tcPr>
            <w:tcW w:w="3261" w:type="dxa"/>
            <w:tcMar>
              <w:top w:w="0" w:type="dxa"/>
              <w:left w:w="108" w:type="dxa"/>
              <w:bottom w:w="0" w:type="dxa"/>
              <w:right w:w="108" w:type="dxa"/>
            </w:tcMar>
            <w:vAlign w:val="center"/>
          </w:tcPr>
          <w:p w:rsidR="00630D60" w:rsidRPr="007E5614" w:rsidRDefault="00630D60" w:rsidP="00A87AE2">
            <w:pPr>
              <w:pStyle w:val="Table-AnnualReport"/>
            </w:pPr>
            <w:r w:rsidRPr="007E5614">
              <w:t>Average time to house Priority applicants</w:t>
            </w:r>
            <w:r w:rsidRPr="007E5614">
              <w:rPr>
                <w:vertAlign w:val="superscript"/>
              </w:rPr>
              <w:t>6</w:t>
            </w:r>
          </w:p>
        </w:tc>
        <w:tc>
          <w:tcPr>
            <w:tcW w:w="1124" w:type="dxa"/>
            <w:tcMar>
              <w:top w:w="0" w:type="dxa"/>
              <w:left w:w="108" w:type="dxa"/>
              <w:bottom w:w="0" w:type="dxa"/>
              <w:right w:w="108" w:type="dxa"/>
            </w:tcMar>
            <w:vAlign w:val="center"/>
          </w:tcPr>
          <w:p w:rsidR="00630D60" w:rsidRPr="007E5614" w:rsidRDefault="00630D60" w:rsidP="00A87AE2">
            <w:pPr>
              <w:pStyle w:val="Table-AnnualReport"/>
              <w:jc w:val="right"/>
            </w:pPr>
            <w:r w:rsidRPr="007E5614">
              <w:t>Weeks</w:t>
            </w:r>
          </w:p>
        </w:tc>
        <w:tc>
          <w:tcPr>
            <w:tcW w:w="1124" w:type="dxa"/>
            <w:tcMar>
              <w:top w:w="0" w:type="dxa"/>
              <w:left w:w="108" w:type="dxa"/>
              <w:bottom w:w="0" w:type="dxa"/>
              <w:right w:w="108" w:type="dxa"/>
            </w:tcMar>
            <w:vAlign w:val="center"/>
          </w:tcPr>
          <w:p w:rsidR="00630D60" w:rsidRPr="007E5614" w:rsidRDefault="00630D60" w:rsidP="00A87AE2">
            <w:pPr>
              <w:pStyle w:val="Table-AnnualReport"/>
              <w:spacing w:after="0"/>
              <w:jc w:val="right"/>
            </w:pPr>
            <w:r w:rsidRPr="007E5614">
              <w:t>N/A</w:t>
            </w:r>
          </w:p>
        </w:tc>
        <w:tc>
          <w:tcPr>
            <w:tcW w:w="1125" w:type="dxa"/>
            <w:tcMar>
              <w:top w:w="0" w:type="dxa"/>
              <w:left w:w="108" w:type="dxa"/>
              <w:bottom w:w="0" w:type="dxa"/>
              <w:right w:w="108" w:type="dxa"/>
            </w:tcMar>
            <w:vAlign w:val="center"/>
          </w:tcPr>
          <w:p w:rsidR="00630D60" w:rsidRPr="007E5614" w:rsidRDefault="00630D60" w:rsidP="00A87AE2">
            <w:pPr>
              <w:pStyle w:val="Table-AnnualReport"/>
              <w:spacing w:after="0"/>
              <w:jc w:val="right"/>
            </w:pPr>
            <w:r w:rsidRPr="007E5614">
              <w:t>N/A</w:t>
            </w:r>
          </w:p>
        </w:tc>
        <w:tc>
          <w:tcPr>
            <w:tcW w:w="1124" w:type="dxa"/>
            <w:tcMar>
              <w:top w:w="0" w:type="dxa"/>
              <w:left w:w="108" w:type="dxa"/>
              <w:bottom w:w="0" w:type="dxa"/>
              <w:right w:w="108" w:type="dxa"/>
            </w:tcMar>
            <w:vAlign w:val="center"/>
          </w:tcPr>
          <w:p w:rsidR="00630D60" w:rsidRPr="007E5614" w:rsidRDefault="00630D60" w:rsidP="00A87AE2">
            <w:pPr>
              <w:pStyle w:val="Table-AnnualReport"/>
              <w:spacing w:after="0"/>
              <w:jc w:val="right"/>
            </w:pPr>
            <w:r w:rsidRPr="007E5614">
              <w:t>N/A</w:t>
            </w:r>
          </w:p>
        </w:tc>
        <w:tc>
          <w:tcPr>
            <w:tcW w:w="1125" w:type="dxa"/>
            <w:vAlign w:val="center"/>
          </w:tcPr>
          <w:p w:rsidR="00630D60" w:rsidRPr="007E5614" w:rsidRDefault="00630D60" w:rsidP="00A87AE2">
            <w:pPr>
              <w:spacing w:after="0"/>
              <w:jc w:val="right"/>
              <w:rPr>
                <w:sz w:val="18"/>
                <w:szCs w:val="18"/>
              </w:rPr>
            </w:pPr>
            <w:r w:rsidRPr="007E5614">
              <w:rPr>
                <w:sz w:val="18"/>
                <w:szCs w:val="18"/>
              </w:rPr>
              <w:t>43.0</w:t>
            </w:r>
          </w:p>
        </w:tc>
      </w:tr>
      <w:tr w:rsidR="00630D60" w:rsidRPr="007E5614" w:rsidTr="00A87AE2">
        <w:trPr>
          <w:trHeight w:val="397"/>
        </w:trPr>
        <w:tc>
          <w:tcPr>
            <w:tcW w:w="3261" w:type="dxa"/>
            <w:tcMar>
              <w:top w:w="0" w:type="dxa"/>
              <w:left w:w="108" w:type="dxa"/>
              <w:bottom w:w="0" w:type="dxa"/>
              <w:right w:w="108" w:type="dxa"/>
            </w:tcMar>
            <w:vAlign w:val="center"/>
          </w:tcPr>
          <w:p w:rsidR="00630D60" w:rsidRPr="007E5614" w:rsidRDefault="00630D60" w:rsidP="00A87AE2">
            <w:pPr>
              <w:pStyle w:val="Table-AnnualReport"/>
            </w:pPr>
            <w:r w:rsidRPr="007E5614">
              <w:t>Net recurrent cost per dwelling</w:t>
            </w:r>
            <w:r w:rsidRPr="007E5614">
              <w:rPr>
                <w:vertAlign w:val="superscript"/>
              </w:rPr>
              <w:t>2,7</w:t>
            </w:r>
          </w:p>
        </w:tc>
        <w:tc>
          <w:tcPr>
            <w:tcW w:w="1124" w:type="dxa"/>
            <w:tcMar>
              <w:top w:w="0" w:type="dxa"/>
              <w:left w:w="108" w:type="dxa"/>
              <w:bottom w:w="0" w:type="dxa"/>
              <w:right w:w="108" w:type="dxa"/>
            </w:tcMar>
            <w:vAlign w:val="center"/>
          </w:tcPr>
          <w:p w:rsidR="00630D60" w:rsidRPr="007E5614" w:rsidRDefault="00630D60" w:rsidP="00A87AE2">
            <w:pPr>
              <w:pStyle w:val="Table-AnnualReport"/>
              <w:jc w:val="right"/>
            </w:pPr>
            <w:r w:rsidRPr="007E5614">
              <w:t>$</w:t>
            </w:r>
          </w:p>
        </w:tc>
        <w:tc>
          <w:tcPr>
            <w:tcW w:w="1124" w:type="dxa"/>
            <w:tcMar>
              <w:top w:w="0" w:type="dxa"/>
              <w:left w:w="108" w:type="dxa"/>
              <w:bottom w:w="0" w:type="dxa"/>
              <w:right w:w="108" w:type="dxa"/>
            </w:tcMar>
            <w:vAlign w:val="center"/>
          </w:tcPr>
          <w:p w:rsidR="00630D60" w:rsidRPr="007E5614" w:rsidRDefault="00630D60" w:rsidP="00A87AE2">
            <w:pPr>
              <w:pStyle w:val="Table-AnnualReport"/>
              <w:spacing w:after="0"/>
              <w:jc w:val="right"/>
            </w:pPr>
            <w:r w:rsidRPr="007E5614">
              <w:t>8 015</w:t>
            </w:r>
          </w:p>
        </w:tc>
        <w:tc>
          <w:tcPr>
            <w:tcW w:w="1125" w:type="dxa"/>
            <w:tcMar>
              <w:top w:w="0" w:type="dxa"/>
              <w:left w:w="108" w:type="dxa"/>
              <w:bottom w:w="0" w:type="dxa"/>
              <w:right w:w="108" w:type="dxa"/>
            </w:tcMar>
            <w:vAlign w:val="center"/>
          </w:tcPr>
          <w:p w:rsidR="00630D60" w:rsidRPr="007E5614" w:rsidRDefault="00630D60" w:rsidP="00A87AE2">
            <w:pPr>
              <w:pStyle w:val="Table-AnnualReport"/>
              <w:spacing w:after="0"/>
              <w:jc w:val="right"/>
            </w:pPr>
            <w:r w:rsidRPr="007E5614">
              <w:t>10 644</w:t>
            </w:r>
          </w:p>
        </w:tc>
        <w:tc>
          <w:tcPr>
            <w:tcW w:w="1124" w:type="dxa"/>
            <w:tcMar>
              <w:top w:w="0" w:type="dxa"/>
              <w:left w:w="108" w:type="dxa"/>
              <w:bottom w:w="0" w:type="dxa"/>
              <w:right w:w="108" w:type="dxa"/>
            </w:tcMar>
            <w:vAlign w:val="center"/>
          </w:tcPr>
          <w:p w:rsidR="00630D60" w:rsidRPr="007E5614" w:rsidRDefault="00630D60" w:rsidP="00A87AE2">
            <w:pPr>
              <w:pStyle w:val="Table-AnnualReport"/>
              <w:spacing w:after="0"/>
              <w:jc w:val="right"/>
            </w:pPr>
            <w:r w:rsidRPr="007E5614">
              <w:t>8 379</w:t>
            </w:r>
          </w:p>
        </w:tc>
        <w:tc>
          <w:tcPr>
            <w:tcW w:w="1125" w:type="dxa"/>
            <w:vAlign w:val="center"/>
          </w:tcPr>
          <w:p w:rsidR="00630D60" w:rsidRPr="007E5614" w:rsidRDefault="00630D60" w:rsidP="00A87AE2">
            <w:pPr>
              <w:spacing w:after="0"/>
              <w:jc w:val="right"/>
              <w:rPr>
                <w:sz w:val="18"/>
                <w:szCs w:val="18"/>
              </w:rPr>
            </w:pPr>
            <w:r w:rsidRPr="007E5614">
              <w:rPr>
                <w:sz w:val="18"/>
                <w:szCs w:val="18"/>
              </w:rPr>
              <w:t>8 117</w:t>
            </w:r>
          </w:p>
        </w:tc>
      </w:tr>
      <w:tr w:rsidR="00630D60" w:rsidRPr="007E5614" w:rsidTr="00A87AE2">
        <w:trPr>
          <w:trHeight w:val="397"/>
        </w:trPr>
        <w:tc>
          <w:tcPr>
            <w:tcW w:w="3261" w:type="dxa"/>
            <w:tcMar>
              <w:top w:w="0" w:type="dxa"/>
              <w:left w:w="108" w:type="dxa"/>
              <w:bottom w:w="0" w:type="dxa"/>
              <w:right w:w="108" w:type="dxa"/>
            </w:tcMar>
            <w:vAlign w:val="center"/>
          </w:tcPr>
          <w:p w:rsidR="00630D60" w:rsidRPr="007E5614" w:rsidRDefault="00630D60" w:rsidP="00A87AE2">
            <w:pPr>
              <w:pStyle w:val="Table-AnnualReport"/>
            </w:pPr>
            <w:r w:rsidRPr="007E5614">
              <w:t>Turnaround time</w:t>
            </w:r>
            <w:r w:rsidRPr="007E5614">
              <w:rPr>
                <w:vertAlign w:val="superscript"/>
              </w:rPr>
              <w:t>8</w:t>
            </w:r>
          </w:p>
        </w:tc>
        <w:tc>
          <w:tcPr>
            <w:tcW w:w="1124" w:type="dxa"/>
            <w:tcMar>
              <w:top w:w="0" w:type="dxa"/>
              <w:left w:w="108" w:type="dxa"/>
              <w:bottom w:w="0" w:type="dxa"/>
              <w:right w:w="108" w:type="dxa"/>
            </w:tcMar>
            <w:vAlign w:val="center"/>
          </w:tcPr>
          <w:p w:rsidR="00630D60" w:rsidRPr="007E5614" w:rsidRDefault="00630D60" w:rsidP="00A87AE2">
            <w:pPr>
              <w:pStyle w:val="Table-AnnualReport"/>
              <w:jc w:val="right"/>
            </w:pPr>
            <w:r w:rsidRPr="007E5614">
              <w:t>Days</w:t>
            </w:r>
          </w:p>
        </w:tc>
        <w:tc>
          <w:tcPr>
            <w:tcW w:w="1124" w:type="dxa"/>
            <w:tcMar>
              <w:top w:w="0" w:type="dxa"/>
              <w:left w:w="108" w:type="dxa"/>
              <w:bottom w:w="0" w:type="dxa"/>
              <w:right w:w="108" w:type="dxa"/>
            </w:tcMar>
            <w:vAlign w:val="center"/>
          </w:tcPr>
          <w:p w:rsidR="00630D60" w:rsidRPr="007E5614" w:rsidRDefault="00630D60" w:rsidP="00A87AE2">
            <w:pPr>
              <w:pStyle w:val="Table-AnnualReport"/>
              <w:spacing w:after="0"/>
              <w:jc w:val="right"/>
            </w:pPr>
            <w:r w:rsidRPr="007E5614">
              <w:t>27.9</w:t>
            </w:r>
          </w:p>
        </w:tc>
        <w:tc>
          <w:tcPr>
            <w:tcW w:w="1125" w:type="dxa"/>
            <w:tcMar>
              <w:top w:w="0" w:type="dxa"/>
              <w:left w:w="108" w:type="dxa"/>
              <w:bottom w:w="0" w:type="dxa"/>
              <w:right w:w="108" w:type="dxa"/>
            </w:tcMar>
            <w:vAlign w:val="center"/>
          </w:tcPr>
          <w:p w:rsidR="00630D60" w:rsidRPr="007E5614" w:rsidRDefault="00630D60" w:rsidP="00A87AE2">
            <w:pPr>
              <w:pStyle w:val="Table-AnnualReport"/>
              <w:spacing w:after="0"/>
              <w:jc w:val="right"/>
            </w:pPr>
            <w:r w:rsidRPr="007E5614">
              <w:t>28.9</w:t>
            </w:r>
          </w:p>
        </w:tc>
        <w:tc>
          <w:tcPr>
            <w:tcW w:w="1124" w:type="dxa"/>
            <w:tcMar>
              <w:top w:w="0" w:type="dxa"/>
              <w:left w:w="108" w:type="dxa"/>
              <w:bottom w:w="0" w:type="dxa"/>
              <w:right w:w="108" w:type="dxa"/>
            </w:tcMar>
            <w:vAlign w:val="center"/>
          </w:tcPr>
          <w:p w:rsidR="00630D60" w:rsidRPr="007E5614" w:rsidRDefault="00630D60" w:rsidP="00A87AE2">
            <w:pPr>
              <w:pStyle w:val="Table-AnnualReport"/>
              <w:spacing w:after="0"/>
              <w:jc w:val="right"/>
            </w:pPr>
            <w:r w:rsidRPr="007E5614">
              <w:t>21.5</w:t>
            </w:r>
          </w:p>
        </w:tc>
        <w:tc>
          <w:tcPr>
            <w:tcW w:w="1125" w:type="dxa"/>
            <w:vAlign w:val="center"/>
          </w:tcPr>
          <w:p w:rsidR="00630D60" w:rsidRPr="007E5614" w:rsidRDefault="00630D60" w:rsidP="00A87AE2">
            <w:pPr>
              <w:spacing w:after="0"/>
              <w:jc w:val="right"/>
              <w:rPr>
                <w:sz w:val="18"/>
                <w:szCs w:val="18"/>
              </w:rPr>
            </w:pPr>
            <w:r w:rsidRPr="007E5614">
              <w:rPr>
                <w:sz w:val="18"/>
                <w:szCs w:val="18"/>
              </w:rPr>
              <w:t>20.4</w:t>
            </w:r>
          </w:p>
        </w:tc>
      </w:tr>
    </w:tbl>
    <w:p w:rsidR="00630D60" w:rsidRPr="00630D60" w:rsidRDefault="00630D60" w:rsidP="00630D60">
      <w:pPr>
        <w:pStyle w:val="Notes"/>
        <w:numPr>
          <w:ilvl w:val="0"/>
          <w:numId w:val="0"/>
        </w:numPr>
        <w:spacing w:before="60" w:after="60"/>
        <w:rPr>
          <w:rFonts w:ascii="Gill Sans MT" w:hAnsi="Gill Sans MT"/>
          <w:sz w:val="16"/>
          <w:szCs w:val="16"/>
        </w:rPr>
      </w:pPr>
      <w:bookmarkStart w:id="258" w:name="_Ref415652561"/>
      <w:r w:rsidRPr="00630D60">
        <w:rPr>
          <w:rFonts w:ascii="Gill Sans MT" w:hAnsi="Gill Sans MT"/>
          <w:sz w:val="16"/>
          <w:szCs w:val="16"/>
        </w:rPr>
        <w:t>Notes:</w:t>
      </w:r>
    </w:p>
    <w:p w:rsidR="00630D60" w:rsidRPr="00630D60" w:rsidRDefault="00630D60" w:rsidP="00630D60">
      <w:pPr>
        <w:pStyle w:val="Notes"/>
        <w:numPr>
          <w:ilvl w:val="0"/>
          <w:numId w:val="20"/>
        </w:numPr>
        <w:spacing w:after="60"/>
        <w:jc w:val="left"/>
        <w:rPr>
          <w:rFonts w:ascii="Gill Sans MT" w:hAnsi="Gill Sans MT"/>
          <w:sz w:val="16"/>
          <w:szCs w:val="16"/>
        </w:rPr>
      </w:pPr>
      <w:r w:rsidRPr="00630D60">
        <w:rPr>
          <w:rFonts w:ascii="Gill Sans MT" w:hAnsi="Gill Sans MT"/>
          <w:sz w:val="16"/>
          <w:szCs w:val="16"/>
        </w:rPr>
        <w:t>The number of Accommodation Support and Community Access clients are preliminary figures as the data collection is yet to be finalised. Final figures are due to be published by the Australian Institute of Health and Welfare (AIHW) in June 2017.</w:t>
      </w:r>
    </w:p>
    <w:p w:rsidR="00630D60" w:rsidRPr="00630D60" w:rsidRDefault="00630D60" w:rsidP="00630D60">
      <w:pPr>
        <w:pStyle w:val="Notes"/>
        <w:numPr>
          <w:ilvl w:val="0"/>
          <w:numId w:val="20"/>
        </w:numPr>
        <w:spacing w:after="60"/>
        <w:ind w:left="357" w:hanging="357"/>
        <w:jc w:val="left"/>
        <w:rPr>
          <w:rFonts w:ascii="Gill Sans MT" w:hAnsi="Gill Sans MT"/>
          <w:sz w:val="16"/>
          <w:szCs w:val="16"/>
        </w:rPr>
      </w:pPr>
      <w:r w:rsidRPr="00630D60">
        <w:rPr>
          <w:rFonts w:ascii="Gill Sans MT" w:hAnsi="Gill Sans MT"/>
          <w:sz w:val="16"/>
          <w:szCs w:val="16"/>
        </w:rPr>
        <w:t>Housing Tasmania data is provided from ROGS</w:t>
      </w:r>
      <w:bookmarkEnd w:id="258"/>
      <w:r w:rsidRPr="00630D60">
        <w:rPr>
          <w:rFonts w:ascii="Gill Sans MT" w:hAnsi="Gill Sans MT"/>
          <w:sz w:val="16"/>
          <w:szCs w:val="16"/>
        </w:rPr>
        <w:t xml:space="preserve"> where appropriate. Some figures for 2014</w:t>
      </w:r>
      <w:r w:rsidRPr="00630D60">
        <w:rPr>
          <w:rFonts w:ascii="Gill Sans MT" w:hAnsi="Gill Sans MT"/>
          <w:sz w:val="16"/>
          <w:szCs w:val="16"/>
        </w:rPr>
        <w:noBreakHyphen/>
        <w:t>15 data may be updated from the previous year’s Annual Report to reflect final reported data. For 2015</w:t>
      </w:r>
      <w:r w:rsidRPr="00630D60">
        <w:rPr>
          <w:rFonts w:ascii="Gill Sans MT" w:hAnsi="Gill Sans MT"/>
          <w:sz w:val="16"/>
          <w:szCs w:val="16"/>
        </w:rPr>
        <w:noBreakHyphen/>
        <w:t xml:space="preserve">16, ROGS data is not yet </w:t>
      </w:r>
      <w:proofErr w:type="gramStart"/>
      <w:r w:rsidRPr="00630D60">
        <w:rPr>
          <w:rFonts w:ascii="Gill Sans MT" w:hAnsi="Gill Sans MT"/>
          <w:sz w:val="16"/>
          <w:szCs w:val="16"/>
        </w:rPr>
        <w:t>available,</w:t>
      </w:r>
      <w:proofErr w:type="gramEnd"/>
      <w:r w:rsidRPr="00630D60">
        <w:rPr>
          <w:rFonts w:ascii="Gill Sans MT" w:hAnsi="Gill Sans MT"/>
          <w:sz w:val="16"/>
          <w:szCs w:val="16"/>
        </w:rPr>
        <w:t xml:space="preserve"> therefore internal data has been used.</w:t>
      </w:r>
    </w:p>
    <w:p w:rsidR="00630D60" w:rsidRPr="00630D60" w:rsidRDefault="00630D60" w:rsidP="00630D60">
      <w:pPr>
        <w:pStyle w:val="Notes"/>
        <w:numPr>
          <w:ilvl w:val="0"/>
          <w:numId w:val="20"/>
        </w:numPr>
        <w:spacing w:after="60"/>
        <w:ind w:left="357" w:hanging="357"/>
        <w:jc w:val="left"/>
        <w:rPr>
          <w:rFonts w:ascii="Gill Sans MT" w:hAnsi="Gill Sans MT"/>
          <w:sz w:val="16"/>
          <w:szCs w:val="16"/>
        </w:rPr>
      </w:pPr>
      <w:r w:rsidRPr="00630D60">
        <w:rPr>
          <w:rFonts w:ascii="Gill Sans MT" w:hAnsi="Gill Sans MT"/>
          <w:sz w:val="16"/>
          <w:szCs w:val="16"/>
        </w:rPr>
        <w:t>This includes applicants housed into public or community housing from the Housing Register.</w:t>
      </w:r>
    </w:p>
    <w:p w:rsidR="00630D60" w:rsidRPr="00630D60" w:rsidRDefault="00630D60" w:rsidP="00630D60">
      <w:pPr>
        <w:pStyle w:val="Notes"/>
        <w:numPr>
          <w:ilvl w:val="0"/>
          <w:numId w:val="20"/>
        </w:numPr>
        <w:spacing w:after="60"/>
        <w:ind w:left="357" w:hanging="357"/>
        <w:jc w:val="left"/>
        <w:rPr>
          <w:rFonts w:ascii="Gill Sans MT" w:hAnsi="Gill Sans MT"/>
          <w:sz w:val="16"/>
          <w:szCs w:val="16"/>
        </w:rPr>
      </w:pPr>
      <w:r w:rsidRPr="00630D60">
        <w:rPr>
          <w:rFonts w:ascii="Gill Sans MT" w:hAnsi="Gill Sans MT"/>
          <w:sz w:val="16"/>
          <w:szCs w:val="16"/>
        </w:rPr>
        <w:t>These figures are as at 14 June 2015. Housing Tasmania moved to a new Housing Assessment Prioritisation System (HAPS) at 15 June 2015.</w:t>
      </w:r>
    </w:p>
    <w:p w:rsidR="00630D60" w:rsidRPr="00630D60" w:rsidRDefault="00630D60" w:rsidP="00630D60">
      <w:pPr>
        <w:pStyle w:val="Notes"/>
        <w:numPr>
          <w:ilvl w:val="0"/>
          <w:numId w:val="20"/>
        </w:numPr>
        <w:spacing w:after="60"/>
        <w:ind w:left="357" w:hanging="357"/>
        <w:jc w:val="left"/>
        <w:rPr>
          <w:rFonts w:ascii="Gill Sans MT" w:hAnsi="Gill Sans MT"/>
          <w:sz w:val="16"/>
          <w:szCs w:val="16"/>
        </w:rPr>
      </w:pPr>
      <w:r w:rsidRPr="00630D60">
        <w:rPr>
          <w:rFonts w:ascii="Gill Sans MT" w:hAnsi="Gill Sans MT"/>
          <w:sz w:val="16"/>
          <w:szCs w:val="16"/>
        </w:rPr>
        <w:t xml:space="preserve">This indicator has been replaced by Average time to house Priority applicants due to the new HAPS. See Note 6 below for more information. </w:t>
      </w:r>
    </w:p>
    <w:p w:rsidR="00630D60" w:rsidRPr="00630D60" w:rsidRDefault="00630D60" w:rsidP="00630D60">
      <w:pPr>
        <w:pStyle w:val="Notes"/>
        <w:numPr>
          <w:ilvl w:val="0"/>
          <w:numId w:val="20"/>
        </w:numPr>
        <w:spacing w:after="60"/>
        <w:ind w:left="357" w:hanging="357"/>
        <w:jc w:val="left"/>
        <w:rPr>
          <w:rFonts w:ascii="Gill Sans MT" w:hAnsi="Gill Sans MT"/>
          <w:sz w:val="16"/>
          <w:szCs w:val="16"/>
        </w:rPr>
      </w:pPr>
      <w:r w:rsidRPr="00630D60">
        <w:rPr>
          <w:rFonts w:ascii="Gill Sans MT" w:hAnsi="Gill Sans MT"/>
          <w:sz w:val="16"/>
          <w:szCs w:val="16"/>
        </w:rPr>
        <w:t xml:space="preserve">This indicator has replaced Average time to house Category 1 applicants due to the new HAPS. The new HAPS </w:t>
      </w:r>
      <w:proofErr w:type="gramStart"/>
      <w:r w:rsidRPr="00630D60">
        <w:rPr>
          <w:rFonts w:ascii="Gill Sans MT" w:hAnsi="Gill Sans MT"/>
          <w:sz w:val="16"/>
          <w:szCs w:val="16"/>
        </w:rPr>
        <w:t>has</w:t>
      </w:r>
      <w:proofErr w:type="gramEnd"/>
      <w:r w:rsidRPr="00630D60">
        <w:rPr>
          <w:rFonts w:ascii="Gill Sans MT" w:hAnsi="Gill Sans MT"/>
          <w:sz w:val="16"/>
          <w:szCs w:val="16"/>
        </w:rPr>
        <w:t xml:space="preserve"> seen a move to a two category system of Priority and General, and has resulted in a higher number of applicants in the Priority category. </w:t>
      </w:r>
    </w:p>
    <w:p w:rsidR="002F3755" w:rsidRPr="002F3755" w:rsidRDefault="00630D60" w:rsidP="00630D60">
      <w:pPr>
        <w:pStyle w:val="Notes"/>
        <w:numPr>
          <w:ilvl w:val="0"/>
          <w:numId w:val="20"/>
        </w:numPr>
        <w:spacing w:after="60"/>
        <w:ind w:left="357" w:hanging="357"/>
        <w:jc w:val="left"/>
      </w:pPr>
      <w:r w:rsidRPr="002F3755">
        <w:rPr>
          <w:rFonts w:ascii="Gill Sans MT" w:hAnsi="Gill Sans MT"/>
          <w:sz w:val="16"/>
          <w:szCs w:val="16"/>
        </w:rPr>
        <w:t>The national methodology for determining this figure changed from 2013</w:t>
      </w:r>
      <w:r w:rsidRPr="002F3755">
        <w:rPr>
          <w:rFonts w:ascii="Gill Sans MT" w:hAnsi="Gill Sans MT"/>
          <w:sz w:val="16"/>
          <w:szCs w:val="16"/>
        </w:rPr>
        <w:noBreakHyphen/>
        <w:t>14 to 2014</w:t>
      </w:r>
      <w:r w:rsidRPr="002F3755">
        <w:rPr>
          <w:rFonts w:ascii="Gill Sans MT" w:hAnsi="Gill Sans MT"/>
          <w:sz w:val="16"/>
          <w:szCs w:val="16"/>
        </w:rPr>
        <w:noBreakHyphen/>
        <w:t>15. We have reported previously cited figures for 2012-13 and 2013-14. Figures for 2015</w:t>
      </w:r>
      <w:r w:rsidRPr="002F3755">
        <w:rPr>
          <w:rFonts w:ascii="Gill Sans MT" w:hAnsi="Gill Sans MT"/>
          <w:sz w:val="16"/>
          <w:szCs w:val="16"/>
        </w:rPr>
        <w:noBreakHyphen/>
        <w:t>16 are estimates that are subject to audit review and will be finalised in ROGS.</w:t>
      </w:r>
    </w:p>
    <w:p w:rsidR="00572F54" w:rsidRPr="004E42E6" w:rsidRDefault="00630D60" w:rsidP="00630D60">
      <w:pPr>
        <w:pStyle w:val="Notes"/>
        <w:numPr>
          <w:ilvl w:val="0"/>
          <w:numId w:val="20"/>
        </w:numPr>
        <w:spacing w:after="60"/>
        <w:ind w:left="357" w:hanging="357"/>
        <w:jc w:val="left"/>
      </w:pPr>
      <w:r w:rsidRPr="002F3755">
        <w:rPr>
          <w:rFonts w:ascii="Gill Sans MT" w:hAnsi="Gill Sans MT"/>
          <w:sz w:val="16"/>
          <w:szCs w:val="16"/>
        </w:rPr>
        <w:t>A national review of turnaround time, led by the AIHW, is taking place due to discrepancies in jurisdiction’s reporting of ROGS data. It is not known when this review will be completed. Turnaround time data from 2012</w:t>
      </w:r>
      <w:r w:rsidRPr="002F3755">
        <w:rPr>
          <w:rFonts w:ascii="Gill Sans MT" w:hAnsi="Gill Sans MT"/>
          <w:sz w:val="16"/>
          <w:szCs w:val="16"/>
        </w:rPr>
        <w:noBreakHyphen/>
        <w:t>13 reflects Housing Tasmania’s data definitions.</w:t>
      </w:r>
    </w:p>
    <w:p w:rsidR="004E42E6" w:rsidRDefault="004E42E6" w:rsidP="00630D60">
      <w:pPr>
        <w:pStyle w:val="Notes"/>
        <w:numPr>
          <w:ilvl w:val="0"/>
          <w:numId w:val="20"/>
        </w:numPr>
        <w:spacing w:after="60"/>
        <w:ind w:left="357" w:hanging="357"/>
        <w:jc w:val="left"/>
        <w:sectPr w:rsidR="004E42E6" w:rsidSect="00572F54">
          <w:pgSz w:w="11906" w:h="16838"/>
          <w:pgMar w:top="851" w:right="1274" w:bottom="567" w:left="1440" w:header="708" w:footer="708" w:gutter="0"/>
          <w:cols w:space="708"/>
          <w:docGrid w:linePitch="360"/>
        </w:sectPr>
      </w:pPr>
    </w:p>
    <w:p w:rsidR="0012723F" w:rsidRDefault="004E42E6" w:rsidP="004E42E6">
      <w:pPr>
        <w:sectPr w:rsidR="0012723F" w:rsidSect="004E42E6">
          <w:type w:val="continuous"/>
          <w:pgSz w:w="11906" w:h="16838"/>
          <w:pgMar w:top="851" w:right="1274" w:bottom="567" w:left="1440" w:header="708" w:footer="708" w:gutter="0"/>
          <w:cols w:space="708"/>
          <w:docGrid w:linePitch="360"/>
        </w:sectPr>
      </w:pPr>
      <w:r>
        <w:lastRenderedPageBreak/>
        <w:br w:type="page"/>
      </w:r>
    </w:p>
    <w:p w:rsidR="0012723F" w:rsidRPr="007E5614" w:rsidRDefault="0012723F" w:rsidP="0012723F">
      <w:pPr>
        <w:pStyle w:val="Heading3"/>
      </w:pPr>
      <w:r w:rsidRPr="007E5614">
        <w:lastRenderedPageBreak/>
        <w:t>Disability Services</w:t>
      </w:r>
    </w:p>
    <w:p w:rsidR="0012723F" w:rsidRPr="007E5614" w:rsidRDefault="0012723F" w:rsidP="0012723F">
      <w:r w:rsidRPr="007E5614">
        <w:t>Accommodation support services provide assistance for people with disability within a range of accommodation options, including group homes (supported accommodation) and other settings. The supported accommodation waiting list decreased by 11.8 per cent from 93 people in June 2015 to 82 in June 2016. Supported accommodation waiting list figures are expected to further reduce as people who utilise supported accommodation services are transitioned to the NDIS.</w:t>
      </w:r>
    </w:p>
    <w:p w:rsidR="0012723F" w:rsidRPr="007E5614" w:rsidRDefault="0012723F" w:rsidP="0012723F">
      <w:pPr>
        <w:keepLines/>
      </w:pPr>
      <w:r w:rsidRPr="007E5614">
        <w:t xml:space="preserve">Community access services provide activities for people with disability which promote learning and skill development and enable access, integration and participation in the local community. </w:t>
      </w:r>
    </w:p>
    <w:p w:rsidR="0012723F" w:rsidRPr="007E5614" w:rsidRDefault="0012723F" w:rsidP="0012723F">
      <w:r w:rsidRPr="007E5614">
        <w:t>The community acces</w:t>
      </w:r>
      <w:r>
        <w:t>s waiting list increased by 15.8</w:t>
      </w:r>
      <w:r w:rsidRPr="007E5614">
        <w:t xml:space="preserve"> per cent fro</w:t>
      </w:r>
      <w:r>
        <w:t>m 76 in June 2015 to 88 in June </w:t>
      </w:r>
      <w:r w:rsidRPr="007E5614">
        <w:t xml:space="preserve">2016. The implementation of the NDIS in Tasmania has begun to address the need for community access. </w:t>
      </w:r>
      <w:r>
        <w:t>The increase</w:t>
      </w:r>
      <w:r w:rsidRPr="007E5614">
        <w:t xml:space="preserve"> is primarily due to a review of individuals’ needs for a community access package in preparation for the NDIS and a number of clients in northern Tasmania requiring additional days.</w:t>
      </w:r>
    </w:p>
    <w:p w:rsidR="0012723F" w:rsidRPr="007E5614" w:rsidRDefault="0012723F" w:rsidP="0012723F">
      <w:pPr>
        <w:pStyle w:val="Heading3"/>
      </w:pPr>
      <w:r w:rsidRPr="007E5614">
        <w:t>Housing Tasmania</w:t>
      </w:r>
    </w:p>
    <w:p w:rsidR="0012723F" w:rsidRPr="0012723F" w:rsidRDefault="0012723F" w:rsidP="0012723F">
      <w:pPr>
        <w:pStyle w:val="BulletedListLevel1"/>
        <w:numPr>
          <w:ilvl w:val="0"/>
          <w:numId w:val="0"/>
        </w:numPr>
        <w:rPr>
          <w:szCs w:val="22"/>
        </w:rPr>
      </w:pPr>
      <w:r w:rsidRPr="0012723F">
        <w:rPr>
          <w:szCs w:val="22"/>
        </w:rPr>
        <w:t>There is a range of affordable housing options. Demand for affordable housing for people on low incomes remains high due to rising house prices and challenges in accessing affordable private rentals.</w:t>
      </w:r>
    </w:p>
    <w:p w:rsidR="0012723F" w:rsidRPr="0012723F" w:rsidRDefault="0012723F" w:rsidP="0012723F">
      <w:pPr>
        <w:pStyle w:val="BulletedListLevel1"/>
        <w:numPr>
          <w:ilvl w:val="0"/>
          <w:numId w:val="0"/>
        </w:numPr>
        <w:rPr>
          <w:szCs w:val="22"/>
        </w:rPr>
      </w:pPr>
      <w:r w:rsidRPr="0012723F">
        <w:rPr>
          <w:szCs w:val="22"/>
        </w:rPr>
        <w:t>Housing Tasmania is performing well in reducing the time taken from when a public housing property becomes vacant to when it is re</w:t>
      </w:r>
      <w:r w:rsidRPr="0012723F">
        <w:rPr>
          <w:szCs w:val="22"/>
        </w:rPr>
        <w:noBreakHyphen/>
        <w:t>tenanted (turnaround time) with a reduction from an average of 27.9 days in 2012</w:t>
      </w:r>
      <w:r w:rsidRPr="0012723F">
        <w:rPr>
          <w:szCs w:val="22"/>
        </w:rPr>
        <w:noBreakHyphen/>
        <w:t>13 to 20.4 days in 2015</w:t>
      </w:r>
      <w:r w:rsidRPr="0012723F">
        <w:rPr>
          <w:szCs w:val="22"/>
        </w:rPr>
        <w:noBreakHyphen/>
        <w:t>16. This demonstrates an improved efficiency in service delivery practices.</w:t>
      </w:r>
    </w:p>
    <w:p w:rsidR="0012723F" w:rsidRPr="0012723F" w:rsidRDefault="0012723F" w:rsidP="0012723F">
      <w:pPr>
        <w:pStyle w:val="BulletedListLevel1"/>
        <w:numPr>
          <w:ilvl w:val="0"/>
          <w:numId w:val="0"/>
        </w:numPr>
        <w:rPr>
          <w:szCs w:val="22"/>
        </w:rPr>
      </w:pPr>
      <w:r w:rsidRPr="0012723F">
        <w:rPr>
          <w:szCs w:val="22"/>
        </w:rPr>
        <w:t>Occupancy rates for public housing continue to be high at 98.5 per cent as people remain in safe, affordable and stable housing.</w:t>
      </w:r>
    </w:p>
    <w:p w:rsidR="0012723F" w:rsidRPr="0012723F" w:rsidRDefault="0012723F" w:rsidP="0012723F">
      <w:pPr>
        <w:pStyle w:val="BulletedListLevel1"/>
        <w:numPr>
          <w:ilvl w:val="0"/>
          <w:numId w:val="0"/>
        </w:numPr>
        <w:rPr>
          <w:szCs w:val="22"/>
        </w:rPr>
      </w:pPr>
      <w:r w:rsidRPr="0012723F">
        <w:rPr>
          <w:szCs w:val="22"/>
        </w:rPr>
        <w:t>The number of applicants on the Housing Register has continued to increase in 2015</w:t>
      </w:r>
      <w:r w:rsidRPr="0012723F">
        <w:rPr>
          <w:szCs w:val="22"/>
        </w:rPr>
        <w:noBreakHyphen/>
        <w:t xml:space="preserve">16. The Housing Connect access and support </w:t>
      </w:r>
      <w:r w:rsidRPr="0012723F">
        <w:rPr>
          <w:szCs w:val="22"/>
        </w:rPr>
        <w:lastRenderedPageBreak/>
        <w:t xml:space="preserve">system, along with the release of the </w:t>
      </w:r>
      <w:r w:rsidRPr="0012723F">
        <w:rPr>
          <w:i/>
          <w:szCs w:val="22"/>
        </w:rPr>
        <w:t>Affordable Housing Strategy</w:t>
      </w:r>
      <w:r w:rsidRPr="0012723F">
        <w:rPr>
          <w:szCs w:val="22"/>
        </w:rPr>
        <w:t xml:space="preserve">, has encouraged more people to seek assistance, and the Housing Register has expanded to include public and community housing with a greater range of housing choices. </w:t>
      </w:r>
    </w:p>
    <w:p w:rsidR="0012723F" w:rsidRPr="0012723F" w:rsidRDefault="0012723F" w:rsidP="0012723F">
      <w:pPr>
        <w:pStyle w:val="BulletedListLevel1"/>
        <w:numPr>
          <w:ilvl w:val="0"/>
          <w:numId w:val="0"/>
        </w:numPr>
        <w:rPr>
          <w:szCs w:val="22"/>
        </w:rPr>
      </w:pPr>
      <w:r w:rsidRPr="0012723F">
        <w:rPr>
          <w:szCs w:val="22"/>
        </w:rPr>
        <w:t>A change in the assessment system for applicants was undertaken in 2014</w:t>
      </w:r>
      <w:r w:rsidRPr="0012723F">
        <w:rPr>
          <w:szCs w:val="22"/>
        </w:rPr>
        <w:noBreakHyphen/>
        <w:t>15 to a two category system of Priority and General. This means that there are now more applicants in the priority category and time to house performance indicators for priority applicants are not comparable to previous results.</w:t>
      </w:r>
    </w:p>
    <w:p w:rsidR="0012723F" w:rsidRPr="0012723F" w:rsidRDefault="0012723F" w:rsidP="0012723F">
      <w:pPr>
        <w:pStyle w:val="BulletedListLevel1"/>
        <w:numPr>
          <w:ilvl w:val="0"/>
          <w:numId w:val="0"/>
        </w:numPr>
      </w:pPr>
      <w:r w:rsidRPr="0012723F">
        <w:rPr>
          <w:szCs w:val="22"/>
        </w:rPr>
        <w:t>When people are housed, Housing Tasmania performs extremely well at targeting housing to people most in need. In June 2016, 95.5 per cent of people housed were priority (also known as greatest need) applicants. Tasmania’s performance has been well above national averages for the past five years</w:t>
      </w:r>
      <w:r w:rsidRPr="0012723F">
        <w:t>.</w:t>
      </w:r>
    </w:p>
    <w:p w:rsidR="004E42E6" w:rsidRDefault="004E42E6" w:rsidP="004E42E6">
      <w:pPr>
        <w:rPr>
          <w:rFonts w:ascii="Arial" w:eastAsia="Calibri" w:hAnsi="Arial" w:cs="Times New Roman"/>
          <w:sz w:val="18"/>
          <w:szCs w:val="18"/>
        </w:rPr>
      </w:pPr>
    </w:p>
    <w:p w:rsidR="0012723F" w:rsidRDefault="0012723F" w:rsidP="004E42E6">
      <w:pPr>
        <w:rPr>
          <w:rFonts w:ascii="Arial" w:eastAsia="Calibri" w:hAnsi="Arial" w:cs="Times New Roman"/>
          <w:sz w:val="18"/>
          <w:szCs w:val="18"/>
        </w:rPr>
        <w:sectPr w:rsidR="0012723F" w:rsidSect="0012723F">
          <w:pgSz w:w="11906" w:h="16838"/>
          <w:pgMar w:top="851" w:right="1274" w:bottom="567" w:left="1440" w:header="708" w:footer="708" w:gutter="0"/>
          <w:cols w:num="2" w:space="708"/>
          <w:docGrid w:linePitch="360"/>
        </w:sectPr>
      </w:pPr>
    </w:p>
    <w:p w:rsidR="0012723F" w:rsidRDefault="0012723F" w:rsidP="00DF724A">
      <w:pPr>
        <w:pStyle w:val="Heading3"/>
      </w:pPr>
      <w:r w:rsidRPr="007E5614">
        <w:lastRenderedPageBreak/>
        <w:t>Children and Youth Services</w:t>
      </w:r>
    </w:p>
    <w:p w:rsidR="0012723F" w:rsidRPr="0012723F" w:rsidRDefault="0012723F" w:rsidP="00DF724A">
      <w:pPr>
        <w:pStyle w:val="Heading4"/>
      </w:pPr>
      <w:r>
        <w:t>Children Services</w:t>
      </w:r>
    </w:p>
    <w:tbl>
      <w:tblPr>
        <w:tblW w:w="9388" w:type="dxa"/>
        <w:tblInd w:w="108" w:type="dxa"/>
        <w:tblBorders>
          <w:top w:val="single" w:sz="4" w:space="0" w:color="808080"/>
          <w:bottom w:val="single" w:sz="4" w:space="0" w:color="808080"/>
          <w:insideH w:val="single" w:sz="4" w:space="0" w:color="808080"/>
        </w:tblBorders>
        <w:tblLook w:val="04A0" w:firstRow="1" w:lastRow="0" w:firstColumn="1" w:lastColumn="0" w:noHBand="0" w:noVBand="1"/>
        <w:tblCaption w:val="Children Services Performance Comparison"/>
      </w:tblPr>
      <w:tblGrid>
        <w:gridCol w:w="3828"/>
        <w:gridCol w:w="1070"/>
        <w:gridCol w:w="1126"/>
        <w:gridCol w:w="1126"/>
        <w:gridCol w:w="1126"/>
        <w:gridCol w:w="1112"/>
      </w:tblGrid>
      <w:tr w:rsidR="0012723F" w:rsidRPr="007E5614" w:rsidTr="0012723F">
        <w:trPr>
          <w:cantSplit/>
          <w:tblHeader/>
        </w:trPr>
        <w:tc>
          <w:tcPr>
            <w:tcW w:w="3828" w:type="dxa"/>
            <w:shd w:val="clear" w:color="auto" w:fill="auto"/>
            <w:vAlign w:val="center"/>
          </w:tcPr>
          <w:p w:rsidR="0012723F" w:rsidRPr="007E5614" w:rsidRDefault="0012723F" w:rsidP="00A87AE2">
            <w:pPr>
              <w:spacing w:before="60" w:after="60" w:line="240" w:lineRule="auto"/>
              <w:rPr>
                <w:b/>
                <w:sz w:val="18"/>
                <w:szCs w:val="18"/>
              </w:rPr>
            </w:pPr>
            <w:bookmarkStart w:id="259" w:name="_Toc303841995"/>
            <w:bookmarkStart w:id="260" w:name="_Toc303842269"/>
            <w:bookmarkStart w:id="261" w:name="_Toc303842543"/>
            <w:bookmarkStart w:id="262" w:name="_Toc303933871"/>
            <w:r w:rsidRPr="007E5614">
              <w:rPr>
                <w:b/>
                <w:sz w:val="18"/>
                <w:szCs w:val="18"/>
              </w:rPr>
              <w:t>Performance Measure</w:t>
            </w:r>
            <w:bookmarkEnd w:id="259"/>
            <w:bookmarkEnd w:id="260"/>
            <w:bookmarkEnd w:id="261"/>
            <w:bookmarkEnd w:id="262"/>
          </w:p>
        </w:tc>
        <w:tc>
          <w:tcPr>
            <w:tcW w:w="1070" w:type="dxa"/>
            <w:shd w:val="clear" w:color="auto" w:fill="auto"/>
            <w:vAlign w:val="center"/>
          </w:tcPr>
          <w:p w:rsidR="0012723F" w:rsidRPr="007E5614" w:rsidRDefault="0012723F" w:rsidP="00A87AE2">
            <w:pPr>
              <w:spacing w:before="60" w:after="60" w:line="240" w:lineRule="auto"/>
              <w:jc w:val="right"/>
              <w:rPr>
                <w:b/>
                <w:sz w:val="18"/>
                <w:szCs w:val="18"/>
              </w:rPr>
            </w:pPr>
            <w:bookmarkStart w:id="263" w:name="_Toc303841996"/>
            <w:bookmarkStart w:id="264" w:name="_Toc303842270"/>
            <w:bookmarkStart w:id="265" w:name="_Toc303842544"/>
            <w:bookmarkStart w:id="266" w:name="_Toc303933872"/>
            <w:r w:rsidRPr="007E5614">
              <w:rPr>
                <w:b/>
                <w:sz w:val="18"/>
                <w:szCs w:val="18"/>
              </w:rPr>
              <w:t>Unit of Measure</w:t>
            </w:r>
            <w:bookmarkEnd w:id="263"/>
            <w:bookmarkEnd w:id="264"/>
            <w:bookmarkEnd w:id="265"/>
            <w:bookmarkEnd w:id="266"/>
          </w:p>
        </w:tc>
        <w:tc>
          <w:tcPr>
            <w:tcW w:w="1126" w:type="dxa"/>
            <w:shd w:val="clear" w:color="auto" w:fill="auto"/>
            <w:vAlign w:val="center"/>
          </w:tcPr>
          <w:p w:rsidR="0012723F" w:rsidRPr="007E5614" w:rsidRDefault="0012723F" w:rsidP="00A87AE2">
            <w:pPr>
              <w:spacing w:before="60" w:after="60" w:line="240" w:lineRule="auto"/>
              <w:jc w:val="right"/>
              <w:rPr>
                <w:b/>
                <w:sz w:val="18"/>
                <w:szCs w:val="18"/>
              </w:rPr>
            </w:pPr>
            <w:r w:rsidRPr="007E5614">
              <w:rPr>
                <w:b/>
                <w:sz w:val="18"/>
                <w:szCs w:val="18"/>
              </w:rPr>
              <w:t xml:space="preserve">2012-13 </w:t>
            </w:r>
            <w:r w:rsidRPr="007E5614">
              <w:rPr>
                <w:b/>
                <w:sz w:val="18"/>
                <w:szCs w:val="18"/>
              </w:rPr>
              <w:br/>
              <w:t>Actual</w:t>
            </w:r>
          </w:p>
        </w:tc>
        <w:tc>
          <w:tcPr>
            <w:tcW w:w="1126" w:type="dxa"/>
            <w:shd w:val="clear" w:color="auto" w:fill="auto"/>
            <w:vAlign w:val="center"/>
          </w:tcPr>
          <w:p w:rsidR="0012723F" w:rsidRPr="007E5614" w:rsidRDefault="0012723F" w:rsidP="00A87AE2">
            <w:pPr>
              <w:spacing w:before="60" w:after="60" w:line="240" w:lineRule="auto"/>
              <w:jc w:val="right"/>
              <w:rPr>
                <w:b/>
                <w:sz w:val="18"/>
                <w:szCs w:val="18"/>
              </w:rPr>
            </w:pPr>
            <w:bookmarkStart w:id="267" w:name="_Toc303842000"/>
            <w:bookmarkStart w:id="268" w:name="_Toc303842274"/>
            <w:bookmarkStart w:id="269" w:name="_Toc303842548"/>
            <w:bookmarkStart w:id="270" w:name="_Toc303933876"/>
            <w:r w:rsidRPr="007E5614">
              <w:rPr>
                <w:b/>
                <w:sz w:val="18"/>
                <w:szCs w:val="18"/>
              </w:rPr>
              <w:t>2013-14 Actual</w:t>
            </w:r>
            <w:bookmarkEnd w:id="267"/>
            <w:bookmarkEnd w:id="268"/>
            <w:bookmarkEnd w:id="269"/>
            <w:bookmarkEnd w:id="270"/>
          </w:p>
        </w:tc>
        <w:tc>
          <w:tcPr>
            <w:tcW w:w="1126" w:type="dxa"/>
            <w:shd w:val="clear" w:color="auto" w:fill="auto"/>
            <w:vAlign w:val="center"/>
          </w:tcPr>
          <w:p w:rsidR="0012723F" w:rsidRPr="007E5614" w:rsidRDefault="0012723F" w:rsidP="00A87AE2">
            <w:pPr>
              <w:spacing w:before="60" w:after="60" w:line="240" w:lineRule="auto"/>
              <w:jc w:val="right"/>
              <w:rPr>
                <w:b/>
                <w:sz w:val="18"/>
                <w:szCs w:val="18"/>
              </w:rPr>
            </w:pPr>
            <w:r w:rsidRPr="007E5614">
              <w:rPr>
                <w:b/>
                <w:sz w:val="18"/>
                <w:szCs w:val="18"/>
              </w:rPr>
              <w:t>2014-15 Actual</w:t>
            </w:r>
          </w:p>
        </w:tc>
        <w:tc>
          <w:tcPr>
            <w:tcW w:w="1112" w:type="dxa"/>
            <w:vAlign w:val="center"/>
          </w:tcPr>
          <w:p w:rsidR="0012723F" w:rsidRPr="007E5614" w:rsidRDefault="0012723F" w:rsidP="00A87AE2">
            <w:pPr>
              <w:spacing w:before="60" w:after="60" w:line="240" w:lineRule="auto"/>
              <w:jc w:val="center"/>
              <w:rPr>
                <w:b/>
                <w:sz w:val="18"/>
                <w:szCs w:val="18"/>
              </w:rPr>
            </w:pPr>
            <w:r w:rsidRPr="007E5614">
              <w:rPr>
                <w:b/>
                <w:sz w:val="18"/>
                <w:szCs w:val="18"/>
              </w:rPr>
              <w:t>2015-16 Actual</w:t>
            </w:r>
          </w:p>
        </w:tc>
      </w:tr>
      <w:tr w:rsidR="0012723F" w:rsidRPr="007E5614" w:rsidTr="0012723F">
        <w:trPr>
          <w:cantSplit/>
          <w:tblHeader/>
        </w:trPr>
        <w:tc>
          <w:tcPr>
            <w:tcW w:w="3828" w:type="dxa"/>
            <w:vAlign w:val="center"/>
          </w:tcPr>
          <w:p w:rsidR="0012723F" w:rsidRPr="007E5614" w:rsidRDefault="0012723F" w:rsidP="00A87AE2">
            <w:pPr>
              <w:spacing w:before="60" w:after="60" w:line="240" w:lineRule="auto"/>
              <w:rPr>
                <w:sz w:val="18"/>
                <w:szCs w:val="18"/>
              </w:rPr>
            </w:pPr>
            <w:r w:rsidRPr="007E5614">
              <w:rPr>
                <w:sz w:val="18"/>
                <w:szCs w:val="18"/>
              </w:rPr>
              <w:t>Mothers attending the eight week Child Health Assessment</w:t>
            </w:r>
          </w:p>
        </w:tc>
        <w:tc>
          <w:tcPr>
            <w:tcW w:w="1070" w:type="dxa"/>
            <w:vAlign w:val="center"/>
          </w:tcPr>
          <w:p w:rsidR="0012723F" w:rsidRPr="007E5614" w:rsidRDefault="0012723F" w:rsidP="00842638">
            <w:pPr>
              <w:spacing w:before="60" w:after="60" w:line="240" w:lineRule="auto"/>
              <w:jc w:val="right"/>
              <w:rPr>
                <w:sz w:val="18"/>
                <w:szCs w:val="18"/>
              </w:rPr>
            </w:pPr>
            <w:r w:rsidRPr="007E5614">
              <w:rPr>
                <w:sz w:val="18"/>
                <w:szCs w:val="18"/>
              </w:rPr>
              <w:t>%</w:t>
            </w:r>
          </w:p>
        </w:tc>
        <w:tc>
          <w:tcPr>
            <w:tcW w:w="1126" w:type="dxa"/>
            <w:vAlign w:val="center"/>
          </w:tcPr>
          <w:p w:rsidR="0012723F" w:rsidRPr="007E5614" w:rsidRDefault="0012723F" w:rsidP="00A87AE2">
            <w:pPr>
              <w:spacing w:before="60" w:after="60" w:line="240" w:lineRule="auto"/>
              <w:jc w:val="right"/>
              <w:rPr>
                <w:sz w:val="18"/>
                <w:szCs w:val="18"/>
              </w:rPr>
            </w:pPr>
            <w:r w:rsidRPr="007E5614">
              <w:rPr>
                <w:sz w:val="18"/>
                <w:szCs w:val="18"/>
              </w:rPr>
              <w:t>85.0</w:t>
            </w:r>
          </w:p>
        </w:tc>
        <w:tc>
          <w:tcPr>
            <w:tcW w:w="1126" w:type="dxa"/>
            <w:vAlign w:val="center"/>
          </w:tcPr>
          <w:p w:rsidR="0012723F" w:rsidRPr="007E5614" w:rsidRDefault="0012723F" w:rsidP="00A87AE2">
            <w:pPr>
              <w:spacing w:before="60" w:after="60" w:line="240" w:lineRule="auto"/>
              <w:jc w:val="right"/>
              <w:rPr>
                <w:sz w:val="18"/>
                <w:szCs w:val="18"/>
              </w:rPr>
            </w:pPr>
            <w:r w:rsidRPr="007E5614">
              <w:rPr>
                <w:sz w:val="18"/>
                <w:szCs w:val="18"/>
              </w:rPr>
              <w:t>87.6</w:t>
            </w:r>
          </w:p>
        </w:tc>
        <w:tc>
          <w:tcPr>
            <w:tcW w:w="1126" w:type="dxa"/>
            <w:vAlign w:val="center"/>
          </w:tcPr>
          <w:p w:rsidR="0012723F" w:rsidRPr="007E5614" w:rsidRDefault="0012723F" w:rsidP="00A87AE2">
            <w:pPr>
              <w:spacing w:before="60" w:after="60" w:line="240" w:lineRule="auto"/>
              <w:jc w:val="right"/>
              <w:rPr>
                <w:sz w:val="18"/>
                <w:szCs w:val="18"/>
              </w:rPr>
            </w:pPr>
            <w:r w:rsidRPr="007E5614">
              <w:rPr>
                <w:sz w:val="18"/>
                <w:szCs w:val="18"/>
              </w:rPr>
              <w:t>86.9</w:t>
            </w:r>
            <w:r w:rsidRPr="007E5614">
              <w:rPr>
                <w:sz w:val="18"/>
                <w:szCs w:val="18"/>
                <w:vertAlign w:val="superscript"/>
              </w:rPr>
              <w:t>1</w:t>
            </w:r>
          </w:p>
        </w:tc>
        <w:tc>
          <w:tcPr>
            <w:tcW w:w="1112" w:type="dxa"/>
            <w:vAlign w:val="center"/>
          </w:tcPr>
          <w:p w:rsidR="0012723F" w:rsidRPr="007E5614" w:rsidRDefault="0012723F" w:rsidP="00A87AE2">
            <w:pPr>
              <w:spacing w:before="60" w:after="60" w:line="240" w:lineRule="auto"/>
              <w:jc w:val="center"/>
              <w:rPr>
                <w:sz w:val="18"/>
                <w:szCs w:val="18"/>
              </w:rPr>
            </w:pPr>
            <w:r w:rsidRPr="007E5614">
              <w:rPr>
                <w:sz w:val="18"/>
                <w:szCs w:val="18"/>
              </w:rPr>
              <w:t>86.7</w:t>
            </w:r>
          </w:p>
        </w:tc>
      </w:tr>
      <w:tr w:rsidR="0012723F" w:rsidRPr="007E5614" w:rsidTr="0012723F">
        <w:trPr>
          <w:cantSplit/>
          <w:tblHeader/>
        </w:trPr>
        <w:tc>
          <w:tcPr>
            <w:tcW w:w="3828" w:type="dxa"/>
            <w:vAlign w:val="center"/>
          </w:tcPr>
          <w:p w:rsidR="0012723F" w:rsidRPr="007E5614" w:rsidRDefault="0012723F" w:rsidP="0012723F">
            <w:pPr>
              <w:tabs>
                <w:tab w:val="left" w:pos="4320"/>
              </w:tabs>
              <w:spacing w:before="60" w:after="60" w:line="240" w:lineRule="auto"/>
              <w:rPr>
                <w:sz w:val="18"/>
                <w:szCs w:val="18"/>
              </w:rPr>
            </w:pPr>
            <w:r w:rsidRPr="007E5614">
              <w:rPr>
                <w:sz w:val="18"/>
                <w:szCs w:val="18"/>
              </w:rPr>
              <w:t>Children in notifications (per 1 000 population)</w:t>
            </w:r>
            <w:r w:rsidRPr="007E5614">
              <w:rPr>
                <w:sz w:val="18"/>
                <w:szCs w:val="18"/>
                <w:vertAlign w:val="superscript"/>
              </w:rPr>
              <w:t xml:space="preserve">2,3 </w:t>
            </w:r>
          </w:p>
        </w:tc>
        <w:tc>
          <w:tcPr>
            <w:tcW w:w="1070" w:type="dxa"/>
            <w:vAlign w:val="center"/>
          </w:tcPr>
          <w:p w:rsidR="0012723F" w:rsidRPr="007E5614" w:rsidRDefault="0012723F" w:rsidP="00842638">
            <w:pPr>
              <w:tabs>
                <w:tab w:val="left" w:pos="4320"/>
              </w:tabs>
              <w:spacing w:before="60" w:after="60" w:line="240" w:lineRule="auto"/>
              <w:jc w:val="right"/>
              <w:rPr>
                <w:sz w:val="18"/>
                <w:szCs w:val="18"/>
              </w:rPr>
            </w:pPr>
            <w:r w:rsidRPr="007E5614">
              <w:rPr>
                <w:sz w:val="18"/>
                <w:szCs w:val="18"/>
              </w:rPr>
              <w:t>Rate</w:t>
            </w:r>
          </w:p>
        </w:tc>
        <w:tc>
          <w:tcPr>
            <w:tcW w:w="1126" w:type="dxa"/>
            <w:vAlign w:val="center"/>
          </w:tcPr>
          <w:p w:rsidR="0012723F" w:rsidRPr="007E5614" w:rsidRDefault="0012723F" w:rsidP="00A87AE2">
            <w:pPr>
              <w:spacing w:before="60" w:after="60" w:line="240" w:lineRule="auto"/>
              <w:jc w:val="right"/>
              <w:rPr>
                <w:sz w:val="18"/>
                <w:szCs w:val="18"/>
              </w:rPr>
            </w:pPr>
            <w:r w:rsidRPr="007E5614">
              <w:rPr>
                <w:sz w:val="18"/>
                <w:szCs w:val="18"/>
              </w:rPr>
              <w:t>68.5</w:t>
            </w:r>
          </w:p>
        </w:tc>
        <w:tc>
          <w:tcPr>
            <w:tcW w:w="1126" w:type="dxa"/>
            <w:vAlign w:val="center"/>
          </w:tcPr>
          <w:p w:rsidR="0012723F" w:rsidRPr="007E5614" w:rsidRDefault="0012723F" w:rsidP="00A87AE2">
            <w:pPr>
              <w:spacing w:before="60" w:after="60" w:line="240" w:lineRule="auto"/>
              <w:jc w:val="right"/>
              <w:rPr>
                <w:sz w:val="18"/>
                <w:szCs w:val="18"/>
              </w:rPr>
            </w:pPr>
            <w:r w:rsidRPr="007E5614">
              <w:rPr>
                <w:sz w:val="18"/>
                <w:szCs w:val="18"/>
              </w:rPr>
              <w:t>71.0</w:t>
            </w:r>
          </w:p>
        </w:tc>
        <w:tc>
          <w:tcPr>
            <w:tcW w:w="1126" w:type="dxa"/>
            <w:vAlign w:val="center"/>
          </w:tcPr>
          <w:p w:rsidR="0012723F" w:rsidRPr="007E5614" w:rsidRDefault="0012723F" w:rsidP="00A87AE2">
            <w:pPr>
              <w:spacing w:before="60" w:after="60" w:line="240" w:lineRule="auto"/>
              <w:jc w:val="right"/>
              <w:rPr>
                <w:sz w:val="18"/>
                <w:szCs w:val="18"/>
              </w:rPr>
            </w:pPr>
            <w:r w:rsidRPr="007E5614">
              <w:rPr>
                <w:sz w:val="18"/>
                <w:szCs w:val="18"/>
              </w:rPr>
              <w:t>77.3</w:t>
            </w:r>
            <w:r w:rsidRPr="007E5614">
              <w:rPr>
                <w:sz w:val="18"/>
                <w:szCs w:val="18"/>
                <w:vertAlign w:val="superscript"/>
              </w:rPr>
              <w:t>1</w:t>
            </w:r>
          </w:p>
        </w:tc>
        <w:tc>
          <w:tcPr>
            <w:tcW w:w="1112" w:type="dxa"/>
            <w:vAlign w:val="center"/>
          </w:tcPr>
          <w:p w:rsidR="0012723F" w:rsidRPr="007E5614" w:rsidRDefault="0012723F" w:rsidP="00A87AE2">
            <w:pPr>
              <w:spacing w:before="60" w:after="60" w:line="240" w:lineRule="auto"/>
              <w:jc w:val="center"/>
              <w:rPr>
                <w:sz w:val="18"/>
                <w:szCs w:val="18"/>
              </w:rPr>
            </w:pPr>
            <w:r w:rsidRPr="007E5614">
              <w:rPr>
                <w:sz w:val="18"/>
                <w:szCs w:val="18"/>
              </w:rPr>
              <w:t>86.4</w:t>
            </w:r>
          </w:p>
        </w:tc>
      </w:tr>
      <w:tr w:rsidR="0012723F" w:rsidRPr="007E5614" w:rsidTr="0012723F">
        <w:trPr>
          <w:cantSplit/>
          <w:tblHeader/>
        </w:trPr>
        <w:tc>
          <w:tcPr>
            <w:tcW w:w="3828" w:type="dxa"/>
            <w:vAlign w:val="center"/>
          </w:tcPr>
          <w:p w:rsidR="0012723F" w:rsidRPr="007E5614" w:rsidRDefault="0012723F" w:rsidP="00A87AE2">
            <w:pPr>
              <w:spacing w:before="60" w:after="60" w:line="240" w:lineRule="auto"/>
              <w:rPr>
                <w:sz w:val="18"/>
                <w:szCs w:val="18"/>
              </w:rPr>
            </w:pPr>
            <w:r w:rsidRPr="007E5614">
              <w:rPr>
                <w:sz w:val="18"/>
                <w:szCs w:val="18"/>
              </w:rPr>
              <w:t>Average daily children in active transition at Response</w:t>
            </w:r>
            <w:r w:rsidRPr="007E5614">
              <w:rPr>
                <w:sz w:val="18"/>
                <w:szCs w:val="18"/>
                <w:vertAlign w:val="superscript"/>
              </w:rPr>
              <w:t>4</w:t>
            </w:r>
          </w:p>
        </w:tc>
        <w:tc>
          <w:tcPr>
            <w:tcW w:w="1070" w:type="dxa"/>
            <w:vAlign w:val="center"/>
          </w:tcPr>
          <w:p w:rsidR="0012723F" w:rsidRPr="007E5614" w:rsidRDefault="0012723F" w:rsidP="00842638">
            <w:pPr>
              <w:spacing w:before="60" w:after="60" w:line="240" w:lineRule="auto"/>
              <w:jc w:val="right"/>
              <w:rPr>
                <w:sz w:val="18"/>
                <w:szCs w:val="18"/>
              </w:rPr>
            </w:pPr>
            <w:r w:rsidRPr="007E5614">
              <w:rPr>
                <w:sz w:val="18"/>
                <w:szCs w:val="18"/>
              </w:rPr>
              <w:t>Number</w:t>
            </w:r>
          </w:p>
        </w:tc>
        <w:tc>
          <w:tcPr>
            <w:tcW w:w="1126" w:type="dxa"/>
            <w:vAlign w:val="center"/>
          </w:tcPr>
          <w:p w:rsidR="0012723F" w:rsidRPr="007E5614" w:rsidRDefault="0012723F" w:rsidP="00A87AE2">
            <w:pPr>
              <w:spacing w:before="60" w:after="60" w:line="240" w:lineRule="auto"/>
              <w:jc w:val="right"/>
              <w:rPr>
                <w:sz w:val="18"/>
                <w:szCs w:val="18"/>
              </w:rPr>
            </w:pPr>
            <w:r w:rsidRPr="007E5614">
              <w:rPr>
                <w:sz w:val="18"/>
                <w:szCs w:val="18"/>
              </w:rPr>
              <w:t>8.9</w:t>
            </w:r>
          </w:p>
        </w:tc>
        <w:tc>
          <w:tcPr>
            <w:tcW w:w="1126" w:type="dxa"/>
            <w:vAlign w:val="center"/>
          </w:tcPr>
          <w:p w:rsidR="0012723F" w:rsidRPr="007E5614" w:rsidRDefault="0012723F" w:rsidP="00A87AE2">
            <w:pPr>
              <w:spacing w:before="60" w:after="60" w:line="240" w:lineRule="auto"/>
              <w:jc w:val="right"/>
              <w:rPr>
                <w:sz w:val="18"/>
                <w:szCs w:val="18"/>
              </w:rPr>
            </w:pPr>
            <w:r w:rsidRPr="007E5614">
              <w:rPr>
                <w:sz w:val="18"/>
                <w:szCs w:val="18"/>
              </w:rPr>
              <w:t>24.7</w:t>
            </w:r>
          </w:p>
        </w:tc>
        <w:tc>
          <w:tcPr>
            <w:tcW w:w="1126" w:type="dxa"/>
            <w:vAlign w:val="center"/>
          </w:tcPr>
          <w:p w:rsidR="0012723F" w:rsidRPr="007E5614" w:rsidRDefault="0012723F" w:rsidP="00A87AE2">
            <w:pPr>
              <w:spacing w:before="60" w:after="60" w:line="240" w:lineRule="auto"/>
              <w:jc w:val="right"/>
              <w:rPr>
                <w:sz w:val="18"/>
                <w:szCs w:val="18"/>
              </w:rPr>
            </w:pPr>
            <w:r w:rsidRPr="007E5614">
              <w:rPr>
                <w:sz w:val="18"/>
                <w:szCs w:val="18"/>
              </w:rPr>
              <w:t>15.5</w:t>
            </w:r>
          </w:p>
        </w:tc>
        <w:tc>
          <w:tcPr>
            <w:tcW w:w="1112" w:type="dxa"/>
            <w:vAlign w:val="center"/>
          </w:tcPr>
          <w:p w:rsidR="0012723F" w:rsidRPr="007E5614" w:rsidRDefault="0012723F" w:rsidP="00A87AE2">
            <w:pPr>
              <w:spacing w:before="60" w:after="60" w:line="240" w:lineRule="auto"/>
              <w:jc w:val="center"/>
              <w:rPr>
                <w:sz w:val="18"/>
                <w:szCs w:val="18"/>
              </w:rPr>
            </w:pPr>
            <w:r w:rsidRPr="007E5614">
              <w:rPr>
                <w:sz w:val="18"/>
                <w:szCs w:val="18"/>
              </w:rPr>
              <w:t>65.5</w:t>
            </w:r>
          </w:p>
        </w:tc>
      </w:tr>
      <w:tr w:rsidR="0012723F" w:rsidRPr="007E5614" w:rsidTr="0012723F">
        <w:trPr>
          <w:cantSplit/>
          <w:tblHeader/>
        </w:trPr>
        <w:tc>
          <w:tcPr>
            <w:tcW w:w="3828" w:type="dxa"/>
            <w:vAlign w:val="center"/>
          </w:tcPr>
          <w:p w:rsidR="0012723F" w:rsidRPr="007E5614" w:rsidRDefault="0012723F" w:rsidP="0012723F">
            <w:pPr>
              <w:tabs>
                <w:tab w:val="left" w:pos="4462"/>
              </w:tabs>
              <w:spacing w:before="60" w:after="60" w:line="240" w:lineRule="auto"/>
              <w:rPr>
                <w:sz w:val="18"/>
                <w:szCs w:val="18"/>
              </w:rPr>
            </w:pPr>
            <w:r w:rsidRPr="007E5614">
              <w:rPr>
                <w:sz w:val="18"/>
                <w:szCs w:val="18"/>
              </w:rPr>
              <w:t>Investigation outcome determined within 28 days</w:t>
            </w:r>
            <w:r w:rsidRPr="007E5614">
              <w:rPr>
                <w:sz w:val="18"/>
                <w:szCs w:val="18"/>
                <w:vertAlign w:val="superscript"/>
              </w:rPr>
              <w:t xml:space="preserve">2 </w:t>
            </w:r>
          </w:p>
        </w:tc>
        <w:tc>
          <w:tcPr>
            <w:tcW w:w="1070" w:type="dxa"/>
            <w:vAlign w:val="center"/>
          </w:tcPr>
          <w:p w:rsidR="0012723F" w:rsidRPr="007E5614" w:rsidRDefault="0012723F" w:rsidP="00842638">
            <w:pPr>
              <w:tabs>
                <w:tab w:val="left" w:pos="4462"/>
              </w:tabs>
              <w:spacing w:before="60" w:after="60" w:line="240" w:lineRule="auto"/>
              <w:jc w:val="right"/>
              <w:rPr>
                <w:sz w:val="18"/>
                <w:szCs w:val="18"/>
              </w:rPr>
            </w:pPr>
            <w:r w:rsidRPr="007E5614">
              <w:rPr>
                <w:sz w:val="18"/>
                <w:szCs w:val="18"/>
              </w:rPr>
              <w:t>%</w:t>
            </w:r>
          </w:p>
        </w:tc>
        <w:tc>
          <w:tcPr>
            <w:tcW w:w="1126" w:type="dxa"/>
            <w:vAlign w:val="center"/>
          </w:tcPr>
          <w:p w:rsidR="0012723F" w:rsidRPr="007E5614" w:rsidRDefault="0012723F" w:rsidP="00A87AE2">
            <w:pPr>
              <w:spacing w:before="60" w:after="60" w:line="240" w:lineRule="auto"/>
              <w:jc w:val="right"/>
              <w:rPr>
                <w:sz w:val="18"/>
                <w:szCs w:val="18"/>
              </w:rPr>
            </w:pPr>
            <w:r w:rsidRPr="007E5614">
              <w:rPr>
                <w:sz w:val="18"/>
                <w:szCs w:val="18"/>
              </w:rPr>
              <w:t>48.5</w:t>
            </w:r>
          </w:p>
        </w:tc>
        <w:tc>
          <w:tcPr>
            <w:tcW w:w="1126" w:type="dxa"/>
            <w:vAlign w:val="center"/>
          </w:tcPr>
          <w:p w:rsidR="0012723F" w:rsidRPr="007E5614" w:rsidRDefault="0012723F" w:rsidP="00A87AE2">
            <w:pPr>
              <w:spacing w:before="60" w:after="60" w:line="240" w:lineRule="auto"/>
              <w:jc w:val="right"/>
              <w:rPr>
                <w:sz w:val="18"/>
                <w:szCs w:val="18"/>
              </w:rPr>
            </w:pPr>
            <w:r w:rsidRPr="007E5614">
              <w:rPr>
                <w:sz w:val="18"/>
                <w:szCs w:val="18"/>
              </w:rPr>
              <w:t>31.9</w:t>
            </w:r>
          </w:p>
        </w:tc>
        <w:tc>
          <w:tcPr>
            <w:tcW w:w="1126" w:type="dxa"/>
            <w:vAlign w:val="center"/>
          </w:tcPr>
          <w:p w:rsidR="0012723F" w:rsidRPr="007E5614" w:rsidRDefault="0012723F" w:rsidP="00A87AE2">
            <w:pPr>
              <w:spacing w:before="60" w:after="60" w:line="240" w:lineRule="auto"/>
              <w:jc w:val="right"/>
              <w:rPr>
                <w:sz w:val="18"/>
                <w:szCs w:val="18"/>
              </w:rPr>
            </w:pPr>
            <w:r w:rsidRPr="007E5614">
              <w:rPr>
                <w:sz w:val="18"/>
                <w:szCs w:val="18"/>
              </w:rPr>
              <w:t>34.7</w:t>
            </w:r>
            <w:r w:rsidRPr="007E5614">
              <w:rPr>
                <w:sz w:val="18"/>
                <w:szCs w:val="18"/>
                <w:vertAlign w:val="superscript"/>
              </w:rPr>
              <w:t>1</w:t>
            </w:r>
          </w:p>
        </w:tc>
        <w:tc>
          <w:tcPr>
            <w:tcW w:w="1112" w:type="dxa"/>
            <w:vAlign w:val="center"/>
          </w:tcPr>
          <w:p w:rsidR="0012723F" w:rsidRPr="007E5614" w:rsidRDefault="0012723F" w:rsidP="00A87AE2">
            <w:pPr>
              <w:spacing w:before="60" w:after="60" w:line="240" w:lineRule="auto"/>
              <w:jc w:val="center"/>
              <w:rPr>
                <w:sz w:val="18"/>
                <w:szCs w:val="18"/>
              </w:rPr>
            </w:pPr>
            <w:r w:rsidRPr="007E5614">
              <w:rPr>
                <w:sz w:val="18"/>
                <w:szCs w:val="18"/>
              </w:rPr>
              <w:t>19.7</w:t>
            </w:r>
          </w:p>
        </w:tc>
      </w:tr>
      <w:tr w:rsidR="0012723F" w:rsidRPr="007E5614" w:rsidTr="0012723F">
        <w:trPr>
          <w:cantSplit/>
          <w:trHeight w:val="822"/>
          <w:tblHeader/>
        </w:trPr>
        <w:tc>
          <w:tcPr>
            <w:tcW w:w="3828" w:type="dxa"/>
            <w:vAlign w:val="center"/>
          </w:tcPr>
          <w:p w:rsidR="0012723F" w:rsidRPr="007E5614" w:rsidRDefault="00AE187C" w:rsidP="00AE187C">
            <w:pPr>
              <w:tabs>
                <w:tab w:val="left" w:pos="4462"/>
              </w:tabs>
              <w:spacing w:before="60" w:after="60" w:line="240" w:lineRule="auto"/>
              <w:rPr>
                <w:sz w:val="18"/>
                <w:szCs w:val="18"/>
              </w:rPr>
            </w:pPr>
            <w:r>
              <w:rPr>
                <w:sz w:val="18"/>
                <w:szCs w:val="18"/>
              </w:rPr>
              <w:t>C</w:t>
            </w:r>
            <w:r w:rsidR="0012723F" w:rsidRPr="007E5614">
              <w:rPr>
                <w:sz w:val="18"/>
                <w:szCs w:val="18"/>
              </w:rPr>
              <w:t>hildren who were the subject of a substantiation during the previous year, who were the subject of a subsequent substantiation within 12 months</w:t>
            </w:r>
            <w:r w:rsidR="0012723F" w:rsidRPr="007E5614">
              <w:rPr>
                <w:sz w:val="18"/>
                <w:szCs w:val="18"/>
                <w:vertAlign w:val="superscript"/>
              </w:rPr>
              <w:tab/>
              <w:t xml:space="preserve">  </w:t>
            </w:r>
          </w:p>
        </w:tc>
        <w:tc>
          <w:tcPr>
            <w:tcW w:w="1070" w:type="dxa"/>
            <w:vAlign w:val="center"/>
          </w:tcPr>
          <w:p w:rsidR="0012723F" w:rsidRPr="007E5614" w:rsidRDefault="00AE187C" w:rsidP="00842638">
            <w:pPr>
              <w:tabs>
                <w:tab w:val="left" w:pos="4462"/>
              </w:tabs>
              <w:spacing w:before="60" w:after="60" w:line="240" w:lineRule="auto"/>
              <w:jc w:val="right"/>
              <w:rPr>
                <w:sz w:val="18"/>
                <w:szCs w:val="18"/>
              </w:rPr>
            </w:pPr>
            <w:r>
              <w:rPr>
                <w:sz w:val="18"/>
                <w:szCs w:val="18"/>
              </w:rPr>
              <w:t>%</w:t>
            </w:r>
          </w:p>
        </w:tc>
        <w:tc>
          <w:tcPr>
            <w:tcW w:w="1126" w:type="dxa"/>
            <w:vAlign w:val="center"/>
          </w:tcPr>
          <w:p w:rsidR="0012723F" w:rsidRPr="007E5614" w:rsidRDefault="0012723F" w:rsidP="00A87AE2">
            <w:pPr>
              <w:spacing w:before="60" w:after="60" w:line="240" w:lineRule="auto"/>
              <w:jc w:val="right"/>
              <w:rPr>
                <w:sz w:val="18"/>
                <w:szCs w:val="18"/>
              </w:rPr>
            </w:pPr>
            <w:r w:rsidRPr="007E5614">
              <w:rPr>
                <w:sz w:val="18"/>
                <w:szCs w:val="18"/>
              </w:rPr>
              <w:t>17.7</w:t>
            </w:r>
          </w:p>
        </w:tc>
        <w:tc>
          <w:tcPr>
            <w:tcW w:w="1126" w:type="dxa"/>
            <w:vAlign w:val="center"/>
          </w:tcPr>
          <w:p w:rsidR="0012723F" w:rsidRPr="007E5614" w:rsidRDefault="0012723F" w:rsidP="00A87AE2">
            <w:pPr>
              <w:spacing w:before="60" w:after="60" w:line="240" w:lineRule="auto"/>
              <w:jc w:val="right"/>
              <w:rPr>
                <w:sz w:val="18"/>
                <w:szCs w:val="18"/>
              </w:rPr>
            </w:pPr>
            <w:r w:rsidRPr="007E5614">
              <w:rPr>
                <w:sz w:val="18"/>
                <w:szCs w:val="18"/>
              </w:rPr>
              <w:t>21.5</w:t>
            </w:r>
          </w:p>
        </w:tc>
        <w:tc>
          <w:tcPr>
            <w:tcW w:w="1126" w:type="dxa"/>
            <w:vAlign w:val="center"/>
          </w:tcPr>
          <w:p w:rsidR="0012723F" w:rsidRPr="007E5614" w:rsidRDefault="0012723F" w:rsidP="00A87AE2">
            <w:pPr>
              <w:spacing w:before="60" w:after="60" w:line="240" w:lineRule="auto"/>
              <w:jc w:val="right"/>
              <w:rPr>
                <w:sz w:val="18"/>
                <w:szCs w:val="18"/>
              </w:rPr>
            </w:pPr>
            <w:r w:rsidRPr="007E5614">
              <w:rPr>
                <w:sz w:val="18"/>
                <w:szCs w:val="18"/>
              </w:rPr>
              <w:t>18.5</w:t>
            </w:r>
          </w:p>
        </w:tc>
        <w:tc>
          <w:tcPr>
            <w:tcW w:w="1112" w:type="dxa"/>
            <w:vAlign w:val="center"/>
          </w:tcPr>
          <w:p w:rsidR="0012723F" w:rsidRPr="007E5614" w:rsidRDefault="0012723F" w:rsidP="00A87AE2">
            <w:pPr>
              <w:spacing w:before="60" w:after="60" w:line="240" w:lineRule="auto"/>
              <w:jc w:val="center"/>
              <w:rPr>
                <w:sz w:val="18"/>
                <w:szCs w:val="18"/>
              </w:rPr>
            </w:pPr>
            <w:r>
              <w:rPr>
                <w:sz w:val="18"/>
                <w:szCs w:val="18"/>
              </w:rPr>
              <w:t>N/A</w:t>
            </w:r>
            <w:r w:rsidRPr="001833D1">
              <w:rPr>
                <w:sz w:val="18"/>
                <w:szCs w:val="18"/>
                <w:vertAlign w:val="superscript"/>
              </w:rPr>
              <w:t>5</w:t>
            </w:r>
          </w:p>
        </w:tc>
      </w:tr>
      <w:tr w:rsidR="0012723F" w:rsidRPr="007E5614" w:rsidTr="0012723F">
        <w:trPr>
          <w:cantSplit/>
          <w:tblHeader/>
        </w:trPr>
        <w:tc>
          <w:tcPr>
            <w:tcW w:w="3828" w:type="dxa"/>
            <w:vAlign w:val="center"/>
          </w:tcPr>
          <w:p w:rsidR="0012723F" w:rsidRPr="007E5614" w:rsidRDefault="0012723F" w:rsidP="00A87AE2">
            <w:pPr>
              <w:spacing w:before="60" w:after="60" w:line="240" w:lineRule="auto"/>
              <w:rPr>
                <w:sz w:val="18"/>
                <w:szCs w:val="18"/>
              </w:rPr>
            </w:pPr>
            <w:r w:rsidRPr="007E5614">
              <w:rPr>
                <w:sz w:val="18"/>
                <w:szCs w:val="18"/>
              </w:rPr>
              <w:t>Average daily children in out of home care</w:t>
            </w:r>
          </w:p>
        </w:tc>
        <w:tc>
          <w:tcPr>
            <w:tcW w:w="1070" w:type="dxa"/>
            <w:vAlign w:val="center"/>
          </w:tcPr>
          <w:p w:rsidR="0012723F" w:rsidRPr="007E5614" w:rsidRDefault="0012723F" w:rsidP="00842638">
            <w:pPr>
              <w:spacing w:before="60" w:after="60" w:line="240" w:lineRule="auto"/>
              <w:jc w:val="right"/>
              <w:rPr>
                <w:sz w:val="18"/>
                <w:szCs w:val="18"/>
              </w:rPr>
            </w:pPr>
            <w:r w:rsidRPr="007E5614">
              <w:rPr>
                <w:sz w:val="18"/>
                <w:szCs w:val="18"/>
              </w:rPr>
              <w:t>Number</w:t>
            </w:r>
          </w:p>
        </w:tc>
        <w:tc>
          <w:tcPr>
            <w:tcW w:w="1126" w:type="dxa"/>
            <w:vAlign w:val="center"/>
          </w:tcPr>
          <w:p w:rsidR="0012723F" w:rsidRPr="007E5614" w:rsidRDefault="0012723F" w:rsidP="00A87AE2">
            <w:pPr>
              <w:spacing w:before="60" w:after="60" w:line="240" w:lineRule="auto"/>
              <w:jc w:val="right"/>
              <w:rPr>
                <w:sz w:val="18"/>
                <w:szCs w:val="18"/>
              </w:rPr>
            </w:pPr>
            <w:r w:rsidRPr="007E5614">
              <w:rPr>
                <w:sz w:val="18"/>
                <w:szCs w:val="18"/>
              </w:rPr>
              <w:t>1 034.0</w:t>
            </w:r>
          </w:p>
        </w:tc>
        <w:tc>
          <w:tcPr>
            <w:tcW w:w="1126" w:type="dxa"/>
            <w:vAlign w:val="center"/>
          </w:tcPr>
          <w:p w:rsidR="0012723F" w:rsidRPr="007E5614" w:rsidRDefault="0012723F" w:rsidP="00A87AE2">
            <w:pPr>
              <w:spacing w:before="60" w:after="60" w:line="240" w:lineRule="auto"/>
              <w:jc w:val="right"/>
              <w:rPr>
                <w:sz w:val="18"/>
                <w:szCs w:val="18"/>
              </w:rPr>
            </w:pPr>
            <w:r w:rsidRPr="007E5614">
              <w:rPr>
                <w:sz w:val="18"/>
                <w:szCs w:val="18"/>
              </w:rPr>
              <w:t>1 064.9</w:t>
            </w:r>
          </w:p>
        </w:tc>
        <w:tc>
          <w:tcPr>
            <w:tcW w:w="1126" w:type="dxa"/>
            <w:vAlign w:val="center"/>
          </w:tcPr>
          <w:p w:rsidR="0012723F" w:rsidRPr="007E5614" w:rsidRDefault="0012723F" w:rsidP="00A87AE2">
            <w:pPr>
              <w:spacing w:before="60" w:after="60" w:line="240" w:lineRule="auto"/>
              <w:jc w:val="right"/>
              <w:rPr>
                <w:sz w:val="18"/>
                <w:szCs w:val="18"/>
              </w:rPr>
            </w:pPr>
            <w:r w:rsidRPr="007E5614">
              <w:rPr>
                <w:sz w:val="18"/>
                <w:szCs w:val="18"/>
              </w:rPr>
              <w:t>1 046.2</w:t>
            </w:r>
            <w:r w:rsidRPr="007E5614">
              <w:rPr>
                <w:sz w:val="18"/>
                <w:szCs w:val="18"/>
                <w:vertAlign w:val="superscript"/>
              </w:rPr>
              <w:t>1</w:t>
            </w:r>
          </w:p>
        </w:tc>
        <w:tc>
          <w:tcPr>
            <w:tcW w:w="1112" w:type="dxa"/>
            <w:vAlign w:val="center"/>
          </w:tcPr>
          <w:p w:rsidR="0012723F" w:rsidRPr="007E5614" w:rsidRDefault="0012723F" w:rsidP="00A87AE2">
            <w:pPr>
              <w:spacing w:before="60" w:after="60" w:line="240" w:lineRule="auto"/>
              <w:jc w:val="center"/>
              <w:rPr>
                <w:sz w:val="18"/>
                <w:szCs w:val="18"/>
              </w:rPr>
            </w:pPr>
            <w:r w:rsidRPr="007E5614">
              <w:rPr>
                <w:sz w:val="18"/>
                <w:szCs w:val="18"/>
              </w:rPr>
              <w:t>1 110.6</w:t>
            </w:r>
          </w:p>
        </w:tc>
      </w:tr>
      <w:tr w:rsidR="0012723F" w:rsidRPr="007E5614" w:rsidTr="0012723F">
        <w:trPr>
          <w:cantSplit/>
          <w:tblHeader/>
        </w:trPr>
        <w:tc>
          <w:tcPr>
            <w:tcW w:w="3828" w:type="dxa"/>
            <w:vAlign w:val="center"/>
          </w:tcPr>
          <w:p w:rsidR="0012723F" w:rsidRPr="007E5614" w:rsidRDefault="0012723F" w:rsidP="00A87AE2">
            <w:pPr>
              <w:spacing w:before="60" w:after="60" w:line="240" w:lineRule="auto"/>
              <w:rPr>
                <w:sz w:val="18"/>
                <w:szCs w:val="18"/>
              </w:rPr>
            </w:pPr>
            <w:r w:rsidRPr="007E5614">
              <w:rPr>
                <w:sz w:val="18"/>
                <w:szCs w:val="18"/>
              </w:rPr>
              <w:t>Children with approved case and care plans</w:t>
            </w:r>
          </w:p>
        </w:tc>
        <w:tc>
          <w:tcPr>
            <w:tcW w:w="1070" w:type="dxa"/>
            <w:vAlign w:val="center"/>
          </w:tcPr>
          <w:p w:rsidR="0012723F" w:rsidRPr="007E5614" w:rsidRDefault="0012723F" w:rsidP="00842638">
            <w:pPr>
              <w:spacing w:before="60" w:after="60" w:line="240" w:lineRule="auto"/>
              <w:jc w:val="right"/>
              <w:rPr>
                <w:sz w:val="18"/>
                <w:szCs w:val="18"/>
              </w:rPr>
            </w:pPr>
            <w:r w:rsidRPr="007E5614">
              <w:rPr>
                <w:sz w:val="18"/>
                <w:szCs w:val="18"/>
              </w:rPr>
              <w:t>%</w:t>
            </w:r>
          </w:p>
        </w:tc>
        <w:tc>
          <w:tcPr>
            <w:tcW w:w="1126" w:type="dxa"/>
            <w:vAlign w:val="center"/>
          </w:tcPr>
          <w:p w:rsidR="0012723F" w:rsidRPr="007E5614" w:rsidRDefault="0012723F" w:rsidP="00A87AE2">
            <w:pPr>
              <w:spacing w:before="60" w:after="60" w:line="240" w:lineRule="auto"/>
              <w:jc w:val="right"/>
              <w:rPr>
                <w:sz w:val="18"/>
                <w:szCs w:val="18"/>
                <w:highlight w:val="green"/>
              </w:rPr>
            </w:pPr>
            <w:r w:rsidRPr="007E5614">
              <w:rPr>
                <w:sz w:val="18"/>
                <w:szCs w:val="18"/>
              </w:rPr>
              <w:t>77.8</w:t>
            </w:r>
          </w:p>
        </w:tc>
        <w:tc>
          <w:tcPr>
            <w:tcW w:w="1126" w:type="dxa"/>
            <w:vAlign w:val="center"/>
          </w:tcPr>
          <w:p w:rsidR="0012723F" w:rsidRPr="007E5614" w:rsidRDefault="0012723F" w:rsidP="00A87AE2">
            <w:pPr>
              <w:spacing w:before="60" w:after="60" w:line="240" w:lineRule="auto"/>
              <w:jc w:val="right"/>
              <w:rPr>
                <w:sz w:val="18"/>
                <w:szCs w:val="18"/>
                <w:highlight w:val="green"/>
              </w:rPr>
            </w:pPr>
            <w:r w:rsidRPr="007E5614">
              <w:rPr>
                <w:sz w:val="18"/>
                <w:szCs w:val="18"/>
              </w:rPr>
              <w:t>72.6</w:t>
            </w:r>
          </w:p>
        </w:tc>
        <w:tc>
          <w:tcPr>
            <w:tcW w:w="1126" w:type="dxa"/>
            <w:vAlign w:val="center"/>
          </w:tcPr>
          <w:p w:rsidR="0012723F" w:rsidRPr="007E5614" w:rsidRDefault="0012723F" w:rsidP="00A87AE2">
            <w:pPr>
              <w:spacing w:before="60" w:after="60" w:line="240" w:lineRule="auto"/>
              <w:jc w:val="right"/>
              <w:rPr>
                <w:sz w:val="18"/>
                <w:szCs w:val="18"/>
              </w:rPr>
            </w:pPr>
            <w:r w:rsidRPr="007E5614">
              <w:rPr>
                <w:sz w:val="18"/>
                <w:szCs w:val="18"/>
              </w:rPr>
              <w:t>68.3</w:t>
            </w:r>
            <w:r w:rsidRPr="007E5614">
              <w:rPr>
                <w:sz w:val="18"/>
                <w:szCs w:val="18"/>
                <w:vertAlign w:val="superscript"/>
              </w:rPr>
              <w:t>1</w:t>
            </w:r>
          </w:p>
        </w:tc>
        <w:tc>
          <w:tcPr>
            <w:tcW w:w="1112" w:type="dxa"/>
            <w:vAlign w:val="center"/>
          </w:tcPr>
          <w:p w:rsidR="0012723F" w:rsidRPr="007E5614" w:rsidRDefault="0012723F" w:rsidP="00A87AE2">
            <w:pPr>
              <w:spacing w:before="60" w:after="60" w:line="240" w:lineRule="auto"/>
              <w:jc w:val="center"/>
              <w:rPr>
                <w:sz w:val="18"/>
                <w:szCs w:val="18"/>
              </w:rPr>
            </w:pPr>
            <w:r w:rsidRPr="007E5614">
              <w:rPr>
                <w:sz w:val="18"/>
                <w:szCs w:val="18"/>
              </w:rPr>
              <w:t>55.2</w:t>
            </w:r>
          </w:p>
        </w:tc>
      </w:tr>
      <w:tr w:rsidR="0012723F" w:rsidRPr="007E5614" w:rsidTr="0012723F">
        <w:trPr>
          <w:cantSplit/>
          <w:tblHeader/>
        </w:trPr>
        <w:tc>
          <w:tcPr>
            <w:tcW w:w="3828" w:type="dxa"/>
            <w:vAlign w:val="center"/>
          </w:tcPr>
          <w:p w:rsidR="0012723F" w:rsidRPr="007E5614" w:rsidRDefault="0012723F" w:rsidP="00A87AE2">
            <w:pPr>
              <w:spacing w:before="60" w:after="60" w:line="240" w:lineRule="auto"/>
              <w:rPr>
                <w:sz w:val="18"/>
                <w:szCs w:val="18"/>
              </w:rPr>
            </w:pPr>
            <w:r w:rsidRPr="007E5614">
              <w:rPr>
                <w:sz w:val="18"/>
                <w:szCs w:val="18"/>
              </w:rPr>
              <w:t>Foster care households with five or more foster children</w:t>
            </w:r>
            <w:r w:rsidRPr="007E5614">
              <w:rPr>
                <w:sz w:val="18"/>
                <w:szCs w:val="18"/>
                <w:vertAlign w:val="superscript"/>
              </w:rPr>
              <w:t>2</w:t>
            </w:r>
          </w:p>
        </w:tc>
        <w:tc>
          <w:tcPr>
            <w:tcW w:w="1070" w:type="dxa"/>
            <w:vAlign w:val="center"/>
          </w:tcPr>
          <w:p w:rsidR="0012723F" w:rsidRPr="007E5614" w:rsidRDefault="0012723F" w:rsidP="00842638">
            <w:pPr>
              <w:spacing w:before="60" w:after="60" w:line="240" w:lineRule="auto"/>
              <w:jc w:val="right"/>
              <w:rPr>
                <w:sz w:val="18"/>
                <w:szCs w:val="18"/>
              </w:rPr>
            </w:pPr>
            <w:r w:rsidRPr="007E5614">
              <w:rPr>
                <w:sz w:val="18"/>
                <w:szCs w:val="18"/>
              </w:rPr>
              <w:t>%</w:t>
            </w:r>
          </w:p>
        </w:tc>
        <w:tc>
          <w:tcPr>
            <w:tcW w:w="1126" w:type="dxa"/>
            <w:vAlign w:val="center"/>
          </w:tcPr>
          <w:p w:rsidR="0012723F" w:rsidRPr="007E5614" w:rsidRDefault="0012723F" w:rsidP="00A87AE2">
            <w:pPr>
              <w:spacing w:before="60" w:after="60" w:line="240" w:lineRule="auto"/>
              <w:jc w:val="right"/>
              <w:rPr>
                <w:sz w:val="18"/>
                <w:szCs w:val="18"/>
              </w:rPr>
            </w:pPr>
            <w:r w:rsidRPr="007E5614">
              <w:rPr>
                <w:sz w:val="18"/>
                <w:szCs w:val="18"/>
              </w:rPr>
              <w:t>7.6</w:t>
            </w:r>
          </w:p>
        </w:tc>
        <w:tc>
          <w:tcPr>
            <w:tcW w:w="1126" w:type="dxa"/>
            <w:vAlign w:val="center"/>
          </w:tcPr>
          <w:p w:rsidR="0012723F" w:rsidRPr="007E5614" w:rsidRDefault="0012723F" w:rsidP="00A87AE2">
            <w:pPr>
              <w:spacing w:before="60" w:after="60" w:line="240" w:lineRule="auto"/>
              <w:jc w:val="right"/>
              <w:rPr>
                <w:sz w:val="18"/>
                <w:szCs w:val="18"/>
              </w:rPr>
            </w:pPr>
            <w:r w:rsidRPr="007E5614">
              <w:rPr>
                <w:sz w:val="18"/>
                <w:szCs w:val="18"/>
              </w:rPr>
              <w:t>5.1</w:t>
            </w:r>
          </w:p>
        </w:tc>
        <w:tc>
          <w:tcPr>
            <w:tcW w:w="1126" w:type="dxa"/>
            <w:vAlign w:val="center"/>
          </w:tcPr>
          <w:p w:rsidR="0012723F" w:rsidRPr="007E5614" w:rsidRDefault="0012723F" w:rsidP="00A87AE2">
            <w:pPr>
              <w:spacing w:before="60" w:after="60" w:line="240" w:lineRule="auto"/>
              <w:jc w:val="right"/>
              <w:rPr>
                <w:sz w:val="18"/>
                <w:szCs w:val="18"/>
              </w:rPr>
            </w:pPr>
            <w:r w:rsidRPr="007E5614">
              <w:rPr>
                <w:sz w:val="18"/>
                <w:szCs w:val="18"/>
              </w:rPr>
              <w:t>5.2</w:t>
            </w:r>
            <w:r w:rsidRPr="007E5614">
              <w:rPr>
                <w:sz w:val="18"/>
                <w:szCs w:val="18"/>
                <w:vertAlign w:val="superscript"/>
              </w:rPr>
              <w:t>1</w:t>
            </w:r>
          </w:p>
        </w:tc>
        <w:tc>
          <w:tcPr>
            <w:tcW w:w="1112" w:type="dxa"/>
            <w:vAlign w:val="center"/>
          </w:tcPr>
          <w:p w:rsidR="0012723F" w:rsidRPr="007E5614" w:rsidRDefault="0012723F" w:rsidP="00A87AE2">
            <w:pPr>
              <w:spacing w:before="60" w:after="60" w:line="240" w:lineRule="auto"/>
              <w:jc w:val="center"/>
              <w:rPr>
                <w:sz w:val="18"/>
                <w:szCs w:val="18"/>
              </w:rPr>
            </w:pPr>
            <w:r w:rsidRPr="007E5614">
              <w:rPr>
                <w:sz w:val="18"/>
                <w:szCs w:val="18"/>
              </w:rPr>
              <w:t>5.0</w:t>
            </w:r>
          </w:p>
        </w:tc>
      </w:tr>
      <w:tr w:rsidR="0012723F" w:rsidRPr="007E5614" w:rsidTr="0012723F">
        <w:trPr>
          <w:cantSplit/>
          <w:tblHeader/>
        </w:trPr>
        <w:tc>
          <w:tcPr>
            <w:tcW w:w="3828" w:type="dxa"/>
            <w:vAlign w:val="center"/>
          </w:tcPr>
          <w:p w:rsidR="0012723F" w:rsidRPr="007E5614" w:rsidRDefault="0012723F" w:rsidP="00A87AE2">
            <w:pPr>
              <w:spacing w:before="60" w:after="60" w:line="240" w:lineRule="auto"/>
              <w:rPr>
                <w:sz w:val="18"/>
                <w:szCs w:val="18"/>
              </w:rPr>
            </w:pPr>
            <w:r w:rsidRPr="007E5614">
              <w:rPr>
                <w:sz w:val="18"/>
                <w:szCs w:val="18"/>
              </w:rPr>
              <w:t>Children in out of home care who had 3+ non-respite placements in the last 12 months</w:t>
            </w:r>
          </w:p>
        </w:tc>
        <w:tc>
          <w:tcPr>
            <w:tcW w:w="1070" w:type="dxa"/>
            <w:vAlign w:val="center"/>
          </w:tcPr>
          <w:p w:rsidR="0012723F" w:rsidRPr="007E5614" w:rsidRDefault="0012723F" w:rsidP="00842638">
            <w:pPr>
              <w:spacing w:before="60" w:after="60" w:line="240" w:lineRule="auto"/>
              <w:jc w:val="right"/>
              <w:rPr>
                <w:sz w:val="18"/>
                <w:szCs w:val="18"/>
              </w:rPr>
            </w:pPr>
            <w:r w:rsidRPr="007E5614">
              <w:rPr>
                <w:sz w:val="18"/>
                <w:szCs w:val="18"/>
              </w:rPr>
              <w:t>%</w:t>
            </w:r>
          </w:p>
        </w:tc>
        <w:tc>
          <w:tcPr>
            <w:tcW w:w="1126" w:type="dxa"/>
            <w:vAlign w:val="center"/>
          </w:tcPr>
          <w:p w:rsidR="0012723F" w:rsidRPr="007E5614" w:rsidRDefault="0012723F" w:rsidP="00A87AE2">
            <w:pPr>
              <w:spacing w:before="60" w:after="60" w:line="240" w:lineRule="auto"/>
              <w:jc w:val="right"/>
              <w:rPr>
                <w:sz w:val="18"/>
                <w:szCs w:val="18"/>
              </w:rPr>
            </w:pPr>
            <w:r w:rsidRPr="007E5614">
              <w:rPr>
                <w:sz w:val="18"/>
                <w:szCs w:val="18"/>
              </w:rPr>
              <w:t>3.8</w:t>
            </w:r>
          </w:p>
        </w:tc>
        <w:tc>
          <w:tcPr>
            <w:tcW w:w="1126" w:type="dxa"/>
            <w:vAlign w:val="center"/>
          </w:tcPr>
          <w:p w:rsidR="0012723F" w:rsidRPr="007E5614" w:rsidRDefault="0012723F" w:rsidP="00A87AE2">
            <w:pPr>
              <w:spacing w:before="60" w:after="60" w:line="240" w:lineRule="auto"/>
              <w:jc w:val="right"/>
              <w:rPr>
                <w:sz w:val="18"/>
                <w:szCs w:val="18"/>
              </w:rPr>
            </w:pPr>
            <w:r w:rsidRPr="007E5614">
              <w:rPr>
                <w:sz w:val="18"/>
                <w:szCs w:val="18"/>
              </w:rPr>
              <w:t>3.2</w:t>
            </w:r>
          </w:p>
        </w:tc>
        <w:tc>
          <w:tcPr>
            <w:tcW w:w="1126" w:type="dxa"/>
            <w:vAlign w:val="center"/>
          </w:tcPr>
          <w:p w:rsidR="0012723F" w:rsidRPr="007E5614" w:rsidRDefault="0012723F" w:rsidP="00A87AE2">
            <w:pPr>
              <w:spacing w:before="60" w:after="60" w:line="240" w:lineRule="auto"/>
              <w:jc w:val="right"/>
              <w:rPr>
                <w:sz w:val="18"/>
                <w:szCs w:val="18"/>
              </w:rPr>
            </w:pPr>
            <w:r w:rsidRPr="007E5614">
              <w:rPr>
                <w:sz w:val="18"/>
                <w:szCs w:val="18"/>
              </w:rPr>
              <w:t>4.5</w:t>
            </w:r>
          </w:p>
        </w:tc>
        <w:tc>
          <w:tcPr>
            <w:tcW w:w="1112" w:type="dxa"/>
            <w:vAlign w:val="center"/>
          </w:tcPr>
          <w:p w:rsidR="0012723F" w:rsidRPr="007E5614" w:rsidRDefault="0012723F" w:rsidP="00A87AE2">
            <w:pPr>
              <w:spacing w:before="60" w:after="60" w:line="240" w:lineRule="auto"/>
              <w:jc w:val="center"/>
              <w:rPr>
                <w:sz w:val="18"/>
                <w:szCs w:val="18"/>
              </w:rPr>
            </w:pPr>
            <w:r w:rsidRPr="007E5614">
              <w:rPr>
                <w:sz w:val="18"/>
                <w:szCs w:val="18"/>
              </w:rPr>
              <w:t>4.2</w:t>
            </w:r>
          </w:p>
        </w:tc>
      </w:tr>
      <w:tr w:rsidR="00842638" w:rsidRPr="007E5614" w:rsidTr="00842638">
        <w:trPr>
          <w:cantSplit/>
          <w:tblHeader/>
        </w:trPr>
        <w:tc>
          <w:tcPr>
            <w:tcW w:w="3828" w:type="dxa"/>
            <w:vAlign w:val="center"/>
          </w:tcPr>
          <w:p w:rsidR="00842638" w:rsidRPr="007E5614" w:rsidRDefault="00842638" w:rsidP="00842638">
            <w:pPr>
              <w:tabs>
                <w:tab w:val="left" w:pos="4037"/>
              </w:tabs>
              <w:spacing w:before="60" w:after="60" w:line="240" w:lineRule="auto"/>
              <w:rPr>
                <w:sz w:val="18"/>
                <w:szCs w:val="18"/>
              </w:rPr>
            </w:pPr>
            <w:r w:rsidRPr="007E5614">
              <w:rPr>
                <w:sz w:val="18"/>
                <w:szCs w:val="18"/>
              </w:rPr>
              <w:t xml:space="preserve">Children actively managed while waiting for </w:t>
            </w:r>
            <w:r w:rsidRPr="007E5614">
              <w:rPr>
                <w:sz w:val="18"/>
                <w:szCs w:val="18"/>
              </w:rPr>
              <w:br/>
              <w:t xml:space="preserve">therapeutic family violence counselling services   </w:t>
            </w:r>
          </w:p>
        </w:tc>
        <w:tc>
          <w:tcPr>
            <w:tcW w:w="1070" w:type="dxa"/>
            <w:vAlign w:val="center"/>
          </w:tcPr>
          <w:p w:rsidR="00842638" w:rsidRPr="007E5614" w:rsidRDefault="00842638" w:rsidP="00842638">
            <w:pPr>
              <w:tabs>
                <w:tab w:val="left" w:pos="4037"/>
              </w:tabs>
              <w:spacing w:before="60" w:after="60" w:line="240" w:lineRule="auto"/>
              <w:jc w:val="right"/>
              <w:rPr>
                <w:sz w:val="18"/>
                <w:szCs w:val="18"/>
              </w:rPr>
            </w:pPr>
            <w:r w:rsidRPr="007E5614">
              <w:rPr>
                <w:sz w:val="18"/>
                <w:szCs w:val="18"/>
              </w:rPr>
              <w:t>Number</w:t>
            </w:r>
          </w:p>
        </w:tc>
        <w:tc>
          <w:tcPr>
            <w:tcW w:w="1126" w:type="dxa"/>
            <w:vAlign w:val="center"/>
          </w:tcPr>
          <w:p w:rsidR="00842638" w:rsidRPr="007E5614" w:rsidRDefault="00842638" w:rsidP="00A87AE2">
            <w:pPr>
              <w:spacing w:before="60" w:after="60" w:line="240" w:lineRule="auto"/>
              <w:jc w:val="right"/>
              <w:rPr>
                <w:sz w:val="18"/>
                <w:szCs w:val="18"/>
              </w:rPr>
            </w:pPr>
            <w:r w:rsidRPr="007E5614">
              <w:rPr>
                <w:sz w:val="18"/>
                <w:szCs w:val="18"/>
              </w:rPr>
              <w:t>69</w:t>
            </w:r>
          </w:p>
        </w:tc>
        <w:tc>
          <w:tcPr>
            <w:tcW w:w="1126" w:type="dxa"/>
            <w:vAlign w:val="center"/>
          </w:tcPr>
          <w:p w:rsidR="00842638" w:rsidRPr="007E5614" w:rsidRDefault="00842638" w:rsidP="00A87AE2">
            <w:pPr>
              <w:spacing w:before="60" w:after="60" w:line="240" w:lineRule="auto"/>
              <w:jc w:val="right"/>
              <w:rPr>
                <w:sz w:val="18"/>
                <w:szCs w:val="18"/>
              </w:rPr>
            </w:pPr>
            <w:r w:rsidRPr="007E5614">
              <w:rPr>
                <w:sz w:val="18"/>
                <w:szCs w:val="18"/>
              </w:rPr>
              <w:t>112</w:t>
            </w:r>
          </w:p>
        </w:tc>
        <w:tc>
          <w:tcPr>
            <w:tcW w:w="1126" w:type="dxa"/>
            <w:vAlign w:val="center"/>
          </w:tcPr>
          <w:p w:rsidR="00842638" w:rsidRPr="007E5614" w:rsidRDefault="00842638" w:rsidP="00A87AE2">
            <w:pPr>
              <w:spacing w:before="60" w:after="60" w:line="240" w:lineRule="auto"/>
              <w:jc w:val="right"/>
              <w:rPr>
                <w:sz w:val="18"/>
                <w:szCs w:val="18"/>
              </w:rPr>
            </w:pPr>
            <w:r w:rsidRPr="007E5614">
              <w:rPr>
                <w:sz w:val="18"/>
                <w:szCs w:val="18"/>
              </w:rPr>
              <w:t>90</w:t>
            </w:r>
            <w:r w:rsidRPr="007E5614">
              <w:rPr>
                <w:sz w:val="18"/>
                <w:szCs w:val="18"/>
                <w:vertAlign w:val="superscript"/>
              </w:rPr>
              <w:t>1</w:t>
            </w:r>
          </w:p>
        </w:tc>
        <w:tc>
          <w:tcPr>
            <w:tcW w:w="1112" w:type="dxa"/>
            <w:vAlign w:val="center"/>
          </w:tcPr>
          <w:p w:rsidR="00842638" w:rsidRPr="007E5614" w:rsidRDefault="00842638" w:rsidP="00A87AE2">
            <w:pPr>
              <w:spacing w:before="60" w:after="60" w:line="240" w:lineRule="auto"/>
              <w:jc w:val="center"/>
              <w:rPr>
                <w:sz w:val="18"/>
                <w:szCs w:val="18"/>
              </w:rPr>
            </w:pPr>
            <w:r w:rsidRPr="007E5614">
              <w:rPr>
                <w:sz w:val="18"/>
                <w:szCs w:val="18"/>
              </w:rPr>
              <w:t>59</w:t>
            </w:r>
          </w:p>
        </w:tc>
      </w:tr>
    </w:tbl>
    <w:p w:rsidR="0012723F" w:rsidRPr="00842638" w:rsidRDefault="0012723F" w:rsidP="0012723F">
      <w:pPr>
        <w:pStyle w:val="ListNumber2"/>
        <w:keepLines/>
        <w:widowControl w:val="0"/>
        <w:tabs>
          <w:tab w:val="clear" w:pos="567"/>
          <w:tab w:val="left" w:pos="601"/>
        </w:tabs>
        <w:spacing w:before="60" w:after="60" w:line="240" w:lineRule="auto"/>
        <w:rPr>
          <w:rFonts w:ascii="Gill Sans MT" w:hAnsi="Gill Sans MT"/>
          <w:sz w:val="16"/>
          <w:szCs w:val="16"/>
          <w:lang w:bidi="en-US"/>
        </w:rPr>
      </w:pPr>
      <w:r w:rsidRPr="00842638">
        <w:rPr>
          <w:rFonts w:ascii="Gill Sans MT" w:hAnsi="Gill Sans MT"/>
          <w:sz w:val="16"/>
          <w:szCs w:val="16"/>
          <w:lang w:bidi="en-US"/>
        </w:rPr>
        <w:t xml:space="preserve">Notes: </w:t>
      </w:r>
    </w:p>
    <w:p w:rsidR="0012723F" w:rsidRPr="00842638" w:rsidRDefault="0012723F" w:rsidP="0012723F">
      <w:pPr>
        <w:pStyle w:val="Notes"/>
        <w:numPr>
          <w:ilvl w:val="0"/>
          <w:numId w:val="22"/>
        </w:numPr>
        <w:spacing w:after="60"/>
        <w:rPr>
          <w:rFonts w:ascii="Gill Sans MT" w:hAnsi="Gill Sans MT"/>
          <w:sz w:val="16"/>
          <w:szCs w:val="16"/>
        </w:rPr>
      </w:pPr>
      <w:r w:rsidRPr="00842638">
        <w:rPr>
          <w:rFonts w:ascii="Gill Sans MT" w:hAnsi="Gill Sans MT"/>
          <w:sz w:val="16"/>
          <w:szCs w:val="16"/>
        </w:rPr>
        <w:t>Due to the lag effect from continual entry of data into information systems, the data reported for 2014-15 may have been retrospectively updated and therefore differ from that reported in the 2014-15 DHHS Annual Report.</w:t>
      </w:r>
    </w:p>
    <w:p w:rsidR="0012723F" w:rsidRPr="00842638" w:rsidRDefault="0012723F" w:rsidP="0012723F">
      <w:pPr>
        <w:pStyle w:val="Notes"/>
        <w:numPr>
          <w:ilvl w:val="0"/>
          <w:numId w:val="22"/>
        </w:numPr>
        <w:spacing w:after="60"/>
        <w:rPr>
          <w:rFonts w:ascii="Gill Sans MT" w:hAnsi="Gill Sans MT"/>
          <w:sz w:val="16"/>
          <w:szCs w:val="16"/>
        </w:rPr>
      </w:pPr>
      <w:r w:rsidRPr="00842638">
        <w:rPr>
          <w:rFonts w:ascii="Gill Sans MT" w:hAnsi="Gill Sans MT"/>
          <w:sz w:val="16"/>
          <w:szCs w:val="16"/>
        </w:rPr>
        <w:t xml:space="preserve">The 2015-16 actuals are preliminary and may differ from figures published in ROGS or Child Protection Australia. </w:t>
      </w:r>
    </w:p>
    <w:p w:rsidR="0012723F" w:rsidRPr="00842638" w:rsidRDefault="0012723F" w:rsidP="0012723F">
      <w:pPr>
        <w:pStyle w:val="Notes"/>
        <w:numPr>
          <w:ilvl w:val="0"/>
          <w:numId w:val="22"/>
        </w:numPr>
        <w:spacing w:after="60"/>
        <w:rPr>
          <w:rFonts w:ascii="Gill Sans MT" w:hAnsi="Gill Sans MT"/>
          <w:sz w:val="16"/>
          <w:szCs w:val="16"/>
        </w:rPr>
      </w:pPr>
      <w:r w:rsidRPr="00842638">
        <w:rPr>
          <w:rFonts w:ascii="Gill Sans MT" w:hAnsi="Gill Sans MT"/>
          <w:sz w:val="16"/>
          <w:szCs w:val="16"/>
        </w:rPr>
        <w:t>The population figures used to calculate this measure are taken from ROGS.</w:t>
      </w:r>
    </w:p>
    <w:p w:rsidR="0012723F" w:rsidRPr="00842638" w:rsidRDefault="0012723F" w:rsidP="0012723F">
      <w:pPr>
        <w:pStyle w:val="Notes"/>
        <w:numPr>
          <w:ilvl w:val="0"/>
          <w:numId w:val="22"/>
        </w:numPr>
        <w:spacing w:after="60"/>
        <w:rPr>
          <w:rFonts w:ascii="Gill Sans MT" w:hAnsi="Gill Sans MT"/>
          <w:sz w:val="16"/>
          <w:szCs w:val="16"/>
          <w:lang w:bidi="en-US"/>
        </w:rPr>
      </w:pPr>
      <w:r w:rsidRPr="00842638">
        <w:rPr>
          <w:rFonts w:ascii="Gill Sans MT" w:hAnsi="Gill Sans MT"/>
          <w:sz w:val="16"/>
          <w:szCs w:val="16"/>
        </w:rPr>
        <w:t>Children in active transition at Response are actively managed while awaiting allocation to a child protection worker for an investigation.</w:t>
      </w:r>
    </w:p>
    <w:p w:rsidR="0012723F" w:rsidRPr="00842638" w:rsidRDefault="0012723F" w:rsidP="0012723F">
      <w:pPr>
        <w:pStyle w:val="Notes"/>
        <w:numPr>
          <w:ilvl w:val="0"/>
          <w:numId w:val="22"/>
        </w:numPr>
        <w:spacing w:after="60"/>
        <w:rPr>
          <w:rFonts w:ascii="Gill Sans MT" w:hAnsi="Gill Sans MT"/>
          <w:sz w:val="16"/>
          <w:szCs w:val="16"/>
          <w:lang w:bidi="en-US"/>
        </w:rPr>
      </w:pPr>
      <w:r w:rsidRPr="00842638">
        <w:rPr>
          <w:rFonts w:ascii="Gill Sans MT" w:hAnsi="Gill Sans MT"/>
          <w:sz w:val="16"/>
          <w:szCs w:val="16"/>
          <w:lang w:bidi="en-US"/>
        </w:rPr>
        <w:t xml:space="preserve">Due to data lag issues, the total percentage of </w:t>
      </w:r>
      <w:proofErr w:type="spellStart"/>
      <w:r w:rsidRPr="00842638">
        <w:rPr>
          <w:rFonts w:ascii="Gill Sans MT" w:hAnsi="Gill Sans MT"/>
          <w:sz w:val="16"/>
          <w:szCs w:val="16"/>
          <w:lang w:bidi="en-US"/>
        </w:rPr>
        <w:t>resubstantiations</w:t>
      </w:r>
      <w:proofErr w:type="spellEnd"/>
      <w:r w:rsidRPr="00842638">
        <w:rPr>
          <w:rFonts w:ascii="Gill Sans MT" w:hAnsi="Gill Sans MT"/>
          <w:sz w:val="16"/>
          <w:szCs w:val="16"/>
          <w:lang w:bidi="en-US"/>
        </w:rPr>
        <w:t xml:space="preserve"> is not yet able to be reliably reported. </w:t>
      </w:r>
    </w:p>
    <w:p w:rsidR="0012723F" w:rsidRDefault="0012723F" w:rsidP="004E42E6">
      <w:pPr>
        <w:rPr>
          <w:rFonts w:ascii="Arial" w:eastAsia="Calibri" w:hAnsi="Arial" w:cs="Times New Roman"/>
          <w:sz w:val="18"/>
          <w:szCs w:val="18"/>
        </w:rPr>
      </w:pPr>
    </w:p>
    <w:p w:rsidR="00842638" w:rsidRDefault="00842638" w:rsidP="004E42E6">
      <w:pPr>
        <w:rPr>
          <w:rFonts w:ascii="Arial" w:eastAsia="Calibri" w:hAnsi="Arial" w:cs="Times New Roman"/>
          <w:sz w:val="18"/>
          <w:szCs w:val="18"/>
        </w:rPr>
        <w:sectPr w:rsidR="00842638" w:rsidSect="0012723F">
          <w:pgSz w:w="11906" w:h="16838"/>
          <w:pgMar w:top="851" w:right="1274" w:bottom="567" w:left="1440" w:header="708" w:footer="708" w:gutter="0"/>
          <w:cols w:space="708"/>
          <w:docGrid w:linePitch="360"/>
        </w:sectPr>
      </w:pPr>
    </w:p>
    <w:p w:rsidR="00842638" w:rsidRPr="007E5614" w:rsidRDefault="00842638" w:rsidP="00842638">
      <w:proofErr w:type="spellStart"/>
      <w:r w:rsidRPr="007E5614">
        <w:lastRenderedPageBreak/>
        <w:t>CHaPS</w:t>
      </w:r>
      <w:proofErr w:type="spellEnd"/>
      <w:r w:rsidRPr="007E5614">
        <w:t xml:space="preserve"> maintained a high level of initial engagement with parents of newborn children, and the proportio</w:t>
      </w:r>
      <w:r>
        <w:t>n of parents attending at eight </w:t>
      </w:r>
      <w:r w:rsidRPr="007E5614">
        <w:t>weeks decreased slightly across Tasmania in 2015-16.</w:t>
      </w:r>
    </w:p>
    <w:p w:rsidR="00842638" w:rsidRDefault="00842638" w:rsidP="00842638">
      <w:r w:rsidRPr="007E5614">
        <w:t xml:space="preserve">There is a shifting national trend toward rising numbers of children receiving child protection services and this trend is reflected in Tasmanian data as well. </w:t>
      </w:r>
      <w:r>
        <w:t>A steady increase in notifications received from Tasmania Police, conceivably due to a more broad ranging response to family violence, has been particularly evident in Tasmania in recent years.</w:t>
      </w:r>
    </w:p>
    <w:p w:rsidR="00842638" w:rsidRDefault="00842638" w:rsidP="00842638">
      <w:r>
        <w:t>D</w:t>
      </w:r>
      <w:r w:rsidRPr="007E5614">
        <w:t xml:space="preserve">uring 2015-16, a daily average number of 65.5 children were in active transition from the functional area of Intake to Response, </w:t>
      </w:r>
      <w:r w:rsidRPr="007E5614">
        <w:lastRenderedPageBreak/>
        <w:t xml:space="preserve">representing an increase from 15.5 during 2014-15. </w:t>
      </w:r>
    </w:p>
    <w:p w:rsidR="00842638" w:rsidRDefault="00842638" w:rsidP="00842638">
      <w:r>
        <w:t xml:space="preserve">The timeframe for the </w:t>
      </w:r>
      <w:r w:rsidRPr="007E5614">
        <w:t xml:space="preserve">allocation and determination of matters for investigation </w:t>
      </w:r>
      <w:r>
        <w:t>is</w:t>
      </w:r>
      <w:r w:rsidRPr="007E5614">
        <w:t xml:space="preserve"> influenced by a number of other factors, including: the readiness and capacity of oth</w:t>
      </w:r>
      <w:r>
        <w:t>er agencies to accept referrals</w:t>
      </w:r>
      <w:r w:rsidRPr="007E5614">
        <w:t>; the timeliness of receipt of information from other agencies; and the complexity of cases referred.</w:t>
      </w:r>
    </w:p>
    <w:p w:rsidR="00842638" w:rsidRPr="007E5614" w:rsidRDefault="00842638" w:rsidP="00842638">
      <w:r w:rsidRPr="007E5614">
        <w:t>Feedback from frontline CPS staff indicates Tasmania is experiencing greater case complexity in notifications requiring investigation, often due to a range of issues including substance abuse and parental mental health.</w:t>
      </w:r>
    </w:p>
    <w:p w:rsidR="00842638" w:rsidRPr="007E5614" w:rsidRDefault="00842638" w:rsidP="00842638">
      <w:r w:rsidRPr="007E5614">
        <w:t xml:space="preserve">DHHS has a number of strategies to assist child protection staff in working with complex cases. These include a contract with the </w:t>
      </w:r>
      <w:r w:rsidRPr="007E5614">
        <w:lastRenderedPageBreak/>
        <w:t xml:space="preserve">Australian Childhood Foundation for professional development of staff in their understanding of, and response to, trauma; and development of better targeted in-house learning and development resources. </w:t>
      </w:r>
    </w:p>
    <w:p w:rsidR="00842638" w:rsidRPr="007E5614" w:rsidRDefault="00842638" w:rsidP="00842638">
      <w:pPr>
        <w:rPr>
          <w:i/>
        </w:rPr>
      </w:pPr>
      <w:proofErr w:type="gramStart"/>
      <w:r w:rsidRPr="007E5614">
        <w:t>A</w:t>
      </w:r>
      <w:r>
        <w:t>s outline above, a</w:t>
      </w:r>
      <w:r w:rsidRPr="007E5614">
        <w:t xml:space="preserve"> comprehensive redesign of CPS commenced in August 2015.</w:t>
      </w:r>
      <w:proofErr w:type="gramEnd"/>
      <w:r w:rsidRPr="007E5614">
        <w:t xml:space="preserve"> This resulted in the Strong Families – Safe Kids Implementation Plan, which will seek to deliver a service that assists with better management of the child protection workflow, thereby reducing delays and improving performance against these indicators. </w:t>
      </w:r>
    </w:p>
    <w:p w:rsidR="00842638" w:rsidRPr="007E5614" w:rsidRDefault="00842638" w:rsidP="00842638">
      <w:pPr>
        <w:rPr>
          <w:i/>
        </w:rPr>
      </w:pPr>
      <w:r w:rsidRPr="007E5614">
        <w:t>The Strong Families – Safe Kids Implementation Plan was published in May 2016 and includes system demand indicators such as those reported above to monitor progress. The project is seeking to re-focus current intake services to an advice and referral service that is connected to the broader government and non-government service network, with the aim of improving the ability of the State to manage the 'front door' of the system. As part of the $20.5 million investment</w:t>
      </w:r>
      <w:r>
        <w:t xml:space="preserve"> commencing from 2016-17</w:t>
      </w:r>
      <w:r w:rsidRPr="007E5614">
        <w:t>, the Strong Families – Safe Kids Implementation Plan includes $2.5 million to identify and purchase additional intensive family support services for children and families on the brink of entering the statutory service system and to design an assertive family support model. The intention of these initiatives is to ease pressure on the service system thereby creating an environment that is more conducive to improving the safety and wellbeing of children.</w:t>
      </w:r>
    </w:p>
    <w:p w:rsidR="00842638" w:rsidRPr="007E5614" w:rsidRDefault="00842638" w:rsidP="00842638">
      <w:r w:rsidRPr="007E5614">
        <w:t xml:space="preserve">Out of Home Care Services provide care for children placed away from their parents for protective or other reasons related to child safety and wellbeing. </w:t>
      </w:r>
    </w:p>
    <w:p w:rsidR="00842638" w:rsidRPr="007E5614" w:rsidRDefault="00842638" w:rsidP="00842638">
      <w:r w:rsidRPr="007E5614">
        <w:t xml:space="preserve">The daily average number of children in Out of Home Care in Tasmania increased to 1 110.6 during 2015-16. </w:t>
      </w:r>
    </w:p>
    <w:p w:rsidR="00842638" w:rsidRDefault="00842638" w:rsidP="00842638">
      <w:r w:rsidRPr="007E5614">
        <w:t xml:space="preserve">During 2015-16, 4.2 per cent of children in care had three or more non-respite placements in the previous 12 months. Carer availability is a critical factor in improving </w:t>
      </w:r>
      <w:r>
        <w:t>stability for children in care.</w:t>
      </w:r>
    </w:p>
    <w:p w:rsidR="00842638" w:rsidRDefault="00842638" w:rsidP="00842638">
      <w:r>
        <w:lastRenderedPageBreak/>
        <w:t>Reform of</w:t>
      </w:r>
      <w:r w:rsidRPr="004F1408">
        <w:t xml:space="preserve"> the Out of Home Care system </w:t>
      </w:r>
      <w:r>
        <w:t xml:space="preserve">is continuing </w:t>
      </w:r>
      <w:r w:rsidRPr="004F1408">
        <w:t>to provide a needs-led, quality assured, financi</w:t>
      </w:r>
      <w:r>
        <w:t xml:space="preserve">ally viable, safe </w:t>
      </w:r>
      <w:r w:rsidRPr="004F1408">
        <w:t>and outcomes-focused response to children who cannot live at home.</w:t>
      </w:r>
    </w:p>
    <w:p w:rsidR="00842638" w:rsidRDefault="00842638" w:rsidP="00842638"/>
    <w:p w:rsidR="00842638" w:rsidRDefault="00842638" w:rsidP="00842638">
      <w:pPr>
        <w:sectPr w:rsidR="00842638" w:rsidSect="00842638">
          <w:type w:val="continuous"/>
          <w:pgSz w:w="11906" w:h="16838"/>
          <w:pgMar w:top="851" w:right="1274" w:bottom="567" w:left="1440" w:header="708" w:footer="708" w:gutter="0"/>
          <w:cols w:num="2" w:space="708"/>
          <w:docGrid w:linePitch="360"/>
        </w:sectPr>
      </w:pPr>
    </w:p>
    <w:tbl>
      <w:tblPr>
        <w:tblpPr w:leftFromText="180" w:rightFromText="180" w:vertAnchor="page" w:horzAnchor="margin" w:tblpY="1468"/>
        <w:tblW w:w="9388" w:type="dxa"/>
        <w:tblBorders>
          <w:top w:val="single" w:sz="4" w:space="0" w:color="808080"/>
          <w:bottom w:val="single" w:sz="4" w:space="0" w:color="808080"/>
          <w:insideH w:val="single" w:sz="4" w:space="0" w:color="808080"/>
        </w:tblBorders>
        <w:tblLook w:val="04A0" w:firstRow="1" w:lastRow="0" w:firstColumn="1" w:lastColumn="0" w:noHBand="0" w:noVBand="1"/>
        <w:tblCaption w:val="Custodial Youth Justice Performance Comparison"/>
      </w:tblPr>
      <w:tblGrid>
        <w:gridCol w:w="3906"/>
        <w:gridCol w:w="992"/>
        <w:gridCol w:w="1126"/>
        <w:gridCol w:w="1126"/>
        <w:gridCol w:w="1126"/>
        <w:gridCol w:w="1112"/>
      </w:tblGrid>
      <w:tr w:rsidR="00842638" w:rsidRPr="007E5614" w:rsidTr="00842638">
        <w:trPr>
          <w:cantSplit/>
          <w:tblHeader/>
        </w:trPr>
        <w:tc>
          <w:tcPr>
            <w:tcW w:w="3906" w:type="dxa"/>
            <w:tcBorders>
              <w:top w:val="single" w:sz="4" w:space="0" w:color="808080" w:themeColor="background1" w:themeShade="80"/>
              <w:bottom w:val="single" w:sz="4" w:space="0" w:color="808080" w:themeColor="background1" w:themeShade="80"/>
              <w:right w:val="nil"/>
            </w:tcBorders>
            <w:shd w:val="clear" w:color="auto" w:fill="auto"/>
            <w:vAlign w:val="center"/>
          </w:tcPr>
          <w:p w:rsidR="00842638" w:rsidRPr="007E5614" w:rsidRDefault="00842638" w:rsidP="00842638">
            <w:pPr>
              <w:spacing w:before="60" w:after="60" w:line="240" w:lineRule="auto"/>
              <w:rPr>
                <w:b/>
                <w:sz w:val="18"/>
                <w:szCs w:val="18"/>
              </w:rPr>
            </w:pPr>
            <w:r w:rsidRPr="007E5614">
              <w:rPr>
                <w:b/>
                <w:sz w:val="18"/>
                <w:szCs w:val="18"/>
              </w:rPr>
              <w:lastRenderedPageBreak/>
              <w:t>Performance Measure</w:t>
            </w:r>
          </w:p>
        </w:tc>
        <w:tc>
          <w:tcPr>
            <w:tcW w:w="992"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rsidR="00842638" w:rsidRPr="007E5614" w:rsidRDefault="00842638" w:rsidP="00842638">
            <w:pPr>
              <w:spacing w:before="60" w:after="60" w:line="240" w:lineRule="auto"/>
              <w:jc w:val="right"/>
              <w:rPr>
                <w:b/>
                <w:sz w:val="18"/>
                <w:szCs w:val="18"/>
              </w:rPr>
            </w:pPr>
            <w:r w:rsidRPr="007E5614">
              <w:rPr>
                <w:b/>
                <w:sz w:val="18"/>
                <w:szCs w:val="18"/>
              </w:rPr>
              <w:t>Unit of Measure</w:t>
            </w:r>
          </w:p>
        </w:tc>
        <w:tc>
          <w:tcPr>
            <w:tcW w:w="1126"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rsidR="00842638" w:rsidRPr="007E5614" w:rsidRDefault="00842638" w:rsidP="00842638">
            <w:pPr>
              <w:spacing w:before="60" w:after="60" w:line="240" w:lineRule="auto"/>
              <w:jc w:val="right"/>
              <w:rPr>
                <w:b/>
                <w:sz w:val="18"/>
                <w:szCs w:val="18"/>
              </w:rPr>
            </w:pPr>
            <w:r w:rsidRPr="007E5614">
              <w:rPr>
                <w:b/>
                <w:sz w:val="18"/>
                <w:szCs w:val="18"/>
              </w:rPr>
              <w:t xml:space="preserve">2012-13 </w:t>
            </w:r>
            <w:r w:rsidRPr="007E5614">
              <w:rPr>
                <w:b/>
                <w:sz w:val="18"/>
                <w:szCs w:val="18"/>
              </w:rPr>
              <w:br/>
              <w:t>Actual</w:t>
            </w:r>
          </w:p>
        </w:tc>
        <w:tc>
          <w:tcPr>
            <w:tcW w:w="1126"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rsidR="00842638" w:rsidRPr="007E5614" w:rsidRDefault="00842638" w:rsidP="00842638">
            <w:pPr>
              <w:spacing w:before="60" w:after="60" w:line="240" w:lineRule="auto"/>
              <w:jc w:val="right"/>
              <w:rPr>
                <w:b/>
                <w:sz w:val="18"/>
                <w:szCs w:val="18"/>
              </w:rPr>
            </w:pPr>
            <w:r w:rsidRPr="007E5614">
              <w:rPr>
                <w:b/>
                <w:sz w:val="18"/>
                <w:szCs w:val="18"/>
              </w:rPr>
              <w:t>2013-14 Actual</w:t>
            </w:r>
          </w:p>
        </w:tc>
        <w:tc>
          <w:tcPr>
            <w:tcW w:w="1126"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rsidR="00842638" w:rsidRPr="007E5614" w:rsidRDefault="00842638" w:rsidP="00842638">
            <w:pPr>
              <w:spacing w:before="60" w:after="60" w:line="240" w:lineRule="auto"/>
              <w:jc w:val="right"/>
              <w:rPr>
                <w:b/>
                <w:sz w:val="18"/>
                <w:szCs w:val="18"/>
              </w:rPr>
            </w:pPr>
            <w:r w:rsidRPr="007E5614">
              <w:rPr>
                <w:b/>
                <w:sz w:val="18"/>
                <w:szCs w:val="18"/>
              </w:rPr>
              <w:t>2014-15 Actual</w:t>
            </w:r>
          </w:p>
        </w:tc>
        <w:tc>
          <w:tcPr>
            <w:tcW w:w="1112" w:type="dxa"/>
            <w:tcBorders>
              <w:top w:val="single" w:sz="4" w:space="0" w:color="808080" w:themeColor="background1" w:themeShade="80"/>
              <w:left w:val="nil"/>
              <w:bottom w:val="single" w:sz="4" w:space="0" w:color="808080" w:themeColor="background1" w:themeShade="80"/>
            </w:tcBorders>
            <w:vAlign w:val="center"/>
          </w:tcPr>
          <w:p w:rsidR="00842638" w:rsidRPr="007E5614" w:rsidRDefault="00842638" w:rsidP="00842638">
            <w:pPr>
              <w:spacing w:before="60" w:after="60" w:line="240" w:lineRule="auto"/>
              <w:jc w:val="center"/>
              <w:rPr>
                <w:b/>
                <w:sz w:val="18"/>
                <w:szCs w:val="18"/>
              </w:rPr>
            </w:pPr>
            <w:r w:rsidRPr="007E5614">
              <w:rPr>
                <w:b/>
                <w:sz w:val="18"/>
                <w:szCs w:val="18"/>
              </w:rPr>
              <w:t>2015-16 Actual</w:t>
            </w:r>
          </w:p>
        </w:tc>
      </w:tr>
      <w:tr w:rsidR="00842638" w:rsidRPr="007E5614" w:rsidTr="00842638">
        <w:trPr>
          <w:cantSplit/>
          <w:tblHeader/>
        </w:trPr>
        <w:tc>
          <w:tcPr>
            <w:tcW w:w="3906" w:type="dxa"/>
            <w:vAlign w:val="center"/>
          </w:tcPr>
          <w:p w:rsidR="00842638" w:rsidRPr="007E5614" w:rsidRDefault="00842638" w:rsidP="00842638">
            <w:pPr>
              <w:spacing w:before="60" w:after="60" w:line="240" w:lineRule="auto"/>
              <w:rPr>
                <w:sz w:val="18"/>
                <w:szCs w:val="18"/>
              </w:rPr>
            </w:pPr>
            <w:r w:rsidRPr="007E5614">
              <w:rPr>
                <w:sz w:val="18"/>
                <w:szCs w:val="18"/>
              </w:rPr>
              <w:t>Average daily young people in Youth Justice detention</w:t>
            </w:r>
          </w:p>
        </w:tc>
        <w:tc>
          <w:tcPr>
            <w:tcW w:w="992" w:type="dxa"/>
            <w:vAlign w:val="center"/>
          </w:tcPr>
          <w:p w:rsidR="00842638" w:rsidRPr="007E5614" w:rsidRDefault="00842638" w:rsidP="00842638">
            <w:pPr>
              <w:spacing w:before="60" w:after="60" w:line="240" w:lineRule="auto"/>
              <w:jc w:val="right"/>
              <w:rPr>
                <w:sz w:val="18"/>
                <w:szCs w:val="18"/>
              </w:rPr>
            </w:pPr>
            <w:r w:rsidRPr="007E5614">
              <w:rPr>
                <w:sz w:val="18"/>
                <w:szCs w:val="18"/>
              </w:rPr>
              <w:t>Number</w:t>
            </w:r>
          </w:p>
        </w:tc>
        <w:tc>
          <w:tcPr>
            <w:tcW w:w="1126" w:type="dxa"/>
            <w:vAlign w:val="center"/>
          </w:tcPr>
          <w:p w:rsidR="00842638" w:rsidRPr="007E5614" w:rsidRDefault="00842638" w:rsidP="00842638">
            <w:pPr>
              <w:spacing w:before="60" w:after="60" w:line="240" w:lineRule="auto"/>
              <w:jc w:val="right"/>
              <w:rPr>
                <w:sz w:val="18"/>
                <w:szCs w:val="18"/>
              </w:rPr>
            </w:pPr>
            <w:r w:rsidRPr="007E5614">
              <w:rPr>
                <w:sz w:val="18"/>
                <w:szCs w:val="18"/>
              </w:rPr>
              <w:t>18.4</w:t>
            </w:r>
          </w:p>
        </w:tc>
        <w:tc>
          <w:tcPr>
            <w:tcW w:w="1126" w:type="dxa"/>
            <w:vAlign w:val="center"/>
          </w:tcPr>
          <w:p w:rsidR="00842638" w:rsidRPr="007E5614" w:rsidRDefault="00842638" w:rsidP="00842638">
            <w:pPr>
              <w:spacing w:before="60" w:after="60" w:line="240" w:lineRule="auto"/>
              <w:jc w:val="right"/>
              <w:rPr>
                <w:sz w:val="18"/>
                <w:szCs w:val="18"/>
              </w:rPr>
            </w:pPr>
            <w:r w:rsidRPr="007E5614">
              <w:rPr>
                <w:sz w:val="18"/>
                <w:szCs w:val="18"/>
              </w:rPr>
              <w:t>11.6</w:t>
            </w:r>
          </w:p>
        </w:tc>
        <w:tc>
          <w:tcPr>
            <w:tcW w:w="1126" w:type="dxa"/>
            <w:vAlign w:val="center"/>
          </w:tcPr>
          <w:p w:rsidR="00842638" w:rsidRPr="007E5614" w:rsidRDefault="00842638" w:rsidP="00842638">
            <w:pPr>
              <w:spacing w:before="60" w:after="60" w:line="240" w:lineRule="auto"/>
              <w:jc w:val="right"/>
              <w:rPr>
                <w:sz w:val="18"/>
                <w:szCs w:val="18"/>
              </w:rPr>
            </w:pPr>
            <w:r w:rsidRPr="007E5614">
              <w:rPr>
                <w:sz w:val="18"/>
                <w:szCs w:val="18"/>
              </w:rPr>
              <w:t>10.3</w:t>
            </w:r>
            <w:r w:rsidRPr="007E5614">
              <w:rPr>
                <w:sz w:val="18"/>
                <w:szCs w:val="18"/>
                <w:vertAlign w:val="superscript"/>
              </w:rPr>
              <w:t>1</w:t>
            </w:r>
          </w:p>
        </w:tc>
        <w:tc>
          <w:tcPr>
            <w:tcW w:w="1112" w:type="dxa"/>
            <w:vAlign w:val="center"/>
          </w:tcPr>
          <w:p w:rsidR="00842638" w:rsidRPr="007E5614" w:rsidRDefault="00842638" w:rsidP="00842638">
            <w:pPr>
              <w:spacing w:before="60" w:after="60" w:line="240" w:lineRule="auto"/>
              <w:jc w:val="center"/>
              <w:rPr>
                <w:sz w:val="18"/>
                <w:szCs w:val="18"/>
              </w:rPr>
            </w:pPr>
            <w:r w:rsidRPr="007E5614">
              <w:rPr>
                <w:sz w:val="18"/>
                <w:szCs w:val="18"/>
              </w:rPr>
              <w:t>9.2</w:t>
            </w:r>
          </w:p>
        </w:tc>
      </w:tr>
      <w:tr w:rsidR="00842638" w:rsidRPr="007E5614" w:rsidTr="00842638">
        <w:trPr>
          <w:cantSplit/>
          <w:tblHeader/>
        </w:trPr>
        <w:tc>
          <w:tcPr>
            <w:tcW w:w="3906" w:type="dxa"/>
            <w:vAlign w:val="center"/>
          </w:tcPr>
          <w:p w:rsidR="00842638" w:rsidRPr="007E5614" w:rsidRDefault="00842638" w:rsidP="00842638">
            <w:pPr>
              <w:spacing w:before="60" w:after="60" w:line="240" w:lineRule="auto"/>
              <w:rPr>
                <w:sz w:val="18"/>
                <w:szCs w:val="18"/>
              </w:rPr>
            </w:pPr>
            <w:r w:rsidRPr="007E5614">
              <w:rPr>
                <w:sz w:val="18"/>
                <w:szCs w:val="18"/>
              </w:rPr>
              <w:t>Distinct number of young people in youth justice detention</w:t>
            </w:r>
          </w:p>
        </w:tc>
        <w:tc>
          <w:tcPr>
            <w:tcW w:w="992" w:type="dxa"/>
            <w:vAlign w:val="center"/>
          </w:tcPr>
          <w:p w:rsidR="00842638" w:rsidRPr="007E5614" w:rsidRDefault="00842638" w:rsidP="00842638">
            <w:pPr>
              <w:spacing w:before="60" w:after="60" w:line="240" w:lineRule="auto"/>
              <w:jc w:val="right"/>
              <w:rPr>
                <w:sz w:val="18"/>
                <w:szCs w:val="18"/>
              </w:rPr>
            </w:pPr>
            <w:r w:rsidRPr="007E5614">
              <w:rPr>
                <w:sz w:val="18"/>
                <w:szCs w:val="18"/>
              </w:rPr>
              <w:t>Number</w:t>
            </w:r>
          </w:p>
        </w:tc>
        <w:tc>
          <w:tcPr>
            <w:tcW w:w="1126" w:type="dxa"/>
            <w:vAlign w:val="center"/>
          </w:tcPr>
          <w:p w:rsidR="00842638" w:rsidRPr="007E5614" w:rsidRDefault="00842638" w:rsidP="00842638">
            <w:pPr>
              <w:spacing w:before="60" w:after="60" w:line="240" w:lineRule="auto"/>
              <w:jc w:val="right"/>
              <w:rPr>
                <w:sz w:val="18"/>
                <w:szCs w:val="18"/>
              </w:rPr>
            </w:pPr>
            <w:r w:rsidRPr="007E5614">
              <w:rPr>
                <w:sz w:val="18"/>
                <w:szCs w:val="18"/>
              </w:rPr>
              <w:t>72</w:t>
            </w:r>
          </w:p>
        </w:tc>
        <w:tc>
          <w:tcPr>
            <w:tcW w:w="1126" w:type="dxa"/>
            <w:vAlign w:val="center"/>
          </w:tcPr>
          <w:p w:rsidR="00842638" w:rsidRPr="007E5614" w:rsidRDefault="00842638" w:rsidP="00842638">
            <w:pPr>
              <w:spacing w:before="60" w:after="60" w:line="240" w:lineRule="auto"/>
              <w:jc w:val="right"/>
              <w:rPr>
                <w:sz w:val="18"/>
                <w:szCs w:val="18"/>
              </w:rPr>
            </w:pPr>
            <w:r w:rsidRPr="007E5614">
              <w:rPr>
                <w:sz w:val="18"/>
                <w:szCs w:val="18"/>
              </w:rPr>
              <w:t>56</w:t>
            </w:r>
          </w:p>
        </w:tc>
        <w:tc>
          <w:tcPr>
            <w:tcW w:w="1126" w:type="dxa"/>
            <w:vAlign w:val="center"/>
          </w:tcPr>
          <w:p w:rsidR="00842638" w:rsidRPr="007E5614" w:rsidRDefault="00842638" w:rsidP="00842638">
            <w:pPr>
              <w:spacing w:before="60" w:after="60" w:line="240" w:lineRule="auto"/>
              <w:jc w:val="right"/>
              <w:rPr>
                <w:sz w:val="18"/>
                <w:szCs w:val="18"/>
              </w:rPr>
            </w:pPr>
            <w:r w:rsidRPr="007E5614">
              <w:rPr>
                <w:sz w:val="18"/>
                <w:szCs w:val="18"/>
              </w:rPr>
              <w:t>52</w:t>
            </w:r>
          </w:p>
        </w:tc>
        <w:tc>
          <w:tcPr>
            <w:tcW w:w="1112" w:type="dxa"/>
            <w:vAlign w:val="center"/>
          </w:tcPr>
          <w:p w:rsidR="00842638" w:rsidRPr="007E5614" w:rsidRDefault="00842638" w:rsidP="00842638">
            <w:pPr>
              <w:spacing w:before="60" w:after="60" w:line="240" w:lineRule="auto"/>
              <w:jc w:val="center"/>
              <w:rPr>
                <w:sz w:val="18"/>
                <w:szCs w:val="18"/>
              </w:rPr>
            </w:pPr>
            <w:r w:rsidRPr="007E5614">
              <w:rPr>
                <w:sz w:val="18"/>
                <w:szCs w:val="18"/>
              </w:rPr>
              <w:t>33</w:t>
            </w:r>
          </w:p>
        </w:tc>
      </w:tr>
    </w:tbl>
    <w:p w:rsidR="00842638" w:rsidRDefault="00842638" w:rsidP="00DF724A">
      <w:pPr>
        <w:pStyle w:val="Heading4"/>
      </w:pPr>
      <w:r>
        <w:lastRenderedPageBreak/>
        <w:t>Custodial Youth Justice</w:t>
      </w:r>
    </w:p>
    <w:p w:rsidR="00842638" w:rsidRDefault="00842638" w:rsidP="00842638"/>
    <w:p w:rsidR="00842638" w:rsidRDefault="00842638" w:rsidP="00DF724A">
      <w:pPr>
        <w:pStyle w:val="Heading4"/>
      </w:pPr>
      <w:r>
        <w:t>Community Youth Justice</w:t>
      </w:r>
    </w:p>
    <w:tbl>
      <w:tblPr>
        <w:tblW w:w="9388" w:type="dxa"/>
        <w:tblInd w:w="108" w:type="dxa"/>
        <w:tblBorders>
          <w:top w:val="single" w:sz="4" w:space="0" w:color="808080"/>
          <w:bottom w:val="single" w:sz="4" w:space="0" w:color="808080"/>
          <w:insideH w:val="single" w:sz="4" w:space="0" w:color="808080"/>
        </w:tblBorders>
        <w:tblLook w:val="04A0" w:firstRow="1" w:lastRow="0" w:firstColumn="1" w:lastColumn="0" w:noHBand="0" w:noVBand="1"/>
        <w:tblCaption w:val="Community Youth Justice Performance Comparison"/>
      </w:tblPr>
      <w:tblGrid>
        <w:gridCol w:w="3906"/>
        <w:gridCol w:w="992"/>
        <w:gridCol w:w="1126"/>
        <w:gridCol w:w="1126"/>
        <w:gridCol w:w="1126"/>
        <w:gridCol w:w="1112"/>
      </w:tblGrid>
      <w:tr w:rsidR="00842638" w:rsidRPr="007E5614" w:rsidTr="00A87AE2">
        <w:trPr>
          <w:cantSplit/>
          <w:tblHeader/>
        </w:trPr>
        <w:tc>
          <w:tcPr>
            <w:tcW w:w="3906" w:type="dxa"/>
            <w:tcBorders>
              <w:top w:val="single" w:sz="4" w:space="0" w:color="808080" w:themeColor="background1" w:themeShade="80"/>
              <w:bottom w:val="single" w:sz="4" w:space="0" w:color="808080" w:themeColor="background1" w:themeShade="80"/>
              <w:right w:val="nil"/>
            </w:tcBorders>
            <w:shd w:val="clear" w:color="auto" w:fill="auto"/>
            <w:vAlign w:val="center"/>
          </w:tcPr>
          <w:p w:rsidR="00842638" w:rsidRPr="007E5614" w:rsidRDefault="00842638" w:rsidP="00A87AE2">
            <w:pPr>
              <w:spacing w:before="60" w:after="60" w:line="240" w:lineRule="auto"/>
              <w:rPr>
                <w:b/>
                <w:sz w:val="18"/>
                <w:szCs w:val="18"/>
              </w:rPr>
            </w:pPr>
            <w:r w:rsidRPr="007E5614">
              <w:rPr>
                <w:b/>
                <w:sz w:val="18"/>
                <w:szCs w:val="18"/>
              </w:rPr>
              <w:t>Performance Measure</w:t>
            </w:r>
          </w:p>
        </w:tc>
        <w:tc>
          <w:tcPr>
            <w:tcW w:w="992"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rsidR="00842638" w:rsidRPr="007E5614" w:rsidRDefault="00842638" w:rsidP="00A87AE2">
            <w:pPr>
              <w:spacing w:before="60" w:after="60" w:line="240" w:lineRule="auto"/>
              <w:jc w:val="right"/>
              <w:rPr>
                <w:b/>
                <w:sz w:val="18"/>
                <w:szCs w:val="18"/>
              </w:rPr>
            </w:pPr>
            <w:r w:rsidRPr="007E5614">
              <w:rPr>
                <w:b/>
                <w:sz w:val="18"/>
                <w:szCs w:val="18"/>
              </w:rPr>
              <w:t>Unit of Measure</w:t>
            </w:r>
          </w:p>
        </w:tc>
        <w:tc>
          <w:tcPr>
            <w:tcW w:w="1126"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rsidR="00842638" w:rsidRPr="007E5614" w:rsidRDefault="00842638" w:rsidP="00A87AE2">
            <w:pPr>
              <w:spacing w:before="60" w:after="60" w:line="240" w:lineRule="auto"/>
              <w:jc w:val="right"/>
              <w:rPr>
                <w:b/>
                <w:sz w:val="18"/>
                <w:szCs w:val="18"/>
              </w:rPr>
            </w:pPr>
            <w:r w:rsidRPr="007E5614">
              <w:rPr>
                <w:b/>
                <w:sz w:val="18"/>
                <w:szCs w:val="18"/>
              </w:rPr>
              <w:t xml:space="preserve">2012-13 </w:t>
            </w:r>
            <w:r w:rsidRPr="007E5614">
              <w:rPr>
                <w:b/>
                <w:sz w:val="18"/>
                <w:szCs w:val="18"/>
              </w:rPr>
              <w:br/>
              <w:t>Actual</w:t>
            </w:r>
          </w:p>
        </w:tc>
        <w:tc>
          <w:tcPr>
            <w:tcW w:w="1126"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rsidR="00842638" w:rsidRPr="007E5614" w:rsidRDefault="00842638" w:rsidP="00A87AE2">
            <w:pPr>
              <w:spacing w:before="60" w:after="60" w:line="240" w:lineRule="auto"/>
              <w:jc w:val="right"/>
              <w:rPr>
                <w:b/>
                <w:sz w:val="18"/>
                <w:szCs w:val="18"/>
              </w:rPr>
            </w:pPr>
            <w:r w:rsidRPr="007E5614">
              <w:rPr>
                <w:b/>
                <w:sz w:val="18"/>
                <w:szCs w:val="18"/>
              </w:rPr>
              <w:t>2013-14 Actual</w:t>
            </w:r>
          </w:p>
        </w:tc>
        <w:tc>
          <w:tcPr>
            <w:tcW w:w="1126"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rsidR="00842638" w:rsidRPr="007E5614" w:rsidRDefault="00842638" w:rsidP="00A87AE2">
            <w:pPr>
              <w:spacing w:before="60" w:after="60" w:line="240" w:lineRule="auto"/>
              <w:jc w:val="right"/>
              <w:rPr>
                <w:b/>
                <w:sz w:val="18"/>
                <w:szCs w:val="18"/>
              </w:rPr>
            </w:pPr>
            <w:r w:rsidRPr="007E5614">
              <w:rPr>
                <w:b/>
                <w:sz w:val="18"/>
                <w:szCs w:val="18"/>
              </w:rPr>
              <w:t>2014-15 Actual</w:t>
            </w:r>
          </w:p>
        </w:tc>
        <w:tc>
          <w:tcPr>
            <w:tcW w:w="1112" w:type="dxa"/>
            <w:tcBorders>
              <w:top w:val="single" w:sz="4" w:space="0" w:color="808080" w:themeColor="background1" w:themeShade="80"/>
              <w:left w:val="nil"/>
              <w:bottom w:val="single" w:sz="4" w:space="0" w:color="808080" w:themeColor="background1" w:themeShade="80"/>
            </w:tcBorders>
            <w:vAlign w:val="center"/>
          </w:tcPr>
          <w:p w:rsidR="00842638" w:rsidRPr="007E5614" w:rsidRDefault="00842638" w:rsidP="00A87AE2">
            <w:pPr>
              <w:spacing w:before="60" w:after="60" w:line="240" w:lineRule="auto"/>
              <w:jc w:val="center"/>
              <w:rPr>
                <w:b/>
                <w:sz w:val="18"/>
                <w:szCs w:val="18"/>
              </w:rPr>
            </w:pPr>
            <w:r w:rsidRPr="007E5614">
              <w:rPr>
                <w:b/>
                <w:sz w:val="18"/>
                <w:szCs w:val="18"/>
              </w:rPr>
              <w:t>2015-16 Actual</w:t>
            </w:r>
          </w:p>
        </w:tc>
      </w:tr>
      <w:tr w:rsidR="00842638" w:rsidRPr="007E5614" w:rsidTr="00A87AE2">
        <w:trPr>
          <w:cantSplit/>
          <w:tblHeader/>
        </w:trPr>
        <w:tc>
          <w:tcPr>
            <w:tcW w:w="3906" w:type="dxa"/>
            <w:vAlign w:val="center"/>
          </w:tcPr>
          <w:p w:rsidR="00842638" w:rsidRPr="007E5614" w:rsidRDefault="00842638" w:rsidP="00A87AE2">
            <w:pPr>
              <w:spacing w:before="60" w:after="60" w:line="240" w:lineRule="auto"/>
              <w:rPr>
                <w:sz w:val="18"/>
                <w:szCs w:val="18"/>
              </w:rPr>
            </w:pPr>
            <w:r w:rsidRPr="007E5614">
              <w:rPr>
                <w:sz w:val="18"/>
                <w:szCs w:val="18"/>
              </w:rPr>
              <w:t>Average daily young people in Community Youth Justice</w:t>
            </w:r>
          </w:p>
        </w:tc>
        <w:tc>
          <w:tcPr>
            <w:tcW w:w="992" w:type="dxa"/>
            <w:vAlign w:val="center"/>
          </w:tcPr>
          <w:p w:rsidR="00842638" w:rsidRPr="007E5614" w:rsidRDefault="00842638" w:rsidP="00A87AE2">
            <w:pPr>
              <w:spacing w:before="60" w:after="60" w:line="240" w:lineRule="auto"/>
              <w:jc w:val="right"/>
              <w:rPr>
                <w:sz w:val="18"/>
                <w:szCs w:val="18"/>
              </w:rPr>
            </w:pPr>
            <w:r w:rsidRPr="007E5614">
              <w:rPr>
                <w:sz w:val="18"/>
                <w:szCs w:val="18"/>
              </w:rPr>
              <w:t>Number</w:t>
            </w:r>
          </w:p>
        </w:tc>
        <w:tc>
          <w:tcPr>
            <w:tcW w:w="1126" w:type="dxa"/>
            <w:vAlign w:val="center"/>
          </w:tcPr>
          <w:p w:rsidR="00842638" w:rsidRPr="007E5614" w:rsidRDefault="00842638" w:rsidP="00A87AE2">
            <w:pPr>
              <w:spacing w:before="60" w:after="60" w:line="240" w:lineRule="auto"/>
              <w:jc w:val="right"/>
              <w:rPr>
                <w:sz w:val="18"/>
                <w:szCs w:val="18"/>
              </w:rPr>
            </w:pPr>
            <w:r w:rsidRPr="007E5614">
              <w:rPr>
                <w:sz w:val="18"/>
                <w:szCs w:val="18"/>
              </w:rPr>
              <w:t>389.7</w:t>
            </w:r>
          </w:p>
        </w:tc>
        <w:tc>
          <w:tcPr>
            <w:tcW w:w="1126" w:type="dxa"/>
            <w:vAlign w:val="center"/>
          </w:tcPr>
          <w:p w:rsidR="00842638" w:rsidRPr="007E5614" w:rsidRDefault="00842638" w:rsidP="00A87AE2">
            <w:pPr>
              <w:spacing w:before="60" w:after="60" w:line="240" w:lineRule="auto"/>
              <w:jc w:val="right"/>
              <w:rPr>
                <w:sz w:val="18"/>
                <w:szCs w:val="18"/>
              </w:rPr>
            </w:pPr>
            <w:r w:rsidRPr="007E5614">
              <w:rPr>
                <w:sz w:val="18"/>
                <w:szCs w:val="18"/>
              </w:rPr>
              <w:t>309.2</w:t>
            </w:r>
          </w:p>
        </w:tc>
        <w:tc>
          <w:tcPr>
            <w:tcW w:w="1126" w:type="dxa"/>
            <w:vAlign w:val="center"/>
          </w:tcPr>
          <w:p w:rsidR="00842638" w:rsidRPr="007E5614" w:rsidRDefault="00842638" w:rsidP="00A87AE2">
            <w:pPr>
              <w:spacing w:before="60" w:after="60" w:line="240" w:lineRule="auto"/>
              <w:jc w:val="right"/>
              <w:rPr>
                <w:sz w:val="18"/>
                <w:szCs w:val="18"/>
              </w:rPr>
            </w:pPr>
            <w:r w:rsidRPr="007E5614">
              <w:rPr>
                <w:sz w:val="18"/>
                <w:szCs w:val="18"/>
              </w:rPr>
              <w:t>242.7</w:t>
            </w:r>
          </w:p>
        </w:tc>
        <w:tc>
          <w:tcPr>
            <w:tcW w:w="1112" w:type="dxa"/>
            <w:vAlign w:val="center"/>
          </w:tcPr>
          <w:p w:rsidR="00842638" w:rsidRPr="007E5614" w:rsidRDefault="00842638" w:rsidP="00A87AE2">
            <w:pPr>
              <w:spacing w:before="60" w:after="60" w:line="240" w:lineRule="auto"/>
              <w:jc w:val="center"/>
              <w:rPr>
                <w:sz w:val="18"/>
                <w:szCs w:val="18"/>
              </w:rPr>
            </w:pPr>
            <w:r w:rsidRPr="007E5614">
              <w:rPr>
                <w:sz w:val="18"/>
                <w:szCs w:val="18"/>
              </w:rPr>
              <w:t>229.5</w:t>
            </w:r>
          </w:p>
        </w:tc>
      </w:tr>
      <w:tr w:rsidR="00842638" w:rsidRPr="007E5614" w:rsidTr="00A87AE2">
        <w:trPr>
          <w:cantSplit/>
          <w:tblHeader/>
        </w:trPr>
        <w:tc>
          <w:tcPr>
            <w:tcW w:w="3906" w:type="dxa"/>
            <w:vAlign w:val="center"/>
          </w:tcPr>
          <w:p w:rsidR="00842638" w:rsidRPr="007E5614" w:rsidRDefault="00842638" w:rsidP="00A87AE2">
            <w:pPr>
              <w:spacing w:before="60" w:after="60" w:line="240" w:lineRule="auto"/>
              <w:rPr>
                <w:sz w:val="18"/>
                <w:szCs w:val="18"/>
              </w:rPr>
            </w:pPr>
            <w:r w:rsidRPr="007E5614">
              <w:rPr>
                <w:sz w:val="18"/>
                <w:szCs w:val="18"/>
              </w:rPr>
              <w:t xml:space="preserve">Distinct number of young people in Community Youth Justice </w:t>
            </w:r>
          </w:p>
        </w:tc>
        <w:tc>
          <w:tcPr>
            <w:tcW w:w="992" w:type="dxa"/>
            <w:vAlign w:val="center"/>
          </w:tcPr>
          <w:p w:rsidR="00842638" w:rsidRPr="007E5614" w:rsidRDefault="00842638" w:rsidP="00A87AE2">
            <w:pPr>
              <w:spacing w:before="60" w:after="60" w:line="240" w:lineRule="auto"/>
              <w:jc w:val="right"/>
              <w:rPr>
                <w:sz w:val="18"/>
                <w:szCs w:val="18"/>
              </w:rPr>
            </w:pPr>
            <w:r w:rsidRPr="007E5614">
              <w:rPr>
                <w:sz w:val="18"/>
                <w:szCs w:val="18"/>
              </w:rPr>
              <w:t>Number</w:t>
            </w:r>
          </w:p>
        </w:tc>
        <w:tc>
          <w:tcPr>
            <w:tcW w:w="1126" w:type="dxa"/>
            <w:vAlign w:val="center"/>
          </w:tcPr>
          <w:p w:rsidR="00842638" w:rsidRPr="007E5614" w:rsidRDefault="00842638" w:rsidP="00A87AE2">
            <w:pPr>
              <w:spacing w:before="60" w:after="60" w:line="240" w:lineRule="auto"/>
              <w:jc w:val="right"/>
              <w:rPr>
                <w:sz w:val="18"/>
                <w:szCs w:val="18"/>
              </w:rPr>
            </w:pPr>
            <w:r w:rsidRPr="007E5614">
              <w:rPr>
                <w:sz w:val="18"/>
                <w:szCs w:val="18"/>
              </w:rPr>
              <w:t>811</w:t>
            </w:r>
          </w:p>
        </w:tc>
        <w:tc>
          <w:tcPr>
            <w:tcW w:w="1126" w:type="dxa"/>
            <w:vAlign w:val="center"/>
          </w:tcPr>
          <w:p w:rsidR="00842638" w:rsidRPr="007E5614" w:rsidRDefault="00842638" w:rsidP="00A87AE2">
            <w:pPr>
              <w:spacing w:before="60" w:after="60" w:line="240" w:lineRule="auto"/>
              <w:jc w:val="right"/>
              <w:rPr>
                <w:sz w:val="18"/>
                <w:szCs w:val="18"/>
              </w:rPr>
            </w:pPr>
            <w:r w:rsidRPr="007E5614">
              <w:rPr>
                <w:sz w:val="18"/>
                <w:szCs w:val="18"/>
              </w:rPr>
              <w:t>643</w:t>
            </w:r>
          </w:p>
        </w:tc>
        <w:tc>
          <w:tcPr>
            <w:tcW w:w="1126" w:type="dxa"/>
            <w:vAlign w:val="center"/>
          </w:tcPr>
          <w:p w:rsidR="00842638" w:rsidRPr="007E5614" w:rsidRDefault="00842638" w:rsidP="00A87AE2">
            <w:pPr>
              <w:spacing w:before="60" w:after="60" w:line="240" w:lineRule="auto"/>
              <w:jc w:val="right"/>
              <w:rPr>
                <w:sz w:val="18"/>
                <w:szCs w:val="18"/>
              </w:rPr>
            </w:pPr>
            <w:r w:rsidRPr="007E5614">
              <w:rPr>
                <w:sz w:val="18"/>
                <w:szCs w:val="18"/>
              </w:rPr>
              <w:t>523</w:t>
            </w:r>
            <w:r w:rsidRPr="007E5614">
              <w:rPr>
                <w:sz w:val="18"/>
                <w:szCs w:val="18"/>
                <w:vertAlign w:val="superscript"/>
              </w:rPr>
              <w:t>1</w:t>
            </w:r>
          </w:p>
        </w:tc>
        <w:tc>
          <w:tcPr>
            <w:tcW w:w="1112" w:type="dxa"/>
            <w:vAlign w:val="center"/>
          </w:tcPr>
          <w:p w:rsidR="00842638" w:rsidRPr="007E5614" w:rsidRDefault="00842638" w:rsidP="00A87AE2">
            <w:pPr>
              <w:spacing w:before="60" w:after="60" w:line="240" w:lineRule="auto"/>
              <w:jc w:val="center"/>
              <w:rPr>
                <w:sz w:val="18"/>
                <w:szCs w:val="18"/>
              </w:rPr>
            </w:pPr>
            <w:r w:rsidRPr="007E5614">
              <w:rPr>
                <w:sz w:val="18"/>
                <w:szCs w:val="18"/>
              </w:rPr>
              <w:t>475</w:t>
            </w:r>
          </w:p>
        </w:tc>
      </w:tr>
      <w:tr w:rsidR="00842638" w:rsidRPr="007E5614" w:rsidTr="00A87AE2">
        <w:trPr>
          <w:cantSplit/>
          <w:tblHeader/>
        </w:trPr>
        <w:tc>
          <w:tcPr>
            <w:tcW w:w="3906" w:type="dxa"/>
            <w:tcBorders>
              <w:bottom w:val="single" w:sz="4" w:space="0" w:color="808080"/>
            </w:tcBorders>
            <w:vAlign w:val="center"/>
          </w:tcPr>
          <w:p w:rsidR="00842638" w:rsidRPr="007E5614" w:rsidRDefault="00842638" w:rsidP="00A87AE2">
            <w:pPr>
              <w:spacing w:before="60" w:after="60" w:line="240" w:lineRule="auto"/>
              <w:rPr>
                <w:sz w:val="18"/>
                <w:szCs w:val="18"/>
              </w:rPr>
            </w:pPr>
            <w:r w:rsidRPr="007E5614">
              <w:rPr>
                <w:sz w:val="18"/>
                <w:szCs w:val="18"/>
              </w:rPr>
              <w:t>Community Service Orders completed before the statutory expiry date</w:t>
            </w:r>
          </w:p>
        </w:tc>
        <w:tc>
          <w:tcPr>
            <w:tcW w:w="992" w:type="dxa"/>
            <w:tcBorders>
              <w:bottom w:val="single" w:sz="4" w:space="0" w:color="808080"/>
            </w:tcBorders>
            <w:vAlign w:val="center"/>
          </w:tcPr>
          <w:p w:rsidR="00842638" w:rsidRPr="007E5614" w:rsidRDefault="00842638" w:rsidP="00A87AE2">
            <w:pPr>
              <w:spacing w:before="60" w:after="60" w:line="240" w:lineRule="auto"/>
              <w:jc w:val="right"/>
              <w:rPr>
                <w:sz w:val="18"/>
                <w:szCs w:val="18"/>
              </w:rPr>
            </w:pPr>
            <w:r w:rsidRPr="007E5614">
              <w:rPr>
                <w:sz w:val="18"/>
                <w:szCs w:val="18"/>
              </w:rPr>
              <w:t>%</w:t>
            </w:r>
          </w:p>
        </w:tc>
        <w:tc>
          <w:tcPr>
            <w:tcW w:w="1126" w:type="dxa"/>
            <w:tcBorders>
              <w:bottom w:val="single" w:sz="4" w:space="0" w:color="808080"/>
            </w:tcBorders>
            <w:vAlign w:val="center"/>
          </w:tcPr>
          <w:p w:rsidR="00842638" w:rsidRPr="007E5614" w:rsidRDefault="00842638" w:rsidP="00A87AE2">
            <w:pPr>
              <w:spacing w:before="60" w:after="60" w:line="240" w:lineRule="auto"/>
              <w:jc w:val="right"/>
              <w:rPr>
                <w:sz w:val="18"/>
                <w:szCs w:val="18"/>
              </w:rPr>
            </w:pPr>
            <w:r w:rsidRPr="007E5614">
              <w:rPr>
                <w:sz w:val="18"/>
                <w:szCs w:val="18"/>
              </w:rPr>
              <w:t>83.8</w:t>
            </w:r>
          </w:p>
        </w:tc>
        <w:tc>
          <w:tcPr>
            <w:tcW w:w="1126" w:type="dxa"/>
            <w:tcBorders>
              <w:bottom w:val="single" w:sz="4" w:space="0" w:color="808080"/>
            </w:tcBorders>
            <w:vAlign w:val="center"/>
          </w:tcPr>
          <w:p w:rsidR="00842638" w:rsidRPr="007E5614" w:rsidRDefault="00842638" w:rsidP="00A87AE2">
            <w:pPr>
              <w:spacing w:before="60" w:after="60" w:line="240" w:lineRule="auto"/>
              <w:jc w:val="right"/>
              <w:rPr>
                <w:sz w:val="18"/>
                <w:szCs w:val="18"/>
              </w:rPr>
            </w:pPr>
            <w:r w:rsidRPr="007E5614">
              <w:rPr>
                <w:sz w:val="18"/>
                <w:szCs w:val="18"/>
              </w:rPr>
              <w:t>92.0</w:t>
            </w:r>
          </w:p>
        </w:tc>
        <w:tc>
          <w:tcPr>
            <w:tcW w:w="1126" w:type="dxa"/>
            <w:tcBorders>
              <w:bottom w:val="single" w:sz="4" w:space="0" w:color="808080"/>
            </w:tcBorders>
            <w:vAlign w:val="center"/>
          </w:tcPr>
          <w:p w:rsidR="00842638" w:rsidRPr="007E5614" w:rsidRDefault="00842638" w:rsidP="00A87AE2">
            <w:pPr>
              <w:spacing w:before="60" w:after="60" w:line="240" w:lineRule="auto"/>
              <w:jc w:val="right"/>
              <w:rPr>
                <w:sz w:val="18"/>
                <w:szCs w:val="18"/>
              </w:rPr>
            </w:pPr>
            <w:r w:rsidRPr="007E5614">
              <w:rPr>
                <w:sz w:val="18"/>
                <w:szCs w:val="18"/>
              </w:rPr>
              <w:t>86.4</w:t>
            </w:r>
            <w:r w:rsidRPr="007E5614">
              <w:rPr>
                <w:sz w:val="18"/>
                <w:szCs w:val="18"/>
                <w:vertAlign w:val="superscript"/>
              </w:rPr>
              <w:t>1</w:t>
            </w:r>
          </w:p>
        </w:tc>
        <w:tc>
          <w:tcPr>
            <w:tcW w:w="1112" w:type="dxa"/>
            <w:tcBorders>
              <w:bottom w:val="single" w:sz="4" w:space="0" w:color="808080"/>
            </w:tcBorders>
            <w:vAlign w:val="center"/>
          </w:tcPr>
          <w:p w:rsidR="00842638" w:rsidRPr="007E5614" w:rsidRDefault="00842638" w:rsidP="00A87AE2">
            <w:pPr>
              <w:spacing w:before="60" w:after="60" w:line="240" w:lineRule="auto"/>
              <w:jc w:val="center"/>
              <w:rPr>
                <w:sz w:val="18"/>
                <w:szCs w:val="18"/>
              </w:rPr>
            </w:pPr>
            <w:r w:rsidRPr="007E5614">
              <w:rPr>
                <w:sz w:val="18"/>
                <w:szCs w:val="18"/>
              </w:rPr>
              <w:t>91.7</w:t>
            </w:r>
          </w:p>
        </w:tc>
      </w:tr>
      <w:tr w:rsidR="00842638" w:rsidRPr="007E5614" w:rsidTr="00A87AE2">
        <w:trPr>
          <w:cantSplit/>
          <w:tblHeader/>
        </w:trPr>
        <w:tc>
          <w:tcPr>
            <w:tcW w:w="3906" w:type="dxa"/>
            <w:tcBorders>
              <w:bottom w:val="single" w:sz="4" w:space="0" w:color="808080"/>
            </w:tcBorders>
            <w:vAlign w:val="center"/>
          </w:tcPr>
          <w:p w:rsidR="00842638" w:rsidRPr="007E5614" w:rsidRDefault="00842638" w:rsidP="00A87AE2">
            <w:pPr>
              <w:spacing w:before="60" w:after="60" w:line="240" w:lineRule="auto"/>
              <w:rPr>
                <w:sz w:val="18"/>
                <w:szCs w:val="18"/>
              </w:rPr>
            </w:pPr>
            <w:r w:rsidRPr="007E5614">
              <w:rPr>
                <w:sz w:val="18"/>
                <w:szCs w:val="18"/>
              </w:rPr>
              <w:t xml:space="preserve">Youth Justice Community Conferences held within six weeks of receipt of referral for conference </w:t>
            </w:r>
          </w:p>
        </w:tc>
        <w:tc>
          <w:tcPr>
            <w:tcW w:w="992" w:type="dxa"/>
            <w:tcBorders>
              <w:bottom w:val="single" w:sz="4" w:space="0" w:color="808080"/>
            </w:tcBorders>
            <w:vAlign w:val="center"/>
          </w:tcPr>
          <w:p w:rsidR="00842638" w:rsidRPr="007E5614" w:rsidRDefault="00842638" w:rsidP="00A87AE2">
            <w:pPr>
              <w:spacing w:before="60" w:after="60" w:line="240" w:lineRule="auto"/>
              <w:jc w:val="right"/>
              <w:rPr>
                <w:sz w:val="18"/>
                <w:szCs w:val="18"/>
              </w:rPr>
            </w:pPr>
            <w:r w:rsidRPr="007E5614">
              <w:rPr>
                <w:sz w:val="18"/>
                <w:szCs w:val="18"/>
              </w:rPr>
              <w:t>%</w:t>
            </w:r>
          </w:p>
        </w:tc>
        <w:tc>
          <w:tcPr>
            <w:tcW w:w="1126" w:type="dxa"/>
            <w:tcBorders>
              <w:bottom w:val="single" w:sz="4" w:space="0" w:color="808080"/>
            </w:tcBorders>
            <w:vAlign w:val="center"/>
          </w:tcPr>
          <w:p w:rsidR="00842638" w:rsidRPr="007E5614" w:rsidRDefault="00842638" w:rsidP="00A87AE2">
            <w:pPr>
              <w:spacing w:before="60" w:after="60" w:line="240" w:lineRule="auto"/>
              <w:jc w:val="right"/>
              <w:rPr>
                <w:sz w:val="18"/>
                <w:szCs w:val="18"/>
              </w:rPr>
            </w:pPr>
            <w:r w:rsidRPr="007E5614">
              <w:rPr>
                <w:sz w:val="18"/>
                <w:szCs w:val="18"/>
              </w:rPr>
              <w:t>86.1</w:t>
            </w:r>
          </w:p>
        </w:tc>
        <w:tc>
          <w:tcPr>
            <w:tcW w:w="1126" w:type="dxa"/>
            <w:tcBorders>
              <w:bottom w:val="single" w:sz="4" w:space="0" w:color="808080"/>
            </w:tcBorders>
            <w:vAlign w:val="center"/>
          </w:tcPr>
          <w:p w:rsidR="00842638" w:rsidRPr="007E5614" w:rsidRDefault="00842638" w:rsidP="00A87AE2">
            <w:pPr>
              <w:spacing w:before="60" w:after="60" w:line="240" w:lineRule="auto"/>
              <w:jc w:val="right"/>
              <w:rPr>
                <w:sz w:val="18"/>
                <w:szCs w:val="18"/>
              </w:rPr>
            </w:pPr>
            <w:r w:rsidRPr="007E5614">
              <w:rPr>
                <w:sz w:val="18"/>
                <w:szCs w:val="18"/>
              </w:rPr>
              <w:t>81.7</w:t>
            </w:r>
          </w:p>
        </w:tc>
        <w:tc>
          <w:tcPr>
            <w:tcW w:w="1126" w:type="dxa"/>
            <w:tcBorders>
              <w:bottom w:val="single" w:sz="4" w:space="0" w:color="808080"/>
            </w:tcBorders>
            <w:vAlign w:val="center"/>
          </w:tcPr>
          <w:p w:rsidR="00842638" w:rsidRPr="007E5614" w:rsidRDefault="00842638" w:rsidP="00A87AE2">
            <w:pPr>
              <w:spacing w:before="60" w:after="60" w:line="240" w:lineRule="auto"/>
              <w:jc w:val="right"/>
              <w:rPr>
                <w:sz w:val="18"/>
                <w:szCs w:val="18"/>
              </w:rPr>
            </w:pPr>
            <w:r w:rsidRPr="007E5614">
              <w:rPr>
                <w:sz w:val="18"/>
                <w:szCs w:val="18"/>
              </w:rPr>
              <w:t>86.2</w:t>
            </w:r>
          </w:p>
        </w:tc>
        <w:tc>
          <w:tcPr>
            <w:tcW w:w="1112" w:type="dxa"/>
            <w:tcBorders>
              <w:bottom w:val="single" w:sz="4" w:space="0" w:color="808080"/>
            </w:tcBorders>
            <w:vAlign w:val="center"/>
          </w:tcPr>
          <w:p w:rsidR="00842638" w:rsidRPr="007E5614" w:rsidRDefault="00842638" w:rsidP="00A87AE2">
            <w:pPr>
              <w:spacing w:before="60" w:after="60" w:line="240" w:lineRule="auto"/>
              <w:jc w:val="center"/>
              <w:rPr>
                <w:sz w:val="18"/>
                <w:szCs w:val="18"/>
              </w:rPr>
            </w:pPr>
            <w:r w:rsidRPr="007E5614">
              <w:rPr>
                <w:sz w:val="18"/>
                <w:szCs w:val="18"/>
              </w:rPr>
              <w:t>84.1</w:t>
            </w:r>
          </w:p>
        </w:tc>
      </w:tr>
    </w:tbl>
    <w:p w:rsidR="00842638" w:rsidRPr="00842638" w:rsidRDefault="00842638" w:rsidP="00842638">
      <w:pPr>
        <w:pStyle w:val="ListNumber2"/>
        <w:keepLines/>
        <w:widowControl w:val="0"/>
        <w:tabs>
          <w:tab w:val="clear" w:pos="567"/>
          <w:tab w:val="left" w:pos="601"/>
        </w:tabs>
        <w:spacing w:before="120" w:after="120" w:line="240" w:lineRule="auto"/>
        <w:rPr>
          <w:sz w:val="16"/>
          <w:szCs w:val="16"/>
          <w:lang w:bidi="en-US"/>
        </w:rPr>
      </w:pPr>
      <w:r w:rsidRPr="00842638">
        <w:rPr>
          <w:sz w:val="16"/>
          <w:szCs w:val="16"/>
          <w:lang w:bidi="en-US"/>
        </w:rPr>
        <w:t xml:space="preserve">Note: </w:t>
      </w:r>
    </w:p>
    <w:p w:rsidR="00842638" w:rsidRPr="00842638" w:rsidRDefault="00842638" w:rsidP="00842638">
      <w:pPr>
        <w:pStyle w:val="Notes"/>
        <w:numPr>
          <w:ilvl w:val="0"/>
          <w:numId w:val="23"/>
        </w:numPr>
        <w:spacing w:after="60"/>
        <w:rPr>
          <w:sz w:val="16"/>
          <w:szCs w:val="16"/>
        </w:rPr>
        <w:sectPr w:rsidR="00842638" w:rsidRPr="00842638" w:rsidSect="00842638">
          <w:pgSz w:w="11906" w:h="16838"/>
          <w:pgMar w:top="851" w:right="1274" w:bottom="567" w:left="1440" w:header="708" w:footer="708" w:gutter="0"/>
          <w:cols w:space="708"/>
          <w:docGrid w:linePitch="360"/>
        </w:sectPr>
      </w:pPr>
      <w:r w:rsidRPr="00842638">
        <w:rPr>
          <w:rFonts w:ascii="GillSans Light" w:hAnsi="GillSans Light"/>
          <w:sz w:val="16"/>
          <w:szCs w:val="16"/>
        </w:rPr>
        <w:t>Due to the lag effect from continual entry of data into information systems, the data reported for 2014-15 may have been retrospectively updated and therefore differ from that reported in the 2014-15 DHHS Annual Report.</w:t>
      </w:r>
    </w:p>
    <w:p w:rsidR="00842638" w:rsidRDefault="00842638" w:rsidP="00842638"/>
    <w:p w:rsidR="00842638" w:rsidRPr="007E5614" w:rsidRDefault="00842638" w:rsidP="00842638">
      <w:r w:rsidRPr="007E5614">
        <w:t>A continuing decline in the reported number of Custodial Youth Justice clients has been observed in recent years. The average daily number of young people in detention fell again during 2015-16 to 9.2, from 10.3 in 2014-15.</w:t>
      </w:r>
      <w:r>
        <w:br w:type="column"/>
      </w:r>
      <w:r w:rsidRPr="007E5614">
        <w:lastRenderedPageBreak/>
        <w:t xml:space="preserve">  </w:t>
      </w:r>
    </w:p>
    <w:p w:rsidR="00842638" w:rsidRDefault="00842638" w:rsidP="00842638">
      <w:r w:rsidRPr="007E5614">
        <w:t xml:space="preserve">Similarly, the average daily number of people in Community Youth Justice has continued to decrease, falling from 242.7 in 2014-15 to 229.5 in 2015-16. </w:t>
      </w:r>
    </w:p>
    <w:p w:rsidR="00842638" w:rsidRDefault="00842638" w:rsidP="00842638"/>
    <w:p w:rsidR="00842638" w:rsidRDefault="00842638" w:rsidP="00842638">
      <w:pPr>
        <w:sectPr w:rsidR="00842638" w:rsidSect="00842638">
          <w:type w:val="continuous"/>
          <w:pgSz w:w="11906" w:h="16838"/>
          <w:pgMar w:top="851" w:right="1274" w:bottom="567" w:left="1440" w:header="708" w:footer="708" w:gutter="0"/>
          <w:cols w:num="2" w:space="708"/>
          <w:docGrid w:linePitch="360"/>
        </w:sectPr>
      </w:pPr>
    </w:p>
    <w:p w:rsidR="00842638" w:rsidRPr="007E5614" w:rsidRDefault="00842638" w:rsidP="00DF724A">
      <w:pPr>
        <w:pStyle w:val="Heading3"/>
      </w:pPr>
      <w:r w:rsidRPr="007E5614">
        <w:lastRenderedPageBreak/>
        <w:t>System Management</w:t>
      </w:r>
    </w:p>
    <w:p w:rsidR="00842638" w:rsidRDefault="00842638" w:rsidP="00DF724A">
      <w:pPr>
        <w:pStyle w:val="Heading3"/>
        <w:sectPr w:rsidR="00842638" w:rsidSect="00842638">
          <w:pgSz w:w="11906" w:h="16838"/>
          <w:pgMar w:top="851" w:right="1274" w:bottom="567" w:left="1440" w:header="708" w:footer="708" w:gutter="0"/>
          <w:cols w:num="2" w:space="708"/>
          <w:docGrid w:linePitch="360"/>
        </w:sectPr>
      </w:pPr>
    </w:p>
    <w:p w:rsidR="00842638" w:rsidRPr="00842638" w:rsidRDefault="00842638" w:rsidP="00DF724A">
      <w:pPr>
        <w:pStyle w:val="Heading4"/>
        <w:sectPr w:rsidR="00842638" w:rsidRPr="00842638" w:rsidSect="00A87AE2">
          <w:type w:val="continuous"/>
          <w:pgSz w:w="11906" w:h="16838"/>
          <w:pgMar w:top="1440" w:right="1440" w:bottom="1440" w:left="1440" w:header="708" w:footer="708" w:gutter="0"/>
          <w:cols w:space="708"/>
          <w:docGrid w:linePitch="360"/>
        </w:sectPr>
      </w:pPr>
      <w:r w:rsidRPr="00842638">
        <w:lastRenderedPageBreak/>
        <w:t>Health System Management</w:t>
      </w:r>
    </w:p>
    <w:tbl>
      <w:tblPr>
        <w:tblW w:w="8918" w:type="dxa"/>
        <w:tblInd w:w="108" w:type="dxa"/>
        <w:tblBorders>
          <w:top w:val="single" w:sz="2" w:space="0" w:color="A6A6A6"/>
          <w:bottom w:val="single" w:sz="2" w:space="0" w:color="A6A6A6"/>
          <w:insideH w:val="single" w:sz="2" w:space="0" w:color="A6A6A6"/>
        </w:tblBorders>
        <w:tblLayout w:type="fixed"/>
        <w:tblLook w:val="04A0" w:firstRow="1" w:lastRow="0" w:firstColumn="1" w:lastColumn="0" w:noHBand="0" w:noVBand="1"/>
        <w:tblCaption w:val="Health System Management Performance Comparison"/>
      </w:tblPr>
      <w:tblGrid>
        <w:gridCol w:w="3261"/>
        <w:gridCol w:w="1134"/>
        <w:gridCol w:w="1134"/>
        <w:gridCol w:w="1134"/>
        <w:gridCol w:w="1110"/>
        <w:gridCol w:w="1145"/>
      </w:tblGrid>
      <w:tr w:rsidR="00842638" w:rsidRPr="007E5614" w:rsidTr="00A87AE2">
        <w:tc>
          <w:tcPr>
            <w:tcW w:w="3261" w:type="dxa"/>
            <w:vAlign w:val="center"/>
          </w:tcPr>
          <w:p w:rsidR="00842638" w:rsidRPr="007E5614" w:rsidRDefault="00842638" w:rsidP="00A87AE2">
            <w:pPr>
              <w:spacing w:before="60" w:after="60" w:line="240" w:lineRule="auto"/>
              <w:rPr>
                <w:b/>
                <w:sz w:val="18"/>
                <w:szCs w:val="18"/>
              </w:rPr>
            </w:pPr>
            <w:r w:rsidRPr="007E5614">
              <w:rPr>
                <w:b/>
                <w:sz w:val="18"/>
                <w:szCs w:val="18"/>
              </w:rPr>
              <w:lastRenderedPageBreak/>
              <w:t>Performance Measure</w:t>
            </w:r>
          </w:p>
        </w:tc>
        <w:tc>
          <w:tcPr>
            <w:tcW w:w="1134" w:type="dxa"/>
          </w:tcPr>
          <w:p w:rsidR="00842638" w:rsidRPr="007E5614" w:rsidRDefault="00842638" w:rsidP="00A87AE2">
            <w:pPr>
              <w:spacing w:before="60" w:after="60" w:line="240" w:lineRule="auto"/>
              <w:jc w:val="right"/>
              <w:rPr>
                <w:b/>
                <w:sz w:val="18"/>
                <w:szCs w:val="18"/>
              </w:rPr>
            </w:pPr>
            <w:r w:rsidRPr="007E5614">
              <w:rPr>
                <w:b/>
                <w:sz w:val="18"/>
                <w:szCs w:val="18"/>
              </w:rPr>
              <w:t>Unit of Measure</w:t>
            </w:r>
          </w:p>
        </w:tc>
        <w:tc>
          <w:tcPr>
            <w:tcW w:w="1134" w:type="dxa"/>
          </w:tcPr>
          <w:p w:rsidR="00842638" w:rsidRPr="007E5614" w:rsidRDefault="00842638" w:rsidP="00A87AE2">
            <w:pPr>
              <w:spacing w:before="60" w:after="60" w:line="240" w:lineRule="auto"/>
              <w:jc w:val="right"/>
              <w:rPr>
                <w:b/>
                <w:sz w:val="18"/>
                <w:szCs w:val="18"/>
              </w:rPr>
            </w:pPr>
            <w:r w:rsidRPr="007E5614">
              <w:rPr>
                <w:b/>
                <w:sz w:val="18"/>
                <w:szCs w:val="18"/>
              </w:rPr>
              <w:t>2012-13</w:t>
            </w:r>
          </w:p>
          <w:p w:rsidR="00842638" w:rsidRPr="007E5614" w:rsidRDefault="00842638" w:rsidP="00A87AE2">
            <w:pPr>
              <w:spacing w:before="60" w:after="60" w:line="240" w:lineRule="auto"/>
              <w:jc w:val="right"/>
              <w:rPr>
                <w:b/>
                <w:sz w:val="18"/>
                <w:szCs w:val="18"/>
              </w:rPr>
            </w:pPr>
            <w:r w:rsidRPr="007E5614">
              <w:rPr>
                <w:b/>
                <w:sz w:val="18"/>
                <w:szCs w:val="18"/>
              </w:rPr>
              <w:t>Actual</w:t>
            </w:r>
          </w:p>
        </w:tc>
        <w:tc>
          <w:tcPr>
            <w:tcW w:w="1134" w:type="dxa"/>
          </w:tcPr>
          <w:p w:rsidR="00842638" w:rsidRPr="007E5614" w:rsidRDefault="00842638" w:rsidP="00A87AE2">
            <w:pPr>
              <w:spacing w:before="60" w:after="60" w:line="240" w:lineRule="auto"/>
              <w:jc w:val="right"/>
              <w:rPr>
                <w:b/>
                <w:sz w:val="18"/>
                <w:szCs w:val="18"/>
              </w:rPr>
            </w:pPr>
            <w:r w:rsidRPr="007E5614">
              <w:rPr>
                <w:b/>
                <w:sz w:val="18"/>
                <w:szCs w:val="18"/>
              </w:rPr>
              <w:t>2013-14</w:t>
            </w:r>
          </w:p>
          <w:p w:rsidR="00842638" w:rsidRPr="007E5614" w:rsidRDefault="00842638" w:rsidP="00A87AE2">
            <w:pPr>
              <w:spacing w:before="60" w:after="60" w:line="240" w:lineRule="auto"/>
              <w:jc w:val="right"/>
              <w:rPr>
                <w:b/>
                <w:sz w:val="18"/>
                <w:szCs w:val="18"/>
              </w:rPr>
            </w:pPr>
            <w:r w:rsidRPr="007E5614">
              <w:rPr>
                <w:b/>
                <w:sz w:val="18"/>
                <w:szCs w:val="18"/>
              </w:rPr>
              <w:t>Actual</w:t>
            </w:r>
          </w:p>
        </w:tc>
        <w:tc>
          <w:tcPr>
            <w:tcW w:w="1110" w:type="dxa"/>
          </w:tcPr>
          <w:p w:rsidR="00842638" w:rsidRPr="007E5614" w:rsidRDefault="00842638" w:rsidP="00A87AE2">
            <w:pPr>
              <w:spacing w:before="60" w:after="60" w:line="240" w:lineRule="auto"/>
              <w:jc w:val="right"/>
              <w:rPr>
                <w:b/>
                <w:sz w:val="18"/>
                <w:szCs w:val="18"/>
              </w:rPr>
            </w:pPr>
            <w:r w:rsidRPr="007E5614">
              <w:rPr>
                <w:b/>
                <w:sz w:val="18"/>
                <w:szCs w:val="18"/>
              </w:rPr>
              <w:t>2014-15</w:t>
            </w:r>
          </w:p>
          <w:p w:rsidR="00842638" w:rsidRPr="007E5614" w:rsidRDefault="00842638" w:rsidP="00A87AE2">
            <w:pPr>
              <w:spacing w:before="60" w:after="60" w:line="240" w:lineRule="auto"/>
              <w:jc w:val="right"/>
              <w:rPr>
                <w:b/>
                <w:sz w:val="18"/>
                <w:szCs w:val="18"/>
              </w:rPr>
            </w:pPr>
            <w:r w:rsidRPr="007E5614">
              <w:rPr>
                <w:b/>
                <w:sz w:val="18"/>
                <w:szCs w:val="18"/>
              </w:rPr>
              <w:t>Actual</w:t>
            </w:r>
          </w:p>
        </w:tc>
        <w:tc>
          <w:tcPr>
            <w:tcW w:w="1145" w:type="dxa"/>
          </w:tcPr>
          <w:p w:rsidR="00842638" w:rsidRPr="007E5614" w:rsidRDefault="00842638" w:rsidP="00A87AE2">
            <w:pPr>
              <w:spacing w:before="60" w:after="60" w:line="240" w:lineRule="auto"/>
              <w:jc w:val="right"/>
              <w:rPr>
                <w:b/>
                <w:sz w:val="18"/>
                <w:szCs w:val="18"/>
              </w:rPr>
            </w:pPr>
            <w:r w:rsidRPr="007E5614">
              <w:rPr>
                <w:b/>
                <w:sz w:val="18"/>
                <w:szCs w:val="18"/>
              </w:rPr>
              <w:t>2015-16 Actual</w:t>
            </w:r>
          </w:p>
        </w:tc>
      </w:tr>
      <w:tr w:rsidR="00842638" w:rsidRPr="007E5614" w:rsidTr="00A87AE2">
        <w:tc>
          <w:tcPr>
            <w:tcW w:w="3261" w:type="dxa"/>
            <w:vAlign w:val="center"/>
          </w:tcPr>
          <w:p w:rsidR="00842638" w:rsidRPr="007E5614" w:rsidRDefault="00842638" w:rsidP="00A87AE2">
            <w:pPr>
              <w:pStyle w:val="Table-AnnualReport"/>
              <w:spacing w:line="240" w:lineRule="atLeast"/>
            </w:pPr>
            <w:r w:rsidRPr="007E5614">
              <w:t>Implementation of Government reform agenda goals achieved within published timeframe</w:t>
            </w:r>
            <w:r w:rsidRPr="007E5614">
              <w:rPr>
                <w:vertAlign w:val="superscript"/>
              </w:rPr>
              <w:t>1</w:t>
            </w:r>
          </w:p>
        </w:tc>
        <w:tc>
          <w:tcPr>
            <w:tcW w:w="1134" w:type="dxa"/>
            <w:vAlign w:val="center"/>
          </w:tcPr>
          <w:p w:rsidR="00842638" w:rsidRPr="007E5614" w:rsidRDefault="00842638" w:rsidP="00A87AE2">
            <w:pPr>
              <w:pStyle w:val="Table-AnnualReport"/>
              <w:spacing w:line="240" w:lineRule="atLeast"/>
              <w:jc w:val="right"/>
            </w:pPr>
            <w:r w:rsidRPr="007E5614">
              <w:t>%</w:t>
            </w:r>
          </w:p>
        </w:tc>
        <w:tc>
          <w:tcPr>
            <w:tcW w:w="1134" w:type="dxa"/>
            <w:vAlign w:val="center"/>
          </w:tcPr>
          <w:p w:rsidR="00842638" w:rsidRPr="007E5614" w:rsidRDefault="00842638" w:rsidP="00A87AE2">
            <w:pPr>
              <w:pStyle w:val="Table-AnnualReport"/>
              <w:spacing w:line="240" w:lineRule="atLeast"/>
              <w:jc w:val="right"/>
            </w:pPr>
            <w:r w:rsidRPr="007E5614">
              <w:t>N/A</w:t>
            </w:r>
          </w:p>
        </w:tc>
        <w:tc>
          <w:tcPr>
            <w:tcW w:w="1134" w:type="dxa"/>
            <w:vAlign w:val="center"/>
          </w:tcPr>
          <w:p w:rsidR="00842638" w:rsidRPr="007E5614" w:rsidRDefault="00842638" w:rsidP="00A87AE2">
            <w:pPr>
              <w:pStyle w:val="Table-AnnualReport"/>
              <w:spacing w:line="240" w:lineRule="atLeast"/>
              <w:jc w:val="right"/>
            </w:pPr>
            <w:r w:rsidRPr="007E5614">
              <w:t>N/A</w:t>
            </w:r>
          </w:p>
        </w:tc>
        <w:tc>
          <w:tcPr>
            <w:tcW w:w="1110" w:type="dxa"/>
            <w:vAlign w:val="center"/>
          </w:tcPr>
          <w:p w:rsidR="00842638" w:rsidRPr="007E5614" w:rsidRDefault="00842638" w:rsidP="00A87AE2">
            <w:pPr>
              <w:pStyle w:val="Table-AnnualReport"/>
              <w:spacing w:line="240" w:lineRule="atLeast"/>
              <w:jc w:val="right"/>
            </w:pPr>
            <w:r w:rsidRPr="007E5614">
              <w:t>100</w:t>
            </w:r>
          </w:p>
        </w:tc>
        <w:tc>
          <w:tcPr>
            <w:tcW w:w="1145" w:type="dxa"/>
            <w:vAlign w:val="center"/>
          </w:tcPr>
          <w:p w:rsidR="00842638" w:rsidRPr="007E5614" w:rsidRDefault="00842638" w:rsidP="00A87AE2">
            <w:pPr>
              <w:pStyle w:val="Table-AnnualReport"/>
              <w:spacing w:line="240" w:lineRule="atLeast"/>
              <w:jc w:val="right"/>
            </w:pPr>
            <w:r w:rsidRPr="007E5614">
              <w:t>75</w:t>
            </w:r>
            <w:r w:rsidRPr="007E5614">
              <w:rPr>
                <w:vertAlign w:val="superscript"/>
              </w:rPr>
              <w:t>2</w:t>
            </w:r>
          </w:p>
        </w:tc>
      </w:tr>
      <w:tr w:rsidR="00842638" w:rsidRPr="007E5614" w:rsidTr="00A87AE2">
        <w:tc>
          <w:tcPr>
            <w:tcW w:w="3261" w:type="dxa"/>
            <w:vAlign w:val="center"/>
          </w:tcPr>
          <w:p w:rsidR="00842638" w:rsidRPr="007E5614" w:rsidRDefault="00842638" w:rsidP="00A87AE2">
            <w:pPr>
              <w:pStyle w:val="Table-AnnualReport"/>
              <w:spacing w:line="240" w:lineRule="atLeast"/>
            </w:pPr>
            <w:r w:rsidRPr="007E5614">
              <w:t>Service Agreements developed and administered in accordance with the THO Act, and policy settings endorsed by the Minister for Health</w:t>
            </w:r>
          </w:p>
        </w:tc>
        <w:tc>
          <w:tcPr>
            <w:tcW w:w="1134" w:type="dxa"/>
            <w:vAlign w:val="center"/>
          </w:tcPr>
          <w:p w:rsidR="00842638" w:rsidRPr="007E5614" w:rsidRDefault="00842638" w:rsidP="00A87AE2">
            <w:pPr>
              <w:pStyle w:val="Table-AnnualReport"/>
              <w:spacing w:line="240" w:lineRule="atLeast"/>
              <w:jc w:val="right"/>
            </w:pPr>
            <w:r w:rsidRPr="007E5614">
              <w:t>Number</w:t>
            </w:r>
          </w:p>
        </w:tc>
        <w:tc>
          <w:tcPr>
            <w:tcW w:w="1134" w:type="dxa"/>
            <w:vAlign w:val="center"/>
          </w:tcPr>
          <w:p w:rsidR="00842638" w:rsidRPr="007E5614" w:rsidRDefault="00842638" w:rsidP="00A87AE2">
            <w:pPr>
              <w:pStyle w:val="Table-AnnualReport"/>
              <w:spacing w:line="240" w:lineRule="atLeast"/>
              <w:jc w:val="right"/>
            </w:pPr>
            <w:r w:rsidRPr="007E5614">
              <w:t>3</w:t>
            </w:r>
          </w:p>
        </w:tc>
        <w:tc>
          <w:tcPr>
            <w:tcW w:w="1134" w:type="dxa"/>
            <w:vAlign w:val="center"/>
          </w:tcPr>
          <w:p w:rsidR="00842638" w:rsidRPr="007E5614" w:rsidRDefault="00842638" w:rsidP="00A87AE2">
            <w:pPr>
              <w:pStyle w:val="Table-AnnualReport"/>
              <w:spacing w:line="240" w:lineRule="atLeast"/>
              <w:jc w:val="right"/>
            </w:pPr>
            <w:r w:rsidRPr="007E5614">
              <w:t>3</w:t>
            </w:r>
          </w:p>
        </w:tc>
        <w:tc>
          <w:tcPr>
            <w:tcW w:w="1110" w:type="dxa"/>
            <w:vAlign w:val="center"/>
          </w:tcPr>
          <w:p w:rsidR="00842638" w:rsidRPr="007E5614" w:rsidRDefault="00842638" w:rsidP="00A87AE2">
            <w:pPr>
              <w:pStyle w:val="Table-AnnualReport"/>
              <w:spacing w:line="240" w:lineRule="atLeast"/>
              <w:jc w:val="right"/>
            </w:pPr>
            <w:r w:rsidRPr="007E5614">
              <w:t>3</w:t>
            </w:r>
          </w:p>
        </w:tc>
        <w:tc>
          <w:tcPr>
            <w:tcW w:w="1145" w:type="dxa"/>
            <w:vAlign w:val="center"/>
          </w:tcPr>
          <w:p w:rsidR="00842638" w:rsidRPr="007E5614" w:rsidRDefault="00842638" w:rsidP="00A87AE2">
            <w:pPr>
              <w:pStyle w:val="Table-AnnualReport"/>
              <w:spacing w:line="240" w:lineRule="atLeast"/>
              <w:jc w:val="right"/>
            </w:pPr>
            <w:r w:rsidRPr="007E5614">
              <w:t>1</w:t>
            </w:r>
            <w:r w:rsidRPr="007E5614">
              <w:rPr>
                <w:vertAlign w:val="superscript"/>
              </w:rPr>
              <w:t>3</w:t>
            </w:r>
          </w:p>
        </w:tc>
      </w:tr>
    </w:tbl>
    <w:p w:rsidR="00842638" w:rsidRPr="00A87AE2" w:rsidRDefault="00842638" w:rsidP="00842638">
      <w:pPr>
        <w:pStyle w:val="Notes"/>
        <w:numPr>
          <w:ilvl w:val="0"/>
          <w:numId w:val="0"/>
        </w:numPr>
        <w:spacing w:before="60" w:after="60"/>
        <w:ind w:left="284" w:hanging="284"/>
        <w:jc w:val="left"/>
        <w:rPr>
          <w:rFonts w:ascii="Gill Sans MT" w:eastAsia="Times New Roman" w:hAnsi="Gill Sans MT"/>
          <w:sz w:val="16"/>
          <w:szCs w:val="16"/>
        </w:rPr>
      </w:pPr>
      <w:r w:rsidRPr="00A87AE2">
        <w:rPr>
          <w:rFonts w:ascii="Gill Sans MT" w:eastAsia="Times New Roman" w:hAnsi="Gill Sans MT"/>
          <w:sz w:val="16"/>
          <w:szCs w:val="16"/>
        </w:rPr>
        <w:t>Notes:</w:t>
      </w:r>
    </w:p>
    <w:p w:rsidR="00842638" w:rsidRPr="00A87AE2" w:rsidRDefault="00842638" w:rsidP="00842638">
      <w:pPr>
        <w:pStyle w:val="Notes"/>
        <w:numPr>
          <w:ilvl w:val="0"/>
          <w:numId w:val="24"/>
        </w:numPr>
        <w:spacing w:after="60"/>
        <w:rPr>
          <w:rFonts w:ascii="Gill Sans MT" w:hAnsi="Gill Sans MT"/>
          <w:sz w:val="16"/>
          <w:szCs w:val="16"/>
        </w:rPr>
      </w:pPr>
      <w:r w:rsidRPr="00A87AE2">
        <w:rPr>
          <w:rFonts w:ascii="Gill Sans MT" w:hAnsi="Gill Sans MT"/>
          <w:sz w:val="16"/>
          <w:szCs w:val="16"/>
        </w:rPr>
        <w:t>This performance measure was introduced in the 2014-15 Budget and, as such, prior year actuals are not available for this measure.</w:t>
      </w:r>
    </w:p>
    <w:p w:rsidR="00842638" w:rsidRPr="00A87AE2" w:rsidRDefault="00842638" w:rsidP="00842638">
      <w:pPr>
        <w:pStyle w:val="Notes"/>
        <w:numPr>
          <w:ilvl w:val="0"/>
          <w:numId w:val="24"/>
        </w:numPr>
        <w:spacing w:after="60"/>
        <w:rPr>
          <w:rFonts w:ascii="Gill Sans MT" w:hAnsi="Gill Sans MT"/>
          <w:sz w:val="16"/>
          <w:szCs w:val="16"/>
        </w:rPr>
      </w:pPr>
      <w:r w:rsidRPr="00A87AE2">
        <w:rPr>
          <w:rFonts w:ascii="Gill Sans MT" w:hAnsi="Gill Sans MT"/>
          <w:sz w:val="16"/>
          <w:szCs w:val="16"/>
        </w:rPr>
        <w:t xml:space="preserve">The health reform goals are those specified in the Government’s 365 Day Plan and Agenda 2016. The target of 100 per cent was not achieved due to timeframes regarding the demolition of ‘B Block’ and ‘B Fan’ as part of the RHH Redevelopment. </w:t>
      </w:r>
    </w:p>
    <w:p w:rsidR="00842638" w:rsidRPr="00A87AE2" w:rsidRDefault="00842638" w:rsidP="00842638">
      <w:pPr>
        <w:pStyle w:val="Notes"/>
        <w:numPr>
          <w:ilvl w:val="0"/>
          <w:numId w:val="24"/>
        </w:numPr>
        <w:spacing w:after="60"/>
        <w:rPr>
          <w:rFonts w:ascii="Gill Sans MT" w:eastAsia="Times New Roman" w:hAnsi="Gill Sans MT"/>
          <w:sz w:val="16"/>
          <w:szCs w:val="16"/>
        </w:rPr>
      </w:pPr>
      <w:r w:rsidRPr="00A87AE2">
        <w:rPr>
          <w:rFonts w:ascii="Gill Sans MT" w:hAnsi="Gill Sans MT"/>
          <w:sz w:val="16"/>
          <w:szCs w:val="16"/>
        </w:rPr>
        <w:t>One Service Agreement was required in 2015-16 due to the establishment of the single THS on 1 July 2015.</w:t>
      </w:r>
    </w:p>
    <w:p w:rsidR="00A87AE2" w:rsidRDefault="00A87AE2" w:rsidP="00A87AE2">
      <w:pPr>
        <w:pStyle w:val="Notes"/>
        <w:numPr>
          <w:ilvl w:val="0"/>
          <w:numId w:val="0"/>
        </w:numPr>
        <w:spacing w:after="60"/>
        <w:ind w:left="283" w:hanging="283"/>
        <w:rPr>
          <w:rFonts w:ascii="Gill Sans MT" w:eastAsia="Times New Roman" w:hAnsi="Gill Sans MT"/>
          <w:sz w:val="16"/>
          <w:szCs w:val="16"/>
        </w:rPr>
        <w:sectPr w:rsidR="00A87AE2" w:rsidSect="00842638">
          <w:type w:val="continuous"/>
          <w:pgSz w:w="11906" w:h="16838"/>
          <w:pgMar w:top="851" w:right="1274" w:bottom="567" w:left="1440" w:header="708" w:footer="708" w:gutter="0"/>
          <w:cols w:space="708"/>
          <w:docGrid w:linePitch="360"/>
        </w:sectPr>
      </w:pPr>
    </w:p>
    <w:p w:rsidR="00A87AE2" w:rsidRPr="007E5614" w:rsidRDefault="00A87AE2" w:rsidP="00A87AE2">
      <w:pPr>
        <w:pStyle w:val="Heading4"/>
      </w:pPr>
      <w:r w:rsidRPr="007E5614">
        <w:lastRenderedPageBreak/>
        <w:t>Patients First Initiative</w:t>
      </w:r>
    </w:p>
    <w:p w:rsidR="00A87AE2" w:rsidRPr="007E5614" w:rsidRDefault="00A87AE2" w:rsidP="00A87AE2">
      <w:r w:rsidRPr="007E5614">
        <w:t>In March 2016, following a directive from the Minister for Health, the Secretary and the THS CEO jointly reviewed patient flow issues at the RHH and Launceston General Hospital (LGH).</w:t>
      </w:r>
    </w:p>
    <w:p w:rsidR="00A87AE2" w:rsidRPr="007E5614" w:rsidRDefault="00A87AE2" w:rsidP="00A87AE2">
      <w:r w:rsidRPr="007E5614">
        <w:t xml:space="preserve">A review report was provided to the Minister, with the 19 recommendations being accepted by Government and resulting in the </w:t>
      </w:r>
      <w:r w:rsidRPr="007E5614">
        <w:rPr>
          <w:i/>
        </w:rPr>
        <w:t>Patients First</w:t>
      </w:r>
      <w:r w:rsidRPr="007E5614">
        <w:t xml:space="preserve"> initiative, announced by the Minister on</w:t>
      </w:r>
      <w:r>
        <w:t xml:space="preserve"> 5 </w:t>
      </w:r>
      <w:r w:rsidRPr="007E5614">
        <w:t xml:space="preserve">April 2016. </w:t>
      </w:r>
    </w:p>
    <w:p w:rsidR="00A87AE2" w:rsidRPr="007E5614" w:rsidRDefault="00A87AE2" w:rsidP="00A87AE2">
      <w:r w:rsidRPr="007E5614">
        <w:t xml:space="preserve">There are 19 actions outlined in the </w:t>
      </w:r>
      <w:r w:rsidRPr="007E5614">
        <w:rPr>
          <w:i/>
        </w:rPr>
        <w:t xml:space="preserve">Patients First </w:t>
      </w:r>
      <w:r w:rsidRPr="007E5614">
        <w:t>initiative to manage demand in the emergency departments and improve whole-of-hospital patient flow at the RHH and LGH. DHHS is leading work on Actions 11 (Connecting patients to bulk billing GPs) and 13 (Enhanced role of paramedics), with the THS responsible for the remaining initiatives.</w:t>
      </w:r>
    </w:p>
    <w:p w:rsidR="00A87AE2" w:rsidRPr="007E5614" w:rsidRDefault="00A87AE2" w:rsidP="00A87AE2">
      <w:pPr>
        <w:pStyle w:val="Heading4"/>
      </w:pPr>
      <w:r w:rsidRPr="007E5614">
        <w:t>THS Service Agreement 2015-16</w:t>
      </w:r>
    </w:p>
    <w:p w:rsidR="00A87AE2" w:rsidRPr="007E5614" w:rsidRDefault="00A87AE2" w:rsidP="00A87AE2">
      <w:pPr>
        <w:rPr>
          <w:rFonts w:eastAsia="Calibri"/>
        </w:rPr>
      </w:pPr>
      <w:r w:rsidRPr="007E5614">
        <w:rPr>
          <w:rFonts w:eastAsia="Calibri"/>
        </w:rPr>
        <w:t xml:space="preserve">The 2015-16 financial </w:t>
      </w:r>
      <w:proofErr w:type="gramStart"/>
      <w:r w:rsidRPr="007E5614">
        <w:rPr>
          <w:rFonts w:eastAsia="Calibri"/>
        </w:rPr>
        <w:t>year</w:t>
      </w:r>
      <w:proofErr w:type="gramEnd"/>
      <w:r w:rsidRPr="007E5614">
        <w:rPr>
          <w:rFonts w:eastAsia="Calibri"/>
        </w:rPr>
        <w:t xml:space="preserve"> was the first year of operation of the single THS, following the amalgamation of the three </w:t>
      </w:r>
      <w:proofErr w:type="spellStart"/>
      <w:r w:rsidRPr="007E5614">
        <w:rPr>
          <w:rFonts w:eastAsia="Calibri"/>
        </w:rPr>
        <w:t>THOs.</w:t>
      </w:r>
      <w:proofErr w:type="spellEnd"/>
    </w:p>
    <w:p w:rsidR="00A87AE2" w:rsidRPr="007E5614" w:rsidRDefault="00A87AE2" w:rsidP="00A87AE2">
      <w:pPr>
        <w:rPr>
          <w:rFonts w:eastAsia="Calibri"/>
        </w:rPr>
      </w:pPr>
      <w:r w:rsidRPr="007E5614">
        <w:rPr>
          <w:rFonts w:eastAsia="Calibri"/>
        </w:rPr>
        <w:t xml:space="preserve">The </w:t>
      </w:r>
      <w:r w:rsidRPr="007E5614">
        <w:rPr>
          <w:rFonts w:eastAsia="Calibri"/>
          <w:i/>
        </w:rPr>
        <w:t>Tasmanian Health Organisations Act 2011</w:t>
      </w:r>
      <w:r w:rsidRPr="007E5614">
        <w:rPr>
          <w:rFonts w:eastAsia="Calibri"/>
        </w:rPr>
        <w:t xml:space="preserve"> (the Act) requires an annual service agreement between the Minister for Health and the THS to be in place by 30 June for t</w:t>
      </w:r>
      <w:r>
        <w:rPr>
          <w:rFonts w:eastAsia="Calibri"/>
        </w:rPr>
        <w:t xml:space="preserve">he forthcoming financial year. </w:t>
      </w:r>
    </w:p>
    <w:p w:rsidR="00A87AE2" w:rsidRPr="007E5614" w:rsidRDefault="00A87AE2" w:rsidP="00A87AE2">
      <w:r w:rsidRPr="007E5614">
        <w:rPr>
          <w:bCs/>
        </w:rPr>
        <w:t xml:space="preserve">The service agreement is the key agreement between the Minister for Health and the THS, </w:t>
      </w:r>
      <w:r w:rsidRPr="007E5614">
        <w:rPr>
          <w:bCs/>
        </w:rPr>
        <w:lastRenderedPageBreak/>
        <w:t xml:space="preserve">and </w:t>
      </w:r>
      <w:r w:rsidRPr="007E5614">
        <w:t>sets out the agreed expectations of the THS.</w:t>
      </w:r>
    </w:p>
    <w:p w:rsidR="00A87AE2" w:rsidRDefault="00A87AE2" w:rsidP="00A87AE2">
      <w:pPr>
        <w:autoSpaceDE w:val="0"/>
        <w:autoSpaceDN w:val="0"/>
        <w:adjustRightInd w:val="0"/>
        <w:spacing w:after="120"/>
        <w:rPr>
          <w:rFonts w:cs="Arial"/>
          <w:lang w:eastAsia="en-AU"/>
        </w:rPr>
      </w:pPr>
      <w:r w:rsidRPr="007E5614">
        <w:rPr>
          <w:rFonts w:cs="Arial"/>
          <w:lang w:eastAsia="en-AU"/>
        </w:rPr>
        <w:t>It is the responsibility of Governing Councils to ensure that the THS delivers the requirements of the service agreement.  As system manager, it is the responsibility of DHHS to ensure that THS performance against those requirements is monitored and managed to ensure that where necessary, the performance intervention options available to the Minister under the Act</w:t>
      </w:r>
      <w:r w:rsidRPr="007E5614">
        <w:rPr>
          <w:rFonts w:cs="Arial"/>
          <w:i/>
          <w:lang w:eastAsia="en-AU"/>
        </w:rPr>
        <w:t xml:space="preserve"> </w:t>
      </w:r>
      <w:r w:rsidRPr="007E5614">
        <w:rPr>
          <w:rFonts w:cs="Arial"/>
          <w:lang w:eastAsia="en-AU"/>
        </w:rPr>
        <w:t>are effectively implemented.</w:t>
      </w:r>
    </w:p>
    <w:p w:rsidR="00A87AE2" w:rsidRPr="007E5614" w:rsidRDefault="00A87AE2" w:rsidP="00A87AE2">
      <w:pPr>
        <w:autoSpaceDE w:val="0"/>
        <w:autoSpaceDN w:val="0"/>
        <w:adjustRightInd w:val="0"/>
        <w:spacing w:after="120"/>
        <w:rPr>
          <w:rFonts w:cs="Arial"/>
          <w:lang w:eastAsia="en-AU"/>
        </w:rPr>
      </w:pPr>
      <w:r w:rsidRPr="007E5614">
        <w:rPr>
          <w:rFonts w:cs="Arial"/>
          <w:lang w:eastAsia="en-AU"/>
        </w:rPr>
        <w:t>The THS 2015-16 Service Agreement was signed by the Minister for Health on</w:t>
      </w:r>
      <w:r>
        <w:rPr>
          <w:rFonts w:cs="Arial"/>
          <w:lang w:eastAsia="en-AU"/>
        </w:rPr>
        <w:t xml:space="preserve"> 29 June </w:t>
      </w:r>
      <w:r w:rsidRPr="007E5614">
        <w:rPr>
          <w:rFonts w:cs="Arial"/>
          <w:lang w:eastAsia="en-AU"/>
        </w:rPr>
        <w:t>2015 and co-signed by the THS Chair on 1 July 2015. It was tabled in Parliament on 19 August 2015. In addition, the Minister issued the 2015-16 Service Agreement Performance Framework and the 2015-16 Tasmanian Health Service Purchasing and Funding Guidelines that accompany the 2015-16 Service Agreement.</w:t>
      </w:r>
    </w:p>
    <w:p w:rsidR="00A87AE2" w:rsidRPr="007E5614" w:rsidRDefault="00A87AE2" w:rsidP="00A87AE2">
      <w:pPr>
        <w:pStyle w:val="Heading4"/>
      </w:pPr>
      <w:r w:rsidRPr="007E5614">
        <w:t>Service Agreement Performance Framework</w:t>
      </w:r>
    </w:p>
    <w:p w:rsidR="00A87AE2" w:rsidRPr="007E5614" w:rsidRDefault="00A87AE2" w:rsidP="00A87AE2">
      <w:pPr>
        <w:autoSpaceDE w:val="0"/>
        <w:autoSpaceDN w:val="0"/>
        <w:adjustRightInd w:val="0"/>
        <w:spacing w:after="120"/>
        <w:rPr>
          <w:rFonts w:cs="Arial"/>
          <w:lang w:eastAsia="en-AU"/>
        </w:rPr>
      </w:pPr>
      <w:r w:rsidRPr="007E5614">
        <w:rPr>
          <w:lang w:eastAsia="en-AU"/>
        </w:rPr>
        <w:t xml:space="preserve">The Service Agreement Performance Framework provides the arrangements for </w:t>
      </w:r>
      <w:r w:rsidRPr="007E5614">
        <w:rPr>
          <w:rFonts w:cs="Arial"/>
          <w:lang w:eastAsia="en-AU"/>
        </w:rPr>
        <w:t xml:space="preserve">monitoring THS performance against the requirements of the service agreement.  The Framework also provides DHHS and the THS with a clear delineation of roles, responsibilities and expectations in response to identified service agreement performance issues. </w:t>
      </w:r>
    </w:p>
    <w:p w:rsidR="00A87AE2" w:rsidRPr="007E5614" w:rsidRDefault="00A87AE2" w:rsidP="00A87AE2">
      <w:r w:rsidRPr="007E5614">
        <w:rPr>
          <w:rFonts w:cs="Arial"/>
          <w:lang w:eastAsia="en-AU"/>
        </w:rPr>
        <w:lastRenderedPageBreak/>
        <w:t xml:space="preserve">The Framework is </w:t>
      </w:r>
      <w:r w:rsidRPr="007E5614">
        <w:rPr>
          <w:rFonts w:eastAsia="Calibri"/>
        </w:rPr>
        <w:t xml:space="preserve">applied throughout the year in the monitoring and management of identified performance issues and </w:t>
      </w:r>
      <w:r w:rsidRPr="007E5614">
        <w:t>responding in accordance with defined processes. Quarterly performance review meetings are held with the THS to focus on quarterly performance against the requirements of the service agreement and identified and emerging performance issues.</w:t>
      </w:r>
    </w:p>
    <w:p w:rsidR="00A87AE2" w:rsidRPr="007E5614" w:rsidRDefault="00A87AE2" w:rsidP="00A87AE2">
      <w:pPr>
        <w:pStyle w:val="Heading4"/>
      </w:pPr>
      <w:r w:rsidRPr="007E5614">
        <w:t>Performance Escalations and Directions</w:t>
      </w:r>
    </w:p>
    <w:p w:rsidR="00A87AE2" w:rsidRPr="007E5614" w:rsidRDefault="00A87AE2" w:rsidP="00A87AE2">
      <w:r w:rsidRPr="007E5614">
        <w:t xml:space="preserve">There is a Level One (unsatisfactory performance) performance escalation currently in place across the THS for the Service Agreement Key Performance Indicator (KPI) </w:t>
      </w:r>
      <w:r>
        <w:t>“</w:t>
      </w:r>
      <w:r w:rsidRPr="007E5614">
        <w:t>time until</w:t>
      </w:r>
      <w:r>
        <w:t xml:space="preserve"> most admitted patients (90 per </w:t>
      </w:r>
      <w:r w:rsidRPr="007E5614">
        <w:t>cent) departed the emergency department.”</w:t>
      </w:r>
    </w:p>
    <w:p w:rsidR="00A87AE2" w:rsidRPr="007E5614" w:rsidRDefault="00A87AE2" w:rsidP="00A87AE2">
      <w:r w:rsidRPr="007E5614">
        <w:t>There have been two previous Level One escalations for this KPI initiated at the LGH.</w:t>
      </w:r>
    </w:p>
    <w:p w:rsidR="00A87AE2" w:rsidRDefault="00A87AE2" w:rsidP="00A87AE2">
      <w:pPr>
        <w:autoSpaceDE w:val="0"/>
        <w:autoSpaceDN w:val="0"/>
        <w:adjustRightInd w:val="0"/>
        <w:spacing w:after="120"/>
      </w:pPr>
      <w:r w:rsidRPr="007E5614">
        <w:t>In accordance with the requirements of a Level One performance escalation, Performance Improvement Plans (PIPs) have been received from all four major hospitals.</w:t>
      </w:r>
    </w:p>
    <w:p w:rsidR="00A87AE2" w:rsidRPr="007E5614" w:rsidRDefault="00A87AE2" w:rsidP="00A87AE2">
      <w:r w:rsidRPr="007E5614">
        <w:t>The PIPs include a proposed timeline and performance trajectory to return performance to the eight hour target specified in the Service Agreement.</w:t>
      </w:r>
    </w:p>
    <w:p w:rsidR="00A87AE2" w:rsidRPr="007E5614" w:rsidRDefault="00A87AE2" w:rsidP="00A87AE2">
      <w:r w:rsidRPr="007E5614">
        <w:t>The Level One performance escalation will remain in place, with regular meetings scheduled between DHHS and the THS to monitor progress against the PIPs, until such time as performance at all facilities is returned to the eight hour target.</w:t>
      </w:r>
    </w:p>
    <w:p w:rsidR="00A87AE2" w:rsidRPr="007E5614" w:rsidRDefault="00A87AE2" w:rsidP="00A87AE2">
      <w:pPr>
        <w:rPr>
          <w:bCs/>
          <w:i/>
          <w:lang w:val="en-US"/>
        </w:rPr>
      </w:pPr>
      <w:r w:rsidRPr="007E5614">
        <w:rPr>
          <w:bCs/>
          <w:i/>
          <w:lang w:val="en-US"/>
        </w:rPr>
        <w:t>Ministerial Direction ‘Appointment of a Financial Recovery Team’</w:t>
      </w:r>
    </w:p>
    <w:p w:rsidR="00A87AE2" w:rsidRPr="007E5614" w:rsidRDefault="00A87AE2" w:rsidP="00A87AE2">
      <w:r w:rsidRPr="007E5614">
        <w:t>The</w:t>
      </w:r>
      <w:r w:rsidRPr="007E5614">
        <w:rPr>
          <w:i/>
        </w:rPr>
        <w:t xml:space="preserve"> </w:t>
      </w:r>
      <w:r w:rsidRPr="007E5614">
        <w:t xml:space="preserve">Act provides for responsible Ministers to give the THS Governing Council directions in relation to the function and powers of the THS and the Governing Council.  </w:t>
      </w:r>
    </w:p>
    <w:p w:rsidR="00A87AE2" w:rsidRPr="007E5614" w:rsidRDefault="00A87AE2" w:rsidP="00A87AE2">
      <w:r w:rsidRPr="007E5614">
        <w:t>On 10 November 2015, responsible Ministers directed the THS Governing Council to implement six actions. This included:</w:t>
      </w:r>
    </w:p>
    <w:p w:rsidR="00A87AE2" w:rsidRPr="007E5614" w:rsidRDefault="00A87AE2" w:rsidP="00A87AE2">
      <w:pPr>
        <w:numPr>
          <w:ilvl w:val="0"/>
          <w:numId w:val="16"/>
        </w:numPr>
        <w:spacing w:after="140" w:line="300" w:lineRule="atLeast"/>
        <w:ind w:left="567" w:hanging="567"/>
      </w:pPr>
      <w:r w:rsidRPr="007E5614">
        <w:t xml:space="preserve">appointing a Financial Recovery Team (FRT) to prepare a new Financial </w:t>
      </w:r>
      <w:r w:rsidRPr="007E5614">
        <w:lastRenderedPageBreak/>
        <w:t xml:space="preserve">Recovery Plan (FRP) with a focus on FTEs and achievement of critical elective surgery targets </w:t>
      </w:r>
    </w:p>
    <w:p w:rsidR="00A87AE2" w:rsidRPr="007E5614" w:rsidRDefault="00A87AE2" w:rsidP="00A87AE2">
      <w:pPr>
        <w:numPr>
          <w:ilvl w:val="0"/>
          <w:numId w:val="16"/>
        </w:numPr>
        <w:spacing w:after="140" w:line="300" w:lineRule="atLeast"/>
        <w:ind w:left="567" w:hanging="567"/>
      </w:pPr>
      <w:r w:rsidRPr="007E5614">
        <w:t>strengthening vacancy control</w:t>
      </w:r>
    </w:p>
    <w:p w:rsidR="00A87AE2" w:rsidRPr="007E5614" w:rsidRDefault="00A87AE2" w:rsidP="00A87AE2">
      <w:pPr>
        <w:numPr>
          <w:ilvl w:val="0"/>
          <w:numId w:val="16"/>
        </w:numPr>
        <w:spacing w:after="140" w:line="300" w:lineRule="atLeast"/>
        <w:ind w:left="567" w:hanging="567"/>
      </w:pPr>
      <w:r w:rsidRPr="007E5614">
        <w:t xml:space="preserve">developing a </w:t>
      </w:r>
      <w:proofErr w:type="spellStart"/>
      <w:r w:rsidRPr="007E5614">
        <w:t>statewide</w:t>
      </w:r>
      <w:proofErr w:type="spellEnd"/>
      <w:r w:rsidRPr="007E5614">
        <w:t xml:space="preserve"> medical workforce and locum reduction plan</w:t>
      </w:r>
    </w:p>
    <w:p w:rsidR="00A87AE2" w:rsidRPr="007E5614" w:rsidRDefault="00A87AE2" w:rsidP="00A87AE2">
      <w:pPr>
        <w:numPr>
          <w:ilvl w:val="0"/>
          <w:numId w:val="16"/>
        </w:numPr>
        <w:spacing w:after="140" w:line="300" w:lineRule="atLeast"/>
        <w:ind w:left="567" w:hanging="567"/>
      </w:pPr>
      <w:r w:rsidRPr="007E5614">
        <w:t xml:space="preserve">commencing a Workplace Renewal Incentive Program and Targeted Negotiated Voluntary Redundancy program, and </w:t>
      </w:r>
    </w:p>
    <w:p w:rsidR="00A87AE2" w:rsidRPr="007E5614" w:rsidRDefault="00A87AE2" w:rsidP="00A87AE2">
      <w:pPr>
        <w:numPr>
          <w:ilvl w:val="0"/>
          <w:numId w:val="16"/>
        </w:numPr>
        <w:spacing w:after="140" w:line="300" w:lineRule="atLeast"/>
        <w:ind w:left="567" w:hanging="567"/>
      </w:pPr>
      <w:proofErr w:type="gramStart"/>
      <w:r w:rsidRPr="007E5614">
        <w:t>implementing</w:t>
      </w:r>
      <w:proofErr w:type="gramEnd"/>
      <w:r w:rsidRPr="007E5614">
        <w:t xml:space="preserve"> an appropriate executive structure.</w:t>
      </w:r>
    </w:p>
    <w:p w:rsidR="00A87AE2" w:rsidRDefault="00A87AE2" w:rsidP="00A87AE2">
      <w:pPr>
        <w:autoSpaceDE w:val="0"/>
        <w:autoSpaceDN w:val="0"/>
        <w:adjustRightInd w:val="0"/>
        <w:spacing w:after="120"/>
      </w:pPr>
      <w:r w:rsidRPr="007E5614">
        <w:t>A revised FRP was delivered by the FRT in December 2015. Significant progress has been achieved with implementation of the actions, as directed by responsible Ministers.</w:t>
      </w:r>
    </w:p>
    <w:p w:rsidR="00A87AE2" w:rsidRPr="007E5614" w:rsidRDefault="00A87AE2" w:rsidP="00A87AE2">
      <w:r w:rsidRPr="007E5614">
        <w:t xml:space="preserve">The THS Governing Council is responsible for overseeing the implementation of all actions, including strategies detailed in the FRP, and is providing monthly progress reports to responsible Ministers. </w:t>
      </w:r>
    </w:p>
    <w:p w:rsidR="00A87AE2" w:rsidRPr="007E5614" w:rsidRDefault="00A87AE2" w:rsidP="00A87AE2">
      <w:pPr>
        <w:pStyle w:val="Heading4"/>
      </w:pPr>
      <w:r w:rsidRPr="007E5614">
        <w:t xml:space="preserve">Tasmanian Health Service </w:t>
      </w:r>
    </w:p>
    <w:p w:rsidR="00A87AE2" w:rsidRPr="007E5614" w:rsidRDefault="00A87AE2" w:rsidP="00A87AE2">
      <w:pPr>
        <w:keepNext/>
        <w:keepLines/>
      </w:pPr>
      <w:r w:rsidRPr="007E5614">
        <w:t>The THS operates four major hospitals, each with a specific role in the system:</w:t>
      </w:r>
    </w:p>
    <w:p w:rsidR="00A87AE2" w:rsidRPr="007E5614" w:rsidRDefault="00A87AE2" w:rsidP="00A87AE2">
      <w:pPr>
        <w:keepNext/>
        <w:keepLines/>
        <w:numPr>
          <w:ilvl w:val="0"/>
          <w:numId w:val="16"/>
        </w:numPr>
        <w:spacing w:after="140" w:line="300" w:lineRule="atLeast"/>
        <w:ind w:left="567" w:hanging="567"/>
      </w:pPr>
      <w:r w:rsidRPr="007E5614">
        <w:t xml:space="preserve">the RHH is the principal tertiary referral hospital for residents of Southern Tasmania and also provides a number of </w:t>
      </w:r>
      <w:proofErr w:type="spellStart"/>
      <w:r w:rsidRPr="007E5614">
        <w:t>statewide</w:t>
      </w:r>
      <w:proofErr w:type="spellEnd"/>
      <w:r w:rsidRPr="007E5614">
        <w:t xml:space="preserve"> services</w:t>
      </w:r>
    </w:p>
    <w:p w:rsidR="00A87AE2" w:rsidRPr="007E5614" w:rsidRDefault="00A87AE2" w:rsidP="00A87AE2">
      <w:pPr>
        <w:keepNext/>
        <w:keepLines/>
        <w:numPr>
          <w:ilvl w:val="0"/>
          <w:numId w:val="16"/>
        </w:numPr>
        <w:spacing w:after="140" w:line="300" w:lineRule="atLeast"/>
        <w:ind w:left="567" w:hanging="567"/>
      </w:pPr>
      <w:r w:rsidRPr="007E5614">
        <w:t>the LGH is the principal referral hospital for the North and North West of Tasmania and also provides a number of tertiary services for residents of those areas</w:t>
      </w:r>
    </w:p>
    <w:p w:rsidR="00A87AE2" w:rsidRPr="007E5614" w:rsidRDefault="00A87AE2" w:rsidP="00A87AE2">
      <w:pPr>
        <w:numPr>
          <w:ilvl w:val="0"/>
          <w:numId w:val="16"/>
        </w:numPr>
        <w:spacing w:after="140" w:line="300" w:lineRule="atLeast"/>
        <w:ind w:left="567" w:hanging="567"/>
      </w:pPr>
      <w:r w:rsidRPr="007E5614">
        <w:t>the North West Regional Hospital (NWRH) in Burnie provides acute general hospital services in the North West Region, and</w:t>
      </w:r>
    </w:p>
    <w:p w:rsidR="00A87AE2" w:rsidRPr="007E5614" w:rsidRDefault="00A87AE2" w:rsidP="00A87AE2">
      <w:pPr>
        <w:numPr>
          <w:ilvl w:val="0"/>
          <w:numId w:val="16"/>
        </w:numPr>
        <w:spacing w:after="140" w:line="300" w:lineRule="atLeast"/>
        <w:ind w:left="567" w:hanging="567"/>
      </w:pPr>
      <w:proofErr w:type="gramStart"/>
      <w:r w:rsidRPr="007E5614">
        <w:t>the</w:t>
      </w:r>
      <w:proofErr w:type="gramEnd"/>
      <w:r w:rsidRPr="007E5614">
        <w:t xml:space="preserve"> Australian Government owned Mersey Community Hospital at Latrobe will be a dedicated elective surgery centre for all Tasmanians and continue to provide a mix of general hospital services to the local community.</w:t>
      </w:r>
    </w:p>
    <w:p w:rsidR="00A87AE2" w:rsidRPr="007E5614" w:rsidRDefault="00A87AE2" w:rsidP="00A87AE2">
      <w:r>
        <w:br w:type="column"/>
      </w:r>
      <w:r w:rsidRPr="007E5614">
        <w:lastRenderedPageBreak/>
        <w:t xml:space="preserve">Sub-acute inpatient care is provided at the major hospitals and the THS’ network of rural hospitals (including multi-purpose services and multi-purpose centres). The rural hospitals also provide some emergency care as well as a wide range of community health services. Some rural facilities also provide residential aged care. </w:t>
      </w:r>
    </w:p>
    <w:p w:rsidR="00A87AE2" w:rsidRDefault="00A87AE2" w:rsidP="00A87AE2">
      <w:r w:rsidRPr="007E5614">
        <w:t>The THS also provides a range of services at the community level that includes allied health, community nursing (including specialised nursing), home care, palliative care, dementia services, specialised case management services, aids and appliances and health promotion programs. These services are generally provided from community health centres and rural facilities, but can also be provided in patients’ homes, schools and workplaces.</w:t>
      </w:r>
    </w:p>
    <w:p w:rsidR="00A87AE2" w:rsidRDefault="00A87AE2" w:rsidP="00A87AE2">
      <w:pPr>
        <w:sectPr w:rsidR="00A87AE2" w:rsidSect="00A87AE2">
          <w:type w:val="continuous"/>
          <w:pgSz w:w="11906" w:h="16838"/>
          <w:pgMar w:top="851" w:right="1274" w:bottom="567" w:left="1440" w:header="708" w:footer="708" w:gutter="0"/>
          <w:cols w:num="2" w:space="708"/>
          <w:docGrid w:linePitch="360"/>
        </w:sectPr>
      </w:pPr>
    </w:p>
    <w:p w:rsidR="00A87AE2" w:rsidRDefault="00A87AE2" w:rsidP="00A87AE2">
      <w:pPr>
        <w:pStyle w:val="Heading3"/>
      </w:pPr>
      <w:r w:rsidRPr="007E5614">
        <w:lastRenderedPageBreak/>
        <w:t>Human Services System Management</w:t>
      </w:r>
    </w:p>
    <w:p w:rsidR="00A87AE2" w:rsidRDefault="00A87AE2" w:rsidP="00A87AE2"/>
    <w:tbl>
      <w:tblPr>
        <w:tblW w:w="8918" w:type="dxa"/>
        <w:tblInd w:w="108" w:type="dxa"/>
        <w:tblBorders>
          <w:top w:val="single" w:sz="2" w:space="0" w:color="A6A6A6"/>
          <w:bottom w:val="single" w:sz="2" w:space="0" w:color="A6A6A6"/>
          <w:insideH w:val="single" w:sz="2" w:space="0" w:color="A6A6A6"/>
        </w:tblBorders>
        <w:tblLook w:val="04A0" w:firstRow="1" w:lastRow="0" w:firstColumn="1" w:lastColumn="0" w:noHBand="0" w:noVBand="1"/>
        <w:tblCaption w:val="Human Services System Management Performance Comparison"/>
      </w:tblPr>
      <w:tblGrid>
        <w:gridCol w:w="3119"/>
        <w:gridCol w:w="1134"/>
        <w:gridCol w:w="1134"/>
        <w:gridCol w:w="1276"/>
        <w:gridCol w:w="1110"/>
        <w:gridCol w:w="1145"/>
      </w:tblGrid>
      <w:tr w:rsidR="00A87AE2" w:rsidRPr="007E5614" w:rsidTr="00A87AE2">
        <w:tc>
          <w:tcPr>
            <w:tcW w:w="3119" w:type="dxa"/>
            <w:vAlign w:val="center"/>
          </w:tcPr>
          <w:p w:rsidR="00A87AE2" w:rsidRPr="007E5614" w:rsidRDefault="00A87AE2" w:rsidP="00A87AE2">
            <w:pPr>
              <w:spacing w:before="60" w:after="60" w:line="240" w:lineRule="auto"/>
              <w:rPr>
                <w:b/>
                <w:sz w:val="18"/>
                <w:szCs w:val="18"/>
              </w:rPr>
            </w:pPr>
            <w:r w:rsidRPr="007E5614">
              <w:rPr>
                <w:b/>
                <w:sz w:val="18"/>
                <w:szCs w:val="18"/>
              </w:rPr>
              <w:t>Performance Measure</w:t>
            </w:r>
          </w:p>
        </w:tc>
        <w:tc>
          <w:tcPr>
            <w:tcW w:w="1134" w:type="dxa"/>
          </w:tcPr>
          <w:p w:rsidR="00A87AE2" w:rsidRPr="007E5614" w:rsidRDefault="00A87AE2" w:rsidP="00A87AE2">
            <w:pPr>
              <w:spacing w:before="60" w:after="60" w:line="240" w:lineRule="auto"/>
              <w:jc w:val="right"/>
              <w:rPr>
                <w:b/>
                <w:sz w:val="18"/>
                <w:szCs w:val="18"/>
              </w:rPr>
            </w:pPr>
            <w:r w:rsidRPr="007E5614">
              <w:rPr>
                <w:b/>
                <w:sz w:val="18"/>
                <w:szCs w:val="18"/>
              </w:rPr>
              <w:t>Unit of Measure</w:t>
            </w:r>
          </w:p>
        </w:tc>
        <w:tc>
          <w:tcPr>
            <w:tcW w:w="1134" w:type="dxa"/>
          </w:tcPr>
          <w:p w:rsidR="00A87AE2" w:rsidRPr="007E5614" w:rsidRDefault="00A87AE2" w:rsidP="00A87AE2">
            <w:pPr>
              <w:spacing w:before="60" w:after="60" w:line="240" w:lineRule="auto"/>
              <w:jc w:val="right"/>
              <w:rPr>
                <w:b/>
                <w:sz w:val="18"/>
                <w:szCs w:val="18"/>
              </w:rPr>
            </w:pPr>
            <w:r w:rsidRPr="007E5614">
              <w:rPr>
                <w:b/>
                <w:sz w:val="18"/>
                <w:szCs w:val="18"/>
              </w:rPr>
              <w:t>2012-13</w:t>
            </w:r>
            <w:r w:rsidRPr="007E5614">
              <w:rPr>
                <w:b/>
                <w:sz w:val="18"/>
                <w:szCs w:val="18"/>
              </w:rPr>
              <w:br/>
              <w:t>Actual</w:t>
            </w:r>
          </w:p>
        </w:tc>
        <w:tc>
          <w:tcPr>
            <w:tcW w:w="1276" w:type="dxa"/>
          </w:tcPr>
          <w:p w:rsidR="00A87AE2" w:rsidRPr="007E5614" w:rsidRDefault="00A87AE2" w:rsidP="00A87AE2">
            <w:pPr>
              <w:spacing w:before="60" w:after="60" w:line="240" w:lineRule="auto"/>
              <w:jc w:val="right"/>
              <w:rPr>
                <w:b/>
                <w:sz w:val="18"/>
                <w:szCs w:val="18"/>
              </w:rPr>
            </w:pPr>
            <w:r w:rsidRPr="007E5614">
              <w:rPr>
                <w:b/>
                <w:sz w:val="18"/>
                <w:szCs w:val="18"/>
              </w:rPr>
              <w:t>2013-14</w:t>
            </w:r>
            <w:r w:rsidRPr="007E5614">
              <w:rPr>
                <w:b/>
                <w:sz w:val="18"/>
                <w:szCs w:val="18"/>
              </w:rPr>
              <w:br/>
              <w:t>Actual</w:t>
            </w:r>
          </w:p>
        </w:tc>
        <w:tc>
          <w:tcPr>
            <w:tcW w:w="1110" w:type="dxa"/>
          </w:tcPr>
          <w:p w:rsidR="00A87AE2" w:rsidRPr="007E5614" w:rsidRDefault="00A87AE2" w:rsidP="00A87AE2">
            <w:pPr>
              <w:spacing w:before="60" w:after="60" w:line="240" w:lineRule="auto"/>
              <w:jc w:val="right"/>
              <w:rPr>
                <w:b/>
                <w:sz w:val="18"/>
                <w:szCs w:val="18"/>
              </w:rPr>
            </w:pPr>
            <w:r w:rsidRPr="007E5614">
              <w:rPr>
                <w:b/>
                <w:sz w:val="18"/>
                <w:szCs w:val="18"/>
              </w:rPr>
              <w:t>2014-15</w:t>
            </w:r>
            <w:r w:rsidRPr="007E5614">
              <w:rPr>
                <w:b/>
                <w:sz w:val="18"/>
                <w:szCs w:val="18"/>
              </w:rPr>
              <w:br/>
              <w:t>Actual</w:t>
            </w:r>
          </w:p>
        </w:tc>
        <w:tc>
          <w:tcPr>
            <w:tcW w:w="1145" w:type="dxa"/>
          </w:tcPr>
          <w:p w:rsidR="00A87AE2" w:rsidRPr="007E5614" w:rsidRDefault="00A87AE2" w:rsidP="00A87AE2">
            <w:pPr>
              <w:spacing w:before="60" w:after="60" w:line="240" w:lineRule="auto"/>
              <w:jc w:val="right"/>
              <w:rPr>
                <w:b/>
                <w:sz w:val="18"/>
                <w:szCs w:val="18"/>
              </w:rPr>
            </w:pPr>
            <w:r w:rsidRPr="007E5614">
              <w:rPr>
                <w:b/>
                <w:sz w:val="18"/>
                <w:szCs w:val="18"/>
              </w:rPr>
              <w:t>2015-16</w:t>
            </w:r>
            <w:r w:rsidRPr="007E5614">
              <w:rPr>
                <w:b/>
                <w:sz w:val="18"/>
                <w:szCs w:val="18"/>
              </w:rPr>
              <w:br/>
              <w:t>Actual</w:t>
            </w:r>
          </w:p>
        </w:tc>
      </w:tr>
      <w:tr w:rsidR="00A87AE2" w:rsidRPr="007E5614" w:rsidTr="00A87AE2">
        <w:tc>
          <w:tcPr>
            <w:tcW w:w="3119" w:type="dxa"/>
            <w:vAlign w:val="center"/>
          </w:tcPr>
          <w:p w:rsidR="00A87AE2" w:rsidRPr="007E5614" w:rsidRDefault="00A87AE2" w:rsidP="00A87AE2">
            <w:pPr>
              <w:pStyle w:val="Table-AnnualReport"/>
              <w:tabs>
                <w:tab w:val="left" w:pos="3470"/>
              </w:tabs>
            </w:pPr>
            <w:r w:rsidRPr="007E5614">
              <w:t xml:space="preserve">Organisations receiving a Quality and Safety </w:t>
            </w:r>
            <w:r w:rsidRPr="007E5614">
              <w:br/>
              <w:t>Review within relevant timeframes</w:t>
            </w:r>
            <w:r w:rsidRPr="007E5614">
              <w:rPr>
                <w:vertAlign w:val="superscript"/>
              </w:rPr>
              <w:t>1</w:t>
            </w:r>
            <w:r w:rsidRPr="007E5614">
              <w:rPr>
                <w:vertAlign w:val="superscript"/>
              </w:rPr>
              <w:tab/>
            </w:r>
          </w:p>
        </w:tc>
        <w:tc>
          <w:tcPr>
            <w:tcW w:w="1134" w:type="dxa"/>
          </w:tcPr>
          <w:p w:rsidR="00A87AE2" w:rsidRPr="007E5614" w:rsidRDefault="00A87AE2" w:rsidP="00A87AE2">
            <w:pPr>
              <w:pStyle w:val="Table-AnnualReport"/>
              <w:tabs>
                <w:tab w:val="left" w:pos="3470"/>
              </w:tabs>
              <w:jc w:val="right"/>
            </w:pPr>
            <w:r>
              <w:t>%</w:t>
            </w:r>
          </w:p>
        </w:tc>
        <w:tc>
          <w:tcPr>
            <w:tcW w:w="1134" w:type="dxa"/>
          </w:tcPr>
          <w:p w:rsidR="00A87AE2" w:rsidRPr="007E5614" w:rsidRDefault="00A87AE2" w:rsidP="00A87AE2">
            <w:pPr>
              <w:pStyle w:val="Table-AnnualReport"/>
              <w:jc w:val="right"/>
            </w:pPr>
            <w:r w:rsidRPr="007E5614">
              <w:t>N/A</w:t>
            </w:r>
          </w:p>
        </w:tc>
        <w:tc>
          <w:tcPr>
            <w:tcW w:w="1276" w:type="dxa"/>
          </w:tcPr>
          <w:p w:rsidR="00A87AE2" w:rsidRPr="007E5614" w:rsidRDefault="00A87AE2" w:rsidP="00A87AE2">
            <w:pPr>
              <w:pStyle w:val="Table-AnnualReport"/>
              <w:jc w:val="right"/>
            </w:pPr>
            <w:r w:rsidRPr="007E5614">
              <w:t>60</w:t>
            </w:r>
          </w:p>
        </w:tc>
        <w:tc>
          <w:tcPr>
            <w:tcW w:w="1110" w:type="dxa"/>
          </w:tcPr>
          <w:p w:rsidR="00A87AE2" w:rsidRPr="007E5614" w:rsidRDefault="00A87AE2" w:rsidP="00A87AE2">
            <w:pPr>
              <w:pStyle w:val="Table-AnnualReport"/>
              <w:jc w:val="right"/>
            </w:pPr>
            <w:r w:rsidRPr="007E5614">
              <w:t>42.5</w:t>
            </w:r>
          </w:p>
        </w:tc>
        <w:tc>
          <w:tcPr>
            <w:tcW w:w="1145" w:type="dxa"/>
          </w:tcPr>
          <w:p w:rsidR="00A87AE2" w:rsidRPr="007E5614" w:rsidRDefault="00A87AE2" w:rsidP="00A87AE2">
            <w:pPr>
              <w:pStyle w:val="Table-AnnualReport"/>
              <w:jc w:val="right"/>
            </w:pPr>
            <w:r w:rsidRPr="007E5614">
              <w:t>31</w:t>
            </w:r>
          </w:p>
        </w:tc>
      </w:tr>
      <w:tr w:rsidR="00A87AE2" w:rsidRPr="007E5614" w:rsidTr="00A87AE2">
        <w:tc>
          <w:tcPr>
            <w:tcW w:w="3119" w:type="dxa"/>
            <w:vAlign w:val="center"/>
          </w:tcPr>
          <w:p w:rsidR="00A87AE2" w:rsidRPr="007E5614" w:rsidRDefault="00A87AE2" w:rsidP="00A87AE2">
            <w:pPr>
              <w:pStyle w:val="Table-AnnualReport"/>
              <w:tabs>
                <w:tab w:val="left" w:pos="3470"/>
              </w:tabs>
            </w:pPr>
            <w:r w:rsidRPr="007E5614">
              <w:t xml:space="preserve">Target Population transferred to NDIS trial </w:t>
            </w:r>
            <w:r w:rsidRPr="007E5614">
              <w:br/>
              <w:t>within agreed timeframes</w:t>
            </w:r>
            <w:r w:rsidRPr="007E5614">
              <w:tab/>
            </w:r>
          </w:p>
        </w:tc>
        <w:tc>
          <w:tcPr>
            <w:tcW w:w="1134" w:type="dxa"/>
          </w:tcPr>
          <w:p w:rsidR="00A87AE2" w:rsidRPr="007E5614" w:rsidRDefault="00A87AE2" w:rsidP="00A87AE2">
            <w:pPr>
              <w:pStyle w:val="Table-AnnualReport"/>
              <w:tabs>
                <w:tab w:val="left" w:pos="3470"/>
              </w:tabs>
              <w:jc w:val="right"/>
            </w:pPr>
            <w:r>
              <w:t>%</w:t>
            </w:r>
          </w:p>
        </w:tc>
        <w:tc>
          <w:tcPr>
            <w:tcW w:w="1134" w:type="dxa"/>
          </w:tcPr>
          <w:p w:rsidR="00A87AE2" w:rsidRPr="007E5614" w:rsidRDefault="00A87AE2" w:rsidP="00A87AE2">
            <w:pPr>
              <w:pStyle w:val="Table-AnnualReport"/>
              <w:jc w:val="right"/>
            </w:pPr>
            <w:r w:rsidRPr="007E5614">
              <w:t>N/A</w:t>
            </w:r>
          </w:p>
        </w:tc>
        <w:tc>
          <w:tcPr>
            <w:tcW w:w="1276" w:type="dxa"/>
          </w:tcPr>
          <w:p w:rsidR="00A87AE2" w:rsidRPr="007E5614" w:rsidRDefault="00A87AE2" w:rsidP="00A87AE2">
            <w:pPr>
              <w:pStyle w:val="Table-AnnualReport"/>
              <w:jc w:val="right"/>
            </w:pPr>
            <w:r w:rsidRPr="007E5614">
              <w:t>81.1</w:t>
            </w:r>
          </w:p>
        </w:tc>
        <w:tc>
          <w:tcPr>
            <w:tcW w:w="1110" w:type="dxa"/>
          </w:tcPr>
          <w:p w:rsidR="00A87AE2" w:rsidRPr="007E5614" w:rsidRDefault="00A87AE2" w:rsidP="00A87AE2">
            <w:pPr>
              <w:pStyle w:val="Table-AnnualReport"/>
              <w:jc w:val="right"/>
            </w:pPr>
            <w:r w:rsidRPr="007E5614">
              <w:t>100</w:t>
            </w:r>
          </w:p>
        </w:tc>
        <w:tc>
          <w:tcPr>
            <w:tcW w:w="1145" w:type="dxa"/>
          </w:tcPr>
          <w:p w:rsidR="00A87AE2" w:rsidRPr="007E5614" w:rsidRDefault="00A87AE2" w:rsidP="00A87AE2">
            <w:pPr>
              <w:pStyle w:val="Table-AnnualReport"/>
              <w:jc w:val="right"/>
            </w:pPr>
            <w:r w:rsidRPr="007E5614">
              <w:t>100</w:t>
            </w:r>
          </w:p>
        </w:tc>
      </w:tr>
      <w:tr w:rsidR="00A87AE2" w:rsidRPr="007E5614" w:rsidTr="00A87AE2">
        <w:tc>
          <w:tcPr>
            <w:tcW w:w="3119" w:type="dxa"/>
            <w:vAlign w:val="center"/>
          </w:tcPr>
          <w:p w:rsidR="00A87AE2" w:rsidRPr="007E5614" w:rsidRDefault="00A87AE2" w:rsidP="00A87AE2">
            <w:pPr>
              <w:pStyle w:val="Table-AnnualReport"/>
              <w:tabs>
                <w:tab w:val="left" w:pos="3470"/>
              </w:tabs>
            </w:pPr>
            <w:r w:rsidRPr="007E5614">
              <w:t xml:space="preserve">Social Housing owned and/or managed </w:t>
            </w:r>
            <w:r w:rsidRPr="007E5614">
              <w:br/>
              <w:t>by the Community Sector</w:t>
            </w:r>
            <w:r w:rsidRPr="007E5614">
              <w:rPr>
                <w:vertAlign w:val="superscript"/>
              </w:rPr>
              <w:t xml:space="preserve">2 </w:t>
            </w:r>
            <w:r w:rsidRPr="007E5614">
              <w:rPr>
                <w:vertAlign w:val="superscript"/>
              </w:rPr>
              <w:tab/>
            </w:r>
          </w:p>
        </w:tc>
        <w:tc>
          <w:tcPr>
            <w:tcW w:w="1134" w:type="dxa"/>
          </w:tcPr>
          <w:p w:rsidR="00A87AE2" w:rsidRPr="007E5614" w:rsidRDefault="00A87AE2" w:rsidP="00A87AE2">
            <w:pPr>
              <w:pStyle w:val="Table-AnnualReport"/>
              <w:tabs>
                <w:tab w:val="left" w:pos="3470"/>
              </w:tabs>
              <w:jc w:val="right"/>
            </w:pPr>
            <w:r>
              <w:t>%</w:t>
            </w:r>
          </w:p>
        </w:tc>
        <w:tc>
          <w:tcPr>
            <w:tcW w:w="1134" w:type="dxa"/>
          </w:tcPr>
          <w:p w:rsidR="00A87AE2" w:rsidRPr="007E5614" w:rsidRDefault="00A87AE2" w:rsidP="00A87AE2">
            <w:pPr>
              <w:pStyle w:val="Table-AnnualReport"/>
              <w:jc w:val="right"/>
            </w:pPr>
            <w:r w:rsidRPr="007E5614">
              <w:t>17.0</w:t>
            </w:r>
          </w:p>
        </w:tc>
        <w:tc>
          <w:tcPr>
            <w:tcW w:w="1276" w:type="dxa"/>
          </w:tcPr>
          <w:p w:rsidR="00A87AE2" w:rsidRPr="007E5614" w:rsidRDefault="00A87AE2" w:rsidP="00A87AE2">
            <w:pPr>
              <w:pStyle w:val="Table-AnnualReport"/>
              <w:jc w:val="right"/>
            </w:pPr>
            <w:r w:rsidRPr="007E5614">
              <w:t>34.0</w:t>
            </w:r>
          </w:p>
        </w:tc>
        <w:tc>
          <w:tcPr>
            <w:tcW w:w="1110" w:type="dxa"/>
          </w:tcPr>
          <w:p w:rsidR="00A87AE2" w:rsidRPr="007E5614" w:rsidRDefault="00A87AE2" w:rsidP="00A87AE2">
            <w:pPr>
              <w:pStyle w:val="Table-AnnualReport"/>
              <w:jc w:val="right"/>
            </w:pPr>
            <w:r w:rsidRPr="007E5614">
              <w:t>42.7</w:t>
            </w:r>
          </w:p>
        </w:tc>
        <w:tc>
          <w:tcPr>
            <w:tcW w:w="1145" w:type="dxa"/>
          </w:tcPr>
          <w:p w:rsidR="00A87AE2" w:rsidRPr="007E5614" w:rsidRDefault="00A87AE2" w:rsidP="00A87AE2">
            <w:pPr>
              <w:pStyle w:val="Table-AnnualReport"/>
              <w:jc w:val="right"/>
            </w:pPr>
            <w:r w:rsidRPr="007E5614">
              <w:t>42.4</w:t>
            </w:r>
          </w:p>
        </w:tc>
      </w:tr>
    </w:tbl>
    <w:p w:rsidR="00A87AE2" w:rsidRPr="007E5614" w:rsidRDefault="00A87AE2" w:rsidP="00A87AE2">
      <w:pPr>
        <w:pStyle w:val="NotesHeading"/>
        <w:tabs>
          <w:tab w:val="num" w:pos="0"/>
        </w:tabs>
        <w:spacing w:before="60" w:after="60"/>
        <w:rPr>
          <w:rFonts w:ascii="GillSans Light" w:eastAsia="Times New Roman" w:hAnsi="GillSans Light"/>
          <w:szCs w:val="18"/>
        </w:rPr>
      </w:pPr>
      <w:r w:rsidRPr="007E5614">
        <w:rPr>
          <w:rFonts w:ascii="GillSans Light" w:eastAsia="Times New Roman" w:hAnsi="GillSans Light"/>
          <w:szCs w:val="18"/>
        </w:rPr>
        <w:t>Notes:</w:t>
      </w:r>
    </w:p>
    <w:p w:rsidR="00A87AE2" w:rsidRPr="007E5614" w:rsidRDefault="00A87AE2" w:rsidP="00A87AE2">
      <w:pPr>
        <w:pStyle w:val="Notes"/>
        <w:numPr>
          <w:ilvl w:val="0"/>
          <w:numId w:val="25"/>
        </w:numPr>
        <w:spacing w:after="60"/>
        <w:rPr>
          <w:rFonts w:ascii="GillSans Light" w:hAnsi="GillSans Light"/>
        </w:rPr>
      </w:pPr>
      <w:r w:rsidRPr="007E5614">
        <w:rPr>
          <w:rFonts w:ascii="GillSans Light" w:hAnsi="GillSans Light"/>
        </w:rPr>
        <w:t xml:space="preserve">The 2015-16 </w:t>
      </w:r>
      <w:proofErr w:type="gramStart"/>
      <w:r w:rsidRPr="007E5614">
        <w:rPr>
          <w:rFonts w:ascii="GillSans Light" w:hAnsi="GillSans Light"/>
        </w:rPr>
        <w:t>target</w:t>
      </w:r>
      <w:proofErr w:type="gramEnd"/>
      <w:r w:rsidRPr="007E5614">
        <w:rPr>
          <w:rFonts w:ascii="GillSans Light" w:hAnsi="GillSans Light"/>
        </w:rPr>
        <w:t xml:space="preserve"> in the 2015-16 Budget Papers was 60 per cent. The 2015-16 </w:t>
      </w:r>
      <w:proofErr w:type="gramStart"/>
      <w:r w:rsidRPr="007E5614">
        <w:rPr>
          <w:rFonts w:ascii="GillSans Light" w:hAnsi="GillSans Light"/>
        </w:rPr>
        <w:t>target</w:t>
      </w:r>
      <w:proofErr w:type="gramEnd"/>
      <w:r w:rsidRPr="007E5614">
        <w:rPr>
          <w:rFonts w:ascii="GillSans Light" w:hAnsi="GillSans Light"/>
        </w:rPr>
        <w:t xml:space="preserve"> was revised in the 2016-17 Budget Papers to be 40 per cent, to reflect the Department’s capacity to undertake Quality and Safety Reviews.</w:t>
      </w:r>
    </w:p>
    <w:p w:rsidR="00A87AE2" w:rsidRDefault="00A87AE2" w:rsidP="00A87AE2">
      <w:pPr>
        <w:pStyle w:val="Notes"/>
        <w:numPr>
          <w:ilvl w:val="0"/>
          <w:numId w:val="25"/>
        </w:numPr>
        <w:spacing w:after="60"/>
        <w:rPr>
          <w:rFonts w:ascii="GillSans Light" w:hAnsi="GillSans Light"/>
        </w:rPr>
      </w:pPr>
      <w:r w:rsidRPr="007E5614">
        <w:rPr>
          <w:rFonts w:ascii="GillSans Light" w:hAnsi="GillSans Light"/>
        </w:rPr>
        <w:t xml:space="preserve">The 2015-16 </w:t>
      </w:r>
      <w:proofErr w:type="gramStart"/>
      <w:r w:rsidRPr="007E5614">
        <w:rPr>
          <w:rFonts w:ascii="GillSans Light" w:hAnsi="GillSans Light"/>
        </w:rPr>
        <w:t>target</w:t>
      </w:r>
      <w:proofErr w:type="gramEnd"/>
      <w:r w:rsidRPr="007E5614">
        <w:rPr>
          <w:rFonts w:ascii="GillSans Light" w:hAnsi="GillSans Light"/>
        </w:rPr>
        <w:t xml:space="preserve"> in the 2015-16 Budget Papers was 35 per cent, which reflected the agreed National target. The 2015-16 </w:t>
      </w:r>
      <w:proofErr w:type="gramStart"/>
      <w:r w:rsidRPr="007E5614">
        <w:rPr>
          <w:rFonts w:ascii="GillSans Light" w:hAnsi="GillSans Light"/>
        </w:rPr>
        <w:t>target</w:t>
      </w:r>
      <w:proofErr w:type="gramEnd"/>
      <w:r w:rsidRPr="007E5614">
        <w:rPr>
          <w:rFonts w:ascii="GillSans Light" w:hAnsi="GillSans Light"/>
        </w:rPr>
        <w:t xml:space="preserve"> was revised in the 2016-17 Budget Papers to 42.7 per cent to reflect the current level of social housing stock under community management.</w:t>
      </w:r>
    </w:p>
    <w:p w:rsidR="00A87AE2" w:rsidRDefault="00A87AE2" w:rsidP="00A87AE2">
      <w:pPr>
        <w:pStyle w:val="Notes"/>
        <w:numPr>
          <w:ilvl w:val="0"/>
          <w:numId w:val="0"/>
        </w:numPr>
        <w:spacing w:after="60"/>
        <w:rPr>
          <w:rFonts w:ascii="GillSans Light" w:hAnsi="GillSans Light"/>
        </w:rPr>
        <w:sectPr w:rsidR="00A87AE2" w:rsidSect="00A87AE2">
          <w:pgSz w:w="11906" w:h="16838"/>
          <w:pgMar w:top="851" w:right="1274" w:bottom="567" w:left="1440" w:header="708" w:footer="708" w:gutter="0"/>
          <w:cols w:space="708"/>
          <w:docGrid w:linePitch="360"/>
        </w:sectPr>
      </w:pPr>
    </w:p>
    <w:p w:rsidR="00A87AE2" w:rsidRPr="007E5614" w:rsidRDefault="00A87AE2" w:rsidP="00A87AE2">
      <w:pPr>
        <w:pStyle w:val="Heading4"/>
      </w:pPr>
      <w:r w:rsidRPr="007E5614">
        <w:lastRenderedPageBreak/>
        <w:t>NDIS Trial</w:t>
      </w:r>
    </w:p>
    <w:p w:rsidR="00A87AE2" w:rsidRPr="007E5614" w:rsidRDefault="00A87AE2" w:rsidP="00A87AE2">
      <w:r w:rsidRPr="007E5614">
        <w:t>As Tasmania has already undertaken significant reform of the specialist disability service system, the State submitted a proposal, which was accepted, to be included as a trial site for the NDIS from 1 July 2013. The cohort of young people aged 15 to 24 was chosen for the trial, as this was considered an opportunity to address some of the long standing transitional issues for young people moving from school to employment or vocational options and for those young people moving out of state care.</w:t>
      </w:r>
    </w:p>
    <w:p w:rsidR="00A87AE2" w:rsidRPr="007E5614" w:rsidRDefault="00A87AE2" w:rsidP="00A87AE2">
      <w:r w:rsidRPr="007E5614">
        <w:t>The NDIS trial for the 15 to 24 cohort saw over 1 100 young people supported by the NDIS, exceeding the expected Bilateral targets for the trial. The transition of the remaining 9 500 Tasmanians with disability to the NDIS will commence in 2016-17. A Bilateral Agreement for transition was signed by the Tasmanian a</w:t>
      </w:r>
      <w:r>
        <w:t>nd Australian Governments on 11 </w:t>
      </w:r>
      <w:r w:rsidRPr="007E5614">
        <w:t>December 2015.</w:t>
      </w:r>
    </w:p>
    <w:p w:rsidR="00A87AE2" w:rsidRDefault="00A87AE2" w:rsidP="00A87AE2">
      <w:pPr>
        <w:spacing w:before="200"/>
        <w:rPr>
          <w:b/>
        </w:rPr>
      </w:pPr>
      <w:r w:rsidRPr="007E5614">
        <w:rPr>
          <w:b/>
        </w:rPr>
        <w:br w:type="column"/>
      </w:r>
    </w:p>
    <w:p w:rsidR="00A87AE2" w:rsidRPr="007E5614" w:rsidRDefault="00A87AE2" w:rsidP="00A87AE2">
      <w:pPr>
        <w:pStyle w:val="Heading4"/>
      </w:pPr>
      <w:r w:rsidRPr="007E5614">
        <w:t>Social Housing</w:t>
      </w:r>
    </w:p>
    <w:p w:rsidR="00A87AE2" w:rsidRPr="007E5614" w:rsidRDefault="00A87AE2" w:rsidP="00A87AE2">
      <w:r w:rsidRPr="007E5614">
        <w:t xml:space="preserve">The Tasmanian Government is undertaking housing reform by building the capacity of the community sector to better respond to the growing demand for social housing. Around 3 900 properties have been transferred for management by the community sector under the Better Housing </w:t>
      </w:r>
      <w:r w:rsidRPr="007E5614">
        <w:rPr>
          <w:i/>
        </w:rPr>
        <w:t xml:space="preserve">Futures </w:t>
      </w:r>
      <w:r w:rsidRPr="007E5614">
        <w:t>initiative.</w:t>
      </w:r>
    </w:p>
    <w:p w:rsidR="00A87AE2" w:rsidRPr="007E5614" w:rsidRDefault="00A87AE2" w:rsidP="00A87AE2">
      <w:r w:rsidRPr="007E5614">
        <w:t>The management of social housing by the community sector results in many positive outcomes including flexibility in supporting tenants with special needs, having a social mix of tenants and providing a range of community initiatives.</w:t>
      </w:r>
    </w:p>
    <w:p w:rsidR="00A87AE2" w:rsidRPr="007E5614" w:rsidRDefault="00A87AE2" w:rsidP="00A87AE2">
      <w:r w:rsidRPr="007E5614">
        <w:t>The innovative model also provides access to Commonwealth Rental Assistance, GST savings and greater investment in maintenance.</w:t>
      </w:r>
    </w:p>
    <w:p w:rsidR="00A87AE2" w:rsidRPr="007E5614" w:rsidRDefault="00A87AE2" w:rsidP="00A87AE2">
      <w:r>
        <w:br w:type="column"/>
      </w:r>
      <w:r w:rsidRPr="007E5614">
        <w:lastRenderedPageBreak/>
        <w:t>Housing Tasmania will b</w:t>
      </w:r>
      <w:r>
        <w:t xml:space="preserve">uild on this initiative through </w:t>
      </w:r>
      <w:r w:rsidRPr="007E5614">
        <w:rPr>
          <w:i/>
        </w:rPr>
        <w:t>Tasmania’s Affordable Housing Action Plan</w:t>
      </w:r>
      <w:r w:rsidRPr="007E5614">
        <w:t>, which</w:t>
      </w:r>
      <w:r w:rsidRPr="007E5614">
        <w:rPr>
          <w:i/>
        </w:rPr>
        <w:t xml:space="preserve"> </w:t>
      </w:r>
      <w:r w:rsidRPr="007E5614">
        <w:t>has sought innovative proposals</w:t>
      </w:r>
      <w:r>
        <w:t>,</w:t>
      </w:r>
      <w:r w:rsidRPr="007E5614">
        <w:t xml:space="preserve"> </w:t>
      </w:r>
      <w:r>
        <w:t xml:space="preserve">including under the Community Stock Leverage Program, </w:t>
      </w:r>
      <w:r w:rsidRPr="007E5614">
        <w:t xml:space="preserve">to </w:t>
      </w:r>
      <w:r>
        <w:t>increase sup</w:t>
      </w:r>
      <w:r w:rsidRPr="007E5614">
        <w:t>ply from the existing social housing portfolio. This will initially increase supply by around 150 properties. This initiative will provide additional borrowing capacity and recurrent financial incentives for the community housing organisations to construct additional houses targeted towards priority applicants.</w:t>
      </w:r>
    </w:p>
    <w:p w:rsidR="00A87AE2" w:rsidRPr="007E5614" w:rsidRDefault="00A87AE2" w:rsidP="00A87AE2">
      <w:r w:rsidRPr="007E5614">
        <w:t>The proportion of social housing stock owned and managed by community organisations has varied slightly by 0.3 per cent from 2014</w:t>
      </w:r>
      <w:r w:rsidRPr="007E5614">
        <w:noBreakHyphen/>
        <w:t>15 to 2015</w:t>
      </w:r>
      <w:r w:rsidRPr="007E5614">
        <w:noBreakHyphen/>
        <w:t xml:space="preserve">16 but is likely to remain stable or </w:t>
      </w:r>
      <w:r>
        <w:t xml:space="preserve">slightly </w:t>
      </w:r>
      <w:r w:rsidRPr="007E5614">
        <w:t>increase in the future. This is consistent with a trending national increase of the proportion of community housing stock in the social housing portfolio.</w:t>
      </w:r>
    </w:p>
    <w:p w:rsidR="00A87AE2" w:rsidRPr="007E5614" w:rsidRDefault="00A87AE2" w:rsidP="00A87AE2">
      <w:pPr>
        <w:pStyle w:val="Heading4"/>
      </w:pPr>
      <w:r w:rsidRPr="007E5614">
        <w:t>Quality and Safety Reviews</w:t>
      </w:r>
    </w:p>
    <w:p w:rsidR="00A87AE2" w:rsidRPr="007E5614" w:rsidRDefault="00A87AE2" w:rsidP="00A87AE2">
      <w:r w:rsidRPr="007E5614">
        <w:t>The program of DHHS led Quality and Safety Reviews of funded community sector organisations continues.  Organisations are engaging in the process and demonstrating a commitment to continual improvement and the provision of quality services. In addition, program areas regularly monitor community service organisations’ continuous improvement against quality and safety plans as part of their general funding agreement management role.</w:t>
      </w:r>
    </w:p>
    <w:p w:rsidR="00A87AE2" w:rsidRPr="007E5614" w:rsidRDefault="00A87AE2" w:rsidP="00A87AE2">
      <w:pPr>
        <w:pStyle w:val="Notes"/>
        <w:numPr>
          <w:ilvl w:val="0"/>
          <w:numId w:val="0"/>
        </w:numPr>
        <w:spacing w:after="60"/>
        <w:rPr>
          <w:rFonts w:ascii="GillSans Light" w:hAnsi="GillSans Light"/>
        </w:rPr>
      </w:pPr>
    </w:p>
    <w:p w:rsidR="00A87AE2" w:rsidRDefault="00A87AE2" w:rsidP="00A87AE2">
      <w:pPr>
        <w:keepNext/>
      </w:pPr>
      <w:r w:rsidRPr="007E5614">
        <w:rPr>
          <w:noProof/>
          <w:lang w:eastAsia="en-AU"/>
        </w:rPr>
        <w:drawing>
          <wp:inline distT="0" distB="0" distL="0" distR="0" wp14:anchorId="374E45F5" wp14:editId="50DE90FC">
            <wp:extent cx="2637790" cy="1758315"/>
            <wp:effectExtent l="0" t="0" r="0" b="0"/>
            <wp:docPr id="30" name="Picture 30" descr="Social Housing in Hobart"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Secretary\Reporting\Annual Report\Annual Report 2015-2016\aWorkflow\Part 1 - Overview and Open\02 - Ready for Collation (Returned from BUs)\Housing pic 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37790" cy="1758315"/>
                    </a:xfrm>
                    <a:prstGeom prst="rect">
                      <a:avLst/>
                    </a:prstGeom>
                    <a:noFill/>
                    <a:ln>
                      <a:noFill/>
                    </a:ln>
                  </pic:spPr>
                </pic:pic>
              </a:graphicData>
            </a:graphic>
          </wp:inline>
        </w:drawing>
      </w:r>
    </w:p>
    <w:p w:rsidR="00A87AE2" w:rsidRPr="00A87AE2" w:rsidRDefault="00A87AE2" w:rsidP="00A87AE2">
      <w:pPr>
        <w:pStyle w:val="Caption"/>
        <w:rPr>
          <w:color w:val="auto"/>
        </w:rPr>
      </w:pPr>
      <w:r w:rsidRPr="00A87AE2">
        <w:rPr>
          <w:color w:val="auto"/>
        </w:rPr>
        <w:t xml:space="preserve">Figure </w:t>
      </w:r>
      <w:r w:rsidRPr="00A87AE2">
        <w:rPr>
          <w:color w:val="auto"/>
        </w:rPr>
        <w:fldChar w:fldCharType="begin"/>
      </w:r>
      <w:r w:rsidRPr="00A87AE2">
        <w:rPr>
          <w:color w:val="auto"/>
        </w:rPr>
        <w:instrText xml:space="preserve"> SEQ Figure \* ARABIC </w:instrText>
      </w:r>
      <w:r w:rsidRPr="00A87AE2">
        <w:rPr>
          <w:color w:val="auto"/>
        </w:rPr>
        <w:fldChar w:fldCharType="separate"/>
      </w:r>
      <w:r w:rsidR="00EC5964">
        <w:rPr>
          <w:noProof/>
          <w:color w:val="auto"/>
        </w:rPr>
        <w:t>4</w:t>
      </w:r>
      <w:r w:rsidRPr="00A87AE2">
        <w:rPr>
          <w:color w:val="auto"/>
        </w:rPr>
        <w:fldChar w:fldCharType="end"/>
      </w:r>
      <w:r w:rsidRPr="00A87AE2">
        <w:rPr>
          <w:color w:val="auto"/>
        </w:rPr>
        <w:t>: Social Housing in Hobart</w:t>
      </w:r>
    </w:p>
    <w:p w:rsidR="00A87AE2" w:rsidRPr="007E5614" w:rsidRDefault="00A87AE2" w:rsidP="00A87AE2">
      <w:pPr>
        <w:autoSpaceDE w:val="0"/>
        <w:autoSpaceDN w:val="0"/>
        <w:adjustRightInd w:val="0"/>
        <w:spacing w:after="120"/>
        <w:rPr>
          <w:rFonts w:cs="Arial"/>
          <w:lang w:eastAsia="en-AU"/>
        </w:rPr>
      </w:pPr>
    </w:p>
    <w:p w:rsidR="00A87AE2" w:rsidRDefault="00A87AE2" w:rsidP="00A87AE2">
      <w:pPr>
        <w:pStyle w:val="Notes"/>
        <w:numPr>
          <w:ilvl w:val="0"/>
          <w:numId w:val="0"/>
        </w:numPr>
        <w:spacing w:after="60"/>
        <w:ind w:left="283" w:hanging="283"/>
        <w:rPr>
          <w:rFonts w:ascii="Gill Sans MT" w:eastAsia="Times New Roman" w:hAnsi="Gill Sans MT"/>
          <w:sz w:val="16"/>
          <w:szCs w:val="16"/>
        </w:rPr>
        <w:sectPr w:rsidR="00A87AE2" w:rsidSect="00A87AE2">
          <w:type w:val="continuous"/>
          <w:pgSz w:w="11906" w:h="16838"/>
          <w:pgMar w:top="851" w:right="1274" w:bottom="567" w:left="1440" w:header="708" w:footer="708" w:gutter="0"/>
          <w:cols w:num="2" w:space="708"/>
          <w:docGrid w:linePitch="360"/>
        </w:sectPr>
      </w:pPr>
    </w:p>
    <w:p w:rsidR="00A87AE2" w:rsidRDefault="00A87AE2" w:rsidP="00A87AE2">
      <w:pPr>
        <w:pStyle w:val="Heading3"/>
      </w:pPr>
      <w:r>
        <w:lastRenderedPageBreak/>
        <w:t>Children</w:t>
      </w:r>
      <w:r w:rsidRPr="007E5614">
        <w:t xml:space="preserve"> Services System Management</w:t>
      </w:r>
    </w:p>
    <w:tbl>
      <w:tblPr>
        <w:tblW w:w="9388" w:type="dxa"/>
        <w:tblInd w:w="108" w:type="dxa"/>
        <w:tblBorders>
          <w:top w:val="single" w:sz="4" w:space="0" w:color="808080"/>
          <w:bottom w:val="single" w:sz="4" w:space="0" w:color="808080"/>
          <w:insideH w:val="single" w:sz="4" w:space="0" w:color="808080"/>
        </w:tblBorders>
        <w:tblLook w:val="04A0" w:firstRow="1" w:lastRow="0" w:firstColumn="1" w:lastColumn="0" w:noHBand="0" w:noVBand="1"/>
        <w:tblCaption w:val="Children Services System Management Performance Comparison"/>
      </w:tblPr>
      <w:tblGrid>
        <w:gridCol w:w="3894"/>
        <w:gridCol w:w="992"/>
        <w:gridCol w:w="1144"/>
        <w:gridCol w:w="1124"/>
        <w:gridCol w:w="1124"/>
        <w:gridCol w:w="1110"/>
      </w:tblGrid>
      <w:tr w:rsidR="00A87AE2" w:rsidRPr="007E5614" w:rsidTr="00A87AE2">
        <w:trPr>
          <w:cantSplit/>
          <w:tblHeader/>
        </w:trPr>
        <w:tc>
          <w:tcPr>
            <w:tcW w:w="3894" w:type="dxa"/>
            <w:shd w:val="clear" w:color="auto" w:fill="auto"/>
            <w:vAlign w:val="center"/>
          </w:tcPr>
          <w:p w:rsidR="00A87AE2" w:rsidRPr="007E5614" w:rsidRDefault="00A87AE2" w:rsidP="00A87AE2">
            <w:pPr>
              <w:spacing w:before="60" w:after="60" w:line="240" w:lineRule="auto"/>
              <w:rPr>
                <w:b/>
                <w:sz w:val="18"/>
                <w:szCs w:val="18"/>
              </w:rPr>
            </w:pPr>
            <w:r w:rsidRPr="007E5614">
              <w:rPr>
                <w:b/>
                <w:sz w:val="18"/>
                <w:szCs w:val="18"/>
              </w:rPr>
              <w:t>Performance Measure</w:t>
            </w:r>
          </w:p>
        </w:tc>
        <w:tc>
          <w:tcPr>
            <w:tcW w:w="992" w:type="dxa"/>
            <w:shd w:val="clear" w:color="auto" w:fill="auto"/>
            <w:vAlign w:val="center"/>
          </w:tcPr>
          <w:p w:rsidR="00A87AE2" w:rsidRPr="007E5614" w:rsidRDefault="00A87AE2" w:rsidP="00A87AE2">
            <w:pPr>
              <w:spacing w:before="60" w:after="60" w:line="240" w:lineRule="auto"/>
              <w:jc w:val="right"/>
              <w:rPr>
                <w:b/>
                <w:sz w:val="18"/>
                <w:szCs w:val="18"/>
              </w:rPr>
            </w:pPr>
            <w:r w:rsidRPr="007E5614">
              <w:rPr>
                <w:b/>
                <w:sz w:val="18"/>
                <w:szCs w:val="18"/>
              </w:rPr>
              <w:t>Unit of Measure</w:t>
            </w:r>
          </w:p>
        </w:tc>
        <w:tc>
          <w:tcPr>
            <w:tcW w:w="1144" w:type="dxa"/>
            <w:shd w:val="clear" w:color="auto" w:fill="auto"/>
            <w:vAlign w:val="center"/>
          </w:tcPr>
          <w:p w:rsidR="00A87AE2" w:rsidRPr="007E5614" w:rsidRDefault="00A87AE2" w:rsidP="00A87AE2">
            <w:pPr>
              <w:spacing w:before="60" w:after="60" w:line="240" w:lineRule="auto"/>
              <w:jc w:val="right"/>
              <w:rPr>
                <w:b/>
                <w:sz w:val="18"/>
                <w:szCs w:val="18"/>
              </w:rPr>
            </w:pPr>
            <w:r w:rsidRPr="007E5614">
              <w:rPr>
                <w:b/>
                <w:sz w:val="18"/>
                <w:szCs w:val="18"/>
              </w:rPr>
              <w:t xml:space="preserve">2012-13 </w:t>
            </w:r>
            <w:r w:rsidRPr="007E5614">
              <w:rPr>
                <w:b/>
                <w:sz w:val="18"/>
                <w:szCs w:val="18"/>
              </w:rPr>
              <w:br/>
              <w:t>Actual</w:t>
            </w:r>
          </w:p>
        </w:tc>
        <w:tc>
          <w:tcPr>
            <w:tcW w:w="1124" w:type="dxa"/>
            <w:shd w:val="clear" w:color="auto" w:fill="auto"/>
            <w:vAlign w:val="center"/>
          </w:tcPr>
          <w:p w:rsidR="00A87AE2" w:rsidRPr="007E5614" w:rsidRDefault="00A87AE2" w:rsidP="00A87AE2">
            <w:pPr>
              <w:spacing w:before="60" w:after="60" w:line="240" w:lineRule="auto"/>
              <w:jc w:val="right"/>
              <w:rPr>
                <w:b/>
                <w:sz w:val="18"/>
                <w:szCs w:val="18"/>
              </w:rPr>
            </w:pPr>
            <w:r w:rsidRPr="007E5614">
              <w:rPr>
                <w:b/>
                <w:sz w:val="18"/>
                <w:szCs w:val="18"/>
              </w:rPr>
              <w:t>2013-14 Actual</w:t>
            </w:r>
          </w:p>
        </w:tc>
        <w:tc>
          <w:tcPr>
            <w:tcW w:w="1124" w:type="dxa"/>
            <w:shd w:val="clear" w:color="auto" w:fill="auto"/>
            <w:vAlign w:val="center"/>
          </w:tcPr>
          <w:p w:rsidR="00A87AE2" w:rsidRPr="007E5614" w:rsidRDefault="00A87AE2" w:rsidP="00A87AE2">
            <w:pPr>
              <w:spacing w:before="60" w:after="60" w:line="240" w:lineRule="auto"/>
              <w:jc w:val="right"/>
              <w:rPr>
                <w:b/>
                <w:sz w:val="18"/>
                <w:szCs w:val="18"/>
              </w:rPr>
            </w:pPr>
            <w:r w:rsidRPr="007E5614">
              <w:rPr>
                <w:b/>
                <w:sz w:val="18"/>
                <w:szCs w:val="18"/>
              </w:rPr>
              <w:t>2014-15 Actual</w:t>
            </w:r>
          </w:p>
        </w:tc>
        <w:tc>
          <w:tcPr>
            <w:tcW w:w="1110" w:type="dxa"/>
            <w:vAlign w:val="center"/>
          </w:tcPr>
          <w:p w:rsidR="00A87AE2" w:rsidRPr="007E5614" w:rsidRDefault="00A87AE2" w:rsidP="00A87AE2">
            <w:pPr>
              <w:spacing w:before="60" w:after="60" w:line="240" w:lineRule="auto"/>
              <w:jc w:val="center"/>
              <w:rPr>
                <w:b/>
                <w:sz w:val="18"/>
                <w:szCs w:val="18"/>
              </w:rPr>
            </w:pPr>
            <w:r w:rsidRPr="007E5614">
              <w:rPr>
                <w:b/>
                <w:sz w:val="18"/>
                <w:szCs w:val="18"/>
              </w:rPr>
              <w:t>2015-16 Actual</w:t>
            </w:r>
          </w:p>
        </w:tc>
      </w:tr>
      <w:tr w:rsidR="00A87AE2" w:rsidRPr="007E5614" w:rsidTr="00A87AE2">
        <w:trPr>
          <w:cantSplit/>
          <w:tblHeader/>
        </w:trPr>
        <w:tc>
          <w:tcPr>
            <w:tcW w:w="3894" w:type="dxa"/>
            <w:vAlign w:val="center"/>
          </w:tcPr>
          <w:p w:rsidR="00A87AE2" w:rsidRPr="007E5614" w:rsidRDefault="00A87AE2" w:rsidP="00A87AE2">
            <w:pPr>
              <w:spacing w:before="60" w:after="60" w:line="240" w:lineRule="auto"/>
              <w:rPr>
                <w:sz w:val="18"/>
                <w:szCs w:val="18"/>
              </w:rPr>
            </w:pPr>
            <w:r w:rsidRPr="007E5614">
              <w:rPr>
                <w:sz w:val="18"/>
                <w:szCs w:val="18"/>
              </w:rPr>
              <w:t>Planned strategic projects with milestones achieved</w:t>
            </w:r>
          </w:p>
        </w:tc>
        <w:tc>
          <w:tcPr>
            <w:tcW w:w="992" w:type="dxa"/>
            <w:vAlign w:val="center"/>
          </w:tcPr>
          <w:p w:rsidR="00A87AE2" w:rsidRPr="007E5614" w:rsidRDefault="00A87AE2" w:rsidP="00A87AE2">
            <w:pPr>
              <w:spacing w:before="60" w:after="60" w:line="240" w:lineRule="auto"/>
              <w:jc w:val="right"/>
              <w:rPr>
                <w:sz w:val="18"/>
                <w:szCs w:val="18"/>
              </w:rPr>
            </w:pPr>
            <w:r w:rsidRPr="007E5614">
              <w:rPr>
                <w:sz w:val="18"/>
                <w:szCs w:val="18"/>
              </w:rPr>
              <w:t>%</w:t>
            </w:r>
          </w:p>
        </w:tc>
        <w:tc>
          <w:tcPr>
            <w:tcW w:w="1144" w:type="dxa"/>
            <w:vAlign w:val="center"/>
          </w:tcPr>
          <w:p w:rsidR="00A87AE2" w:rsidRPr="007E5614" w:rsidRDefault="00A87AE2" w:rsidP="00A87AE2">
            <w:pPr>
              <w:spacing w:before="60" w:after="60" w:line="240" w:lineRule="auto"/>
              <w:jc w:val="right"/>
              <w:rPr>
                <w:sz w:val="18"/>
                <w:szCs w:val="18"/>
              </w:rPr>
            </w:pPr>
            <w:r w:rsidRPr="007E5614">
              <w:rPr>
                <w:sz w:val="18"/>
                <w:szCs w:val="18"/>
              </w:rPr>
              <w:t>N/A</w:t>
            </w:r>
          </w:p>
        </w:tc>
        <w:tc>
          <w:tcPr>
            <w:tcW w:w="1124" w:type="dxa"/>
            <w:vAlign w:val="center"/>
          </w:tcPr>
          <w:p w:rsidR="00A87AE2" w:rsidRPr="007E5614" w:rsidRDefault="00A87AE2" w:rsidP="00A87AE2">
            <w:pPr>
              <w:spacing w:before="60" w:after="60" w:line="240" w:lineRule="auto"/>
              <w:jc w:val="right"/>
              <w:rPr>
                <w:sz w:val="18"/>
                <w:szCs w:val="18"/>
              </w:rPr>
            </w:pPr>
            <w:r w:rsidRPr="007E5614">
              <w:rPr>
                <w:sz w:val="18"/>
                <w:szCs w:val="18"/>
              </w:rPr>
              <w:t>65</w:t>
            </w:r>
          </w:p>
        </w:tc>
        <w:tc>
          <w:tcPr>
            <w:tcW w:w="1124" w:type="dxa"/>
            <w:vAlign w:val="center"/>
          </w:tcPr>
          <w:p w:rsidR="00A87AE2" w:rsidRPr="007E5614" w:rsidRDefault="00A87AE2" w:rsidP="00A87AE2">
            <w:pPr>
              <w:spacing w:before="60" w:after="60" w:line="240" w:lineRule="auto"/>
              <w:jc w:val="right"/>
              <w:rPr>
                <w:sz w:val="18"/>
                <w:szCs w:val="18"/>
              </w:rPr>
            </w:pPr>
            <w:r w:rsidRPr="007E5614">
              <w:rPr>
                <w:sz w:val="18"/>
                <w:szCs w:val="18"/>
              </w:rPr>
              <w:t>59</w:t>
            </w:r>
          </w:p>
        </w:tc>
        <w:tc>
          <w:tcPr>
            <w:tcW w:w="1110" w:type="dxa"/>
            <w:vAlign w:val="center"/>
          </w:tcPr>
          <w:p w:rsidR="00A87AE2" w:rsidRPr="007E5614" w:rsidRDefault="00A87AE2" w:rsidP="00A87AE2">
            <w:pPr>
              <w:spacing w:before="60" w:after="60" w:line="240" w:lineRule="auto"/>
              <w:jc w:val="center"/>
              <w:rPr>
                <w:sz w:val="18"/>
                <w:szCs w:val="18"/>
              </w:rPr>
            </w:pPr>
            <w:r w:rsidRPr="007E5614">
              <w:rPr>
                <w:sz w:val="18"/>
                <w:szCs w:val="18"/>
              </w:rPr>
              <w:t>71</w:t>
            </w:r>
          </w:p>
        </w:tc>
      </w:tr>
      <w:tr w:rsidR="00A87AE2" w:rsidRPr="007E5614" w:rsidTr="00A87AE2">
        <w:trPr>
          <w:cantSplit/>
          <w:tblHeader/>
        </w:trPr>
        <w:tc>
          <w:tcPr>
            <w:tcW w:w="3894" w:type="dxa"/>
            <w:vAlign w:val="center"/>
          </w:tcPr>
          <w:p w:rsidR="00A87AE2" w:rsidRPr="007E5614" w:rsidRDefault="00A87AE2" w:rsidP="00A87AE2">
            <w:pPr>
              <w:spacing w:before="60" w:after="60" w:line="240" w:lineRule="auto"/>
              <w:rPr>
                <w:sz w:val="18"/>
                <w:szCs w:val="18"/>
              </w:rPr>
            </w:pPr>
            <w:r w:rsidRPr="007E5614">
              <w:rPr>
                <w:sz w:val="18"/>
                <w:szCs w:val="18"/>
              </w:rPr>
              <w:t>Planned regular operational performance reviews completed addressing key issues within the remit of Children’s Services</w:t>
            </w:r>
          </w:p>
        </w:tc>
        <w:tc>
          <w:tcPr>
            <w:tcW w:w="992" w:type="dxa"/>
            <w:vAlign w:val="center"/>
          </w:tcPr>
          <w:p w:rsidR="00A87AE2" w:rsidRPr="007E5614" w:rsidRDefault="00A87AE2" w:rsidP="00A87AE2">
            <w:pPr>
              <w:spacing w:before="60" w:after="60" w:line="240" w:lineRule="auto"/>
              <w:jc w:val="right"/>
              <w:rPr>
                <w:sz w:val="18"/>
                <w:szCs w:val="18"/>
              </w:rPr>
            </w:pPr>
            <w:r w:rsidRPr="007E5614">
              <w:rPr>
                <w:sz w:val="18"/>
                <w:szCs w:val="18"/>
              </w:rPr>
              <w:t>%</w:t>
            </w:r>
          </w:p>
        </w:tc>
        <w:tc>
          <w:tcPr>
            <w:tcW w:w="1144" w:type="dxa"/>
            <w:vAlign w:val="center"/>
          </w:tcPr>
          <w:p w:rsidR="00A87AE2" w:rsidRPr="007E5614" w:rsidRDefault="00A87AE2" w:rsidP="00A87AE2">
            <w:pPr>
              <w:spacing w:before="60" w:after="60" w:line="240" w:lineRule="auto"/>
              <w:jc w:val="right"/>
              <w:rPr>
                <w:sz w:val="18"/>
                <w:szCs w:val="18"/>
              </w:rPr>
            </w:pPr>
            <w:r w:rsidRPr="007E5614">
              <w:rPr>
                <w:sz w:val="18"/>
                <w:szCs w:val="18"/>
              </w:rPr>
              <w:t>100</w:t>
            </w:r>
          </w:p>
        </w:tc>
        <w:tc>
          <w:tcPr>
            <w:tcW w:w="1124" w:type="dxa"/>
            <w:vAlign w:val="center"/>
          </w:tcPr>
          <w:p w:rsidR="00A87AE2" w:rsidRPr="007E5614" w:rsidRDefault="00A87AE2" w:rsidP="00A87AE2">
            <w:pPr>
              <w:spacing w:before="60" w:after="60" w:line="240" w:lineRule="auto"/>
              <w:jc w:val="right"/>
              <w:rPr>
                <w:sz w:val="18"/>
                <w:szCs w:val="18"/>
              </w:rPr>
            </w:pPr>
            <w:r w:rsidRPr="007E5614">
              <w:rPr>
                <w:sz w:val="18"/>
                <w:szCs w:val="18"/>
              </w:rPr>
              <w:t>100</w:t>
            </w:r>
          </w:p>
        </w:tc>
        <w:tc>
          <w:tcPr>
            <w:tcW w:w="1124" w:type="dxa"/>
            <w:vAlign w:val="center"/>
          </w:tcPr>
          <w:p w:rsidR="00A87AE2" w:rsidRPr="007E5614" w:rsidRDefault="00A87AE2" w:rsidP="00A87AE2">
            <w:pPr>
              <w:spacing w:before="60" w:after="60" w:line="240" w:lineRule="auto"/>
              <w:jc w:val="right"/>
              <w:rPr>
                <w:sz w:val="18"/>
                <w:szCs w:val="18"/>
              </w:rPr>
            </w:pPr>
            <w:r w:rsidRPr="007E5614">
              <w:rPr>
                <w:sz w:val="18"/>
                <w:szCs w:val="18"/>
              </w:rPr>
              <w:t>100</w:t>
            </w:r>
          </w:p>
        </w:tc>
        <w:tc>
          <w:tcPr>
            <w:tcW w:w="1110" w:type="dxa"/>
            <w:vAlign w:val="center"/>
          </w:tcPr>
          <w:p w:rsidR="00A87AE2" w:rsidRPr="007E5614" w:rsidRDefault="00A87AE2" w:rsidP="00A87AE2">
            <w:pPr>
              <w:spacing w:before="60" w:after="60" w:line="240" w:lineRule="auto"/>
              <w:jc w:val="center"/>
              <w:rPr>
                <w:sz w:val="18"/>
                <w:szCs w:val="18"/>
              </w:rPr>
            </w:pPr>
            <w:r w:rsidRPr="007E5614">
              <w:rPr>
                <w:sz w:val="18"/>
                <w:szCs w:val="18"/>
              </w:rPr>
              <w:t>100</w:t>
            </w:r>
          </w:p>
        </w:tc>
      </w:tr>
      <w:tr w:rsidR="00A87AE2" w:rsidRPr="007E5614" w:rsidTr="00A87AE2">
        <w:trPr>
          <w:cantSplit/>
          <w:tblHeader/>
        </w:trPr>
        <w:tc>
          <w:tcPr>
            <w:tcW w:w="3894" w:type="dxa"/>
            <w:vAlign w:val="center"/>
          </w:tcPr>
          <w:p w:rsidR="00A87AE2" w:rsidRPr="007E5614" w:rsidRDefault="00A87AE2" w:rsidP="00A87AE2">
            <w:pPr>
              <w:spacing w:before="60" w:after="60" w:line="240" w:lineRule="auto"/>
              <w:rPr>
                <w:sz w:val="18"/>
                <w:szCs w:val="18"/>
              </w:rPr>
            </w:pPr>
            <w:r w:rsidRPr="007E5614">
              <w:rPr>
                <w:sz w:val="18"/>
                <w:szCs w:val="18"/>
              </w:rPr>
              <w:t>Planned quality appraisals completed within relevant timeframes</w:t>
            </w:r>
          </w:p>
        </w:tc>
        <w:tc>
          <w:tcPr>
            <w:tcW w:w="992" w:type="dxa"/>
            <w:vAlign w:val="center"/>
          </w:tcPr>
          <w:p w:rsidR="00A87AE2" w:rsidRPr="007E5614" w:rsidRDefault="00A87AE2" w:rsidP="00A87AE2">
            <w:pPr>
              <w:spacing w:before="60" w:after="60" w:line="240" w:lineRule="auto"/>
              <w:jc w:val="right"/>
              <w:rPr>
                <w:sz w:val="18"/>
                <w:szCs w:val="18"/>
              </w:rPr>
            </w:pPr>
            <w:r w:rsidRPr="007E5614">
              <w:rPr>
                <w:sz w:val="18"/>
                <w:szCs w:val="18"/>
              </w:rPr>
              <w:t>%</w:t>
            </w:r>
          </w:p>
        </w:tc>
        <w:tc>
          <w:tcPr>
            <w:tcW w:w="1144" w:type="dxa"/>
            <w:vAlign w:val="center"/>
          </w:tcPr>
          <w:p w:rsidR="00A87AE2" w:rsidRPr="007E5614" w:rsidRDefault="00A87AE2" w:rsidP="00A87AE2">
            <w:pPr>
              <w:spacing w:before="60" w:after="60" w:line="240" w:lineRule="auto"/>
              <w:jc w:val="right"/>
              <w:rPr>
                <w:sz w:val="18"/>
                <w:szCs w:val="18"/>
              </w:rPr>
            </w:pPr>
            <w:r w:rsidRPr="007E5614">
              <w:rPr>
                <w:sz w:val="18"/>
                <w:szCs w:val="18"/>
              </w:rPr>
              <w:t>100</w:t>
            </w:r>
          </w:p>
        </w:tc>
        <w:tc>
          <w:tcPr>
            <w:tcW w:w="1124" w:type="dxa"/>
            <w:vAlign w:val="center"/>
          </w:tcPr>
          <w:p w:rsidR="00A87AE2" w:rsidRPr="007E5614" w:rsidRDefault="00A87AE2" w:rsidP="00A87AE2">
            <w:pPr>
              <w:spacing w:before="60" w:after="60" w:line="240" w:lineRule="auto"/>
              <w:jc w:val="right"/>
              <w:rPr>
                <w:sz w:val="18"/>
                <w:szCs w:val="18"/>
              </w:rPr>
            </w:pPr>
            <w:r w:rsidRPr="007E5614">
              <w:rPr>
                <w:sz w:val="18"/>
                <w:szCs w:val="18"/>
              </w:rPr>
              <w:t>100</w:t>
            </w:r>
          </w:p>
        </w:tc>
        <w:tc>
          <w:tcPr>
            <w:tcW w:w="1124" w:type="dxa"/>
            <w:vAlign w:val="center"/>
          </w:tcPr>
          <w:p w:rsidR="00A87AE2" w:rsidRPr="007E5614" w:rsidRDefault="00A87AE2" w:rsidP="00A87AE2">
            <w:pPr>
              <w:spacing w:before="60" w:after="60" w:line="240" w:lineRule="auto"/>
              <w:jc w:val="right"/>
              <w:rPr>
                <w:sz w:val="18"/>
                <w:szCs w:val="18"/>
              </w:rPr>
            </w:pPr>
            <w:r w:rsidRPr="007E5614">
              <w:rPr>
                <w:sz w:val="18"/>
                <w:szCs w:val="18"/>
              </w:rPr>
              <w:t>100</w:t>
            </w:r>
          </w:p>
        </w:tc>
        <w:tc>
          <w:tcPr>
            <w:tcW w:w="1110" w:type="dxa"/>
            <w:vAlign w:val="center"/>
          </w:tcPr>
          <w:p w:rsidR="00A87AE2" w:rsidRPr="007E5614" w:rsidRDefault="00A87AE2" w:rsidP="00A87AE2">
            <w:pPr>
              <w:spacing w:before="60" w:after="60" w:line="240" w:lineRule="auto"/>
              <w:jc w:val="center"/>
              <w:rPr>
                <w:sz w:val="18"/>
                <w:szCs w:val="18"/>
              </w:rPr>
            </w:pPr>
            <w:r w:rsidRPr="007E5614">
              <w:rPr>
                <w:sz w:val="18"/>
                <w:szCs w:val="18"/>
              </w:rPr>
              <w:t>100</w:t>
            </w:r>
          </w:p>
        </w:tc>
      </w:tr>
    </w:tbl>
    <w:p w:rsidR="00A87AE2" w:rsidRDefault="00A87AE2" w:rsidP="00A87AE2">
      <w:pPr>
        <w:pStyle w:val="Notes"/>
        <w:numPr>
          <w:ilvl w:val="0"/>
          <w:numId w:val="0"/>
        </w:numPr>
        <w:spacing w:after="60"/>
        <w:ind w:left="283" w:hanging="283"/>
        <w:rPr>
          <w:rFonts w:ascii="Gill Sans MT" w:eastAsia="Times New Roman" w:hAnsi="Gill Sans MT"/>
          <w:sz w:val="16"/>
          <w:szCs w:val="16"/>
        </w:rPr>
      </w:pPr>
    </w:p>
    <w:p w:rsidR="00A87AE2" w:rsidRDefault="00A87AE2" w:rsidP="00A87AE2">
      <w:pPr>
        <w:pStyle w:val="Notes"/>
        <w:numPr>
          <w:ilvl w:val="0"/>
          <w:numId w:val="0"/>
        </w:numPr>
        <w:spacing w:after="60"/>
        <w:ind w:left="283" w:hanging="283"/>
        <w:rPr>
          <w:rFonts w:ascii="Gill Sans MT" w:eastAsia="Times New Roman" w:hAnsi="Gill Sans MT"/>
          <w:sz w:val="16"/>
          <w:szCs w:val="16"/>
        </w:rPr>
        <w:sectPr w:rsidR="00A87AE2" w:rsidSect="00A87AE2">
          <w:pgSz w:w="11906" w:h="16838"/>
          <w:pgMar w:top="851" w:right="1274" w:bottom="567" w:left="1440" w:header="708" w:footer="708" w:gutter="0"/>
          <w:cols w:space="708"/>
          <w:docGrid w:linePitch="360"/>
        </w:sectPr>
      </w:pPr>
    </w:p>
    <w:p w:rsidR="00A87AE2" w:rsidRPr="007E5614" w:rsidRDefault="00A87AE2" w:rsidP="00A87AE2">
      <w:r>
        <w:lastRenderedPageBreak/>
        <w:t>Dur</w:t>
      </w:r>
      <w:r w:rsidRPr="007E5614">
        <w:t xml:space="preserve">ing 2015-16, five of seven strategic projects undertaken within CYS were either successfully completed or tracking well. These projects included the </w:t>
      </w:r>
      <w:r w:rsidRPr="007E5614">
        <w:rPr>
          <w:i/>
        </w:rPr>
        <w:t>Family Violence Action Plan</w:t>
      </w:r>
      <w:r>
        <w:t>,</w:t>
      </w:r>
      <w:r w:rsidRPr="007E5614">
        <w:t xml:space="preserve"> Child Protection Redesign, implementation of legislative amendments to the </w:t>
      </w:r>
      <w:r w:rsidRPr="007E5614">
        <w:rPr>
          <w:i/>
        </w:rPr>
        <w:t>Youth Justice Act 1997</w:t>
      </w:r>
      <w:r w:rsidRPr="007E5614">
        <w:t xml:space="preserve">, the Out of Home Care Reform Project and the Youth at Risk Project. </w:t>
      </w:r>
    </w:p>
    <w:p w:rsidR="00A87AE2" w:rsidRPr="007E5614" w:rsidRDefault="00A87AE2" w:rsidP="00A87AE2">
      <w:r w:rsidRPr="007E5614">
        <w:t>CYS continues to progress the CPS Practice Manual Project and the Delegations Review. Work continues to progress on these important projects.</w:t>
      </w:r>
    </w:p>
    <w:p w:rsidR="00A87AE2" w:rsidRPr="007E5614" w:rsidRDefault="00A87AE2" w:rsidP="00A87AE2">
      <w:r w:rsidRPr="007E5614">
        <w:t>Performance information dashboards are updated daily by the Performance and Evaluation Unit in CYS and are available for routine access by a variety of staff in CYS. In addition, review of performance in relation to specific issues is undertaken on an as-needs basis. During 2015-16, five such reviews were scheduled and completed.</w:t>
      </w:r>
      <w:r>
        <w:br w:type="column"/>
      </w:r>
    </w:p>
    <w:p w:rsidR="00A87AE2" w:rsidRPr="007E5614" w:rsidRDefault="00A87AE2" w:rsidP="00A87AE2">
      <w:r w:rsidRPr="007E5614">
        <w:t>Quality appraisals are undertaken by staff in the Quality Improvement and Workforce Development Unit in CYS for practice issues arising in relation to CPS, Youth Justice Services and the Ashley Youth Detention Centre. Key drivers for service quality are determined by applying a combined understanding of research techniques and practice knowledge to identify issues to be addressed through workforce development strategies.</w:t>
      </w:r>
    </w:p>
    <w:p w:rsidR="00A87AE2" w:rsidRDefault="00A87AE2" w:rsidP="00A87AE2">
      <w:pPr>
        <w:pStyle w:val="Notes"/>
        <w:numPr>
          <w:ilvl w:val="0"/>
          <w:numId w:val="0"/>
        </w:numPr>
        <w:spacing w:after="60"/>
        <w:ind w:left="283" w:hanging="283"/>
        <w:rPr>
          <w:rFonts w:ascii="Gill Sans MT" w:eastAsia="Times New Roman" w:hAnsi="Gill Sans MT"/>
          <w:sz w:val="16"/>
          <w:szCs w:val="16"/>
        </w:rPr>
      </w:pPr>
    </w:p>
    <w:p w:rsidR="00F35FF8" w:rsidRDefault="00F35FF8" w:rsidP="00F35FF8">
      <w:pPr>
        <w:pStyle w:val="Notes"/>
        <w:numPr>
          <w:ilvl w:val="0"/>
          <w:numId w:val="0"/>
        </w:numPr>
        <w:spacing w:after="60"/>
        <w:rPr>
          <w:rFonts w:ascii="Gill Sans MT" w:eastAsia="Times New Roman" w:hAnsi="Gill Sans MT"/>
          <w:sz w:val="16"/>
          <w:szCs w:val="16"/>
        </w:rPr>
        <w:sectPr w:rsidR="00F35FF8" w:rsidSect="00A87AE2">
          <w:type w:val="continuous"/>
          <w:pgSz w:w="11906" w:h="16838"/>
          <w:pgMar w:top="851" w:right="1274" w:bottom="567" w:left="1440" w:header="708" w:footer="708" w:gutter="0"/>
          <w:cols w:num="2" w:space="708"/>
          <w:docGrid w:linePitch="360"/>
        </w:sectPr>
      </w:pPr>
    </w:p>
    <w:p w:rsidR="00F35FF8" w:rsidRDefault="00F35FF8" w:rsidP="00F35FF8">
      <w:pPr>
        <w:pStyle w:val="Heading3"/>
      </w:pPr>
    </w:p>
    <w:p w:rsidR="00F35FF8" w:rsidRDefault="00F35FF8" w:rsidP="00F35FF8">
      <w:pPr>
        <w:pStyle w:val="Heading3"/>
      </w:pPr>
      <w:r>
        <w:t>Tasmanian Audit Office Reports</w:t>
      </w:r>
    </w:p>
    <w:p w:rsidR="00F35FF8" w:rsidRDefault="00F35FF8" w:rsidP="00F35FF8"/>
    <w:p w:rsidR="00F35FF8" w:rsidRPr="007E5614" w:rsidRDefault="00F35FF8" w:rsidP="00F35FF8">
      <w:r w:rsidRPr="007E5614">
        <w:t>DHHS is committed to</w:t>
      </w:r>
      <w:r>
        <w:t xml:space="preserve"> the</w:t>
      </w:r>
      <w:r w:rsidRPr="007E5614">
        <w:t xml:space="preserve"> continual improvement </w:t>
      </w:r>
      <w:r>
        <w:t>of the information presented in</w:t>
      </w:r>
      <w:r w:rsidRPr="007E5614">
        <w:t xml:space="preserve"> our Annual Reports each year, to ensure we are actively looking for ways to disseminate relevant, easy to interpret information on our activities and performance. </w:t>
      </w:r>
    </w:p>
    <w:p w:rsidR="00F35FF8" w:rsidRPr="007E5614" w:rsidRDefault="00F35FF8" w:rsidP="00F35FF8">
      <w:r w:rsidRPr="007E5614">
        <w:t>Since 2013, the Tasmanian Audit Office (TAO) has issued reports regarding key performance indicators and efficiency indicators in the Budget Papers.</w:t>
      </w:r>
    </w:p>
    <w:p w:rsidR="00F35FF8" w:rsidRPr="007E5614" w:rsidRDefault="00F35FF8" w:rsidP="00F35FF8">
      <w:pPr>
        <w:rPr>
          <w:highlight w:val="yellow"/>
        </w:rPr>
      </w:pPr>
      <w:r w:rsidRPr="007E5614">
        <w:t>Three key reports are relevant to mention here: Output Based Expenditure, Key Performance Indicator Management – Performance Measures, and the Key Performance Indicators Trial Project.</w:t>
      </w:r>
    </w:p>
    <w:p w:rsidR="00F35FF8" w:rsidRDefault="00F35FF8" w:rsidP="00F35FF8">
      <w:r w:rsidRPr="007E5614">
        <w:t>DHHS is progressively reviewing its Performance Indicators as part of the annual Budget development process.  This work will continue to be progressed during 2016</w:t>
      </w:r>
      <w:r w:rsidRPr="007E5614">
        <w:noBreakHyphen/>
        <w:t>17 with a comprehensive review of performance information to be undertaken, in the context of the various structural and service delivery reforms that have been and are being implemented across DHHS.</w:t>
      </w:r>
    </w:p>
    <w:p w:rsidR="00F35FF8" w:rsidRDefault="00F35FF8" w:rsidP="00F35FF8">
      <w:pPr>
        <w:pStyle w:val="Notes"/>
        <w:numPr>
          <w:ilvl w:val="0"/>
          <w:numId w:val="0"/>
        </w:numPr>
        <w:spacing w:after="60"/>
        <w:rPr>
          <w:rFonts w:ascii="Gill Sans MT" w:eastAsia="Times New Roman" w:hAnsi="Gill Sans MT"/>
          <w:sz w:val="16"/>
          <w:szCs w:val="16"/>
        </w:rPr>
        <w:sectPr w:rsidR="00F35FF8" w:rsidSect="00F35FF8">
          <w:type w:val="continuous"/>
          <w:pgSz w:w="11906" w:h="16838"/>
          <w:pgMar w:top="851" w:right="1274" w:bottom="567" w:left="1440" w:header="708" w:footer="708" w:gutter="0"/>
          <w:cols w:space="708"/>
          <w:docGrid w:linePitch="360"/>
        </w:sectPr>
      </w:pPr>
    </w:p>
    <w:p w:rsidR="00A87AE2" w:rsidRDefault="00A87AE2" w:rsidP="00A87AE2">
      <w:pPr>
        <w:pStyle w:val="Heading2"/>
      </w:pPr>
      <w:bookmarkStart w:id="271" w:name="_Toc461619329"/>
      <w:bookmarkStart w:id="272" w:name="_Toc465174249"/>
      <w:r w:rsidRPr="00242DBD">
        <w:lastRenderedPageBreak/>
        <w:t>DHHS in 2016-1</w:t>
      </w:r>
      <w:bookmarkEnd w:id="271"/>
      <w:r w:rsidRPr="00242DBD">
        <w:t>7</w:t>
      </w:r>
      <w:bookmarkEnd w:id="272"/>
    </w:p>
    <w:p w:rsidR="00A87AE2" w:rsidRDefault="00A87AE2" w:rsidP="00A87AE2"/>
    <w:p w:rsidR="00A87AE2" w:rsidRPr="007E5614" w:rsidRDefault="00A87AE2" w:rsidP="00A87AE2">
      <w:r w:rsidRPr="007E5614">
        <w:t>In 2016-17, DHHS will seek to deliver key projects and reforms to build services that continue to improve the health, wellbeing and safety of Tasmanians, aligning with our strategic priorities.</w:t>
      </w:r>
    </w:p>
    <w:p w:rsidR="00A87AE2" w:rsidRPr="007E5614" w:rsidRDefault="00A87AE2" w:rsidP="00A87AE2">
      <w:pPr>
        <w:pStyle w:val="Heading3"/>
      </w:pPr>
      <w:r w:rsidRPr="007E5614">
        <w:t>Healthy and Safe Tasmanians</w:t>
      </w:r>
    </w:p>
    <w:p w:rsidR="00A87AE2" w:rsidRPr="007E5614" w:rsidRDefault="00A87AE2" w:rsidP="00A87AE2">
      <w:r w:rsidRPr="007E5614">
        <w:t xml:space="preserve">The Healthy Tasmania Strategic Plan was released on 30 July 2016. It </w:t>
      </w:r>
      <w:r>
        <w:t>centres on four </w:t>
      </w:r>
      <w:r w:rsidRPr="007E5614">
        <w:t>priority areas for action: smoking; healthy eating and physical activity; community connections; and chronic conditions screening and management. DHHS is responsible for overseeing the implementation of the majority of the reforms outlined in the Healthy Tasmania Strategic Plan, with support from other agencies where required.</w:t>
      </w:r>
    </w:p>
    <w:p w:rsidR="00A87AE2" w:rsidRPr="007E5614" w:rsidRDefault="00A87AE2" w:rsidP="00A87AE2">
      <w:r w:rsidRPr="007E5614">
        <w:t>In 2016-17, DHHS will develop an implementation framework to support the Healthy Tasmania Strategic Plan, and begin the implementation and rollout of key initiatives. Tasmanian communities will be key partners in delivering the actions outlined in the Healthy Tasmania Strategic Plan, and DHHS will engage in ongoing discussion with the community and key stakeholders throughout the implementation process.</w:t>
      </w:r>
    </w:p>
    <w:p w:rsidR="00A87AE2" w:rsidRPr="007E5614" w:rsidRDefault="00A87AE2" w:rsidP="00A87AE2">
      <w:r w:rsidRPr="007E5614">
        <w:t xml:space="preserve">In 2016-17, we will continue to strengthen the DHHS service response to people experiencing family violence through ongoing implementation of initiatives under </w:t>
      </w:r>
      <w:r w:rsidRPr="007E5614">
        <w:rPr>
          <w:i/>
        </w:rPr>
        <w:t>Safe Homes, Safe Families</w:t>
      </w:r>
      <w:r w:rsidRPr="007E5614">
        <w:t>. These include ongoing rollout of the rapid rehousing initiative pool of 50 homes for those needing accommodation due to family violence, and commencing construction of new crisis accommodation in Hobart.</w:t>
      </w:r>
    </w:p>
    <w:p w:rsidR="00A87AE2" w:rsidRPr="007E5614" w:rsidRDefault="00A87AE2" w:rsidP="00A87AE2">
      <w:r w:rsidRPr="007E5614">
        <w:t xml:space="preserve">Work will also continue in 2016-17 on the Youth at Risk strategy, which will provide the Government with a long term, evidence based, whole of government, strategic direction for responding to the safety and rehabilitative needs of all young people. The strategy is being developed through a consultative model that will ensure a collaborative approach which </w:t>
      </w:r>
      <w:r w:rsidRPr="007E5614">
        <w:lastRenderedPageBreak/>
        <w:t>recognises expertise relating to young people and their needs.</w:t>
      </w:r>
    </w:p>
    <w:p w:rsidR="00A87AE2" w:rsidRPr="007E5614" w:rsidRDefault="00A87AE2" w:rsidP="00A87AE2">
      <w:pPr>
        <w:pStyle w:val="Heading3"/>
      </w:pPr>
      <w:r w:rsidRPr="007E5614">
        <w:t>Well-Governed Systems</w:t>
      </w:r>
    </w:p>
    <w:p w:rsidR="00A87AE2" w:rsidRPr="007E5614" w:rsidRDefault="00A87AE2" w:rsidP="00A87AE2">
      <w:pPr>
        <w:spacing w:before="120" w:after="120"/>
      </w:pPr>
      <w:r w:rsidRPr="007E5614">
        <w:t>In 2016-17, we will continue to embed sound business practices across DHHS to assure Tasmanians that their health and human services are effectively managed.</w:t>
      </w:r>
    </w:p>
    <w:p w:rsidR="00A87AE2" w:rsidRPr="007E5614" w:rsidRDefault="00A87AE2" w:rsidP="00A87AE2">
      <w:pPr>
        <w:spacing w:before="120" w:after="120"/>
      </w:pPr>
      <w:r w:rsidRPr="007E5614">
        <w:t>This will include strengthening internal corporate governance arrangements and fulfilling the role of DHHS as system manager and source of expertise to the Ministers for Health and Human Services.</w:t>
      </w:r>
    </w:p>
    <w:p w:rsidR="00A87AE2" w:rsidRPr="007E5614" w:rsidRDefault="00A87AE2" w:rsidP="00A87AE2">
      <w:pPr>
        <w:spacing w:before="120" w:after="120"/>
      </w:pPr>
      <w:r w:rsidRPr="007E5614">
        <w:t xml:space="preserve">In 2016-17, DHHS will focus on developing and implementing a contemporary, evidence-based Children and Youth Services Practice Manual to provide guidance, procedures and policies to strengthen practices across Children and Youth Services. </w:t>
      </w:r>
    </w:p>
    <w:p w:rsidR="00A87AE2" w:rsidRPr="00F35FF8" w:rsidRDefault="00A87AE2" w:rsidP="00A87AE2">
      <w:r w:rsidRPr="007E5614">
        <w:t xml:space="preserve">To improve mental health outcomes in Tasmania and reduce suicide rates, in 2016-17 DHHS will continue the roll-out of prevention programs from the Government’s key strategic plans of mental health and suicide. We will also continue to work with the THS in establishing a single </w:t>
      </w:r>
      <w:proofErr w:type="spellStart"/>
      <w:r w:rsidRPr="007E5614">
        <w:t>statewide</w:t>
      </w:r>
      <w:proofErr w:type="spellEnd"/>
      <w:r w:rsidRPr="007E5614">
        <w:t xml:space="preserve"> mental health system to align with the One Health System reforms as part of the Government’s long term </w:t>
      </w:r>
      <w:r w:rsidRPr="007E5614">
        <w:rPr>
          <w:i/>
        </w:rPr>
        <w:t xml:space="preserve">Rethink Mental Health </w:t>
      </w:r>
      <w:r w:rsidR="00F35FF8">
        <w:t>Plan.</w:t>
      </w:r>
    </w:p>
    <w:p w:rsidR="00A87AE2" w:rsidRPr="007E5614" w:rsidRDefault="00A87AE2" w:rsidP="00A87AE2">
      <w:pPr>
        <w:pStyle w:val="Heading3"/>
      </w:pPr>
      <w:r w:rsidRPr="007E5614">
        <w:t>Integrated Services</w:t>
      </w:r>
    </w:p>
    <w:p w:rsidR="00A87AE2" w:rsidRPr="007E5614" w:rsidRDefault="00A87AE2" w:rsidP="00A87AE2">
      <w:r w:rsidRPr="007E5614">
        <w:t>Throughout 2016-17, DHHS will continue to build on progress which has been made against key reforms in Tasmania’s health and human services systems.</w:t>
      </w:r>
    </w:p>
    <w:p w:rsidR="00A87AE2" w:rsidRPr="007E5614" w:rsidRDefault="00A87AE2" w:rsidP="00A87AE2">
      <w:r w:rsidRPr="007E5614">
        <w:t xml:space="preserve">To deliver a more seamless experience and better outcomes for individuals, families and communities, DHHS will continue implementation of the five elements of the Joined </w:t>
      </w:r>
      <w:proofErr w:type="gramStart"/>
      <w:r w:rsidRPr="007E5614">
        <w:t>Up</w:t>
      </w:r>
      <w:proofErr w:type="gramEnd"/>
      <w:r w:rsidRPr="007E5614">
        <w:t xml:space="preserve"> Human Services Project.</w:t>
      </w:r>
    </w:p>
    <w:p w:rsidR="00A87AE2" w:rsidRPr="007E5614" w:rsidRDefault="00A87AE2" w:rsidP="00A87AE2">
      <w:r w:rsidRPr="007E5614">
        <w:t xml:space="preserve">We will also continue the implementation of DHHS-led One Health System reforms, including the completion of </w:t>
      </w:r>
      <w:proofErr w:type="spellStart"/>
      <w:r w:rsidRPr="007E5614">
        <w:t>statewide</w:t>
      </w:r>
      <w:proofErr w:type="spellEnd"/>
      <w:r w:rsidRPr="007E5614">
        <w:t xml:space="preserve"> models of care for the majority of clinical services.</w:t>
      </w:r>
    </w:p>
    <w:p w:rsidR="00A87AE2" w:rsidRPr="007E5614" w:rsidRDefault="00A87AE2" w:rsidP="00A87AE2">
      <w:r w:rsidRPr="007E5614">
        <w:t xml:space="preserve">The redesign of Tasmania’s child protection system will continue in 2016-17 to deliver an integrated child protection system for </w:t>
      </w:r>
      <w:r w:rsidRPr="007E5614">
        <w:lastRenderedPageBreak/>
        <w:t>Tasmania that places the safety and wellbeing of children at the centre and supports vulnerable children and families in ways more relevant to their needs. Reforms to the Out of Home Care system will also continue to progress in 2016</w:t>
      </w:r>
      <w:r w:rsidRPr="007E5614">
        <w:noBreakHyphen/>
        <w:t>17.</w:t>
      </w:r>
    </w:p>
    <w:p w:rsidR="00A87AE2" w:rsidRPr="007E5614" w:rsidRDefault="00A87AE2" w:rsidP="00A87AE2">
      <w:pPr>
        <w:pStyle w:val="Heading3"/>
      </w:pPr>
      <w:r w:rsidRPr="007E5614">
        <w:t xml:space="preserve">Evidence-Based Services </w:t>
      </w:r>
    </w:p>
    <w:p w:rsidR="00A87AE2" w:rsidRPr="007E5614" w:rsidRDefault="00A87AE2" w:rsidP="00A87AE2">
      <w:r w:rsidRPr="007E5614">
        <w:t xml:space="preserve">Work which has been underway to strengthen the Department’s grants management process </w:t>
      </w:r>
      <w:r>
        <w:t xml:space="preserve">and reduce administrative burden </w:t>
      </w:r>
      <w:r w:rsidRPr="007E5614">
        <w:t xml:space="preserve">will continue in 2016-17, with completion of the review of the </w:t>
      </w:r>
      <w:r w:rsidRPr="007E5614">
        <w:rPr>
          <w:i/>
        </w:rPr>
        <w:t>DHHS Purchasing Framework for Outsourced Services</w:t>
      </w:r>
      <w:r w:rsidRPr="007E5614">
        <w:t>.</w:t>
      </w:r>
    </w:p>
    <w:p w:rsidR="00A87AE2" w:rsidRPr="007E5614" w:rsidRDefault="00A87AE2" w:rsidP="00A87AE2">
      <w:r w:rsidRPr="007E5614">
        <w:t xml:space="preserve">To inform Government of the status of public health in Tasmania, the next Tasmanian Population Health Survey will be undertaken in late 2016. This survey will provide a detailed account of Tasmania’s health and the factors which contribute to both good and poor health in our population. Results of this survey will become available during 2017 and will be an important information source for the </w:t>
      </w:r>
      <w:r w:rsidRPr="007E5614">
        <w:rPr>
          <w:i/>
        </w:rPr>
        <w:t>State of Public Health Report 2018</w:t>
      </w:r>
      <w:r w:rsidRPr="007E5614">
        <w:t xml:space="preserve">. </w:t>
      </w:r>
    </w:p>
    <w:p w:rsidR="00A87AE2" w:rsidRPr="007E5614" w:rsidRDefault="00A87AE2" w:rsidP="00A87AE2">
      <w:r w:rsidRPr="007E5614">
        <w:t xml:space="preserve">Under the </w:t>
      </w:r>
      <w:r w:rsidRPr="007E5614">
        <w:rPr>
          <w:i/>
        </w:rPr>
        <w:t>Tasmanian Affordable Housing Strategy 2015-25</w:t>
      </w:r>
      <w:r w:rsidRPr="007E5614">
        <w:t xml:space="preserve">, work will continue across the government, community and private sectors in 2016-17 to increase access to and the supply of safe and appropriate and affordable houses. </w:t>
      </w:r>
    </w:p>
    <w:p w:rsidR="00A87AE2" w:rsidRPr="007E5614" w:rsidRDefault="00A87AE2" w:rsidP="00A87AE2">
      <w:r w:rsidRPr="007E5614">
        <w:t>DHHS will continue to play a key role as Tasmania begins the transition to the full NDIS to progressively support around 10 600 Tasmanians living with disability. Another 1 100 new people are expected to enter the NDIS in 2016-</w:t>
      </w:r>
      <w:proofErr w:type="gramStart"/>
      <w:r w:rsidRPr="007E5614">
        <w:t>17,</w:t>
      </w:r>
      <w:proofErr w:type="gramEnd"/>
      <w:r w:rsidRPr="007E5614">
        <w:t xml:space="preserve"> with services being available to children aged 12 to 14 from 1 July 2016.</w:t>
      </w:r>
    </w:p>
    <w:p w:rsidR="00A87AE2" w:rsidRPr="007E5614" w:rsidRDefault="00A87AE2" w:rsidP="00A87AE2">
      <w:r w:rsidRPr="007E5614">
        <w:t>The second phase of the 2016-17 NDIS transition to the full scheme will begin on</w:t>
      </w:r>
      <w:r w:rsidRPr="007E5614">
        <w:br/>
      </w:r>
      <w:r w:rsidRPr="007E5614">
        <w:lastRenderedPageBreak/>
        <w:t>1 January 2017 with services becoming available to adults aged 25 to 28.</w:t>
      </w:r>
    </w:p>
    <w:p w:rsidR="00A87AE2" w:rsidRPr="007E5614" w:rsidRDefault="00A87AE2" w:rsidP="00A87AE2">
      <w:pPr>
        <w:pStyle w:val="Heading3"/>
      </w:pPr>
      <w:r w:rsidRPr="007E5614">
        <w:t>Engaged Workforce</w:t>
      </w:r>
    </w:p>
    <w:p w:rsidR="00A87AE2" w:rsidRPr="007E5614" w:rsidRDefault="00A87AE2" w:rsidP="00A87AE2">
      <w:r w:rsidRPr="007E5614">
        <w:t>Throughout 2016-17, we will pursue a variety of measures to build and support the Department’s workforce to deliver efficient, safe and high quality health and human services.</w:t>
      </w:r>
    </w:p>
    <w:p w:rsidR="00A87AE2" w:rsidRPr="007E5614" w:rsidRDefault="00A87AE2" w:rsidP="00A87AE2">
      <w:r w:rsidRPr="007E5614">
        <w:t xml:space="preserve">We will seek to strengthen the diversity of our workforce through development and implementation of a </w:t>
      </w:r>
      <w:r w:rsidRPr="007E5614">
        <w:rPr>
          <w:i/>
        </w:rPr>
        <w:t>Workforce Diversity and Disability Action Plan</w:t>
      </w:r>
      <w:r w:rsidRPr="007E5614">
        <w:t>. To promote a work environment free from discrimination and harassment, DHHS Wellbeing Officers and a DHHS Wellbeing Network will also be established.</w:t>
      </w:r>
    </w:p>
    <w:p w:rsidR="00A87AE2" w:rsidRPr="007E5614" w:rsidRDefault="00A87AE2" w:rsidP="00A87AE2">
      <w:r w:rsidRPr="007E5614">
        <w:t>Over 2016-17, we will also seek to engage all staff in the review and redevelopment of the DHHS Values.</w:t>
      </w:r>
    </w:p>
    <w:p w:rsidR="00F35FF8" w:rsidRDefault="00A87AE2" w:rsidP="00A87AE2">
      <w:r w:rsidRPr="007E5614">
        <w:t xml:space="preserve">A key focus for 2016-17 is to improve internal communication across DHHS to support increased staff engagement and understanding of the Department’s strategic direction. To facilitate this, an Internal Communications Strategy will be developed for </w:t>
      </w:r>
      <w:r>
        <w:t xml:space="preserve">DHHS. </w:t>
      </w:r>
    </w:p>
    <w:p w:rsidR="00A87AE2" w:rsidRPr="007E5614" w:rsidRDefault="00A87AE2" w:rsidP="00A87AE2">
      <w:r w:rsidRPr="007E5614">
        <w:t>This review will also consider the TAO’s recommendations, noting there are inherent challenges in establishing comparative efficiency measures for health and human services.</w:t>
      </w:r>
    </w:p>
    <w:p w:rsidR="00A87AE2" w:rsidRDefault="00A87AE2" w:rsidP="00A87AE2">
      <w:r w:rsidRPr="007E5614">
        <w:t>DHHS and the THS are working collaboratively on developing a revised set of Performance Indicators for the THS that will complement KPIs included in the Service Agreement. It is anticipated that revisions will be made to the Performance Measures published in the 2017</w:t>
      </w:r>
      <w:r w:rsidRPr="007E5614">
        <w:noBreakHyphen/>
        <w:t>18 Budget Papers.</w:t>
      </w:r>
    </w:p>
    <w:p w:rsidR="00A87AE2" w:rsidRDefault="00A87AE2" w:rsidP="00A87AE2">
      <w:pPr>
        <w:sectPr w:rsidR="00A87AE2" w:rsidSect="00A87AE2">
          <w:headerReference w:type="even" r:id="rId33"/>
          <w:headerReference w:type="default" r:id="rId34"/>
          <w:pgSz w:w="11906" w:h="16838"/>
          <w:pgMar w:top="851" w:right="1274" w:bottom="567" w:left="1440" w:header="708" w:footer="708" w:gutter="0"/>
          <w:cols w:num="2" w:space="708"/>
          <w:docGrid w:linePitch="360"/>
        </w:sectPr>
      </w:pPr>
    </w:p>
    <w:p w:rsidR="00A87AE2" w:rsidRPr="007E5614" w:rsidRDefault="00A87AE2" w:rsidP="00AE187C"/>
    <w:sectPr w:rsidR="00A87AE2" w:rsidRPr="007E5614" w:rsidSect="00C63101">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7AE2" w:rsidRDefault="00A87AE2" w:rsidP="00C63101">
      <w:pPr>
        <w:spacing w:after="0" w:line="240" w:lineRule="auto"/>
      </w:pPr>
      <w:r>
        <w:separator/>
      </w:r>
    </w:p>
  </w:endnote>
  <w:endnote w:type="continuationSeparator" w:id="0">
    <w:p w:rsidR="00A87AE2" w:rsidRDefault="00A87AE2" w:rsidP="00C631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illSans Light">
    <w:altName w:val="Century Gothic"/>
    <w:charset w:val="00"/>
    <w:family w:val="swiss"/>
    <w:pitch w:val="variable"/>
    <w:sig w:usb0="00000007" w:usb1="00000000" w:usb2="00000000" w:usb3="00000000" w:csb0="00000093"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ill Sans MT">
    <w:altName w:val="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C15" w:rsidRDefault="00D84C15" w:rsidP="004E6D27">
    <w:pPr>
      <w:pStyle w:val="Footer"/>
      <w:jc w:val="right"/>
    </w:pPr>
    <w:r>
      <w:rPr>
        <w:color w:val="808080" w:themeColor="background1" w:themeShade="80"/>
        <w:spacing w:val="60"/>
      </w:rPr>
      <w:t>Page</w:t>
    </w:r>
    <w:r>
      <w:t xml:space="preserve"> | </w:t>
    </w:r>
    <w:r>
      <w:fldChar w:fldCharType="begin"/>
    </w:r>
    <w:r>
      <w:instrText xml:space="preserve"> PAGE   \* MERGEFORMAT </w:instrText>
    </w:r>
    <w:r>
      <w:fldChar w:fldCharType="separate"/>
    </w:r>
    <w:r w:rsidR="004E6D27" w:rsidRPr="004E6D27">
      <w:rPr>
        <w:b/>
        <w:bCs/>
        <w:noProof/>
      </w:rPr>
      <w:t>9</w:t>
    </w:r>
    <w:r>
      <w:rPr>
        <w:b/>
        <w:bCs/>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AE2" w:rsidRPr="00B00856" w:rsidRDefault="00A87AE2" w:rsidP="00B0085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AE2" w:rsidRDefault="004E6D27" w:rsidP="004E6D27">
    <w:pPr>
      <w:pStyle w:val="Footer"/>
      <w:tabs>
        <w:tab w:val="right" w:pos="9639"/>
      </w:tabs>
      <w:jc w:val="right"/>
    </w:pPr>
    <w:r>
      <w:rPr>
        <w:color w:val="808080" w:themeColor="background1" w:themeShade="80"/>
        <w:spacing w:val="60"/>
      </w:rPr>
      <w:t>Page</w:t>
    </w:r>
    <w:r>
      <w:t xml:space="preserve"> | </w:t>
    </w:r>
    <w:r>
      <w:fldChar w:fldCharType="begin"/>
    </w:r>
    <w:r>
      <w:instrText xml:space="preserve"> PAGE   \* MERGEFORMAT </w:instrText>
    </w:r>
    <w:r>
      <w:fldChar w:fldCharType="separate"/>
    </w:r>
    <w:r w:rsidR="001D0360" w:rsidRPr="001D0360">
      <w:rPr>
        <w:b/>
        <w:bCs/>
        <w:noProof/>
      </w:rPr>
      <w:t>13</w:t>
    </w:r>
    <w:r>
      <w:rPr>
        <w:b/>
        <w:bCs/>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AE2" w:rsidRPr="00DA2A27" w:rsidRDefault="004E6D27" w:rsidP="004E6D27">
    <w:pPr>
      <w:pStyle w:val="Footer"/>
      <w:jc w:val="right"/>
    </w:pPr>
    <w:r>
      <w:rPr>
        <w:color w:val="808080" w:themeColor="background1" w:themeShade="80"/>
        <w:spacing w:val="60"/>
      </w:rPr>
      <w:t>Page</w:t>
    </w:r>
    <w:r>
      <w:t xml:space="preserve"> | </w:t>
    </w:r>
    <w:r>
      <w:fldChar w:fldCharType="begin"/>
    </w:r>
    <w:r>
      <w:instrText xml:space="preserve"> PAGE   \* MERGEFORMAT </w:instrText>
    </w:r>
    <w:r>
      <w:fldChar w:fldCharType="separate"/>
    </w:r>
    <w:r w:rsidR="001D0360" w:rsidRPr="001D0360">
      <w:rPr>
        <w:b/>
        <w:bCs/>
        <w:noProof/>
      </w:rPr>
      <w:t>48</w:t>
    </w:r>
    <w:r>
      <w:rPr>
        <w:b/>
        <w:bCs/>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7AE2" w:rsidRDefault="00A87AE2" w:rsidP="00C63101">
      <w:pPr>
        <w:spacing w:after="0" w:line="240" w:lineRule="auto"/>
      </w:pPr>
      <w:r>
        <w:separator/>
      </w:r>
    </w:p>
  </w:footnote>
  <w:footnote w:type="continuationSeparator" w:id="0">
    <w:p w:rsidR="00A87AE2" w:rsidRDefault="00A87AE2" w:rsidP="00C631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AE2" w:rsidRDefault="001D0360" w:rsidP="00297380">
    <w:pPr>
      <w:pStyle w:val="Header"/>
      <w:tabs>
        <w:tab w:val="clear" w:pos="4513"/>
        <w:tab w:val="clear" w:pos="9026"/>
        <w:tab w:val="left" w:pos="2229"/>
      </w:tabs>
      <w:spacing w:after="120"/>
      <w:jc w:val="right"/>
    </w:pPr>
    <w:r>
      <w:fldChar w:fldCharType="begin"/>
    </w:r>
    <w:r>
      <w:instrText xml:space="preserve"> STYLEREF  "Heading 1"  \* MERGEFORMAT </w:instrText>
    </w:r>
    <w:r>
      <w:fldChar w:fldCharType="separate"/>
    </w:r>
    <w:r>
      <w:rPr>
        <w:noProof/>
      </w:rPr>
      <w:t>Department of Health and Human Services Annual Report 2015-16</w:t>
    </w:r>
    <w:r>
      <w:rPr>
        <w:noProof/>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AE2" w:rsidRPr="00EF352F" w:rsidRDefault="00A87AE2" w:rsidP="00A87AE2">
    <w:pPr>
      <w:pStyle w:val="Header"/>
      <w:tabs>
        <w:tab w:val="right" w:pos="8505"/>
      </w:tabs>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7" w:name="OLE_LINK1"/>
  <w:p w:rsidR="00A87AE2" w:rsidRPr="00F10F6B" w:rsidRDefault="00A87AE2" w:rsidP="00297380">
    <w:pPr>
      <w:pStyle w:val="Header"/>
      <w:tabs>
        <w:tab w:val="clear" w:pos="4513"/>
        <w:tab w:val="clear" w:pos="9026"/>
        <w:tab w:val="left" w:pos="2229"/>
      </w:tabs>
      <w:spacing w:after="60"/>
    </w:pPr>
    <w:r>
      <w:fldChar w:fldCharType="begin"/>
    </w:r>
    <w:r>
      <w:instrText xml:space="preserve"> STYLEREF  "Heading 1"  \* MERGEFORMAT </w:instrText>
    </w:r>
    <w:r>
      <w:fldChar w:fldCharType="separate"/>
    </w:r>
    <w:r w:rsidR="00EC5964">
      <w:rPr>
        <w:noProof/>
      </w:rPr>
      <w:t>Department of Health and Human Services Annual Report 2015-16</w:t>
    </w:r>
    <w:r>
      <w:rPr>
        <w:noProof/>
      </w:rPr>
      <w:fldChar w:fldCharType="end"/>
    </w:r>
  </w:p>
  <w:bookmarkEnd w:id="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AE2" w:rsidRDefault="00A87AE2" w:rsidP="00297380">
    <w:pPr>
      <w:pStyle w:val="Header"/>
      <w:tabs>
        <w:tab w:val="clear" w:pos="4513"/>
        <w:tab w:val="clear" w:pos="9026"/>
        <w:tab w:val="left" w:pos="2229"/>
        <w:tab w:val="left" w:pos="6670"/>
        <w:tab w:val="right" w:pos="9638"/>
      </w:tabs>
      <w:spacing w:after="60"/>
    </w:pPr>
    <w:r>
      <w:tab/>
    </w:r>
    <w:r>
      <w:tab/>
    </w:r>
    <w:r>
      <w:tab/>
    </w:r>
    <w:r w:rsidRPr="00F10F6B">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AE2" w:rsidRPr="00EF352F" w:rsidRDefault="00A87AE2" w:rsidP="00297380">
    <w:pPr>
      <w:pStyle w:val="Header"/>
      <w:tabs>
        <w:tab w:val="right" w:pos="8505"/>
      </w:tabs>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AE2" w:rsidRPr="00EF352F" w:rsidRDefault="00A87AE2" w:rsidP="00297380">
    <w:pPr>
      <w:pStyle w:val="Header"/>
      <w:tabs>
        <w:tab w:val="right" w:pos="8505"/>
      </w:tabs>
      <w:spacing w:after="120"/>
    </w:pPr>
    <w:bookmarkStart w:id="175" w:name="OLE_LINK23"/>
    <w:r>
      <w:rPr>
        <w:noProof/>
        <w:lang w:eastAsia="en-AU"/>
      </w:rPr>
      <w:drawing>
        <wp:anchor distT="0" distB="0" distL="114300" distR="114300" simplePos="0" relativeHeight="251663360" behindDoc="1" locked="0" layoutInCell="1" allowOverlap="1" wp14:anchorId="1DED909D" wp14:editId="3DD18770">
          <wp:simplePos x="0" y="0"/>
          <wp:positionH relativeFrom="page">
            <wp:posOffset>72390</wp:posOffset>
          </wp:positionH>
          <wp:positionV relativeFrom="page">
            <wp:posOffset>1905</wp:posOffset>
          </wp:positionV>
          <wp:extent cx="448945" cy="10655935"/>
          <wp:effectExtent l="0" t="0" r="8255" b="0"/>
          <wp:wrapNone/>
          <wp:docPr id="196" name="Picture 196" descr="O:\Secretary\Reporting\Annual Report\Annual Report 2015-2016\Artwork\DHHS Annual Report Elements for Word 2015-16-Tab Part 1 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ecretary\Reporting\Annual Report\Annual Report 2015-2016\Artwork\DHHS Annual Report Elements for Word 2015-16-Tab Part 1 Lef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8945" cy="10655935"/>
                  </a:xfrm>
                  <a:prstGeom prst="rect">
                    <a:avLst/>
                  </a:prstGeom>
                  <a:noFill/>
                  <a:ln>
                    <a:noFill/>
                  </a:ln>
                </pic:spPr>
              </pic:pic>
            </a:graphicData>
          </a:graphic>
          <wp14:sizeRelH relativeFrom="page">
            <wp14:pctWidth>0</wp14:pctWidth>
          </wp14:sizeRelH>
          <wp14:sizeRelV relativeFrom="page">
            <wp14:pctHeight>0</wp14:pctHeight>
          </wp14:sizeRelV>
        </wp:anchor>
      </w:drawing>
    </w:r>
    <w:r w:rsidR="001D0360">
      <w:fldChar w:fldCharType="begin"/>
    </w:r>
    <w:r w:rsidR="001D0360">
      <w:instrText xml:space="preserve"> STYLEREF  "Heading 1"  \* MERGEFORMAT </w:instrText>
    </w:r>
    <w:r w:rsidR="001D0360">
      <w:fldChar w:fldCharType="separate"/>
    </w:r>
    <w:r w:rsidR="00EC5964">
      <w:rPr>
        <w:noProof/>
      </w:rPr>
      <w:t>Department of Health and Human Services Annual Report 2015-16</w:t>
    </w:r>
    <w:r w:rsidR="001D0360">
      <w:rPr>
        <w:noProof/>
      </w:rPr>
      <w:fldChar w:fldCharType="end"/>
    </w:r>
    <w:bookmarkEnd w:id="175"/>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AE2" w:rsidRPr="00297380" w:rsidRDefault="00A87AE2" w:rsidP="0029738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AE2" w:rsidRPr="00EF352F" w:rsidRDefault="00A87AE2" w:rsidP="00666795">
    <w:pPr>
      <w:pStyle w:val="Header"/>
      <w:tabs>
        <w:tab w:val="right" w:pos="8505"/>
      </w:tabs>
    </w:pPr>
    <w:r>
      <w:rPr>
        <w:noProof/>
        <w:lang w:eastAsia="en-AU"/>
      </w:rPr>
      <w:drawing>
        <wp:anchor distT="0" distB="0" distL="114300" distR="114300" simplePos="0" relativeHeight="251666432" behindDoc="1" locked="0" layoutInCell="1" allowOverlap="1" wp14:anchorId="6A345F93" wp14:editId="76438582">
          <wp:simplePos x="0" y="0"/>
          <wp:positionH relativeFrom="page">
            <wp:posOffset>72390</wp:posOffset>
          </wp:positionH>
          <wp:positionV relativeFrom="page">
            <wp:posOffset>1905</wp:posOffset>
          </wp:positionV>
          <wp:extent cx="448945" cy="10655935"/>
          <wp:effectExtent l="0" t="0" r="8255" b="0"/>
          <wp:wrapNone/>
          <wp:docPr id="19" name="Picture 19" descr="O:\Secretary\Reporting\Annual Report\Annual Report 2015-2016\Artwork\DHHS Annual Report Elements for Word 2015-16-Tab Part 1 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ecretary\Reporting\Annual Report\Annual Report 2015-2016\Artwork\DHHS Annual Report Elements for Word 2015-16-Tab Part 1 Lef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8945" cy="10655935"/>
                  </a:xfrm>
                  <a:prstGeom prst="rect">
                    <a:avLst/>
                  </a:prstGeom>
                  <a:noFill/>
                  <a:ln>
                    <a:noFill/>
                  </a:ln>
                </pic:spPr>
              </pic:pic>
            </a:graphicData>
          </a:graphic>
          <wp14:sizeRelH relativeFrom="page">
            <wp14:pctWidth>0</wp14:pctWidth>
          </wp14:sizeRelH>
          <wp14:sizeRelV relativeFrom="page">
            <wp14:pctHeight>0</wp14:pctHeight>
          </wp14:sizeRelV>
        </wp:anchor>
      </w:drawing>
    </w:r>
    <w:r w:rsidR="001D0360">
      <w:fldChar w:fldCharType="begin"/>
    </w:r>
    <w:r w:rsidR="001D0360">
      <w:instrText xml:space="preserve"> STYLEREF  "Heading 1"  \* MERGEFORMAT </w:instrText>
    </w:r>
    <w:r w:rsidR="001D0360">
      <w:fldChar w:fldCharType="separate"/>
    </w:r>
    <w:r w:rsidR="00EC5964">
      <w:rPr>
        <w:noProof/>
      </w:rPr>
      <w:t>Department of Health and Human Services Annual Report 2015-16</w:t>
    </w:r>
    <w:r w:rsidR="001D0360">
      <w:rPr>
        <w:noProof/>
      </w:rPr>
      <w:fldChar w:fldCharType="end"/>
    </w:r>
  </w:p>
  <w:p w:rsidR="00A87AE2" w:rsidRDefault="00A87AE2"/>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AE2" w:rsidRPr="00EF352F" w:rsidRDefault="00A87AE2" w:rsidP="00666795">
    <w:pPr>
      <w:pStyle w:val="Header"/>
      <w:tabs>
        <w:tab w:val="right" w:pos="8505"/>
      </w:tabs>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AE2" w:rsidRPr="00F10F6B" w:rsidRDefault="00A87AE2" w:rsidP="00A87AE2">
    <w:pPr>
      <w:pStyle w:val="Header"/>
      <w:tabs>
        <w:tab w:val="clear" w:pos="4513"/>
        <w:tab w:val="clear" w:pos="9026"/>
        <w:tab w:val="left" w:pos="2229"/>
      </w:tabs>
    </w:pPr>
    <w:r>
      <w:rPr>
        <w:noProof/>
        <w:lang w:eastAsia="en-AU"/>
      </w:rPr>
      <w:drawing>
        <wp:anchor distT="0" distB="0" distL="114300" distR="114300" simplePos="0" relativeHeight="251668480" behindDoc="1" locked="0" layoutInCell="1" allowOverlap="1" wp14:anchorId="1CF072EF" wp14:editId="4F75F545">
          <wp:simplePos x="0" y="0"/>
          <wp:positionH relativeFrom="page">
            <wp:posOffset>76200</wp:posOffset>
          </wp:positionH>
          <wp:positionV relativeFrom="page">
            <wp:posOffset>20320</wp:posOffset>
          </wp:positionV>
          <wp:extent cx="448968" cy="10656000"/>
          <wp:effectExtent l="0" t="0" r="8255" b="0"/>
          <wp:wrapNone/>
          <wp:docPr id="201" name="Picture 201" descr="O:\Secretary\Reporting\Annual Report\Annual Report 2015-2016\Artwork\DHHS Annual Report Elements for Word 2015-16-Tab Part 1 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ecretary\Reporting\Annual Report\Annual Report 2015-2016\Artwork\DHHS Annual Report Elements for Word 2015-16-Tab Part 1 Lef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8968" cy="106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D0360">
      <w:fldChar w:fldCharType="begin"/>
    </w:r>
    <w:r w:rsidR="001D0360">
      <w:instrText xml:space="preserve"> STYLEREF  "Heading 1"  \* MERGEFORMAT </w:instrText>
    </w:r>
    <w:r w:rsidR="001D0360">
      <w:fldChar w:fldCharType="separate"/>
    </w:r>
    <w:r w:rsidR="00EC5964">
      <w:rPr>
        <w:noProof/>
      </w:rPr>
      <w:t>Department of Health and Human Services Annual Report 2015-16</w:t>
    </w:r>
    <w:r w:rsidR="001D0360">
      <w:rPr>
        <w:noProof/>
      </w:rPr>
      <w:fldChar w:fldCharType="end"/>
    </w:r>
  </w:p>
  <w:p w:rsidR="00A87AE2" w:rsidRPr="00EF352F" w:rsidRDefault="00A87AE2" w:rsidP="00A87AE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4D063B"/>
    <w:multiLevelType w:val="hybridMultilevel"/>
    <w:tmpl w:val="2CA8955E"/>
    <w:lvl w:ilvl="0" w:tplc="CD1672F2">
      <w:start w:val="1"/>
      <w:numFmt w:val="decimal"/>
      <w:lvlText w:val="%1"/>
      <w:lvlJc w:val="left"/>
      <w:pPr>
        <w:ind w:left="360" w:hanging="360"/>
      </w:pPr>
      <w:rPr>
        <w:rFonts w:ascii="GillSans Light" w:hAnsi="GillSans Light"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nsid w:val="15743D8F"/>
    <w:multiLevelType w:val="multilevel"/>
    <w:tmpl w:val="8C9E2EC8"/>
    <w:lvl w:ilvl="0">
      <w:start w:val="1"/>
      <w:numFmt w:val="bullet"/>
      <w:pStyle w:val="BulletedListLevel1"/>
      <w:lvlText w:val=""/>
      <w:lvlJc w:val="left"/>
      <w:pPr>
        <w:tabs>
          <w:tab w:val="num" w:pos="567"/>
        </w:tabs>
        <w:ind w:left="567" w:hanging="567"/>
      </w:pPr>
      <w:rPr>
        <w:rFonts w:ascii="Symbol" w:hAnsi="Symbol" w:hint="default"/>
        <w:color w:val="auto"/>
      </w:rPr>
    </w:lvl>
    <w:lvl w:ilvl="1">
      <w:start w:val="1"/>
      <w:numFmt w:val="bullet"/>
      <w:lvlText w:val="o"/>
      <w:lvlJc w:val="left"/>
      <w:pPr>
        <w:tabs>
          <w:tab w:val="num" w:pos="1134"/>
        </w:tabs>
        <w:ind w:left="1134" w:hanging="567"/>
      </w:pPr>
      <w:rPr>
        <w:rFonts w:ascii="Courier New" w:hAnsi="Courier New" w:hint="default"/>
      </w:rPr>
    </w:lvl>
    <w:lvl w:ilvl="2">
      <w:start w:val="1"/>
      <w:numFmt w:val="bullet"/>
      <w:lvlText w:val=""/>
      <w:lvlJc w:val="left"/>
      <w:pPr>
        <w:tabs>
          <w:tab w:val="num" w:pos="1701"/>
        </w:tabs>
        <w:ind w:left="1701" w:hanging="567"/>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
    <w:nsid w:val="1CB50C6D"/>
    <w:multiLevelType w:val="hybridMultilevel"/>
    <w:tmpl w:val="A36AC8BE"/>
    <w:lvl w:ilvl="0" w:tplc="EE96B036">
      <w:start w:val="1"/>
      <w:numFmt w:val="bullet"/>
      <w:lvlText w:val=""/>
      <w:lvlJc w:val="left"/>
      <w:pPr>
        <w:ind w:left="720" w:hanging="360"/>
      </w:pPr>
      <w:rPr>
        <w:rFonts w:ascii="Symbol" w:hAnsi="Symbol" w:hint="default"/>
        <w:sz w:val="22"/>
        <w:szCs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96248DF"/>
    <w:multiLevelType w:val="hybridMultilevel"/>
    <w:tmpl w:val="21262F78"/>
    <w:lvl w:ilvl="0" w:tplc="CA5CB8C6">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nsid w:val="35843482"/>
    <w:multiLevelType w:val="hybridMultilevel"/>
    <w:tmpl w:val="FCD06114"/>
    <w:lvl w:ilvl="0" w:tplc="CEC883C0">
      <w:start w:val="1"/>
      <w:numFmt w:val="decimal"/>
      <w:lvlText w:val="%1"/>
      <w:lvlJc w:val="left"/>
      <w:pPr>
        <w:ind w:left="360" w:hanging="360"/>
      </w:pPr>
      <w:rPr>
        <w:rFonts w:ascii="GillSans Light" w:eastAsia="Times New Roman" w:hAnsi="GillSans Light" w:cs="Times New Roman"/>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nsid w:val="399F4E8F"/>
    <w:multiLevelType w:val="hybridMultilevel"/>
    <w:tmpl w:val="04E048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AAF1031"/>
    <w:multiLevelType w:val="hybridMultilevel"/>
    <w:tmpl w:val="FCD06114"/>
    <w:lvl w:ilvl="0" w:tplc="CEC883C0">
      <w:start w:val="1"/>
      <w:numFmt w:val="decimal"/>
      <w:lvlText w:val="%1"/>
      <w:lvlJc w:val="left"/>
      <w:pPr>
        <w:ind w:left="360" w:hanging="360"/>
      </w:pPr>
      <w:rPr>
        <w:rFonts w:ascii="GillSans Light" w:eastAsia="Times New Roman" w:hAnsi="GillSans Light" w:cs="Times New Roman"/>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nsid w:val="3E9A4D53"/>
    <w:multiLevelType w:val="hybridMultilevel"/>
    <w:tmpl w:val="FCD06114"/>
    <w:lvl w:ilvl="0" w:tplc="CEC883C0">
      <w:start w:val="1"/>
      <w:numFmt w:val="decimal"/>
      <w:lvlText w:val="%1"/>
      <w:lvlJc w:val="left"/>
      <w:pPr>
        <w:ind w:left="360" w:hanging="360"/>
      </w:pPr>
      <w:rPr>
        <w:rFonts w:ascii="GillSans Light" w:eastAsia="Times New Roman" w:hAnsi="GillSans Light" w:cs="Times New Roman"/>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nsid w:val="44C4597C"/>
    <w:multiLevelType w:val="hybridMultilevel"/>
    <w:tmpl w:val="FCD06114"/>
    <w:lvl w:ilvl="0" w:tplc="CEC883C0">
      <w:start w:val="1"/>
      <w:numFmt w:val="decimal"/>
      <w:lvlText w:val="%1"/>
      <w:lvlJc w:val="left"/>
      <w:pPr>
        <w:ind w:left="360" w:hanging="360"/>
      </w:pPr>
      <w:rPr>
        <w:rFonts w:ascii="GillSans Light" w:eastAsia="Times New Roman" w:hAnsi="GillSans Light" w:cs="Times New Roman"/>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nsid w:val="45CA0DB5"/>
    <w:multiLevelType w:val="hybridMultilevel"/>
    <w:tmpl w:val="FCD06114"/>
    <w:lvl w:ilvl="0" w:tplc="CEC883C0">
      <w:start w:val="1"/>
      <w:numFmt w:val="decimal"/>
      <w:lvlText w:val="%1"/>
      <w:lvlJc w:val="left"/>
      <w:pPr>
        <w:ind w:left="360" w:hanging="360"/>
      </w:pPr>
      <w:rPr>
        <w:rFonts w:ascii="GillSans Light" w:eastAsia="Times New Roman" w:hAnsi="GillSans Light" w:cs="Times New Roman"/>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nsid w:val="489957D5"/>
    <w:multiLevelType w:val="hybridMultilevel"/>
    <w:tmpl w:val="917A94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9BA18BE"/>
    <w:multiLevelType w:val="hybridMultilevel"/>
    <w:tmpl w:val="ED161D9A"/>
    <w:lvl w:ilvl="0" w:tplc="EE96B036">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CC72B0B"/>
    <w:multiLevelType w:val="hybridMultilevel"/>
    <w:tmpl w:val="21262F78"/>
    <w:lvl w:ilvl="0" w:tplc="CA5CB8C6">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nsid w:val="4F122451"/>
    <w:multiLevelType w:val="hybridMultilevel"/>
    <w:tmpl w:val="CCD82E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F2A4052"/>
    <w:multiLevelType w:val="hybridMultilevel"/>
    <w:tmpl w:val="FCD06114"/>
    <w:lvl w:ilvl="0" w:tplc="CEC883C0">
      <w:start w:val="1"/>
      <w:numFmt w:val="decimal"/>
      <w:lvlText w:val="%1"/>
      <w:lvlJc w:val="left"/>
      <w:pPr>
        <w:ind w:left="360" w:hanging="360"/>
      </w:pPr>
      <w:rPr>
        <w:rFonts w:ascii="GillSans Light" w:eastAsia="Times New Roman" w:hAnsi="GillSans Light" w:cs="Times New Roman"/>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nsid w:val="52FE1F2B"/>
    <w:multiLevelType w:val="hybridMultilevel"/>
    <w:tmpl w:val="DC8C73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79D70E2"/>
    <w:multiLevelType w:val="hybridMultilevel"/>
    <w:tmpl w:val="FCD06114"/>
    <w:lvl w:ilvl="0" w:tplc="CEC883C0">
      <w:start w:val="1"/>
      <w:numFmt w:val="decimal"/>
      <w:lvlText w:val="%1"/>
      <w:lvlJc w:val="left"/>
      <w:pPr>
        <w:ind w:left="360" w:hanging="360"/>
      </w:pPr>
      <w:rPr>
        <w:rFonts w:ascii="GillSans Light" w:eastAsia="Times New Roman" w:hAnsi="GillSans Light" w:cs="Times New Roman"/>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nsid w:val="5FF46785"/>
    <w:multiLevelType w:val="hybridMultilevel"/>
    <w:tmpl w:val="21262F78"/>
    <w:lvl w:ilvl="0" w:tplc="CA5CB8C6">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nsid w:val="6336500D"/>
    <w:multiLevelType w:val="hybridMultilevel"/>
    <w:tmpl w:val="DA2C5E8C"/>
    <w:lvl w:ilvl="0" w:tplc="BBEA9C58">
      <w:start w:val="1"/>
      <w:numFmt w:val="decimal"/>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nsid w:val="689B4C0B"/>
    <w:multiLevelType w:val="hybridMultilevel"/>
    <w:tmpl w:val="03645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93032A0"/>
    <w:multiLevelType w:val="hybridMultilevel"/>
    <w:tmpl w:val="21262F78"/>
    <w:lvl w:ilvl="0" w:tplc="CA5CB8C6">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nsid w:val="6E602C26"/>
    <w:multiLevelType w:val="hybridMultilevel"/>
    <w:tmpl w:val="D89C8D3E"/>
    <w:lvl w:ilvl="0" w:tplc="EC0AB9F6">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nsid w:val="6F3B08C8"/>
    <w:multiLevelType w:val="hybridMultilevel"/>
    <w:tmpl w:val="FCD06114"/>
    <w:lvl w:ilvl="0" w:tplc="CEC883C0">
      <w:start w:val="1"/>
      <w:numFmt w:val="decimal"/>
      <w:lvlText w:val="%1"/>
      <w:lvlJc w:val="left"/>
      <w:pPr>
        <w:ind w:left="360" w:hanging="360"/>
      </w:pPr>
      <w:rPr>
        <w:rFonts w:ascii="GillSans Light" w:eastAsia="Times New Roman" w:hAnsi="GillSans Light" w:cs="Times New Roman"/>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nsid w:val="6FCB179D"/>
    <w:multiLevelType w:val="hybridMultilevel"/>
    <w:tmpl w:val="1E1A3C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78FA5436"/>
    <w:multiLevelType w:val="hybridMultilevel"/>
    <w:tmpl w:val="F774E4A0"/>
    <w:lvl w:ilvl="0" w:tplc="CFFA63E0">
      <w:start w:val="1"/>
      <w:numFmt w:val="decimal"/>
      <w:pStyle w:val="Notes"/>
      <w:lvlText w:val="%1."/>
      <w:lvlJc w:val="left"/>
      <w:pPr>
        <w:tabs>
          <w:tab w:val="num" w:pos="283"/>
        </w:tabs>
        <w:ind w:left="283" w:hanging="283"/>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0"/>
  </w:num>
  <w:num w:numId="2">
    <w:abstractNumId w:val="13"/>
  </w:num>
  <w:num w:numId="3">
    <w:abstractNumId w:val="2"/>
  </w:num>
  <w:num w:numId="4">
    <w:abstractNumId w:val="21"/>
  </w:num>
  <w:num w:numId="5">
    <w:abstractNumId w:val="11"/>
  </w:num>
  <w:num w:numId="6">
    <w:abstractNumId w:val="19"/>
  </w:num>
  <w:num w:numId="7">
    <w:abstractNumId w:val="22"/>
  </w:num>
  <w:num w:numId="8">
    <w:abstractNumId w:val="8"/>
  </w:num>
  <w:num w:numId="9">
    <w:abstractNumId w:val="7"/>
  </w:num>
  <w:num w:numId="10">
    <w:abstractNumId w:val="9"/>
  </w:num>
  <w:num w:numId="11">
    <w:abstractNumId w:val="16"/>
  </w:num>
  <w:num w:numId="12">
    <w:abstractNumId w:val="4"/>
  </w:num>
  <w:num w:numId="13">
    <w:abstractNumId w:val="14"/>
  </w:num>
  <w:num w:numId="14">
    <w:abstractNumId w:val="6"/>
  </w:num>
  <w:num w:numId="15">
    <w:abstractNumId w:val="15"/>
  </w:num>
  <w:num w:numId="16">
    <w:abstractNumId w:val="5"/>
  </w:num>
  <w:num w:numId="17">
    <w:abstractNumId w:val="23"/>
  </w:num>
  <w:num w:numId="18">
    <w:abstractNumId w:val="24"/>
  </w:num>
  <w:num w:numId="19">
    <w:abstractNumId w:val="20"/>
  </w:num>
  <w:num w:numId="20">
    <w:abstractNumId w:val="17"/>
  </w:num>
  <w:num w:numId="21">
    <w:abstractNumId w:val="1"/>
  </w:num>
  <w:num w:numId="22">
    <w:abstractNumId w:val="18"/>
  </w:num>
  <w:num w:numId="23">
    <w:abstractNumId w:val="0"/>
  </w:num>
  <w:num w:numId="24">
    <w:abstractNumId w:val="3"/>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3101"/>
    <w:rsid w:val="00117F74"/>
    <w:rsid w:val="0012723F"/>
    <w:rsid w:val="00164535"/>
    <w:rsid w:val="001D0360"/>
    <w:rsid w:val="0029119E"/>
    <w:rsid w:val="00297380"/>
    <w:rsid w:val="002F3755"/>
    <w:rsid w:val="00392757"/>
    <w:rsid w:val="00464E97"/>
    <w:rsid w:val="004E42E6"/>
    <w:rsid w:val="004E6D27"/>
    <w:rsid w:val="00572F54"/>
    <w:rsid w:val="005C153C"/>
    <w:rsid w:val="00630D60"/>
    <w:rsid w:val="00666795"/>
    <w:rsid w:val="006F3D76"/>
    <w:rsid w:val="00703272"/>
    <w:rsid w:val="007B551C"/>
    <w:rsid w:val="00842638"/>
    <w:rsid w:val="008604AA"/>
    <w:rsid w:val="009609CA"/>
    <w:rsid w:val="009C0AF4"/>
    <w:rsid w:val="00A81C68"/>
    <w:rsid w:val="00A87AE2"/>
    <w:rsid w:val="00AE187C"/>
    <w:rsid w:val="00AF2CF5"/>
    <w:rsid w:val="00B004D7"/>
    <w:rsid w:val="00B00856"/>
    <w:rsid w:val="00B12817"/>
    <w:rsid w:val="00C63101"/>
    <w:rsid w:val="00CD592E"/>
    <w:rsid w:val="00CD7B2B"/>
    <w:rsid w:val="00D35284"/>
    <w:rsid w:val="00D52195"/>
    <w:rsid w:val="00D84C15"/>
    <w:rsid w:val="00DA2A27"/>
    <w:rsid w:val="00DB5123"/>
    <w:rsid w:val="00DF724A"/>
    <w:rsid w:val="00EC5964"/>
    <w:rsid w:val="00ED3561"/>
    <w:rsid w:val="00F35F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uiPriority="35" w:qFormat="1"/>
    <w:lsdException w:name="List Number 2"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3101"/>
    <w:rPr>
      <w:rFonts w:ascii="Gill Sans MT" w:hAnsi="Gill Sans MT"/>
    </w:rPr>
  </w:style>
  <w:style w:type="paragraph" w:styleId="Heading1">
    <w:name w:val="heading 1"/>
    <w:basedOn w:val="Normal"/>
    <w:next w:val="Normal"/>
    <w:link w:val="Heading1Char"/>
    <w:uiPriority w:val="9"/>
    <w:qFormat/>
    <w:rsid w:val="00C63101"/>
    <w:pPr>
      <w:keepNext/>
      <w:keepLines/>
      <w:spacing w:before="480" w:after="0"/>
      <w:outlineLvl w:val="0"/>
    </w:pPr>
    <w:rPr>
      <w:rFonts w:eastAsiaTheme="majorEastAsia" w:cstheme="majorBidi"/>
      <w:b/>
      <w:bCs/>
      <w:sz w:val="40"/>
      <w:szCs w:val="28"/>
    </w:rPr>
  </w:style>
  <w:style w:type="paragraph" w:styleId="Heading2">
    <w:name w:val="heading 2"/>
    <w:basedOn w:val="Normal"/>
    <w:next w:val="Normal"/>
    <w:link w:val="Heading2Char"/>
    <w:uiPriority w:val="9"/>
    <w:unhideWhenUsed/>
    <w:qFormat/>
    <w:rsid w:val="006F3D76"/>
    <w:pPr>
      <w:keepNext/>
      <w:keepLines/>
      <w:spacing w:before="200" w:after="0"/>
      <w:outlineLvl w:val="1"/>
    </w:pPr>
    <w:rPr>
      <w:rFonts w:eastAsiaTheme="majorEastAsia" w:cstheme="majorBidi"/>
      <w:b/>
      <w:bCs/>
      <w:sz w:val="32"/>
      <w:szCs w:val="26"/>
    </w:rPr>
  </w:style>
  <w:style w:type="paragraph" w:styleId="Heading3">
    <w:name w:val="heading 3"/>
    <w:basedOn w:val="Normal"/>
    <w:next w:val="Normal"/>
    <w:link w:val="Heading3Char"/>
    <w:uiPriority w:val="9"/>
    <w:unhideWhenUsed/>
    <w:qFormat/>
    <w:rsid w:val="006F3D76"/>
    <w:pPr>
      <w:keepNext/>
      <w:keepLines/>
      <w:spacing w:before="200" w:after="0"/>
      <w:outlineLvl w:val="2"/>
    </w:pPr>
    <w:rPr>
      <w:rFonts w:eastAsiaTheme="majorEastAsia" w:cstheme="majorBidi"/>
      <w:b/>
      <w:bCs/>
      <w:sz w:val="28"/>
    </w:rPr>
  </w:style>
  <w:style w:type="paragraph" w:styleId="Heading4">
    <w:name w:val="heading 4"/>
    <w:basedOn w:val="Normal"/>
    <w:next w:val="Normal"/>
    <w:link w:val="Heading4Char"/>
    <w:uiPriority w:val="9"/>
    <w:unhideWhenUsed/>
    <w:qFormat/>
    <w:rsid w:val="006F3D76"/>
    <w:pPr>
      <w:keepNext/>
      <w:keepLines/>
      <w:spacing w:before="200" w:after="0"/>
      <w:outlineLvl w:val="3"/>
    </w:pPr>
    <w:rPr>
      <w:rFonts w:eastAsiaTheme="majorEastAsia" w:cstheme="majorBidi"/>
      <w:b/>
      <w:bCs/>
      <w:iCs/>
      <w:sz w:val="24"/>
    </w:rPr>
  </w:style>
  <w:style w:type="paragraph" w:styleId="Heading5">
    <w:name w:val="heading 5"/>
    <w:basedOn w:val="Normal"/>
    <w:next w:val="Normal"/>
    <w:link w:val="Heading5Char"/>
    <w:uiPriority w:val="9"/>
    <w:unhideWhenUsed/>
    <w:qFormat/>
    <w:rsid w:val="00DF724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63101"/>
    <w:pPr>
      <w:tabs>
        <w:tab w:val="center" w:pos="4513"/>
        <w:tab w:val="right" w:pos="9026"/>
      </w:tabs>
      <w:spacing w:after="0" w:line="240" w:lineRule="auto"/>
    </w:pPr>
  </w:style>
  <w:style w:type="character" w:customStyle="1" w:styleId="HeaderChar">
    <w:name w:val="Header Char"/>
    <w:basedOn w:val="DefaultParagraphFont"/>
    <w:link w:val="Header"/>
    <w:rsid w:val="00C63101"/>
  </w:style>
  <w:style w:type="paragraph" w:styleId="Footer">
    <w:name w:val="footer"/>
    <w:basedOn w:val="Normal"/>
    <w:link w:val="FooterChar"/>
    <w:uiPriority w:val="99"/>
    <w:unhideWhenUsed/>
    <w:qFormat/>
    <w:rsid w:val="00C631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3101"/>
  </w:style>
  <w:style w:type="character" w:styleId="Hyperlink">
    <w:name w:val="Hyperlink"/>
    <w:basedOn w:val="DefaultParagraphFont"/>
    <w:uiPriority w:val="99"/>
    <w:unhideWhenUsed/>
    <w:rsid w:val="00C63101"/>
    <w:rPr>
      <w:color w:val="0000FF"/>
      <w:u w:val="single"/>
    </w:rPr>
  </w:style>
  <w:style w:type="paragraph" w:customStyle="1" w:styleId="Sub-branch">
    <w:name w:val="Sub-branch"/>
    <w:basedOn w:val="Normal"/>
    <w:semiHidden/>
    <w:rsid w:val="00C63101"/>
    <w:pPr>
      <w:tabs>
        <w:tab w:val="left" w:pos="567"/>
      </w:tabs>
      <w:spacing w:before="80" w:after="240" w:line="24" w:lineRule="atLeast"/>
    </w:pPr>
    <w:rPr>
      <w:rFonts w:eastAsia="Times New Roman" w:cs="Times New Roman"/>
      <w:caps/>
      <w:w w:val="95"/>
      <w:sz w:val="18"/>
      <w:szCs w:val="20"/>
    </w:rPr>
  </w:style>
  <w:style w:type="character" w:customStyle="1" w:styleId="Heading1Char">
    <w:name w:val="Heading 1 Char"/>
    <w:basedOn w:val="DefaultParagraphFont"/>
    <w:link w:val="Heading1"/>
    <w:uiPriority w:val="9"/>
    <w:rsid w:val="00C63101"/>
    <w:rPr>
      <w:rFonts w:ascii="Gill Sans MT" w:eastAsiaTheme="majorEastAsia" w:hAnsi="Gill Sans MT" w:cstheme="majorBidi"/>
      <w:b/>
      <w:bCs/>
      <w:sz w:val="40"/>
      <w:szCs w:val="28"/>
    </w:rPr>
  </w:style>
  <w:style w:type="character" w:customStyle="1" w:styleId="Heading2Char">
    <w:name w:val="Heading 2 Char"/>
    <w:basedOn w:val="DefaultParagraphFont"/>
    <w:link w:val="Heading2"/>
    <w:uiPriority w:val="9"/>
    <w:rsid w:val="006F3D76"/>
    <w:rPr>
      <w:rFonts w:ascii="Gill Sans MT" w:eastAsiaTheme="majorEastAsia" w:hAnsi="Gill Sans MT" w:cstheme="majorBidi"/>
      <w:b/>
      <w:bCs/>
      <w:sz w:val="32"/>
      <w:szCs w:val="26"/>
    </w:rPr>
  </w:style>
  <w:style w:type="paragraph" w:styleId="Title">
    <w:name w:val="Title"/>
    <w:aliases w:val="DHHS H3"/>
    <w:basedOn w:val="Heading2"/>
    <w:next w:val="Normal"/>
    <w:link w:val="TitleChar"/>
    <w:uiPriority w:val="10"/>
    <w:qFormat/>
    <w:rsid w:val="006F3D76"/>
    <w:pPr>
      <w:pBdr>
        <w:bottom w:val="single" w:sz="8" w:space="4" w:color="4F81BD" w:themeColor="accent1"/>
      </w:pBdr>
      <w:spacing w:after="300" w:line="240" w:lineRule="auto"/>
      <w:contextualSpacing/>
    </w:pPr>
    <w:rPr>
      <w:spacing w:val="5"/>
      <w:kern w:val="28"/>
      <w:sz w:val="28"/>
      <w:szCs w:val="52"/>
    </w:rPr>
  </w:style>
  <w:style w:type="character" w:customStyle="1" w:styleId="TitleChar">
    <w:name w:val="Title Char"/>
    <w:aliases w:val="DHHS H3 Char"/>
    <w:basedOn w:val="DefaultParagraphFont"/>
    <w:link w:val="Title"/>
    <w:uiPriority w:val="10"/>
    <w:rsid w:val="006F3D76"/>
    <w:rPr>
      <w:rFonts w:ascii="Gill Sans MT" w:eastAsiaTheme="majorEastAsia" w:hAnsi="Gill Sans MT" w:cstheme="majorBidi"/>
      <w:b/>
      <w:bCs/>
      <w:spacing w:val="5"/>
      <w:kern w:val="28"/>
      <w:sz w:val="28"/>
      <w:szCs w:val="52"/>
    </w:rPr>
  </w:style>
  <w:style w:type="paragraph" w:styleId="NoSpacing">
    <w:name w:val="No Spacing"/>
    <w:uiPriority w:val="1"/>
    <w:qFormat/>
    <w:rsid w:val="006F3D76"/>
    <w:pPr>
      <w:spacing w:after="0" w:line="240" w:lineRule="auto"/>
    </w:pPr>
    <w:rPr>
      <w:rFonts w:ascii="Gill Sans MT" w:hAnsi="Gill Sans MT"/>
    </w:rPr>
  </w:style>
  <w:style w:type="paragraph" w:styleId="Subtitle">
    <w:name w:val="Subtitle"/>
    <w:aliases w:val="DHHS H4"/>
    <w:basedOn w:val="Normal"/>
    <w:next w:val="Normal"/>
    <w:link w:val="SubtitleChar"/>
    <w:uiPriority w:val="11"/>
    <w:qFormat/>
    <w:rsid w:val="006F3D76"/>
    <w:pPr>
      <w:numPr>
        <w:ilvl w:val="1"/>
      </w:numPr>
    </w:pPr>
    <w:rPr>
      <w:rFonts w:eastAsiaTheme="majorEastAsia" w:cstheme="majorBidi"/>
      <w:b/>
      <w:iCs/>
      <w:spacing w:val="15"/>
      <w:sz w:val="24"/>
      <w:szCs w:val="24"/>
    </w:rPr>
  </w:style>
  <w:style w:type="character" w:customStyle="1" w:styleId="Heading3Char">
    <w:name w:val="Heading 3 Char"/>
    <w:basedOn w:val="DefaultParagraphFont"/>
    <w:link w:val="Heading3"/>
    <w:uiPriority w:val="9"/>
    <w:rsid w:val="006F3D76"/>
    <w:rPr>
      <w:rFonts w:ascii="Gill Sans MT" w:eastAsiaTheme="majorEastAsia" w:hAnsi="Gill Sans MT" w:cstheme="majorBidi"/>
      <w:b/>
      <w:bCs/>
      <w:sz w:val="28"/>
    </w:rPr>
  </w:style>
  <w:style w:type="character" w:customStyle="1" w:styleId="SubtitleChar">
    <w:name w:val="Subtitle Char"/>
    <w:aliases w:val="DHHS H4 Char"/>
    <w:basedOn w:val="DefaultParagraphFont"/>
    <w:link w:val="Subtitle"/>
    <w:uiPriority w:val="11"/>
    <w:rsid w:val="006F3D76"/>
    <w:rPr>
      <w:rFonts w:ascii="Gill Sans MT" w:eastAsiaTheme="majorEastAsia" w:hAnsi="Gill Sans MT" w:cstheme="majorBidi"/>
      <w:b/>
      <w:iCs/>
      <w:spacing w:val="15"/>
      <w:sz w:val="24"/>
      <w:szCs w:val="24"/>
    </w:rPr>
  </w:style>
  <w:style w:type="character" w:customStyle="1" w:styleId="Heading4Char">
    <w:name w:val="Heading 4 Char"/>
    <w:basedOn w:val="DefaultParagraphFont"/>
    <w:link w:val="Heading4"/>
    <w:uiPriority w:val="9"/>
    <w:rsid w:val="006F3D76"/>
    <w:rPr>
      <w:rFonts w:ascii="Gill Sans MT" w:eastAsiaTheme="majorEastAsia" w:hAnsi="Gill Sans MT" w:cstheme="majorBidi"/>
      <w:b/>
      <w:bCs/>
      <w:iCs/>
      <w:sz w:val="24"/>
    </w:rPr>
  </w:style>
  <w:style w:type="paragraph" w:styleId="BalloonText">
    <w:name w:val="Balloon Text"/>
    <w:basedOn w:val="Normal"/>
    <w:link w:val="BalloonTextChar"/>
    <w:uiPriority w:val="99"/>
    <w:semiHidden/>
    <w:unhideWhenUsed/>
    <w:rsid w:val="00AF2C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2CF5"/>
    <w:rPr>
      <w:rFonts w:ascii="Tahoma" w:hAnsi="Tahoma" w:cs="Tahoma"/>
      <w:sz w:val="16"/>
      <w:szCs w:val="16"/>
    </w:rPr>
  </w:style>
  <w:style w:type="paragraph" w:styleId="ListParagraph">
    <w:name w:val="List Paragraph"/>
    <w:aliases w:val="Table"/>
    <w:basedOn w:val="Normal"/>
    <w:uiPriority w:val="34"/>
    <w:qFormat/>
    <w:rsid w:val="00AF2CF5"/>
    <w:pPr>
      <w:widowControl w:val="0"/>
      <w:spacing w:after="60" w:line="280" w:lineRule="atLeast"/>
      <w:ind w:left="720"/>
    </w:pPr>
    <w:rPr>
      <w:rFonts w:ascii="GillSans Light" w:eastAsia="Times New Roman" w:hAnsi="GillSans Light" w:cs="Times New Roman"/>
      <w:sz w:val="20"/>
      <w:szCs w:val="24"/>
      <w:lang w:bidi="en-US"/>
    </w:rPr>
  </w:style>
  <w:style w:type="paragraph" w:customStyle="1" w:styleId="Table-AnnualReport">
    <w:name w:val="Table - Annual Report"/>
    <w:basedOn w:val="Normal"/>
    <w:link w:val="Table-AnnualReportChar"/>
    <w:qFormat/>
    <w:rsid w:val="00297380"/>
    <w:pPr>
      <w:keepNext/>
      <w:tabs>
        <w:tab w:val="left" w:pos="567"/>
      </w:tabs>
      <w:spacing w:after="60" w:line="280" w:lineRule="atLeast"/>
    </w:pPr>
    <w:rPr>
      <w:rFonts w:ascii="GillSans Light" w:eastAsia="Times New Roman" w:hAnsi="GillSans Light" w:cs="Times New Roman"/>
      <w:sz w:val="18"/>
      <w:szCs w:val="18"/>
    </w:rPr>
  </w:style>
  <w:style w:type="character" w:customStyle="1" w:styleId="Table-AnnualReportChar">
    <w:name w:val="Table - Annual Report Char"/>
    <w:basedOn w:val="DefaultParagraphFont"/>
    <w:link w:val="Table-AnnualReport"/>
    <w:rsid w:val="00297380"/>
    <w:rPr>
      <w:rFonts w:ascii="GillSans Light" w:eastAsia="Times New Roman" w:hAnsi="GillSans Light" w:cs="Times New Roman"/>
      <w:sz w:val="18"/>
      <w:szCs w:val="18"/>
    </w:rPr>
  </w:style>
  <w:style w:type="paragraph" w:customStyle="1" w:styleId="NotesHeading">
    <w:name w:val="Notes Heading"/>
    <w:next w:val="Normal"/>
    <w:link w:val="NotesHeadingChar"/>
    <w:qFormat/>
    <w:rsid w:val="007B551C"/>
    <w:pPr>
      <w:spacing w:after="0" w:line="240" w:lineRule="auto"/>
    </w:pPr>
    <w:rPr>
      <w:rFonts w:ascii="Arial" w:eastAsia="Calibri" w:hAnsi="Arial" w:cs="Times New Roman"/>
      <w:sz w:val="18"/>
    </w:rPr>
  </w:style>
  <w:style w:type="character" w:customStyle="1" w:styleId="NotesHeadingChar">
    <w:name w:val="Notes Heading Char"/>
    <w:basedOn w:val="DefaultParagraphFont"/>
    <w:link w:val="NotesHeading"/>
    <w:locked/>
    <w:rsid w:val="007B551C"/>
    <w:rPr>
      <w:rFonts w:ascii="Arial" w:eastAsia="Calibri" w:hAnsi="Arial" w:cs="Times New Roman"/>
      <w:sz w:val="18"/>
    </w:rPr>
  </w:style>
  <w:style w:type="paragraph" w:styleId="Caption">
    <w:name w:val="caption"/>
    <w:basedOn w:val="Normal"/>
    <w:next w:val="Normal"/>
    <w:uiPriority w:val="35"/>
    <w:unhideWhenUsed/>
    <w:qFormat/>
    <w:rsid w:val="00164535"/>
    <w:pPr>
      <w:spacing w:line="240" w:lineRule="auto"/>
    </w:pPr>
    <w:rPr>
      <w:b/>
      <w:bCs/>
      <w:color w:val="4F81BD" w:themeColor="accent1"/>
      <w:sz w:val="18"/>
      <w:szCs w:val="18"/>
    </w:rPr>
  </w:style>
  <w:style w:type="paragraph" w:customStyle="1" w:styleId="Notes">
    <w:name w:val="Notes"/>
    <w:link w:val="NotesChar"/>
    <w:qFormat/>
    <w:rsid w:val="00A81C68"/>
    <w:pPr>
      <w:numPr>
        <w:numId w:val="18"/>
      </w:numPr>
      <w:spacing w:after="0" w:line="240" w:lineRule="auto"/>
      <w:jc w:val="both"/>
    </w:pPr>
    <w:rPr>
      <w:rFonts w:ascii="Arial" w:eastAsia="Calibri" w:hAnsi="Arial" w:cs="Times New Roman"/>
      <w:sz w:val="18"/>
      <w:szCs w:val="18"/>
    </w:rPr>
  </w:style>
  <w:style w:type="character" w:customStyle="1" w:styleId="NotesChar">
    <w:name w:val="Notes Char"/>
    <w:basedOn w:val="DefaultParagraphFont"/>
    <w:link w:val="Notes"/>
    <w:locked/>
    <w:rsid w:val="00A81C68"/>
    <w:rPr>
      <w:rFonts w:ascii="Arial" w:eastAsia="Calibri" w:hAnsi="Arial" w:cs="Times New Roman"/>
      <w:sz w:val="18"/>
      <w:szCs w:val="18"/>
    </w:rPr>
  </w:style>
  <w:style w:type="paragraph" w:customStyle="1" w:styleId="BulletedListLevel1">
    <w:name w:val="Bulleted List Level 1"/>
    <w:link w:val="BulletedListLevel1Char"/>
    <w:rsid w:val="0012723F"/>
    <w:pPr>
      <w:numPr>
        <w:numId w:val="21"/>
      </w:numPr>
      <w:tabs>
        <w:tab w:val="left" w:pos="1134"/>
      </w:tabs>
      <w:spacing w:after="140" w:line="300" w:lineRule="atLeast"/>
    </w:pPr>
    <w:rPr>
      <w:rFonts w:ascii="Gill Sans MT" w:eastAsia="Times New Roman" w:hAnsi="Gill Sans MT" w:cs="Times New Roman"/>
      <w:szCs w:val="24"/>
    </w:rPr>
  </w:style>
  <w:style w:type="character" w:customStyle="1" w:styleId="BulletedListLevel1Char">
    <w:name w:val="Bulleted List Level 1 Char"/>
    <w:link w:val="BulletedListLevel1"/>
    <w:locked/>
    <w:rsid w:val="0012723F"/>
    <w:rPr>
      <w:rFonts w:ascii="Gill Sans MT" w:eastAsia="Times New Roman" w:hAnsi="Gill Sans MT" w:cs="Times New Roman"/>
      <w:szCs w:val="24"/>
    </w:rPr>
  </w:style>
  <w:style w:type="paragraph" w:styleId="ListNumber2">
    <w:name w:val="List Number 2"/>
    <w:aliases w:val="Numbered Heading 1"/>
    <w:basedOn w:val="Normal"/>
    <w:qFormat/>
    <w:rsid w:val="0012723F"/>
    <w:pPr>
      <w:tabs>
        <w:tab w:val="left" w:pos="567"/>
      </w:tabs>
      <w:spacing w:after="140" w:line="300" w:lineRule="atLeast"/>
    </w:pPr>
    <w:rPr>
      <w:rFonts w:ascii="GillSans Light" w:eastAsia="Times New Roman" w:hAnsi="GillSans Light" w:cs="Times New Roman"/>
    </w:rPr>
  </w:style>
  <w:style w:type="paragraph" w:styleId="List2">
    <w:name w:val="List 2"/>
    <w:basedOn w:val="Normal"/>
    <w:uiPriority w:val="99"/>
    <w:semiHidden/>
    <w:unhideWhenUsed/>
    <w:rsid w:val="00842638"/>
    <w:pPr>
      <w:tabs>
        <w:tab w:val="left" w:pos="567"/>
      </w:tabs>
      <w:spacing w:after="140" w:line="300" w:lineRule="atLeast"/>
      <w:ind w:left="566" w:hanging="283"/>
      <w:contextualSpacing/>
    </w:pPr>
    <w:rPr>
      <w:rFonts w:ascii="GillSans Light" w:eastAsia="Times New Roman" w:hAnsi="GillSans Light" w:cs="Times New Roman"/>
    </w:rPr>
  </w:style>
  <w:style w:type="paragraph" w:styleId="TOC2">
    <w:name w:val="toc 2"/>
    <w:basedOn w:val="Normal"/>
    <w:next w:val="Normal"/>
    <w:autoRedefine/>
    <w:uiPriority w:val="39"/>
    <w:unhideWhenUsed/>
    <w:rsid w:val="008604AA"/>
    <w:pPr>
      <w:spacing w:after="100"/>
      <w:ind w:left="220"/>
    </w:pPr>
  </w:style>
  <w:style w:type="paragraph" w:styleId="TOC1">
    <w:name w:val="toc 1"/>
    <w:basedOn w:val="Normal"/>
    <w:next w:val="Normal"/>
    <w:autoRedefine/>
    <w:uiPriority w:val="39"/>
    <w:semiHidden/>
    <w:unhideWhenUsed/>
    <w:rsid w:val="008604AA"/>
    <w:pPr>
      <w:spacing w:after="100"/>
    </w:pPr>
  </w:style>
  <w:style w:type="character" w:customStyle="1" w:styleId="Heading5Char">
    <w:name w:val="Heading 5 Char"/>
    <w:basedOn w:val="DefaultParagraphFont"/>
    <w:link w:val="Heading5"/>
    <w:uiPriority w:val="9"/>
    <w:rsid w:val="00DF724A"/>
    <w:rPr>
      <w:rFonts w:asciiTheme="majorHAnsi" w:eastAsiaTheme="majorEastAsia" w:hAnsiTheme="majorHAnsi" w:cstheme="majorBidi"/>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uiPriority="35" w:qFormat="1"/>
    <w:lsdException w:name="List Number 2"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3101"/>
    <w:rPr>
      <w:rFonts w:ascii="Gill Sans MT" w:hAnsi="Gill Sans MT"/>
    </w:rPr>
  </w:style>
  <w:style w:type="paragraph" w:styleId="Heading1">
    <w:name w:val="heading 1"/>
    <w:basedOn w:val="Normal"/>
    <w:next w:val="Normal"/>
    <w:link w:val="Heading1Char"/>
    <w:uiPriority w:val="9"/>
    <w:qFormat/>
    <w:rsid w:val="00C63101"/>
    <w:pPr>
      <w:keepNext/>
      <w:keepLines/>
      <w:spacing w:before="480" w:after="0"/>
      <w:outlineLvl w:val="0"/>
    </w:pPr>
    <w:rPr>
      <w:rFonts w:eastAsiaTheme="majorEastAsia" w:cstheme="majorBidi"/>
      <w:b/>
      <w:bCs/>
      <w:sz w:val="40"/>
      <w:szCs w:val="28"/>
    </w:rPr>
  </w:style>
  <w:style w:type="paragraph" w:styleId="Heading2">
    <w:name w:val="heading 2"/>
    <w:basedOn w:val="Normal"/>
    <w:next w:val="Normal"/>
    <w:link w:val="Heading2Char"/>
    <w:uiPriority w:val="9"/>
    <w:unhideWhenUsed/>
    <w:qFormat/>
    <w:rsid w:val="006F3D76"/>
    <w:pPr>
      <w:keepNext/>
      <w:keepLines/>
      <w:spacing w:before="200" w:after="0"/>
      <w:outlineLvl w:val="1"/>
    </w:pPr>
    <w:rPr>
      <w:rFonts w:eastAsiaTheme="majorEastAsia" w:cstheme="majorBidi"/>
      <w:b/>
      <w:bCs/>
      <w:sz w:val="32"/>
      <w:szCs w:val="26"/>
    </w:rPr>
  </w:style>
  <w:style w:type="paragraph" w:styleId="Heading3">
    <w:name w:val="heading 3"/>
    <w:basedOn w:val="Normal"/>
    <w:next w:val="Normal"/>
    <w:link w:val="Heading3Char"/>
    <w:uiPriority w:val="9"/>
    <w:unhideWhenUsed/>
    <w:qFormat/>
    <w:rsid w:val="006F3D76"/>
    <w:pPr>
      <w:keepNext/>
      <w:keepLines/>
      <w:spacing w:before="200" w:after="0"/>
      <w:outlineLvl w:val="2"/>
    </w:pPr>
    <w:rPr>
      <w:rFonts w:eastAsiaTheme="majorEastAsia" w:cstheme="majorBidi"/>
      <w:b/>
      <w:bCs/>
      <w:sz w:val="28"/>
    </w:rPr>
  </w:style>
  <w:style w:type="paragraph" w:styleId="Heading4">
    <w:name w:val="heading 4"/>
    <w:basedOn w:val="Normal"/>
    <w:next w:val="Normal"/>
    <w:link w:val="Heading4Char"/>
    <w:uiPriority w:val="9"/>
    <w:unhideWhenUsed/>
    <w:qFormat/>
    <w:rsid w:val="006F3D76"/>
    <w:pPr>
      <w:keepNext/>
      <w:keepLines/>
      <w:spacing w:before="200" w:after="0"/>
      <w:outlineLvl w:val="3"/>
    </w:pPr>
    <w:rPr>
      <w:rFonts w:eastAsiaTheme="majorEastAsia" w:cstheme="majorBidi"/>
      <w:b/>
      <w:bCs/>
      <w:iCs/>
      <w:sz w:val="24"/>
    </w:rPr>
  </w:style>
  <w:style w:type="paragraph" w:styleId="Heading5">
    <w:name w:val="heading 5"/>
    <w:basedOn w:val="Normal"/>
    <w:next w:val="Normal"/>
    <w:link w:val="Heading5Char"/>
    <w:uiPriority w:val="9"/>
    <w:unhideWhenUsed/>
    <w:qFormat/>
    <w:rsid w:val="00DF724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63101"/>
    <w:pPr>
      <w:tabs>
        <w:tab w:val="center" w:pos="4513"/>
        <w:tab w:val="right" w:pos="9026"/>
      </w:tabs>
      <w:spacing w:after="0" w:line="240" w:lineRule="auto"/>
    </w:pPr>
  </w:style>
  <w:style w:type="character" w:customStyle="1" w:styleId="HeaderChar">
    <w:name w:val="Header Char"/>
    <w:basedOn w:val="DefaultParagraphFont"/>
    <w:link w:val="Header"/>
    <w:rsid w:val="00C63101"/>
  </w:style>
  <w:style w:type="paragraph" w:styleId="Footer">
    <w:name w:val="footer"/>
    <w:basedOn w:val="Normal"/>
    <w:link w:val="FooterChar"/>
    <w:uiPriority w:val="99"/>
    <w:unhideWhenUsed/>
    <w:qFormat/>
    <w:rsid w:val="00C631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3101"/>
  </w:style>
  <w:style w:type="character" w:styleId="Hyperlink">
    <w:name w:val="Hyperlink"/>
    <w:basedOn w:val="DefaultParagraphFont"/>
    <w:uiPriority w:val="99"/>
    <w:unhideWhenUsed/>
    <w:rsid w:val="00C63101"/>
    <w:rPr>
      <w:color w:val="0000FF"/>
      <w:u w:val="single"/>
    </w:rPr>
  </w:style>
  <w:style w:type="paragraph" w:customStyle="1" w:styleId="Sub-branch">
    <w:name w:val="Sub-branch"/>
    <w:basedOn w:val="Normal"/>
    <w:semiHidden/>
    <w:rsid w:val="00C63101"/>
    <w:pPr>
      <w:tabs>
        <w:tab w:val="left" w:pos="567"/>
      </w:tabs>
      <w:spacing w:before="80" w:after="240" w:line="24" w:lineRule="atLeast"/>
    </w:pPr>
    <w:rPr>
      <w:rFonts w:eastAsia="Times New Roman" w:cs="Times New Roman"/>
      <w:caps/>
      <w:w w:val="95"/>
      <w:sz w:val="18"/>
      <w:szCs w:val="20"/>
    </w:rPr>
  </w:style>
  <w:style w:type="character" w:customStyle="1" w:styleId="Heading1Char">
    <w:name w:val="Heading 1 Char"/>
    <w:basedOn w:val="DefaultParagraphFont"/>
    <w:link w:val="Heading1"/>
    <w:uiPriority w:val="9"/>
    <w:rsid w:val="00C63101"/>
    <w:rPr>
      <w:rFonts w:ascii="Gill Sans MT" w:eastAsiaTheme="majorEastAsia" w:hAnsi="Gill Sans MT" w:cstheme="majorBidi"/>
      <w:b/>
      <w:bCs/>
      <w:sz w:val="40"/>
      <w:szCs w:val="28"/>
    </w:rPr>
  </w:style>
  <w:style w:type="character" w:customStyle="1" w:styleId="Heading2Char">
    <w:name w:val="Heading 2 Char"/>
    <w:basedOn w:val="DefaultParagraphFont"/>
    <w:link w:val="Heading2"/>
    <w:uiPriority w:val="9"/>
    <w:rsid w:val="006F3D76"/>
    <w:rPr>
      <w:rFonts w:ascii="Gill Sans MT" w:eastAsiaTheme="majorEastAsia" w:hAnsi="Gill Sans MT" w:cstheme="majorBidi"/>
      <w:b/>
      <w:bCs/>
      <w:sz w:val="32"/>
      <w:szCs w:val="26"/>
    </w:rPr>
  </w:style>
  <w:style w:type="paragraph" w:styleId="Title">
    <w:name w:val="Title"/>
    <w:aliases w:val="DHHS H3"/>
    <w:basedOn w:val="Heading2"/>
    <w:next w:val="Normal"/>
    <w:link w:val="TitleChar"/>
    <w:uiPriority w:val="10"/>
    <w:qFormat/>
    <w:rsid w:val="006F3D76"/>
    <w:pPr>
      <w:pBdr>
        <w:bottom w:val="single" w:sz="8" w:space="4" w:color="4F81BD" w:themeColor="accent1"/>
      </w:pBdr>
      <w:spacing w:after="300" w:line="240" w:lineRule="auto"/>
      <w:contextualSpacing/>
    </w:pPr>
    <w:rPr>
      <w:spacing w:val="5"/>
      <w:kern w:val="28"/>
      <w:sz w:val="28"/>
      <w:szCs w:val="52"/>
    </w:rPr>
  </w:style>
  <w:style w:type="character" w:customStyle="1" w:styleId="TitleChar">
    <w:name w:val="Title Char"/>
    <w:aliases w:val="DHHS H3 Char"/>
    <w:basedOn w:val="DefaultParagraphFont"/>
    <w:link w:val="Title"/>
    <w:uiPriority w:val="10"/>
    <w:rsid w:val="006F3D76"/>
    <w:rPr>
      <w:rFonts w:ascii="Gill Sans MT" w:eastAsiaTheme="majorEastAsia" w:hAnsi="Gill Sans MT" w:cstheme="majorBidi"/>
      <w:b/>
      <w:bCs/>
      <w:spacing w:val="5"/>
      <w:kern w:val="28"/>
      <w:sz w:val="28"/>
      <w:szCs w:val="52"/>
    </w:rPr>
  </w:style>
  <w:style w:type="paragraph" w:styleId="NoSpacing">
    <w:name w:val="No Spacing"/>
    <w:uiPriority w:val="1"/>
    <w:qFormat/>
    <w:rsid w:val="006F3D76"/>
    <w:pPr>
      <w:spacing w:after="0" w:line="240" w:lineRule="auto"/>
    </w:pPr>
    <w:rPr>
      <w:rFonts w:ascii="Gill Sans MT" w:hAnsi="Gill Sans MT"/>
    </w:rPr>
  </w:style>
  <w:style w:type="paragraph" w:styleId="Subtitle">
    <w:name w:val="Subtitle"/>
    <w:aliases w:val="DHHS H4"/>
    <w:basedOn w:val="Normal"/>
    <w:next w:val="Normal"/>
    <w:link w:val="SubtitleChar"/>
    <w:uiPriority w:val="11"/>
    <w:qFormat/>
    <w:rsid w:val="006F3D76"/>
    <w:pPr>
      <w:numPr>
        <w:ilvl w:val="1"/>
      </w:numPr>
    </w:pPr>
    <w:rPr>
      <w:rFonts w:eastAsiaTheme="majorEastAsia" w:cstheme="majorBidi"/>
      <w:b/>
      <w:iCs/>
      <w:spacing w:val="15"/>
      <w:sz w:val="24"/>
      <w:szCs w:val="24"/>
    </w:rPr>
  </w:style>
  <w:style w:type="character" w:customStyle="1" w:styleId="Heading3Char">
    <w:name w:val="Heading 3 Char"/>
    <w:basedOn w:val="DefaultParagraphFont"/>
    <w:link w:val="Heading3"/>
    <w:uiPriority w:val="9"/>
    <w:rsid w:val="006F3D76"/>
    <w:rPr>
      <w:rFonts w:ascii="Gill Sans MT" w:eastAsiaTheme="majorEastAsia" w:hAnsi="Gill Sans MT" w:cstheme="majorBidi"/>
      <w:b/>
      <w:bCs/>
      <w:sz w:val="28"/>
    </w:rPr>
  </w:style>
  <w:style w:type="character" w:customStyle="1" w:styleId="SubtitleChar">
    <w:name w:val="Subtitle Char"/>
    <w:aliases w:val="DHHS H4 Char"/>
    <w:basedOn w:val="DefaultParagraphFont"/>
    <w:link w:val="Subtitle"/>
    <w:uiPriority w:val="11"/>
    <w:rsid w:val="006F3D76"/>
    <w:rPr>
      <w:rFonts w:ascii="Gill Sans MT" w:eastAsiaTheme="majorEastAsia" w:hAnsi="Gill Sans MT" w:cstheme="majorBidi"/>
      <w:b/>
      <w:iCs/>
      <w:spacing w:val="15"/>
      <w:sz w:val="24"/>
      <w:szCs w:val="24"/>
    </w:rPr>
  </w:style>
  <w:style w:type="character" w:customStyle="1" w:styleId="Heading4Char">
    <w:name w:val="Heading 4 Char"/>
    <w:basedOn w:val="DefaultParagraphFont"/>
    <w:link w:val="Heading4"/>
    <w:uiPriority w:val="9"/>
    <w:rsid w:val="006F3D76"/>
    <w:rPr>
      <w:rFonts w:ascii="Gill Sans MT" w:eastAsiaTheme="majorEastAsia" w:hAnsi="Gill Sans MT" w:cstheme="majorBidi"/>
      <w:b/>
      <w:bCs/>
      <w:iCs/>
      <w:sz w:val="24"/>
    </w:rPr>
  </w:style>
  <w:style w:type="paragraph" w:styleId="BalloonText">
    <w:name w:val="Balloon Text"/>
    <w:basedOn w:val="Normal"/>
    <w:link w:val="BalloonTextChar"/>
    <w:uiPriority w:val="99"/>
    <w:semiHidden/>
    <w:unhideWhenUsed/>
    <w:rsid w:val="00AF2C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2CF5"/>
    <w:rPr>
      <w:rFonts w:ascii="Tahoma" w:hAnsi="Tahoma" w:cs="Tahoma"/>
      <w:sz w:val="16"/>
      <w:szCs w:val="16"/>
    </w:rPr>
  </w:style>
  <w:style w:type="paragraph" w:styleId="ListParagraph">
    <w:name w:val="List Paragraph"/>
    <w:aliases w:val="Table"/>
    <w:basedOn w:val="Normal"/>
    <w:uiPriority w:val="34"/>
    <w:qFormat/>
    <w:rsid w:val="00AF2CF5"/>
    <w:pPr>
      <w:widowControl w:val="0"/>
      <w:spacing w:after="60" w:line="280" w:lineRule="atLeast"/>
      <w:ind w:left="720"/>
    </w:pPr>
    <w:rPr>
      <w:rFonts w:ascii="GillSans Light" w:eastAsia="Times New Roman" w:hAnsi="GillSans Light" w:cs="Times New Roman"/>
      <w:sz w:val="20"/>
      <w:szCs w:val="24"/>
      <w:lang w:bidi="en-US"/>
    </w:rPr>
  </w:style>
  <w:style w:type="paragraph" w:customStyle="1" w:styleId="Table-AnnualReport">
    <w:name w:val="Table - Annual Report"/>
    <w:basedOn w:val="Normal"/>
    <w:link w:val="Table-AnnualReportChar"/>
    <w:qFormat/>
    <w:rsid w:val="00297380"/>
    <w:pPr>
      <w:keepNext/>
      <w:tabs>
        <w:tab w:val="left" w:pos="567"/>
      </w:tabs>
      <w:spacing w:after="60" w:line="280" w:lineRule="atLeast"/>
    </w:pPr>
    <w:rPr>
      <w:rFonts w:ascii="GillSans Light" w:eastAsia="Times New Roman" w:hAnsi="GillSans Light" w:cs="Times New Roman"/>
      <w:sz w:val="18"/>
      <w:szCs w:val="18"/>
    </w:rPr>
  </w:style>
  <w:style w:type="character" w:customStyle="1" w:styleId="Table-AnnualReportChar">
    <w:name w:val="Table - Annual Report Char"/>
    <w:basedOn w:val="DefaultParagraphFont"/>
    <w:link w:val="Table-AnnualReport"/>
    <w:rsid w:val="00297380"/>
    <w:rPr>
      <w:rFonts w:ascii="GillSans Light" w:eastAsia="Times New Roman" w:hAnsi="GillSans Light" w:cs="Times New Roman"/>
      <w:sz w:val="18"/>
      <w:szCs w:val="18"/>
    </w:rPr>
  </w:style>
  <w:style w:type="paragraph" w:customStyle="1" w:styleId="NotesHeading">
    <w:name w:val="Notes Heading"/>
    <w:next w:val="Normal"/>
    <w:link w:val="NotesHeadingChar"/>
    <w:qFormat/>
    <w:rsid w:val="007B551C"/>
    <w:pPr>
      <w:spacing w:after="0" w:line="240" w:lineRule="auto"/>
    </w:pPr>
    <w:rPr>
      <w:rFonts w:ascii="Arial" w:eastAsia="Calibri" w:hAnsi="Arial" w:cs="Times New Roman"/>
      <w:sz w:val="18"/>
    </w:rPr>
  </w:style>
  <w:style w:type="character" w:customStyle="1" w:styleId="NotesHeadingChar">
    <w:name w:val="Notes Heading Char"/>
    <w:basedOn w:val="DefaultParagraphFont"/>
    <w:link w:val="NotesHeading"/>
    <w:locked/>
    <w:rsid w:val="007B551C"/>
    <w:rPr>
      <w:rFonts w:ascii="Arial" w:eastAsia="Calibri" w:hAnsi="Arial" w:cs="Times New Roman"/>
      <w:sz w:val="18"/>
    </w:rPr>
  </w:style>
  <w:style w:type="paragraph" w:styleId="Caption">
    <w:name w:val="caption"/>
    <w:basedOn w:val="Normal"/>
    <w:next w:val="Normal"/>
    <w:uiPriority w:val="35"/>
    <w:unhideWhenUsed/>
    <w:qFormat/>
    <w:rsid w:val="00164535"/>
    <w:pPr>
      <w:spacing w:line="240" w:lineRule="auto"/>
    </w:pPr>
    <w:rPr>
      <w:b/>
      <w:bCs/>
      <w:color w:val="4F81BD" w:themeColor="accent1"/>
      <w:sz w:val="18"/>
      <w:szCs w:val="18"/>
    </w:rPr>
  </w:style>
  <w:style w:type="paragraph" w:customStyle="1" w:styleId="Notes">
    <w:name w:val="Notes"/>
    <w:link w:val="NotesChar"/>
    <w:qFormat/>
    <w:rsid w:val="00A81C68"/>
    <w:pPr>
      <w:numPr>
        <w:numId w:val="18"/>
      </w:numPr>
      <w:spacing w:after="0" w:line="240" w:lineRule="auto"/>
      <w:jc w:val="both"/>
    </w:pPr>
    <w:rPr>
      <w:rFonts w:ascii="Arial" w:eastAsia="Calibri" w:hAnsi="Arial" w:cs="Times New Roman"/>
      <w:sz w:val="18"/>
      <w:szCs w:val="18"/>
    </w:rPr>
  </w:style>
  <w:style w:type="character" w:customStyle="1" w:styleId="NotesChar">
    <w:name w:val="Notes Char"/>
    <w:basedOn w:val="DefaultParagraphFont"/>
    <w:link w:val="Notes"/>
    <w:locked/>
    <w:rsid w:val="00A81C68"/>
    <w:rPr>
      <w:rFonts w:ascii="Arial" w:eastAsia="Calibri" w:hAnsi="Arial" w:cs="Times New Roman"/>
      <w:sz w:val="18"/>
      <w:szCs w:val="18"/>
    </w:rPr>
  </w:style>
  <w:style w:type="paragraph" w:customStyle="1" w:styleId="BulletedListLevel1">
    <w:name w:val="Bulleted List Level 1"/>
    <w:link w:val="BulletedListLevel1Char"/>
    <w:rsid w:val="0012723F"/>
    <w:pPr>
      <w:numPr>
        <w:numId w:val="21"/>
      </w:numPr>
      <w:tabs>
        <w:tab w:val="left" w:pos="1134"/>
      </w:tabs>
      <w:spacing w:after="140" w:line="300" w:lineRule="atLeast"/>
    </w:pPr>
    <w:rPr>
      <w:rFonts w:ascii="Gill Sans MT" w:eastAsia="Times New Roman" w:hAnsi="Gill Sans MT" w:cs="Times New Roman"/>
      <w:szCs w:val="24"/>
    </w:rPr>
  </w:style>
  <w:style w:type="character" w:customStyle="1" w:styleId="BulletedListLevel1Char">
    <w:name w:val="Bulleted List Level 1 Char"/>
    <w:link w:val="BulletedListLevel1"/>
    <w:locked/>
    <w:rsid w:val="0012723F"/>
    <w:rPr>
      <w:rFonts w:ascii="Gill Sans MT" w:eastAsia="Times New Roman" w:hAnsi="Gill Sans MT" w:cs="Times New Roman"/>
      <w:szCs w:val="24"/>
    </w:rPr>
  </w:style>
  <w:style w:type="paragraph" w:styleId="ListNumber2">
    <w:name w:val="List Number 2"/>
    <w:aliases w:val="Numbered Heading 1"/>
    <w:basedOn w:val="Normal"/>
    <w:qFormat/>
    <w:rsid w:val="0012723F"/>
    <w:pPr>
      <w:tabs>
        <w:tab w:val="left" w:pos="567"/>
      </w:tabs>
      <w:spacing w:after="140" w:line="300" w:lineRule="atLeast"/>
    </w:pPr>
    <w:rPr>
      <w:rFonts w:ascii="GillSans Light" w:eastAsia="Times New Roman" w:hAnsi="GillSans Light" w:cs="Times New Roman"/>
    </w:rPr>
  </w:style>
  <w:style w:type="paragraph" w:styleId="List2">
    <w:name w:val="List 2"/>
    <w:basedOn w:val="Normal"/>
    <w:uiPriority w:val="99"/>
    <w:semiHidden/>
    <w:unhideWhenUsed/>
    <w:rsid w:val="00842638"/>
    <w:pPr>
      <w:tabs>
        <w:tab w:val="left" w:pos="567"/>
      </w:tabs>
      <w:spacing w:after="140" w:line="300" w:lineRule="atLeast"/>
      <w:ind w:left="566" w:hanging="283"/>
      <w:contextualSpacing/>
    </w:pPr>
    <w:rPr>
      <w:rFonts w:ascii="GillSans Light" w:eastAsia="Times New Roman" w:hAnsi="GillSans Light" w:cs="Times New Roman"/>
    </w:rPr>
  </w:style>
  <w:style w:type="paragraph" w:styleId="TOC2">
    <w:name w:val="toc 2"/>
    <w:basedOn w:val="Normal"/>
    <w:next w:val="Normal"/>
    <w:autoRedefine/>
    <w:uiPriority w:val="39"/>
    <w:unhideWhenUsed/>
    <w:rsid w:val="008604AA"/>
    <w:pPr>
      <w:spacing w:after="100"/>
      <w:ind w:left="220"/>
    </w:pPr>
  </w:style>
  <w:style w:type="paragraph" w:styleId="TOC1">
    <w:name w:val="toc 1"/>
    <w:basedOn w:val="Normal"/>
    <w:next w:val="Normal"/>
    <w:autoRedefine/>
    <w:uiPriority w:val="39"/>
    <w:semiHidden/>
    <w:unhideWhenUsed/>
    <w:rsid w:val="008604AA"/>
    <w:pPr>
      <w:spacing w:after="100"/>
    </w:pPr>
  </w:style>
  <w:style w:type="character" w:customStyle="1" w:styleId="Heading5Char">
    <w:name w:val="Heading 5 Char"/>
    <w:basedOn w:val="DefaultParagraphFont"/>
    <w:link w:val="Heading5"/>
    <w:uiPriority w:val="9"/>
    <w:rsid w:val="00DF724A"/>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2.xml"/><Relationship Id="rId26" Type="http://schemas.openxmlformats.org/officeDocument/2006/relationships/hyperlink" Target="http://www.dhhs.tas.gov.au/about_the_department/our_plans_and_strategies" TargetMode="Externa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header" Target="header10.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oter" Target="footer3.xml"/><Relationship Id="rId25" Type="http://schemas.openxmlformats.org/officeDocument/2006/relationships/hyperlink" Target="http://www.suicidepreventiontas.org.au/" TargetMode="External"/><Relationship Id="rId33"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4.xm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hhs.tas.gov.au" TargetMode="External"/><Relationship Id="rId24" Type="http://schemas.openxmlformats.org/officeDocument/2006/relationships/hyperlink" Target="http://www.dhhs.tas.gov.au/mentalhealth/suicide_risk_and_prevention/tasmanian_suicide_prevention_steering_committee_tspsc" TargetMode="External"/><Relationship Id="rId32"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eader" Target="header6.xml"/><Relationship Id="rId28" Type="http://schemas.openxmlformats.org/officeDocument/2006/relationships/image" Target="media/image7.png"/><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eader" Target="header3.xml"/><Relationship Id="rId31"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eader" Target="header5.xml"/><Relationship Id="rId27" Type="http://schemas.openxmlformats.org/officeDocument/2006/relationships/image" Target="media/image6.jpeg"/><Relationship Id="rId30" Type="http://schemas.openxmlformats.org/officeDocument/2006/relationships/header" Target="header7.xml"/><Relationship Id="rId35" Type="http://schemas.openxmlformats.org/officeDocument/2006/relationships/fontTable" Target="fontTable.xml"/><Relationship Id="rId8" Type="http://schemas.openxmlformats.org/officeDocument/2006/relationships/endnotes" Target="endnotes.xml"/></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_rels/header7.xml.rels><?xml version="1.0" encoding="UTF-8" standalone="yes"?>
<Relationships xmlns="http://schemas.openxmlformats.org/package/2006/relationships"><Relationship Id="rId1" Type="http://schemas.openxmlformats.org/officeDocument/2006/relationships/image" Target="media/image5.jpeg"/></Relationships>
</file>

<file path=word/_rels/header9.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C28077-B26F-43BF-8726-C8225FE82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D4CF0692.dotm</Template>
  <TotalTime>1</TotalTime>
  <Pages>48</Pages>
  <Words>15686</Words>
  <Characters>89414</Characters>
  <Application>Microsoft Office Word</Application>
  <DocSecurity>0</DocSecurity>
  <Lines>745</Lines>
  <Paragraphs>209</Paragraphs>
  <ScaleCrop>false</ScaleCrop>
  <HeadingPairs>
    <vt:vector size="2" baseType="variant">
      <vt:variant>
        <vt:lpstr>Title</vt:lpstr>
      </vt:variant>
      <vt:variant>
        <vt:i4>1</vt:i4>
      </vt:variant>
    </vt:vector>
  </HeadingPairs>
  <TitlesOfParts>
    <vt:vector size="1" baseType="lpstr">
      <vt:lpstr/>
    </vt:vector>
  </TitlesOfParts>
  <Company>DHHS</Company>
  <LinksUpToDate>false</LinksUpToDate>
  <CharactersWithSpaces>104891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Toon, Karen M</dc:creator>
  <cp:lastModifiedBy>Toon, Karen M</cp:lastModifiedBy>
  <cp:revision>3</cp:revision>
  <dcterms:created xsi:type="dcterms:W3CDTF">2016-10-27T03:58:00Z</dcterms:created>
  <dcterms:modified xsi:type="dcterms:W3CDTF">2016-10-27T03:59:00Z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