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E9EC" w14:textId="77777777" w:rsidR="00B3687C" w:rsidRPr="00E35976" w:rsidRDefault="00B3687C" w:rsidP="0006112E">
      <w:pPr>
        <w:rPr>
          <w:rFonts w:ascii="Gill Sans MT" w:hAnsi="Gill Sans MT"/>
          <w:color w:val="365F91" w:themeColor="accent1" w:themeShade="BF"/>
          <w:sz w:val="72"/>
          <w:szCs w:val="72"/>
        </w:rPr>
      </w:pPr>
      <w:bookmarkStart w:id="0" w:name="_Toc7793533"/>
      <w:bookmarkStart w:id="1" w:name="_Toc7793954"/>
      <w:r w:rsidRPr="00E35976">
        <w:rPr>
          <w:rFonts w:ascii="Gill Sans MT" w:hAnsi="Gill Sans MT"/>
          <w:color w:val="365F91" w:themeColor="accent1" w:themeShade="BF"/>
          <w:sz w:val="72"/>
          <w:szCs w:val="72"/>
        </w:rPr>
        <w:t>Interagency Working Group on Drugs</w:t>
      </w:r>
      <w:bookmarkEnd w:id="0"/>
      <w:bookmarkEnd w:id="1"/>
    </w:p>
    <w:p w14:paraId="10C7EA70" w14:textId="77777777" w:rsidR="009F6CA6" w:rsidRPr="00E35976" w:rsidRDefault="009F6CA6" w:rsidP="00204862">
      <w:pPr>
        <w:keepNext/>
        <w:spacing w:after="140" w:line="300" w:lineRule="atLeast"/>
        <w:rPr>
          <w:rFonts w:ascii="Gill Sans MT" w:hAnsi="Gill Sans MT"/>
        </w:rPr>
      </w:pPr>
    </w:p>
    <w:p w14:paraId="60798D26" w14:textId="77777777" w:rsidR="009F6CA6" w:rsidRPr="00E35976" w:rsidRDefault="009F6CA6" w:rsidP="00204862">
      <w:pPr>
        <w:keepNext/>
        <w:spacing w:after="140" w:line="300" w:lineRule="atLeast"/>
        <w:rPr>
          <w:rFonts w:ascii="Gill Sans MT" w:hAnsi="Gill Sans MT"/>
        </w:rPr>
      </w:pPr>
    </w:p>
    <w:p w14:paraId="3228C911" w14:textId="77777777" w:rsidR="009F6CA6" w:rsidRPr="00E35976" w:rsidRDefault="009F6CA6" w:rsidP="00204862">
      <w:pPr>
        <w:keepNext/>
        <w:spacing w:after="140" w:line="300" w:lineRule="atLeast"/>
        <w:rPr>
          <w:rFonts w:ascii="Gill Sans MT" w:hAnsi="Gill Sans MT"/>
        </w:rPr>
      </w:pPr>
    </w:p>
    <w:p w14:paraId="61B657FB" w14:textId="77777777" w:rsidR="007D4F51" w:rsidRPr="00E35976" w:rsidRDefault="007D4F51" w:rsidP="00204862">
      <w:pPr>
        <w:keepNext/>
        <w:spacing w:after="140" w:line="300" w:lineRule="atLeast"/>
        <w:rPr>
          <w:rFonts w:ascii="Gill Sans MT" w:hAnsi="Gill Sans MT"/>
        </w:rPr>
      </w:pPr>
    </w:p>
    <w:p w14:paraId="2B5A2AFA" w14:textId="77777777" w:rsidR="009F6CA6" w:rsidRPr="00E35976" w:rsidRDefault="009F6CA6" w:rsidP="00204862">
      <w:pPr>
        <w:keepNext/>
        <w:spacing w:after="140" w:line="300" w:lineRule="atLeast"/>
        <w:rPr>
          <w:rFonts w:ascii="Gill Sans MT" w:hAnsi="Gill Sans MT"/>
        </w:rPr>
      </w:pPr>
    </w:p>
    <w:p w14:paraId="3D2F76C9" w14:textId="77777777" w:rsidR="009F6CA6" w:rsidRPr="00E35976" w:rsidRDefault="009F6CA6" w:rsidP="0006112E">
      <w:pPr>
        <w:rPr>
          <w:rFonts w:ascii="Gill Sans MT" w:hAnsi="Gill Sans MT"/>
          <w:color w:val="365F91" w:themeColor="accent1" w:themeShade="BF"/>
          <w:sz w:val="56"/>
          <w:szCs w:val="56"/>
        </w:rPr>
      </w:pPr>
      <w:bookmarkStart w:id="2" w:name="_Toc7793534"/>
      <w:bookmarkStart w:id="3" w:name="_Toc7793955"/>
      <w:r w:rsidRPr="00E35976">
        <w:rPr>
          <w:rFonts w:ascii="Gill Sans MT" w:hAnsi="Gill Sans MT"/>
          <w:color w:val="365F91" w:themeColor="accent1" w:themeShade="BF"/>
          <w:sz w:val="56"/>
          <w:szCs w:val="56"/>
        </w:rPr>
        <w:t>Annual Report</w:t>
      </w:r>
      <w:bookmarkEnd w:id="2"/>
      <w:bookmarkEnd w:id="3"/>
      <w:r w:rsidRPr="00E35976">
        <w:rPr>
          <w:rFonts w:ascii="Gill Sans MT" w:hAnsi="Gill Sans MT"/>
          <w:color w:val="365F91" w:themeColor="accent1" w:themeShade="BF"/>
          <w:sz w:val="56"/>
          <w:szCs w:val="56"/>
        </w:rPr>
        <w:t xml:space="preserve"> </w:t>
      </w:r>
    </w:p>
    <w:p w14:paraId="60ECDF2D" w14:textId="77777777" w:rsidR="009F6CA6" w:rsidRPr="00E35976" w:rsidRDefault="00207486" w:rsidP="0006112E">
      <w:pPr>
        <w:rPr>
          <w:rFonts w:ascii="Gill Sans MT" w:hAnsi="Gill Sans MT"/>
          <w:color w:val="365F91" w:themeColor="accent1" w:themeShade="BF"/>
          <w:sz w:val="56"/>
          <w:szCs w:val="56"/>
        </w:rPr>
      </w:pPr>
      <w:bookmarkStart w:id="4" w:name="_Toc7793535"/>
      <w:bookmarkStart w:id="5" w:name="_Toc7793956"/>
      <w:r w:rsidRPr="00E35976">
        <w:rPr>
          <w:rFonts w:ascii="Gill Sans MT" w:hAnsi="Gill Sans MT"/>
          <w:color w:val="365F91" w:themeColor="accent1" w:themeShade="BF"/>
          <w:sz w:val="56"/>
          <w:szCs w:val="56"/>
        </w:rPr>
        <w:t>20</w:t>
      </w:r>
      <w:r w:rsidR="00652412" w:rsidRPr="00E35976">
        <w:rPr>
          <w:rFonts w:ascii="Gill Sans MT" w:hAnsi="Gill Sans MT"/>
          <w:color w:val="365F91" w:themeColor="accent1" w:themeShade="BF"/>
          <w:sz w:val="56"/>
          <w:szCs w:val="56"/>
        </w:rPr>
        <w:t>17-2018</w:t>
      </w:r>
      <w:bookmarkEnd w:id="4"/>
      <w:bookmarkEnd w:id="5"/>
    </w:p>
    <w:p w14:paraId="7A3A993C" w14:textId="77777777" w:rsidR="009F6CA6" w:rsidRPr="00E35976" w:rsidRDefault="009F6CA6" w:rsidP="00204862">
      <w:pPr>
        <w:keepNext/>
        <w:spacing w:after="140" w:line="300" w:lineRule="atLeast"/>
        <w:rPr>
          <w:rFonts w:ascii="Gill Sans MT" w:hAnsi="Gill Sans MT"/>
        </w:rPr>
      </w:pPr>
    </w:p>
    <w:p w14:paraId="35159579" w14:textId="77777777" w:rsidR="00972C89" w:rsidRPr="00E35976" w:rsidRDefault="00972C89" w:rsidP="00204862">
      <w:pPr>
        <w:keepNext/>
        <w:spacing w:after="140" w:line="300" w:lineRule="atLeast"/>
        <w:rPr>
          <w:rFonts w:ascii="Gill Sans MT" w:hAnsi="Gill Sans MT"/>
        </w:rPr>
      </w:pPr>
    </w:p>
    <w:p w14:paraId="18141468" w14:textId="77777777" w:rsidR="00972C89" w:rsidRPr="00E35976" w:rsidRDefault="00972C89" w:rsidP="00204862">
      <w:pPr>
        <w:keepNext/>
        <w:spacing w:after="140" w:line="300" w:lineRule="atLeast"/>
        <w:rPr>
          <w:rFonts w:ascii="Gill Sans MT" w:hAnsi="Gill Sans MT"/>
        </w:rPr>
      </w:pPr>
    </w:p>
    <w:p w14:paraId="555F9E44" w14:textId="77777777" w:rsidR="00972C89" w:rsidRPr="00E35976" w:rsidRDefault="00972C89" w:rsidP="00204862">
      <w:pPr>
        <w:keepNext/>
        <w:spacing w:after="140" w:line="300" w:lineRule="atLeast"/>
        <w:rPr>
          <w:rFonts w:ascii="Gill Sans MT" w:hAnsi="Gill Sans MT"/>
        </w:rPr>
      </w:pPr>
    </w:p>
    <w:p w14:paraId="5047714A" w14:textId="77777777" w:rsidR="009F6CA6" w:rsidRPr="00E35976" w:rsidRDefault="009F6CA6" w:rsidP="00204862">
      <w:pPr>
        <w:keepNext/>
        <w:spacing w:after="140" w:line="300" w:lineRule="atLeast"/>
        <w:rPr>
          <w:rFonts w:ascii="Gill Sans MT" w:hAnsi="Gill Sans MT"/>
        </w:rPr>
      </w:pPr>
    </w:p>
    <w:p w14:paraId="5FD214E0" w14:textId="77777777" w:rsidR="009F6CA6" w:rsidRPr="00E35976" w:rsidRDefault="009F6CA6" w:rsidP="00204862">
      <w:pPr>
        <w:keepNext/>
        <w:spacing w:after="140" w:line="300" w:lineRule="atLeast"/>
        <w:rPr>
          <w:rFonts w:ascii="Gill Sans MT" w:hAnsi="Gill Sans MT"/>
        </w:rPr>
      </w:pPr>
    </w:p>
    <w:p w14:paraId="1977ABEB" w14:textId="77777777" w:rsidR="009F6CA6" w:rsidRPr="00E35976" w:rsidRDefault="009F6CA6" w:rsidP="00204862">
      <w:pPr>
        <w:keepNext/>
        <w:spacing w:after="140" w:line="300" w:lineRule="atLeast"/>
        <w:rPr>
          <w:rFonts w:ascii="Gill Sans MT" w:hAnsi="Gill Sans MT"/>
        </w:rPr>
      </w:pPr>
    </w:p>
    <w:p w14:paraId="1F0B2858" w14:textId="77777777" w:rsidR="009F6CA6" w:rsidRPr="00E35976" w:rsidRDefault="009F6CA6" w:rsidP="00204862">
      <w:pPr>
        <w:keepNext/>
        <w:spacing w:after="140" w:line="300" w:lineRule="atLeast"/>
        <w:rPr>
          <w:rFonts w:ascii="Gill Sans MT" w:hAnsi="Gill Sans MT"/>
        </w:rPr>
      </w:pPr>
    </w:p>
    <w:p w14:paraId="0A1786DF" w14:textId="77777777" w:rsidR="009F6CA6" w:rsidRPr="00E35976" w:rsidRDefault="009F6CA6" w:rsidP="00204862">
      <w:pPr>
        <w:keepNext/>
        <w:spacing w:after="140" w:line="300" w:lineRule="atLeast"/>
        <w:rPr>
          <w:rFonts w:ascii="Gill Sans MT" w:hAnsi="Gill Sans MT"/>
        </w:rPr>
      </w:pPr>
    </w:p>
    <w:p w14:paraId="439DD6C1" w14:textId="77777777" w:rsidR="009F6CA6" w:rsidRPr="00E35976" w:rsidRDefault="009F6CA6" w:rsidP="00204862">
      <w:pPr>
        <w:keepNext/>
        <w:spacing w:after="140" w:line="300" w:lineRule="atLeast"/>
        <w:rPr>
          <w:rFonts w:ascii="Gill Sans MT" w:hAnsi="Gill Sans MT"/>
        </w:rPr>
      </w:pPr>
    </w:p>
    <w:p w14:paraId="1944775E" w14:textId="77777777" w:rsidR="009F6CA6" w:rsidRPr="00E35976" w:rsidRDefault="009F6CA6" w:rsidP="00204862">
      <w:pPr>
        <w:keepNext/>
        <w:spacing w:after="140" w:line="300" w:lineRule="atLeast"/>
        <w:rPr>
          <w:rFonts w:ascii="Gill Sans MT" w:hAnsi="Gill Sans MT"/>
        </w:rPr>
      </w:pPr>
    </w:p>
    <w:p w14:paraId="72A40F09" w14:textId="77777777" w:rsidR="009F6CA6" w:rsidRPr="00E35976" w:rsidRDefault="009F6CA6" w:rsidP="00204862">
      <w:pPr>
        <w:keepNext/>
        <w:spacing w:after="140" w:line="300" w:lineRule="atLeast"/>
        <w:rPr>
          <w:rFonts w:ascii="Gill Sans MT" w:hAnsi="Gill Sans MT"/>
        </w:rPr>
      </w:pPr>
    </w:p>
    <w:p w14:paraId="1AE1CDD3" w14:textId="77777777" w:rsidR="009F6CA6" w:rsidRPr="00E35976" w:rsidRDefault="009F6CA6" w:rsidP="00204862">
      <w:pPr>
        <w:keepNext/>
        <w:spacing w:after="140" w:line="300" w:lineRule="atLeast"/>
        <w:rPr>
          <w:rFonts w:ascii="Gill Sans MT" w:hAnsi="Gill Sans MT"/>
        </w:rPr>
      </w:pPr>
      <w:r w:rsidRPr="00E35976">
        <w:rPr>
          <w:rFonts w:ascii="Gill Sans MT" w:hAnsi="Gill Sans MT"/>
          <w:noProof/>
          <w:lang w:eastAsia="en-AU"/>
        </w:rPr>
        <w:drawing>
          <wp:anchor distT="0" distB="0" distL="114300" distR="114300" simplePos="0" relativeHeight="251663360" behindDoc="0" locked="0" layoutInCell="1" allowOverlap="1" wp14:anchorId="72226A2F" wp14:editId="14DB24D7">
            <wp:simplePos x="0" y="0"/>
            <wp:positionH relativeFrom="column">
              <wp:posOffset>-836762</wp:posOffset>
            </wp:positionH>
            <wp:positionV relativeFrom="paragraph">
              <wp:posOffset>135123</wp:posOffset>
            </wp:positionV>
            <wp:extent cx="8864554" cy="46291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munications.tas.gov.au/channels/logos/basewave/Basewa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2819" cy="4831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1CD60" w14:textId="31AD8661" w:rsidR="009F6CA6" w:rsidRPr="00E35976" w:rsidRDefault="009F6CA6" w:rsidP="00204862">
      <w:pPr>
        <w:keepNext/>
        <w:spacing w:after="140" w:line="300" w:lineRule="atLeast"/>
        <w:rPr>
          <w:rFonts w:ascii="Gill Sans MT" w:hAnsi="Gill Sans MT"/>
        </w:rPr>
      </w:pPr>
    </w:p>
    <w:p w14:paraId="5150BEC8" w14:textId="690912F3" w:rsidR="009F6CA6" w:rsidRPr="00E35976" w:rsidRDefault="0006112E" w:rsidP="00204862">
      <w:pPr>
        <w:keepNext/>
        <w:spacing w:after="140" w:line="300" w:lineRule="atLeast"/>
        <w:rPr>
          <w:rFonts w:ascii="Gill Sans MT" w:hAnsi="Gill Sans MT"/>
        </w:rPr>
      </w:pPr>
      <w:r w:rsidRPr="00E35976">
        <w:rPr>
          <w:rFonts w:ascii="Gill Sans MT" w:hAnsi="Gill Sans MT"/>
          <w:noProof/>
          <w:lang w:eastAsia="en-AU"/>
        </w:rPr>
        <w:drawing>
          <wp:anchor distT="0" distB="0" distL="114300" distR="114300" simplePos="0" relativeHeight="251664384" behindDoc="0" locked="0" layoutInCell="1" allowOverlap="1" wp14:anchorId="027A3A4F" wp14:editId="1F00031F">
            <wp:simplePos x="0" y="0"/>
            <wp:positionH relativeFrom="column">
              <wp:posOffset>5367020</wp:posOffset>
            </wp:positionH>
            <wp:positionV relativeFrom="paragraph">
              <wp:posOffset>187265</wp:posOffset>
            </wp:positionV>
            <wp:extent cx="1556198" cy="560231"/>
            <wp:effectExtent l="0" t="0" r="6350" b="0"/>
            <wp:wrapNone/>
            <wp:docPr id="1" name="Picture 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79_Tas_Gov_no_tag_Spot_hor.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198" cy="5602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3CF82" w14:textId="77777777" w:rsidR="009F6CA6" w:rsidRPr="00E35976" w:rsidRDefault="009F6CA6" w:rsidP="00204862">
      <w:pPr>
        <w:keepNext/>
        <w:spacing w:after="140" w:line="300" w:lineRule="atLeast"/>
        <w:rPr>
          <w:rFonts w:ascii="Gill Sans MT" w:hAnsi="Gill Sans MT"/>
          <w:sz w:val="28"/>
        </w:rPr>
      </w:pPr>
      <w:r w:rsidRPr="00E35976">
        <w:rPr>
          <w:rFonts w:ascii="Gill Sans MT" w:hAnsi="Gill Sans MT"/>
          <w:sz w:val="28"/>
        </w:rPr>
        <w:t>Interagency Working Group on Drugs</w:t>
      </w:r>
    </w:p>
    <w:p w14:paraId="0A2C6155" w14:textId="77777777" w:rsidR="009F6CA6" w:rsidRPr="00E35976" w:rsidRDefault="009F6CA6" w:rsidP="00204862">
      <w:pPr>
        <w:keepNext/>
        <w:spacing w:after="140" w:line="300" w:lineRule="atLeast"/>
        <w:rPr>
          <w:rFonts w:ascii="Gill Sans MT" w:hAnsi="Gill Sans MT"/>
          <w:sz w:val="28"/>
        </w:rPr>
        <w:sectPr w:rsidR="009F6CA6" w:rsidRPr="00E35976" w:rsidSect="0074016B">
          <w:headerReference w:type="even" r:id="rId10"/>
          <w:headerReference w:type="default" r:id="rId11"/>
          <w:footerReference w:type="even" r:id="rId12"/>
          <w:footerReference w:type="default" r:id="rId13"/>
          <w:headerReference w:type="first" r:id="rId14"/>
          <w:footerReference w:type="first" r:id="rId15"/>
          <w:pgSz w:w="14151" w:h="16838"/>
          <w:pgMar w:top="1440" w:right="3685" w:bottom="1440" w:left="1440" w:header="708" w:footer="708" w:gutter="0"/>
          <w:pgNumType w:start="0"/>
          <w:cols w:space="708"/>
          <w:titlePg/>
          <w:docGrid w:linePitch="360"/>
        </w:sectPr>
      </w:pPr>
      <w:r w:rsidRPr="00E35976">
        <w:rPr>
          <w:rFonts w:ascii="Gill Sans MT" w:hAnsi="Gill Sans MT"/>
          <w:sz w:val="28"/>
        </w:rPr>
        <w:t xml:space="preserve">Department of Health </w:t>
      </w:r>
    </w:p>
    <w:p w14:paraId="639EA8B5" w14:textId="77777777" w:rsidR="00EC32DE" w:rsidRPr="00E35976" w:rsidRDefault="00D034DA" w:rsidP="00204862">
      <w:pPr>
        <w:pStyle w:val="Heading2"/>
        <w:rPr>
          <w:rFonts w:ascii="Gill Sans MT" w:hAnsi="Gill Sans MT"/>
        </w:rPr>
      </w:pPr>
      <w:bookmarkStart w:id="6" w:name="_Toc7793536"/>
      <w:bookmarkStart w:id="7" w:name="_Toc7793957"/>
      <w:bookmarkStart w:id="8" w:name="_Toc25584647"/>
      <w:r w:rsidRPr="00E35976">
        <w:rPr>
          <w:rFonts w:ascii="Gill Sans MT" w:hAnsi="Gill Sans MT"/>
        </w:rPr>
        <w:lastRenderedPageBreak/>
        <w:t>Message from the Chair</w:t>
      </w:r>
      <w:bookmarkEnd w:id="6"/>
      <w:bookmarkEnd w:id="7"/>
      <w:bookmarkEnd w:id="8"/>
    </w:p>
    <w:p w14:paraId="58BB15BF" w14:textId="77777777" w:rsidR="00F83765" w:rsidRPr="00E35976" w:rsidRDefault="00F83765" w:rsidP="00F479AE">
      <w:pPr>
        <w:keepNext/>
        <w:spacing w:before="120" w:after="120" w:line="300" w:lineRule="atLeast"/>
        <w:rPr>
          <w:rFonts w:ascii="Gill Sans MT" w:hAnsi="Gill Sans MT"/>
        </w:rPr>
      </w:pPr>
      <w:r w:rsidRPr="00E35976">
        <w:rPr>
          <w:rFonts w:ascii="Gill Sans MT" w:hAnsi="Gill Sans MT"/>
        </w:rPr>
        <w:t xml:space="preserve">I am pleased to present the Interagency Working Group on Drugs (IAWGD) Annual Report for the </w:t>
      </w:r>
      <w:r w:rsidR="006E1D43" w:rsidRPr="00E35976">
        <w:rPr>
          <w:rFonts w:ascii="Gill Sans MT" w:hAnsi="Gill Sans MT"/>
        </w:rPr>
        <w:t>2017-18</w:t>
      </w:r>
      <w:r w:rsidRPr="00E35976">
        <w:rPr>
          <w:rFonts w:ascii="Gill Sans MT" w:hAnsi="Gill Sans MT"/>
        </w:rPr>
        <w:t xml:space="preserve"> reporting period.  </w:t>
      </w:r>
    </w:p>
    <w:p w14:paraId="1C3E331B" w14:textId="53C4F572" w:rsidR="00850773" w:rsidRPr="00E35976" w:rsidRDefault="00885908" w:rsidP="00A0762E">
      <w:pPr>
        <w:keepNext/>
        <w:spacing w:before="120" w:after="120" w:line="300" w:lineRule="atLeast"/>
        <w:rPr>
          <w:rFonts w:ascii="Gill Sans MT" w:hAnsi="Gill Sans MT"/>
        </w:rPr>
      </w:pPr>
      <w:r w:rsidRPr="00E35976">
        <w:rPr>
          <w:rFonts w:ascii="Gill Sans MT" w:hAnsi="Gill Sans MT"/>
        </w:rPr>
        <w:t xml:space="preserve">During the reporting period, the IAWGD </w:t>
      </w:r>
      <w:r w:rsidR="002B793F" w:rsidRPr="00E35976">
        <w:rPr>
          <w:rFonts w:ascii="Gill Sans MT" w:hAnsi="Gill Sans MT"/>
        </w:rPr>
        <w:t xml:space="preserve">has </w:t>
      </w:r>
      <w:r w:rsidRPr="00E35976">
        <w:rPr>
          <w:rFonts w:ascii="Gill Sans MT" w:hAnsi="Gill Sans MT"/>
        </w:rPr>
        <w:t>continued</w:t>
      </w:r>
      <w:r w:rsidR="002B793F" w:rsidRPr="00E35976">
        <w:rPr>
          <w:rFonts w:ascii="Gill Sans MT" w:hAnsi="Gill Sans MT"/>
        </w:rPr>
        <w:t xml:space="preserve"> to lead and monitor Tasmania’s input and responses to the work of the Ministerial </w:t>
      </w:r>
      <w:r w:rsidR="00B871B3" w:rsidRPr="00E35976">
        <w:rPr>
          <w:rFonts w:ascii="Gill Sans MT" w:hAnsi="Gill Sans MT"/>
        </w:rPr>
        <w:t>Drug and Alcohol Forum</w:t>
      </w:r>
      <w:r w:rsidR="002B793F" w:rsidRPr="00E35976">
        <w:rPr>
          <w:rFonts w:ascii="Gill Sans MT" w:hAnsi="Gill Sans MT"/>
        </w:rPr>
        <w:t xml:space="preserve"> and National Drug Strategy Committee</w:t>
      </w:r>
      <w:r w:rsidR="00DF1787" w:rsidRPr="00E35976">
        <w:rPr>
          <w:rFonts w:ascii="Gill Sans MT" w:hAnsi="Gill Sans MT"/>
        </w:rPr>
        <w:t xml:space="preserve">. </w:t>
      </w:r>
      <w:r w:rsidR="001334C6" w:rsidRPr="00E35976">
        <w:rPr>
          <w:rFonts w:ascii="Gill Sans MT" w:hAnsi="Gill Sans MT"/>
        </w:rPr>
        <w:t xml:space="preserve"> The new</w:t>
      </w:r>
      <w:r w:rsidR="00DF1787" w:rsidRPr="00E35976">
        <w:rPr>
          <w:rFonts w:ascii="Gill Sans MT" w:hAnsi="Gill Sans MT"/>
        </w:rPr>
        <w:t xml:space="preserve"> National Drug Strategy </w:t>
      </w:r>
      <w:r w:rsidR="001334C6" w:rsidRPr="00E35976">
        <w:rPr>
          <w:rFonts w:ascii="Gill Sans MT" w:hAnsi="Gill Sans MT"/>
        </w:rPr>
        <w:t xml:space="preserve">2017-2026 was endorsed, as was the National Quality Framework for Alcohol and Other Drug Services, noting that mapping against existing accreditation standards is still to be done.  A new National Alcohol and Other Drugs Hotline – 1800 250 015 </w:t>
      </w:r>
      <w:r w:rsidR="00CC49B3" w:rsidRPr="00E35976">
        <w:rPr>
          <w:rFonts w:ascii="Gill Sans MT" w:hAnsi="Gill Sans MT"/>
        </w:rPr>
        <w:t xml:space="preserve">– </w:t>
      </w:r>
      <w:r w:rsidR="001334C6" w:rsidRPr="00E35976">
        <w:rPr>
          <w:rFonts w:ascii="Gill Sans MT" w:hAnsi="Gill Sans MT"/>
        </w:rPr>
        <w:t xml:space="preserve">linked to existing state and territory telephone information services was also launched as part of the National Ice Action Strategy. </w:t>
      </w:r>
    </w:p>
    <w:p w14:paraId="193B49CF" w14:textId="78220FC2" w:rsidR="001334C6" w:rsidRPr="00E35976" w:rsidRDefault="000C4018" w:rsidP="00A0762E">
      <w:pPr>
        <w:keepNext/>
        <w:spacing w:before="120" w:after="120" w:line="300" w:lineRule="atLeast"/>
        <w:rPr>
          <w:rFonts w:ascii="Gill Sans MT" w:hAnsi="Gill Sans MT"/>
        </w:rPr>
      </w:pPr>
      <w:r w:rsidRPr="00E35976">
        <w:rPr>
          <w:rFonts w:ascii="Gill Sans MT" w:hAnsi="Gill Sans MT"/>
        </w:rPr>
        <w:t>The Department of Health’s (</w:t>
      </w:r>
      <w:proofErr w:type="spellStart"/>
      <w:r w:rsidRPr="00E35976">
        <w:rPr>
          <w:rFonts w:ascii="Gill Sans MT" w:hAnsi="Gill Sans MT"/>
        </w:rPr>
        <w:t>DoH’s</w:t>
      </w:r>
      <w:proofErr w:type="spellEnd"/>
      <w:r w:rsidRPr="00E35976">
        <w:rPr>
          <w:rFonts w:ascii="Gill Sans MT" w:hAnsi="Gill Sans MT"/>
        </w:rPr>
        <w:t xml:space="preserve">) </w:t>
      </w:r>
      <w:r w:rsidR="00330CA3" w:rsidRPr="00E35976">
        <w:rPr>
          <w:rFonts w:ascii="Gill Sans MT" w:hAnsi="Gill Sans MT"/>
        </w:rPr>
        <w:t xml:space="preserve">Public Health Services </w:t>
      </w:r>
      <w:r w:rsidR="00CC49B3" w:rsidRPr="00E35976">
        <w:rPr>
          <w:rFonts w:ascii="Gill Sans MT" w:hAnsi="Gill Sans MT"/>
        </w:rPr>
        <w:t>(PHS)</w:t>
      </w:r>
      <w:r w:rsidR="00FA35B2" w:rsidRPr="00E35976">
        <w:rPr>
          <w:rFonts w:ascii="Gill Sans MT" w:hAnsi="Gill Sans MT"/>
        </w:rPr>
        <w:t xml:space="preserve"> </w:t>
      </w:r>
      <w:r w:rsidR="00330CA3" w:rsidRPr="00E35976">
        <w:rPr>
          <w:rFonts w:ascii="Gill Sans MT" w:hAnsi="Gill Sans MT"/>
        </w:rPr>
        <w:t>continues to lead the alcohol simulation modelling project, undertaken in partnership with the Australian Prevention Partnership Centre, Sax Institute of New South Wales, and with input from the Alcohol Advisory Group.  This project will help to inform the development of a new Tasmanian Alcohol Action Framework.</w:t>
      </w:r>
    </w:p>
    <w:p w14:paraId="128B4A1E" w14:textId="06E24922" w:rsidR="00330CA3" w:rsidRPr="00E35976" w:rsidRDefault="00F26A38" w:rsidP="00330CA3">
      <w:pPr>
        <w:keepNext/>
        <w:spacing w:before="120" w:after="120" w:line="300" w:lineRule="atLeast"/>
        <w:rPr>
          <w:rFonts w:ascii="Gill Sans MT" w:hAnsi="Gill Sans MT"/>
        </w:rPr>
      </w:pPr>
      <w:r w:rsidRPr="00E35976">
        <w:rPr>
          <w:rFonts w:ascii="Gill Sans MT" w:hAnsi="Gill Sans MT"/>
        </w:rPr>
        <w:t>The Mental Health, Alcohol and Drug Directorate</w:t>
      </w:r>
      <w:r w:rsidR="00CC49B3" w:rsidRPr="00E35976">
        <w:rPr>
          <w:rFonts w:ascii="Gill Sans MT" w:hAnsi="Gill Sans MT"/>
        </w:rPr>
        <w:t>, DoH</w:t>
      </w:r>
      <w:r w:rsidRPr="00E35976">
        <w:rPr>
          <w:rFonts w:ascii="Gill Sans MT" w:hAnsi="Gill Sans MT"/>
        </w:rPr>
        <w:t xml:space="preserve"> has been leading the project to develop a new service system </w:t>
      </w:r>
      <w:r w:rsidR="00A31C4F" w:rsidRPr="00E35976">
        <w:rPr>
          <w:rFonts w:ascii="Gill Sans MT" w:hAnsi="Gill Sans MT"/>
        </w:rPr>
        <w:t>framework for alcohol and drug s</w:t>
      </w:r>
      <w:r w:rsidRPr="00E35976">
        <w:rPr>
          <w:rFonts w:ascii="Gill Sans MT" w:hAnsi="Gill Sans MT"/>
        </w:rPr>
        <w:t xml:space="preserve">ervices.  The Reform Agenda for Alcohol and Drug Services in Tasmania is being developed as a direct result of the 2014 </w:t>
      </w:r>
      <w:r w:rsidRPr="00E35976">
        <w:rPr>
          <w:rFonts w:ascii="Gill Sans MT" w:hAnsi="Gill Sans MT"/>
          <w:i/>
        </w:rPr>
        <w:t xml:space="preserve">Review of Drug Use and Service </w:t>
      </w:r>
      <w:r w:rsidR="000943EC" w:rsidRPr="00E35976">
        <w:rPr>
          <w:rFonts w:ascii="Gill Sans MT" w:hAnsi="Gill Sans MT"/>
          <w:i/>
        </w:rPr>
        <w:t>Responses in North West Tasmania,</w:t>
      </w:r>
      <w:r w:rsidRPr="00E35976">
        <w:rPr>
          <w:rFonts w:ascii="Gill Sans MT" w:hAnsi="Gill Sans MT"/>
          <w:i/>
        </w:rPr>
        <w:t xml:space="preserve"> </w:t>
      </w:r>
      <w:r w:rsidRPr="00E35976">
        <w:rPr>
          <w:rFonts w:ascii="Gill Sans MT" w:hAnsi="Gill Sans MT"/>
        </w:rPr>
        <w:t>and work undertaken by Siggins Miller Consultants Pty Ltd in 2017</w:t>
      </w:r>
      <w:r w:rsidR="00A31C4F" w:rsidRPr="00E35976">
        <w:rPr>
          <w:rFonts w:ascii="Gill Sans MT" w:hAnsi="Gill Sans MT"/>
        </w:rPr>
        <w:t xml:space="preserve">. </w:t>
      </w:r>
    </w:p>
    <w:p w14:paraId="04A7120E" w14:textId="77777777" w:rsidR="00A31C4F" w:rsidRPr="00E35976" w:rsidRDefault="00A0762E" w:rsidP="00785675">
      <w:pPr>
        <w:keepNext/>
        <w:shd w:val="clear" w:color="auto" w:fill="FFFFFF"/>
        <w:spacing w:before="120" w:after="120" w:line="300" w:lineRule="atLeast"/>
        <w:rPr>
          <w:rFonts w:ascii="Gill Sans MT" w:hAnsi="Gill Sans MT"/>
        </w:rPr>
      </w:pPr>
      <w:r w:rsidRPr="00E35976">
        <w:rPr>
          <w:rFonts w:ascii="Gill Sans MT" w:hAnsi="Gill Sans MT"/>
        </w:rPr>
        <w:t xml:space="preserve">Tasmania Police </w:t>
      </w:r>
      <w:r w:rsidR="00785675" w:rsidRPr="00E35976">
        <w:rPr>
          <w:rFonts w:ascii="Gill Sans MT" w:hAnsi="Gill Sans MT"/>
        </w:rPr>
        <w:t xml:space="preserve">continues to progress </w:t>
      </w:r>
      <w:r w:rsidRPr="00E35976">
        <w:rPr>
          <w:rFonts w:ascii="Gill Sans MT" w:hAnsi="Gill Sans MT"/>
        </w:rPr>
        <w:t xml:space="preserve">legislative reforms to increase control over the presence and identification of organised criminal groups. </w:t>
      </w:r>
      <w:r w:rsidR="00785675" w:rsidRPr="00E35976">
        <w:rPr>
          <w:rFonts w:ascii="Gill Sans MT" w:hAnsi="Gill Sans MT"/>
        </w:rPr>
        <w:t>The</w:t>
      </w:r>
      <w:r w:rsidRPr="00E35976">
        <w:rPr>
          <w:rFonts w:ascii="Gill Sans MT" w:hAnsi="Gill Sans MT"/>
        </w:rPr>
        <w:t xml:space="preserve"> </w:t>
      </w:r>
      <w:r w:rsidRPr="00E35976">
        <w:rPr>
          <w:rFonts w:ascii="Gill Sans MT" w:hAnsi="Gill Sans MT"/>
          <w:i/>
        </w:rPr>
        <w:t>Removal of Fortifications Act 2017</w:t>
      </w:r>
      <w:r w:rsidRPr="00E35976">
        <w:rPr>
          <w:rFonts w:ascii="Gill Sans MT" w:hAnsi="Gill Sans MT"/>
        </w:rPr>
        <w:t xml:space="preserve"> was introduced to provide for the removal, modification, or fortifications from premises used by organised crime in furtherance of criminal enterprises.  An independent review of Part 9 of the </w:t>
      </w:r>
      <w:r w:rsidRPr="00E35976">
        <w:rPr>
          <w:rFonts w:ascii="Gill Sans MT" w:hAnsi="Gill Sans MT"/>
          <w:i/>
        </w:rPr>
        <w:t>Crime (Confiscation of Profits) Act 1993</w:t>
      </w:r>
      <w:r w:rsidRPr="00E35976">
        <w:rPr>
          <w:rFonts w:ascii="Gill Sans MT" w:hAnsi="Gill Sans MT"/>
        </w:rPr>
        <w:t xml:space="preserve"> has </w:t>
      </w:r>
      <w:r w:rsidR="00785675" w:rsidRPr="00E35976">
        <w:rPr>
          <w:rFonts w:ascii="Gill Sans MT" w:hAnsi="Gill Sans MT"/>
        </w:rPr>
        <w:t xml:space="preserve">also </w:t>
      </w:r>
      <w:r w:rsidRPr="00E35976">
        <w:rPr>
          <w:rFonts w:ascii="Gill Sans MT" w:hAnsi="Gill Sans MT"/>
        </w:rPr>
        <w:t>commenced.</w:t>
      </w:r>
    </w:p>
    <w:p w14:paraId="186C5C8F" w14:textId="7B145CAB" w:rsidR="00BD5233" w:rsidRPr="00E35976" w:rsidRDefault="005A6533" w:rsidP="00BD5233">
      <w:pPr>
        <w:keepNext/>
        <w:spacing w:before="120" w:after="120" w:line="300" w:lineRule="atLeast"/>
        <w:rPr>
          <w:rFonts w:ascii="Gill Sans MT" w:hAnsi="Gill Sans MT"/>
        </w:rPr>
      </w:pPr>
      <w:r w:rsidRPr="00E35976">
        <w:rPr>
          <w:rFonts w:ascii="Gill Sans MT" w:hAnsi="Gill Sans MT"/>
        </w:rPr>
        <w:t xml:space="preserve">Under the </w:t>
      </w:r>
      <w:r w:rsidRPr="00E35976">
        <w:rPr>
          <w:rFonts w:ascii="Gill Sans MT" w:hAnsi="Gill Sans MT"/>
          <w:i/>
        </w:rPr>
        <w:t>Healthy Tasmania Five Year Strategic Plan</w:t>
      </w:r>
      <w:r w:rsidRPr="00E35976">
        <w:rPr>
          <w:rFonts w:ascii="Gill Sans MT" w:hAnsi="Gill Sans MT"/>
        </w:rPr>
        <w:t xml:space="preserve"> (Healthy Tasmania) changes </w:t>
      </w:r>
      <w:r w:rsidR="00045AAC" w:rsidRPr="00E35976">
        <w:rPr>
          <w:rFonts w:ascii="Gill Sans MT" w:hAnsi="Gill Sans MT"/>
        </w:rPr>
        <w:t xml:space="preserve">were made to the </w:t>
      </w:r>
      <w:r w:rsidR="00045AAC" w:rsidRPr="00E35976">
        <w:rPr>
          <w:rFonts w:ascii="Gill Sans MT" w:hAnsi="Gill Sans MT"/>
          <w:i/>
        </w:rPr>
        <w:t>Public Health Act 1997</w:t>
      </w:r>
      <w:r w:rsidR="00045AAC" w:rsidRPr="00E35976">
        <w:rPr>
          <w:rFonts w:ascii="Gill Sans MT" w:hAnsi="Gill Sans MT"/>
        </w:rPr>
        <w:t xml:space="preserve"> to regulate the sale, use and display of electronic cigarettes; increase penalties for tobacco supply to children; and to introduce ‘fit and proper’ checks for tobacco seller licence holders.   </w:t>
      </w:r>
      <w:r w:rsidR="00BD5233" w:rsidRPr="00E35976">
        <w:rPr>
          <w:rFonts w:ascii="Gill Sans MT" w:hAnsi="Gill Sans MT"/>
        </w:rPr>
        <w:t xml:space="preserve">Funding was also provided to enable the </w:t>
      </w:r>
      <w:r w:rsidR="00BD5233" w:rsidRPr="00E35976">
        <w:rPr>
          <w:rFonts w:ascii="Gill Sans MT" w:hAnsi="Gill Sans MT"/>
          <w:i/>
        </w:rPr>
        <w:t xml:space="preserve">Antenatal Carbon Monoxide Monitoring Opt-out Referral </w:t>
      </w:r>
      <w:r w:rsidR="00BD5233" w:rsidRPr="00E35976">
        <w:rPr>
          <w:rFonts w:ascii="Gill Sans MT" w:hAnsi="Gill Sans MT"/>
        </w:rPr>
        <w:t xml:space="preserve">pilot to be conducted in southern Tasmania. The project aims to increase cessation of smoking by pregnant women through improved screening, referral and counselling. </w:t>
      </w:r>
    </w:p>
    <w:p w14:paraId="102799A4" w14:textId="77777777" w:rsidR="00045AAC" w:rsidRPr="00E35976" w:rsidRDefault="00640B4B" w:rsidP="00640B4B">
      <w:pPr>
        <w:keepNext/>
        <w:spacing w:before="120" w:after="120" w:line="300" w:lineRule="atLeast"/>
        <w:rPr>
          <w:rFonts w:ascii="Gill Sans MT" w:hAnsi="Gill Sans MT"/>
        </w:rPr>
      </w:pPr>
      <w:r w:rsidRPr="00E35976">
        <w:rPr>
          <w:rFonts w:ascii="Gill Sans MT" w:hAnsi="Gill Sans MT" w:cs="Tahoma"/>
          <w:color w:val="000000"/>
          <w:shd w:val="clear" w:color="auto" w:fill="FFFFFF"/>
        </w:rPr>
        <w:t>The Tasmanian Government's medical cannabi</w:t>
      </w:r>
      <w:r w:rsidR="00BA0075" w:rsidRPr="00E35976">
        <w:rPr>
          <w:rFonts w:ascii="Gill Sans MT" w:hAnsi="Gill Sans MT" w:cs="Tahoma"/>
          <w:color w:val="000000"/>
          <w:shd w:val="clear" w:color="auto" w:fill="FFFFFF"/>
        </w:rPr>
        <w:t>s Controlled Access Scheme</w:t>
      </w:r>
      <w:r w:rsidRPr="00E35976">
        <w:rPr>
          <w:rFonts w:ascii="Gill Sans MT" w:hAnsi="Gill Sans MT" w:cs="Tahoma"/>
          <w:color w:val="000000"/>
          <w:shd w:val="clear" w:color="auto" w:fill="FFFFFF"/>
        </w:rPr>
        <w:t xml:space="preserve"> opened on 1 September 2017. Tasmanians who suffer from treatment refractory conditions are now able to access unregistered medical cannabis products through their approved treating medical specialist.</w:t>
      </w:r>
    </w:p>
    <w:p w14:paraId="5A3DEB30" w14:textId="77777777" w:rsidR="000943EC" w:rsidRPr="00E35976" w:rsidRDefault="0028182A" w:rsidP="00640B4B">
      <w:pPr>
        <w:keepNext/>
        <w:shd w:val="clear" w:color="auto" w:fill="FFFFFF"/>
        <w:spacing w:before="120" w:after="120" w:line="300" w:lineRule="atLeast"/>
        <w:rPr>
          <w:rFonts w:ascii="Gill Sans MT" w:hAnsi="Gill Sans MT"/>
        </w:rPr>
      </w:pPr>
      <w:r w:rsidRPr="00E35976">
        <w:rPr>
          <w:rFonts w:ascii="Gill Sans MT" w:hAnsi="Gill Sans MT"/>
        </w:rPr>
        <w:t>The</w:t>
      </w:r>
      <w:r w:rsidR="00A5669D" w:rsidRPr="00E35976">
        <w:rPr>
          <w:rFonts w:ascii="Gill Sans MT" w:hAnsi="Gill Sans MT"/>
        </w:rPr>
        <w:t xml:space="preserve"> IAWGD will continue to monitor </w:t>
      </w:r>
      <w:r w:rsidRPr="00E35976">
        <w:rPr>
          <w:rFonts w:ascii="Gill Sans MT" w:hAnsi="Gill Sans MT"/>
        </w:rPr>
        <w:t>the use of alcohol, tobacco and other drugs in Tasmania and report available data as noted in the alcohol, tobacco and oth</w:t>
      </w:r>
      <w:r w:rsidR="00885908" w:rsidRPr="00E35976">
        <w:rPr>
          <w:rFonts w:ascii="Gill Sans MT" w:hAnsi="Gill Sans MT"/>
        </w:rPr>
        <w:t>er drugs use and harm section of</w:t>
      </w:r>
      <w:r w:rsidRPr="00E35976">
        <w:rPr>
          <w:rFonts w:ascii="Gill Sans MT" w:hAnsi="Gill Sans MT"/>
        </w:rPr>
        <w:t xml:space="preserve"> this report.</w:t>
      </w:r>
    </w:p>
    <w:p w14:paraId="14747CA3" w14:textId="77777777" w:rsidR="00CA0630" w:rsidRPr="00E35976" w:rsidRDefault="0028182A" w:rsidP="00785675">
      <w:pPr>
        <w:keepNext/>
        <w:shd w:val="clear" w:color="auto" w:fill="FFFFFF"/>
        <w:spacing w:before="120" w:after="120" w:line="300" w:lineRule="atLeast"/>
        <w:rPr>
          <w:rFonts w:ascii="Gill Sans MT" w:hAnsi="Gill Sans MT"/>
        </w:rPr>
      </w:pPr>
      <w:r w:rsidRPr="00E35976">
        <w:rPr>
          <w:rFonts w:ascii="Gill Sans MT" w:hAnsi="Gill Sans MT"/>
        </w:rPr>
        <w:t>Once again, I thank all member agencies and organisations for their continued support of</w:t>
      </w:r>
      <w:r w:rsidR="00CC49B3" w:rsidRPr="00E35976">
        <w:rPr>
          <w:rFonts w:ascii="Gill Sans MT" w:hAnsi="Gill Sans MT"/>
        </w:rPr>
        <w:t>,</w:t>
      </w:r>
      <w:r w:rsidRPr="00E35976">
        <w:rPr>
          <w:rFonts w:ascii="Gill Sans MT" w:hAnsi="Gill Sans MT"/>
        </w:rPr>
        <w:t xml:space="preserve"> and input into</w:t>
      </w:r>
      <w:r w:rsidR="00CC49B3" w:rsidRPr="00E35976">
        <w:rPr>
          <w:rFonts w:ascii="Gill Sans MT" w:hAnsi="Gill Sans MT"/>
        </w:rPr>
        <w:t>,</w:t>
      </w:r>
      <w:r w:rsidRPr="00E35976">
        <w:rPr>
          <w:rFonts w:ascii="Gill Sans MT" w:hAnsi="Gill Sans MT"/>
        </w:rPr>
        <w:t xml:space="preserve"> this ongoing work to prevent or reduce the harmful effects of alcohol, tobacco and other drugs use in Tasmania</w:t>
      </w:r>
      <w:r w:rsidR="00CC49B3" w:rsidRPr="00E35976">
        <w:rPr>
          <w:rFonts w:ascii="Gill Sans MT" w:hAnsi="Gill Sans MT"/>
        </w:rPr>
        <w:t>.</w:t>
      </w:r>
    </w:p>
    <w:p w14:paraId="53DE37C7" w14:textId="77777777" w:rsidR="001334C6" w:rsidRPr="00E35976" w:rsidRDefault="001334C6" w:rsidP="00330CA3">
      <w:pPr>
        <w:keepNext/>
        <w:spacing w:before="120" w:after="120" w:line="300" w:lineRule="atLeast"/>
        <w:rPr>
          <w:rFonts w:ascii="Gill Sans MT" w:hAnsi="Gill Sans MT"/>
        </w:rPr>
      </w:pPr>
    </w:p>
    <w:p w14:paraId="0F0EC0D6" w14:textId="77777777" w:rsidR="00BD4FE4" w:rsidRPr="00E35976" w:rsidRDefault="00D034DA" w:rsidP="00204862">
      <w:pPr>
        <w:keepNext/>
        <w:spacing w:after="0" w:line="240" w:lineRule="auto"/>
        <w:rPr>
          <w:rFonts w:ascii="Gill Sans MT" w:hAnsi="Gill Sans MT"/>
        </w:rPr>
      </w:pPr>
      <w:r w:rsidRPr="00E35976">
        <w:rPr>
          <w:rFonts w:ascii="Gill Sans MT" w:hAnsi="Gill Sans MT"/>
        </w:rPr>
        <w:t>Michael Reynolds</w:t>
      </w:r>
    </w:p>
    <w:p w14:paraId="440888AA" w14:textId="77777777" w:rsidR="00BD4FE4" w:rsidRPr="00E35976" w:rsidRDefault="00D034DA" w:rsidP="00204862">
      <w:pPr>
        <w:keepNext/>
        <w:spacing w:after="0" w:line="240" w:lineRule="auto"/>
        <w:rPr>
          <w:rFonts w:ascii="Gill Sans MT" w:hAnsi="Gill Sans MT"/>
        </w:rPr>
      </w:pPr>
      <w:r w:rsidRPr="00E35976">
        <w:rPr>
          <w:rFonts w:ascii="Gill Sans MT" w:hAnsi="Gill Sans MT"/>
        </w:rPr>
        <w:t>Chair - Interagency Working Group on Drugs</w:t>
      </w:r>
    </w:p>
    <w:p w14:paraId="166FC112" w14:textId="321C4597" w:rsidR="00BD4FE4" w:rsidRPr="00E35976" w:rsidRDefault="008A0CE8" w:rsidP="00204862">
      <w:pPr>
        <w:keepNext/>
        <w:spacing w:before="120" w:after="0" w:line="240" w:lineRule="auto"/>
        <w:rPr>
          <w:rFonts w:ascii="Gill Sans MT" w:hAnsi="Gill Sans MT"/>
        </w:rPr>
      </w:pPr>
      <w:r w:rsidRPr="00E35976">
        <w:rPr>
          <w:rFonts w:ascii="Gill Sans MT" w:hAnsi="Gill Sans MT"/>
        </w:rPr>
        <w:t xml:space="preserve">           </w:t>
      </w:r>
      <w:r w:rsidR="00DF1DB3" w:rsidRPr="00E35976">
        <w:rPr>
          <w:rFonts w:ascii="Gill Sans MT" w:hAnsi="Gill Sans MT"/>
        </w:rPr>
        <w:t xml:space="preserve"> </w:t>
      </w:r>
      <w:r w:rsidR="00BC62E1" w:rsidRPr="00E35976">
        <w:rPr>
          <w:rFonts w:ascii="Gill Sans MT" w:hAnsi="Gill Sans MT"/>
        </w:rPr>
        <w:t>May</w:t>
      </w:r>
      <w:r w:rsidR="00DF1DB3" w:rsidRPr="00E35976">
        <w:rPr>
          <w:rFonts w:ascii="Gill Sans MT" w:hAnsi="Gill Sans MT"/>
        </w:rPr>
        <w:t xml:space="preserve"> </w:t>
      </w:r>
      <w:r w:rsidR="00204862" w:rsidRPr="00E35976">
        <w:rPr>
          <w:rFonts w:ascii="Gill Sans MT" w:hAnsi="Gill Sans MT"/>
        </w:rPr>
        <w:t>2019</w:t>
      </w:r>
    </w:p>
    <w:p w14:paraId="584E84D0" w14:textId="77777777" w:rsidR="006C7F59" w:rsidRPr="00E35976" w:rsidRDefault="006C7F59" w:rsidP="00204862">
      <w:pPr>
        <w:keepNext/>
        <w:spacing w:after="140" w:line="300" w:lineRule="atLeast"/>
        <w:rPr>
          <w:rFonts w:ascii="Gill Sans MT" w:hAnsi="Gill Sans MT"/>
          <w:b/>
          <w:sz w:val="32"/>
        </w:rPr>
        <w:sectPr w:rsidR="006C7F59" w:rsidRPr="00E35976" w:rsidSect="006C7F59">
          <w:pgSz w:w="14151" w:h="16838"/>
          <w:pgMar w:top="851" w:right="3685" w:bottom="680" w:left="1440" w:header="709" w:footer="709" w:gutter="0"/>
          <w:pgNumType w:start="1"/>
          <w:cols w:space="708"/>
          <w:docGrid w:linePitch="360"/>
        </w:sectPr>
      </w:pPr>
    </w:p>
    <w:sdt>
      <w:sdtPr>
        <w:rPr>
          <w:rFonts w:ascii="Gill Sans MT" w:eastAsiaTheme="minorHAnsi" w:hAnsi="Gill Sans MT" w:cstheme="minorBidi"/>
          <w:b w:val="0"/>
          <w:bCs w:val="0"/>
          <w:color w:val="auto"/>
          <w:sz w:val="22"/>
          <w:szCs w:val="22"/>
          <w:lang w:val="en-AU" w:eastAsia="en-US"/>
        </w:rPr>
        <w:id w:val="1629046194"/>
        <w:docPartObj>
          <w:docPartGallery w:val="Table of Contents"/>
          <w:docPartUnique/>
        </w:docPartObj>
      </w:sdtPr>
      <w:sdtEndPr>
        <w:rPr>
          <w:noProof/>
        </w:rPr>
      </w:sdtEndPr>
      <w:sdtContent>
        <w:p w14:paraId="5749FF05" w14:textId="77777777" w:rsidR="002D3EEA" w:rsidRPr="00E35976" w:rsidRDefault="002D3EEA">
          <w:pPr>
            <w:pStyle w:val="TOCHeading"/>
            <w:rPr>
              <w:rFonts w:ascii="Gill Sans MT" w:hAnsi="Gill Sans MT"/>
            </w:rPr>
          </w:pPr>
          <w:r w:rsidRPr="00E35976">
            <w:rPr>
              <w:rFonts w:ascii="Gill Sans MT" w:hAnsi="Gill Sans MT"/>
            </w:rPr>
            <w:t>Table of Contents</w:t>
          </w:r>
        </w:p>
        <w:p w14:paraId="6DA049D2" w14:textId="1558DFAE" w:rsidR="00DE21F5" w:rsidRPr="00E35976" w:rsidRDefault="002D3EEA">
          <w:pPr>
            <w:pStyle w:val="TOC2"/>
            <w:tabs>
              <w:tab w:val="right" w:leader="dot" w:pos="9038"/>
            </w:tabs>
            <w:rPr>
              <w:rFonts w:ascii="Gill Sans MT" w:eastAsiaTheme="minorEastAsia" w:hAnsi="Gill Sans MT"/>
              <w:noProof/>
              <w:lang w:eastAsia="en-AU"/>
            </w:rPr>
          </w:pPr>
          <w:r w:rsidRPr="00E35976">
            <w:rPr>
              <w:rFonts w:ascii="Gill Sans MT" w:hAnsi="Gill Sans MT"/>
            </w:rPr>
            <w:fldChar w:fldCharType="begin"/>
          </w:r>
          <w:r w:rsidRPr="00E35976">
            <w:rPr>
              <w:rFonts w:ascii="Gill Sans MT" w:hAnsi="Gill Sans MT"/>
            </w:rPr>
            <w:instrText xml:space="preserve"> TOC \o "1-3" \h \z \u </w:instrText>
          </w:r>
          <w:r w:rsidRPr="00E35976">
            <w:rPr>
              <w:rFonts w:ascii="Gill Sans MT" w:hAnsi="Gill Sans MT"/>
            </w:rPr>
            <w:fldChar w:fldCharType="separate"/>
          </w:r>
          <w:hyperlink w:anchor="_Toc25584647" w:history="1">
            <w:r w:rsidR="00DE21F5" w:rsidRPr="00E35976">
              <w:rPr>
                <w:rStyle w:val="Hyperlink"/>
                <w:rFonts w:ascii="Gill Sans MT" w:hAnsi="Gill Sans MT"/>
                <w:noProof/>
              </w:rPr>
              <w:t>Message from the Chair</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_Toc25584647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1</w:t>
            </w:r>
            <w:r w:rsidR="00DE21F5" w:rsidRPr="00E35976">
              <w:rPr>
                <w:rFonts w:ascii="Gill Sans MT" w:hAnsi="Gill Sans MT"/>
                <w:noProof/>
                <w:webHidden/>
              </w:rPr>
              <w:fldChar w:fldCharType="end"/>
            </w:r>
          </w:hyperlink>
        </w:p>
        <w:p w14:paraId="393CF360" w14:textId="780DCCE9" w:rsidR="00DE21F5" w:rsidRPr="00E35976" w:rsidRDefault="00C310C7">
          <w:pPr>
            <w:pStyle w:val="TOC2"/>
            <w:tabs>
              <w:tab w:val="right" w:leader="dot" w:pos="9038"/>
            </w:tabs>
            <w:rPr>
              <w:rFonts w:ascii="Gill Sans MT" w:eastAsiaTheme="minorEastAsia" w:hAnsi="Gill Sans MT"/>
              <w:noProof/>
              <w:lang w:eastAsia="en-AU"/>
            </w:rPr>
          </w:pPr>
          <w:hyperlink w:anchor="_Toc25584648" w:history="1">
            <w:r w:rsidR="00DE21F5" w:rsidRPr="00E35976">
              <w:rPr>
                <w:rStyle w:val="Hyperlink"/>
                <w:rFonts w:ascii="Gill Sans MT" w:hAnsi="Gill Sans MT"/>
                <w:noProof/>
              </w:rPr>
              <w:t>IAWGD Overview</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_Toc25584648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3</w:t>
            </w:r>
            <w:r w:rsidR="00DE21F5" w:rsidRPr="00E35976">
              <w:rPr>
                <w:rFonts w:ascii="Gill Sans MT" w:hAnsi="Gill Sans MT"/>
                <w:noProof/>
                <w:webHidden/>
              </w:rPr>
              <w:fldChar w:fldCharType="end"/>
            </w:r>
          </w:hyperlink>
        </w:p>
        <w:p w14:paraId="72518DE7" w14:textId="3D2A56F2" w:rsidR="00DE21F5" w:rsidRPr="00E35976" w:rsidRDefault="00C310C7">
          <w:pPr>
            <w:pStyle w:val="TOC3"/>
            <w:tabs>
              <w:tab w:val="right" w:leader="dot" w:pos="9038"/>
            </w:tabs>
            <w:rPr>
              <w:rFonts w:ascii="Gill Sans MT" w:eastAsiaTheme="minorEastAsia" w:hAnsi="Gill Sans MT"/>
              <w:noProof/>
              <w:lang w:eastAsia="en-AU"/>
            </w:rPr>
          </w:pPr>
          <w:hyperlink w:anchor="_Toc25584649" w:history="1">
            <w:r w:rsidR="00DE21F5" w:rsidRPr="00E35976">
              <w:rPr>
                <w:rStyle w:val="Hyperlink"/>
                <w:rFonts w:ascii="Gill Sans MT" w:hAnsi="Gill Sans MT"/>
                <w:noProof/>
              </w:rPr>
              <w:t>Background</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_Toc25584649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3</w:t>
            </w:r>
            <w:r w:rsidR="00DE21F5" w:rsidRPr="00E35976">
              <w:rPr>
                <w:rFonts w:ascii="Gill Sans MT" w:hAnsi="Gill Sans MT"/>
                <w:noProof/>
                <w:webHidden/>
              </w:rPr>
              <w:fldChar w:fldCharType="end"/>
            </w:r>
          </w:hyperlink>
        </w:p>
        <w:p w14:paraId="3DBDC391" w14:textId="34BAD2F0" w:rsidR="00DE21F5" w:rsidRPr="00E35976" w:rsidRDefault="00C310C7">
          <w:pPr>
            <w:pStyle w:val="TOC3"/>
            <w:tabs>
              <w:tab w:val="right" w:leader="dot" w:pos="9038"/>
            </w:tabs>
            <w:rPr>
              <w:rFonts w:ascii="Gill Sans MT" w:eastAsiaTheme="minorEastAsia" w:hAnsi="Gill Sans MT"/>
              <w:noProof/>
              <w:lang w:eastAsia="en-AU"/>
            </w:rPr>
          </w:pPr>
          <w:hyperlink w:anchor="_Toc25584650" w:history="1">
            <w:r w:rsidR="00DE21F5" w:rsidRPr="00E35976">
              <w:rPr>
                <w:rStyle w:val="Hyperlink"/>
                <w:rFonts w:ascii="Gill Sans MT" w:hAnsi="Gill Sans MT"/>
                <w:noProof/>
              </w:rPr>
              <w:t>Purpose of the IAWGD</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_Toc25584650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3</w:t>
            </w:r>
            <w:r w:rsidR="00DE21F5" w:rsidRPr="00E35976">
              <w:rPr>
                <w:rFonts w:ascii="Gill Sans MT" w:hAnsi="Gill Sans MT"/>
                <w:noProof/>
                <w:webHidden/>
              </w:rPr>
              <w:fldChar w:fldCharType="end"/>
            </w:r>
          </w:hyperlink>
        </w:p>
        <w:p w14:paraId="340453D7" w14:textId="3AAE628E" w:rsidR="00DE21F5" w:rsidRPr="00E35976" w:rsidRDefault="00C310C7">
          <w:pPr>
            <w:pStyle w:val="TOC3"/>
            <w:tabs>
              <w:tab w:val="right" w:leader="dot" w:pos="9038"/>
            </w:tabs>
            <w:rPr>
              <w:rFonts w:ascii="Gill Sans MT" w:eastAsiaTheme="minorEastAsia" w:hAnsi="Gill Sans MT"/>
              <w:noProof/>
              <w:lang w:eastAsia="en-AU"/>
            </w:rPr>
          </w:pPr>
          <w:hyperlink w:anchor="_Toc25584651" w:history="1">
            <w:r w:rsidR="00DE21F5" w:rsidRPr="00E35976">
              <w:rPr>
                <w:rStyle w:val="Hyperlink"/>
                <w:rFonts w:ascii="Gill Sans MT" w:hAnsi="Gill Sans MT"/>
                <w:noProof/>
              </w:rPr>
              <w:t>Membership</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_Toc25584651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3</w:t>
            </w:r>
            <w:r w:rsidR="00DE21F5" w:rsidRPr="00E35976">
              <w:rPr>
                <w:rFonts w:ascii="Gill Sans MT" w:hAnsi="Gill Sans MT"/>
                <w:noProof/>
                <w:webHidden/>
              </w:rPr>
              <w:fldChar w:fldCharType="end"/>
            </w:r>
          </w:hyperlink>
        </w:p>
        <w:p w14:paraId="2511217E" w14:textId="750A6926" w:rsidR="00DE21F5" w:rsidRPr="00E35976" w:rsidRDefault="00C310C7">
          <w:pPr>
            <w:pStyle w:val="TOC3"/>
            <w:tabs>
              <w:tab w:val="right" w:leader="dot" w:pos="9038"/>
            </w:tabs>
            <w:rPr>
              <w:rFonts w:ascii="Gill Sans MT" w:eastAsiaTheme="minorEastAsia" w:hAnsi="Gill Sans MT"/>
              <w:noProof/>
              <w:lang w:eastAsia="en-AU"/>
            </w:rPr>
          </w:pPr>
          <w:hyperlink w:anchor="_Toc25584652" w:history="1">
            <w:r w:rsidR="00DE21F5" w:rsidRPr="00E35976">
              <w:rPr>
                <w:rStyle w:val="Hyperlink"/>
                <w:rFonts w:ascii="Gill Sans MT" w:hAnsi="Gill Sans MT"/>
                <w:noProof/>
              </w:rPr>
              <w:t>IAWGD Role and Function</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_Toc25584652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3</w:t>
            </w:r>
            <w:r w:rsidR="00DE21F5" w:rsidRPr="00E35976">
              <w:rPr>
                <w:rFonts w:ascii="Gill Sans MT" w:hAnsi="Gill Sans MT"/>
                <w:noProof/>
                <w:webHidden/>
              </w:rPr>
              <w:fldChar w:fldCharType="end"/>
            </w:r>
          </w:hyperlink>
        </w:p>
        <w:p w14:paraId="1D3EB611" w14:textId="21124F34" w:rsidR="00DE21F5" w:rsidRPr="00E35976" w:rsidRDefault="00C310C7">
          <w:pPr>
            <w:pStyle w:val="TOC3"/>
            <w:tabs>
              <w:tab w:val="right" w:leader="dot" w:pos="9038"/>
            </w:tabs>
            <w:rPr>
              <w:rFonts w:ascii="Gill Sans MT" w:eastAsiaTheme="minorEastAsia" w:hAnsi="Gill Sans MT"/>
              <w:noProof/>
              <w:lang w:eastAsia="en-AU"/>
            </w:rPr>
          </w:pPr>
          <w:hyperlink w:anchor="_Toc25584653" w:history="1">
            <w:r w:rsidR="00DE21F5" w:rsidRPr="00E35976">
              <w:rPr>
                <w:rStyle w:val="Hyperlink"/>
                <w:rFonts w:ascii="Gill Sans MT" w:hAnsi="Gill Sans MT"/>
                <w:noProof/>
              </w:rPr>
              <w:t>Reporting</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_Toc25584653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4</w:t>
            </w:r>
            <w:r w:rsidR="00DE21F5" w:rsidRPr="00E35976">
              <w:rPr>
                <w:rFonts w:ascii="Gill Sans MT" w:hAnsi="Gill Sans MT"/>
                <w:noProof/>
                <w:webHidden/>
              </w:rPr>
              <w:fldChar w:fldCharType="end"/>
            </w:r>
          </w:hyperlink>
        </w:p>
        <w:p w14:paraId="09DB751C" w14:textId="6A32C676" w:rsidR="00DE21F5" w:rsidRPr="00E35976" w:rsidRDefault="00C310C7">
          <w:pPr>
            <w:pStyle w:val="TOC3"/>
            <w:tabs>
              <w:tab w:val="right" w:leader="dot" w:pos="9038"/>
            </w:tabs>
            <w:rPr>
              <w:rFonts w:ascii="Gill Sans MT" w:eastAsiaTheme="minorEastAsia" w:hAnsi="Gill Sans MT"/>
              <w:noProof/>
              <w:lang w:eastAsia="en-AU"/>
            </w:rPr>
          </w:pPr>
          <w:hyperlink w:anchor="_Toc25584654" w:history="1">
            <w:r w:rsidR="00DE21F5" w:rsidRPr="00E35976">
              <w:rPr>
                <w:rStyle w:val="Hyperlink"/>
                <w:rFonts w:ascii="Gill Sans MT" w:hAnsi="Gill Sans MT"/>
                <w:noProof/>
              </w:rPr>
              <w:t>IAWGD Meeting Protocols</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_Toc25584654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4</w:t>
            </w:r>
            <w:r w:rsidR="00DE21F5" w:rsidRPr="00E35976">
              <w:rPr>
                <w:rFonts w:ascii="Gill Sans MT" w:hAnsi="Gill Sans MT"/>
                <w:noProof/>
                <w:webHidden/>
              </w:rPr>
              <w:fldChar w:fldCharType="end"/>
            </w:r>
          </w:hyperlink>
        </w:p>
        <w:p w14:paraId="432858DC" w14:textId="1B9968F2" w:rsidR="00DE21F5" w:rsidRPr="00E35976" w:rsidRDefault="00C310C7">
          <w:pPr>
            <w:pStyle w:val="TOC2"/>
            <w:tabs>
              <w:tab w:val="right" w:leader="dot" w:pos="9038"/>
            </w:tabs>
            <w:rPr>
              <w:rFonts w:ascii="Gill Sans MT" w:eastAsiaTheme="minorEastAsia" w:hAnsi="Gill Sans MT"/>
              <w:noProof/>
              <w:lang w:eastAsia="en-AU"/>
            </w:rPr>
          </w:pPr>
          <w:hyperlink w:anchor="_Toc25584655" w:history="1">
            <w:r w:rsidR="00DE21F5" w:rsidRPr="00E35976">
              <w:rPr>
                <w:rStyle w:val="Hyperlink"/>
                <w:rFonts w:ascii="Gill Sans MT" w:hAnsi="Gill Sans MT"/>
                <w:noProof/>
              </w:rPr>
              <w:t>Key Achievements for 2017-18</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_Toc25584655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5</w:t>
            </w:r>
            <w:r w:rsidR="00DE21F5" w:rsidRPr="00E35976">
              <w:rPr>
                <w:rFonts w:ascii="Gill Sans MT" w:hAnsi="Gill Sans MT"/>
                <w:noProof/>
                <w:webHidden/>
              </w:rPr>
              <w:fldChar w:fldCharType="end"/>
            </w:r>
          </w:hyperlink>
        </w:p>
        <w:p w14:paraId="7DE5D7C5" w14:textId="4856B3A5" w:rsidR="00DE21F5" w:rsidRPr="00E35976" w:rsidRDefault="00C310C7">
          <w:pPr>
            <w:pStyle w:val="TOC3"/>
            <w:tabs>
              <w:tab w:val="right" w:leader="dot" w:pos="9038"/>
            </w:tabs>
            <w:rPr>
              <w:rFonts w:ascii="Gill Sans MT" w:eastAsiaTheme="minorEastAsia" w:hAnsi="Gill Sans MT"/>
              <w:noProof/>
              <w:lang w:eastAsia="en-AU"/>
            </w:rPr>
          </w:pPr>
          <w:hyperlink w:anchor="_Toc25584656" w:history="1">
            <w:r w:rsidR="00DE21F5" w:rsidRPr="00E35976">
              <w:rPr>
                <w:rStyle w:val="Hyperlink"/>
                <w:rFonts w:ascii="Gill Sans MT" w:hAnsi="Gill Sans MT"/>
                <w:noProof/>
              </w:rPr>
              <w:t>Continuing to respond to the use of Ice in Tasmania and contributing to the NIAS</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_Toc25584656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5</w:t>
            </w:r>
            <w:r w:rsidR="00DE21F5" w:rsidRPr="00E35976">
              <w:rPr>
                <w:rFonts w:ascii="Gill Sans MT" w:hAnsi="Gill Sans MT"/>
                <w:noProof/>
                <w:webHidden/>
              </w:rPr>
              <w:fldChar w:fldCharType="end"/>
            </w:r>
          </w:hyperlink>
        </w:p>
        <w:p w14:paraId="75939753" w14:textId="64953694" w:rsidR="00DE21F5" w:rsidRPr="00E35976" w:rsidRDefault="00C310C7">
          <w:pPr>
            <w:pStyle w:val="TOC3"/>
            <w:tabs>
              <w:tab w:val="right" w:leader="dot" w:pos="9038"/>
            </w:tabs>
            <w:rPr>
              <w:rFonts w:ascii="Gill Sans MT" w:eastAsiaTheme="minorEastAsia" w:hAnsi="Gill Sans MT"/>
              <w:noProof/>
              <w:lang w:eastAsia="en-AU"/>
            </w:rPr>
          </w:pPr>
          <w:hyperlink w:anchor="_Toc25584657" w:history="1">
            <w:r w:rsidR="00DE21F5" w:rsidRPr="00E35976">
              <w:rPr>
                <w:rStyle w:val="Hyperlink"/>
                <w:rFonts w:ascii="Gill Sans MT" w:hAnsi="Gill Sans MT"/>
                <w:noProof/>
              </w:rPr>
              <w:t>North West Review Report recommendations</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_Toc25584657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5</w:t>
            </w:r>
            <w:r w:rsidR="00DE21F5" w:rsidRPr="00E35976">
              <w:rPr>
                <w:rFonts w:ascii="Gill Sans MT" w:hAnsi="Gill Sans MT"/>
                <w:noProof/>
                <w:webHidden/>
              </w:rPr>
              <w:fldChar w:fldCharType="end"/>
            </w:r>
          </w:hyperlink>
        </w:p>
        <w:p w14:paraId="3A21479C" w14:textId="1A7EE859" w:rsidR="00DE21F5" w:rsidRPr="00E35976" w:rsidRDefault="00C310C7">
          <w:pPr>
            <w:pStyle w:val="TOC3"/>
            <w:tabs>
              <w:tab w:val="right" w:leader="dot" w:pos="9038"/>
            </w:tabs>
            <w:rPr>
              <w:rFonts w:ascii="Gill Sans MT" w:eastAsiaTheme="minorEastAsia" w:hAnsi="Gill Sans MT"/>
              <w:noProof/>
              <w:lang w:eastAsia="en-AU"/>
            </w:rPr>
          </w:pPr>
          <w:hyperlink w:anchor="_Toc25584658" w:history="1">
            <w:r w:rsidR="00DE21F5" w:rsidRPr="00E35976">
              <w:rPr>
                <w:rStyle w:val="Hyperlink"/>
                <w:rFonts w:ascii="Gill Sans MT" w:hAnsi="Gill Sans MT"/>
                <w:noProof/>
              </w:rPr>
              <w:t>Alcohol and Other Drugs Service System Framework</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_Toc25584658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6</w:t>
            </w:r>
            <w:r w:rsidR="00DE21F5" w:rsidRPr="00E35976">
              <w:rPr>
                <w:rFonts w:ascii="Gill Sans MT" w:hAnsi="Gill Sans MT"/>
                <w:noProof/>
                <w:webHidden/>
              </w:rPr>
              <w:fldChar w:fldCharType="end"/>
            </w:r>
          </w:hyperlink>
        </w:p>
        <w:p w14:paraId="29C4FA46" w14:textId="696D1227" w:rsidR="00DE21F5" w:rsidRPr="00E35976" w:rsidRDefault="00C310C7">
          <w:pPr>
            <w:pStyle w:val="TOC3"/>
            <w:tabs>
              <w:tab w:val="right" w:leader="dot" w:pos="9038"/>
            </w:tabs>
            <w:rPr>
              <w:rFonts w:ascii="Gill Sans MT" w:eastAsiaTheme="minorEastAsia" w:hAnsi="Gill Sans MT"/>
              <w:noProof/>
              <w:lang w:eastAsia="en-AU"/>
            </w:rPr>
          </w:pPr>
          <w:hyperlink w:anchor="_Toc25584659" w:history="1">
            <w:r w:rsidR="00DE21F5" w:rsidRPr="00E35976">
              <w:rPr>
                <w:rStyle w:val="Hyperlink"/>
                <w:rFonts w:ascii="Gill Sans MT" w:hAnsi="Gill Sans MT"/>
                <w:noProof/>
              </w:rPr>
              <w:t>Wastewater Analysis</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_Toc25584659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6</w:t>
            </w:r>
            <w:r w:rsidR="00DE21F5" w:rsidRPr="00E35976">
              <w:rPr>
                <w:rFonts w:ascii="Gill Sans MT" w:hAnsi="Gill Sans MT"/>
                <w:noProof/>
                <w:webHidden/>
              </w:rPr>
              <w:fldChar w:fldCharType="end"/>
            </w:r>
          </w:hyperlink>
        </w:p>
        <w:p w14:paraId="04C217AA" w14:textId="73C0786B" w:rsidR="00DE21F5" w:rsidRPr="00E35976" w:rsidRDefault="00C310C7">
          <w:pPr>
            <w:pStyle w:val="TOC3"/>
            <w:tabs>
              <w:tab w:val="right" w:leader="dot" w:pos="9038"/>
            </w:tabs>
            <w:rPr>
              <w:rFonts w:ascii="Gill Sans MT" w:eastAsiaTheme="minorEastAsia" w:hAnsi="Gill Sans MT"/>
              <w:noProof/>
              <w:lang w:eastAsia="en-AU"/>
            </w:rPr>
          </w:pPr>
          <w:hyperlink w:anchor="_Toc25584660" w:history="1">
            <w:r w:rsidR="00DE21F5" w:rsidRPr="00E35976">
              <w:rPr>
                <w:rStyle w:val="Hyperlink"/>
                <w:rFonts w:ascii="Gill Sans MT" w:hAnsi="Gill Sans MT"/>
                <w:noProof/>
              </w:rPr>
              <w:t>Tasmanian Alcohol Action Framework 2010 – 2015 (TAAF)</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_Toc25584660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6</w:t>
            </w:r>
            <w:r w:rsidR="00DE21F5" w:rsidRPr="00E35976">
              <w:rPr>
                <w:rFonts w:ascii="Gill Sans MT" w:hAnsi="Gill Sans MT"/>
                <w:noProof/>
                <w:webHidden/>
              </w:rPr>
              <w:fldChar w:fldCharType="end"/>
            </w:r>
          </w:hyperlink>
        </w:p>
        <w:p w14:paraId="25128C22" w14:textId="46FB83D3" w:rsidR="00DE21F5" w:rsidRPr="00E35976" w:rsidRDefault="00C310C7">
          <w:pPr>
            <w:pStyle w:val="TOC3"/>
            <w:tabs>
              <w:tab w:val="right" w:leader="dot" w:pos="9038"/>
            </w:tabs>
            <w:rPr>
              <w:rFonts w:ascii="Gill Sans MT" w:eastAsiaTheme="minorEastAsia" w:hAnsi="Gill Sans MT"/>
              <w:noProof/>
              <w:lang w:eastAsia="en-AU"/>
            </w:rPr>
          </w:pPr>
          <w:hyperlink w:anchor="_Toc25584661" w:history="1">
            <w:r w:rsidR="00DE21F5" w:rsidRPr="00E35976">
              <w:rPr>
                <w:rStyle w:val="Hyperlink"/>
                <w:rFonts w:ascii="Gill Sans MT" w:hAnsi="Gill Sans MT"/>
                <w:noProof/>
              </w:rPr>
              <w:t>Tasmanian Tobacco Control Plan 2017-2021</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_Toc25584661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6</w:t>
            </w:r>
            <w:r w:rsidR="00DE21F5" w:rsidRPr="00E35976">
              <w:rPr>
                <w:rFonts w:ascii="Gill Sans MT" w:hAnsi="Gill Sans MT"/>
                <w:noProof/>
                <w:webHidden/>
              </w:rPr>
              <w:fldChar w:fldCharType="end"/>
            </w:r>
          </w:hyperlink>
        </w:p>
        <w:p w14:paraId="5396B0BE" w14:textId="3B8D4EDA" w:rsidR="00DE21F5" w:rsidRPr="00E35976" w:rsidRDefault="00C310C7">
          <w:pPr>
            <w:pStyle w:val="TOC3"/>
            <w:tabs>
              <w:tab w:val="right" w:leader="dot" w:pos="9038"/>
            </w:tabs>
            <w:rPr>
              <w:rFonts w:ascii="Gill Sans MT" w:eastAsiaTheme="minorEastAsia" w:hAnsi="Gill Sans MT"/>
              <w:noProof/>
              <w:lang w:eastAsia="en-AU"/>
            </w:rPr>
          </w:pPr>
          <w:hyperlink w:anchor="_Toc25584662" w:history="1">
            <w:r w:rsidR="00DE21F5" w:rsidRPr="00E35976">
              <w:rPr>
                <w:rStyle w:val="Hyperlink"/>
                <w:rFonts w:ascii="Gill Sans MT" w:hAnsi="Gill Sans MT"/>
                <w:noProof/>
              </w:rPr>
              <w:t>Medical Cannabis</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_Toc25584662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7</w:t>
            </w:r>
            <w:r w:rsidR="00DE21F5" w:rsidRPr="00E35976">
              <w:rPr>
                <w:rFonts w:ascii="Gill Sans MT" w:hAnsi="Gill Sans MT"/>
                <w:noProof/>
                <w:webHidden/>
              </w:rPr>
              <w:fldChar w:fldCharType="end"/>
            </w:r>
          </w:hyperlink>
        </w:p>
        <w:p w14:paraId="5707524C" w14:textId="02B29BE3" w:rsidR="00DE21F5" w:rsidRPr="00E35976" w:rsidRDefault="00C310C7">
          <w:pPr>
            <w:pStyle w:val="TOC3"/>
            <w:tabs>
              <w:tab w:val="right" w:leader="dot" w:pos="9038"/>
            </w:tabs>
            <w:rPr>
              <w:rFonts w:ascii="Gill Sans MT" w:eastAsiaTheme="minorEastAsia" w:hAnsi="Gill Sans MT"/>
              <w:noProof/>
              <w:lang w:eastAsia="en-AU"/>
            </w:rPr>
          </w:pPr>
          <w:hyperlink w:anchor="_Toc25584663" w:history="1">
            <w:r w:rsidR="00DE21F5" w:rsidRPr="00E35976">
              <w:rPr>
                <w:rStyle w:val="Hyperlink"/>
                <w:rFonts w:ascii="Gill Sans MT" w:hAnsi="Gill Sans MT"/>
                <w:noProof/>
              </w:rPr>
              <w:t>Promotion, Prevention and Early Intervention (PPEI)</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_Toc25584663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7</w:t>
            </w:r>
            <w:r w:rsidR="00DE21F5" w:rsidRPr="00E35976">
              <w:rPr>
                <w:rFonts w:ascii="Gill Sans MT" w:hAnsi="Gill Sans MT"/>
                <w:noProof/>
                <w:webHidden/>
              </w:rPr>
              <w:fldChar w:fldCharType="end"/>
            </w:r>
          </w:hyperlink>
        </w:p>
        <w:p w14:paraId="4EED0F51" w14:textId="07B0D7BE" w:rsidR="00DE21F5" w:rsidRPr="00E35976" w:rsidRDefault="00C310C7">
          <w:pPr>
            <w:pStyle w:val="TOC3"/>
            <w:tabs>
              <w:tab w:val="right" w:leader="dot" w:pos="9038"/>
            </w:tabs>
            <w:rPr>
              <w:rFonts w:ascii="Gill Sans MT" w:eastAsiaTheme="minorEastAsia" w:hAnsi="Gill Sans MT"/>
              <w:noProof/>
              <w:lang w:eastAsia="en-AU"/>
            </w:rPr>
          </w:pPr>
          <w:hyperlink w:anchor="_Toc25584664" w:history="1">
            <w:r w:rsidR="00DE21F5" w:rsidRPr="00E35976">
              <w:rPr>
                <w:rStyle w:val="Hyperlink"/>
                <w:rFonts w:ascii="Gill Sans MT" w:hAnsi="Gill Sans MT"/>
                <w:noProof/>
              </w:rPr>
              <w:t>Ministerial Drug and Alcohol Forum and National Drug Strategy Committee (National)</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_Toc25584664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8</w:t>
            </w:r>
            <w:r w:rsidR="00DE21F5" w:rsidRPr="00E35976">
              <w:rPr>
                <w:rFonts w:ascii="Gill Sans MT" w:hAnsi="Gill Sans MT"/>
                <w:noProof/>
                <w:webHidden/>
              </w:rPr>
              <w:fldChar w:fldCharType="end"/>
            </w:r>
          </w:hyperlink>
        </w:p>
        <w:p w14:paraId="77716ADE" w14:textId="14F1E50A" w:rsidR="00DE21F5" w:rsidRPr="00E35976" w:rsidRDefault="00C310C7">
          <w:pPr>
            <w:pStyle w:val="TOC2"/>
            <w:tabs>
              <w:tab w:val="right" w:leader="dot" w:pos="9038"/>
            </w:tabs>
            <w:rPr>
              <w:rFonts w:ascii="Gill Sans MT" w:eastAsiaTheme="minorEastAsia" w:hAnsi="Gill Sans MT"/>
              <w:noProof/>
              <w:lang w:eastAsia="en-AU"/>
            </w:rPr>
          </w:pPr>
          <w:hyperlink w:anchor="_Toc25584665" w:history="1">
            <w:r w:rsidR="00DE21F5" w:rsidRPr="00E35976">
              <w:rPr>
                <w:rStyle w:val="Hyperlink"/>
                <w:rFonts w:ascii="Gill Sans MT" w:hAnsi="Gill Sans MT"/>
                <w:noProof/>
              </w:rPr>
              <w:t>Alcohol, tobacco and other drugs use and harms in Tasmania</w:t>
            </w:r>
            <w:r w:rsidR="00DE21F5" w:rsidRPr="00E35976">
              <w:rPr>
                <w:rFonts w:ascii="Gill Sans MT" w:hAnsi="Gill Sans MT"/>
                <w:noProof/>
                <w:webHidden/>
              </w:rPr>
              <w:tab/>
            </w:r>
            <w:r w:rsidR="00DE21F5" w:rsidRPr="00E35976">
              <w:rPr>
                <w:rFonts w:ascii="Gill Sans MT" w:hAnsi="Gill Sans MT"/>
                <w:noProof/>
                <w:webHidden/>
              </w:rPr>
              <w:fldChar w:fldCharType="begin"/>
            </w:r>
            <w:r w:rsidR="00DE21F5" w:rsidRPr="00E35976">
              <w:rPr>
                <w:rFonts w:ascii="Gill Sans MT" w:hAnsi="Gill Sans MT"/>
                <w:noProof/>
                <w:webHidden/>
              </w:rPr>
              <w:instrText xml:space="preserve"> PAGEREF _Toc25584665 \h </w:instrText>
            </w:r>
            <w:r w:rsidR="00DE21F5" w:rsidRPr="00E35976">
              <w:rPr>
                <w:rFonts w:ascii="Gill Sans MT" w:hAnsi="Gill Sans MT"/>
                <w:noProof/>
                <w:webHidden/>
              </w:rPr>
            </w:r>
            <w:r w:rsidR="00DE21F5" w:rsidRPr="00E35976">
              <w:rPr>
                <w:rFonts w:ascii="Gill Sans MT" w:hAnsi="Gill Sans MT"/>
                <w:noProof/>
                <w:webHidden/>
              </w:rPr>
              <w:fldChar w:fldCharType="separate"/>
            </w:r>
            <w:r w:rsidR="00313774" w:rsidRPr="00E35976">
              <w:rPr>
                <w:rFonts w:ascii="Gill Sans MT" w:hAnsi="Gill Sans MT"/>
                <w:noProof/>
                <w:webHidden/>
              </w:rPr>
              <w:t>9</w:t>
            </w:r>
            <w:r w:rsidR="00DE21F5" w:rsidRPr="00E35976">
              <w:rPr>
                <w:rFonts w:ascii="Gill Sans MT" w:hAnsi="Gill Sans MT"/>
                <w:noProof/>
                <w:webHidden/>
              </w:rPr>
              <w:fldChar w:fldCharType="end"/>
            </w:r>
          </w:hyperlink>
        </w:p>
        <w:p w14:paraId="6C74942D" w14:textId="5D003FE6" w:rsidR="002D3EEA" w:rsidRPr="00E35976" w:rsidRDefault="002D3EEA">
          <w:pPr>
            <w:rPr>
              <w:rFonts w:ascii="Gill Sans MT" w:hAnsi="Gill Sans MT"/>
            </w:rPr>
          </w:pPr>
          <w:r w:rsidRPr="00E35976">
            <w:rPr>
              <w:rFonts w:ascii="Gill Sans MT" w:hAnsi="Gill Sans MT"/>
              <w:b/>
              <w:bCs/>
              <w:noProof/>
            </w:rPr>
            <w:fldChar w:fldCharType="end"/>
          </w:r>
        </w:p>
      </w:sdtContent>
    </w:sdt>
    <w:p w14:paraId="4F656464" w14:textId="77777777" w:rsidR="002D3EEA" w:rsidRPr="00E35976" w:rsidRDefault="002D3EEA">
      <w:pPr>
        <w:rPr>
          <w:rFonts w:ascii="Gill Sans MT" w:eastAsiaTheme="majorEastAsia" w:hAnsi="Gill Sans MT" w:cstheme="majorBidi"/>
          <w:b/>
          <w:bCs/>
          <w:color w:val="4F81BD" w:themeColor="accent1"/>
          <w:sz w:val="26"/>
          <w:szCs w:val="26"/>
        </w:rPr>
      </w:pPr>
      <w:r w:rsidRPr="00E35976">
        <w:rPr>
          <w:rFonts w:ascii="Gill Sans MT" w:eastAsiaTheme="majorEastAsia" w:hAnsi="Gill Sans MT" w:cstheme="majorBidi"/>
          <w:b/>
          <w:bCs/>
          <w:color w:val="4F81BD" w:themeColor="accent1"/>
          <w:sz w:val="26"/>
          <w:szCs w:val="26"/>
        </w:rPr>
        <w:br w:type="page"/>
      </w:r>
    </w:p>
    <w:p w14:paraId="7FC9310F" w14:textId="77777777" w:rsidR="002D3EEA" w:rsidRPr="00E35976" w:rsidRDefault="002D3EEA" w:rsidP="00B46215">
      <w:pPr>
        <w:pStyle w:val="Heading2"/>
        <w:rPr>
          <w:rFonts w:ascii="Gill Sans MT" w:hAnsi="Gill Sans MT"/>
        </w:rPr>
      </w:pPr>
      <w:bookmarkStart w:id="9" w:name="_Toc25584648"/>
      <w:r w:rsidRPr="00E35976">
        <w:rPr>
          <w:rFonts w:ascii="Gill Sans MT" w:hAnsi="Gill Sans MT"/>
        </w:rPr>
        <w:lastRenderedPageBreak/>
        <w:t>IAWGD Overview</w:t>
      </w:r>
      <w:bookmarkEnd w:id="9"/>
    </w:p>
    <w:p w14:paraId="646BF965" w14:textId="77777777" w:rsidR="002D3EEA" w:rsidRPr="00E35976" w:rsidRDefault="002D3EEA" w:rsidP="00B46215">
      <w:pPr>
        <w:pStyle w:val="Heading3"/>
        <w:rPr>
          <w:rFonts w:ascii="Gill Sans MT" w:hAnsi="Gill Sans MT"/>
          <w:i/>
        </w:rPr>
      </w:pPr>
      <w:bookmarkStart w:id="10" w:name="_Toc25584649"/>
      <w:r w:rsidRPr="00E35976">
        <w:rPr>
          <w:rFonts w:ascii="Gill Sans MT" w:hAnsi="Gill Sans MT"/>
        </w:rPr>
        <w:t>Background</w:t>
      </w:r>
      <w:bookmarkEnd w:id="10"/>
    </w:p>
    <w:p w14:paraId="1D4B75BB" w14:textId="703971E3" w:rsidR="002D3EEA" w:rsidRPr="00E35976" w:rsidRDefault="002D3EEA" w:rsidP="002D3EEA">
      <w:pPr>
        <w:keepNext/>
        <w:spacing w:after="140" w:line="300" w:lineRule="atLeast"/>
        <w:rPr>
          <w:rFonts w:ascii="Gill Sans MT" w:hAnsi="Gill Sans MT"/>
        </w:rPr>
      </w:pPr>
      <w:r w:rsidRPr="00E35976">
        <w:rPr>
          <w:rFonts w:ascii="Gill Sans MT" w:hAnsi="Gill Sans MT"/>
        </w:rPr>
        <w:t xml:space="preserve">The IAWGD was established in 2008 to provide strategic, high level advice to the Tasmanian Government on emerging drug-related issues. Its purpose also includes to coordinate strategic policy and service delivery responses that recognises harms related to the use of alcohol, tobacco and other drugs require an integrated whole-of-government approach with links to other strategies and Tasmanian policy objectives.   </w:t>
      </w:r>
    </w:p>
    <w:p w14:paraId="72F038D5" w14:textId="665DB41F" w:rsidR="002D3EEA" w:rsidRPr="00E35976" w:rsidRDefault="00FA35B2" w:rsidP="002D3EEA">
      <w:pPr>
        <w:keepNext/>
        <w:spacing w:after="140" w:line="300" w:lineRule="atLeast"/>
        <w:rPr>
          <w:rFonts w:ascii="Gill Sans MT" w:hAnsi="Gill Sans MT"/>
        </w:rPr>
      </w:pPr>
      <w:r w:rsidRPr="00E35976">
        <w:rPr>
          <w:rFonts w:ascii="Gill Sans MT" w:hAnsi="Gill Sans MT"/>
        </w:rPr>
        <w:t xml:space="preserve">Since the mid 1980’s, the National Drug Strategy (NDS) strategic policy framework has informed the development, implementation and monitoring of drugs policies across different levels of government, and among government, non-government and private organisations and the community.  </w:t>
      </w:r>
      <w:r w:rsidR="002D3EEA" w:rsidRPr="00E35976">
        <w:rPr>
          <w:rFonts w:ascii="Gill Sans MT" w:hAnsi="Gill Sans MT"/>
        </w:rPr>
        <w:t xml:space="preserve">The NDS enables collaboration among areas of health, law enforcement and education, and promotes the use of evidence to inform drug policy and practices.  The Tasmanian Drug Strategic framework was developed to focus on issues specific to Tasmania.  </w:t>
      </w:r>
    </w:p>
    <w:p w14:paraId="04C14289" w14:textId="77777777" w:rsidR="002D3EEA" w:rsidRPr="00E35976" w:rsidRDefault="002D3EEA" w:rsidP="00B46215">
      <w:pPr>
        <w:pStyle w:val="Heading3"/>
        <w:rPr>
          <w:rFonts w:ascii="Gill Sans MT" w:hAnsi="Gill Sans MT"/>
          <w:i/>
        </w:rPr>
      </w:pPr>
      <w:bookmarkStart w:id="11" w:name="_Toc25584650"/>
      <w:r w:rsidRPr="00E35976">
        <w:rPr>
          <w:rFonts w:ascii="Gill Sans MT" w:hAnsi="Gill Sans MT"/>
        </w:rPr>
        <w:t>Purpose of the IAWGD</w:t>
      </w:r>
      <w:bookmarkEnd w:id="11"/>
    </w:p>
    <w:p w14:paraId="05223EB1" w14:textId="7FB04197" w:rsidR="002D3EEA" w:rsidRPr="00E35976" w:rsidRDefault="002D3EEA" w:rsidP="002D3EEA">
      <w:pPr>
        <w:keepNext/>
        <w:spacing w:after="140" w:line="300" w:lineRule="atLeast"/>
        <w:rPr>
          <w:rFonts w:ascii="Gill Sans MT" w:hAnsi="Gill Sans MT"/>
        </w:rPr>
      </w:pPr>
      <w:r w:rsidRPr="00E35976">
        <w:rPr>
          <w:rFonts w:ascii="Gill Sans MT" w:hAnsi="Gill Sans MT"/>
        </w:rPr>
        <w:t xml:space="preserve">The IAWGD is the principal advisory body to the Tasmanian Government on alcohol, tobacco and other drugs related issues.  It is responsible for monitoring drug use trends and harms in Tasmania, and for implementing, monitoring, and reporting on progress of the NDS and the Tasmanian Drug Strategy and related strategic policy responses to the use of alcohol, tobacco and other drugs in the Tasmanian community. </w:t>
      </w:r>
    </w:p>
    <w:p w14:paraId="0DCBB344" w14:textId="384EF031" w:rsidR="002D3EEA" w:rsidRPr="00E35976" w:rsidRDefault="002D3EEA" w:rsidP="002D3EEA">
      <w:pPr>
        <w:keepNext/>
        <w:spacing w:after="140" w:line="300" w:lineRule="atLeast"/>
        <w:rPr>
          <w:rFonts w:ascii="Gill Sans MT" w:hAnsi="Gill Sans MT"/>
        </w:rPr>
      </w:pPr>
      <w:r w:rsidRPr="00E35976">
        <w:rPr>
          <w:rFonts w:ascii="Gill Sans MT" w:hAnsi="Gill Sans MT"/>
        </w:rPr>
        <w:t>The work of the IAWGD is supported by an advisory</w:t>
      </w:r>
      <w:r w:rsidR="0098355E" w:rsidRPr="00E35976">
        <w:rPr>
          <w:rFonts w:ascii="Gill Sans MT" w:hAnsi="Gill Sans MT"/>
        </w:rPr>
        <w:t xml:space="preserve"> group</w:t>
      </w:r>
      <w:r w:rsidRPr="00E35976">
        <w:rPr>
          <w:rFonts w:ascii="Gill Sans MT" w:hAnsi="Gill Sans MT"/>
        </w:rPr>
        <w:t xml:space="preserve"> structure specific to alcohol, tobacco and illicit drugs, and by liaison with specialist treatment and service delivery providers. </w:t>
      </w:r>
    </w:p>
    <w:p w14:paraId="5AA8FC90" w14:textId="27D13717" w:rsidR="002D3EEA" w:rsidRPr="00E35976" w:rsidRDefault="002D3EEA" w:rsidP="002D3EEA">
      <w:pPr>
        <w:keepNext/>
        <w:spacing w:after="140" w:line="300" w:lineRule="atLeast"/>
        <w:rPr>
          <w:rFonts w:ascii="Gill Sans MT" w:hAnsi="Gill Sans MT" w:cs="Arial"/>
        </w:rPr>
      </w:pPr>
      <w:r w:rsidRPr="00E35976">
        <w:rPr>
          <w:rFonts w:ascii="Gill Sans MT" w:hAnsi="Gill Sans MT"/>
        </w:rPr>
        <w:t xml:space="preserve">In early 2015, the IAWGD was tasked by Cabinet to lead the implementation of Tasmania’s response to the use of </w:t>
      </w:r>
      <w:r w:rsidR="005A6533" w:rsidRPr="00E35976">
        <w:rPr>
          <w:rFonts w:ascii="Gill Sans MT" w:hAnsi="Gill Sans MT"/>
        </w:rPr>
        <w:t>crystal methamphetamine (Ice)</w:t>
      </w:r>
      <w:r w:rsidRPr="00E35976">
        <w:rPr>
          <w:rFonts w:ascii="Gill Sans MT" w:hAnsi="Gill Sans MT"/>
        </w:rPr>
        <w:t>, and to work alongside DPAC t</w:t>
      </w:r>
      <w:r w:rsidRPr="00E35976">
        <w:rPr>
          <w:rFonts w:ascii="Gill Sans MT" w:hAnsi="Gill Sans MT" w:cs="Arial"/>
        </w:rPr>
        <w:t xml:space="preserve">o progress Tasmania’s involvement in the National Taskforce to assist the development of the </w:t>
      </w:r>
      <w:r w:rsidR="0098355E" w:rsidRPr="00E35976">
        <w:rPr>
          <w:rFonts w:ascii="Gill Sans MT" w:hAnsi="Gill Sans MT" w:cs="Arial"/>
        </w:rPr>
        <w:t>National Ice Action Strategy (</w:t>
      </w:r>
      <w:r w:rsidRPr="00E35976">
        <w:rPr>
          <w:rFonts w:ascii="Gill Sans MT" w:hAnsi="Gill Sans MT" w:cs="Arial"/>
        </w:rPr>
        <w:t>NIAS</w:t>
      </w:r>
      <w:r w:rsidR="0098355E" w:rsidRPr="00E35976">
        <w:rPr>
          <w:rFonts w:ascii="Gill Sans MT" w:hAnsi="Gill Sans MT" w:cs="Arial"/>
        </w:rPr>
        <w:t>)</w:t>
      </w:r>
      <w:r w:rsidRPr="00E35976">
        <w:rPr>
          <w:rFonts w:ascii="Gill Sans MT" w:hAnsi="Gill Sans MT" w:cs="Arial"/>
        </w:rPr>
        <w:t>.</w:t>
      </w:r>
    </w:p>
    <w:p w14:paraId="1FEDF762" w14:textId="77777777" w:rsidR="002D3EEA" w:rsidRPr="00E35976" w:rsidRDefault="002D3EEA" w:rsidP="00B46215">
      <w:pPr>
        <w:pStyle w:val="Heading3"/>
        <w:rPr>
          <w:rFonts w:ascii="Gill Sans MT" w:hAnsi="Gill Sans MT"/>
        </w:rPr>
      </w:pPr>
      <w:bookmarkStart w:id="12" w:name="_Toc25584651"/>
      <w:r w:rsidRPr="00E35976">
        <w:rPr>
          <w:rFonts w:ascii="Gill Sans MT" w:hAnsi="Gill Sans MT"/>
        </w:rPr>
        <w:t>Membership</w:t>
      </w:r>
      <w:bookmarkEnd w:id="12"/>
    </w:p>
    <w:p w14:paraId="46555ADF" w14:textId="1C91A190" w:rsidR="00FA35B2" w:rsidRPr="00E35976" w:rsidRDefault="00FA35B2" w:rsidP="002D3EEA">
      <w:pPr>
        <w:keepNext/>
        <w:spacing w:after="140" w:line="300" w:lineRule="atLeast"/>
        <w:rPr>
          <w:rFonts w:ascii="Gill Sans MT" w:hAnsi="Gill Sans MT"/>
        </w:rPr>
      </w:pPr>
      <w:r w:rsidRPr="00E35976">
        <w:rPr>
          <w:rFonts w:ascii="Gill Sans MT" w:hAnsi="Gill Sans MT"/>
        </w:rPr>
        <w:t xml:space="preserve">IAWGD membership comprises a Chair (Deputy Secretary, Corporate Services, </w:t>
      </w:r>
      <w:r w:rsidR="00E3716F" w:rsidRPr="00E35976">
        <w:rPr>
          <w:rFonts w:ascii="Gill Sans MT" w:hAnsi="Gill Sans MT"/>
        </w:rPr>
        <w:t>DoH</w:t>
      </w:r>
      <w:r w:rsidRPr="00E35976">
        <w:rPr>
          <w:rFonts w:ascii="Gill Sans MT" w:hAnsi="Gill Sans MT"/>
        </w:rPr>
        <w:t>), Deputy Chair (Assistant Commissioner, Operations, Department of Police, Fire and Emergency Management) and</w:t>
      </w:r>
      <w:r w:rsidR="00E3716F" w:rsidRPr="00E35976">
        <w:rPr>
          <w:rFonts w:ascii="Gill Sans MT" w:hAnsi="Gill Sans MT"/>
        </w:rPr>
        <w:t xml:space="preserve"> senior representatives from DoH</w:t>
      </w:r>
      <w:r w:rsidRPr="00E35976">
        <w:rPr>
          <w:rFonts w:ascii="Gill Sans MT" w:hAnsi="Gill Sans MT"/>
        </w:rPr>
        <w:t>; the Department of Police, Fire and Emergency Management</w:t>
      </w:r>
      <w:r w:rsidR="004D2930" w:rsidRPr="00E35976">
        <w:rPr>
          <w:rFonts w:ascii="Gill Sans MT" w:hAnsi="Gill Sans MT"/>
        </w:rPr>
        <w:t xml:space="preserve"> (DPFEM)</w:t>
      </w:r>
      <w:r w:rsidRPr="00E35976">
        <w:rPr>
          <w:rFonts w:ascii="Gill Sans MT" w:hAnsi="Gill Sans MT"/>
        </w:rPr>
        <w:t xml:space="preserve">; the Department of Treasury and Finance; </w:t>
      </w:r>
      <w:r w:rsidR="0098355E" w:rsidRPr="00E35976">
        <w:rPr>
          <w:rFonts w:ascii="Gill Sans MT" w:hAnsi="Gill Sans MT"/>
        </w:rPr>
        <w:t xml:space="preserve">the </w:t>
      </w:r>
      <w:r w:rsidRPr="00E35976">
        <w:rPr>
          <w:rFonts w:ascii="Gill Sans MT" w:hAnsi="Gill Sans MT"/>
        </w:rPr>
        <w:t>Department of Education</w:t>
      </w:r>
      <w:r w:rsidR="004D2930" w:rsidRPr="00E35976">
        <w:rPr>
          <w:rFonts w:ascii="Gill Sans MT" w:hAnsi="Gill Sans MT"/>
        </w:rPr>
        <w:t xml:space="preserve"> (DoE)</w:t>
      </w:r>
      <w:r w:rsidRPr="00E35976">
        <w:rPr>
          <w:rFonts w:ascii="Gill Sans MT" w:hAnsi="Gill Sans MT"/>
        </w:rPr>
        <w:t xml:space="preserve">; </w:t>
      </w:r>
      <w:r w:rsidR="0098355E" w:rsidRPr="00E35976">
        <w:rPr>
          <w:rFonts w:ascii="Gill Sans MT" w:hAnsi="Gill Sans MT"/>
        </w:rPr>
        <w:t xml:space="preserve">the </w:t>
      </w:r>
      <w:r w:rsidRPr="00E35976">
        <w:rPr>
          <w:rFonts w:ascii="Gill Sans MT" w:hAnsi="Gill Sans MT"/>
        </w:rPr>
        <w:t>Department of Justice</w:t>
      </w:r>
      <w:r w:rsidR="004D2930" w:rsidRPr="00E35976">
        <w:rPr>
          <w:rFonts w:ascii="Gill Sans MT" w:hAnsi="Gill Sans MT"/>
        </w:rPr>
        <w:t xml:space="preserve"> (DoJ)</w:t>
      </w:r>
      <w:r w:rsidRPr="00E35976">
        <w:rPr>
          <w:rFonts w:ascii="Gill Sans MT" w:hAnsi="Gill Sans MT"/>
        </w:rPr>
        <w:t>; and the Department of Premier and Cabinet</w:t>
      </w:r>
      <w:r w:rsidR="004D2930" w:rsidRPr="00E35976">
        <w:rPr>
          <w:rFonts w:ascii="Gill Sans MT" w:hAnsi="Gill Sans MT"/>
        </w:rPr>
        <w:t xml:space="preserve"> (DPAC)</w:t>
      </w:r>
      <w:r w:rsidRPr="00E35976">
        <w:rPr>
          <w:rFonts w:ascii="Gill Sans MT" w:hAnsi="Gill Sans MT"/>
        </w:rPr>
        <w:t>.</w:t>
      </w:r>
    </w:p>
    <w:p w14:paraId="0F48728B" w14:textId="538BFC78" w:rsidR="002D3EEA" w:rsidRPr="00E35976" w:rsidRDefault="002D3EEA" w:rsidP="002D3EEA">
      <w:pPr>
        <w:keepNext/>
        <w:spacing w:after="140" w:line="300" w:lineRule="atLeast"/>
        <w:rPr>
          <w:rFonts w:ascii="Gill Sans MT" w:hAnsi="Gill Sans MT"/>
        </w:rPr>
      </w:pPr>
      <w:r w:rsidRPr="00E35976">
        <w:rPr>
          <w:rFonts w:ascii="Gill Sans MT" w:hAnsi="Gill Sans MT"/>
        </w:rPr>
        <w:t>The Alcohol, Tobacco and Other Drugs Council, Tasmania (ATDC) represents the alcohol, tobacco and other drugs sector and the Local Government Association of Tasmania acts as an observer.</w:t>
      </w:r>
    </w:p>
    <w:p w14:paraId="695EFEDB" w14:textId="77777777" w:rsidR="002D3EEA" w:rsidRPr="00E35976" w:rsidRDefault="002D3EEA" w:rsidP="00B46215">
      <w:pPr>
        <w:pStyle w:val="Heading3"/>
        <w:rPr>
          <w:rFonts w:ascii="Gill Sans MT" w:hAnsi="Gill Sans MT"/>
        </w:rPr>
      </w:pPr>
      <w:bookmarkStart w:id="13" w:name="_Toc25584652"/>
      <w:r w:rsidRPr="00E35976">
        <w:rPr>
          <w:rFonts w:ascii="Gill Sans MT" w:hAnsi="Gill Sans MT"/>
        </w:rPr>
        <w:t>IAWGD Role and Function</w:t>
      </w:r>
      <w:bookmarkEnd w:id="13"/>
    </w:p>
    <w:p w14:paraId="7C6418E2" w14:textId="77777777" w:rsidR="002D3EEA" w:rsidRPr="00E35976" w:rsidRDefault="002D3EEA" w:rsidP="002D3EEA">
      <w:pPr>
        <w:keepNext/>
        <w:spacing w:after="140" w:line="300" w:lineRule="atLeast"/>
        <w:rPr>
          <w:rFonts w:ascii="Gill Sans MT" w:hAnsi="Gill Sans MT"/>
        </w:rPr>
      </w:pPr>
      <w:r w:rsidRPr="00E35976">
        <w:rPr>
          <w:rFonts w:ascii="Gill Sans MT" w:hAnsi="Gill Sans MT"/>
        </w:rPr>
        <w:t>The role and function of the IAWGD is to:</w:t>
      </w:r>
    </w:p>
    <w:p w14:paraId="271B8393" w14:textId="77777777" w:rsidR="002D3EEA" w:rsidRPr="00E35976" w:rsidRDefault="002D3EEA" w:rsidP="002D3EEA">
      <w:pPr>
        <w:keepNext/>
        <w:numPr>
          <w:ilvl w:val="0"/>
          <w:numId w:val="1"/>
        </w:numPr>
        <w:spacing w:after="140" w:line="300" w:lineRule="atLeast"/>
        <w:ind w:left="567" w:hanging="567"/>
        <w:contextualSpacing/>
        <w:rPr>
          <w:rFonts w:ascii="Gill Sans MT" w:hAnsi="Gill Sans MT"/>
        </w:rPr>
      </w:pPr>
      <w:r w:rsidRPr="00E35976">
        <w:rPr>
          <w:rFonts w:ascii="Gill Sans MT" w:hAnsi="Gill Sans MT"/>
        </w:rPr>
        <w:t>Oversee the development, implementation, monitoring and coordination of strategic policy and whole-of-government responses to reduce the harms from the use of alcohol, tobacco and other drugs in Tasmania;</w:t>
      </w:r>
    </w:p>
    <w:p w14:paraId="6593606A" w14:textId="77777777" w:rsidR="002D3EEA" w:rsidRPr="00E35976" w:rsidRDefault="002D3EEA" w:rsidP="002D3EEA">
      <w:pPr>
        <w:keepNext/>
        <w:numPr>
          <w:ilvl w:val="0"/>
          <w:numId w:val="1"/>
        </w:numPr>
        <w:spacing w:after="140" w:line="300" w:lineRule="atLeast"/>
        <w:ind w:left="567" w:hanging="567"/>
        <w:contextualSpacing/>
        <w:rPr>
          <w:rFonts w:ascii="Gill Sans MT" w:hAnsi="Gill Sans MT"/>
        </w:rPr>
      </w:pPr>
      <w:r w:rsidRPr="00E35976">
        <w:rPr>
          <w:rFonts w:ascii="Gill Sans MT" w:hAnsi="Gill Sans MT"/>
        </w:rPr>
        <w:t>Monitor changes in prevalence, levels and patterns of alcohol, tobacco and other drugs use in Tasmania;</w:t>
      </w:r>
    </w:p>
    <w:p w14:paraId="61E69D52" w14:textId="77777777" w:rsidR="002D3EEA" w:rsidRPr="00E35976" w:rsidRDefault="002D3EEA" w:rsidP="002D3EEA">
      <w:pPr>
        <w:keepNext/>
        <w:numPr>
          <w:ilvl w:val="0"/>
          <w:numId w:val="1"/>
        </w:numPr>
        <w:spacing w:after="140" w:line="300" w:lineRule="atLeast"/>
        <w:ind w:left="567" w:hanging="567"/>
        <w:contextualSpacing/>
        <w:rPr>
          <w:rFonts w:ascii="Gill Sans MT" w:hAnsi="Gill Sans MT"/>
        </w:rPr>
      </w:pPr>
      <w:r w:rsidRPr="00E35976">
        <w:rPr>
          <w:rFonts w:ascii="Gill Sans MT" w:hAnsi="Gill Sans MT"/>
        </w:rPr>
        <w:t xml:space="preserve">Consider the implications of the NDS and other national policy or reform initiatives; making recommendations regarding the adoption and/or implementation in the Tasmanian context; </w:t>
      </w:r>
      <w:r w:rsidRPr="00E35976">
        <w:rPr>
          <w:rFonts w:ascii="Gill Sans MT" w:hAnsi="Gill Sans MT"/>
        </w:rPr>
        <w:lastRenderedPageBreak/>
        <w:t>and overseeing the implementation and reporting of national drug strategic plans and related initiatives;</w:t>
      </w:r>
    </w:p>
    <w:p w14:paraId="672E3252" w14:textId="77777777" w:rsidR="002D3EEA" w:rsidRPr="00E35976" w:rsidRDefault="002D3EEA" w:rsidP="002D3EEA">
      <w:pPr>
        <w:keepNext/>
        <w:numPr>
          <w:ilvl w:val="0"/>
          <w:numId w:val="1"/>
        </w:numPr>
        <w:spacing w:after="140" w:line="300" w:lineRule="atLeast"/>
        <w:ind w:left="567" w:hanging="567"/>
        <w:contextualSpacing/>
        <w:rPr>
          <w:rFonts w:ascii="Gill Sans MT" w:hAnsi="Gill Sans MT"/>
        </w:rPr>
      </w:pPr>
      <w:r w:rsidRPr="00E35976">
        <w:rPr>
          <w:rFonts w:ascii="Gill Sans MT" w:hAnsi="Gill Sans MT"/>
        </w:rPr>
        <w:t xml:space="preserve">Provide advice and input to other national and state strategies and initiatives where alcohol, tobacco and other drugs are identified as issues of concern, with </w:t>
      </w:r>
      <w:proofErr w:type="gramStart"/>
      <w:r w:rsidRPr="00E35976">
        <w:rPr>
          <w:rFonts w:ascii="Gill Sans MT" w:hAnsi="Gill Sans MT"/>
        </w:rPr>
        <w:t>particular emphasis</w:t>
      </w:r>
      <w:proofErr w:type="gramEnd"/>
      <w:r w:rsidRPr="00E35976">
        <w:rPr>
          <w:rFonts w:ascii="Gill Sans MT" w:hAnsi="Gill Sans MT"/>
        </w:rPr>
        <w:t xml:space="preserve"> on prevention and the social and health determinants associated with drug use; </w:t>
      </w:r>
    </w:p>
    <w:p w14:paraId="724D6454" w14:textId="77777777" w:rsidR="002D3EEA" w:rsidRPr="00E35976" w:rsidRDefault="002D3EEA" w:rsidP="002D3EEA">
      <w:pPr>
        <w:keepNext/>
        <w:numPr>
          <w:ilvl w:val="0"/>
          <w:numId w:val="1"/>
        </w:numPr>
        <w:spacing w:after="140" w:line="300" w:lineRule="atLeast"/>
        <w:ind w:left="567" w:hanging="567"/>
        <w:contextualSpacing/>
        <w:rPr>
          <w:rFonts w:ascii="Gill Sans MT" w:hAnsi="Gill Sans MT"/>
        </w:rPr>
      </w:pPr>
      <w:r w:rsidRPr="00E35976">
        <w:rPr>
          <w:rFonts w:ascii="Gill Sans MT" w:hAnsi="Gill Sans MT"/>
        </w:rPr>
        <w:t>Consult, liaise and collaborate with a range of key stakeholders and representative groups, service providers and other agencies/organisations as appropriate.</w:t>
      </w:r>
    </w:p>
    <w:p w14:paraId="1E0EE3FA" w14:textId="77777777" w:rsidR="002D3EEA" w:rsidRPr="00E35976" w:rsidRDefault="002D3EEA" w:rsidP="00B46215">
      <w:pPr>
        <w:pStyle w:val="Heading3"/>
        <w:rPr>
          <w:rFonts w:ascii="Gill Sans MT" w:hAnsi="Gill Sans MT"/>
        </w:rPr>
      </w:pPr>
      <w:bookmarkStart w:id="14" w:name="_Toc25584653"/>
      <w:r w:rsidRPr="00E35976">
        <w:rPr>
          <w:rFonts w:ascii="Gill Sans MT" w:hAnsi="Gill Sans MT"/>
        </w:rPr>
        <w:t>Reporting</w:t>
      </w:r>
      <w:bookmarkEnd w:id="14"/>
    </w:p>
    <w:p w14:paraId="655E550D" w14:textId="205152F0" w:rsidR="002D3EEA" w:rsidRPr="00E35976" w:rsidRDefault="002D3EEA" w:rsidP="002D3EEA">
      <w:pPr>
        <w:keepNext/>
        <w:spacing w:after="140" w:line="300" w:lineRule="atLeast"/>
        <w:rPr>
          <w:rFonts w:ascii="Gill Sans MT" w:hAnsi="Gill Sans MT"/>
        </w:rPr>
      </w:pPr>
      <w:r w:rsidRPr="00E35976">
        <w:rPr>
          <w:rFonts w:ascii="Gill Sans MT" w:hAnsi="Gill Sans MT"/>
        </w:rPr>
        <w:t>The IAWGD may make recommendations to the Minister for Health (the Minister)</w:t>
      </w:r>
      <w:r w:rsidR="00FA35B2" w:rsidRPr="00E35976">
        <w:rPr>
          <w:rFonts w:ascii="Gill Sans MT" w:hAnsi="Gill Sans MT"/>
        </w:rPr>
        <w:t xml:space="preserve"> </w:t>
      </w:r>
      <w:r w:rsidR="005A6533" w:rsidRPr="00E35976">
        <w:rPr>
          <w:rFonts w:ascii="Gill Sans MT" w:hAnsi="Gill Sans MT"/>
        </w:rPr>
        <w:t xml:space="preserve">and </w:t>
      </w:r>
      <w:r w:rsidRPr="00E35976">
        <w:rPr>
          <w:rFonts w:ascii="Gill Sans MT" w:hAnsi="Gill Sans MT"/>
        </w:rPr>
        <w:t>raise whole-of-government alcohol, tobacco and other drugs issues with Cabinet</w:t>
      </w:r>
      <w:r w:rsidR="00FA35B2" w:rsidRPr="00E35976">
        <w:rPr>
          <w:rFonts w:ascii="Gill Sans MT" w:hAnsi="Gill Sans MT"/>
        </w:rPr>
        <w:t xml:space="preserve"> through the Minister</w:t>
      </w:r>
      <w:r w:rsidRPr="00E35976">
        <w:rPr>
          <w:rFonts w:ascii="Gill Sans MT" w:hAnsi="Gill Sans MT"/>
        </w:rPr>
        <w:t>.</w:t>
      </w:r>
    </w:p>
    <w:p w14:paraId="6EF1C8D5" w14:textId="77777777" w:rsidR="002D3EEA" w:rsidRPr="00E35976" w:rsidRDefault="002D3EEA" w:rsidP="00B46215">
      <w:pPr>
        <w:pStyle w:val="Heading3"/>
        <w:rPr>
          <w:rFonts w:ascii="Gill Sans MT" w:hAnsi="Gill Sans MT"/>
        </w:rPr>
      </w:pPr>
      <w:bookmarkStart w:id="15" w:name="_Toc25584654"/>
      <w:r w:rsidRPr="00E35976">
        <w:rPr>
          <w:rFonts w:ascii="Gill Sans MT" w:hAnsi="Gill Sans MT"/>
        </w:rPr>
        <w:t>IAWGD Meeting Protocols</w:t>
      </w:r>
      <w:bookmarkEnd w:id="15"/>
    </w:p>
    <w:p w14:paraId="4CB28FE9" w14:textId="11E732F2" w:rsidR="002D3EEA" w:rsidRPr="00E35976" w:rsidRDefault="002D3EEA" w:rsidP="002D3EEA">
      <w:pPr>
        <w:keepNext/>
        <w:spacing w:after="140" w:line="300" w:lineRule="atLeast"/>
        <w:rPr>
          <w:rFonts w:ascii="Gill Sans MT" w:hAnsi="Gill Sans MT"/>
        </w:rPr>
      </w:pPr>
      <w:r w:rsidRPr="00E35976">
        <w:rPr>
          <w:rFonts w:ascii="Gill Sans MT" w:hAnsi="Gill Sans MT"/>
        </w:rPr>
        <w:t xml:space="preserve">The IAWGD meets a minimum of three times annually and, where possible, schedule meetings to coincide with associated national forums such as the NDSC and MDAF. </w:t>
      </w:r>
    </w:p>
    <w:p w14:paraId="7947B349" w14:textId="6D9A1ED7" w:rsidR="002D3EEA" w:rsidRPr="00E35976" w:rsidRDefault="002D3EEA" w:rsidP="002D3EEA">
      <w:pPr>
        <w:keepNext/>
        <w:spacing w:after="140" w:line="300" w:lineRule="atLeast"/>
        <w:rPr>
          <w:rFonts w:ascii="Gill Sans MT" w:hAnsi="Gill Sans MT"/>
          <w:bCs/>
        </w:rPr>
      </w:pPr>
      <w:r w:rsidRPr="00E35976">
        <w:rPr>
          <w:rFonts w:ascii="Gill Sans MT" w:hAnsi="Gill Sans MT"/>
        </w:rPr>
        <w:t>In the 2017-18 reporting period, four meetings were held. Other business was managed out of session.</w:t>
      </w:r>
    </w:p>
    <w:p w14:paraId="4EB5E8F6" w14:textId="4E3D4F52" w:rsidR="002D3EEA" w:rsidRPr="00E35976" w:rsidRDefault="002D3EEA" w:rsidP="002D3EEA">
      <w:pPr>
        <w:keepNext/>
        <w:spacing w:after="140" w:line="300" w:lineRule="atLeast"/>
        <w:rPr>
          <w:rFonts w:ascii="Gill Sans MT" w:hAnsi="Gill Sans MT"/>
          <w:bCs/>
        </w:rPr>
      </w:pPr>
      <w:r w:rsidRPr="00E35976">
        <w:rPr>
          <w:rFonts w:ascii="Gill Sans MT" w:hAnsi="Gill Sans MT"/>
          <w:bCs/>
        </w:rPr>
        <w:t>The following table outlines the IAWGD meetings held and attendees for 2017-18</w:t>
      </w:r>
      <w:r w:rsidR="005D5D81" w:rsidRPr="00E35976">
        <w:rPr>
          <w:rFonts w:ascii="Gill Sans MT" w:hAnsi="Gill Sans MT"/>
          <w:bCs/>
        </w:rPr>
        <w:t xml:space="preserve">. </w:t>
      </w:r>
    </w:p>
    <w:tbl>
      <w:tblPr>
        <w:tblStyle w:val="TableGrid"/>
        <w:tblW w:w="5000" w:type="pct"/>
        <w:tblCellMar>
          <w:top w:w="57" w:type="dxa"/>
          <w:bottom w:w="57" w:type="dxa"/>
        </w:tblCellMar>
        <w:tblLook w:val="04A0" w:firstRow="1" w:lastRow="0" w:firstColumn="1" w:lastColumn="0" w:noHBand="0" w:noVBand="1"/>
      </w:tblPr>
      <w:tblGrid>
        <w:gridCol w:w="2617"/>
        <w:gridCol w:w="1791"/>
        <w:gridCol w:w="985"/>
        <w:gridCol w:w="985"/>
        <w:gridCol w:w="889"/>
        <w:gridCol w:w="889"/>
        <w:gridCol w:w="882"/>
      </w:tblGrid>
      <w:tr w:rsidR="00E35976" w:rsidRPr="00E35976" w14:paraId="54732B72" w14:textId="77777777" w:rsidTr="00E35976">
        <w:trPr>
          <w:trHeight w:val="696"/>
          <w:tblHeader/>
        </w:trPr>
        <w:tc>
          <w:tcPr>
            <w:tcW w:w="1447" w:type="pct"/>
            <w:shd w:val="clear" w:color="auto" w:fill="D9D9D9" w:themeFill="background1" w:themeFillShade="D9"/>
            <w:vAlign w:val="center"/>
          </w:tcPr>
          <w:p w14:paraId="33B6FF82" w14:textId="77777777" w:rsidR="00E35976" w:rsidRPr="00E35976" w:rsidRDefault="00E35976" w:rsidP="005D5D81">
            <w:pPr>
              <w:widowControl w:val="0"/>
              <w:rPr>
                <w:rFonts w:ascii="Gill Sans MT" w:hAnsi="Gill Sans MT"/>
                <w:b/>
                <w:bCs/>
                <w:sz w:val="20"/>
                <w:szCs w:val="20"/>
              </w:rPr>
            </w:pPr>
            <w:r w:rsidRPr="00E35976">
              <w:rPr>
                <w:rFonts w:ascii="Gill Sans MT" w:hAnsi="Gill Sans MT"/>
                <w:b/>
                <w:bCs/>
                <w:sz w:val="20"/>
                <w:szCs w:val="20"/>
              </w:rPr>
              <w:t>Organisation</w:t>
            </w:r>
          </w:p>
        </w:tc>
        <w:tc>
          <w:tcPr>
            <w:tcW w:w="991" w:type="pct"/>
            <w:shd w:val="clear" w:color="auto" w:fill="D9D9D9" w:themeFill="background1" w:themeFillShade="D9"/>
          </w:tcPr>
          <w:p w14:paraId="0E74E569" w14:textId="6C0F46F1" w:rsidR="00E35976" w:rsidRPr="00E35976" w:rsidRDefault="00E35976" w:rsidP="005D5D81">
            <w:pPr>
              <w:widowControl w:val="0"/>
              <w:rPr>
                <w:rFonts w:ascii="Gill Sans MT" w:hAnsi="Gill Sans MT"/>
                <w:b/>
                <w:bCs/>
                <w:sz w:val="20"/>
                <w:szCs w:val="20"/>
              </w:rPr>
            </w:pPr>
            <w:r w:rsidRPr="00E35976">
              <w:rPr>
                <w:rFonts w:ascii="Gill Sans MT" w:hAnsi="Gill Sans MT"/>
                <w:b/>
                <w:bCs/>
                <w:sz w:val="20"/>
                <w:szCs w:val="20"/>
              </w:rPr>
              <w:t>Rep(s)</w:t>
            </w:r>
          </w:p>
        </w:tc>
        <w:tc>
          <w:tcPr>
            <w:tcW w:w="545" w:type="pct"/>
            <w:shd w:val="clear" w:color="auto" w:fill="D9D9D9" w:themeFill="background1" w:themeFillShade="D9"/>
          </w:tcPr>
          <w:p w14:paraId="3591B60D" w14:textId="77777777" w:rsidR="00E35976" w:rsidRPr="00E35976" w:rsidRDefault="00E35976" w:rsidP="005D5D81">
            <w:pPr>
              <w:widowControl w:val="0"/>
              <w:rPr>
                <w:rFonts w:ascii="Gill Sans MT" w:hAnsi="Gill Sans MT"/>
                <w:b/>
                <w:bCs/>
                <w:sz w:val="20"/>
                <w:szCs w:val="20"/>
              </w:rPr>
            </w:pPr>
            <w:r w:rsidRPr="00E35976">
              <w:rPr>
                <w:rFonts w:ascii="Gill Sans MT" w:hAnsi="Gill Sans MT"/>
                <w:b/>
                <w:bCs/>
                <w:sz w:val="20"/>
                <w:szCs w:val="20"/>
              </w:rPr>
              <w:t>23 Aug 2017</w:t>
            </w:r>
          </w:p>
        </w:tc>
        <w:tc>
          <w:tcPr>
            <w:tcW w:w="545" w:type="pct"/>
            <w:shd w:val="clear" w:color="auto" w:fill="D9D9D9" w:themeFill="background1" w:themeFillShade="D9"/>
          </w:tcPr>
          <w:p w14:paraId="3201E073" w14:textId="77777777" w:rsidR="00E35976" w:rsidRPr="00E35976" w:rsidRDefault="00E35976" w:rsidP="005D5D81">
            <w:pPr>
              <w:widowControl w:val="0"/>
              <w:rPr>
                <w:rFonts w:ascii="Gill Sans MT" w:hAnsi="Gill Sans MT"/>
                <w:b/>
                <w:bCs/>
                <w:sz w:val="20"/>
                <w:szCs w:val="20"/>
              </w:rPr>
            </w:pPr>
            <w:r w:rsidRPr="00E35976">
              <w:rPr>
                <w:rFonts w:ascii="Gill Sans MT" w:hAnsi="Gill Sans MT"/>
                <w:b/>
                <w:bCs/>
                <w:sz w:val="20"/>
                <w:szCs w:val="20"/>
              </w:rPr>
              <w:t>13 Dec 2017</w:t>
            </w:r>
          </w:p>
        </w:tc>
        <w:tc>
          <w:tcPr>
            <w:tcW w:w="492" w:type="pct"/>
            <w:shd w:val="clear" w:color="auto" w:fill="D9D9D9" w:themeFill="background1" w:themeFillShade="D9"/>
          </w:tcPr>
          <w:p w14:paraId="0D0C5972" w14:textId="77777777" w:rsidR="00E35976" w:rsidRPr="00E35976" w:rsidRDefault="00E35976" w:rsidP="005D5D81">
            <w:pPr>
              <w:widowControl w:val="0"/>
              <w:rPr>
                <w:rFonts w:ascii="Gill Sans MT" w:hAnsi="Gill Sans MT"/>
                <w:b/>
                <w:bCs/>
                <w:sz w:val="20"/>
                <w:szCs w:val="20"/>
              </w:rPr>
            </w:pPr>
            <w:r w:rsidRPr="00E35976">
              <w:rPr>
                <w:rFonts w:ascii="Gill Sans MT" w:hAnsi="Gill Sans MT"/>
                <w:b/>
                <w:bCs/>
                <w:sz w:val="20"/>
                <w:szCs w:val="20"/>
              </w:rPr>
              <w:t>13 Mar 2018</w:t>
            </w:r>
          </w:p>
        </w:tc>
        <w:tc>
          <w:tcPr>
            <w:tcW w:w="492" w:type="pct"/>
            <w:shd w:val="clear" w:color="auto" w:fill="D9D9D9" w:themeFill="background1" w:themeFillShade="D9"/>
          </w:tcPr>
          <w:p w14:paraId="2DD030B3" w14:textId="77777777" w:rsidR="00E35976" w:rsidRPr="00E35976" w:rsidRDefault="00E35976" w:rsidP="005D5D81">
            <w:pPr>
              <w:widowControl w:val="0"/>
              <w:rPr>
                <w:rFonts w:ascii="Gill Sans MT" w:hAnsi="Gill Sans MT"/>
                <w:b/>
                <w:bCs/>
                <w:sz w:val="20"/>
                <w:szCs w:val="20"/>
              </w:rPr>
            </w:pPr>
            <w:r w:rsidRPr="00E35976">
              <w:rPr>
                <w:rFonts w:ascii="Gill Sans MT" w:hAnsi="Gill Sans MT"/>
                <w:b/>
                <w:bCs/>
                <w:sz w:val="20"/>
                <w:szCs w:val="20"/>
              </w:rPr>
              <w:t>12 June 2018</w:t>
            </w:r>
          </w:p>
        </w:tc>
        <w:tc>
          <w:tcPr>
            <w:tcW w:w="489" w:type="pct"/>
            <w:shd w:val="clear" w:color="auto" w:fill="D9D9D9" w:themeFill="background1" w:themeFillShade="D9"/>
          </w:tcPr>
          <w:p w14:paraId="26E9050B" w14:textId="77777777" w:rsidR="00E35976" w:rsidRPr="00E35976" w:rsidRDefault="00E35976" w:rsidP="005D5D81">
            <w:pPr>
              <w:widowControl w:val="0"/>
              <w:rPr>
                <w:rFonts w:ascii="Gill Sans MT" w:hAnsi="Gill Sans MT"/>
                <w:b/>
                <w:bCs/>
                <w:sz w:val="20"/>
                <w:szCs w:val="20"/>
              </w:rPr>
            </w:pPr>
            <w:r w:rsidRPr="00E35976">
              <w:rPr>
                <w:rFonts w:ascii="Gill Sans MT" w:hAnsi="Gill Sans MT"/>
                <w:b/>
                <w:bCs/>
                <w:sz w:val="20"/>
                <w:szCs w:val="20"/>
              </w:rPr>
              <w:t>O-O-S Input</w:t>
            </w:r>
          </w:p>
        </w:tc>
      </w:tr>
      <w:tr w:rsidR="002D3EEA" w:rsidRPr="00E35976" w14:paraId="7FFF92CC" w14:textId="77777777" w:rsidTr="00E35976">
        <w:tc>
          <w:tcPr>
            <w:tcW w:w="1447" w:type="pct"/>
          </w:tcPr>
          <w:p w14:paraId="3CAE4BF0" w14:textId="4399A37F" w:rsidR="002D3EEA" w:rsidRPr="00E35976" w:rsidRDefault="00FA35B2" w:rsidP="005D5D81">
            <w:pPr>
              <w:widowControl w:val="0"/>
              <w:rPr>
                <w:rFonts w:ascii="Gill Sans MT" w:hAnsi="Gill Sans MT"/>
                <w:bCs/>
                <w:sz w:val="20"/>
                <w:szCs w:val="20"/>
              </w:rPr>
            </w:pPr>
            <w:proofErr w:type="spellStart"/>
            <w:r w:rsidRPr="00E35976">
              <w:rPr>
                <w:rFonts w:ascii="Gill Sans MT" w:hAnsi="Gill Sans MT" w:cs="Arial"/>
                <w:sz w:val="20"/>
                <w:szCs w:val="20"/>
              </w:rPr>
              <w:t>Do</w:t>
            </w:r>
            <w:r w:rsidR="002D3EEA" w:rsidRPr="00E35976" w:rsidDel="00BC62E1">
              <w:rPr>
                <w:rFonts w:ascii="Gill Sans MT" w:hAnsi="Gill Sans MT" w:cs="Arial"/>
                <w:sz w:val="20"/>
                <w:szCs w:val="20"/>
              </w:rPr>
              <w:t>H</w:t>
            </w:r>
            <w:proofErr w:type="spellEnd"/>
            <w:r w:rsidR="002D3EEA" w:rsidRPr="00E35976">
              <w:rPr>
                <w:rFonts w:ascii="Gill Sans MT" w:hAnsi="Gill Sans MT" w:cs="Arial"/>
                <w:sz w:val="20"/>
                <w:szCs w:val="20"/>
              </w:rPr>
              <w:t xml:space="preserve"> - Corporate Services</w:t>
            </w:r>
          </w:p>
        </w:tc>
        <w:tc>
          <w:tcPr>
            <w:tcW w:w="991" w:type="pct"/>
          </w:tcPr>
          <w:p w14:paraId="05A4168D"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Michael Reynolds (Chair)</w:t>
            </w:r>
          </w:p>
        </w:tc>
        <w:tc>
          <w:tcPr>
            <w:tcW w:w="545" w:type="pct"/>
          </w:tcPr>
          <w:p w14:paraId="0301C2F8"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t>-</w:t>
            </w:r>
          </w:p>
        </w:tc>
        <w:tc>
          <w:tcPr>
            <w:tcW w:w="545" w:type="pct"/>
          </w:tcPr>
          <w:p w14:paraId="75A149DB"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t>-</w:t>
            </w:r>
          </w:p>
        </w:tc>
        <w:tc>
          <w:tcPr>
            <w:tcW w:w="492" w:type="pct"/>
          </w:tcPr>
          <w:p w14:paraId="479B4561"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92" w:type="pct"/>
          </w:tcPr>
          <w:p w14:paraId="2AC17D85"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89" w:type="pct"/>
          </w:tcPr>
          <w:p w14:paraId="5BF924A4"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6AE1B610" w14:textId="77777777" w:rsidTr="00E35976">
        <w:tc>
          <w:tcPr>
            <w:tcW w:w="1447" w:type="pct"/>
          </w:tcPr>
          <w:p w14:paraId="0AAF998B"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Department of Police, Fire and Emergency Management</w:t>
            </w:r>
          </w:p>
        </w:tc>
        <w:tc>
          <w:tcPr>
            <w:tcW w:w="991" w:type="pct"/>
          </w:tcPr>
          <w:p w14:paraId="0DA21FAC"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Glenn Frame (Deputy Chair)/</w:t>
            </w:r>
          </w:p>
          <w:p w14:paraId="1FA5C97A"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Emma Fitzpatrick</w:t>
            </w:r>
          </w:p>
        </w:tc>
        <w:tc>
          <w:tcPr>
            <w:tcW w:w="545" w:type="pct"/>
          </w:tcPr>
          <w:p w14:paraId="362F0571"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r w:rsidRPr="00E35976">
              <w:rPr>
                <w:rFonts w:ascii="Gill Sans MT" w:hAnsi="Gill Sans MT"/>
                <w:bCs/>
                <w:sz w:val="20"/>
                <w:szCs w:val="20"/>
              </w:rPr>
              <w:t xml:space="preserve"> (A/Chair)</w:t>
            </w:r>
          </w:p>
        </w:tc>
        <w:tc>
          <w:tcPr>
            <w:tcW w:w="545" w:type="pct"/>
          </w:tcPr>
          <w:p w14:paraId="44F09BC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5D946E44"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22570C28"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89" w:type="pct"/>
          </w:tcPr>
          <w:p w14:paraId="007A3220"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41FBCBA2" w14:textId="77777777" w:rsidTr="00E35976">
        <w:tc>
          <w:tcPr>
            <w:tcW w:w="1447" w:type="pct"/>
            <w:vMerge w:val="restart"/>
          </w:tcPr>
          <w:p w14:paraId="701265BE" w14:textId="45F5DFDD" w:rsidR="002D3EEA" w:rsidRPr="00E35976" w:rsidRDefault="00FA35B2" w:rsidP="005D5D81">
            <w:pPr>
              <w:widowControl w:val="0"/>
              <w:rPr>
                <w:rFonts w:ascii="Gill Sans MT" w:hAnsi="Gill Sans MT" w:cs="Arial"/>
                <w:sz w:val="20"/>
                <w:szCs w:val="20"/>
              </w:rPr>
            </w:pPr>
            <w:r w:rsidRPr="00E35976">
              <w:rPr>
                <w:rFonts w:ascii="Gill Sans MT" w:hAnsi="Gill Sans MT" w:cs="Arial"/>
                <w:sz w:val="20"/>
                <w:szCs w:val="20"/>
              </w:rPr>
              <w:t>Do</w:t>
            </w:r>
            <w:r w:rsidR="002D3EEA" w:rsidRPr="00E35976" w:rsidDel="00BC62E1">
              <w:rPr>
                <w:rFonts w:ascii="Gill Sans MT" w:hAnsi="Gill Sans MT" w:cs="Arial"/>
                <w:sz w:val="20"/>
                <w:szCs w:val="20"/>
              </w:rPr>
              <w:t>H</w:t>
            </w:r>
            <w:r w:rsidR="002D3EEA" w:rsidRPr="00E35976">
              <w:rPr>
                <w:rFonts w:ascii="Gill Sans MT" w:hAnsi="Gill Sans MT" w:cs="Arial"/>
                <w:sz w:val="20"/>
                <w:szCs w:val="20"/>
              </w:rPr>
              <w:t xml:space="preserve"> - Mental Health, Alcohol and Drug Directorate</w:t>
            </w:r>
          </w:p>
        </w:tc>
        <w:tc>
          <w:tcPr>
            <w:tcW w:w="991" w:type="pct"/>
          </w:tcPr>
          <w:p w14:paraId="0CD61EFD"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Narelle Butt</w:t>
            </w:r>
          </w:p>
        </w:tc>
        <w:tc>
          <w:tcPr>
            <w:tcW w:w="545" w:type="pct"/>
          </w:tcPr>
          <w:p w14:paraId="0D6F9838"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t>-</w:t>
            </w:r>
          </w:p>
        </w:tc>
        <w:tc>
          <w:tcPr>
            <w:tcW w:w="545" w:type="pct"/>
          </w:tcPr>
          <w:p w14:paraId="0D2F5AB0"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t>-</w:t>
            </w:r>
          </w:p>
          <w:p w14:paraId="6CB6CA35" w14:textId="77777777" w:rsidR="002D3EEA" w:rsidRPr="00E35976" w:rsidRDefault="002D3EEA" w:rsidP="005D5D81">
            <w:pPr>
              <w:widowControl w:val="0"/>
              <w:rPr>
                <w:rFonts w:ascii="Gill Sans MT" w:hAnsi="Gill Sans MT"/>
                <w:bCs/>
                <w:sz w:val="20"/>
                <w:szCs w:val="20"/>
              </w:rPr>
            </w:pPr>
          </w:p>
        </w:tc>
        <w:tc>
          <w:tcPr>
            <w:tcW w:w="492" w:type="pct"/>
          </w:tcPr>
          <w:p w14:paraId="3B783CE7"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t>-</w:t>
            </w:r>
          </w:p>
        </w:tc>
        <w:tc>
          <w:tcPr>
            <w:tcW w:w="492" w:type="pct"/>
          </w:tcPr>
          <w:p w14:paraId="0EC54842"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89" w:type="pct"/>
          </w:tcPr>
          <w:p w14:paraId="4171B364"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0C7C5AC3" w14:textId="77777777" w:rsidTr="00E35976">
        <w:tc>
          <w:tcPr>
            <w:tcW w:w="1447" w:type="pct"/>
            <w:vMerge/>
          </w:tcPr>
          <w:p w14:paraId="73BFEA8D" w14:textId="77777777" w:rsidR="002D3EEA" w:rsidRPr="00E35976" w:rsidRDefault="002D3EEA" w:rsidP="005D5D81">
            <w:pPr>
              <w:widowControl w:val="0"/>
              <w:rPr>
                <w:rFonts w:ascii="Gill Sans MT" w:hAnsi="Gill Sans MT" w:cs="Arial"/>
                <w:sz w:val="20"/>
                <w:szCs w:val="20"/>
              </w:rPr>
            </w:pPr>
          </w:p>
        </w:tc>
        <w:tc>
          <w:tcPr>
            <w:tcW w:w="991" w:type="pct"/>
          </w:tcPr>
          <w:p w14:paraId="24962839"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Sylvia Engels</w:t>
            </w:r>
          </w:p>
        </w:tc>
        <w:tc>
          <w:tcPr>
            <w:tcW w:w="545" w:type="pct"/>
          </w:tcPr>
          <w:p w14:paraId="2F91D612"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545" w:type="pct"/>
          </w:tcPr>
          <w:p w14:paraId="08CE2F55"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92" w:type="pct"/>
          </w:tcPr>
          <w:p w14:paraId="68FA8B98"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92" w:type="pct"/>
          </w:tcPr>
          <w:p w14:paraId="6ECA3D81"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89" w:type="pct"/>
          </w:tcPr>
          <w:p w14:paraId="5FA65E4B"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597F84AE" w14:textId="77777777" w:rsidTr="00E35976">
        <w:tc>
          <w:tcPr>
            <w:tcW w:w="1447" w:type="pct"/>
          </w:tcPr>
          <w:p w14:paraId="19B29374" w14:textId="3029653F" w:rsidR="002D3EEA" w:rsidRPr="00E35976" w:rsidRDefault="00FA35B2" w:rsidP="005D5D81">
            <w:pPr>
              <w:widowControl w:val="0"/>
              <w:rPr>
                <w:rFonts w:ascii="Gill Sans MT" w:hAnsi="Gill Sans MT" w:cs="Arial"/>
                <w:sz w:val="20"/>
                <w:szCs w:val="20"/>
              </w:rPr>
            </w:pPr>
            <w:r w:rsidRPr="00E35976">
              <w:rPr>
                <w:rFonts w:ascii="Gill Sans MT" w:hAnsi="Gill Sans MT" w:cs="Arial"/>
                <w:sz w:val="20"/>
                <w:szCs w:val="20"/>
              </w:rPr>
              <w:t>Do</w:t>
            </w:r>
            <w:r w:rsidR="002D3EEA" w:rsidRPr="00E35976" w:rsidDel="00BC62E1">
              <w:rPr>
                <w:rFonts w:ascii="Gill Sans MT" w:hAnsi="Gill Sans MT" w:cs="Arial"/>
                <w:sz w:val="20"/>
                <w:szCs w:val="20"/>
              </w:rPr>
              <w:t>H</w:t>
            </w:r>
            <w:r w:rsidR="002D3EEA" w:rsidRPr="00E35976">
              <w:rPr>
                <w:rFonts w:ascii="Gill Sans MT" w:hAnsi="Gill Sans MT" w:cs="Arial"/>
                <w:sz w:val="20"/>
                <w:szCs w:val="20"/>
              </w:rPr>
              <w:t xml:space="preserve"> - Public Health Services</w:t>
            </w:r>
          </w:p>
        </w:tc>
        <w:tc>
          <w:tcPr>
            <w:tcW w:w="991" w:type="pct"/>
          </w:tcPr>
          <w:p w14:paraId="72CF8DD9"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 xml:space="preserve">Siobhan Harpur </w:t>
            </w:r>
          </w:p>
        </w:tc>
        <w:tc>
          <w:tcPr>
            <w:tcW w:w="545" w:type="pct"/>
          </w:tcPr>
          <w:p w14:paraId="1F81AD54"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545" w:type="pct"/>
          </w:tcPr>
          <w:p w14:paraId="4CE32DC8"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p w14:paraId="4260295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t>(A/Chair)</w:t>
            </w:r>
          </w:p>
        </w:tc>
        <w:tc>
          <w:tcPr>
            <w:tcW w:w="492" w:type="pct"/>
          </w:tcPr>
          <w:p w14:paraId="7E1E1C8E"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643A77C2"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89" w:type="pct"/>
          </w:tcPr>
          <w:p w14:paraId="32113734"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3816F404" w14:textId="77777777" w:rsidTr="00E35976">
        <w:tc>
          <w:tcPr>
            <w:tcW w:w="1447" w:type="pct"/>
          </w:tcPr>
          <w:p w14:paraId="0C11E94C" w14:textId="34EF22EA" w:rsidR="002D3EEA" w:rsidRPr="00E35976" w:rsidRDefault="00FA35B2" w:rsidP="005D5D81">
            <w:pPr>
              <w:widowControl w:val="0"/>
              <w:rPr>
                <w:rFonts w:ascii="Gill Sans MT" w:hAnsi="Gill Sans MT" w:cs="Arial"/>
                <w:sz w:val="20"/>
                <w:szCs w:val="20"/>
              </w:rPr>
            </w:pPr>
            <w:r w:rsidRPr="00E35976">
              <w:rPr>
                <w:rFonts w:ascii="Gill Sans MT" w:hAnsi="Gill Sans MT" w:cs="Arial"/>
                <w:sz w:val="20"/>
                <w:szCs w:val="20"/>
              </w:rPr>
              <w:t>DoH</w:t>
            </w:r>
            <w:r w:rsidR="002D3EEA" w:rsidRPr="00E35976">
              <w:rPr>
                <w:rFonts w:ascii="Gill Sans MT" w:hAnsi="Gill Sans MT" w:cs="Arial"/>
                <w:sz w:val="20"/>
                <w:szCs w:val="20"/>
              </w:rPr>
              <w:t xml:space="preserve"> - Government Relations and Strategic Policy</w:t>
            </w:r>
          </w:p>
        </w:tc>
        <w:tc>
          <w:tcPr>
            <w:tcW w:w="991" w:type="pct"/>
          </w:tcPr>
          <w:p w14:paraId="262FB32C"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Erin Taylor/Georgina Hill</w:t>
            </w:r>
          </w:p>
        </w:tc>
        <w:tc>
          <w:tcPr>
            <w:tcW w:w="545" w:type="pct"/>
          </w:tcPr>
          <w:p w14:paraId="0EF9590F"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545" w:type="pct"/>
          </w:tcPr>
          <w:p w14:paraId="0EDA3F29"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t>-</w:t>
            </w:r>
          </w:p>
        </w:tc>
        <w:tc>
          <w:tcPr>
            <w:tcW w:w="492" w:type="pct"/>
          </w:tcPr>
          <w:p w14:paraId="65B5CFE6"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0AF599C0"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t>-</w:t>
            </w:r>
          </w:p>
        </w:tc>
        <w:tc>
          <w:tcPr>
            <w:tcW w:w="489" w:type="pct"/>
          </w:tcPr>
          <w:p w14:paraId="0B182382"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61C84540" w14:textId="77777777" w:rsidTr="00E35976">
        <w:tc>
          <w:tcPr>
            <w:tcW w:w="1447" w:type="pct"/>
          </w:tcPr>
          <w:p w14:paraId="639C035C"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Department of Treasury and Finance – Liquor and Gaming Branch</w:t>
            </w:r>
          </w:p>
        </w:tc>
        <w:tc>
          <w:tcPr>
            <w:tcW w:w="991" w:type="pct"/>
          </w:tcPr>
          <w:p w14:paraId="7339CC51"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 xml:space="preserve">Melissa Ford </w:t>
            </w:r>
          </w:p>
        </w:tc>
        <w:tc>
          <w:tcPr>
            <w:tcW w:w="545" w:type="pct"/>
          </w:tcPr>
          <w:p w14:paraId="0B602ED9"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545" w:type="pct"/>
          </w:tcPr>
          <w:p w14:paraId="03F1F235"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92" w:type="pct"/>
          </w:tcPr>
          <w:p w14:paraId="73E597A5"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t>-</w:t>
            </w:r>
          </w:p>
        </w:tc>
        <w:tc>
          <w:tcPr>
            <w:tcW w:w="492" w:type="pct"/>
          </w:tcPr>
          <w:p w14:paraId="49F77E37"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89" w:type="pct"/>
          </w:tcPr>
          <w:p w14:paraId="36B1E5C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7F34FE9B" w14:textId="77777777" w:rsidTr="00E35976">
        <w:tc>
          <w:tcPr>
            <w:tcW w:w="1447" w:type="pct"/>
          </w:tcPr>
          <w:p w14:paraId="5B15992A"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Department of Justice</w:t>
            </w:r>
          </w:p>
        </w:tc>
        <w:tc>
          <w:tcPr>
            <w:tcW w:w="991" w:type="pct"/>
          </w:tcPr>
          <w:p w14:paraId="66A1D631"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 xml:space="preserve">Nick Evans </w:t>
            </w:r>
          </w:p>
        </w:tc>
        <w:tc>
          <w:tcPr>
            <w:tcW w:w="545" w:type="pct"/>
          </w:tcPr>
          <w:p w14:paraId="69A31241"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545" w:type="pct"/>
          </w:tcPr>
          <w:p w14:paraId="30003C81"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t>-</w:t>
            </w:r>
          </w:p>
        </w:tc>
        <w:tc>
          <w:tcPr>
            <w:tcW w:w="492" w:type="pct"/>
          </w:tcPr>
          <w:p w14:paraId="141DE221"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5978C77B"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89" w:type="pct"/>
          </w:tcPr>
          <w:p w14:paraId="09899C11"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4D670BA9" w14:textId="77777777" w:rsidTr="00E35976">
        <w:tc>
          <w:tcPr>
            <w:tcW w:w="1447" w:type="pct"/>
          </w:tcPr>
          <w:p w14:paraId="2F18769F"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Department of Education</w:t>
            </w:r>
          </w:p>
        </w:tc>
        <w:tc>
          <w:tcPr>
            <w:tcW w:w="991" w:type="pct"/>
          </w:tcPr>
          <w:p w14:paraId="588B8468"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Suzanne Pennicott-Jones/Nadine Davey/ Mark Sivills</w:t>
            </w:r>
          </w:p>
        </w:tc>
        <w:tc>
          <w:tcPr>
            <w:tcW w:w="545" w:type="pct"/>
          </w:tcPr>
          <w:p w14:paraId="7B637107"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545" w:type="pct"/>
          </w:tcPr>
          <w:p w14:paraId="30F42549"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21473238"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435E59DF"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89" w:type="pct"/>
          </w:tcPr>
          <w:p w14:paraId="15AA9D7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50D93AF1" w14:textId="77777777" w:rsidTr="00E35976">
        <w:tc>
          <w:tcPr>
            <w:tcW w:w="1447" w:type="pct"/>
          </w:tcPr>
          <w:p w14:paraId="053725CB"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Department of Premier and Cabinet – Policy Division</w:t>
            </w:r>
          </w:p>
        </w:tc>
        <w:tc>
          <w:tcPr>
            <w:tcW w:w="991" w:type="pct"/>
          </w:tcPr>
          <w:p w14:paraId="2FB19698"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Andrew Rayner</w:t>
            </w:r>
          </w:p>
        </w:tc>
        <w:tc>
          <w:tcPr>
            <w:tcW w:w="545" w:type="pct"/>
          </w:tcPr>
          <w:p w14:paraId="4AEB0163" w14:textId="77777777" w:rsidR="002D3EEA" w:rsidRPr="00E35976" w:rsidRDefault="002D3EEA" w:rsidP="005D5D81">
            <w:pPr>
              <w:widowControl w:val="0"/>
              <w:rPr>
                <w:rFonts w:ascii="Gill Sans MT" w:hAnsi="Gill Sans MT"/>
              </w:rPr>
            </w:pPr>
            <w:r w:rsidRPr="00E35976">
              <w:rPr>
                <w:rFonts w:ascii="Gill Sans MT" w:hAnsi="Gill Sans MT"/>
              </w:rPr>
              <w:t>-</w:t>
            </w:r>
          </w:p>
        </w:tc>
        <w:tc>
          <w:tcPr>
            <w:tcW w:w="545" w:type="pct"/>
          </w:tcPr>
          <w:p w14:paraId="34A10756"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20A335F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92" w:type="pct"/>
          </w:tcPr>
          <w:p w14:paraId="30597E99"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489" w:type="pct"/>
          </w:tcPr>
          <w:p w14:paraId="745A8CD2"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6A327873" w14:textId="77777777" w:rsidTr="00E35976">
        <w:tc>
          <w:tcPr>
            <w:tcW w:w="1447" w:type="pct"/>
          </w:tcPr>
          <w:p w14:paraId="38B703B2"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The Alcohol, Tobacco and Other Drugs Council (ATDC)</w:t>
            </w:r>
          </w:p>
        </w:tc>
        <w:tc>
          <w:tcPr>
            <w:tcW w:w="991" w:type="pct"/>
          </w:tcPr>
          <w:p w14:paraId="60159CD4"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Debra Rabe/Jackie Hallam</w:t>
            </w:r>
          </w:p>
        </w:tc>
        <w:tc>
          <w:tcPr>
            <w:tcW w:w="545" w:type="pct"/>
          </w:tcPr>
          <w:p w14:paraId="382E50B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c>
          <w:tcPr>
            <w:tcW w:w="545" w:type="pct"/>
          </w:tcPr>
          <w:p w14:paraId="63DABB24"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92" w:type="pct"/>
          </w:tcPr>
          <w:p w14:paraId="594A454B"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92" w:type="pct"/>
          </w:tcPr>
          <w:p w14:paraId="115139B2"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89" w:type="pct"/>
          </w:tcPr>
          <w:p w14:paraId="741F2745"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r w:rsidR="002D3EEA" w:rsidRPr="00E35976" w14:paraId="032C524F" w14:textId="77777777" w:rsidTr="00E35976">
        <w:tblPrEx>
          <w:tblCellMar>
            <w:top w:w="0" w:type="dxa"/>
            <w:bottom w:w="0" w:type="dxa"/>
          </w:tblCellMar>
        </w:tblPrEx>
        <w:tc>
          <w:tcPr>
            <w:tcW w:w="1447" w:type="pct"/>
          </w:tcPr>
          <w:p w14:paraId="2D43D3AE"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Local Government Association of Tasmania (observer status)</w:t>
            </w:r>
          </w:p>
        </w:tc>
        <w:tc>
          <w:tcPr>
            <w:tcW w:w="991" w:type="pct"/>
          </w:tcPr>
          <w:p w14:paraId="1E1C9660" w14:textId="77777777" w:rsidR="002D3EEA" w:rsidRPr="00E35976" w:rsidRDefault="002D3EEA" w:rsidP="005D5D81">
            <w:pPr>
              <w:widowControl w:val="0"/>
              <w:rPr>
                <w:rFonts w:ascii="Gill Sans MT" w:hAnsi="Gill Sans MT" w:cs="Arial"/>
                <w:sz w:val="20"/>
                <w:szCs w:val="20"/>
              </w:rPr>
            </w:pPr>
            <w:r w:rsidRPr="00E35976">
              <w:rPr>
                <w:rFonts w:ascii="Gill Sans MT" w:hAnsi="Gill Sans MT" w:cs="Arial"/>
                <w:sz w:val="20"/>
                <w:szCs w:val="20"/>
              </w:rPr>
              <w:t>Penny Finlay</w:t>
            </w:r>
          </w:p>
        </w:tc>
        <w:tc>
          <w:tcPr>
            <w:tcW w:w="545" w:type="pct"/>
          </w:tcPr>
          <w:p w14:paraId="49C1A46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t>-</w:t>
            </w:r>
          </w:p>
        </w:tc>
        <w:tc>
          <w:tcPr>
            <w:tcW w:w="545" w:type="pct"/>
          </w:tcPr>
          <w:p w14:paraId="24CC36B2"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92" w:type="pct"/>
          </w:tcPr>
          <w:p w14:paraId="495AFE24"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t>-</w:t>
            </w:r>
          </w:p>
        </w:tc>
        <w:tc>
          <w:tcPr>
            <w:tcW w:w="492" w:type="pct"/>
          </w:tcPr>
          <w:p w14:paraId="42D47CC0" w14:textId="77777777" w:rsidR="002D3EEA" w:rsidRPr="00E35976" w:rsidRDefault="002D3EEA" w:rsidP="005D5D81">
            <w:pPr>
              <w:widowControl w:val="0"/>
              <w:rPr>
                <w:rFonts w:ascii="Gill Sans MT" w:hAnsi="Gill Sans MT"/>
                <w:bCs/>
                <w:sz w:val="20"/>
                <w:szCs w:val="20"/>
              </w:rPr>
            </w:pPr>
            <w:r w:rsidRPr="00E35976">
              <w:rPr>
                <w:rFonts w:ascii="Gill Sans MT" w:hAnsi="Gill Sans MT"/>
                <w:bCs/>
                <w:sz w:val="20"/>
                <w:szCs w:val="20"/>
              </w:rPr>
              <w:sym w:font="Wingdings" w:char="F0FC"/>
            </w:r>
          </w:p>
        </w:tc>
        <w:tc>
          <w:tcPr>
            <w:tcW w:w="489" w:type="pct"/>
          </w:tcPr>
          <w:p w14:paraId="6CC2AB23" w14:textId="77777777" w:rsidR="002D3EEA" w:rsidRPr="00E35976" w:rsidRDefault="002D3EEA" w:rsidP="005D5D81">
            <w:pPr>
              <w:widowControl w:val="0"/>
              <w:rPr>
                <w:rFonts w:ascii="Gill Sans MT" w:hAnsi="Gill Sans MT"/>
              </w:rPr>
            </w:pPr>
            <w:r w:rsidRPr="00E35976">
              <w:rPr>
                <w:rFonts w:ascii="Gill Sans MT" w:hAnsi="Gill Sans MT"/>
                <w:bCs/>
                <w:sz w:val="20"/>
                <w:szCs w:val="20"/>
              </w:rPr>
              <w:sym w:font="Wingdings" w:char="F0FC"/>
            </w:r>
          </w:p>
        </w:tc>
      </w:tr>
    </w:tbl>
    <w:p w14:paraId="7CE730C3" w14:textId="77777777" w:rsidR="00D034DA" w:rsidRPr="00E35976" w:rsidRDefault="00207486" w:rsidP="00B46215">
      <w:pPr>
        <w:pStyle w:val="Heading2"/>
        <w:rPr>
          <w:rFonts w:ascii="Gill Sans MT" w:hAnsi="Gill Sans MT"/>
        </w:rPr>
      </w:pPr>
      <w:bookmarkStart w:id="16" w:name="_Toc25584655"/>
      <w:r w:rsidRPr="00E35976">
        <w:rPr>
          <w:rFonts w:ascii="Gill Sans MT" w:hAnsi="Gill Sans MT"/>
        </w:rPr>
        <w:lastRenderedPageBreak/>
        <w:t xml:space="preserve">Key Achievements for </w:t>
      </w:r>
      <w:r w:rsidR="00C97FC9" w:rsidRPr="00E35976">
        <w:rPr>
          <w:rFonts w:ascii="Gill Sans MT" w:hAnsi="Gill Sans MT"/>
        </w:rPr>
        <w:t>2017-18</w:t>
      </w:r>
      <w:bookmarkEnd w:id="16"/>
    </w:p>
    <w:p w14:paraId="4C469AA8" w14:textId="50389419" w:rsidR="0043763B" w:rsidRPr="00E35976" w:rsidRDefault="0043763B" w:rsidP="00B46215">
      <w:pPr>
        <w:pStyle w:val="Heading3"/>
        <w:rPr>
          <w:rFonts w:ascii="Gill Sans MT" w:hAnsi="Gill Sans MT"/>
        </w:rPr>
      </w:pPr>
      <w:bookmarkStart w:id="17" w:name="_Toc25584656"/>
      <w:r w:rsidRPr="00E35976">
        <w:rPr>
          <w:rFonts w:ascii="Gill Sans MT" w:hAnsi="Gill Sans MT"/>
        </w:rPr>
        <w:t>Continuing to respond to the use of Ice in Tasmania</w:t>
      </w:r>
      <w:r w:rsidR="00613B49" w:rsidRPr="00E35976">
        <w:rPr>
          <w:rFonts w:ascii="Gill Sans MT" w:hAnsi="Gill Sans MT"/>
        </w:rPr>
        <w:t xml:space="preserve"> and contributing to the </w:t>
      </w:r>
      <w:r w:rsidR="005A6533" w:rsidRPr="00E35976">
        <w:rPr>
          <w:rFonts w:ascii="Gill Sans MT" w:hAnsi="Gill Sans MT"/>
        </w:rPr>
        <w:t>NIAS</w:t>
      </w:r>
      <w:bookmarkEnd w:id="17"/>
    </w:p>
    <w:p w14:paraId="4BA7F593" w14:textId="66C1881B" w:rsidR="00272EEC" w:rsidRPr="00E35976" w:rsidRDefault="00272EEC" w:rsidP="00204862">
      <w:pPr>
        <w:keepNext/>
        <w:spacing w:after="140" w:line="300" w:lineRule="atLeast"/>
        <w:rPr>
          <w:rFonts w:ascii="Gill Sans MT" w:hAnsi="Gill Sans MT"/>
        </w:rPr>
      </w:pPr>
      <w:r w:rsidRPr="00E35976">
        <w:rPr>
          <w:rFonts w:ascii="Gill Sans MT" w:hAnsi="Gill Sans MT"/>
        </w:rPr>
        <w:t xml:space="preserve">The IAWGD continues to lead the Tasmanian response to the use of </w:t>
      </w:r>
      <w:r w:rsidR="00BC62E1" w:rsidRPr="00E35976">
        <w:rPr>
          <w:rFonts w:ascii="Gill Sans MT" w:hAnsi="Gill Sans MT"/>
        </w:rPr>
        <w:t>Ice</w:t>
      </w:r>
      <w:r w:rsidRPr="00E35976">
        <w:rPr>
          <w:rFonts w:ascii="Gill Sans MT" w:hAnsi="Gill Sans MT"/>
        </w:rPr>
        <w:t xml:space="preserve"> and contribute to national efforts</w:t>
      </w:r>
      <w:r w:rsidR="000C4018" w:rsidRPr="00E35976">
        <w:rPr>
          <w:rFonts w:ascii="Gill Sans MT" w:hAnsi="Gill Sans MT"/>
        </w:rPr>
        <w:t xml:space="preserve"> to address its use</w:t>
      </w:r>
      <w:r w:rsidRPr="00E35976">
        <w:rPr>
          <w:rFonts w:ascii="Gill Sans MT" w:hAnsi="Gill Sans MT"/>
        </w:rPr>
        <w:t>.</w:t>
      </w:r>
    </w:p>
    <w:p w14:paraId="0584DA61" w14:textId="7BBC32CA" w:rsidR="00275346" w:rsidRPr="00E35976" w:rsidRDefault="00275346" w:rsidP="00204862">
      <w:pPr>
        <w:keepNext/>
        <w:spacing w:after="140" w:line="300" w:lineRule="atLeast"/>
        <w:rPr>
          <w:rFonts w:ascii="Gill Sans MT" w:hAnsi="Gill Sans MT"/>
        </w:rPr>
      </w:pPr>
      <w:r w:rsidRPr="00E35976">
        <w:rPr>
          <w:rFonts w:ascii="Gill Sans MT" w:hAnsi="Gill Sans MT"/>
        </w:rPr>
        <w:t xml:space="preserve">During </w:t>
      </w:r>
      <w:r w:rsidR="00C97FC9" w:rsidRPr="00E35976">
        <w:rPr>
          <w:rFonts w:ascii="Gill Sans MT" w:hAnsi="Gill Sans MT"/>
        </w:rPr>
        <w:t>2017-18</w:t>
      </w:r>
      <w:r w:rsidRPr="00E35976">
        <w:rPr>
          <w:rFonts w:ascii="Gill Sans MT" w:hAnsi="Gill Sans MT"/>
        </w:rPr>
        <w:t>, the following occurred:</w:t>
      </w:r>
    </w:p>
    <w:p w14:paraId="54BA63C6" w14:textId="77777777" w:rsidR="005F1387" w:rsidRPr="00E35976" w:rsidRDefault="005F1387" w:rsidP="00204862">
      <w:pPr>
        <w:pStyle w:val="ListParagraph"/>
        <w:keepNext/>
        <w:numPr>
          <w:ilvl w:val="0"/>
          <w:numId w:val="6"/>
        </w:numPr>
        <w:spacing w:after="140" w:line="300" w:lineRule="atLeast"/>
        <w:contextualSpacing w:val="0"/>
        <w:rPr>
          <w:rFonts w:ascii="Gill Sans MT" w:hAnsi="Gill Sans MT"/>
        </w:rPr>
      </w:pPr>
      <w:r w:rsidRPr="00E35976">
        <w:rPr>
          <w:rFonts w:ascii="Gill Sans MT" w:hAnsi="Gill Sans MT"/>
        </w:rPr>
        <w:t xml:space="preserve">The </w:t>
      </w:r>
      <w:r w:rsidRPr="00E35976">
        <w:rPr>
          <w:rFonts w:ascii="Gill Sans MT" w:hAnsi="Gill Sans MT"/>
          <w:i/>
        </w:rPr>
        <w:t>Sentencing Act 1997</w:t>
      </w:r>
      <w:r w:rsidRPr="00E35976">
        <w:rPr>
          <w:rFonts w:ascii="Gill Sans MT" w:hAnsi="Gill Sans MT"/>
        </w:rPr>
        <w:t xml:space="preserve"> was amended to allow offenders who appear before the Supreme Court and whose offending is linked to illicit drug use to be eligible for the Court Mandated Drug Diversion program managed through the Magistrates Court.  These legislative amendments make more people eligible for the program and widen the pool of those who can be treated for illicit drug use.  </w:t>
      </w:r>
      <w:r w:rsidR="00446F22" w:rsidRPr="00E35976">
        <w:rPr>
          <w:rFonts w:ascii="Gill Sans MT" w:hAnsi="Gill Sans MT"/>
        </w:rPr>
        <w:t>The amendments</w:t>
      </w:r>
      <w:r w:rsidRPr="00E35976">
        <w:rPr>
          <w:rFonts w:ascii="Gill Sans MT" w:hAnsi="Gill Sans MT"/>
        </w:rPr>
        <w:t xml:space="preserve"> </w:t>
      </w:r>
      <w:r w:rsidR="00BC62E1" w:rsidRPr="00E35976">
        <w:rPr>
          <w:rFonts w:ascii="Gill Sans MT" w:hAnsi="Gill Sans MT"/>
        </w:rPr>
        <w:t xml:space="preserve">were discussed in the 2016-17 IAWGD Annual Report and </w:t>
      </w:r>
      <w:r w:rsidRPr="00E35976">
        <w:rPr>
          <w:rFonts w:ascii="Gill Sans MT" w:hAnsi="Gill Sans MT"/>
        </w:rPr>
        <w:t xml:space="preserve">commenced </w:t>
      </w:r>
      <w:r w:rsidR="00BC62E1" w:rsidRPr="00E35976">
        <w:rPr>
          <w:rFonts w:ascii="Gill Sans MT" w:hAnsi="Gill Sans MT"/>
        </w:rPr>
        <w:t xml:space="preserve">in </w:t>
      </w:r>
      <w:r w:rsidRPr="00E35976">
        <w:rPr>
          <w:rFonts w:ascii="Gill Sans MT" w:hAnsi="Gill Sans MT"/>
        </w:rPr>
        <w:t>February 2017.</w:t>
      </w:r>
      <w:r w:rsidR="00BC62E1" w:rsidRPr="00E35976">
        <w:rPr>
          <w:rFonts w:ascii="Gill Sans MT" w:hAnsi="Gill Sans MT"/>
        </w:rPr>
        <w:t xml:space="preserve"> </w:t>
      </w:r>
    </w:p>
    <w:p w14:paraId="0D92870A" w14:textId="77777777" w:rsidR="005F1387" w:rsidRPr="00E35976" w:rsidRDefault="005F1387" w:rsidP="00204862">
      <w:pPr>
        <w:pStyle w:val="ListParagraph"/>
        <w:keepNext/>
        <w:numPr>
          <w:ilvl w:val="0"/>
          <w:numId w:val="6"/>
        </w:numPr>
        <w:spacing w:after="140" w:line="300" w:lineRule="atLeast"/>
        <w:contextualSpacing w:val="0"/>
        <w:rPr>
          <w:rFonts w:ascii="Gill Sans MT" w:hAnsi="Gill Sans MT"/>
        </w:rPr>
      </w:pPr>
      <w:r w:rsidRPr="00E35976">
        <w:rPr>
          <w:rFonts w:ascii="Gill Sans MT" w:hAnsi="Gill Sans MT"/>
        </w:rPr>
        <w:t>Tasmania Police continued to work with the Office of the Director of Public Prosecutions on matters of unexplained wealth, as part of efforts to disrupt organised criminal activity.</w:t>
      </w:r>
      <w:r w:rsidR="00DD53FD" w:rsidRPr="00E35976">
        <w:rPr>
          <w:rFonts w:ascii="Gill Sans MT" w:hAnsi="Gill Sans MT"/>
        </w:rPr>
        <w:t xml:space="preserve">  </w:t>
      </w:r>
    </w:p>
    <w:p w14:paraId="49533185" w14:textId="7DF56BC3" w:rsidR="00CF0049" w:rsidRPr="00E35976" w:rsidRDefault="00CF0049" w:rsidP="00204862">
      <w:pPr>
        <w:pStyle w:val="ListParagraph"/>
        <w:keepNext/>
        <w:numPr>
          <w:ilvl w:val="0"/>
          <w:numId w:val="6"/>
        </w:numPr>
        <w:shd w:val="clear" w:color="auto" w:fill="FFFFFF"/>
        <w:spacing w:after="140" w:line="300" w:lineRule="atLeast"/>
        <w:ind w:left="357" w:hanging="357"/>
        <w:contextualSpacing w:val="0"/>
        <w:rPr>
          <w:rFonts w:ascii="Gill Sans MT" w:eastAsia="Times New Roman" w:hAnsi="Gill Sans MT" w:cs="Times New Roman"/>
          <w:color w:val="000000"/>
          <w:lang w:eastAsia="en-AU"/>
        </w:rPr>
      </w:pPr>
      <w:r w:rsidRPr="00E35976">
        <w:rPr>
          <w:rFonts w:ascii="Gill Sans MT" w:hAnsi="Gill Sans MT"/>
        </w:rPr>
        <w:t xml:space="preserve">Tasmania Police progressed legislative reforms to increase control over the presence and identification of organised criminal groups. In September 2017, the </w:t>
      </w:r>
      <w:r w:rsidRPr="00E35976">
        <w:rPr>
          <w:rFonts w:ascii="Gill Sans MT" w:hAnsi="Gill Sans MT"/>
          <w:i/>
        </w:rPr>
        <w:t>Removal of Fortifications Act 2017</w:t>
      </w:r>
      <w:r w:rsidRPr="00E35976">
        <w:rPr>
          <w:rFonts w:ascii="Gill Sans MT" w:hAnsi="Gill Sans MT"/>
        </w:rPr>
        <w:t xml:space="preserve"> was introduced to provide for the removal, modification, or fortifications from premises used by organised crime in furtherance of criminal enterprises.  The introduction of legislation to target consorting and prohibited insignia of organised crime groups </w:t>
      </w:r>
      <w:r w:rsidR="00D93867" w:rsidRPr="00E35976">
        <w:rPr>
          <w:rFonts w:ascii="Gill Sans MT" w:hAnsi="Gill Sans MT"/>
        </w:rPr>
        <w:t xml:space="preserve">came into effect in </w:t>
      </w:r>
      <w:r w:rsidRPr="00E35976">
        <w:rPr>
          <w:rFonts w:ascii="Gill Sans MT" w:hAnsi="Gill Sans MT"/>
        </w:rPr>
        <w:t>2018.</w:t>
      </w:r>
    </w:p>
    <w:p w14:paraId="179F9F93" w14:textId="25CDCF4D" w:rsidR="00CF0049" w:rsidRPr="00E35976" w:rsidRDefault="00CF0049" w:rsidP="00204862">
      <w:pPr>
        <w:pStyle w:val="ListParagraph"/>
        <w:keepNext/>
        <w:numPr>
          <w:ilvl w:val="0"/>
          <w:numId w:val="6"/>
        </w:numPr>
        <w:shd w:val="clear" w:color="auto" w:fill="FFFFFF"/>
        <w:spacing w:after="140" w:line="300" w:lineRule="atLeast"/>
        <w:contextualSpacing w:val="0"/>
        <w:rPr>
          <w:rFonts w:ascii="Gill Sans MT" w:eastAsia="Times New Roman" w:hAnsi="Gill Sans MT" w:cs="Times New Roman"/>
          <w:color w:val="000000"/>
          <w:lang w:eastAsia="en-AU"/>
        </w:rPr>
      </w:pPr>
      <w:r w:rsidRPr="00E35976">
        <w:rPr>
          <w:rFonts w:ascii="Gill Sans MT" w:hAnsi="Gill Sans MT"/>
        </w:rPr>
        <w:t xml:space="preserve">An independent review of Part 9 of the </w:t>
      </w:r>
      <w:r w:rsidRPr="00E35976">
        <w:rPr>
          <w:rFonts w:ascii="Gill Sans MT" w:hAnsi="Gill Sans MT"/>
          <w:i/>
        </w:rPr>
        <w:t>Crime (Confiscation of Profits) Act 1993</w:t>
      </w:r>
      <w:r w:rsidRPr="00E35976">
        <w:rPr>
          <w:rFonts w:ascii="Gill Sans MT" w:hAnsi="Gill Sans MT"/>
        </w:rPr>
        <w:t xml:space="preserve"> has commenced. </w:t>
      </w:r>
      <w:r w:rsidRPr="00E35976">
        <w:rPr>
          <w:rFonts w:ascii="Gill Sans MT" w:eastAsia="Times New Roman" w:hAnsi="Gill Sans MT" w:cs="Times New Roman"/>
          <w:color w:val="000000"/>
          <w:lang w:eastAsia="en-AU"/>
        </w:rPr>
        <w:t>The intention of Part 9 of the Act is</w:t>
      </w:r>
      <w:r w:rsidR="005D55B9" w:rsidRPr="00E35976">
        <w:rPr>
          <w:rFonts w:ascii="Gill Sans MT" w:eastAsia="Times New Roman" w:hAnsi="Gill Sans MT" w:cs="Times New Roman"/>
          <w:color w:val="000000"/>
          <w:lang w:eastAsia="en-AU"/>
        </w:rPr>
        <w:t xml:space="preserve"> to</w:t>
      </w:r>
      <w:r w:rsidRPr="00E35976">
        <w:rPr>
          <w:rFonts w:ascii="Gill Sans MT" w:eastAsia="Times New Roman" w:hAnsi="Gill Sans MT" w:cs="Times New Roman"/>
          <w:color w:val="000000"/>
          <w:lang w:eastAsia="en-AU"/>
        </w:rPr>
        <w:t>:</w:t>
      </w:r>
    </w:p>
    <w:p w14:paraId="61B97F3A" w14:textId="1F95443C" w:rsidR="007B0AC9" w:rsidRPr="00E35976" w:rsidRDefault="007B0AC9" w:rsidP="00ED4612">
      <w:pPr>
        <w:pStyle w:val="ListParagraph"/>
        <w:keepNext/>
        <w:numPr>
          <w:ilvl w:val="0"/>
          <w:numId w:val="15"/>
        </w:numPr>
        <w:shd w:val="clear" w:color="auto" w:fill="FFFFFF"/>
        <w:spacing w:after="140" w:line="300" w:lineRule="atLeast"/>
        <w:ind w:left="1134" w:hanging="567"/>
        <w:rPr>
          <w:rFonts w:ascii="Gill Sans MT" w:eastAsia="Times New Roman" w:hAnsi="Gill Sans MT" w:cs="Times New Roman"/>
          <w:color w:val="000000"/>
          <w:lang w:eastAsia="en-AU"/>
        </w:rPr>
      </w:pPr>
      <w:r w:rsidRPr="00E35976">
        <w:rPr>
          <w:rFonts w:ascii="Gill Sans MT" w:eastAsia="Times New Roman" w:hAnsi="Gill Sans MT" w:cs="Times New Roman"/>
          <w:color w:val="000000"/>
          <w:lang w:eastAsia="en-AU"/>
        </w:rPr>
        <w:t>deter organised crime by targeting ‘profit’ and removing the funds which would otherwise be available for use in further criminal activities;</w:t>
      </w:r>
    </w:p>
    <w:p w14:paraId="2452B016" w14:textId="3C6766D9" w:rsidR="00ED4612" w:rsidRPr="00E35976" w:rsidRDefault="00ED4612" w:rsidP="00ED4612">
      <w:pPr>
        <w:pStyle w:val="ListParagraph"/>
        <w:keepNext/>
        <w:numPr>
          <w:ilvl w:val="0"/>
          <w:numId w:val="15"/>
        </w:numPr>
        <w:shd w:val="clear" w:color="auto" w:fill="FFFFFF"/>
        <w:spacing w:after="140" w:line="300" w:lineRule="atLeast"/>
        <w:ind w:left="1134" w:hanging="567"/>
        <w:rPr>
          <w:rFonts w:ascii="Gill Sans MT" w:eastAsia="Times New Roman" w:hAnsi="Gill Sans MT" w:cs="Times New Roman"/>
          <w:color w:val="000000"/>
          <w:lang w:eastAsia="en-AU"/>
        </w:rPr>
      </w:pPr>
      <w:r w:rsidRPr="00E35976">
        <w:rPr>
          <w:rFonts w:ascii="Gill Sans MT" w:eastAsia="Times New Roman" w:hAnsi="Gill Sans MT" w:cs="Times New Roman"/>
          <w:color w:val="000000"/>
          <w:lang w:eastAsia="en-AU"/>
        </w:rPr>
        <w:t>target people who organise and derive profit from crime and whose wealth exceeds the value of their lawful earnings but who may be difficult to prosecute and convict of specific crime or offences;</w:t>
      </w:r>
    </w:p>
    <w:p w14:paraId="1339F192" w14:textId="65E15D62" w:rsidR="007B0AC9" w:rsidRPr="00E35976" w:rsidRDefault="007B0AC9" w:rsidP="00ED4612">
      <w:pPr>
        <w:pStyle w:val="ListParagraph"/>
        <w:keepNext/>
        <w:numPr>
          <w:ilvl w:val="0"/>
          <w:numId w:val="8"/>
        </w:numPr>
        <w:shd w:val="clear" w:color="auto" w:fill="FFFFFF"/>
        <w:spacing w:after="140" w:line="300" w:lineRule="atLeast"/>
        <w:ind w:left="1134" w:hanging="567"/>
        <w:rPr>
          <w:rFonts w:ascii="Gill Sans MT" w:eastAsia="Times New Roman" w:hAnsi="Gill Sans MT" w:cs="Times New Roman"/>
          <w:color w:val="000000"/>
          <w:lang w:eastAsia="en-AU"/>
        </w:rPr>
      </w:pPr>
      <w:r w:rsidRPr="00E35976">
        <w:rPr>
          <w:rFonts w:ascii="Gill Sans MT" w:eastAsia="Times New Roman" w:hAnsi="Gill Sans MT" w:cs="Times New Roman"/>
          <w:color w:val="000000"/>
          <w:lang w:eastAsia="en-AU"/>
        </w:rPr>
        <w:t>provide for unexplained wealth declarations to be made without having to prove that the respondent has engaged in specific criminal activity or prove a link between the commission of a specific offence and the person’s wealth;</w:t>
      </w:r>
    </w:p>
    <w:p w14:paraId="30F51CA5" w14:textId="11C86E8B" w:rsidR="007B0AC9" w:rsidRPr="00E35976" w:rsidRDefault="00ED4612" w:rsidP="00ED4612">
      <w:pPr>
        <w:pStyle w:val="ListParagraph"/>
        <w:keepNext/>
        <w:numPr>
          <w:ilvl w:val="0"/>
          <w:numId w:val="8"/>
        </w:numPr>
        <w:shd w:val="clear" w:color="auto" w:fill="FFFFFF"/>
        <w:spacing w:after="140" w:line="300" w:lineRule="atLeast"/>
        <w:ind w:left="1134" w:hanging="567"/>
        <w:rPr>
          <w:rFonts w:ascii="Gill Sans MT" w:eastAsia="Times New Roman" w:hAnsi="Gill Sans MT" w:cs="Times New Roman"/>
          <w:color w:val="000000"/>
          <w:lang w:eastAsia="en-AU"/>
        </w:rPr>
      </w:pPr>
      <w:r w:rsidRPr="00E35976">
        <w:rPr>
          <w:rFonts w:ascii="Gill Sans MT" w:eastAsia="Times New Roman" w:hAnsi="Gill Sans MT" w:cs="Times New Roman"/>
          <w:color w:val="000000"/>
          <w:lang w:eastAsia="en-AU"/>
        </w:rPr>
        <w:t xml:space="preserve">introduce </w:t>
      </w:r>
      <w:r w:rsidR="007B0AC9" w:rsidRPr="00E35976">
        <w:rPr>
          <w:rFonts w:ascii="Gill Sans MT" w:eastAsia="Times New Roman" w:hAnsi="Gill Sans MT" w:cs="Times New Roman"/>
          <w:color w:val="000000"/>
          <w:lang w:eastAsia="en-AU"/>
        </w:rPr>
        <w:t>non-conviction based civil forfeiture laws involving a presumption that respondents have not lawfully acquired their wealth unless they prove otherwise.</w:t>
      </w:r>
    </w:p>
    <w:p w14:paraId="4658BF08" w14:textId="6808BAB1" w:rsidR="00A414CB" w:rsidRPr="00E35976" w:rsidRDefault="00A414CB" w:rsidP="00204862">
      <w:pPr>
        <w:pStyle w:val="GovHeading3"/>
        <w:keepNext/>
        <w:numPr>
          <w:ilvl w:val="0"/>
          <w:numId w:val="6"/>
        </w:numPr>
        <w:spacing w:before="0" w:after="140" w:line="300" w:lineRule="atLeast"/>
        <w:rPr>
          <w:rFonts w:ascii="Gill Sans MT" w:hAnsi="Gill Sans MT"/>
          <w:sz w:val="22"/>
          <w:szCs w:val="22"/>
          <w:lang w:val="en-AU"/>
        </w:rPr>
      </w:pPr>
      <w:r w:rsidRPr="00E35976">
        <w:rPr>
          <w:rFonts w:ascii="Gill Sans MT" w:hAnsi="Gill Sans MT"/>
          <w:sz w:val="22"/>
          <w:szCs w:val="22"/>
          <w:lang w:val="en-AU"/>
        </w:rPr>
        <w:t xml:space="preserve">The controlled drugs, plant and precursor schedules of the </w:t>
      </w:r>
      <w:r w:rsidRPr="00E35976">
        <w:rPr>
          <w:rFonts w:ascii="Gill Sans MT" w:hAnsi="Gill Sans MT"/>
          <w:i/>
          <w:iCs/>
          <w:sz w:val="22"/>
          <w:szCs w:val="22"/>
          <w:lang w:val="en-AU"/>
        </w:rPr>
        <w:t>Misuse of Drugs Act 2001</w:t>
      </w:r>
      <w:r w:rsidR="00446F22" w:rsidRPr="00E35976">
        <w:rPr>
          <w:rFonts w:ascii="Gill Sans MT" w:hAnsi="Gill Sans MT"/>
          <w:i/>
          <w:iCs/>
          <w:sz w:val="22"/>
          <w:szCs w:val="22"/>
          <w:lang w:val="en-AU"/>
        </w:rPr>
        <w:t>,</w:t>
      </w:r>
      <w:r w:rsidR="00446F22" w:rsidRPr="00E35976">
        <w:rPr>
          <w:rFonts w:ascii="Gill Sans MT" w:hAnsi="Gill Sans MT"/>
          <w:sz w:val="22"/>
          <w:szCs w:val="22"/>
          <w:lang w:val="en-AU"/>
        </w:rPr>
        <w:t xml:space="preserve"> </w:t>
      </w:r>
      <w:r w:rsidR="00834EBD" w:rsidRPr="00E35976">
        <w:rPr>
          <w:rFonts w:ascii="Gill Sans MT" w:hAnsi="Gill Sans MT"/>
          <w:sz w:val="22"/>
          <w:szCs w:val="22"/>
          <w:lang w:val="en-AU"/>
        </w:rPr>
        <w:t>administered by</w:t>
      </w:r>
      <w:r w:rsidR="00BC62E1" w:rsidRPr="00E35976">
        <w:rPr>
          <w:rFonts w:ascii="Gill Sans MT" w:hAnsi="Gill Sans MT"/>
          <w:sz w:val="22"/>
          <w:szCs w:val="22"/>
          <w:lang w:val="en-AU"/>
        </w:rPr>
        <w:t xml:space="preserve"> </w:t>
      </w:r>
      <w:r w:rsidR="004D2930" w:rsidRPr="00E35976">
        <w:rPr>
          <w:rFonts w:ascii="Gill Sans MT" w:hAnsi="Gill Sans MT"/>
          <w:sz w:val="22"/>
          <w:szCs w:val="22"/>
          <w:lang w:val="en-AU"/>
        </w:rPr>
        <w:t>DoJ</w:t>
      </w:r>
      <w:r w:rsidR="00DA7AA2" w:rsidRPr="00E35976">
        <w:rPr>
          <w:rFonts w:ascii="Gill Sans MT" w:hAnsi="Gill Sans MT"/>
          <w:sz w:val="22"/>
          <w:szCs w:val="22"/>
          <w:lang w:val="en-AU"/>
        </w:rPr>
        <w:t xml:space="preserve"> continues to be</w:t>
      </w:r>
      <w:r w:rsidRPr="00E35976">
        <w:rPr>
          <w:rFonts w:ascii="Gill Sans MT" w:hAnsi="Gill Sans MT"/>
          <w:sz w:val="22"/>
          <w:szCs w:val="22"/>
          <w:lang w:val="en-AU"/>
        </w:rPr>
        <w:t xml:space="preserve"> reviewed annually </w:t>
      </w:r>
      <w:r w:rsidR="00446F22" w:rsidRPr="00E35976">
        <w:rPr>
          <w:rFonts w:ascii="Gill Sans MT" w:hAnsi="Gill Sans MT"/>
          <w:sz w:val="22"/>
          <w:szCs w:val="22"/>
          <w:lang w:val="en-AU"/>
        </w:rPr>
        <w:t xml:space="preserve">by </w:t>
      </w:r>
      <w:r w:rsidR="00BC62E1" w:rsidRPr="00E35976">
        <w:rPr>
          <w:rFonts w:ascii="Gill Sans MT" w:hAnsi="Gill Sans MT"/>
          <w:sz w:val="22"/>
          <w:szCs w:val="22"/>
          <w:lang w:val="en-AU"/>
        </w:rPr>
        <w:t xml:space="preserve">the </w:t>
      </w:r>
      <w:r w:rsidR="004D2930" w:rsidRPr="00E35976">
        <w:rPr>
          <w:rFonts w:ascii="Gill Sans MT" w:hAnsi="Gill Sans MT"/>
          <w:sz w:val="22"/>
          <w:szCs w:val="22"/>
          <w:lang w:val="en-AU"/>
        </w:rPr>
        <w:t>DPFEM</w:t>
      </w:r>
      <w:r w:rsidR="00446F22" w:rsidRPr="00E35976">
        <w:rPr>
          <w:rFonts w:ascii="Gill Sans MT" w:hAnsi="Gill Sans MT"/>
          <w:sz w:val="22"/>
          <w:szCs w:val="22"/>
          <w:lang w:val="en-AU"/>
        </w:rPr>
        <w:t xml:space="preserve"> in conjunction with</w:t>
      </w:r>
      <w:r w:rsidR="00834EBD" w:rsidRPr="00E35976">
        <w:rPr>
          <w:rFonts w:ascii="Gill Sans MT" w:hAnsi="Gill Sans MT"/>
          <w:sz w:val="22"/>
          <w:szCs w:val="22"/>
          <w:lang w:val="en-AU"/>
        </w:rPr>
        <w:t xml:space="preserve"> </w:t>
      </w:r>
      <w:r w:rsidR="00253AC6" w:rsidRPr="00E35976">
        <w:rPr>
          <w:rFonts w:ascii="Gill Sans MT" w:hAnsi="Gill Sans MT"/>
          <w:sz w:val="22"/>
          <w:szCs w:val="22"/>
          <w:lang w:val="en-AU"/>
        </w:rPr>
        <w:t>D</w:t>
      </w:r>
      <w:r w:rsidR="00BC62E1" w:rsidRPr="00E35976">
        <w:rPr>
          <w:rFonts w:ascii="Gill Sans MT" w:hAnsi="Gill Sans MT"/>
          <w:sz w:val="22"/>
          <w:szCs w:val="22"/>
          <w:lang w:val="en-AU"/>
        </w:rPr>
        <w:t>o</w:t>
      </w:r>
      <w:r w:rsidR="00253AC6" w:rsidRPr="00E35976">
        <w:rPr>
          <w:rFonts w:ascii="Gill Sans MT" w:hAnsi="Gill Sans MT"/>
          <w:sz w:val="22"/>
          <w:szCs w:val="22"/>
          <w:lang w:val="en-AU"/>
        </w:rPr>
        <w:t>H</w:t>
      </w:r>
      <w:r w:rsidRPr="00E35976">
        <w:rPr>
          <w:rFonts w:ascii="Gill Sans MT" w:hAnsi="Gill Sans MT"/>
          <w:sz w:val="22"/>
          <w:szCs w:val="22"/>
          <w:lang w:val="en-AU"/>
        </w:rPr>
        <w:t>, Forensic Science Service Tasmania and other relevant stakeholders.</w:t>
      </w:r>
    </w:p>
    <w:p w14:paraId="55A56E9F" w14:textId="77777777" w:rsidR="005C3332" w:rsidRPr="00E35976" w:rsidRDefault="005C3332" w:rsidP="00B46215">
      <w:pPr>
        <w:pStyle w:val="Heading3"/>
        <w:rPr>
          <w:rFonts w:ascii="Gill Sans MT" w:hAnsi="Gill Sans MT"/>
        </w:rPr>
      </w:pPr>
      <w:bookmarkStart w:id="18" w:name="_Toc25584657"/>
      <w:r w:rsidRPr="00E35976">
        <w:rPr>
          <w:rFonts w:ascii="Gill Sans MT" w:hAnsi="Gill Sans MT"/>
        </w:rPr>
        <w:t>N</w:t>
      </w:r>
      <w:r w:rsidR="005D55B9" w:rsidRPr="00E35976">
        <w:rPr>
          <w:rFonts w:ascii="Gill Sans MT" w:hAnsi="Gill Sans MT"/>
        </w:rPr>
        <w:t xml:space="preserve">orth </w:t>
      </w:r>
      <w:r w:rsidRPr="00E35976">
        <w:rPr>
          <w:rFonts w:ascii="Gill Sans MT" w:hAnsi="Gill Sans MT"/>
        </w:rPr>
        <w:t>W</w:t>
      </w:r>
      <w:r w:rsidR="005D55B9" w:rsidRPr="00E35976">
        <w:rPr>
          <w:rFonts w:ascii="Gill Sans MT" w:hAnsi="Gill Sans MT"/>
        </w:rPr>
        <w:t>est</w:t>
      </w:r>
      <w:r w:rsidRPr="00E35976">
        <w:rPr>
          <w:rFonts w:ascii="Gill Sans MT" w:hAnsi="Gill Sans MT"/>
        </w:rPr>
        <w:t xml:space="preserve"> Review Report recommendations</w:t>
      </w:r>
      <w:bookmarkEnd w:id="18"/>
    </w:p>
    <w:p w14:paraId="4691A600" w14:textId="12468F67" w:rsidR="00BB799A" w:rsidRPr="00E35976" w:rsidRDefault="001B59AF" w:rsidP="00204862">
      <w:pPr>
        <w:pStyle w:val="ListBullet"/>
        <w:keepNext/>
      </w:pPr>
      <w:r w:rsidRPr="00E35976">
        <w:rPr>
          <w:szCs w:val="22"/>
        </w:rPr>
        <w:t xml:space="preserve">In response to the recommendations of the </w:t>
      </w:r>
      <w:r w:rsidR="00925BEA" w:rsidRPr="00E35976">
        <w:rPr>
          <w:szCs w:val="22"/>
        </w:rPr>
        <w:t>2014</w:t>
      </w:r>
      <w:r w:rsidR="00BB799A" w:rsidRPr="00E35976">
        <w:rPr>
          <w:szCs w:val="22"/>
        </w:rPr>
        <w:t xml:space="preserve"> </w:t>
      </w:r>
      <w:r w:rsidR="00BB799A" w:rsidRPr="00E35976">
        <w:rPr>
          <w:i/>
          <w:szCs w:val="22"/>
        </w:rPr>
        <w:t xml:space="preserve">Review of Drug Use and Service Responses in North West Tasmania </w:t>
      </w:r>
      <w:r w:rsidR="00BB799A" w:rsidRPr="00E35976">
        <w:rPr>
          <w:szCs w:val="22"/>
        </w:rPr>
        <w:t>final report (NW Review Report</w:t>
      </w:r>
      <w:r w:rsidR="00127840" w:rsidRPr="00E35976">
        <w:rPr>
          <w:szCs w:val="22"/>
        </w:rPr>
        <w:t>),</w:t>
      </w:r>
      <w:r w:rsidR="00446F22" w:rsidRPr="00E35976">
        <w:t xml:space="preserve"> </w:t>
      </w:r>
      <w:r w:rsidR="00925BEA" w:rsidRPr="00E35976">
        <w:t xml:space="preserve">in </w:t>
      </w:r>
      <w:r w:rsidR="00C97FC9" w:rsidRPr="00E35976">
        <w:t>2017-18</w:t>
      </w:r>
      <w:r w:rsidR="00BB799A" w:rsidRPr="00E35976">
        <w:t xml:space="preserve">, Siggins Miller Consultants Pty Ltd </w:t>
      </w:r>
      <w:r w:rsidR="00BC62E1" w:rsidRPr="00E35976">
        <w:t xml:space="preserve">was </w:t>
      </w:r>
      <w:r w:rsidR="00BB799A" w:rsidRPr="00E35976">
        <w:t>engaged</w:t>
      </w:r>
      <w:r w:rsidR="00204862" w:rsidRPr="00E35976">
        <w:t>,</w:t>
      </w:r>
      <w:r w:rsidR="001A4B11" w:rsidRPr="00E35976">
        <w:t xml:space="preserve"> </w:t>
      </w:r>
      <w:r w:rsidRPr="00E35976">
        <w:t>and completed</w:t>
      </w:r>
      <w:r w:rsidR="005D55B9" w:rsidRPr="00E35976">
        <w:t xml:space="preserve"> an</w:t>
      </w:r>
      <w:r w:rsidRPr="00E35976">
        <w:t xml:space="preserve"> internal review on current alcohol and other drugs treatment services in Tasmania.  </w:t>
      </w:r>
      <w:r w:rsidR="00D93867" w:rsidRPr="00E35976">
        <w:t xml:space="preserve">The final report was delivered in June 2017 which identified areas for improvement and these actions are informing the development of the Alcohol and Other Drugs Service System Framework. </w:t>
      </w:r>
    </w:p>
    <w:p w14:paraId="33FB8601" w14:textId="77777777" w:rsidR="005D5D81" w:rsidRPr="00E35976" w:rsidRDefault="005D5D81" w:rsidP="005D5D81">
      <w:pPr>
        <w:pStyle w:val="Heading3"/>
        <w:keepNext w:val="0"/>
        <w:keepLines w:val="0"/>
        <w:widowControl w:val="0"/>
        <w:rPr>
          <w:rFonts w:ascii="Gill Sans MT" w:hAnsi="Gill Sans MT"/>
        </w:rPr>
      </w:pPr>
    </w:p>
    <w:p w14:paraId="1EA9EF4B" w14:textId="4AA84212" w:rsidR="00E824DA" w:rsidRPr="00E35976" w:rsidRDefault="00E824DA" w:rsidP="00B46215">
      <w:pPr>
        <w:pStyle w:val="Heading3"/>
        <w:rPr>
          <w:rFonts w:ascii="Gill Sans MT" w:hAnsi="Gill Sans MT"/>
        </w:rPr>
      </w:pPr>
      <w:bookmarkStart w:id="19" w:name="_Toc25584658"/>
      <w:r w:rsidRPr="00E35976">
        <w:rPr>
          <w:rFonts w:ascii="Gill Sans MT" w:hAnsi="Gill Sans MT"/>
        </w:rPr>
        <w:lastRenderedPageBreak/>
        <w:t>Alcohol and Other Drugs Service System Framework</w:t>
      </w:r>
      <w:bookmarkEnd w:id="19"/>
    </w:p>
    <w:p w14:paraId="784DC418" w14:textId="25965282" w:rsidR="00F5052F" w:rsidRPr="00E35976" w:rsidRDefault="00925BEA" w:rsidP="00204862">
      <w:pPr>
        <w:keepNext/>
        <w:spacing w:after="140" w:line="300" w:lineRule="atLeast"/>
        <w:rPr>
          <w:rFonts w:ascii="Gill Sans MT" w:hAnsi="Gill Sans MT"/>
        </w:rPr>
      </w:pPr>
      <w:r w:rsidRPr="00E35976">
        <w:rPr>
          <w:rFonts w:ascii="Gill Sans MT" w:hAnsi="Gill Sans MT"/>
        </w:rPr>
        <w:t xml:space="preserve">The development of the </w:t>
      </w:r>
      <w:r w:rsidR="00AF46CF" w:rsidRPr="00E35976">
        <w:rPr>
          <w:rFonts w:ascii="Gill Sans MT" w:hAnsi="Gill Sans MT"/>
        </w:rPr>
        <w:t>Alcohol and Other Drugs Service System Framework</w:t>
      </w:r>
      <w:r w:rsidR="001E6319" w:rsidRPr="00E35976">
        <w:rPr>
          <w:rFonts w:ascii="Gill Sans MT" w:hAnsi="Gill Sans MT"/>
        </w:rPr>
        <w:t xml:space="preserve"> </w:t>
      </w:r>
      <w:r w:rsidR="00F97E38" w:rsidRPr="00E35976">
        <w:rPr>
          <w:rFonts w:ascii="Gill Sans MT" w:hAnsi="Gill Sans MT"/>
        </w:rPr>
        <w:t>has</w:t>
      </w:r>
      <w:r w:rsidRPr="00E35976">
        <w:rPr>
          <w:rFonts w:ascii="Gill Sans MT" w:hAnsi="Gill Sans MT"/>
        </w:rPr>
        <w:t xml:space="preserve"> been informed largely by the </w:t>
      </w:r>
      <w:r w:rsidR="00F72190" w:rsidRPr="00E35976">
        <w:rPr>
          <w:rFonts w:ascii="Gill Sans MT" w:hAnsi="Gill Sans MT"/>
        </w:rPr>
        <w:t>work</w:t>
      </w:r>
      <w:r w:rsidRPr="00E35976">
        <w:rPr>
          <w:rFonts w:ascii="Gill Sans MT" w:hAnsi="Gill Sans MT"/>
        </w:rPr>
        <w:t xml:space="preserve"> of Siggins Miller. </w:t>
      </w:r>
      <w:r w:rsidR="00F72190" w:rsidRPr="00E35976">
        <w:rPr>
          <w:rFonts w:ascii="Gill Sans MT" w:hAnsi="Gill Sans MT"/>
        </w:rPr>
        <w:t xml:space="preserve">An </w:t>
      </w:r>
      <w:r w:rsidR="00AF46CF" w:rsidRPr="00E35976">
        <w:rPr>
          <w:rFonts w:ascii="Gill Sans MT" w:hAnsi="Gill Sans MT"/>
        </w:rPr>
        <w:t xml:space="preserve">advisory group, communications working group and drafting working group </w:t>
      </w:r>
      <w:r w:rsidR="00F72190" w:rsidRPr="00E35976">
        <w:rPr>
          <w:rFonts w:ascii="Gill Sans MT" w:hAnsi="Gill Sans MT"/>
        </w:rPr>
        <w:t xml:space="preserve">were all convened in 2017-18 </w:t>
      </w:r>
      <w:r w:rsidR="00F97E38" w:rsidRPr="00E35976">
        <w:rPr>
          <w:rFonts w:ascii="Gill Sans MT" w:hAnsi="Gill Sans MT"/>
        </w:rPr>
        <w:t>to inform this key project</w:t>
      </w:r>
      <w:r w:rsidR="00AF46CF" w:rsidRPr="00E35976">
        <w:rPr>
          <w:rFonts w:ascii="Gill Sans MT" w:hAnsi="Gill Sans MT"/>
        </w:rPr>
        <w:t>. The project</w:t>
      </w:r>
      <w:r w:rsidR="00F97E38" w:rsidRPr="00E35976">
        <w:rPr>
          <w:rFonts w:ascii="Gill Sans MT" w:hAnsi="Gill Sans MT"/>
        </w:rPr>
        <w:t xml:space="preserve"> is being led by the Mental Health, Alcohol and Drug Directorate </w:t>
      </w:r>
      <w:r w:rsidR="00AF46CF" w:rsidRPr="00E35976">
        <w:rPr>
          <w:rFonts w:ascii="Gill Sans MT" w:hAnsi="Gill Sans MT"/>
        </w:rPr>
        <w:t xml:space="preserve">who is </w:t>
      </w:r>
      <w:r w:rsidR="00F97E38" w:rsidRPr="00E35976">
        <w:rPr>
          <w:rFonts w:ascii="Gill Sans MT" w:hAnsi="Gill Sans MT"/>
        </w:rPr>
        <w:t xml:space="preserve">working closely with </w:t>
      </w:r>
      <w:r w:rsidR="005A6533" w:rsidRPr="00E35976">
        <w:rPr>
          <w:rFonts w:ascii="Gill Sans MT" w:hAnsi="Gill Sans MT"/>
        </w:rPr>
        <w:t>ATDC</w:t>
      </w:r>
      <w:r w:rsidR="00F97E38" w:rsidRPr="00E35976">
        <w:rPr>
          <w:rFonts w:ascii="Gill Sans MT" w:hAnsi="Gill Sans MT"/>
        </w:rPr>
        <w:t>, Primary Health Tasmania and the Tasmanian Health Service.</w:t>
      </w:r>
      <w:r w:rsidR="00F5052F" w:rsidRPr="00E35976">
        <w:rPr>
          <w:rFonts w:ascii="Gill Sans MT" w:hAnsi="Gill Sans MT"/>
        </w:rPr>
        <w:t xml:space="preserve">  </w:t>
      </w:r>
    </w:p>
    <w:p w14:paraId="5A68C13B" w14:textId="12E80D63" w:rsidR="00F5052F" w:rsidRPr="00E35976" w:rsidRDefault="00F5052F" w:rsidP="001E6319">
      <w:pPr>
        <w:keepNext/>
        <w:spacing w:after="140" w:line="300" w:lineRule="atLeast"/>
        <w:rPr>
          <w:rFonts w:ascii="Gill Sans MT" w:hAnsi="Gill Sans MT"/>
        </w:rPr>
      </w:pPr>
      <w:r w:rsidRPr="00E35976">
        <w:rPr>
          <w:rFonts w:ascii="Gill Sans MT" w:hAnsi="Gill Sans MT" w:cs="Times New Roman"/>
        </w:rPr>
        <w:t>The work of Siggins Miller also identified the need for more residential rehabilitation beds in Tasmania.  In the 201</w:t>
      </w:r>
      <w:r w:rsidR="00EA4556" w:rsidRPr="00E35976">
        <w:rPr>
          <w:rFonts w:ascii="Gill Sans MT" w:hAnsi="Gill Sans MT" w:cs="Times New Roman"/>
        </w:rPr>
        <w:t>8</w:t>
      </w:r>
      <w:r w:rsidRPr="00E35976">
        <w:rPr>
          <w:rFonts w:ascii="Gill Sans MT" w:hAnsi="Gill Sans MT" w:cs="Times New Roman"/>
        </w:rPr>
        <w:t xml:space="preserve"> </w:t>
      </w:r>
      <w:r w:rsidR="005A6533" w:rsidRPr="00E35976">
        <w:rPr>
          <w:rFonts w:ascii="Gill Sans MT" w:hAnsi="Gill Sans MT" w:cs="Times New Roman"/>
        </w:rPr>
        <w:t>State Budget</w:t>
      </w:r>
      <w:r w:rsidRPr="00E35976">
        <w:rPr>
          <w:rFonts w:ascii="Gill Sans MT" w:hAnsi="Gill Sans MT" w:cs="Times New Roman"/>
        </w:rPr>
        <w:t xml:space="preserve">, additional funding of $6 million over three years was provided </w:t>
      </w:r>
      <w:r w:rsidR="00EA4556" w:rsidRPr="00E35976">
        <w:rPr>
          <w:rFonts w:ascii="Gill Sans MT" w:hAnsi="Gill Sans MT" w:cs="Times New Roman"/>
        </w:rPr>
        <w:t xml:space="preserve">for 30 new alcohol and other drugs </w:t>
      </w:r>
      <w:r w:rsidR="00B31D37" w:rsidRPr="00E35976">
        <w:rPr>
          <w:rFonts w:ascii="Gill Sans MT" w:hAnsi="Gill Sans MT" w:cs="Times New Roman"/>
        </w:rPr>
        <w:t xml:space="preserve">residential </w:t>
      </w:r>
      <w:r w:rsidR="00EA4556" w:rsidRPr="00E35976">
        <w:rPr>
          <w:rFonts w:ascii="Gill Sans MT" w:hAnsi="Gill Sans MT" w:cs="Times New Roman"/>
        </w:rPr>
        <w:t>beds across Tasmania.  A r</w:t>
      </w:r>
      <w:r w:rsidRPr="00E35976">
        <w:rPr>
          <w:rFonts w:ascii="Gill Sans MT" w:hAnsi="Gill Sans MT" w:cs="Times New Roman"/>
        </w:rPr>
        <w:t>equest for</w:t>
      </w:r>
      <w:r w:rsidR="00DB6DFF" w:rsidRPr="00E35976">
        <w:rPr>
          <w:rFonts w:ascii="Gill Sans MT" w:hAnsi="Gill Sans MT" w:cs="Times New Roman"/>
        </w:rPr>
        <w:t xml:space="preserve"> grant proposal process was commenced in June 2018.</w:t>
      </w:r>
    </w:p>
    <w:p w14:paraId="7FC9DFA7" w14:textId="77777777" w:rsidR="007C6DD1" w:rsidRPr="00E35976" w:rsidRDefault="00446F22" w:rsidP="00B46215">
      <w:pPr>
        <w:pStyle w:val="Heading3"/>
        <w:rPr>
          <w:rFonts w:ascii="Gill Sans MT" w:hAnsi="Gill Sans MT"/>
        </w:rPr>
      </w:pPr>
      <w:bookmarkStart w:id="20" w:name="_Toc25584659"/>
      <w:r w:rsidRPr="00E35976">
        <w:rPr>
          <w:rFonts w:ascii="Gill Sans MT" w:hAnsi="Gill Sans MT"/>
        </w:rPr>
        <w:t>Wastew</w:t>
      </w:r>
      <w:r w:rsidR="007C6DD1" w:rsidRPr="00E35976">
        <w:rPr>
          <w:rFonts w:ascii="Gill Sans MT" w:hAnsi="Gill Sans MT"/>
        </w:rPr>
        <w:t>ater Analysis</w:t>
      </w:r>
      <w:bookmarkEnd w:id="20"/>
    </w:p>
    <w:p w14:paraId="7E960718" w14:textId="66C9E006" w:rsidR="00930FED" w:rsidRPr="00E35976" w:rsidRDefault="00930FED" w:rsidP="001E6319">
      <w:pPr>
        <w:pStyle w:val="ListBullet"/>
        <w:keepNext/>
      </w:pPr>
      <w:r w:rsidRPr="00E35976">
        <w:t xml:space="preserve">The </w:t>
      </w:r>
      <w:r w:rsidR="00BC62E1" w:rsidRPr="00E35976">
        <w:t xml:space="preserve">National Wastewater Drug Monitoring Program </w:t>
      </w:r>
      <w:r w:rsidRPr="00E35976">
        <w:t>(NWDMP) arises from a recommendation of the National Ice Taskforce to improve and expand available data sources to provide a more accurate understanding of drug use in Australia</w:t>
      </w:r>
      <w:r w:rsidR="00DB6DFF" w:rsidRPr="00E35976">
        <w:t>.</w:t>
      </w:r>
      <w:r w:rsidRPr="00E35976">
        <w:t xml:space="preserve"> </w:t>
      </w:r>
      <w:r w:rsidR="00DB6DFF" w:rsidRPr="00E35976">
        <w:t xml:space="preserve">The NWDMP </w:t>
      </w:r>
      <w:r w:rsidRPr="00E35976">
        <w:t xml:space="preserve">is included in the </w:t>
      </w:r>
      <w:r w:rsidR="00834EBD" w:rsidRPr="00E35976">
        <w:t>NIAS.</w:t>
      </w:r>
      <w:r w:rsidRPr="00E35976">
        <w:t xml:space="preserve">  </w:t>
      </w:r>
    </w:p>
    <w:p w14:paraId="5C9B269E" w14:textId="279253E7" w:rsidR="001E6319" w:rsidRPr="00E35976" w:rsidRDefault="00930FED" w:rsidP="001E6319">
      <w:pPr>
        <w:keepNext/>
        <w:autoSpaceDE w:val="0"/>
        <w:autoSpaceDN w:val="0"/>
        <w:adjustRightInd w:val="0"/>
        <w:spacing w:after="140" w:line="300" w:lineRule="atLeast"/>
        <w:rPr>
          <w:rFonts w:ascii="Gill Sans MT" w:hAnsi="Gill Sans MT"/>
        </w:rPr>
      </w:pPr>
      <w:r w:rsidRPr="00E35976">
        <w:rPr>
          <w:rFonts w:ascii="Gill Sans MT" w:hAnsi="Gill Sans MT"/>
        </w:rPr>
        <w:t>The NWDMP is managed by the University of Queensland and the University of South Australia for the Australian Criminal Intelligence Commission (ACIC).  The first of nine reports on the NWDMP wa</w:t>
      </w:r>
      <w:r w:rsidR="001E6319" w:rsidRPr="00E35976">
        <w:rPr>
          <w:rFonts w:ascii="Gill Sans MT" w:hAnsi="Gill Sans MT"/>
        </w:rPr>
        <w:t>s released in March 2017. The</w:t>
      </w:r>
      <w:r w:rsidR="001E6319" w:rsidRPr="00E35976">
        <w:rPr>
          <w:rFonts w:ascii="Gill Sans MT" w:hAnsi="Gill Sans MT" w:cs="Calibri"/>
          <w:color w:val="000000"/>
        </w:rPr>
        <w:t xml:space="preserve"> third in the series was released in </w:t>
      </w:r>
      <w:r w:rsidR="00D93867" w:rsidRPr="00E35976">
        <w:rPr>
          <w:rFonts w:ascii="Gill Sans MT" w:hAnsi="Gill Sans MT" w:cs="Calibri"/>
          <w:color w:val="000000"/>
        </w:rPr>
        <w:t xml:space="preserve">November </w:t>
      </w:r>
      <w:r w:rsidR="001E6319" w:rsidRPr="00E35976">
        <w:rPr>
          <w:rFonts w:ascii="Gill Sans MT" w:hAnsi="Gill Sans MT" w:cs="Calibri"/>
          <w:color w:val="000000"/>
        </w:rPr>
        <w:t xml:space="preserve">2017 and the fourth in </w:t>
      </w:r>
      <w:r w:rsidR="00D93867" w:rsidRPr="00E35976">
        <w:rPr>
          <w:rFonts w:ascii="Gill Sans MT" w:hAnsi="Gill Sans MT" w:cs="Calibri"/>
          <w:color w:val="000000"/>
        </w:rPr>
        <w:t>March</w:t>
      </w:r>
      <w:r w:rsidR="001E6319" w:rsidRPr="00E35976">
        <w:rPr>
          <w:rFonts w:ascii="Gill Sans MT" w:hAnsi="Gill Sans MT" w:cs="Calibri"/>
          <w:color w:val="000000"/>
        </w:rPr>
        <w:t xml:space="preserve"> 2018.</w:t>
      </w:r>
      <w:r w:rsidR="00E37AD5" w:rsidRPr="00E35976">
        <w:rPr>
          <w:rFonts w:ascii="Gill Sans MT" w:hAnsi="Gill Sans MT" w:cs="Calibri"/>
          <w:color w:val="000000"/>
        </w:rPr>
        <w:t xml:space="preserve">  Findings are summarised in the </w:t>
      </w:r>
      <w:r w:rsidR="00E37AD5" w:rsidRPr="00E35976">
        <w:rPr>
          <w:rFonts w:ascii="Gill Sans MT" w:hAnsi="Gill Sans MT"/>
        </w:rPr>
        <w:t>alcohol, tobacco and other drugs use and harm section of this report.</w:t>
      </w:r>
    </w:p>
    <w:p w14:paraId="472561D3" w14:textId="77777777" w:rsidR="00C1339B" w:rsidRPr="00E35976" w:rsidRDefault="00C1339B" w:rsidP="00B46215">
      <w:pPr>
        <w:pStyle w:val="Heading3"/>
        <w:rPr>
          <w:rFonts w:ascii="Gill Sans MT" w:hAnsi="Gill Sans MT"/>
        </w:rPr>
      </w:pPr>
      <w:bookmarkStart w:id="21" w:name="_Toc25584660"/>
      <w:r w:rsidRPr="00E35976">
        <w:rPr>
          <w:rFonts w:ascii="Gill Sans MT" w:hAnsi="Gill Sans MT"/>
        </w:rPr>
        <w:t xml:space="preserve">Tasmanian Alcohol Action Framework 2010 </w:t>
      </w:r>
      <w:r w:rsidR="00A032A5" w:rsidRPr="00E35976">
        <w:rPr>
          <w:rFonts w:ascii="Gill Sans MT" w:hAnsi="Gill Sans MT"/>
        </w:rPr>
        <w:t>–</w:t>
      </w:r>
      <w:r w:rsidRPr="00E35976">
        <w:rPr>
          <w:rFonts w:ascii="Gill Sans MT" w:hAnsi="Gill Sans MT"/>
        </w:rPr>
        <w:t xml:space="preserve"> </w:t>
      </w:r>
      <w:r w:rsidR="00A032A5" w:rsidRPr="00E35976">
        <w:rPr>
          <w:rFonts w:ascii="Gill Sans MT" w:hAnsi="Gill Sans MT"/>
        </w:rPr>
        <w:t>2015 (TAAF)</w:t>
      </w:r>
      <w:bookmarkEnd w:id="21"/>
    </w:p>
    <w:p w14:paraId="0026C11C" w14:textId="33A99D1C" w:rsidR="005F1D37" w:rsidRPr="00E35976" w:rsidRDefault="005F1D37" w:rsidP="00204862">
      <w:pPr>
        <w:pStyle w:val="BulletedListLevel1"/>
        <w:keepNext/>
        <w:numPr>
          <w:ilvl w:val="0"/>
          <w:numId w:val="0"/>
        </w:numPr>
        <w:rPr>
          <w:sz w:val="22"/>
          <w:szCs w:val="22"/>
        </w:rPr>
      </w:pPr>
      <w:r w:rsidRPr="00E35976">
        <w:rPr>
          <w:sz w:val="22"/>
          <w:szCs w:val="22"/>
        </w:rPr>
        <w:t xml:space="preserve">The </w:t>
      </w:r>
      <w:r w:rsidR="007E606C" w:rsidRPr="00E35976">
        <w:rPr>
          <w:sz w:val="22"/>
          <w:szCs w:val="22"/>
        </w:rPr>
        <w:t xml:space="preserve">TAAF </w:t>
      </w:r>
      <w:r w:rsidR="00204862" w:rsidRPr="00E35976">
        <w:rPr>
          <w:sz w:val="22"/>
          <w:szCs w:val="22"/>
        </w:rPr>
        <w:t>has been extended to the end of 2019</w:t>
      </w:r>
      <w:r w:rsidRPr="00E35976">
        <w:rPr>
          <w:sz w:val="22"/>
          <w:szCs w:val="22"/>
        </w:rPr>
        <w:t>, to enable the Alcohol Simulation Modelling Project to be undertaken, and to infor</w:t>
      </w:r>
      <w:r w:rsidR="00204862" w:rsidRPr="00E35976">
        <w:rPr>
          <w:sz w:val="22"/>
          <w:szCs w:val="22"/>
        </w:rPr>
        <w:t xml:space="preserve">m the development of a new TAAF.  </w:t>
      </w:r>
    </w:p>
    <w:p w14:paraId="69CB0066" w14:textId="77777777" w:rsidR="00B3687C" w:rsidRPr="00E35976" w:rsidRDefault="00B3687C" w:rsidP="00B46215">
      <w:pPr>
        <w:pStyle w:val="Heading4"/>
        <w:rPr>
          <w:rFonts w:ascii="Gill Sans MT" w:hAnsi="Gill Sans MT"/>
        </w:rPr>
      </w:pPr>
      <w:r w:rsidRPr="00E35976">
        <w:rPr>
          <w:rFonts w:ascii="Gill Sans MT" w:hAnsi="Gill Sans MT"/>
        </w:rPr>
        <w:t>Alcohol Simulation Modelling</w:t>
      </w:r>
    </w:p>
    <w:p w14:paraId="2BDB2FDC" w14:textId="77777777" w:rsidR="00E15F93" w:rsidRPr="00E35976" w:rsidRDefault="00E15F93" w:rsidP="00204862">
      <w:pPr>
        <w:pStyle w:val="BulletedListLevel1"/>
        <w:keepNext/>
        <w:numPr>
          <w:ilvl w:val="0"/>
          <w:numId w:val="0"/>
        </w:numPr>
        <w:rPr>
          <w:sz w:val="22"/>
          <w:szCs w:val="22"/>
        </w:rPr>
      </w:pPr>
      <w:r w:rsidRPr="00E35976">
        <w:rPr>
          <w:sz w:val="22"/>
          <w:szCs w:val="22"/>
        </w:rPr>
        <w:t xml:space="preserve">DoH, through PHS, has engaged in a collaborative project with the Australian Prevention Partnership Centre Sax Institute of New South Wales to develop a simulation model of alcohol use in Tasmania. </w:t>
      </w:r>
    </w:p>
    <w:p w14:paraId="12C7D4E1" w14:textId="267C0F9F" w:rsidR="00624C85" w:rsidRPr="00E35976" w:rsidRDefault="00E15F93" w:rsidP="00204862">
      <w:pPr>
        <w:pStyle w:val="BulletedListLevel1"/>
        <w:keepNext/>
        <w:numPr>
          <w:ilvl w:val="0"/>
          <w:numId w:val="0"/>
        </w:numPr>
        <w:rPr>
          <w:sz w:val="22"/>
          <w:szCs w:val="22"/>
        </w:rPr>
      </w:pPr>
      <w:r w:rsidRPr="00E35976">
        <w:rPr>
          <w:sz w:val="22"/>
          <w:szCs w:val="22"/>
        </w:rPr>
        <w:t xml:space="preserve">Dynamic simulation modelling has been used to </w:t>
      </w:r>
      <w:r w:rsidR="00D829ED" w:rsidRPr="00E35976">
        <w:rPr>
          <w:sz w:val="22"/>
          <w:szCs w:val="22"/>
        </w:rPr>
        <w:t xml:space="preserve">test the likely impact of a range of possible solutions </w:t>
      </w:r>
      <w:r w:rsidRPr="00E35976">
        <w:rPr>
          <w:sz w:val="22"/>
          <w:szCs w:val="22"/>
        </w:rPr>
        <w:t xml:space="preserve">to reduce alcohol-related harm </w:t>
      </w:r>
      <w:r w:rsidR="00D829ED" w:rsidRPr="00E35976">
        <w:rPr>
          <w:sz w:val="22"/>
          <w:szCs w:val="22"/>
        </w:rPr>
        <w:t xml:space="preserve">before implementing them.  </w:t>
      </w:r>
      <w:r w:rsidR="00440FE8" w:rsidRPr="00E35976">
        <w:rPr>
          <w:sz w:val="22"/>
          <w:szCs w:val="22"/>
        </w:rPr>
        <w:t>Simulation modelling provides a unique tool for synthesi</w:t>
      </w:r>
      <w:r w:rsidRPr="00E35976">
        <w:rPr>
          <w:sz w:val="22"/>
          <w:szCs w:val="22"/>
        </w:rPr>
        <w:t>s</w:t>
      </w:r>
      <w:r w:rsidR="00440FE8" w:rsidRPr="00E35976">
        <w:rPr>
          <w:sz w:val="22"/>
          <w:szCs w:val="22"/>
        </w:rPr>
        <w:t xml:space="preserve">ing and leveraging existing data, evidence and expert and local knowledge to examine the likely impact of different policy scenarios prior to implementation. </w:t>
      </w:r>
      <w:r w:rsidR="00BC62E1" w:rsidRPr="00E35976">
        <w:rPr>
          <w:sz w:val="22"/>
          <w:szCs w:val="22"/>
        </w:rPr>
        <w:t xml:space="preserve">This is done in a robust, risk free and </w:t>
      </w:r>
      <w:r w:rsidR="00FD7C9B" w:rsidRPr="00E35976">
        <w:rPr>
          <w:sz w:val="22"/>
          <w:szCs w:val="22"/>
        </w:rPr>
        <w:t>low-cost</w:t>
      </w:r>
      <w:r w:rsidR="00BC62E1" w:rsidRPr="00E35976">
        <w:rPr>
          <w:sz w:val="22"/>
          <w:szCs w:val="22"/>
        </w:rPr>
        <w:t xml:space="preserve"> way. </w:t>
      </w:r>
      <w:r w:rsidR="00624C85" w:rsidRPr="00E35976">
        <w:rPr>
          <w:sz w:val="22"/>
          <w:szCs w:val="22"/>
        </w:rPr>
        <w:t xml:space="preserve">This type of modelling has not been used in Tasmania before now.  It provides a unique opportunity for </w:t>
      </w:r>
      <w:r w:rsidR="00BC62E1" w:rsidRPr="00E35976">
        <w:rPr>
          <w:sz w:val="22"/>
          <w:szCs w:val="22"/>
        </w:rPr>
        <w:t>g</w:t>
      </w:r>
      <w:r w:rsidR="00624C85" w:rsidRPr="00E35976">
        <w:rPr>
          <w:sz w:val="22"/>
          <w:szCs w:val="22"/>
        </w:rPr>
        <w:t xml:space="preserve">overnment to use an innovative analytic ‘systems’ tool to test the potential impacts of different policy scenarios over time, before any solutions are implemented in the real world. </w:t>
      </w:r>
    </w:p>
    <w:p w14:paraId="173E79EE" w14:textId="4CC54B13" w:rsidR="0044474D" w:rsidRPr="00E35976" w:rsidRDefault="00107FB6" w:rsidP="00204862">
      <w:pPr>
        <w:keepNext/>
        <w:suppressAutoHyphens/>
        <w:spacing w:after="140" w:line="300" w:lineRule="atLeast"/>
        <w:rPr>
          <w:rFonts w:ascii="Gill Sans MT" w:hAnsi="Gill Sans MT" w:cs="Times New Roman"/>
          <w:b/>
        </w:rPr>
      </w:pPr>
      <w:r w:rsidRPr="00E35976">
        <w:rPr>
          <w:rFonts w:ascii="Gill Sans MT" w:hAnsi="Gill Sans MT"/>
        </w:rPr>
        <w:t>The model will</w:t>
      </w:r>
      <w:r w:rsidR="0044474D" w:rsidRPr="00E35976">
        <w:rPr>
          <w:rFonts w:ascii="Gill Sans MT" w:hAnsi="Gill Sans MT"/>
        </w:rPr>
        <w:t xml:space="preserve"> forecast the </w:t>
      </w:r>
      <w:r w:rsidR="00FA4664" w:rsidRPr="00E35976">
        <w:rPr>
          <w:rFonts w:ascii="Gill Sans MT" w:hAnsi="Gill Sans MT"/>
        </w:rPr>
        <w:t xml:space="preserve">likely </w:t>
      </w:r>
      <w:r w:rsidR="0044474D" w:rsidRPr="00E35976">
        <w:rPr>
          <w:rFonts w:ascii="Gill Sans MT" w:hAnsi="Gill Sans MT"/>
        </w:rPr>
        <w:t>effectiveness of a variety of approaches to reducing alcohol-related harm</w:t>
      </w:r>
      <w:r w:rsidR="00E15F93" w:rsidRPr="00E35976">
        <w:rPr>
          <w:rFonts w:ascii="Gill Sans MT" w:hAnsi="Gill Sans MT"/>
        </w:rPr>
        <w:t xml:space="preserve"> in </w:t>
      </w:r>
      <w:r w:rsidR="00FD7C9B" w:rsidRPr="00E35976">
        <w:rPr>
          <w:rFonts w:ascii="Gill Sans MT" w:hAnsi="Gill Sans MT"/>
        </w:rPr>
        <w:t>Tasmania and</w:t>
      </w:r>
      <w:r w:rsidR="0044474D" w:rsidRPr="00E35976">
        <w:rPr>
          <w:rFonts w:ascii="Gill Sans MT" w:hAnsi="Gill Sans MT"/>
        </w:rPr>
        <w:t xml:space="preserve"> explore what combination of interventions is likely to produce maximum community-wide impact.</w:t>
      </w:r>
      <w:r w:rsidR="00624C85" w:rsidRPr="00E35976">
        <w:rPr>
          <w:rFonts w:ascii="Gill Sans MT" w:hAnsi="Gill Sans MT"/>
        </w:rPr>
        <w:t xml:space="preserve">  </w:t>
      </w:r>
    </w:p>
    <w:p w14:paraId="52D87028" w14:textId="77777777" w:rsidR="001A3FAE" w:rsidRPr="00E35976" w:rsidRDefault="001A3FAE" w:rsidP="00B46215">
      <w:pPr>
        <w:pStyle w:val="Heading3"/>
        <w:rPr>
          <w:rFonts w:ascii="Gill Sans MT" w:hAnsi="Gill Sans MT"/>
        </w:rPr>
      </w:pPr>
      <w:bookmarkStart w:id="22" w:name="_Toc25584661"/>
      <w:r w:rsidRPr="00E35976">
        <w:rPr>
          <w:rFonts w:ascii="Gill Sans MT" w:hAnsi="Gill Sans MT"/>
        </w:rPr>
        <w:t>Tasmanian Tobacco Control Plan 2017-2021</w:t>
      </w:r>
      <w:bookmarkEnd w:id="22"/>
    </w:p>
    <w:p w14:paraId="5453A06C" w14:textId="337C59D8" w:rsidR="00BC62E1" w:rsidRPr="00E35976" w:rsidRDefault="001A3FAE" w:rsidP="00204862">
      <w:pPr>
        <w:pStyle w:val="ListParagraph"/>
        <w:keepNext/>
        <w:spacing w:after="140" w:line="300" w:lineRule="atLeast"/>
        <w:ind w:left="0"/>
        <w:rPr>
          <w:rFonts w:ascii="Gill Sans MT" w:hAnsi="Gill Sans MT"/>
        </w:rPr>
      </w:pPr>
      <w:r w:rsidRPr="00E35976">
        <w:rPr>
          <w:rFonts w:ascii="Gill Sans MT" w:hAnsi="Gill Sans MT"/>
        </w:rPr>
        <w:t>The Tasmanian Tobacco Control Plan 2017-2021 was accepted by the IAWGD out of session in June 2017</w:t>
      </w:r>
      <w:r w:rsidR="007E606C" w:rsidRPr="00E35976">
        <w:rPr>
          <w:rFonts w:ascii="Gill Sans MT" w:hAnsi="Gill Sans MT"/>
        </w:rPr>
        <w:t>.</w:t>
      </w:r>
      <w:r w:rsidRPr="00E35976">
        <w:rPr>
          <w:rFonts w:ascii="Gill Sans MT" w:hAnsi="Gill Sans MT"/>
        </w:rPr>
        <w:t xml:space="preserve"> The Plan has four priority areas</w:t>
      </w:r>
      <w:r w:rsidR="00BC62E1" w:rsidRPr="00E35976">
        <w:rPr>
          <w:rFonts w:ascii="Gill Sans MT" w:hAnsi="Gill Sans MT"/>
        </w:rPr>
        <w:t>:</w:t>
      </w:r>
      <w:r w:rsidRPr="00E35976">
        <w:rPr>
          <w:rFonts w:ascii="Gill Sans MT" w:hAnsi="Gill Sans MT"/>
        </w:rPr>
        <w:t xml:space="preserve"> to encourage and help pe</w:t>
      </w:r>
      <w:r w:rsidR="00DE4C9F" w:rsidRPr="00E35976">
        <w:rPr>
          <w:rFonts w:ascii="Gill Sans MT" w:hAnsi="Gill Sans MT"/>
        </w:rPr>
        <w:t>ople who smoke to quit for good;</w:t>
      </w:r>
      <w:r w:rsidRPr="00E35976">
        <w:rPr>
          <w:rFonts w:ascii="Gill Sans MT" w:hAnsi="Gill Sans MT"/>
        </w:rPr>
        <w:t xml:space="preserve"> to prevent smoking upta</w:t>
      </w:r>
      <w:r w:rsidR="00DE4C9F" w:rsidRPr="00E35976">
        <w:rPr>
          <w:rFonts w:ascii="Gill Sans MT" w:hAnsi="Gill Sans MT"/>
        </w:rPr>
        <w:t>ke and de-normalise tobacco use;</w:t>
      </w:r>
      <w:r w:rsidRPr="00E35976">
        <w:rPr>
          <w:rFonts w:ascii="Gill Sans MT" w:hAnsi="Gill Sans MT"/>
        </w:rPr>
        <w:t xml:space="preserve"> to reduce smoking by high prevalence groups</w:t>
      </w:r>
      <w:r w:rsidR="00DE4C9F" w:rsidRPr="00E35976">
        <w:rPr>
          <w:rFonts w:ascii="Gill Sans MT" w:hAnsi="Gill Sans MT"/>
        </w:rPr>
        <w:t>;</w:t>
      </w:r>
      <w:r w:rsidRPr="00E35976">
        <w:rPr>
          <w:rFonts w:ascii="Gill Sans MT" w:hAnsi="Gill Sans MT"/>
        </w:rPr>
        <w:t xml:space="preserve"> and to strengthen and integrate the evidence base.  There are three working </w:t>
      </w:r>
      <w:r w:rsidRPr="00E35976">
        <w:rPr>
          <w:rFonts w:ascii="Gill Sans MT" w:hAnsi="Gill Sans MT"/>
        </w:rPr>
        <w:lastRenderedPageBreak/>
        <w:t>groups to implement the plan from 2017 onwards</w:t>
      </w:r>
      <w:r w:rsidR="00BC62E1" w:rsidRPr="00E35976">
        <w:rPr>
          <w:rFonts w:ascii="Gill Sans MT" w:hAnsi="Gill Sans MT"/>
        </w:rPr>
        <w:t xml:space="preserve">: </w:t>
      </w:r>
      <w:r w:rsidRPr="00E35976">
        <w:rPr>
          <w:rFonts w:ascii="Gill Sans MT" w:hAnsi="Gill Sans MT"/>
        </w:rPr>
        <w:t xml:space="preserve">Smoke Free Priority Populations, Smoke Free Young People and Tobacco Action Evaluation. </w:t>
      </w:r>
    </w:p>
    <w:p w14:paraId="273E2CAC" w14:textId="77777777" w:rsidR="00D93867" w:rsidRPr="00E35976" w:rsidRDefault="00D93867" w:rsidP="00204862">
      <w:pPr>
        <w:pStyle w:val="ListParagraph"/>
        <w:keepNext/>
        <w:spacing w:after="140" w:line="300" w:lineRule="atLeast"/>
        <w:ind w:left="0"/>
        <w:rPr>
          <w:rFonts w:ascii="Gill Sans MT" w:hAnsi="Gill Sans MT"/>
        </w:rPr>
      </w:pPr>
    </w:p>
    <w:p w14:paraId="1744895F" w14:textId="77777777" w:rsidR="00D93867" w:rsidRPr="00E35976" w:rsidRDefault="00AC19B4" w:rsidP="00D93867">
      <w:pPr>
        <w:pStyle w:val="ListParagraph"/>
        <w:keepNext/>
        <w:spacing w:after="140" w:line="300" w:lineRule="atLeast"/>
        <w:ind w:left="0"/>
        <w:rPr>
          <w:rFonts w:ascii="Gill Sans MT" w:hAnsi="Gill Sans MT"/>
        </w:rPr>
      </w:pPr>
      <w:r w:rsidRPr="00E35976">
        <w:rPr>
          <w:rFonts w:ascii="Gill Sans MT" w:hAnsi="Gill Sans MT"/>
        </w:rPr>
        <w:t xml:space="preserve">Actions under the Tasmanian Tobacco Control Plan </w:t>
      </w:r>
      <w:r w:rsidR="00D93867" w:rsidRPr="00E35976">
        <w:rPr>
          <w:rFonts w:ascii="Gill Sans MT" w:hAnsi="Gill Sans MT"/>
        </w:rPr>
        <w:t>which also link to the Healthy Tasmania initiative are:</w:t>
      </w:r>
    </w:p>
    <w:p w14:paraId="3B56AE8B" w14:textId="77777777" w:rsidR="00D93867" w:rsidRPr="00E35976" w:rsidRDefault="00D93867" w:rsidP="00D93867">
      <w:pPr>
        <w:pStyle w:val="ListParagraph"/>
        <w:keepNext/>
        <w:spacing w:after="140" w:line="300" w:lineRule="atLeast"/>
        <w:ind w:left="0"/>
        <w:rPr>
          <w:rFonts w:ascii="Gill Sans MT" w:hAnsi="Gill Sans MT"/>
        </w:rPr>
      </w:pPr>
    </w:p>
    <w:p w14:paraId="0772EAB5" w14:textId="77777777" w:rsidR="00C93050" w:rsidRPr="00E35976" w:rsidRDefault="00C93050" w:rsidP="00FA35B2">
      <w:pPr>
        <w:pStyle w:val="ListParagraph"/>
        <w:keepNext/>
        <w:numPr>
          <w:ilvl w:val="0"/>
          <w:numId w:val="16"/>
        </w:numPr>
        <w:spacing w:after="140" w:line="300" w:lineRule="atLeast"/>
        <w:ind w:left="567" w:hanging="567"/>
        <w:contextualSpacing w:val="0"/>
        <w:rPr>
          <w:rFonts w:ascii="Gill Sans MT" w:hAnsi="Gill Sans MT"/>
        </w:rPr>
      </w:pPr>
      <w:r w:rsidRPr="00E35976">
        <w:rPr>
          <w:rFonts w:ascii="Gill Sans MT" w:hAnsi="Gill Sans MT"/>
        </w:rPr>
        <w:t xml:space="preserve">The Tobacco Control Coalition developed the Tobacco Control Implementation Plan 2017-2021 to guide activity and measure performance over the next four years, with progress reports to be completed in 2019 and 2021.  Highlights for implementation include: </w:t>
      </w:r>
    </w:p>
    <w:p w14:paraId="5EA2DDEB" w14:textId="77777777" w:rsidR="00C93050" w:rsidRPr="00E35976" w:rsidRDefault="00C93050" w:rsidP="00D154C6">
      <w:pPr>
        <w:pStyle w:val="BulletedListLevel1"/>
        <w:keepNext/>
        <w:keepLines w:val="0"/>
        <w:numPr>
          <w:ilvl w:val="0"/>
          <w:numId w:val="18"/>
        </w:numPr>
        <w:ind w:left="924" w:hanging="357"/>
        <w:contextualSpacing/>
        <w:rPr>
          <w:sz w:val="22"/>
          <w:szCs w:val="22"/>
        </w:rPr>
      </w:pPr>
      <w:r w:rsidRPr="00E35976">
        <w:rPr>
          <w:sz w:val="22"/>
          <w:szCs w:val="22"/>
        </w:rPr>
        <w:t xml:space="preserve">An online licensing system for tobacco sellers </w:t>
      </w:r>
    </w:p>
    <w:p w14:paraId="29287B1B" w14:textId="77777777" w:rsidR="00C93050" w:rsidRPr="00E35976" w:rsidRDefault="00C93050" w:rsidP="00D154C6">
      <w:pPr>
        <w:pStyle w:val="BulletedListLevel1"/>
        <w:keepNext/>
        <w:keepLines w:val="0"/>
        <w:numPr>
          <w:ilvl w:val="0"/>
          <w:numId w:val="18"/>
        </w:numPr>
        <w:ind w:left="924" w:hanging="357"/>
        <w:contextualSpacing/>
        <w:rPr>
          <w:sz w:val="22"/>
          <w:szCs w:val="22"/>
        </w:rPr>
      </w:pPr>
      <w:r w:rsidRPr="00E35976">
        <w:rPr>
          <w:sz w:val="22"/>
          <w:szCs w:val="22"/>
        </w:rPr>
        <w:t xml:space="preserve">Collection of information from retailers on the volume of products they sell </w:t>
      </w:r>
    </w:p>
    <w:p w14:paraId="11078285" w14:textId="77777777" w:rsidR="00C93050" w:rsidRPr="00E35976" w:rsidRDefault="00C93050" w:rsidP="00D154C6">
      <w:pPr>
        <w:pStyle w:val="BulletedListLevel1"/>
        <w:keepNext/>
        <w:keepLines w:val="0"/>
        <w:numPr>
          <w:ilvl w:val="0"/>
          <w:numId w:val="18"/>
        </w:numPr>
        <w:ind w:left="924" w:hanging="357"/>
        <w:contextualSpacing/>
        <w:rPr>
          <w:sz w:val="22"/>
          <w:szCs w:val="22"/>
        </w:rPr>
      </w:pPr>
      <w:r w:rsidRPr="00E35976">
        <w:rPr>
          <w:sz w:val="22"/>
          <w:szCs w:val="22"/>
        </w:rPr>
        <w:t xml:space="preserve">A new focus on smoking cessation for population groups with high smoking prevalence </w:t>
      </w:r>
    </w:p>
    <w:p w14:paraId="6826D545" w14:textId="448F8750" w:rsidR="00C93050" w:rsidRPr="00E35976" w:rsidRDefault="00C93050" w:rsidP="00D154C6">
      <w:pPr>
        <w:pStyle w:val="BulletedListLevel1"/>
        <w:keepNext/>
        <w:keepLines w:val="0"/>
        <w:numPr>
          <w:ilvl w:val="0"/>
          <w:numId w:val="18"/>
        </w:numPr>
        <w:ind w:left="924" w:hanging="357"/>
        <w:contextualSpacing/>
        <w:rPr>
          <w:sz w:val="22"/>
          <w:szCs w:val="22"/>
        </w:rPr>
      </w:pPr>
      <w:r w:rsidRPr="00E35976">
        <w:rPr>
          <w:sz w:val="22"/>
          <w:szCs w:val="22"/>
        </w:rPr>
        <w:t>Further reduce exposure to second hand smoke by addressing smoke</w:t>
      </w:r>
      <w:r w:rsidR="00AC19B4" w:rsidRPr="00E35976">
        <w:rPr>
          <w:sz w:val="22"/>
          <w:szCs w:val="22"/>
        </w:rPr>
        <w:t>-</w:t>
      </w:r>
      <w:r w:rsidRPr="00E35976">
        <w:rPr>
          <w:sz w:val="22"/>
          <w:szCs w:val="22"/>
        </w:rPr>
        <w:t>free areas, particularly around schools and public hospitals</w:t>
      </w:r>
    </w:p>
    <w:p w14:paraId="34D0B7AC" w14:textId="77777777" w:rsidR="00C93050" w:rsidRPr="00E35976" w:rsidRDefault="00C93050" w:rsidP="00D154C6">
      <w:pPr>
        <w:pStyle w:val="BulletedListLevel1"/>
        <w:keepNext/>
        <w:keepLines w:val="0"/>
        <w:numPr>
          <w:ilvl w:val="0"/>
          <w:numId w:val="18"/>
        </w:numPr>
        <w:ind w:left="924" w:hanging="357"/>
        <w:contextualSpacing/>
        <w:rPr>
          <w:sz w:val="22"/>
          <w:szCs w:val="22"/>
        </w:rPr>
      </w:pPr>
      <w:r w:rsidRPr="00E35976">
        <w:rPr>
          <w:sz w:val="22"/>
          <w:szCs w:val="22"/>
        </w:rPr>
        <w:t xml:space="preserve">Further strengthen existing laws on how tobacco is sold </w:t>
      </w:r>
    </w:p>
    <w:p w14:paraId="462301C6" w14:textId="77777777" w:rsidR="00C93050" w:rsidRPr="00E35976" w:rsidRDefault="00C93050" w:rsidP="00D154C6">
      <w:pPr>
        <w:pStyle w:val="BulletedListLevel1"/>
        <w:keepNext/>
        <w:keepLines w:val="0"/>
        <w:numPr>
          <w:ilvl w:val="0"/>
          <w:numId w:val="18"/>
        </w:numPr>
        <w:ind w:left="924" w:hanging="357"/>
        <w:contextualSpacing/>
        <w:rPr>
          <w:sz w:val="22"/>
          <w:szCs w:val="22"/>
        </w:rPr>
      </w:pPr>
      <w:r w:rsidRPr="00E35976">
        <w:rPr>
          <w:sz w:val="22"/>
          <w:szCs w:val="22"/>
        </w:rPr>
        <w:t xml:space="preserve">An evaluation framework to guide performance monitoring and reporting.  </w:t>
      </w:r>
    </w:p>
    <w:p w14:paraId="4807DCED" w14:textId="77777777" w:rsidR="00204862" w:rsidRPr="00E35976" w:rsidRDefault="00204862" w:rsidP="00204862">
      <w:pPr>
        <w:pStyle w:val="ListParagraph"/>
        <w:keepNext/>
        <w:numPr>
          <w:ilvl w:val="0"/>
          <w:numId w:val="16"/>
        </w:numPr>
        <w:spacing w:after="140" w:line="300" w:lineRule="atLeast"/>
        <w:ind w:left="567" w:hanging="567"/>
        <w:contextualSpacing w:val="0"/>
        <w:rPr>
          <w:rFonts w:ascii="Gill Sans MT" w:hAnsi="Gill Sans MT"/>
        </w:rPr>
      </w:pPr>
      <w:r w:rsidRPr="00E35976">
        <w:rPr>
          <w:rFonts w:ascii="Gill Sans MT" w:hAnsi="Gill Sans MT"/>
        </w:rPr>
        <w:t xml:space="preserve">Changes were made to the </w:t>
      </w:r>
      <w:r w:rsidRPr="00E35976">
        <w:rPr>
          <w:rFonts w:ascii="Gill Sans MT" w:hAnsi="Gill Sans MT"/>
          <w:i/>
        </w:rPr>
        <w:t>Public Health Act 1997</w:t>
      </w:r>
      <w:r w:rsidRPr="00E35976">
        <w:rPr>
          <w:rFonts w:ascii="Gill Sans MT" w:hAnsi="Gill Sans MT"/>
        </w:rPr>
        <w:t xml:space="preserve"> effective from 29 November 2017 to regulate the sale, use and display of electronic cigarettes; increase penalties for tobacco supply to children</w:t>
      </w:r>
      <w:r w:rsidR="002B793F" w:rsidRPr="00E35976">
        <w:rPr>
          <w:rFonts w:ascii="Gill Sans MT" w:hAnsi="Gill Sans MT"/>
        </w:rPr>
        <w:t>;</w:t>
      </w:r>
      <w:r w:rsidRPr="00E35976">
        <w:rPr>
          <w:rFonts w:ascii="Gill Sans MT" w:hAnsi="Gill Sans MT"/>
        </w:rPr>
        <w:t xml:space="preserve"> and to introduce ‘fit and proper’ checks for tobacco seller licence holders.   </w:t>
      </w:r>
    </w:p>
    <w:p w14:paraId="70B33B53" w14:textId="77777777" w:rsidR="00204862" w:rsidRPr="00E35976" w:rsidRDefault="00204862" w:rsidP="00204862">
      <w:pPr>
        <w:pStyle w:val="ListParagraph"/>
        <w:keepNext/>
        <w:numPr>
          <w:ilvl w:val="0"/>
          <w:numId w:val="16"/>
        </w:numPr>
        <w:spacing w:after="140" w:line="300" w:lineRule="atLeast"/>
        <w:ind w:left="567" w:hanging="567"/>
        <w:contextualSpacing w:val="0"/>
        <w:rPr>
          <w:rFonts w:ascii="Gill Sans MT" w:hAnsi="Gill Sans MT"/>
        </w:rPr>
      </w:pPr>
      <w:r w:rsidRPr="00E35976">
        <w:rPr>
          <w:rFonts w:ascii="Gill Sans MT" w:hAnsi="Gill Sans MT"/>
        </w:rPr>
        <w:t>A Compliance and Education officer position was created to ens</w:t>
      </w:r>
      <w:r w:rsidR="002B793F" w:rsidRPr="00E35976">
        <w:rPr>
          <w:rFonts w:ascii="Gill Sans MT" w:hAnsi="Gill Sans MT"/>
        </w:rPr>
        <w:t xml:space="preserve">ure the new laws are understood, </w:t>
      </w:r>
      <w:r w:rsidRPr="00E35976">
        <w:rPr>
          <w:rFonts w:ascii="Gill Sans MT" w:hAnsi="Gill Sans MT"/>
        </w:rPr>
        <w:t xml:space="preserve">and to undertake additional education and enforcement activity.  </w:t>
      </w:r>
    </w:p>
    <w:p w14:paraId="26F7C714" w14:textId="77777777" w:rsidR="00204862" w:rsidRPr="00E35976" w:rsidRDefault="00204862" w:rsidP="00204862">
      <w:pPr>
        <w:pStyle w:val="ListParagraph"/>
        <w:keepNext/>
        <w:numPr>
          <w:ilvl w:val="0"/>
          <w:numId w:val="16"/>
        </w:numPr>
        <w:spacing w:after="140" w:line="300" w:lineRule="atLeast"/>
        <w:ind w:left="567" w:hanging="567"/>
        <w:contextualSpacing w:val="0"/>
        <w:rPr>
          <w:rFonts w:ascii="Gill Sans MT" w:hAnsi="Gill Sans MT"/>
        </w:rPr>
      </w:pPr>
      <w:r w:rsidRPr="00E35976">
        <w:rPr>
          <w:rFonts w:ascii="Gill Sans MT" w:hAnsi="Gill Sans MT"/>
        </w:rPr>
        <w:t xml:space="preserve">The licence fee to sell tobacco increased from $370.45 to $731.34 as of 1 January 2017 and to $1111.35 from 1 January 2018. </w:t>
      </w:r>
    </w:p>
    <w:p w14:paraId="0A9D21B6" w14:textId="5146EBB7" w:rsidR="00204862" w:rsidRPr="00E35976" w:rsidRDefault="00204862" w:rsidP="00204862">
      <w:pPr>
        <w:pStyle w:val="ListParagraph"/>
        <w:keepNext/>
        <w:numPr>
          <w:ilvl w:val="0"/>
          <w:numId w:val="16"/>
        </w:numPr>
        <w:spacing w:after="140" w:line="300" w:lineRule="atLeast"/>
        <w:ind w:left="567" w:hanging="567"/>
        <w:contextualSpacing w:val="0"/>
        <w:rPr>
          <w:rFonts w:ascii="Gill Sans MT" w:hAnsi="Gill Sans MT"/>
        </w:rPr>
      </w:pPr>
      <w:r w:rsidRPr="00E35976">
        <w:rPr>
          <w:rFonts w:ascii="Gill Sans MT" w:hAnsi="Gill Sans MT"/>
        </w:rPr>
        <w:t>$100</w:t>
      </w:r>
      <w:r w:rsidR="00AC19B4" w:rsidRPr="00E35976">
        <w:rPr>
          <w:rFonts w:ascii="Gill Sans MT" w:hAnsi="Gill Sans MT"/>
        </w:rPr>
        <w:t> </w:t>
      </w:r>
      <w:r w:rsidRPr="00E35976">
        <w:rPr>
          <w:rFonts w:ascii="Gill Sans MT" w:hAnsi="Gill Sans MT"/>
        </w:rPr>
        <w:t xml:space="preserve">000 was provided to enable the </w:t>
      </w:r>
      <w:r w:rsidRPr="00E35976">
        <w:rPr>
          <w:rFonts w:ascii="Gill Sans MT" w:hAnsi="Gill Sans MT"/>
          <w:i/>
        </w:rPr>
        <w:t xml:space="preserve">Antenatal Carbon Monoxide Monitoring Opt-out Referral </w:t>
      </w:r>
      <w:r w:rsidRPr="00E35976">
        <w:rPr>
          <w:rFonts w:ascii="Gill Sans MT" w:hAnsi="Gill Sans MT"/>
        </w:rPr>
        <w:t xml:space="preserve">pilot to be conducted in southern Tasmania. The project aims to increase cessation by pregnant women through improved screening, referral and counselling. </w:t>
      </w:r>
    </w:p>
    <w:p w14:paraId="4922F59E" w14:textId="77777777" w:rsidR="00204862" w:rsidRPr="00E35976" w:rsidRDefault="00204862" w:rsidP="00204862">
      <w:pPr>
        <w:pStyle w:val="ListParagraph"/>
        <w:keepNext/>
        <w:numPr>
          <w:ilvl w:val="0"/>
          <w:numId w:val="17"/>
        </w:numPr>
        <w:spacing w:after="140" w:line="300" w:lineRule="atLeast"/>
        <w:ind w:left="567" w:hanging="567"/>
        <w:contextualSpacing w:val="0"/>
        <w:rPr>
          <w:rFonts w:ascii="Gill Sans MT" w:hAnsi="Gill Sans MT"/>
        </w:rPr>
      </w:pPr>
      <w:r w:rsidRPr="00E35976">
        <w:rPr>
          <w:rFonts w:ascii="Gill Sans MT" w:hAnsi="Gill Sans MT"/>
        </w:rPr>
        <w:t xml:space="preserve">Additional funds were provided to Cancer Council Tasmania to implement best practice anti-tobacco campaigns. </w:t>
      </w:r>
    </w:p>
    <w:p w14:paraId="5D359892" w14:textId="77777777" w:rsidR="00170376" w:rsidRPr="00E35976" w:rsidRDefault="00170376" w:rsidP="00B46215">
      <w:pPr>
        <w:pStyle w:val="Heading3"/>
        <w:rPr>
          <w:rFonts w:ascii="Gill Sans MT" w:hAnsi="Gill Sans MT"/>
        </w:rPr>
      </w:pPr>
      <w:bookmarkStart w:id="23" w:name="_Toc25584662"/>
      <w:r w:rsidRPr="00E35976">
        <w:rPr>
          <w:rFonts w:ascii="Gill Sans MT" w:hAnsi="Gill Sans MT"/>
        </w:rPr>
        <w:t>Medic</w:t>
      </w:r>
      <w:r w:rsidR="007E606C" w:rsidRPr="00E35976">
        <w:rPr>
          <w:rFonts w:ascii="Gill Sans MT" w:hAnsi="Gill Sans MT"/>
        </w:rPr>
        <w:t>al</w:t>
      </w:r>
      <w:r w:rsidRPr="00E35976">
        <w:rPr>
          <w:rFonts w:ascii="Gill Sans MT" w:hAnsi="Gill Sans MT"/>
        </w:rPr>
        <w:t xml:space="preserve"> Cannabis</w:t>
      </w:r>
      <w:bookmarkEnd w:id="23"/>
    </w:p>
    <w:p w14:paraId="6C2B01A3" w14:textId="53D2AB47" w:rsidR="00C31839" w:rsidRPr="00E35976" w:rsidRDefault="00C31839" w:rsidP="005D5D81">
      <w:pPr>
        <w:pStyle w:val="bulletedlistlevel10"/>
        <w:widowControl w:val="0"/>
        <w:ind w:left="0" w:firstLine="0"/>
        <w:rPr>
          <w:rFonts w:cs="Tahoma"/>
          <w:color w:val="000000"/>
          <w:sz w:val="22"/>
          <w:szCs w:val="22"/>
          <w:shd w:val="clear" w:color="auto" w:fill="FFFFFF"/>
        </w:rPr>
      </w:pPr>
      <w:r w:rsidRPr="00E35976">
        <w:rPr>
          <w:rFonts w:cs="Tahoma"/>
          <w:color w:val="000000"/>
          <w:sz w:val="22"/>
          <w:szCs w:val="22"/>
          <w:shd w:val="clear" w:color="auto" w:fill="FFFFFF"/>
        </w:rPr>
        <w:t xml:space="preserve">The Tasmanian Government's medical cannabis Controlled Access Scheme (CAS) opened on 1 September 2017. Tasmanians who suffer from treatment refractory conditions are now able to access unregistered medical cannabis products through their approved treating medical specialist. The CAS provides nation leading quality assurance on applications for access to unregistered medical cannabis products through necessarily rigorous review by an expert panel of clinicians. Additionally, Tasmania is the only jurisdiction to fund the cost of these substances so that patients are not financially disadvantaged by these relatively expensive and non-Commonwealth funded products. The State Government provided $3.75 million in the 2017 </w:t>
      </w:r>
      <w:r w:rsidR="00426873" w:rsidRPr="00E35976">
        <w:rPr>
          <w:rFonts w:cs="Tahoma"/>
          <w:color w:val="000000"/>
          <w:sz w:val="22"/>
          <w:szCs w:val="22"/>
          <w:shd w:val="clear" w:color="auto" w:fill="FFFFFF"/>
        </w:rPr>
        <w:t xml:space="preserve">State </w:t>
      </w:r>
      <w:r w:rsidRPr="00E35976">
        <w:rPr>
          <w:rFonts w:cs="Tahoma"/>
          <w:color w:val="000000"/>
          <w:sz w:val="22"/>
          <w:szCs w:val="22"/>
          <w:shd w:val="clear" w:color="auto" w:fill="FFFFFF"/>
        </w:rPr>
        <w:t>Budget to support the comprehensive clinical assessment of paediatric patients with treatment refractory epilepsy, one of the conditions where medical cannabis research is most active. </w:t>
      </w:r>
    </w:p>
    <w:p w14:paraId="48EAB9EF" w14:textId="77777777" w:rsidR="006926C1" w:rsidRPr="00E35976" w:rsidRDefault="006926C1" w:rsidP="00B46215">
      <w:pPr>
        <w:pStyle w:val="Heading3"/>
        <w:rPr>
          <w:rFonts w:ascii="Gill Sans MT" w:hAnsi="Gill Sans MT"/>
        </w:rPr>
      </w:pPr>
      <w:bookmarkStart w:id="24" w:name="_Toc25584663"/>
      <w:r w:rsidRPr="00E35976">
        <w:rPr>
          <w:rFonts w:ascii="Gill Sans MT" w:hAnsi="Gill Sans MT"/>
        </w:rPr>
        <w:t>Promotion, Prevention and Early Intervention</w:t>
      </w:r>
      <w:r w:rsidR="00AC19B4" w:rsidRPr="00E35976">
        <w:rPr>
          <w:rFonts w:ascii="Gill Sans MT" w:hAnsi="Gill Sans MT"/>
        </w:rPr>
        <w:t xml:space="preserve"> (PPEI)</w:t>
      </w:r>
      <w:bookmarkEnd w:id="24"/>
    </w:p>
    <w:p w14:paraId="6FEBD911" w14:textId="2DA29911" w:rsidR="00EA2E36" w:rsidRPr="00E35976" w:rsidRDefault="00EA2E36" w:rsidP="00B46215">
      <w:pPr>
        <w:pStyle w:val="Heading4"/>
        <w:rPr>
          <w:rFonts w:ascii="Gill Sans MT" w:hAnsi="Gill Sans MT"/>
        </w:rPr>
      </w:pPr>
      <w:r w:rsidRPr="00E35976">
        <w:rPr>
          <w:rFonts w:ascii="Gill Sans MT" w:hAnsi="Gill Sans MT"/>
        </w:rPr>
        <w:t>Everybody’s Business</w:t>
      </w:r>
      <w:r w:rsidR="00373358" w:rsidRPr="00E35976">
        <w:rPr>
          <w:rFonts w:ascii="Gill Sans MT" w:hAnsi="Gill Sans MT"/>
        </w:rPr>
        <w:t xml:space="preserve"> </w:t>
      </w:r>
    </w:p>
    <w:p w14:paraId="45F359CF" w14:textId="6839D87A" w:rsidR="00C5778C" w:rsidRPr="00E35976" w:rsidRDefault="00C5778C" w:rsidP="00204862">
      <w:pPr>
        <w:keepNext/>
        <w:spacing w:after="140" w:line="300" w:lineRule="atLeast"/>
        <w:rPr>
          <w:rFonts w:ascii="Gill Sans MT" w:hAnsi="Gill Sans MT"/>
        </w:rPr>
      </w:pPr>
      <w:r w:rsidRPr="00E35976">
        <w:rPr>
          <w:rFonts w:ascii="Gill Sans MT" w:hAnsi="Gill Sans MT"/>
          <w:i/>
        </w:rPr>
        <w:t>Everybody’s Business</w:t>
      </w:r>
      <w:r w:rsidRPr="00E35976">
        <w:rPr>
          <w:rFonts w:ascii="Gill Sans MT" w:hAnsi="Gill Sans MT"/>
        </w:rPr>
        <w:t xml:space="preserve"> was developed by the IAWGD in 2013 as the Strategic Framework for </w:t>
      </w:r>
      <w:r w:rsidR="00BC62E1" w:rsidRPr="00E35976">
        <w:rPr>
          <w:rFonts w:ascii="Gill Sans MT" w:hAnsi="Gill Sans MT"/>
        </w:rPr>
        <w:t>i</w:t>
      </w:r>
      <w:r w:rsidRPr="00E35976">
        <w:rPr>
          <w:rFonts w:ascii="Gill Sans MT" w:hAnsi="Gill Sans MT"/>
        </w:rPr>
        <w:t xml:space="preserve">mplementing PPEI </w:t>
      </w:r>
      <w:r w:rsidR="00BC62E1" w:rsidRPr="00E35976">
        <w:rPr>
          <w:rFonts w:ascii="Gill Sans MT" w:hAnsi="Gill Sans MT"/>
        </w:rPr>
        <w:t>a</w:t>
      </w:r>
      <w:r w:rsidRPr="00E35976">
        <w:rPr>
          <w:rFonts w:ascii="Gill Sans MT" w:hAnsi="Gill Sans MT"/>
        </w:rPr>
        <w:t xml:space="preserve">pproaches in averting </w:t>
      </w:r>
      <w:r w:rsidR="00AC19B4" w:rsidRPr="00E35976">
        <w:rPr>
          <w:rFonts w:ascii="Gill Sans MT" w:hAnsi="Gill Sans MT"/>
        </w:rPr>
        <w:t>alcohol, tobacco and other drugs use in Tasmania</w:t>
      </w:r>
      <w:r w:rsidRPr="00E35976">
        <w:rPr>
          <w:rFonts w:ascii="Gill Sans MT" w:hAnsi="Gill Sans MT"/>
        </w:rPr>
        <w:t xml:space="preserve">.  </w:t>
      </w:r>
      <w:r w:rsidRPr="00E35976">
        <w:rPr>
          <w:rFonts w:ascii="Gill Sans MT" w:hAnsi="Gill Sans MT"/>
          <w:i/>
        </w:rPr>
        <w:lastRenderedPageBreak/>
        <w:t>Everybody’s Business</w:t>
      </w:r>
      <w:r w:rsidRPr="00E35976">
        <w:rPr>
          <w:rFonts w:ascii="Gill Sans MT" w:hAnsi="Gill Sans MT"/>
        </w:rPr>
        <w:t xml:space="preserve"> strengthens the importance of health promotion, prevention of harms and early intervention in the Tasmanian context and guides the formulation and development of PPEI activities and actions.</w:t>
      </w:r>
    </w:p>
    <w:p w14:paraId="23C94520" w14:textId="46BB43C8" w:rsidR="00C5778C" w:rsidRPr="00E35976" w:rsidRDefault="00C5778C" w:rsidP="00204862">
      <w:pPr>
        <w:keepNext/>
        <w:spacing w:after="140" w:line="300" w:lineRule="atLeast"/>
        <w:rPr>
          <w:rFonts w:ascii="Gill Sans MT" w:hAnsi="Gill Sans MT"/>
        </w:rPr>
      </w:pPr>
      <w:r w:rsidRPr="00E35976">
        <w:rPr>
          <w:rFonts w:ascii="Gill Sans MT" w:hAnsi="Gill Sans MT"/>
        </w:rPr>
        <w:t xml:space="preserve">The Drug Education Network is the lead agency to support the implementation of </w:t>
      </w:r>
      <w:r w:rsidR="00AC19B4" w:rsidRPr="00E35976">
        <w:rPr>
          <w:rFonts w:ascii="Gill Sans MT" w:hAnsi="Gill Sans MT"/>
        </w:rPr>
        <w:t xml:space="preserve">alcohol, tobacco and other drugs </w:t>
      </w:r>
      <w:r w:rsidRPr="00E35976">
        <w:rPr>
          <w:rFonts w:ascii="Gill Sans MT" w:hAnsi="Gill Sans MT"/>
        </w:rPr>
        <w:t>PPEI activities, and is required to report annually to the IAWGD</w:t>
      </w:r>
      <w:r w:rsidR="00137789" w:rsidRPr="00E35976">
        <w:rPr>
          <w:rFonts w:ascii="Gill Sans MT" w:hAnsi="Gill Sans MT"/>
        </w:rPr>
        <w:t>.</w:t>
      </w:r>
    </w:p>
    <w:p w14:paraId="7B6D97D1" w14:textId="77777777" w:rsidR="006926C1" w:rsidRPr="00E35976" w:rsidRDefault="006B0DC3" w:rsidP="00B46215">
      <w:pPr>
        <w:pStyle w:val="Heading3"/>
        <w:rPr>
          <w:rFonts w:ascii="Gill Sans MT" w:hAnsi="Gill Sans MT"/>
        </w:rPr>
      </w:pPr>
      <w:bookmarkStart w:id="25" w:name="_Toc25584664"/>
      <w:r w:rsidRPr="00E35976">
        <w:rPr>
          <w:rFonts w:ascii="Gill Sans MT" w:hAnsi="Gill Sans MT"/>
        </w:rPr>
        <w:t>Ministerial Drug and Alcohol Forum and National Drug Strategy Committee</w:t>
      </w:r>
      <w:r w:rsidR="00D30969" w:rsidRPr="00E35976">
        <w:rPr>
          <w:rFonts w:ascii="Gill Sans MT" w:hAnsi="Gill Sans MT"/>
        </w:rPr>
        <w:t xml:space="preserve"> (National)</w:t>
      </w:r>
      <w:bookmarkEnd w:id="25"/>
    </w:p>
    <w:p w14:paraId="366619CC" w14:textId="77777777" w:rsidR="00637188" w:rsidRPr="00E35976" w:rsidRDefault="00637188" w:rsidP="005D5D81">
      <w:pPr>
        <w:widowControl w:val="0"/>
        <w:spacing w:after="140" w:line="300" w:lineRule="atLeast"/>
        <w:rPr>
          <w:rFonts w:ascii="Gill Sans MT" w:hAnsi="Gill Sans MT" w:cs="Arial"/>
        </w:rPr>
      </w:pPr>
      <w:r w:rsidRPr="00E35976">
        <w:rPr>
          <w:rFonts w:ascii="Gill Sans MT" w:hAnsi="Gill Sans MT" w:cs="Arial"/>
        </w:rPr>
        <w:t>The establishment of the Ministerial Drug and Alcohol Forum (MDAF) directly addresses Recommendation 32 of the final report of the National Ice Taskforce:</w:t>
      </w:r>
    </w:p>
    <w:p w14:paraId="05F87E1B" w14:textId="77777777" w:rsidR="00637188" w:rsidRPr="00E35976" w:rsidRDefault="00637188" w:rsidP="005D5D81">
      <w:pPr>
        <w:widowControl w:val="0"/>
        <w:tabs>
          <w:tab w:val="left" w:pos="426"/>
        </w:tabs>
        <w:spacing w:after="140" w:line="300" w:lineRule="atLeast"/>
        <w:ind w:left="357"/>
        <w:rPr>
          <w:rFonts w:ascii="Gill Sans MT" w:hAnsi="Gill Sans MT" w:cs="Arial"/>
        </w:rPr>
      </w:pPr>
      <w:r w:rsidRPr="00E35976">
        <w:rPr>
          <w:rFonts w:ascii="Gill Sans MT" w:hAnsi="Gill Sans MT" w:cs="Arial"/>
          <w:b/>
        </w:rPr>
        <w:t>Recommendation 32:</w:t>
      </w:r>
      <w:r w:rsidRPr="00E35976">
        <w:rPr>
          <w:rFonts w:ascii="Gill Sans MT" w:hAnsi="Gill Sans MT" w:cs="Arial"/>
        </w:rPr>
        <w:t xml:space="preserve"> The Commonwealth, state and territory governments should introduce a simplified governance model to support greater cohesion and coordination of law enforcement, health, education and other responses to drug misuse in Australia, with a direct line of authority to relevant Ministers responsible for contributing to a national approach. </w:t>
      </w:r>
    </w:p>
    <w:p w14:paraId="290A80DE" w14:textId="1B6CDDE8" w:rsidR="00637188" w:rsidRPr="00E35976" w:rsidRDefault="00637188" w:rsidP="005D5D81">
      <w:pPr>
        <w:pStyle w:val="BulletedListLevel1"/>
        <w:keepLines w:val="0"/>
        <w:widowControl w:val="0"/>
        <w:numPr>
          <w:ilvl w:val="0"/>
          <w:numId w:val="0"/>
        </w:numPr>
        <w:rPr>
          <w:i/>
          <w:sz w:val="22"/>
          <w:szCs w:val="22"/>
        </w:rPr>
      </w:pPr>
      <w:r w:rsidRPr="00E35976">
        <w:rPr>
          <w:sz w:val="22"/>
          <w:szCs w:val="22"/>
        </w:rPr>
        <w:t>The Ministers for Health and Police</w:t>
      </w:r>
      <w:r w:rsidR="002B793F" w:rsidRPr="00E35976">
        <w:rPr>
          <w:sz w:val="22"/>
          <w:szCs w:val="22"/>
        </w:rPr>
        <w:t xml:space="preserve"> are represented</w:t>
      </w:r>
      <w:r w:rsidRPr="00E35976">
        <w:rPr>
          <w:sz w:val="22"/>
          <w:szCs w:val="22"/>
        </w:rPr>
        <w:t xml:space="preserve"> at MDAF.  A National Drug Strategy Committee (NDSC) was also established to support MDAF.  IAWGD Chair and Deputy Chair, Michael Reynolds and </w:t>
      </w:r>
      <w:r w:rsidR="00127840" w:rsidRPr="00E35976">
        <w:rPr>
          <w:sz w:val="22"/>
          <w:szCs w:val="22"/>
        </w:rPr>
        <w:t>Assistant Commissioner</w:t>
      </w:r>
      <w:r w:rsidR="00EB7AE9" w:rsidRPr="00E35976">
        <w:rPr>
          <w:sz w:val="22"/>
          <w:szCs w:val="22"/>
        </w:rPr>
        <w:t>,</w:t>
      </w:r>
      <w:r w:rsidR="00127840" w:rsidRPr="00E35976">
        <w:rPr>
          <w:sz w:val="22"/>
          <w:szCs w:val="22"/>
        </w:rPr>
        <w:t xml:space="preserve"> </w:t>
      </w:r>
      <w:r w:rsidRPr="00E35976">
        <w:rPr>
          <w:sz w:val="22"/>
          <w:szCs w:val="22"/>
        </w:rPr>
        <w:t xml:space="preserve">Glenn Frame </w:t>
      </w:r>
      <w:r w:rsidR="002B793F" w:rsidRPr="00E35976">
        <w:rPr>
          <w:sz w:val="22"/>
          <w:szCs w:val="22"/>
        </w:rPr>
        <w:t>were</w:t>
      </w:r>
      <w:r w:rsidRPr="00E35976">
        <w:rPr>
          <w:sz w:val="22"/>
          <w:szCs w:val="22"/>
        </w:rPr>
        <w:t xml:space="preserve"> the Tasmanian representatives on the NDSC</w:t>
      </w:r>
      <w:r w:rsidR="002B793F" w:rsidRPr="00E35976">
        <w:rPr>
          <w:sz w:val="22"/>
          <w:szCs w:val="22"/>
        </w:rPr>
        <w:t xml:space="preserve"> during the reporting period</w:t>
      </w:r>
      <w:r w:rsidRPr="00E35976">
        <w:rPr>
          <w:sz w:val="22"/>
          <w:szCs w:val="22"/>
        </w:rPr>
        <w:t xml:space="preserve">. </w:t>
      </w:r>
    </w:p>
    <w:p w14:paraId="12FE7AD3" w14:textId="3A89C9D3" w:rsidR="00637188" w:rsidRPr="00E35976" w:rsidRDefault="00C97FC9" w:rsidP="005D5D81">
      <w:pPr>
        <w:widowControl w:val="0"/>
        <w:tabs>
          <w:tab w:val="left" w:pos="0"/>
        </w:tabs>
        <w:suppressAutoHyphens/>
        <w:spacing w:after="140" w:line="300" w:lineRule="atLeast"/>
        <w:rPr>
          <w:rFonts w:ascii="Gill Sans MT" w:eastAsia="Times New Roman" w:hAnsi="Gill Sans MT"/>
          <w:lang w:eastAsia="ar-SA"/>
        </w:rPr>
      </w:pPr>
      <w:r w:rsidRPr="00E35976">
        <w:rPr>
          <w:rFonts w:ascii="Gill Sans MT" w:eastAsia="Times New Roman" w:hAnsi="Gill Sans MT"/>
          <w:lang w:eastAsia="ar-SA"/>
        </w:rPr>
        <w:t>In 2017-18</w:t>
      </w:r>
      <w:r w:rsidR="00637188" w:rsidRPr="00E35976">
        <w:rPr>
          <w:rFonts w:ascii="Gill Sans MT" w:eastAsia="Times New Roman" w:hAnsi="Gill Sans MT"/>
          <w:lang w:eastAsia="ar-SA"/>
        </w:rPr>
        <w:t xml:space="preserve">, MDAF: </w:t>
      </w:r>
    </w:p>
    <w:p w14:paraId="47BAB0A4" w14:textId="5AB1D75D" w:rsidR="00C97C1F" w:rsidRPr="00E35976" w:rsidRDefault="00C97C1F" w:rsidP="005D5D81">
      <w:pPr>
        <w:pStyle w:val="ListParagraph"/>
        <w:widowControl w:val="0"/>
        <w:numPr>
          <w:ilvl w:val="0"/>
          <w:numId w:val="10"/>
        </w:numPr>
        <w:autoSpaceDE w:val="0"/>
        <w:autoSpaceDN w:val="0"/>
        <w:adjustRightInd w:val="0"/>
        <w:spacing w:after="140" w:line="300" w:lineRule="atLeast"/>
        <w:ind w:left="714" w:hanging="357"/>
        <w:contextualSpacing w:val="0"/>
        <w:rPr>
          <w:rFonts w:ascii="Gill Sans MT" w:hAnsi="Gill Sans MT" w:cs="Times New Roman+FPEF"/>
        </w:rPr>
      </w:pPr>
      <w:r w:rsidRPr="00E35976">
        <w:rPr>
          <w:rFonts w:ascii="Gill Sans MT" w:hAnsi="Gill Sans MT" w:cs="Times New Roman+FPEF"/>
        </w:rPr>
        <w:t xml:space="preserve">Endorsed the final </w:t>
      </w:r>
      <w:r w:rsidR="00426873" w:rsidRPr="00E35976">
        <w:rPr>
          <w:rFonts w:ascii="Gill Sans MT" w:hAnsi="Gill Sans MT" w:cs="Times New Roman+FPEF"/>
        </w:rPr>
        <w:t>NDS</w:t>
      </w:r>
      <w:r w:rsidRPr="00E35976">
        <w:rPr>
          <w:rFonts w:ascii="Gill Sans MT" w:hAnsi="Gill Sans MT" w:cs="Times New Roman+FPEF"/>
        </w:rPr>
        <w:t xml:space="preserve"> 2017-2026 which was released in </w:t>
      </w:r>
      <w:proofErr w:type="gramStart"/>
      <w:r w:rsidRPr="00E35976">
        <w:rPr>
          <w:rFonts w:ascii="Gill Sans MT" w:hAnsi="Gill Sans MT" w:cs="Times New Roman+FPEF"/>
        </w:rPr>
        <w:t>September 2017, and</w:t>
      </w:r>
      <w:proofErr w:type="gramEnd"/>
      <w:r w:rsidRPr="00E35976">
        <w:rPr>
          <w:rFonts w:ascii="Gill Sans MT" w:hAnsi="Gill Sans MT" w:cs="Times New Roman+FPEF"/>
        </w:rPr>
        <w:t xml:space="preserve"> will run for a period of 10 years</w:t>
      </w:r>
      <w:r w:rsidR="00EB7AE9" w:rsidRPr="00E35976">
        <w:rPr>
          <w:rFonts w:ascii="Gill Sans MT" w:hAnsi="Gill Sans MT" w:cs="Times New Roman+FPEF"/>
        </w:rPr>
        <w:t xml:space="preserve"> for the first time</w:t>
      </w:r>
      <w:r w:rsidRPr="00E35976">
        <w:rPr>
          <w:rFonts w:ascii="Gill Sans MT" w:hAnsi="Gill Sans MT" w:cs="Times New Roman+FPEF"/>
        </w:rPr>
        <w:t>.</w:t>
      </w:r>
    </w:p>
    <w:p w14:paraId="60176210" w14:textId="39522BF7" w:rsidR="00C97C1F" w:rsidRPr="00E35976" w:rsidRDefault="00C97C1F" w:rsidP="005D5D81">
      <w:pPr>
        <w:pStyle w:val="ListParagraph"/>
        <w:widowControl w:val="0"/>
        <w:numPr>
          <w:ilvl w:val="0"/>
          <w:numId w:val="10"/>
        </w:numPr>
        <w:autoSpaceDE w:val="0"/>
        <w:autoSpaceDN w:val="0"/>
        <w:adjustRightInd w:val="0"/>
        <w:spacing w:after="140" w:line="300" w:lineRule="atLeast"/>
        <w:ind w:left="714" w:hanging="357"/>
        <w:contextualSpacing w:val="0"/>
        <w:rPr>
          <w:rFonts w:ascii="Gill Sans MT" w:hAnsi="Gill Sans MT" w:cs="Times New Roman+FPEF"/>
        </w:rPr>
      </w:pPr>
      <w:r w:rsidRPr="00E35976">
        <w:rPr>
          <w:rFonts w:ascii="Gill Sans MT" w:hAnsi="Gill Sans MT" w:cs="Times New Roman+FPEF"/>
        </w:rPr>
        <w:t xml:space="preserve">Launched the new National Alcohol and Other Drugs Hotline – 1800 250 015 </w:t>
      </w:r>
      <w:r w:rsidR="00EB7AE9" w:rsidRPr="00E35976">
        <w:rPr>
          <w:rFonts w:ascii="Gill Sans MT" w:hAnsi="Gill Sans MT" w:cs="Times New Roman+FPEF"/>
        </w:rPr>
        <w:t xml:space="preserve">– </w:t>
      </w:r>
      <w:r w:rsidRPr="00E35976">
        <w:rPr>
          <w:rFonts w:ascii="Gill Sans MT" w:hAnsi="Gill Sans MT" w:cs="Times New Roman+FPEF"/>
        </w:rPr>
        <w:t>which is linked to existing state and territory telephone information services.</w:t>
      </w:r>
    </w:p>
    <w:p w14:paraId="7C19DB85" w14:textId="739FEFB6" w:rsidR="00C97C1F" w:rsidRPr="00E35976" w:rsidRDefault="00C97C1F" w:rsidP="005D5D81">
      <w:pPr>
        <w:pStyle w:val="ListBullet"/>
        <w:widowControl w:val="0"/>
        <w:numPr>
          <w:ilvl w:val="0"/>
          <w:numId w:val="10"/>
        </w:numPr>
        <w:spacing w:line="280" w:lineRule="atLeast"/>
        <w:ind w:left="714" w:hanging="357"/>
        <w:jc w:val="both"/>
        <w:rPr>
          <w:szCs w:val="22"/>
        </w:rPr>
      </w:pPr>
      <w:r w:rsidRPr="00E35976">
        <w:rPr>
          <w:rFonts w:cs="Times New Roman+FPEF"/>
          <w:szCs w:val="22"/>
        </w:rPr>
        <w:t xml:space="preserve">Agreed to </w:t>
      </w:r>
      <w:r w:rsidR="00EB7AE9" w:rsidRPr="00E35976">
        <w:rPr>
          <w:rFonts w:cs="Times New Roman+FPEF"/>
          <w:szCs w:val="22"/>
        </w:rPr>
        <w:t>progress</w:t>
      </w:r>
      <w:r w:rsidRPr="00E35976">
        <w:rPr>
          <w:rFonts w:cs="Times New Roman+FPEF"/>
          <w:szCs w:val="22"/>
        </w:rPr>
        <w:t xml:space="preserve"> the development of the National Alcohol Strategy (a sub-strategy of the National Drug Strategy) as a priority. Consultation on the new National Alcohol Strategy </w:t>
      </w:r>
      <w:r w:rsidR="00426873" w:rsidRPr="00E35976">
        <w:rPr>
          <w:rFonts w:cs="Times New Roman+FPEF"/>
          <w:szCs w:val="22"/>
        </w:rPr>
        <w:t xml:space="preserve">(NAS) </w:t>
      </w:r>
      <w:r w:rsidRPr="00E35976">
        <w:rPr>
          <w:rFonts w:cs="Times New Roman+FPEF"/>
          <w:szCs w:val="22"/>
        </w:rPr>
        <w:t>2018-2026 was conducted between 11 December 2017 and 11 February 2018.</w:t>
      </w:r>
      <w:r w:rsidR="00BC62E1" w:rsidRPr="00E35976">
        <w:rPr>
          <w:rFonts w:cs="Times New Roman+FPEF"/>
          <w:szCs w:val="22"/>
        </w:rPr>
        <w:t xml:space="preserve"> Negotiations on the </w:t>
      </w:r>
      <w:r w:rsidR="00426873" w:rsidRPr="00E35976">
        <w:rPr>
          <w:rFonts w:cs="Times New Roman+FPEF"/>
          <w:szCs w:val="22"/>
        </w:rPr>
        <w:t>NAS</w:t>
      </w:r>
      <w:r w:rsidR="00BC62E1" w:rsidRPr="00E35976">
        <w:rPr>
          <w:rFonts w:cs="Times New Roman+FPEF"/>
          <w:szCs w:val="22"/>
        </w:rPr>
        <w:t xml:space="preserve"> will continue in 2019. </w:t>
      </w:r>
      <w:r w:rsidRPr="00E35976">
        <w:rPr>
          <w:rFonts w:cs="Times New Roman+FPEF"/>
          <w:szCs w:val="22"/>
        </w:rPr>
        <w:t xml:space="preserve">  </w:t>
      </w:r>
    </w:p>
    <w:p w14:paraId="07078A1C" w14:textId="229E86BB" w:rsidR="00C97C1F" w:rsidRPr="00E35976" w:rsidRDefault="00C97C1F" w:rsidP="005D5D81">
      <w:pPr>
        <w:pStyle w:val="BulletedListLevel1"/>
        <w:keepLines w:val="0"/>
        <w:widowControl w:val="0"/>
        <w:numPr>
          <w:ilvl w:val="0"/>
          <w:numId w:val="10"/>
        </w:numPr>
        <w:tabs>
          <w:tab w:val="clear" w:pos="1134"/>
        </w:tabs>
        <w:spacing w:line="280" w:lineRule="atLeast"/>
        <w:ind w:left="714" w:hanging="357"/>
        <w:jc w:val="both"/>
        <w:rPr>
          <w:sz w:val="22"/>
          <w:szCs w:val="22"/>
        </w:rPr>
      </w:pPr>
      <w:r w:rsidRPr="00E35976">
        <w:rPr>
          <w:rFonts w:cs="Times New Roman+FPEF"/>
          <w:sz w:val="22"/>
          <w:szCs w:val="22"/>
        </w:rPr>
        <w:t>Endorsed the National Quality Framework (NQF) for</w:t>
      </w:r>
      <w:r w:rsidR="00EB7AE9" w:rsidRPr="00E35976">
        <w:rPr>
          <w:rFonts w:cs="Times New Roman+FPEF"/>
          <w:sz w:val="22"/>
          <w:szCs w:val="22"/>
        </w:rPr>
        <w:t xml:space="preserve"> Alcohol and Other Drugs</w:t>
      </w:r>
      <w:r w:rsidRPr="00E35976">
        <w:rPr>
          <w:rFonts w:cs="Times New Roman+FPEF"/>
          <w:sz w:val="22"/>
          <w:szCs w:val="22"/>
        </w:rPr>
        <w:t xml:space="preserve"> </w:t>
      </w:r>
      <w:r w:rsidR="00EB7AE9" w:rsidRPr="00E35976">
        <w:rPr>
          <w:rFonts w:cs="Times New Roman+FPEF"/>
          <w:sz w:val="22"/>
          <w:szCs w:val="22"/>
        </w:rPr>
        <w:t>(</w:t>
      </w:r>
      <w:r w:rsidRPr="00E35976">
        <w:rPr>
          <w:rFonts w:cs="Times New Roman+FPEF"/>
          <w:sz w:val="22"/>
          <w:szCs w:val="22"/>
        </w:rPr>
        <w:t>AOD</w:t>
      </w:r>
      <w:r w:rsidR="00EB7AE9" w:rsidRPr="00E35976">
        <w:rPr>
          <w:rFonts w:cs="Times New Roman+FPEF"/>
          <w:sz w:val="22"/>
          <w:szCs w:val="22"/>
        </w:rPr>
        <w:t>)</w:t>
      </w:r>
      <w:r w:rsidRPr="00E35976">
        <w:rPr>
          <w:rFonts w:cs="Times New Roman+FPEF"/>
          <w:sz w:val="22"/>
          <w:szCs w:val="22"/>
        </w:rPr>
        <w:t xml:space="preserve"> services, noting that mapping against existing accreditation standards is still be to </w:t>
      </w:r>
      <w:proofErr w:type="gramStart"/>
      <w:r w:rsidRPr="00E35976">
        <w:rPr>
          <w:rFonts w:cs="Times New Roman+FPEF"/>
          <w:sz w:val="22"/>
          <w:szCs w:val="22"/>
        </w:rPr>
        <w:t>undertaken</w:t>
      </w:r>
      <w:proofErr w:type="gramEnd"/>
      <w:r w:rsidRPr="00E35976">
        <w:rPr>
          <w:rFonts w:cs="Times New Roman+FPEF"/>
          <w:sz w:val="22"/>
          <w:szCs w:val="22"/>
        </w:rPr>
        <w:t xml:space="preserve"> to determine acceptable standards to which all AOD services will be required to adhere, with a three year transition period. </w:t>
      </w:r>
      <w:r w:rsidRPr="00E35976">
        <w:rPr>
          <w:sz w:val="22"/>
          <w:szCs w:val="22"/>
        </w:rPr>
        <w:t>The NQF will be supported by a national register/directory of accredited treatment service providers to assist consumers identify services suitable to their needs.</w:t>
      </w:r>
    </w:p>
    <w:p w14:paraId="474A1356" w14:textId="397D4DE2" w:rsidR="00C97C1F" w:rsidRPr="00E35976" w:rsidRDefault="00C97C1F" w:rsidP="005D5D81">
      <w:pPr>
        <w:pStyle w:val="ListParagraph"/>
        <w:widowControl w:val="0"/>
        <w:numPr>
          <w:ilvl w:val="0"/>
          <w:numId w:val="10"/>
        </w:numPr>
        <w:autoSpaceDE w:val="0"/>
        <w:autoSpaceDN w:val="0"/>
        <w:adjustRightInd w:val="0"/>
        <w:spacing w:after="140" w:line="280" w:lineRule="atLeast"/>
        <w:ind w:left="714" w:hanging="357"/>
        <w:contextualSpacing w:val="0"/>
        <w:rPr>
          <w:rFonts w:ascii="Gill Sans MT" w:hAnsi="Gill Sans MT" w:cs="Times New Roman+FPEF"/>
        </w:rPr>
      </w:pPr>
      <w:r w:rsidRPr="00E35976">
        <w:rPr>
          <w:rFonts w:ascii="Gill Sans MT" w:hAnsi="Gill Sans MT" w:cs="Times New Roman+FPEF"/>
        </w:rPr>
        <w:t xml:space="preserve">Endorsed the scope and progression of the development </w:t>
      </w:r>
      <w:r w:rsidR="00156AC8" w:rsidRPr="00E35976">
        <w:rPr>
          <w:rFonts w:ascii="Gill Sans MT" w:hAnsi="Gill Sans MT" w:cs="Times New Roman+FPEF"/>
        </w:rPr>
        <w:t xml:space="preserve">for </w:t>
      </w:r>
      <w:r w:rsidRPr="00E35976">
        <w:rPr>
          <w:rFonts w:ascii="Gill Sans MT" w:hAnsi="Gill Sans MT" w:cs="Times New Roman+FPEF"/>
        </w:rPr>
        <w:t>the National Treatment Framework for AOD Services.</w:t>
      </w:r>
    </w:p>
    <w:p w14:paraId="7FD4A8CC" w14:textId="59BC0CA8" w:rsidR="00C97C1F" w:rsidRPr="00E35976" w:rsidRDefault="00C97C1F" w:rsidP="005D5D81">
      <w:pPr>
        <w:pStyle w:val="ListParagraph"/>
        <w:widowControl w:val="0"/>
        <w:numPr>
          <w:ilvl w:val="0"/>
          <w:numId w:val="10"/>
        </w:numPr>
        <w:autoSpaceDE w:val="0"/>
        <w:autoSpaceDN w:val="0"/>
        <w:adjustRightInd w:val="0"/>
        <w:spacing w:after="140" w:line="280" w:lineRule="atLeast"/>
        <w:ind w:left="714" w:hanging="357"/>
        <w:contextualSpacing w:val="0"/>
        <w:rPr>
          <w:rFonts w:ascii="Gill Sans MT" w:hAnsi="Gill Sans MT" w:cs="Times New Roman+FPEF"/>
        </w:rPr>
      </w:pPr>
      <w:r w:rsidRPr="00E35976">
        <w:rPr>
          <w:rFonts w:ascii="Gill Sans MT" w:hAnsi="Gill Sans MT" w:cs="Times New Roman+FPEF"/>
        </w:rPr>
        <w:t xml:space="preserve">Progressed development of the new National Fetal Alcohol Spectrum Disorders </w:t>
      </w:r>
      <w:r w:rsidR="00E81A39" w:rsidRPr="00E35976">
        <w:rPr>
          <w:rFonts w:ascii="Gill Sans MT" w:hAnsi="Gill Sans MT" w:cs="Times New Roman+FPEF"/>
        </w:rPr>
        <w:t xml:space="preserve">Strategic Action </w:t>
      </w:r>
      <w:r w:rsidRPr="00E35976">
        <w:rPr>
          <w:rFonts w:ascii="Gill Sans MT" w:hAnsi="Gill Sans MT" w:cs="Times New Roman+FPEF"/>
        </w:rPr>
        <w:t xml:space="preserve">Plan which will sit under the new </w:t>
      </w:r>
      <w:r w:rsidR="00426873" w:rsidRPr="00E35976">
        <w:rPr>
          <w:rFonts w:ascii="Gill Sans MT" w:hAnsi="Gill Sans MT" w:cs="Times New Roman+FPEF"/>
        </w:rPr>
        <w:t>NAS</w:t>
      </w:r>
      <w:r w:rsidRPr="00E35976">
        <w:rPr>
          <w:rFonts w:ascii="Gill Sans MT" w:hAnsi="Gill Sans MT" w:cs="Times New Roman+FPEF"/>
        </w:rPr>
        <w:t>.</w:t>
      </w:r>
    </w:p>
    <w:p w14:paraId="28EBF18D" w14:textId="6B0E5F0C" w:rsidR="002D3EEA" w:rsidRPr="00E35976" w:rsidRDefault="00C97C1F" w:rsidP="00D46361">
      <w:pPr>
        <w:pStyle w:val="ListParagraph"/>
        <w:widowControl w:val="0"/>
        <w:numPr>
          <w:ilvl w:val="0"/>
          <w:numId w:val="10"/>
        </w:numPr>
        <w:spacing w:after="140" w:line="280" w:lineRule="atLeast"/>
        <w:ind w:left="714" w:hanging="357"/>
        <w:contextualSpacing w:val="0"/>
        <w:rPr>
          <w:rFonts w:ascii="Gill Sans MT" w:eastAsiaTheme="majorEastAsia" w:hAnsi="Gill Sans MT" w:cstheme="majorBidi"/>
          <w:b/>
          <w:bCs/>
          <w:color w:val="4F81BD" w:themeColor="accent1"/>
          <w:sz w:val="26"/>
          <w:szCs w:val="26"/>
        </w:rPr>
      </w:pPr>
      <w:r w:rsidRPr="00E35976">
        <w:rPr>
          <w:rFonts w:ascii="Gill Sans MT" w:hAnsi="Gill Sans MT"/>
        </w:rPr>
        <w:t xml:space="preserve">Progressed renewal of the National Tobacco Strategy 2012-2018 for a further five years. A consultant was appointed and consultation with stakeholders occurred mid-2018.  </w:t>
      </w:r>
      <w:r w:rsidR="002D3EEA" w:rsidRPr="00E35976">
        <w:rPr>
          <w:rFonts w:ascii="Gill Sans MT" w:hAnsi="Gill Sans MT"/>
        </w:rPr>
        <w:br w:type="page"/>
      </w:r>
    </w:p>
    <w:p w14:paraId="7E9E74A7" w14:textId="77777777" w:rsidR="002D610F" w:rsidRPr="00E35976" w:rsidRDefault="002D610F" w:rsidP="00B46215">
      <w:pPr>
        <w:pStyle w:val="Heading2"/>
        <w:rPr>
          <w:rFonts w:ascii="Gill Sans MT" w:hAnsi="Gill Sans MT"/>
        </w:rPr>
      </w:pPr>
      <w:bookmarkStart w:id="26" w:name="_Toc25584665"/>
      <w:r w:rsidRPr="00E35976">
        <w:rPr>
          <w:rFonts w:ascii="Gill Sans MT" w:hAnsi="Gill Sans MT"/>
        </w:rPr>
        <w:lastRenderedPageBreak/>
        <w:t>Alcohol, tobacco and other drugs use and harms in Tasmania</w:t>
      </w:r>
      <w:bookmarkEnd w:id="26"/>
      <w:r w:rsidRPr="00E35976">
        <w:rPr>
          <w:rFonts w:ascii="Gill Sans MT" w:hAnsi="Gill Sans MT"/>
        </w:rPr>
        <w:t xml:space="preserve"> </w:t>
      </w:r>
    </w:p>
    <w:p w14:paraId="1FEE20FB" w14:textId="77777777" w:rsidR="002D610F" w:rsidRPr="00E35976" w:rsidRDefault="002D610F" w:rsidP="00BA55E7">
      <w:pPr>
        <w:keepNext/>
        <w:spacing w:after="140" w:line="260" w:lineRule="atLeast"/>
        <w:rPr>
          <w:rFonts w:ascii="Gill Sans MT" w:hAnsi="Gill Sans MT"/>
        </w:rPr>
      </w:pPr>
      <w:r w:rsidRPr="00E35976">
        <w:rPr>
          <w:rFonts w:ascii="Gill Sans MT" w:hAnsi="Gill Sans MT"/>
        </w:rPr>
        <w:t xml:space="preserve">The use of drugs, including alcohol, tobacco, illicit drugs and pharmaceuticals causes significant harms to individuals, families and the community.  The health harms </w:t>
      </w:r>
      <w:proofErr w:type="gramStart"/>
      <w:r w:rsidRPr="00E35976">
        <w:rPr>
          <w:rFonts w:ascii="Gill Sans MT" w:hAnsi="Gill Sans MT"/>
        </w:rPr>
        <w:t>includes</w:t>
      </w:r>
      <w:proofErr w:type="gramEnd"/>
      <w:r w:rsidRPr="00E35976">
        <w:rPr>
          <w:rFonts w:ascii="Gill Sans MT" w:hAnsi="Gill Sans MT"/>
        </w:rPr>
        <w:t xml:space="preserve"> increased risk of injuries and deaths, cancers, cardiovascular diseases, liver cirrhosis, mental health problems, and shortened life expectancy.  It also includes economic harms</w:t>
      </w:r>
      <w:r w:rsidR="0043360C" w:rsidRPr="00E35976">
        <w:rPr>
          <w:rFonts w:ascii="Gill Sans MT" w:hAnsi="Gill Sans MT"/>
        </w:rPr>
        <w:t xml:space="preserve"> arising</w:t>
      </w:r>
      <w:r w:rsidRPr="00E35976">
        <w:rPr>
          <w:rFonts w:ascii="Gill Sans MT" w:hAnsi="Gill Sans MT"/>
        </w:rPr>
        <w:t xml:space="preserve"> from </w:t>
      </w:r>
      <w:r w:rsidR="0043360C" w:rsidRPr="00E35976">
        <w:rPr>
          <w:rFonts w:ascii="Gill Sans MT" w:hAnsi="Gill Sans MT"/>
        </w:rPr>
        <w:t xml:space="preserve">the costs to </w:t>
      </w:r>
      <w:r w:rsidRPr="00E35976">
        <w:rPr>
          <w:rFonts w:ascii="Gill Sans MT" w:hAnsi="Gill Sans MT"/>
        </w:rPr>
        <w:t>health, hospital</w:t>
      </w:r>
      <w:r w:rsidR="0043360C" w:rsidRPr="00E35976">
        <w:rPr>
          <w:rFonts w:ascii="Gill Sans MT" w:hAnsi="Gill Sans MT"/>
        </w:rPr>
        <w:t>s</w:t>
      </w:r>
      <w:r w:rsidRPr="00E35976">
        <w:rPr>
          <w:rFonts w:ascii="Gill Sans MT" w:hAnsi="Gill Sans MT"/>
        </w:rPr>
        <w:t>, law enforcement and justice</w:t>
      </w:r>
      <w:r w:rsidR="0043360C" w:rsidRPr="00E35976">
        <w:rPr>
          <w:rFonts w:ascii="Gill Sans MT" w:hAnsi="Gill Sans MT"/>
        </w:rPr>
        <w:t xml:space="preserve"> systems</w:t>
      </w:r>
      <w:r w:rsidRPr="00E35976">
        <w:rPr>
          <w:rFonts w:ascii="Gill Sans MT" w:hAnsi="Gill Sans MT"/>
        </w:rPr>
        <w:t xml:space="preserve">, decreased productivity, associated criminal activity, reinforcement of marginalisation and disadvantage, domestic and family violence and child protection issues. Alcohol and other drug problems are also associated with social and health determinants such as discrimination, unemployment, homelessness, poverty and family breakdown. </w:t>
      </w:r>
    </w:p>
    <w:p w14:paraId="0D740FD5" w14:textId="4990923A" w:rsidR="00FE307B" w:rsidRPr="00E35976" w:rsidRDefault="00FE307B" w:rsidP="00BA55E7">
      <w:pPr>
        <w:keepNext/>
        <w:spacing w:after="140" w:line="260" w:lineRule="atLeast"/>
        <w:rPr>
          <w:rFonts w:ascii="Gill Sans MT" w:hAnsi="Gill Sans MT"/>
        </w:rPr>
      </w:pPr>
      <w:r w:rsidRPr="00E35976">
        <w:rPr>
          <w:rFonts w:ascii="Gill Sans MT" w:hAnsi="Gill Sans MT"/>
        </w:rPr>
        <w:t xml:space="preserve">The information below </w:t>
      </w:r>
      <w:r w:rsidR="008E20C0" w:rsidRPr="00E35976">
        <w:rPr>
          <w:rFonts w:ascii="Gill Sans MT" w:hAnsi="Gill Sans MT"/>
        </w:rPr>
        <w:t>has been provided with</w:t>
      </w:r>
      <w:r w:rsidRPr="00E35976">
        <w:rPr>
          <w:rFonts w:ascii="Gill Sans MT" w:hAnsi="Gill Sans MT"/>
        </w:rPr>
        <w:t xml:space="preserve"> data from the </w:t>
      </w:r>
      <w:r w:rsidR="00B31D37" w:rsidRPr="00E35976">
        <w:rPr>
          <w:rFonts w:ascii="Gill Sans MT" w:hAnsi="Gill Sans MT"/>
        </w:rPr>
        <w:t>2016-17</w:t>
      </w:r>
      <w:r w:rsidRPr="00E35976">
        <w:rPr>
          <w:rFonts w:ascii="Gill Sans MT" w:hAnsi="Gill Sans MT"/>
        </w:rPr>
        <w:t xml:space="preserve"> annual report as well as any updated data that has been made available during the </w:t>
      </w:r>
      <w:r w:rsidR="006F6E65" w:rsidRPr="00E35976">
        <w:rPr>
          <w:rFonts w:ascii="Gill Sans MT" w:hAnsi="Gill Sans MT"/>
        </w:rPr>
        <w:t xml:space="preserve">2017-18 </w:t>
      </w:r>
      <w:r w:rsidRPr="00E35976">
        <w:rPr>
          <w:rFonts w:ascii="Gill Sans MT" w:hAnsi="Gill Sans MT"/>
        </w:rPr>
        <w:t xml:space="preserve">reporting period. </w:t>
      </w:r>
    </w:p>
    <w:p w14:paraId="38901F45" w14:textId="68716B85" w:rsidR="00C9331A" w:rsidRPr="00E35976" w:rsidRDefault="008E20C0" w:rsidP="00BA55E7">
      <w:pPr>
        <w:keepNext/>
        <w:spacing w:after="140" w:line="260" w:lineRule="atLeast"/>
        <w:rPr>
          <w:rFonts w:ascii="Gill Sans MT" w:hAnsi="Gill Sans MT"/>
        </w:rPr>
      </w:pPr>
      <w:r w:rsidRPr="00E35976">
        <w:rPr>
          <w:rFonts w:ascii="Gill Sans MT" w:hAnsi="Gill Sans MT"/>
        </w:rPr>
        <w:t xml:space="preserve">The </w:t>
      </w:r>
      <w:r w:rsidR="00C9331A" w:rsidRPr="00E35976">
        <w:rPr>
          <w:rFonts w:ascii="Gill Sans MT" w:hAnsi="Gill Sans MT"/>
        </w:rPr>
        <w:t xml:space="preserve">Tasmanian Alcohol Data and Trends </w:t>
      </w:r>
      <w:r w:rsidR="00B10EAF" w:rsidRPr="00E35976">
        <w:rPr>
          <w:rFonts w:ascii="Gill Sans MT" w:hAnsi="Gill Sans MT"/>
        </w:rPr>
        <w:t>Report 2016</w:t>
      </w:r>
      <w:r w:rsidR="006C3835" w:rsidRPr="00E35976">
        <w:rPr>
          <w:rFonts w:ascii="Gill Sans MT" w:hAnsi="Gill Sans MT"/>
        </w:rPr>
        <w:t>,</w:t>
      </w:r>
      <w:r w:rsidR="00B10EAF" w:rsidRPr="00E35976">
        <w:rPr>
          <w:rFonts w:ascii="Gill Sans MT" w:hAnsi="Gill Sans MT"/>
        </w:rPr>
        <w:t xml:space="preserve"> </w:t>
      </w:r>
      <w:r w:rsidR="00C9331A" w:rsidRPr="00E35976">
        <w:rPr>
          <w:rFonts w:ascii="Gill Sans MT" w:hAnsi="Gill Sans MT"/>
        </w:rPr>
        <w:t>and associated fact sheets are available</w:t>
      </w:r>
      <w:r w:rsidR="00AF78E9" w:rsidRPr="00E35976">
        <w:rPr>
          <w:rFonts w:ascii="Gill Sans MT" w:hAnsi="Gill Sans MT"/>
        </w:rPr>
        <w:t xml:space="preserve"> from</w:t>
      </w:r>
      <w:r w:rsidRPr="00E35976">
        <w:rPr>
          <w:rFonts w:ascii="Gill Sans MT" w:hAnsi="Gill Sans MT"/>
        </w:rPr>
        <w:t xml:space="preserve"> the</w:t>
      </w:r>
      <w:r w:rsidR="000056D4" w:rsidRPr="00E35976">
        <w:rPr>
          <w:rFonts w:ascii="Gill Sans MT" w:hAnsi="Gill Sans MT"/>
        </w:rPr>
        <w:t xml:space="preserve"> </w:t>
      </w:r>
      <w:r w:rsidR="00CC49B3" w:rsidRPr="00E35976">
        <w:rPr>
          <w:rFonts w:ascii="Gill Sans MT" w:hAnsi="Gill Sans MT"/>
        </w:rPr>
        <w:t>PHS</w:t>
      </w:r>
      <w:r w:rsidR="000056D4" w:rsidRPr="00E35976">
        <w:rPr>
          <w:rFonts w:ascii="Gill Sans MT" w:hAnsi="Gill Sans MT"/>
        </w:rPr>
        <w:t xml:space="preserve"> Publications </w:t>
      </w:r>
      <w:r w:rsidR="00BA0153" w:rsidRPr="00E35976">
        <w:rPr>
          <w:rFonts w:ascii="Gill Sans MT" w:hAnsi="Gill Sans MT"/>
        </w:rPr>
        <w:t xml:space="preserve">page </w:t>
      </w:r>
      <w:r w:rsidRPr="00E35976">
        <w:rPr>
          <w:rFonts w:ascii="Gill Sans MT" w:hAnsi="Gill Sans MT"/>
        </w:rPr>
        <w:t xml:space="preserve">– </w:t>
      </w:r>
      <w:hyperlink r:id="rId16" w:history="1">
        <w:r w:rsidR="000056D4" w:rsidRPr="00E35976">
          <w:rPr>
            <w:rStyle w:val="Hyperlink"/>
            <w:rFonts w:ascii="Gill Sans MT" w:hAnsi="Gill Sans MT"/>
          </w:rPr>
          <w:t>Tasmanian Alcohol Data and Trends Report 2016</w:t>
        </w:r>
      </w:hyperlink>
      <w:r w:rsidRPr="00E35976">
        <w:rPr>
          <w:rFonts w:ascii="Gill Sans MT" w:hAnsi="Gill Sans MT"/>
        </w:rPr>
        <w:t>.</w:t>
      </w:r>
    </w:p>
    <w:p w14:paraId="0C0C5916" w14:textId="7D2484B2" w:rsidR="002D610F" w:rsidRPr="00E35976" w:rsidRDefault="002D610F" w:rsidP="00BA55E7">
      <w:pPr>
        <w:keepNext/>
        <w:spacing w:after="140" w:line="260" w:lineRule="atLeast"/>
        <w:rPr>
          <w:rFonts w:ascii="Gill Sans MT" w:hAnsi="Gill Sans MT" w:cs="Aharoni"/>
        </w:rPr>
      </w:pPr>
      <w:r w:rsidRPr="00E35976">
        <w:rPr>
          <w:rFonts w:ascii="Gill Sans MT" w:hAnsi="Gill Sans MT" w:cs="Aharoni"/>
        </w:rPr>
        <w:t>According to the Australian Institute o</w:t>
      </w:r>
      <w:r w:rsidR="00FD7D28" w:rsidRPr="00E35976">
        <w:rPr>
          <w:rFonts w:ascii="Gill Sans MT" w:hAnsi="Gill Sans MT" w:cs="Aharoni"/>
        </w:rPr>
        <w:t>f Health and Welfare</w:t>
      </w:r>
      <w:r w:rsidR="008E20C0" w:rsidRPr="00E35976">
        <w:rPr>
          <w:rFonts w:ascii="Gill Sans MT" w:hAnsi="Gill Sans MT" w:cs="Aharoni"/>
        </w:rPr>
        <w:t>’s</w:t>
      </w:r>
      <w:r w:rsidRPr="00E35976">
        <w:rPr>
          <w:rFonts w:ascii="Gill Sans MT" w:hAnsi="Gill Sans MT" w:cs="Aharoni"/>
        </w:rPr>
        <w:t xml:space="preserve"> National Drug Strategy Household Survey</w:t>
      </w:r>
      <w:r w:rsidR="000633FC" w:rsidRPr="00E35976">
        <w:rPr>
          <w:rFonts w:ascii="Gill Sans MT" w:hAnsi="Gill Sans MT" w:cs="Aharoni"/>
        </w:rPr>
        <w:t xml:space="preserve"> </w:t>
      </w:r>
      <w:r w:rsidR="008E20C0" w:rsidRPr="00E35976">
        <w:rPr>
          <w:rFonts w:ascii="Gill Sans MT" w:hAnsi="Gill Sans MT" w:cs="Aharoni"/>
        </w:rPr>
        <w:t>2016</w:t>
      </w:r>
      <w:r w:rsidR="00426873" w:rsidRPr="00E35976">
        <w:rPr>
          <w:rFonts w:ascii="Gill Sans MT" w:hAnsi="Gill Sans MT" w:cs="Aharoni"/>
        </w:rPr>
        <w:t xml:space="preserve"> </w:t>
      </w:r>
      <w:r w:rsidR="000633FC" w:rsidRPr="00E35976">
        <w:rPr>
          <w:rFonts w:ascii="Gill Sans MT" w:hAnsi="Gill Sans MT" w:cs="Aharoni"/>
        </w:rPr>
        <w:t>(NDSHS)</w:t>
      </w:r>
      <w:r w:rsidRPr="00E35976">
        <w:rPr>
          <w:rStyle w:val="EndnoteReference"/>
          <w:rFonts w:ascii="Gill Sans MT" w:hAnsi="Gill Sans MT" w:cs="Aharoni"/>
        </w:rPr>
        <w:endnoteReference w:id="1"/>
      </w:r>
      <w:r w:rsidR="00165218" w:rsidRPr="00E35976">
        <w:rPr>
          <w:rFonts w:ascii="Gill Sans MT" w:hAnsi="Gill Sans MT" w:cs="Aharoni"/>
        </w:rPr>
        <w:t>,</w:t>
      </w:r>
      <w:r w:rsidR="00FD7D28" w:rsidRPr="00E35976">
        <w:rPr>
          <w:rFonts w:ascii="Gill Sans MT" w:hAnsi="Gill Sans MT" w:cs="Aharoni"/>
        </w:rPr>
        <w:t xml:space="preserve"> </w:t>
      </w:r>
      <w:r w:rsidRPr="00E35976">
        <w:rPr>
          <w:rFonts w:ascii="Gill Sans MT" w:hAnsi="Gill Sans MT" w:cs="Aharoni"/>
        </w:rPr>
        <w:t xml:space="preserve">alcohol and tobacco remained the most widely used drugs in Tasmania by those aged </w:t>
      </w:r>
      <w:r w:rsidR="00FD7D28" w:rsidRPr="00E35976">
        <w:rPr>
          <w:rFonts w:ascii="Gill Sans MT" w:hAnsi="Gill Sans MT" w:cs="Aharoni"/>
        </w:rPr>
        <w:t>14 years and over.  In 2016</w:t>
      </w:r>
      <w:r w:rsidRPr="00E35976">
        <w:rPr>
          <w:rFonts w:ascii="Gill Sans MT" w:hAnsi="Gill Sans MT" w:cs="Aharoni"/>
        </w:rPr>
        <w:t>, self-reported alcohol, tobacco and other drug use shows:</w:t>
      </w:r>
    </w:p>
    <w:p w14:paraId="50C24B40" w14:textId="3B9DB19B" w:rsidR="002D610F" w:rsidRPr="00E35976" w:rsidRDefault="00442D30" w:rsidP="00BA55E7">
      <w:pPr>
        <w:pStyle w:val="ListParagraph"/>
        <w:keepNext/>
        <w:numPr>
          <w:ilvl w:val="0"/>
          <w:numId w:val="3"/>
        </w:numPr>
        <w:spacing w:after="140" w:line="260" w:lineRule="atLeast"/>
        <w:ind w:left="567" w:hanging="567"/>
        <w:rPr>
          <w:rFonts w:ascii="Gill Sans MT" w:hAnsi="Gill Sans MT" w:cs="Aharoni"/>
        </w:rPr>
      </w:pPr>
      <w:r w:rsidRPr="00E35976">
        <w:rPr>
          <w:rFonts w:ascii="Gill Sans MT" w:hAnsi="Gill Sans MT"/>
        </w:rPr>
        <w:t>16.0</w:t>
      </w:r>
      <w:r w:rsidR="002D610F" w:rsidRPr="00E35976">
        <w:rPr>
          <w:rFonts w:ascii="Gill Sans MT" w:hAnsi="Gill Sans MT"/>
        </w:rPr>
        <w:t xml:space="preserve"> per cent smoked daily, </w:t>
      </w:r>
      <w:r w:rsidRPr="00E35976">
        <w:rPr>
          <w:rFonts w:ascii="Gill Sans MT" w:hAnsi="Gill Sans MT"/>
        </w:rPr>
        <w:t>41</w:t>
      </w:r>
      <w:r w:rsidR="002D610F" w:rsidRPr="00E35976">
        <w:rPr>
          <w:rFonts w:ascii="Gill Sans MT" w:hAnsi="Gill Sans MT"/>
        </w:rPr>
        <w:t xml:space="preserve"> per cent exceeded the single occasion risk guidelines for alcohol consumption</w:t>
      </w:r>
      <w:r w:rsidRPr="00E35976">
        <w:rPr>
          <w:rStyle w:val="FootnoteReference"/>
          <w:rFonts w:ascii="Gill Sans MT" w:hAnsi="Gill Sans MT"/>
        </w:rPr>
        <w:footnoteReference w:id="1"/>
      </w:r>
      <w:r w:rsidR="002D610F" w:rsidRPr="00E35976">
        <w:rPr>
          <w:rFonts w:ascii="Gill Sans MT" w:hAnsi="Gill Sans MT"/>
        </w:rPr>
        <w:t xml:space="preserve"> </w:t>
      </w:r>
      <w:r w:rsidRPr="00E35976">
        <w:rPr>
          <w:rFonts w:ascii="Gill Sans MT" w:hAnsi="Gill Sans MT"/>
        </w:rPr>
        <w:t xml:space="preserve">(up from 30 per cent in 2013) </w:t>
      </w:r>
      <w:r w:rsidR="002D610F" w:rsidRPr="00E35976">
        <w:rPr>
          <w:rFonts w:ascii="Gill Sans MT" w:hAnsi="Gill Sans MT"/>
        </w:rPr>
        <w:t xml:space="preserve">and </w:t>
      </w:r>
      <w:r w:rsidRPr="00E35976">
        <w:rPr>
          <w:rFonts w:ascii="Gill Sans MT" w:hAnsi="Gill Sans MT"/>
        </w:rPr>
        <w:t xml:space="preserve">17.4 </w:t>
      </w:r>
      <w:r w:rsidR="002D610F" w:rsidRPr="00E35976">
        <w:rPr>
          <w:rFonts w:ascii="Gill Sans MT" w:hAnsi="Gill Sans MT"/>
        </w:rPr>
        <w:t xml:space="preserve">per cent </w:t>
      </w:r>
      <w:r w:rsidRPr="00E35976">
        <w:rPr>
          <w:rFonts w:ascii="Gill Sans MT" w:hAnsi="Gill Sans MT"/>
        </w:rPr>
        <w:t>reported recent use of any illicit drug (up from 15.1 per cent in 2013, and higher than the national average of 15.6 per cent</w:t>
      </w:r>
      <w:r w:rsidR="008E20C0" w:rsidRPr="00E35976">
        <w:rPr>
          <w:rFonts w:ascii="Gill Sans MT" w:hAnsi="Gill Sans MT"/>
        </w:rPr>
        <w:t>)</w:t>
      </w:r>
      <w:r w:rsidR="002D610F" w:rsidRPr="00E35976">
        <w:rPr>
          <w:rFonts w:ascii="Gill Sans MT" w:hAnsi="Gill Sans MT"/>
        </w:rPr>
        <w:t>.</w:t>
      </w:r>
    </w:p>
    <w:p w14:paraId="48CDC12C" w14:textId="77777777" w:rsidR="00442D30" w:rsidRPr="00E35976" w:rsidRDefault="00442D30" w:rsidP="00BA55E7">
      <w:pPr>
        <w:pStyle w:val="BulletedListLevel1"/>
        <w:keepNext/>
        <w:keepLines w:val="0"/>
        <w:spacing w:line="260" w:lineRule="atLeast"/>
        <w:rPr>
          <w:sz w:val="22"/>
          <w:szCs w:val="22"/>
        </w:rPr>
      </w:pPr>
      <w:r w:rsidRPr="00E35976">
        <w:rPr>
          <w:sz w:val="22"/>
          <w:szCs w:val="22"/>
        </w:rPr>
        <w:t>Tasmania reported the least improvement between 2001 and 2016 of daily smokers (from 20.6 per cent to 16 per cent).  This was the second highest smoking rate after the Northern Territory (17.2 per cent).</w:t>
      </w:r>
    </w:p>
    <w:p w14:paraId="1878968B" w14:textId="108C0FB0" w:rsidR="00442D30" w:rsidRPr="00E35976" w:rsidRDefault="00442D30" w:rsidP="00BA55E7">
      <w:pPr>
        <w:pStyle w:val="BulletedListLevel1"/>
        <w:keepNext/>
        <w:keepLines w:val="0"/>
        <w:spacing w:line="260" w:lineRule="atLeast"/>
        <w:rPr>
          <w:sz w:val="22"/>
          <w:szCs w:val="22"/>
        </w:rPr>
      </w:pPr>
      <w:r w:rsidRPr="00E35976">
        <w:rPr>
          <w:sz w:val="22"/>
          <w:szCs w:val="22"/>
        </w:rPr>
        <w:t xml:space="preserve">Tasmania had the highest proportion of </w:t>
      </w:r>
      <w:r w:rsidR="008E20C0" w:rsidRPr="00E35976">
        <w:rPr>
          <w:sz w:val="22"/>
          <w:szCs w:val="22"/>
        </w:rPr>
        <w:t xml:space="preserve">daily smokers </w:t>
      </w:r>
      <w:r w:rsidRPr="00E35976">
        <w:rPr>
          <w:sz w:val="22"/>
          <w:szCs w:val="22"/>
        </w:rPr>
        <w:t xml:space="preserve">in their 20s (20 per cent), 30s (21.4 per cent) and 40s (21 per cent). </w:t>
      </w:r>
    </w:p>
    <w:p w14:paraId="65341900" w14:textId="4B7F6C04" w:rsidR="00442D30" w:rsidRPr="00E35976" w:rsidRDefault="00442D30" w:rsidP="00BA55E7">
      <w:pPr>
        <w:pStyle w:val="BulletedListLevel1"/>
        <w:keepNext/>
        <w:spacing w:line="260" w:lineRule="atLeast"/>
        <w:rPr>
          <w:sz w:val="22"/>
          <w:szCs w:val="22"/>
        </w:rPr>
      </w:pPr>
      <w:r w:rsidRPr="00E35976">
        <w:rPr>
          <w:sz w:val="22"/>
          <w:szCs w:val="22"/>
        </w:rPr>
        <w:t xml:space="preserve">Daily drinking status in Tasmania for those aged 14 years and over was 5.6 per cent and weekly drinking </w:t>
      </w:r>
      <w:r w:rsidR="008E20C0" w:rsidRPr="00E35976">
        <w:rPr>
          <w:sz w:val="22"/>
          <w:szCs w:val="22"/>
        </w:rPr>
        <w:t>was</w:t>
      </w:r>
      <w:r w:rsidRPr="00E35976">
        <w:rPr>
          <w:sz w:val="22"/>
          <w:szCs w:val="22"/>
        </w:rPr>
        <w:t xml:space="preserve"> 37.1 per cent, compared to the national averages of 5.9 per cent and 35.8 per cent respectively. </w:t>
      </w:r>
    </w:p>
    <w:p w14:paraId="1AB01248" w14:textId="568A189E" w:rsidR="00F628F2" w:rsidRPr="00E35976" w:rsidRDefault="002D610F" w:rsidP="00BA55E7">
      <w:pPr>
        <w:pStyle w:val="BulletedListLevel1"/>
        <w:keepNext/>
        <w:keepLines w:val="0"/>
        <w:spacing w:line="260" w:lineRule="atLeast"/>
        <w:rPr>
          <w:sz w:val="22"/>
          <w:szCs w:val="22"/>
        </w:rPr>
      </w:pPr>
      <w:r w:rsidRPr="00E35976">
        <w:rPr>
          <w:sz w:val="22"/>
          <w:szCs w:val="22"/>
        </w:rPr>
        <w:t>The rate of single</w:t>
      </w:r>
      <w:r w:rsidR="008E20C0" w:rsidRPr="00E35976">
        <w:rPr>
          <w:sz w:val="22"/>
          <w:szCs w:val="22"/>
        </w:rPr>
        <w:t>-</w:t>
      </w:r>
      <w:r w:rsidRPr="00E35976">
        <w:rPr>
          <w:sz w:val="22"/>
          <w:szCs w:val="22"/>
        </w:rPr>
        <w:t xml:space="preserve">occasion risky drinking (more than </w:t>
      </w:r>
      <w:r w:rsidR="002B00CC" w:rsidRPr="00E35976">
        <w:rPr>
          <w:sz w:val="22"/>
          <w:szCs w:val="22"/>
        </w:rPr>
        <w:t>four</w:t>
      </w:r>
      <w:r w:rsidRPr="00E35976">
        <w:rPr>
          <w:sz w:val="22"/>
          <w:szCs w:val="22"/>
        </w:rPr>
        <w:t xml:space="preserve"> standard drinks at least once a week) was </w:t>
      </w:r>
      <w:r w:rsidR="00F628F2" w:rsidRPr="00E35976">
        <w:rPr>
          <w:sz w:val="22"/>
          <w:szCs w:val="22"/>
        </w:rPr>
        <w:t>14.4</w:t>
      </w:r>
      <w:r w:rsidRPr="00E35976">
        <w:rPr>
          <w:sz w:val="22"/>
          <w:szCs w:val="22"/>
        </w:rPr>
        <w:t xml:space="preserve"> per cent</w:t>
      </w:r>
      <w:r w:rsidR="008E20C0" w:rsidRPr="00E35976">
        <w:rPr>
          <w:sz w:val="22"/>
          <w:szCs w:val="22"/>
        </w:rPr>
        <w:t>,</w:t>
      </w:r>
      <w:r w:rsidR="002B00CC" w:rsidRPr="00E35976">
        <w:rPr>
          <w:sz w:val="22"/>
          <w:szCs w:val="22"/>
        </w:rPr>
        <w:t xml:space="preserve"> </w:t>
      </w:r>
      <w:r w:rsidR="00F628F2" w:rsidRPr="00E35976">
        <w:rPr>
          <w:sz w:val="22"/>
          <w:szCs w:val="22"/>
        </w:rPr>
        <w:t>down slightly from 16.1 per cent in 2016</w:t>
      </w:r>
      <w:r w:rsidRPr="00E35976">
        <w:rPr>
          <w:sz w:val="22"/>
          <w:szCs w:val="22"/>
        </w:rPr>
        <w:t xml:space="preserve">. </w:t>
      </w:r>
    </w:p>
    <w:p w14:paraId="6FBA229B" w14:textId="495C4B04" w:rsidR="00F628F2" w:rsidRPr="00E35976" w:rsidRDefault="00F628F2" w:rsidP="00BA55E7">
      <w:pPr>
        <w:pStyle w:val="BulletedListLevel1"/>
        <w:keepNext/>
        <w:spacing w:line="260" w:lineRule="atLeast"/>
        <w:rPr>
          <w:sz w:val="22"/>
          <w:szCs w:val="22"/>
        </w:rPr>
      </w:pPr>
      <w:r w:rsidRPr="00E35976">
        <w:rPr>
          <w:sz w:val="22"/>
          <w:szCs w:val="22"/>
        </w:rPr>
        <w:t xml:space="preserve">Across all jurisdictions, people in their </w:t>
      </w:r>
      <w:r w:rsidR="000727CB" w:rsidRPr="00E35976">
        <w:rPr>
          <w:sz w:val="22"/>
          <w:szCs w:val="22"/>
        </w:rPr>
        <w:t>twenties</w:t>
      </w:r>
      <w:r w:rsidRPr="00E35976">
        <w:rPr>
          <w:sz w:val="22"/>
          <w:szCs w:val="22"/>
        </w:rPr>
        <w:t xml:space="preserve"> were more likely to drink </w:t>
      </w:r>
      <w:r w:rsidR="002B00CC" w:rsidRPr="00E35976">
        <w:rPr>
          <w:sz w:val="22"/>
          <w:szCs w:val="22"/>
        </w:rPr>
        <w:t>five</w:t>
      </w:r>
      <w:r w:rsidRPr="00E35976">
        <w:rPr>
          <w:sz w:val="22"/>
          <w:szCs w:val="22"/>
        </w:rPr>
        <w:t xml:space="preserve"> or more standard drinks at least once a month, ranging from 33 per cent in the Australian Capital Territory to 53 per cent in Tasmania.  This compares to the national average of 39.9 per cent.</w:t>
      </w:r>
    </w:p>
    <w:p w14:paraId="52CE74F7" w14:textId="77777777" w:rsidR="00F628F2" w:rsidRPr="00E35976" w:rsidRDefault="00F628F2" w:rsidP="005D5D81">
      <w:pPr>
        <w:pStyle w:val="BulletedListLevel1"/>
        <w:keepLines w:val="0"/>
        <w:widowControl w:val="0"/>
        <w:spacing w:line="260" w:lineRule="atLeast"/>
        <w:rPr>
          <w:sz w:val="22"/>
          <w:szCs w:val="22"/>
        </w:rPr>
      </w:pPr>
      <w:r w:rsidRPr="00E35976">
        <w:rPr>
          <w:sz w:val="22"/>
          <w:szCs w:val="22"/>
        </w:rPr>
        <w:t>Use of any illicit drug</w:t>
      </w:r>
      <w:r w:rsidRPr="00E35976">
        <w:rPr>
          <w:rStyle w:val="FootnoteReference"/>
          <w:sz w:val="22"/>
          <w:szCs w:val="22"/>
        </w:rPr>
        <w:footnoteReference w:id="2"/>
      </w:r>
      <w:r w:rsidRPr="00E35976">
        <w:rPr>
          <w:sz w:val="22"/>
          <w:szCs w:val="22"/>
        </w:rPr>
        <w:t xml:space="preserve"> increased in Tasmania from 12.0 per cent in 2010 and</w:t>
      </w:r>
      <w:r w:rsidR="00D154C6" w:rsidRPr="00E35976">
        <w:rPr>
          <w:sz w:val="22"/>
          <w:szCs w:val="22"/>
        </w:rPr>
        <w:t xml:space="preserve"> </w:t>
      </w:r>
      <w:r w:rsidRPr="00E35976">
        <w:rPr>
          <w:sz w:val="22"/>
          <w:szCs w:val="22"/>
        </w:rPr>
        <w:t>15.1 per cent in 2013 to 17.4 per cent in 2016.  This is now higher than the national average of 15.6 per cent, and the second highest of all states and territories after the Northern Territory (21.6 per cent).</w:t>
      </w:r>
    </w:p>
    <w:p w14:paraId="556A0DDB" w14:textId="462209A1" w:rsidR="00F628F2" w:rsidRPr="00E35976" w:rsidRDefault="00F628F2" w:rsidP="005D5D81">
      <w:pPr>
        <w:pStyle w:val="BulletedListLevel1"/>
        <w:keepLines w:val="0"/>
        <w:widowControl w:val="0"/>
        <w:spacing w:line="260" w:lineRule="atLeast"/>
        <w:rPr>
          <w:sz w:val="22"/>
          <w:szCs w:val="22"/>
        </w:rPr>
      </w:pPr>
      <w:r w:rsidRPr="00E35976">
        <w:rPr>
          <w:sz w:val="22"/>
          <w:szCs w:val="22"/>
        </w:rPr>
        <w:t>Cannabis is the illicit drug most commonly used</w:t>
      </w:r>
      <w:r w:rsidR="00AF4F98" w:rsidRPr="00E35976">
        <w:rPr>
          <w:sz w:val="22"/>
          <w:szCs w:val="22"/>
        </w:rPr>
        <w:t xml:space="preserve"> at 12.4 per cent</w:t>
      </w:r>
      <w:r w:rsidRPr="00E35976">
        <w:rPr>
          <w:sz w:val="22"/>
          <w:szCs w:val="22"/>
        </w:rPr>
        <w:t xml:space="preserve">, followed by any pharmaceutical (excluding </w:t>
      </w:r>
      <w:r w:rsidR="000727CB" w:rsidRPr="00E35976">
        <w:rPr>
          <w:sz w:val="22"/>
          <w:szCs w:val="22"/>
        </w:rPr>
        <w:t>over the counter (</w:t>
      </w:r>
      <w:r w:rsidRPr="00E35976">
        <w:rPr>
          <w:sz w:val="22"/>
          <w:szCs w:val="22"/>
        </w:rPr>
        <w:t>OTC</w:t>
      </w:r>
      <w:r w:rsidR="000727CB" w:rsidRPr="00E35976">
        <w:rPr>
          <w:sz w:val="22"/>
          <w:szCs w:val="22"/>
        </w:rPr>
        <w:t>)</w:t>
      </w:r>
      <w:r w:rsidRPr="00E35976">
        <w:rPr>
          <w:rStyle w:val="FootnoteReference"/>
          <w:sz w:val="22"/>
          <w:szCs w:val="22"/>
        </w:rPr>
        <w:footnoteReference w:id="3"/>
      </w:r>
      <w:r w:rsidRPr="00E35976">
        <w:rPr>
          <w:sz w:val="22"/>
          <w:szCs w:val="22"/>
        </w:rPr>
        <w:t>) at 5.6 per cent.  Of the pharmaceuticals, pain-killers/analgesics and opioids (excluding OTC) for non-medical purposes were the most commonly reported at 3.3 per cent, followed by tranquillisers/sleeping pills at 2.9 per cent.</w:t>
      </w:r>
    </w:p>
    <w:p w14:paraId="60A27A80" w14:textId="0CBB7636" w:rsidR="00F628F2" w:rsidRPr="00E35976" w:rsidRDefault="00F628F2" w:rsidP="005D5D81">
      <w:pPr>
        <w:pStyle w:val="BulletedListLevel1"/>
        <w:keepLines w:val="0"/>
        <w:widowControl w:val="0"/>
        <w:spacing w:line="260" w:lineRule="atLeast"/>
        <w:rPr>
          <w:sz w:val="22"/>
          <w:szCs w:val="22"/>
        </w:rPr>
      </w:pPr>
      <w:r w:rsidRPr="00E35976">
        <w:rPr>
          <w:sz w:val="22"/>
          <w:szCs w:val="22"/>
        </w:rPr>
        <w:t>Across all jurisdictions, people aged 20–29 were the most likely to</w:t>
      </w:r>
      <w:r w:rsidR="00AF4F98" w:rsidRPr="00E35976">
        <w:rPr>
          <w:sz w:val="22"/>
          <w:szCs w:val="22"/>
        </w:rPr>
        <w:t xml:space="preserve"> have</w:t>
      </w:r>
      <w:r w:rsidRPr="00E35976">
        <w:rPr>
          <w:sz w:val="22"/>
          <w:szCs w:val="22"/>
        </w:rPr>
        <w:t xml:space="preserve"> use an illicit drug in </w:t>
      </w:r>
      <w:r w:rsidRPr="00E35976">
        <w:rPr>
          <w:sz w:val="22"/>
          <w:szCs w:val="22"/>
        </w:rPr>
        <w:lastRenderedPageBreak/>
        <w:t xml:space="preserve">the past 12 months. People living in Tasmania and Queensland had the highest proportion of people in their </w:t>
      </w:r>
      <w:r w:rsidR="000727CB" w:rsidRPr="00E35976">
        <w:rPr>
          <w:sz w:val="22"/>
          <w:szCs w:val="22"/>
        </w:rPr>
        <w:t xml:space="preserve">twenties </w:t>
      </w:r>
      <w:r w:rsidRPr="00E35976">
        <w:rPr>
          <w:sz w:val="22"/>
          <w:szCs w:val="22"/>
        </w:rPr>
        <w:t>who had recently used an illicit drug (33 per cent for both) while people in the Australian Capital Territory had the lowest (22 per cent).</w:t>
      </w:r>
    </w:p>
    <w:p w14:paraId="54426893" w14:textId="77777777" w:rsidR="00F628F2" w:rsidRPr="00E35976" w:rsidRDefault="00F628F2" w:rsidP="00BA55E7">
      <w:pPr>
        <w:pStyle w:val="BulletedListLevel1"/>
        <w:keepNext/>
        <w:spacing w:line="260" w:lineRule="atLeast"/>
        <w:rPr>
          <w:sz w:val="22"/>
          <w:szCs w:val="22"/>
        </w:rPr>
      </w:pPr>
      <w:r w:rsidRPr="00E35976">
        <w:rPr>
          <w:sz w:val="22"/>
          <w:szCs w:val="22"/>
        </w:rPr>
        <w:t>Across all jurisdictions, there were very few significant changes by age group except for people aged 60 or older living in Tasmania</w:t>
      </w:r>
      <w:r w:rsidR="00AF4F98" w:rsidRPr="00E35976">
        <w:rPr>
          <w:sz w:val="22"/>
          <w:szCs w:val="22"/>
        </w:rPr>
        <w:t xml:space="preserve"> who used drugs</w:t>
      </w:r>
      <w:r w:rsidRPr="00E35976">
        <w:rPr>
          <w:sz w:val="22"/>
          <w:szCs w:val="22"/>
        </w:rPr>
        <w:t xml:space="preserve">, which increased considerably from 3.7 per cent in 2013 to 10.1 per cent in 2016. </w:t>
      </w:r>
    </w:p>
    <w:p w14:paraId="12B2B4B5" w14:textId="77777777" w:rsidR="00F628F2" w:rsidRPr="00E35976" w:rsidRDefault="00F628F2" w:rsidP="00BA55E7">
      <w:pPr>
        <w:pStyle w:val="BulletedListLevel1"/>
        <w:keepNext/>
        <w:spacing w:line="260" w:lineRule="atLeast"/>
        <w:rPr>
          <w:sz w:val="22"/>
          <w:szCs w:val="22"/>
        </w:rPr>
      </w:pPr>
      <w:r w:rsidRPr="00E35976">
        <w:rPr>
          <w:sz w:val="22"/>
          <w:szCs w:val="22"/>
        </w:rPr>
        <w:t xml:space="preserve">Nationally, recent use (i.e. in the previous 12 months) of meth/amphetamines declined significantly between 2013 and 2016 – from 2.1 per cent to 1.4 per cent.  The decline was the most significant in New South Wales </w:t>
      </w:r>
      <w:r w:rsidR="00AF4F98" w:rsidRPr="00E35976">
        <w:rPr>
          <w:sz w:val="22"/>
          <w:szCs w:val="22"/>
        </w:rPr>
        <w:t xml:space="preserve">where it went </w:t>
      </w:r>
      <w:r w:rsidRPr="00E35976">
        <w:rPr>
          <w:sz w:val="22"/>
          <w:szCs w:val="22"/>
        </w:rPr>
        <w:t xml:space="preserve">from 1.4 per cent to 0.7 per cent. </w:t>
      </w:r>
    </w:p>
    <w:p w14:paraId="6CCB4D68" w14:textId="77777777" w:rsidR="00F628F2" w:rsidRPr="00E35976" w:rsidRDefault="00F628F2" w:rsidP="00BA55E7">
      <w:pPr>
        <w:pStyle w:val="BulletedListLevel1"/>
        <w:keepNext/>
        <w:spacing w:line="260" w:lineRule="atLeast"/>
        <w:rPr>
          <w:sz w:val="22"/>
          <w:szCs w:val="22"/>
        </w:rPr>
      </w:pPr>
      <w:r w:rsidRPr="00E35976">
        <w:rPr>
          <w:sz w:val="22"/>
          <w:szCs w:val="22"/>
        </w:rPr>
        <w:t>People living in Western Australia (2.7 per cent), Tasmania</w:t>
      </w:r>
      <w:r w:rsidRPr="00E35976">
        <w:rPr>
          <w:rStyle w:val="FootnoteReference"/>
          <w:sz w:val="22"/>
          <w:szCs w:val="22"/>
        </w:rPr>
        <w:footnoteReference w:id="4"/>
      </w:r>
      <w:r w:rsidRPr="00E35976">
        <w:rPr>
          <w:sz w:val="22"/>
          <w:szCs w:val="22"/>
        </w:rPr>
        <w:t xml:space="preserve"> (2.1 per cent) and South Australia (1.9 per cent) all reported higher rates than the national average of 1.4 per cent.</w:t>
      </w:r>
    </w:p>
    <w:p w14:paraId="4E657DD3" w14:textId="77777777" w:rsidR="001F6836" w:rsidRPr="00E35976" w:rsidRDefault="001F6836" w:rsidP="00BA55E7">
      <w:pPr>
        <w:pStyle w:val="BulletedListLevel1"/>
        <w:keepNext/>
        <w:keepLines w:val="0"/>
        <w:spacing w:line="260" w:lineRule="atLeast"/>
        <w:ind w:hanging="709"/>
        <w:rPr>
          <w:sz w:val="22"/>
          <w:szCs w:val="22"/>
        </w:rPr>
      </w:pPr>
      <w:r w:rsidRPr="00E35976">
        <w:rPr>
          <w:sz w:val="22"/>
          <w:szCs w:val="22"/>
        </w:rPr>
        <w:t>The table below summarises self-reported tobacco, alcohol and illicit drug use for Tasmania from the 2016 NDSHS, by Statistical Area Level.</w:t>
      </w:r>
    </w:p>
    <w:tbl>
      <w:tblPr>
        <w:tblW w:w="5297" w:type="pct"/>
        <w:tblInd w:w="-34" w:type="dxa"/>
        <w:tblLook w:val="04A0" w:firstRow="1" w:lastRow="0" w:firstColumn="1" w:lastColumn="0" w:noHBand="0" w:noVBand="1"/>
      </w:tblPr>
      <w:tblGrid>
        <w:gridCol w:w="96"/>
        <w:gridCol w:w="664"/>
        <w:gridCol w:w="873"/>
        <w:gridCol w:w="873"/>
        <w:gridCol w:w="873"/>
        <w:gridCol w:w="950"/>
        <w:gridCol w:w="845"/>
        <w:gridCol w:w="845"/>
        <w:gridCol w:w="900"/>
        <w:gridCol w:w="900"/>
        <w:gridCol w:w="900"/>
        <w:gridCol w:w="762"/>
        <w:gridCol w:w="94"/>
      </w:tblGrid>
      <w:tr w:rsidR="00965ADF" w:rsidRPr="00E35976" w14:paraId="54221437" w14:textId="77777777" w:rsidTr="00E35976">
        <w:trPr>
          <w:trHeight w:val="979"/>
          <w:tblHeader/>
        </w:trPr>
        <w:tc>
          <w:tcPr>
            <w:tcW w:w="397" w:type="pct"/>
            <w:gridSpan w:val="2"/>
            <w:tcBorders>
              <w:top w:val="nil"/>
              <w:left w:val="single" w:sz="4" w:space="0" w:color="auto"/>
              <w:bottom w:val="single" w:sz="4" w:space="0" w:color="auto"/>
              <w:right w:val="single" w:sz="4" w:space="0" w:color="auto"/>
            </w:tcBorders>
            <w:shd w:val="clear" w:color="auto" w:fill="auto"/>
            <w:noWrap/>
            <w:vAlign w:val="center"/>
            <w:hideMark/>
          </w:tcPr>
          <w:p w14:paraId="4A887D25" w14:textId="77777777"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SAL</w:t>
            </w:r>
          </w:p>
        </w:tc>
        <w:tc>
          <w:tcPr>
            <w:tcW w:w="456" w:type="pct"/>
            <w:tcBorders>
              <w:top w:val="nil"/>
              <w:left w:val="nil"/>
              <w:bottom w:val="single" w:sz="4" w:space="0" w:color="auto"/>
              <w:right w:val="single" w:sz="4" w:space="0" w:color="auto"/>
            </w:tcBorders>
            <w:shd w:val="clear" w:color="auto" w:fill="auto"/>
            <w:vAlign w:val="center"/>
            <w:hideMark/>
          </w:tcPr>
          <w:p w14:paraId="413953C7" w14:textId="4F4FD3CE" w:rsidR="00E35976" w:rsidRDefault="00E3597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Smoking status</w:t>
            </w:r>
          </w:p>
          <w:p w14:paraId="7135DACA" w14:textId="1F19F0D8"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Daily</w:t>
            </w:r>
          </w:p>
        </w:tc>
        <w:tc>
          <w:tcPr>
            <w:tcW w:w="456" w:type="pct"/>
            <w:tcBorders>
              <w:top w:val="nil"/>
              <w:left w:val="nil"/>
              <w:bottom w:val="single" w:sz="4" w:space="0" w:color="auto"/>
              <w:right w:val="single" w:sz="4" w:space="0" w:color="auto"/>
            </w:tcBorders>
            <w:shd w:val="clear" w:color="auto" w:fill="auto"/>
            <w:vAlign w:val="center"/>
            <w:hideMark/>
          </w:tcPr>
          <w:p w14:paraId="1B392596" w14:textId="7A63BD16" w:rsidR="00E35976" w:rsidRDefault="00E3597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Smoking status</w:t>
            </w:r>
          </w:p>
          <w:p w14:paraId="3A177C3B" w14:textId="447D6FDC"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Ex-</w:t>
            </w:r>
            <w:proofErr w:type="spellStart"/>
            <w:r w:rsidRPr="00E35976">
              <w:rPr>
                <w:rFonts w:ascii="Gill Sans MT" w:hAnsi="Gill Sans MT" w:cs="Arial"/>
                <w:b/>
                <w:bCs/>
                <w:color w:val="000000"/>
                <w:sz w:val="16"/>
                <w:szCs w:val="16"/>
              </w:rPr>
              <w:t>smoker</w:t>
            </w:r>
            <w:r w:rsidRPr="00E35976">
              <w:rPr>
                <w:rFonts w:ascii="Gill Sans MT" w:hAnsi="Gill Sans MT" w:cs="Arial"/>
                <w:b/>
                <w:bCs/>
                <w:color w:val="000000"/>
                <w:sz w:val="16"/>
                <w:szCs w:val="16"/>
                <w:vertAlign w:val="superscript"/>
              </w:rPr>
              <w:t>c</w:t>
            </w:r>
            <w:proofErr w:type="spellEnd"/>
          </w:p>
        </w:tc>
        <w:tc>
          <w:tcPr>
            <w:tcW w:w="456" w:type="pct"/>
            <w:tcBorders>
              <w:top w:val="nil"/>
              <w:left w:val="nil"/>
              <w:bottom w:val="single" w:sz="4" w:space="0" w:color="auto"/>
              <w:right w:val="single" w:sz="4" w:space="0" w:color="auto"/>
            </w:tcBorders>
            <w:shd w:val="clear" w:color="auto" w:fill="auto"/>
            <w:vAlign w:val="center"/>
            <w:hideMark/>
          </w:tcPr>
          <w:p w14:paraId="1803BDA4" w14:textId="628F07F4" w:rsidR="00E35976" w:rsidRDefault="00E3597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Smoking status</w:t>
            </w:r>
          </w:p>
          <w:p w14:paraId="3205BF39" w14:textId="5F59EDC6"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 xml:space="preserve">Never </w:t>
            </w:r>
            <w:proofErr w:type="spellStart"/>
            <w:r w:rsidRPr="00E35976">
              <w:rPr>
                <w:rFonts w:ascii="Gill Sans MT" w:hAnsi="Gill Sans MT" w:cs="Arial"/>
                <w:b/>
                <w:bCs/>
                <w:color w:val="000000"/>
                <w:sz w:val="16"/>
                <w:szCs w:val="16"/>
              </w:rPr>
              <w:t>smoked</w:t>
            </w:r>
            <w:r w:rsidRPr="00E35976">
              <w:rPr>
                <w:rFonts w:ascii="Gill Sans MT" w:hAnsi="Gill Sans MT" w:cs="Arial"/>
                <w:b/>
                <w:bCs/>
                <w:color w:val="000000"/>
                <w:sz w:val="16"/>
                <w:szCs w:val="16"/>
                <w:vertAlign w:val="superscript"/>
              </w:rPr>
              <w:t>d</w:t>
            </w:r>
            <w:proofErr w:type="spellEnd"/>
          </w:p>
        </w:tc>
        <w:tc>
          <w:tcPr>
            <w:tcW w:w="496" w:type="pct"/>
            <w:tcBorders>
              <w:top w:val="nil"/>
              <w:left w:val="nil"/>
              <w:bottom w:val="single" w:sz="4" w:space="0" w:color="auto"/>
              <w:right w:val="single" w:sz="4" w:space="0" w:color="auto"/>
            </w:tcBorders>
            <w:shd w:val="clear" w:color="auto" w:fill="auto"/>
            <w:vAlign w:val="center"/>
            <w:hideMark/>
          </w:tcPr>
          <w:p w14:paraId="097950FE" w14:textId="5403FA1A" w:rsidR="00E35976" w:rsidRDefault="00E35976" w:rsidP="00204862">
            <w:pPr>
              <w:keepNext/>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2185B4BE" w14:textId="24311181"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Abstainer</w:t>
            </w:r>
          </w:p>
          <w:p w14:paraId="217397FF" w14:textId="77777777"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/ex-</w:t>
            </w:r>
            <w:proofErr w:type="spellStart"/>
            <w:r w:rsidRPr="00E35976">
              <w:rPr>
                <w:rFonts w:ascii="Gill Sans MT" w:hAnsi="Gill Sans MT" w:cs="Arial"/>
                <w:b/>
                <w:bCs/>
                <w:color w:val="000000"/>
                <w:sz w:val="16"/>
                <w:szCs w:val="16"/>
              </w:rPr>
              <w:t>drinkers</w:t>
            </w:r>
            <w:r w:rsidRPr="00E35976">
              <w:rPr>
                <w:rFonts w:ascii="Gill Sans MT" w:hAnsi="Gill Sans MT" w:cs="Arial"/>
                <w:b/>
                <w:bCs/>
                <w:color w:val="000000"/>
                <w:sz w:val="16"/>
                <w:szCs w:val="16"/>
                <w:vertAlign w:val="superscript"/>
              </w:rPr>
              <w:t>e</w:t>
            </w:r>
            <w:proofErr w:type="spellEnd"/>
          </w:p>
        </w:tc>
        <w:tc>
          <w:tcPr>
            <w:tcW w:w="441" w:type="pct"/>
            <w:tcBorders>
              <w:top w:val="nil"/>
              <w:left w:val="nil"/>
              <w:bottom w:val="single" w:sz="4" w:space="0" w:color="auto"/>
              <w:right w:val="single" w:sz="4" w:space="0" w:color="auto"/>
            </w:tcBorders>
            <w:shd w:val="clear" w:color="auto" w:fill="auto"/>
            <w:vAlign w:val="center"/>
            <w:hideMark/>
          </w:tcPr>
          <w:p w14:paraId="476F2145" w14:textId="77777777" w:rsidR="00E35976" w:rsidRDefault="00E35976" w:rsidP="00E35976">
            <w:pPr>
              <w:keepNext/>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6A9AC33D" w14:textId="2CF54AE3"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 xml:space="preserve">Lifetime risk: Low </w:t>
            </w:r>
            <w:proofErr w:type="spellStart"/>
            <w:r w:rsidRPr="00E35976">
              <w:rPr>
                <w:rFonts w:ascii="Gill Sans MT" w:hAnsi="Gill Sans MT" w:cs="Arial"/>
                <w:b/>
                <w:bCs/>
                <w:color w:val="000000"/>
                <w:sz w:val="16"/>
                <w:szCs w:val="16"/>
              </w:rPr>
              <w:t>risk</w:t>
            </w:r>
            <w:r w:rsidRPr="00E35976">
              <w:rPr>
                <w:rFonts w:ascii="Gill Sans MT" w:hAnsi="Gill Sans MT" w:cs="Arial"/>
                <w:b/>
                <w:bCs/>
                <w:color w:val="000000"/>
                <w:sz w:val="16"/>
                <w:szCs w:val="16"/>
                <w:vertAlign w:val="superscript"/>
              </w:rPr>
              <w:t>f</w:t>
            </w:r>
            <w:proofErr w:type="spellEnd"/>
          </w:p>
        </w:tc>
        <w:tc>
          <w:tcPr>
            <w:tcW w:w="441" w:type="pct"/>
            <w:tcBorders>
              <w:top w:val="nil"/>
              <w:left w:val="nil"/>
              <w:bottom w:val="single" w:sz="4" w:space="0" w:color="auto"/>
              <w:right w:val="single" w:sz="4" w:space="0" w:color="auto"/>
            </w:tcBorders>
            <w:shd w:val="clear" w:color="auto" w:fill="auto"/>
            <w:vAlign w:val="center"/>
            <w:hideMark/>
          </w:tcPr>
          <w:p w14:paraId="252325E7" w14:textId="600904EF" w:rsidR="00E35976" w:rsidRDefault="00E35976" w:rsidP="00204862">
            <w:pPr>
              <w:keepNext/>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4E40DE71" w14:textId="0D5C3327"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 xml:space="preserve">Lifetime risk: </w:t>
            </w:r>
            <w:proofErr w:type="spellStart"/>
            <w:r w:rsidRPr="00E35976">
              <w:rPr>
                <w:rFonts w:ascii="Gill Sans MT" w:hAnsi="Gill Sans MT" w:cs="Arial"/>
                <w:b/>
                <w:bCs/>
                <w:color w:val="000000"/>
                <w:sz w:val="16"/>
                <w:szCs w:val="16"/>
              </w:rPr>
              <w:t>Risky</w:t>
            </w:r>
            <w:r w:rsidRPr="00E35976">
              <w:rPr>
                <w:rFonts w:ascii="Gill Sans MT" w:hAnsi="Gill Sans MT" w:cs="Arial"/>
                <w:b/>
                <w:bCs/>
                <w:color w:val="000000"/>
                <w:sz w:val="16"/>
                <w:szCs w:val="16"/>
                <w:vertAlign w:val="superscript"/>
              </w:rPr>
              <w:t>g</w:t>
            </w:r>
            <w:proofErr w:type="spellEnd"/>
          </w:p>
        </w:tc>
        <w:tc>
          <w:tcPr>
            <w:tcW w:w="470" w:type="pct"/>
            <w:tcBorders>
              <w:top w:val="nil"/>
              <w:left w:val="nil"/>
              <w:bottom w:val="single" w:sz="4" w:space="0" w:color="auto"/>
              <w:right w:val="single" w:sz="4" w:space="0" w:color="auto"/>
            </w:tcBorders>
            <w:shd w:val="clear" w:color="auto" w:fill="auto"/>
            <w:vAlign w:val="center"/>
            <w:hideMark/>
          </w:tcPr>
          <w:p w14:paraId="39ED4F53" w14:textId="77777777" w:rsidR="00E35976" w:rsidRDefault="00E35976" w:rsidP="00E35976">
            <w:pPr>
              <w:keepNext/>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29A26261" w14:textId="77777777"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 xml:space="preserve">Single occasion: Low </w:t>
            </w:r>
            <w:proofErr w:type="spellStart"/>
            <w:r w:rsidRPr="00E35976">
              <w:rPr>
                <w:rFonts w:ascii="Gill Sans MT" w:hAnsi="Gill Sans MT" w:cs="Arial"/>
                <w:b/>
                <w:bCs/>
                <w:color w:val="000000"/>
                <w:sz w:val="16"/>
                <w:szCs w:val="16"/>
              </w:rPr>
              <w:t>risk</w:t>
            </w:r>
            <w:r w:rsidRPr="00E35976">
              <w:rPr>
                <w:rFonts w:ascii="Gill Sans MT" w:hAnsi="Gill Sans MT" w:cs="Arial"/>
                <w:b/>
                <w:bCs/>
                <w:color w:val="000000"/>
                <w:sz w:val="16"/>
                <w:szCs w:val="16"/>
                <w:vertAlign w:val="superscript"/>
              </w:rPr>
              <w:t>h</w:t>
            </w:r>
            <w:proofErr w:type="spellEnd"/>
          </w:p>
        </w:tc>
        <w:tc>
          <w:tcPr>
            <w:tcW w:w="470" w:type="pct"/>
            <w:tcBorders>
              <w:top w:val="nil"/>
              <w:left w:val="nil"/>
              <w:bottom w:val="single" w:sz="4" w:space="0" w:color="auto"/>
              <w:right w:val="single" w:sz="4" w:space="0" w:color="auto"/>
            </w:tcBorders>
            <w:shd w:val="clear" w:color="auto" w:fill="auto"/>
            <w:vAlign w:val="center"/>
            <w:hideMark/>
          </w:tcPr>
          <w:p w14:paraId="4C74683C" w14:textId="423CEA17" w:rsidR="00E35976" w:rsidRDefault="00E35976" w:rsidP="00204862">
            <w:pPr>
              <w:keepNext/>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55A4E819" w14:textId="52CE392D"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 xml:space="preserve">Single occasion: At least yearly but not </w:t>
            </w:r>
            <w:proofErr w:type="spellStart"/>
            <w:r w:rsidRPr="00E35976">
              <w:rPr>
                <w:rFonts w:ascii="Gill Sans MT" w:hAnsi="Gill Sans MT" w:cs="Arial"/>
                <w:b/>
                <w:bCs/>
                <w:color w:val="000000"/>
                <w:sz w:val="16"/>
                <w:szCs w:val="16"/>
              </w:rPr>
              <w:t>monthly</w:t>
            </w:r>
            <w:r w:rsidRPr="00E35976">
              <w:rPr>
                <w:rFonts w:ascii="Gill Sans MT" w:hAnsi="Gill Sans MT" w:cs="Arial"/>
                <w:b/>
                <w:bCs/>
                <w:color w:val="000000"/>
                <w:sz w:val="16"/>
                <w:szCs w:val="16"/>
                <w:vertAlign w:val="superscript"/>
              </w:rPr>
              <w:t>i</w:t>
            </w:r>
            <w:proofErr w:type="spellEnd"/>
          </w:p>
        </w:tc>
        <w:tc>
          <w:tcPr>
            <w:tcW w:w="470" w:type="pct"/>
            <w:tcBorders>
              <w:top w:val="nil"/>
              <w:left w:val="nil"/>
              <w:bottom w:val="single" w:sz="4" w:space="0" w:color="auto"/>
              <w:right w:val="single" w:sz="4" w:space="0" w:color="auto"/>
            </w:tcBorders>
            <w:shd w:val="clear" w:color="auto" w:fill="auto"/>
            <w:vAlign w:val="center"/>
            <w:hideMark/>
          </w:tcPr>
          <w:p w14:paraId="6D255717" w14:textId="0C1889C5" w:rsidR="00E35976" w:rsidRDefault="00E35976" w:rsidP="00204862">
            <w:pPr>
              <w:keepNext/>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Alcohol risk</w:t>
            </w:r>
          </w:p>
          <w:p w14:paraId="3268DE26" w14:textId="35ED56BD"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 xml:space="preserve">Single occasion: At least </w:t>
            </w:r>
            <w:proofErr w:type="spellStart"/>
            <w:r w:rsidRPr="00E35976">
              <w:rPr>
                <w:rFonts w:ascii="Gill Sans MT" w:hAnsi="Gill Sans MT" w:cs="Arial"/>
                <w:b/>
                <w:bCs/>
                <w:color w:val="000000"/>
                <w:sz w:val="16"/>
                <w:szCs w:val="16"/>
              </w:rPr>
              <w:t>monthly</w:t>
            </w:r>
            <w:r w:rsidRPr="00E35976">
              <w:rPr>
                <w:rFonts w:ascii="Gill Sans MT" w:hAnsi="Gill Sans MT" w:cs="Arial"/>
                <w:b/>
                <w:bCs/>
                <w:color w:val="000000"/>
                <w:sz w:val="16"/>
                <w:szCs w:val="16"/>
                <w:vertAlign w:val="superscript"/>
              </w:rPr>
              <w:t>j</w:t>
            </w:r>
            <w:proofErr w:type="spellEnd"/>
          </w:p>
        </w:tc>
        <w:tc>
          <w:tcPr>
            <w:tcW w:w="447" w:type="pct"/>
            <w:gridSpan w:val="2"/>
            <w:tcBorders>
              <w:top w:val="nil"/>
              <w:left w:val="nil"/>
              <w:bottom w:val="single" w:sz="4" w:space="0" w:color="auto"/>
              <w:right w:val="single" w:sz="4" w:space="0" w:color="auto"/>
            </w:tcBorders>
            <w:shd w:val="clear" w:color="auto" w:fill="auto"/>
            <w:vAlign w:val="center"/>
            <w:hideMark/>
          </w:tcPr>
          <w:p w14:paraId="13464686" w14:textId="1206AC1E" w:rsidR="00E35976" w:rsidRDefault="00E35976" w:rsidP="00204862">
            <w:pPr>
              <w:keepNext/>
              <w:spacing w:after="140" w:line="240" w:lineRule="auto"/>
              <w:rPr>
                <w:rFonts w:ascii="Gill Sans MT" w:hAnsi="Gill Sans MT" w:cs="Arial"/>
                <w:b/>
                <w:bCs/>
                <w:color w:val="000000"/>
                <w:sz w:val="16"/>
                <w:szCs w:val="16"/>
              </w:rPr>
            </w:pPr>
            <w:r>
              <w:rPr>
                <w:rFonts w:ascii="Gill Sans MT" w:hAnsi="Gill Sans MT" w:cs="Arial"/>
                <w:b/>
                <w:bCs/>
                <w:color w:val="000000"/>
                <w:sz w:val="16"/>
                <w:szCs w:val="16"/>
              </w:rPr>
              <w:t>Illicit Drug Use</w:t>
            </w:r>
          </w:p>
          <w:p w14:paraId="7C1F3430" w14:textId="246A0B75" w:rsidR="001F6836" w:rsidRPr="00E35976" w:rsidRDefault="001F6836" w:rsidP="00204862">
            <w:pPr>
              <w:keepNext/>
              <w:spacing w:after="140" w:line="240" w:lineRule="auto"/>
              <w:rPr>
                <w:rFonts w:ascii="Gill Sans MT" w:hAnsi="Gill Sans MT" w:cs="Arial"/>
                <w:b/>
                <w:bCs/>
                <w:color w:val="000000"/>
                <w:sz w:val="16"/>
                <w:szCs w:val="16"/>
              </w:rPr>
            </w:pPr>
            <w:r w:rsidRPr="00E35976">
              <w:rPr>
                <w:rFonts w:ascii="Gill Sans MT" w:hAnsi="Gill Sans MT" w:cs="Arial"/>
                <w:b/>
                <w:bCs/>
                <w:color w:val="000000"/>
                <w:sz w:val="16"/>
                <w:szCs w:val="16"/>
              </w:rPr>
              <w:t xml:space="preserve">Recent </w:t>
            </w:r>
            <w:proofErr w:type="spellStart"/>
            <w:r w:rsidRPr="00E35976">
              <w:rPr>
                <w:rFonts w:ascii="Gill Sans MT" w:hAnsi="Gill Sans MT" w:cs="Arial"/>
                <w:b/>
                <w:bCs/>
                <w:color w:val="000000"/>
                <w:sz w:val="16"/>
                <w:szCs w:val="16"/>
              </w:rPr>
              <w:t>illicit</w:t>
            </w:r>
            <w:r w:rsidRPr="00E35976">
              <w:rPr>
                <w:rFonts w:ascii="Gill Sans MT" w:hAnsi="Gill Sans MT" w:cs="Arial"/>
                <w:b/>
                <w:bCs/>
                <w:color w:val="000000"/>
                <w:sz w:val="16"/>
                <w:szCs w:val="16"/>
                <w:vertAlign w:val="superscript"/>
              </w:rPr>
              <w:t>k</w:t>
            </w:r>
            <w:proofErr w:type="spellEnd"/>
          </w:p>
        </w:tc>
      </w:tr>
      <w:tr w:rsidR="00965ADF" w:rsidRPr="00E35976" w14:paraId="347B86BE" w14:textId="77777777" w:rsidTr="00E35976">
        <w:trPr>
          <w:trHeight w:val="240"/>
          <w:tblHeader/>
        </w:trPr>
        <w:tc>
          <w:tcPr>
            <w:tcW w:w="397" w:type="pct"/>
            <w:gridSpan w:val="2"/>
            <w:tcBorders>
              <w:top w:val="nil"/>
              <w:left w:val="single" w:sz="4" w:space="0" w:color="auto"/>
              <w:bottom w:val="single" w:sz="4" w:space="0" w:color="auto"/>
              <w:right w:val="single" w:sz="4" w:space="0" w:color="auto"/>
            </w:tcBorders>
            <w:shd w:val="clear" w:color="auto" w:fill="auto"/>
            <w:noWrap/>
            <w:vAlign w:val="center"/>
            <w:hideMark/>
          </w:tcPr>
          <w:p w14:paraId="3A6E68B5" w14:textId="77777777" w:rsidR="001F6836" w:rsidRPr="00E35976" w:rsidRDefault="001F6836" w:rsidP="00204862">
            <w:pPr>
              <w:keepNext/>
              <w:spacing w:after="140" w:line="240" w:lineRule="auto"/>
              <w:rPr>
                <w:rFonts w:ascii="Gill Sans MT" w:hAnsi="Gill Sans MT" w:cs="Arial"/>
                <w:b/>
                <w:color w:val="000000"/>
                <w:sz w:val="16"/>
                <w:szCs w:val="16"/>
              </w:rPr>
            </w:pPr>
            <w:r w:rsidRPr="00E35976">
              <w:rPr>
                <w:rFonts w:ascii="Gill Sans MT" w:hAnsi="Gill Sans MT" w:cs="Arial"/>
                <w:b/>
                <w:color w:val="000000"/>
                <w:sz w:val="16"/>
                <w:szCs w:val="16"/>
              </w:rPr>
              <w:t>Hobart</w:t>
            </w:r>
          </w:p>
          <w:p w14:paraId="38B3C2B8" w14:textId="77777777" w:rsidR="001F6836" w:rsidRPr="00E35976" w:rsidRDefault="001F6836" w:rsidP="00204862">
            <w:pPr>
              <w:keepNext/>
              <w:spacing w:after="140" w:line="240" w:lineRule="auto"/>
              <w:rPr>
                <w:rFonts w:ascii="Gill Sans MT" w:hAnsi="Gill Sans MT" w:cs="Arial"/>
                <w:b/>
                <w:color w:val="000000"/>
                <w:sz w:val="16"/>
                <w:szCs w:val="16"/>
              </w:rPr>
            </w:pPr>
            <w:r w:rsidRPr="00E35976">
              <w:rPr>
                <w:rFonts w:ascii="Gill Sans MT" w:hAnsi="Gill Sans MT" w:cs="Arial"/>
                <w:b/>
                <w:color w:val="000000"/>
                <w:sz w:val="16"/>
                <w:szCs w:val="16"/>
              </w:rPr>
              <w:t>(601)</w:t>
            </w:r>
          </w:p>
        </w:tc>
        <w:tc>
          <w:tcPr>
            <w:tcW w:w="456" w:type="pct"/>
            <w:tcBorders>
              <w:top w:val="nil"/>
              <w:left w:val="nil"/>
              <w:bottom w:val="single" w:sz="4" w:space="0" w:color="auto"/>
              <w:right w:val="single" w:sz="4" w:space="0" w:color="auto"/>
            </w:tcBorders>
            <w:shd w:val="clear" w:color="auto" w:fill="auto"/>
            <w:noWrap/>
            <w:vAlign w:val="center"/>
            <w:hideMark/>
          </w:tcPr>
          <w:p w14:paraId="6341D3F3"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11.7</w:t>
            </w:r>
          </w:p>
        </w:tc>
        <w:tc>
          <w:tcPr>
            <w:tcW w:w="456" w:type="pct"/>
            <w:tcBorders>
              <w:top w:val="nil"/>
              <w:left w:val="nil"/>
              <w:bottom w:val="single" w:sz="4" w:space="0" w:color="auto"/>
              <w:right w:val="single" w:sz="4" w:space="0" w:color="auto"/>
            </w:tcBorders>
            <w:shd w:val="clear" w:color="auto" w:fill="auto"/>
            <w:noWrap/>
            <w:vAlign w:val="center"/>
            <w:hideMark/>
          </w:tcPr>
          <w:p w14:paraId="6F6CF993"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25.1</w:t>
            </w:r>
          </w:p>
        </w:tc>
        <w:tc>
          <w:tcPr>
            <w:tcW w:w="456" w:type="pct"/>
            <w:tcBorders>
              <w:top w:val="nil"/>
              <w:left w:val="nil"/>
              <w:bottom w:val="single" w:sz="4" w:space="0" w:color="auto"/>
              <w:right w:val="single" w:sz="4" w:space="0" w:color="auto"/>
            </w:tcBorders>
            <w:shd w:val="clear" w:color="auto" w:fill="auto"/>
            <w:noWrap/>
            <w:vAlign w:val="center"/>
            <w:hideMark/>
          </w:tcPr>
          <w:p w14:paraId="42AF769C"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58.8</w:t>
            </w:r>
          </w:p>
        </w:tc>
        <w:tc>
          <w:tcPr>
            <w:tcW w:w="496" w:type="pct"/>
            <w:tcBorders>
              <w:top w:val="nil"/>
              <w:left w:val="nil"/>
              <w:bottom w:val="single" w:sz="4" w:space="0" w:color="auto"/>
              <w:right w:val="single" w:sz="4" w:space="0" w:color="auto"/>
            </w:tcBorders>
            <w:shd w:val="clear" w:color="auto" w:fill="auto"/>
            <w:noWrap/>
            <w:vAlign w:val="center"/>
            <w:hideMark/>
          </w:tcPr>
          <w:p w14:paraId="60662266"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15.5</w:t>
            </w:r>
          </w:p>
        </w:tc>
        <w:tc>
          <w:tcPr>
            <w:tcW w:w="441" w:type="pct"/>
            <w:tcBorders>
              <w:top w:val="nil"/>
              <w:left w:val="nil"/>
              <w:bottom w:val="single" w:sz="4" w:space="0" w:color="auto"/>
              <w:right w:val="single" w:sz="4" w:space="0" w:color="auto"/>
            </w:tcBorders>
            <w:shd w:val="clear" w:color="auto" w:fill="auto"/>
            <w:noWrap/>
            <w:vAlign w:val="center"/>
            <w:hideMark/>
          </w:tcPr>
          <w:p w14:paraId="49429A31"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64.2</w:t>
            </w:r>
          </w:p>
        </w:tc>
        <w:tc>
          <w:tcPr>
            <w:tcW w:w="441" w:type="pct"/>
            <w:tcBorders>
              <w:top w:val="nil"/>
              <w:left w:val="nil"/>
              <w:bottom w:val="single" w:sz="4" w:space="0" w:color="auto"/>
              <w:right w:val="single" w:sz="4" w:space="0" w:color="auto"/>
            </w:tcBorders>
            <w:shd w:val="clear" w:color="auto" w:fill="auto"/>
            <w:noWrap/>
            <w:vAlign w:val="center"/>
            <w:hideMark/>
          </w:tcPr>
          <w:p w14:paraId="1B221C4D"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20.3</w:t>
            </w:r>
          </w:p>
        </w:tc>
        <w:tc>
          <w:tcPr>
            <w:tcW w:w="470" w:type="pct"/>
            <w:tcBorders>
              <w:top w:val="nil"/>
              <w:left w:val="nil"/>
              <w:bottom w:val="single" w:sz="4" w:space="0" w:color="auto"/>
              <w:right w:val="single" w:sz="4" w:space="0" w:color="auto"/>
            </w:tcBorders>
            <w:shd w:val="clear" w:color="auto" w:fill="auto"/>
            <w:noWrap/>
            <w:vAlign w:val="center"/>
            <w:hideMark/>
          </w:tcPr>
          <w:p w14:paraId="06A468ED"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39.3</w:t>
            </w:r>
          </w:p>
        </w:tc>
        <w:tc>
          <w:tcPr>
            <w:tcW w:w="470" w:type="pct"/>
            <w:tcBorders>
              <w:top w:val="nil"/>
              <w:left w:val="nil"/>
              <w:bottom w:val="single" w:sz="4" w:space="0" w:color="auto"/>
              <w:right w:val="single" w:sz="4" w:space="0" w:color="auto"/>
            </w:tcBorders>
            <w:shd w:val="clear" w:color="auto" w:fill="auto"/>
            <w:noWrap/>
            <w:vAlign w:val="center"/>
            <w:hideMark/>
          </w:tcPr>
          <w:p w14:paraId="6C5A135A"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18.0</w:t>
            </w:r>
          </w:p>
        </w:tc>
        <w:tc>
          <w:tcPr>
            <w:tcW w:w="470" w:type="pct"/>
            <w:tcBorders>
              <w:top w:val="nil"/>
              <w:left w:val="nil"/>
              <w:bottom w:val="single" w:sz="4" w:space="0" w:color="auto"/>
              <w:right w:val="single" w:sz="4" w:space="0" w:color="auto"/>
            </w:tcBorders>
            <w:shd w:val="clear" w:color="auto" w:fill="auto"/>
            <w:noWrap/>
            <w:vAlign w:val="center"/>
            <w:hideMark/>
          </w:tcPr>
          <w:p w14:paraId="56A559EE"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27.2</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2077F194"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19.2</w:t>
            </w:r>
          </w:p>
        </w:tc>
      </w:tr>
      <w:tr w:rsidR="00965ADF" w:rsidRPr="00E35976" w14:paraId="3B3C8285" w14:textId="77777777" w:rsidTr="00E35976">
        <w:trPr>
          <w:trHeight w:val="480"/>
          <w:tblHeader/>
        </w:trPr>
        <w:tc>
          <w:tcPr>
            <w:tcW w:w="397" w:type="pct"/>
            <w:gridSpan w:val="2"/>
            <w:tcBorders>
              <w:top w:val="nil"/>
              <w:left w:val="single" w:sz="4" w:space="0" w:color="auto"/>
              <w:bottom w:val="single" w:sz="4" w:space="0" w:color="auto"/>
              <w:right w:val="single" w:sz="4" w:space="0" w:color="auto"/>
            </w:tcBorders>
            <w:shd w:val="clear" w:color="auto" w:fill="auto"/>
            <w:vAlign w:val="center"/>
            <w:hideMark/>
          </w:tcPr>
          <w:p w14:paraId="01ED07E9" w14:textId="77777777" w:rsidR="001F6836" w:rsidRPr="00E35976" w:rsidRDefault="001F6836" w:rsidP="00204862">
            <w:pPr>
              <w:keepNext/>
              <w:spacing w:after="140" w:line="240" w:lineRule="auto"/>
              <w:rPr>
                <w:rFonts w:ascii="Gill Sans MT" w:hAnsi="Gill Sans MT" w:cs="Arial"/>
                <w:b/>
                <w:color w:val="000000"/>
                <w:sz w:val="16"/>
                <w:szCs w:val="16"/>
              </w:rPr>
            </w:pPr>
            <w:r w:rsidRPr="00E35976">
              <w:rPr>
                <w:rFonts w:ascii="Gill Sans MT" w:hAnsi="Gill Sans MT" w:cs="Arial"/>
                <w:b/>
                <w:color w:val="000000"/>
                <w:sz w:val="16"/>
                <w:szCs w:val="16"/>
              </w:rPr>
              <w:t>L’ton and North</w:t>
            </w:r>
            <w:r w:rsidRPr="00E35976">
              <w:rPr>
                <w:rFonts w:ascii="Gill Sans MT" w:hAnsi="Gill Sans MT" w:cs="Arial"/>
                <w:b/>
                <w:color w:val="000000"/>
                <w:sz w:val="16"/>
                <w:szCs w:val="16"/>
              </w:rPr>
              <w:br/>
              <w:t>East</w:t>
            </w:r>
          </w:p>
          <w:p w14:paraId="7D5523CC" w14:textId="77777777" w:rsidR="001F6836" w:rsidRPr="00E35976" w:rsidRDefault="001F6836" w:rsidP="00204862">
            <w:pPr>
              <w:keepNext/>
              <w:spacing w:after="140" w:line="240" w:lineRule="auto"/>
              <w:rPr>
                <w:rFonts w:ascii="Gill Sans MT" w:hAnsi="Gill Sans MT" w:cs="Arial"/>
                <w:b/>
                <w:color w:val="000000"/>
                <w:sz w:val="16"/>
                <w:szCs w:val="16"/>
              </w:rPr>
            </w:pPr>
            <w:r w:rsidRPr="00E35976">
              <w:rPr>
                <w:rFonts w:ascii="Gill Sans MT" w:hAnsi="Gill Sans MT" w:cs="Arial"/>
                <w:b/>
                <w:color w:val="000000"/>
                <w:sz w:val="16"/>
                <w:szCs w:val="16"/>
              </w:rPr>
              <w:t>(602)</w:t>
            </w:r>
          </w:p>
        </w:tc>
        <w:tc>
          <w:tcPr>
            <w:tcW w:w="456" w:type="pct"/>
            <w:tcBorders>
              <w:top w:val="nil"/>
              <w:left w:val="nil"/>
              <w:bottom w:val="single" w:sz="4" w:space="0" w:color="auto"/>
              <w:right w:val="single" w:sz="4" w:space="0" w:color="auto"/>
            </w:tcBorders>
            <w:shd w:val="clear" w:color="auto" w:fill="auto"/>
            <w:noWrap/>
            <w:vAlign w:val="center"/>
            <w:hideMark/>
          </w:tcPr>
          <w:p w14:paraId="464B451E"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17.2</w:t>
            </w:r>
          </w:p>
        </w:tc>
        <w:tc>
          <w:tcPr>
            <w:tcW w:w="456" w:type="pct"/>
            <w:tcBorders>
              <w:top w:val="nil"/>
              <w:left w:val="nil"/>
              <w:bottom w:val="single" w:sz="4" w:space="0" w:color="auto"/>
              <w:right w:val="single" w:sz="4" w:space="0" w:color="auto"/>
            </w:tcBorders>
            <w:shd w:val="clear" w:color="auto" w:fill="auto"/>
            <w:noWrap/>
            <w:vAlign w:val="center"/>
            <w:hideMark/>
          </w:tcPr>
          <w:p w14:paraId="50A771FB"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29.7</w:t>
            </w:r>
          </w:p>
        </w:tc>
        <w:tc>
          <w:tcPr>
            <w:tcW w:w="456" w:type="pct"/>
            <w:tcBorders>
              <w:top w:val="nil"/>
              <w:left w:val="nil"/>
              <w:bottom w:val="single" w:sz="4" w:space="0" w:color="auto"/>
              <w:right w:val="single" w:sz="4" w:space="0" w:color="auto"/>
            </w:tcBorders>
            <w:shd w:val="clear" w:color="auto" w:fill="auto"/>
            <w:noWrap/>
            <w:vAlign w:val="center"/>
            <w:hideMark/>
          </w:tcPr>
          <w:p w14:paraId="42CC7B1B"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51.1</w:t>
            </w:r>
          </w:p>
        </w:tc>
        <w:tc>
          <w:tcPr>
            <w:tcW w:w="496" w:type="pct"/>
            <w:tcBorders>
              <w:top w:val="nil"/>
              <w:left w:val="nil"/>
              <w:bottom w:val="single" w:sz="4" w:space="0" w:color="auto"/>
              <w:right w:val="single" w:sz="4" w:space="0" w:color="auto"/>
            </w:tcBorders>
            <w:shd w:val="clear" w:color="auto" w:fill="auto"/>
            <w:noWrap/>
            <w:vAlign w:val="center"/>
            <w:hideMark/>
          </w:tcPr>
          <w:p w14:paraId="399B9B3E"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24.3</w:t>
            </w:r>
          </w:p>
        </w:tc>
        <w:tc>
          <w:tcPr>
            <w:tcW w:w="441" w:type="pct"/>
            <w:tcBorders>
              <w:top w:val="nil"/>
              <w:left w:val="nil"/>
              <w:bottom w:val="single" w:sz="4" w:space="0" w:color="auto"/>
              <w:right w:val="single" w:sz="4" w:space="0" w:color="auto"/>
            </w:tcBorders>
            <w:shd w:val="clear" w:color="auto" w:fill="auto"/>
            <w:noWrap/>
            <w:vAlign w:val="center"/>
            <w:hideMark/>
          </w:tcPr>
          <w:p w14:paraId="219F6A99"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61.6</w:t>
            </w:r>
          </w:p>
        </w:tc>
        <w:tc>
          <w:tcPr>
            <w:tcW w:w="441" w:type="pct"/>
            <w:tcBorders>
              <w:top w:val="nil"/>
              <w:left w:val="nil"/>
              <w:bottom w:val="single" w:sz="4" w:space="0" w:color="auto"/>
              <w:right w:val="single" w:sz="4" w:space="0" w:color="auto"/>
            </w:tcBorders>
            <w:shd w:val="clear" w:color="auto" w:fill="auto"/>
            <w:noWrap/>
            <w:vAlign w:val="center"/>
            <w:hideMark/>
          </w:tcPr>
          <w:p w14:paraId="7BC93796"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14.1</w:t>
            </w:r>
          </w:p>
        </w:tc>
        <w:tc>
          <w:tcPr>
            <w:tcW w:w="470" w:type="pct"/>
            <w:tcBorders>
              <w:top w:val="nil"/>
              <w:left w:val="nil"/>
              <w:bottom w:val="single" w:sz="4" w:space="0" w:color="auto"/>
              <w:right w:val="single" w:sz="4" w:space="0" w:color="auto"/>
            </w:tcBorders>
            <w:shd w:val="clear" w:color="auto" w:fill="auto"/>
            <w:noWrap/>
            <w:vAlign w:val="center"/>
            <w:hideMark/>
          </w:tcPr>
          <w:p w14:paraId="716664AF"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38.8</w:t>
            </w:r>
          </w:p>
        </w:tc>
        <w:tc>
          <w:tcPr>
            <w:tcW w:w="470" w:type="pct"/>
            <w:tcBorders>
              <w:top w:val="nil"/>
              <w:left w:val="nil"/>
              <w:bottom w:val="single" w:sz="4" w:space="0" w:color="auto"/>
              <w:right w:val="single" w:sz="4" w:space="0" w:color="auto"/>
            </w:tcBorders>
            <w:shd w:val="clear" w:color="auto" w:fill="auto"/>
            <w:noWrap/>
            <w:vAlign w:val="center"/>
            <w:hideMark/>
          </w:tcPr>
          <w:p w14:paraId="00317CB2"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8.9</w:t>
            </w:r>
          </w:p>
        </w:tc>
        <w:tc>
          <w:tcPr>
            <w:tcW w:w="470" w:type="pct"/>
            <w:tcBorders>
              <w:top w:val="nil"/>
              <w:left w:val="nil"/>
              <w:bottom w:val="single" w:sz="4" w:space="0" w:color="auto"/>
              <w:right w:val="single" w:sz="4" w:space="0" w:color="auto"/>
            </w:tcBorders>
            <w:shd w:val="clear" w:color="auto" w:fill="auto"/>
            <w:noWrap/>
            <w:vAlign w:val="center"/>
            <w:hideMark/>
          </w:tcPr>
          <w:p w14:paraId="05897A88"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27.9</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062E59ED"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13.9</w:t>
            </w:r>
          </w:p>
        </w:tc>
      </w:tr>
      <w:tr w:rsidR="00965ADF" w:rsidRPr="00E35976" w14:paraId="507948C2" w14:textId="77777777" w:rsidTr="00E35976">
        <w:trPr>
          <w:trHeight w:val="480"/>
          <w:tblHeader/>
        </w:trPr>
        <w:tc>
          <w:tcPr>
            <w:tcW w:w="397" w:type="pct"/>
            <w:gridSpan w:val="2"/>
            <w:tcBorders>
              <w:top w:val="nil"/>
              <w:left w:val="single" w:sz="4" w:space="0" w:color="auto"/>
              <w:bottom w:val="single" w:sz="4" w:space="0" w:color="auto"/>
              <w:right w:val="single" w:sz="4" w:space="0" w:color="auto"/>
            </w:tcBorders>
            <w:shd w:val="clear" w:color="auto" w:fill="auto"/>
            <w:vAlign w:val="center"/>
            <w:hideMark/>
          </w:tcPr>
          <w:p w14:paraId="1B67FC6E" w14:textId="77777777" w:rsidR="001F6836" w:rsidRPr="00E35976" w:rsidRDefault="001F6836" w:rsidP="00204862">
            <w:pPr>
              <w:keepNext/>
              <w:spacing w:after="140" w:line="240" w:lineRule="auto"/>
              <w:rPr>
                <w:rFonts w:ascii="Gill Sans MT" w:hAnsi="Gill Sans MT" w:cs="Arial"/>
                <w:b/>
                <w:color w:val="000000"/>
                <w:sz w:val="16"/>
                <w:szCs w:val="16"/>
              </w:rPr>
            </w:pPr>
            <w:r w:rsidRPr="00E35976">
              <w:rPr>
                <w:rFonts w:ascii="Gill Sans MT" w:hAnsi="Gill Sans MT" w:cs="Arial"/>
                <w:b/>
                <w:color w:val="000000"/>
                <w:sz w:val="16"/>
                <w:szCs w:val="16"/>
              </w:rPr>
              <w:t>West and North</w:t>
            </w:r>
            <w:r w:rsidRPr="00E35976">
              <w:rPr>
                <w:rFonts w:ascii="Gill Sans MT" w:hAnsi="Gill Sans MT" w:cs="Arial"/>
                <w:b/>
                <w:color w:val="000000"/>
                <w:sz w:val="16"/>
                <w:szCs w:val="16"/>
              </w:rPr>
              <w:br/>
              <w:t>West</w:t>
            </w:r>
          </w:p>
          <w:p w14:paraId="7F4BD210" w14:textId="77777777" w:rsidR="001F6836" w:rsidRPr="00E35976" w:rsidRDefault="001F6836" w:rsidP="00204862">
            <w:pPr>
              <w:keepNext/>
              <w:spacing w:after="140" w:line="240" w:lineRule="auto"/>
              <w:rPr>
                <w:rFonts w:ascii="Gill Sans MT" w:hAnsi="Gill Sans MT" w:cs="Arial"/>
                <w:b/>
                <w:color w:val="000000"/>
                <w:sz w:val="16"/>
                <w:szCs w:val="16"/>
              </w:rPr>
            </w:pPr>
            <w:r w:rsidRPr="00E35976">
              <w:rPr>
                <w:rFonts w:ascii="Gill Sans MT" w:hAnsi="Gill Sans MT" w:cs="Arial"/>
                <w:b/>
                <w:color w:val="000000"/>
                <w:sz w:val="16"/>
                <w:szCs w:val="16"/>
              </w:rPr>
              <w:t>(604)</w:t>
            </w:r>
          </w:p>
        </w:tc>
        <w:tc>
          <w:tcPr>
            <w:tcW w:w="456" w:type="pct"/>
            <w:tcBorders>
              <w:top w:val="nil"/>
              <w:left w:val="nil"/>
              <w:bottom w:val="single" w:sz="4" w:space="0" w:color="auto"/>
              <w:right w:val="single" w:sz="4" w:space="0" w:color="auto"/>
            </w:tcBorders>
            <w:shd w:val="clear" w:color="auto" w:fill="auto"/>
            <w:noWrap/>
            <w:vAlign w:val="center"/>
            <w:hideMark/>
          </w:tcPr>
          <w:p w14:paraId="1AC6A24E"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20.4</w:t>
            </w:r>
          </w:p>
        </w:tc>
        <w:tc>
          <w:tcPr>
            <w:tcW w:w="456" w:type="pct"/>
            <w:tcBorders>
              <w:top w:val="nil"/>
              <w:left w:val="nil"/>
              <w:bottom w:val="single" w:sz="4" w:space="0" w:color="auto"/>
              <w:right w:val="single" w:sz="4" w:space="0" w:color="auto"/>
            </w:tcBorders>
            <w:shd w:val="clear" w:color="auto" w:fill="auto"/>
            <w:noWrap/>
            <w:vAlign w:val="center"/>
            <w:hideMark/>
          </w:tcPr>
          <w:p w14:paraId="514D52CA"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22.8</w:t>
            </w:r>
          </w:p>
        </w:tc>
        <w:tc>
          <w:tcPr>
            <w:tcW w:w="456" w:type="pct"/>
            <w:tcBorders>
              <w:top w:val="nil"/>
              <w:left w:val="nil"/>
              <w:bottom w:val="single" w:sz="4" w:space="0" w:color="auto"/>
              <w:right w:val="single" w:sz="4" w:space="0" w:color="auto"/>
            </w:tcBorders>
            <w:shd w:val="clear" w:color="auto" w:fill="auto"/>
            <w:noWrap/>
            <w:vAlign w:val="center"/>
            <w:hideMark/>
          </w:tcPr>
          <w:p w14:paraId="1E6E0207"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55.7</w:t>
            </w:r>
          </w:p>
        </w:tc>
        <w:tc>
          <w:tcPr>
            <w:tcW w:w="496" w:type="pct"/>
            <w:tcBorders>
              <w:top w:val="nil"/>
              <w:left w:val="nil"/>
              <w:bottom w:val="single" w:sz="4" w:space="0" w:color="auto"/>
              <w:right w:val="single" w:sz="4" w:space="0" w:color="auto"/>
            </w:tcBorders>
            <w:shd w:val="clear" w:color="auto" w:fill="auto"/>
            <w:noWrap/>
            <w:vAlign w:val="center"/>
            <w:hideMark/>
          </w:tcPr>
          <w:p w14:paraId="7D507692"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17.3</w:t>
            </w:r>
          </w:p>
        </w:tc>
        <w:tc>
          <w:tcPr>
            <w:tcW w:w="441" w:type="pct"/>
            <w:tcBorders>
              <w:top w:val="nil"/>
              <w:left w:val="nil"/>
              <w:bottom w:val="single" w:sz="4" w:space="0" w:color="auto"/>
              <w:right w:val="single" w:sz="4" w:space="0" w:color="auto"/>
            </w:tcBorders>
            <w:shd w:val="clear" w:color="auto" w:fill="auto"/>
            <w:noWrap/>
            <w:vAlign w:val="center"/>
            <w:hideMark/>
          </w:tcPr>
          <w:p w14:paraId="12E1A971"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66.5</w:t>
            </w:r>
          </w:p>
        </w:tc>
        <w:tc>
          <w:tcPr>
            <w:tcW w:w="441" w:type="pct"/>
            <w:tcBorders>
              <w:top w:val="nil"/>
              <w:left w:val="nil"/>
              <w:bottom w:val="single" w:sz="4" w:space="0" w:color="auto"/>
              <w:right w:val="single" w:sz="4" w:space="0" w:color="auto"/>
            </w:tcBorders>
            <w:shd w:val="clear" w:color="auto" w:fill="auto"/>
            <w:noWrap/>
            <w:vAlign w:val="center"/>
            <w:hideMark/>
          </w:tcPr>
          <w:p w14:paraId="762E04D3"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16.2</w:t>
            </w:r>
          </w:p>
        </w:tc>
        <w:tc>
          <w:tcPr>
            <w:tcW w:w="470" w:type="pct"/>
            <w:tcBorders>
              <w:top w:val="nil"/>
              <w:left w:val="nil"/>
              <w:bottom w:val="single" w:sz="4" w:space="0" w:color="auto"/>
              <w:right w:val="single" w:sz="4" w:space="0" w:color="auto"/>
            </w:tcBorders>
            <w:shd w:val="clear" w:color="auto" w:fill="auto"/>
            <w:noWrap/>
            <w:vAlign w:val="center"/>
            <w:hideMark/>
          </w:tcPr>
          <w:p w14:paraId="5E7C1C5E"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44.2</w:t>
            </w:r>
          </w:p>
        </w:tc>
        <w:tc>
          <w:tcPr>
            <w:tcW w:w="470" w:type="pct"/>
            <w:tcBorders>
              <w:top w:val="nil"/>
              <w:left w:val="nil"/>
              <w:bottom w:val="single" w:sz="4" w:space="0" w:color="auto"/>
              <w:right w:val="single" w:sz="4" w:space="0" w:color="auto"/>
            </w:tcBorders>
            <w:shd w:val="clear" w:color="auto" w:fill="auto"/>
            <w:noWrap/>
            <w:vAlign w:val="center"/>
            <w:hideMark/>
          </w:tcPr>
          <w:p w14:paraId="5A593CF4"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13.1</w:t>
            </w:r>
          </w:p>
        </w:tc>
        <w:tc>
          <w:tcPr>
            <w:tcW w:w="470" w:type="pct"/>
            <w:tcBorders>
              <w:top w:val="nil"/>
              <w:left w:val="nil"/>
              <w:bottom w:val="single" w:sz="4" w:space="0" w:color="auto"/>
              <w:right w:val="single" w:sz="4" w:space="0" w:color="auto"/>
            </w:tcBorders>
            <w:shd w:val="clear" w:color="auto" w:fill="auto"/>
            <w:noWrap/>
            <w:vAlign w:val="center"/>
            <w:hideMark/>
          </w:tcPr>
          <w:p w14:paraId="2C8451AE"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25.3</w:t>
            </w:r>
          </w:p>
        </w:tc>
        <w:tc>
          <w:tcPr>
            <w:tcW w:w="447" w:type="pct"/>
            <w:gridSpan w:val="2"/>
            <w:tcBorders>
              <w:top w:val="nil"/>
              <w:left w:val="nil"/>
              <w:bottom w:val="single" w:sz="4" w:space="0" w:color="auto"/>
              <w:right w:val="single" w:sz="4" w:space="0" w:color="auto"/>
            </w:tcBorders>
            <w:shd w:val="clear" w:color="auto" w:fill="auto"/>
            <w:noWrap/>
            <w:vAlign w:val="center"/>
            <w:hideMark/>
          </w:tcPr>
          <w:p w14:paraId="6B3E4F68" w14:textId="77777777" w:rsidR="001F6836" w:rsidRPr="00E35976" w:rsidRDefault="001F6836" w:rsidP="00204862">
            <w:pPr>
              <w:keepNext/>
              <w:spacing w:after="140" w:line="240" w:lineRule="auto"/>
              <w:jc w:val="right"/>
              <w:rPr>
                <w:rFonts w:ascii="Gill Sans MT" w:hAnsi="Gill Sans MT" w:cs="Arial"/>
                <w:color w:val="000000"/>
                <w:sz w:val="16"/>
                <w:szCs w:val="16"/>
              </w:rPr>
            </w:pPr>
            <w:r w:rsidRPr="00E35976">
              <w:rPr>
                <w:rFonts w:ascii="Gill Sans MT" w:hAnsi="Gill Sans MT" w:cs="Arial"/>
                <w:color w:val="000000"/>
                <w:sz w:val="16"/>
                <w:szCs w:val="16"/>
              </w:rPr>
              <w:t>17.3</w:t>
            </w:r>
          </w:p>
        </w:tc>
      </w:tr>
      <w:tr w:rsidR="001F6836" w:rsidRPr="00E35976" w14:paraId="2521A910"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57E91D9B"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 xml:space="preserve">(c) Smoked at least 100 cigarettes (manufactured and/or roll-your-own) or the equivalent amount of tobacco in their </w:t>
            </w:r>
            <w:proofErr w:type="gramStart"/>
            <w:r w:rsidRPr="00E35976">
              <w:rPr>
                <w:rFonts w:ascii="Gill Sans MT" w:hAnsi="Gill Sans MT" w:cs="Arial"/>
                <w:color w:val="000000"/>
                <w:sz w:val="18"/>
                <w:szCs w:val="18"/>
              </w:rPr>
              <w:t>life, and</w:t>
            </w:r>
            <w:proofErr w:type="gramEnd"/>
            <w:r w:rsidRPr="00E35976">
              <w:rPr>
                <w:rFonts w:ascii="Gill Sans MT" w:hAnsi="Gill Sans MT" w:cs="Arial"/>
                <w:color w:val="000000"/>
                <w:sz w:val="18"/>
                <w:szCs w:val="18"/>
              </w:rPr>
              <w:t xml:space="preserve"> reported no longer smoking.</w:t>
            </w:r>
          </w:p>
        </w:tc>
      </w:tr>
      <w:tr w:rsidR="001F6836" w:rsidRPr="00E35976" w14:paraId="4953C253"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175F97EB"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(d) Never smoked 100 cigarettes (manufactured and/or roll-your-own) or the equivalent amount of tobacco.</w:t>
            </w:r>
          </w:p>
        </w:tc>
      </w:tr>
      <w:tr w:rsidR="001F6836" w:rsidRPr="00E35976" w14:paraId="5CA5A864"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2D52CD95"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(e) Not consumed alcohol in the previous 12 months.</w:t>
            </w:r>
          </w:p>
        </w:tc>
      </w:tr>
      <w:tr w:rsidR="001F6836" w:rsidRPr="00E35976" w14:paraId="7A6B9983"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5A39E74F"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(f) On average, had no more than 2 standard drinks per day.</w:t>
            </w:r>
          </w:p>
        </w:tc>
      </w:tr>
      <w:tr w:rsidR="001F6836" w:rsidRPr="00E35976" w14:paraId="02AF6342"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0CED324D"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(g) On average, had more than 2 standard drinks per day.</w:t>
            </w:r>
          </w:p>
        </w:tc>
      </w:tr>
      <w:tr w:rsidR="001F6836" w:rsidRPr="00E35976" w14:paraId="3F52834B"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1D7F7FB2"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(h) Never had more than 4 standard drinks on any occasion.</w:t>
            </w:r>
          </w:p>
        </w:tc>
      </w:tr>
      <w:tr w:rsidR="001F6836" w:rsidRPr="00E35976" w14:paraId="644A6437"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5B83A47E"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(i) Had more than 4 standard drinks at least once a year but not as often as monthly.</w:t>
            </w:r>
          </w:p>
        </w:tc>
      </w:tr>
      <w:tr w:rsidR="001F6836" w:rsidRPr="00E35976" w14:paraId="5DBAB813"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14F38825"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(j) Had more than 4 standard drinks at least once a month but not as often as weekly.</w:t>
            </w:r>
          </w:p>
        </w:tc>
      </w:tr>
      <w:tr w:rsidR="001F6836" w:rsidRPr="00E35976" w14:paraId="7FEED358" w14:textId="77777777" w:rsidTr="00E35976">
        <w:trPr>
          <w:gridBefore w:val="1"/>
          <w:gridAfter w:val="1"/>
          <w:wBefore w:w="50" w:type="pct"/>
          <w:wAfter w:w="50" w:type="pct"/>
          <w:trHeight w:val="199"/>
        </w:trPr>
        <w:tc>
          <w:tcPr>
            <w:tcW w:w="4901" w:type="pct"/>
            <w:gridSpan w:val="11"/>
            <w:tcBorders>
              <w:top w:val="nil"/>
              <w:left w:val="nil"/>
              <w:bottom w:val="nil"/>
              <w:right w:val="nil"/>
            </w:tcBorders>
            <w:shd w:val="clear" w:color="000000" w:fill="FFFFFF"/>
            <w:vAlign w:val="center"/>
            <w:hideMark/>
          </w:tcPr>
          <w:p w14:paraId="5F34996D" w14:textId="77777777" w:rsidR="001F6836" w:rsidRPr="00E35976" w:rsidRDefault="001F6836" w:rsidP="00204862">
            <w:pPr>
              <w:keepNext/>
              <w:spacing w:after="140" w:line="240" w:lineRule="auto"/>
              <w:contextualSpacing/>
              <w:rPr>
                <w:rFonts w:ascii="Gill Sans MT" w:hAnsi="Gill Sans MT" w:cs="Arial"/>
                <w:color w:val="000000"/>
                <w:sz w:val="18"/>
                <w:szCs w:val="18"/>
              </w:rPr>
            </w:pPr>
            <w:r w:rsidRPr="00E35976">
              <w:rPr>
                <w:rFonts w:ascii="Gill Sans MT" w:hAnsi="Gill Sans MT" w:cs="Arial"/>
                <w:color w:val="000000"/>
                <w:sz w:val="18"/>
                <w:szCs w:val="18"/>
              </w:rPr>
              <w:t>(k) Used at least 1 of 16 illicit drugs in 2016.</w:t>
            </w:r>
          </w:p>
        </w:tc>
      </w:tr>
    </w:tbl>
    <w:p w14:paraId="082ED4A1" w14:textId="77777777" w:rsidR="00965ADF" w:rsidRPr="00E35976" w:rsidRDefault="00965ADF" w:rsidP="00204862">
      <w:pPr>
        <w:pStyle w:val="BulletedListLevel1"/>
        <w:keepNext/>
        <w:numPr>
          <w:ilvl w:val="0"/>
          <w:numId w:val="0"/>
        </w:numPr>
        <w:spacing w:line="240" w:lineRule="auto"/>
        <w:rPr>
          <w:sz w:val="22"/>
          <w:szCs w:val="22"/>
        </w:rPr>
      </w:pPr>
    </w:p>
    <w:p w14:paraId="079FC922" w14:textId="77777777" w:rsidR="002D610F" w:rsidRPr="00E35976" w:rsidRDefault="002D610F" w:rsidP="00F1687A">
      <w:pPr>
        <w:pStyle w:val="BulletedListLevel1"/>
        <w:keepNext/>
        <w:numPr>
          <w:ilvl w:val="0"/>
          <w:numId w:val="0"/>
        </w:numPr>
        <w:spacing w:line="260" w:lineRule="atLeast"/>
        <w:rPr>
          <w:sz w:val="22"/>
          <w:szCs w:val="22"/>
        </w:rPr>
      </w:pPr>
      <w:r w:rsidRPr="00E35976">
        <w:rPr>
          <w:sz w:val="22"/>
          <w:szCs w:val="22"/>
        </w:rPr>
        <w:t>Other</w:t>
      </w:r>
      <w:r w:rsidR="004159F7" w:rsidRPr="00E35976">
        <w:rPr>
          <w:sz w:val="22"/>
          <w:szCs w:val="22"/>
        </w:rPr>
        <w:t xml:space="preserve"> available</w:t>
      </w:r>
      <w:r w:rsidRPr="00E35976">
        <w:rPr>
          <w:sz w:val="22"/>
          <w:szCs w:val="22"/>
        </w:rPr>
        <w:t xml:space="preserve"> data:</w:t>
      </w:r>
    </w:p>
    <w:p w14:paraId="17F3CA03" w14:textId="77777777" w:rsidR="00286DDE" w:rsidRPr="00E35976" w:rsidRDefault="003A218E" w:rsidP="00FA35B2">
      <w:pPr>
        <w:keepNext/>
        <w:spacing w:after="140" w:line="260" w:lineRule="atLeast"/>
        <w:rPr>
          <w:rFonts w:ascii="Gill Sans MT" w:hAnsi="Gill Sans MT"/>
        </w:rPr>
      </w:pPr>
      <w:r w:rsidRPr="00E35976">
        <w:rPr>
          <w:rFonts w:ascii="Gill Sans MT" w:hAnsi="Gill Sans MT"/>
        </w:rPr>
        <w:t xml:space="preserve">The </w:t>
      </w:r>
      <w:r w:rsidRPr="00E35976">
        <w:rPr>
          <w:rFonts w:ascii="Gill Sans MT" w:hAnsi="Gill Sans MT"/>
          <w:i/>
        </w:rPr>
        <w:t>National Health Survey 2014-15</w:t>
      </w:r>
      <w:r w:rsidRPr="00E35976">
        <w:rPr>
          <w:rFonts w:ascii="Gill Sans MT" w:hAnsi="Gill Sans MT"/>
        </w:rPr>
        <w:t xml:space="preserve"> </w:t>
      </w:r>
    </w:p>
    <w:p w14:paraId="7E999274" w14:textId="046A6FF6" w:rsidR="00C9331A" w:rsidRPr="00E35976" w:rsidRDefault="00286DDE" w:rsidP="005D5D81">
      <w:pPr>
        <w:pStyle w:val="ListParagraph"/>
        <w:widowControl w:val="0"/>
        <w:numPr>
          <w:ilvl w:val="0"/>
          <w:numId w:val="4"/>
        </w:numPr>
        <w:spacing w:after="140" w:line="260" w:lineRule="atLeast"/>
        <w:ind w:left="567" w:hanging="567"/>
        <w:contextualSpacing w:val="0"/>
        <w:rPr>
          <w:rFonts w:ascii="Gill Sans MT" w:hAnsi="Gill Sans MT"/>
        </w:rPr>
      </w:pPr>
      <w:r w:rsidRPr="00E35976">
        <w:rPr>
          <w:rFonts w:ascii="Gill Sans MT" w:hAnsi="Gill Sans MT"/>
        </w:rPr>
        <w:t xml:space="preserve">The National Health Survey </w:t>
      </w:r>
      <w:r w:rsidR="003A218E" w:rsidRPr="00E35976">
        <w:rPr>
          <w:rFonts w:ascii="Gill Sans MT" w:hAnsi="Gill Sans MT"/>
        </w:rPr>
        <w:t>indicate</w:t>
      </w:r>
      <w:r w:rsidR="004D4D80" w:rsidRPr="00E35976">
        <w:rPr>
          <w:rFonts w:ascii="Gill Sans MT" w:hAnsi="Gill Sans MT"/>
        </w:rPr>
        <w:t>s</w:t>
      </w:r>
      <w:r w:rsidR="003A218E" w:rsidRPr="00E35976">
        <w:rPr>
          <w:rFonts w:ascii="Gill Sans MT" w:hAnsi="Gill Sans MT"/>
        </w:rPr>
        <w:t xml:space="preserve"> that nationally 17.4 per cent of adults aged 18 and over consumed more than two standard drinks on average, exceeding the lifetime risk guideline. Tasmania had the second highest age standardised proportion of adults exceeding the lifetime risk guideline, at 19.1 per cent. This has decreased since 2011-12 when 22.7 per cent exceeded this guideline</w:t>
      </w:r>
      <w:bookmarkStart w:id="27" w:name="_Ref462302750"/>
      <w:r w:rsidR="003A218E" w:rsidRPr="00E35976">
        <w:rPr>
          <w:rFonts w:ascii="Gill Sans MT" w:hAnsi="Gill Sans MT"/>
        </w:rPr>
        <w:endnoteReference w:id="2"/>
      </w:r>
      <w:bookmarkEnd w:id="27"/>
      <w:r w:rsidR="003A218E" w:rsidRPr="00E35976">
        <w:rPr>
          <w:rFonts w:ascii="Gill Sans MT" w:hAnsi="Gill Sans MT"/>
        </w:rPr>
        <w:t>.</w:t>
      </w:r>
    </w:p>
    <w:p w14:paraId="64946346" w14:textId="0255E8B8" w:rsidR="003A218E" w:rsidRPr="00E35976" w:rsidRDefault="003A218E" w:rsidP="005D5D81">
      <w:pPr>
        <w:pStyle w:val="ListParagraph"/>
        <w:widowControl w:val="0"/>
        <w:numPr>
          <w:ilvl w:val="0"/>
          <w:numId w:val="4"/>
        </w:numPr>
        <w:spacing w:after="140" w:line="260" w:lineRule="atLeast"/>
        <w:ind w:left="567" w:hanging="567"/>
        <w:contextualSpacing w:val="0"/>
        <w:rPr>
          <w:rFonts w:ascii="Gill Sans MT" w:hAnsi="Gill Sans MT"/>
        </w:rPr>
      </w:pPr>
      <w:r w:rsidRPr="00E35976">
        <w:rPr>
          <w:rFonts w:ascii="Gill Sans MT" w:hAnsi="Gill Sans MT"/>
        </w:rPr>
        <w:lastRenderedPageBreak/>
        <w:t xml:space="preserve">It also shows that almost half of Tasmanian adults (49.2 per cent) consumed alcohol on at least one occasion to risky levels for acute harms in 2014-15, </w:t>
      </w:r>
      <w:proofErr w:type="gramStart"/>
      <w:r w:rsidRPr="00E35976">
        <w:rPr>
          <w:rFonts w:ascii="Gill Sans MT" w:hAnsi="Gill Sans MT"/>
        </w:rPr>
        <w:t>similar to</w:t>
      </w:r>
      <w:proofErr w:type="gramEnd"/>
      <w:r w:rsidRPr="00E35976">
        <w:rPr>
          <w:rFonts w:ascii="Gill Sans MT" w:hAnsi="Gill Sans MT"/>
        </w:rPr>
        <w:t xml:space="preserve"> the value for 2011-12 (48.9 per cent).  Tasmania now has the highest proportion of </w:t>
      </w:r>
      <w:r w:rsidR="00286DDE" w:rsidRPr="00E35976">
        <w:rPr>
          <w:rFonts w:ascii="Gill Sans MT" w:hAnsi="Gill Sans MT"/>
        </w:rPr>
        <w:t xml:space="preserve">consumption at a risky level </w:t>
      </w:r>
      <w:r w:rsidRPr="00E35976">
        <w:rPr>
          <w:rFonts w:ascii="Gill Sans MT" w:hAnsi="Gill Sans MT"/>
        </w:rPr>
        <w:t xml:space="preserve">(at 49.2 per cent) and a rate that is statistically significantly higher than the national level (45.0 per cent). </w:t>
      </w:r>
    </w:p>
    <w:p w14:paraId="2BB16D71" w14:textId="2728D557" w:rsidR="003A218E" w:rsidRPr="00E35976" w:rsidRDefault="00286DDE" w:rsidP="00286DDE">
      <w:pPr>
        <w:pStyle w:val="ListParagraph"/>
        <w:keepNext/>
        <w:numPr>
          <w:ilvl w:val="0"/>
          <w:numId w:val="4"/>
        </w:numPr>
        <w:spacing w:after="140" w:line="260" w:lineRule="atLeast"/>
        <w:ind w:left="567" w:hanging="567"/>
        <w:contextualSpacing w:val="0"/>
        <w:rPr>
          <w:rFonts w:ascii="Gill Sans MT" w:hAnsi="Gill Sans MT"/>
        </w:rPr>
      </w:pPr>
      <w:r w:rsidRPr="00E35976">
        <w:rPr>
          <w:rFonts w:ascii="Gill Sans MT" w:hAnsi="Gill Sans MT"/>
        </w:rPr>
        <w:t>In</w:t>
      </w:r>
      <w:r w:rsidR="003A218E" w:rsidRPr="00E35976">
        <w:rPr>
          <w:rFonts w:ascii="Gill Sans MT" w:hAnsi="Gill Sans MT"/>
        </w:rPr>
        <w:t xml:space="preserve"> 2014-15, 76.2 per cent of Tasmanian young people aged 18-24 years of age were estimated to be drinking at levels putting them at risk of </w:t>
      </w:r>
      <w:proofErr w:type="gramStart"/>
      <w:r w:rsidR="003A218E" w:rsidRPr="00E35976">
        <w:rPr>
          <w:rFonts w:ascii="Gill Sans MT" w:hAnsi="Gill Sans MT"/>
        </w:rPr>
        <w:t>short term</w:t>
      </w:r>
      <w:proofErr w:type="gramEnd"/>
      <w:r w:rsidR="003A218E" w:rsidRPr="00E35976">
        <w:rPr>
          <w:rFonts w:ascii="Gill Sans MT" w:hAnsi="Gill Sans MT"/>
        </w:rPr>
        <w:t xml:space="preserve"> alcohol related harm. These numbers have decreased slightly since 2011-12, when 82.3 per cent of 18-24 years </w:t>
      </w:r>
      <w:proofErr w:type="spellStart"/>
      <w:r w:rsidR="003A218E" w:rsidRPr="00E35976">
        <w:rPr>
          <w:rFonts w:ascii="Gill Sans MT" w:hAnsi="Gill Sans MT"/>
        </w:rPr>
        <w:t>olds</w:t>
      </w:r>
      <w:proofErr w:type="spellEnd"/>
      <w:r w:rsidR="003A218E" w:rsidRPr="00E35976">
        <w:rPr>
          <w:rFonts w:ascii="Gill Sans MT" w:hAnsi="Gill Sans MT"/>
        </w:rPr>
        <w:t xml:space="preserve"> were at short term </w:t>
      </w:r>
      <w:proofErr w:type="spellStart"/>
      <w:r w:rsidR="003A218E" w:rsidRPr="00E35976">
        <w:rPr>
          <w:rFonts w:ascii="Gill Sans MT" w:hAnsi="Gill Sans MT"/>
        </w:rPr>
        <w:t>risk</w:t>
      </w:r>
      <w:r w:rsidR="00C65080" w:rsidRPr="00E35976">
        <w:rPr>
          <w:rFonts w:ascii="Gill Sans MT" w:hAnsi="Gill Sans MT"/>
          <w:vertAlign w:val="superscript"/>
        </w:rPr>
        <w:fldChar w:fldCharType="begin"/>
      </w:r>
      <w:r w:rsidR="00C65080" w:rsidRPr="00E35976">
        <w:rPr>
          <w:rFonts w:ascii="Gill Sans MT" w:hAnsi="Gill Sans MT"/>
          <w:vertAlign w:val="superscript"/>
        </w:rPr>
        <w:instrText xml:space="preserve"> NOTEREF _Ref462302750 \h  \* MERGEFORMAT </w:instrText>
      </w:r>
      <w:r w:rsidR="00C65080" w:rsidRPr="00E35976">
        <w:rPr>
          <w:rFonts w:ascii="Gill Sans MT" w:hAnsi="Gill Sans MT"/>
          <w:vertAlign w:val="superscript"/>
        </w:rPr>
      </w:r>
      <w:r w:rsidR="00C65080" w:rsidRPr="00E35976">
        <w:rPr>
          <w:rFonts w:ascii="Gill Sans MT" w:hAnsi="Gill Sans MT"/>
          <w:vertAlign w:val="superscript"/>
        </w:rPr>
        <w:fldChar w:fldCharType="separate"/>
      </w:r>
      <w:r w:rsidR="00313774" w:rsidRPr="00E35976">
        <w:rPr>
          <w:rFonts w:ascii="Gill Sans MT" w:hAnsi="Gill Sans MT"/>
          <w:vertAlign w:val="superscript"/>
        </w:rPr>
        <w:t>ii</w:t>
      </w:r>
      <w:proofErr w:type="spellEnd"/>
      <w:r w:rsidR="00C65080" w:rsidRPr="00E35976">
        <w:rPr>
          <w:rFonts w:ascii="Gill Sans MT" w:hAnsi="Gill Sans MT"/>
          <w:vertAlign w:val="superscript"/>
        </w:rPr>
        <w:fldChar w:fldCharType="end"/>
      </w:r>
      <w:r w:rsidR="00C65080" w:rsidRPr="00E35976">
        <w:rPr>
          <w:rFonts w:ascii="Gill Sans MT" w:hAnsi="Gill Sans MT"/>
        </w:rPr>
        <w:t>.</w:t>
      </w:r>
      <w:r w:rsidR="003A218E" w:rsidRPr="00E35976">
        <w:rPr>
          <w:rFonts w:ascii="Gill Sans MT" w:hAnsi="Gill Sans MT"/>
        </w:rPr>
        <w:t xml:space="preserve"> </w:t>
      </w:r>
    </w:p>
    <w:p w14:paraId="50C048F0" w14:textId="77777777" w:rsidR="00286DDE" w:rsidRPr="00E35976" w:rsidRDefault="00286DDE" w:rsidP="00FA35B2">
      <w:pPr>
        <w:keepNext/>
        <w:spacing w:after="140" w:line="260" w:lineRule="atLeast"/>
        <w:rPr>
          <w:rFonts w:ascii="Gill Sans MT" w:hAnsi="Gill Sans MT"/>
          <w:i/>
        </w:rPr>
      </w:pPr>
      <w:r w:rsidRPr="00E35976">
        <w:rPr>
          <w:rFonts w:ascii="Gill Sans MT" w:hAnsi="Gill Sans MT"/>
          <w:i/>
        </w:rPr>
        <w:t xml:space="preserve">The Council of Obstetric and Paediatric Mortality and Morbidity Database Report </w:t>
      </w:r>
    </w:p>
    <w:p w14:paraId="7BBB0490" w14:textId="77777777" w:rsidR="002D610F" w:rsidRPr="00E35976" w:rsidRDefault="002D610F" w:rsidP="00F1687A">
      <w:pPr>
        <w:pStyle w:val="ListParagraph"/>
        <w:keepNext/>
        <w:numPr>
          <w:ilvl w:val="0"/>
          <w:numId w:val="4"/>
        </w:numPr>
        <w:spacing w:after="140" w:line="260" w:lineRule="atLeast"/>
        <w:ind w:left="567" w:hanging="567"/>
        <w:contextualSpacing w:val="0"/>
        <w:rPr>
          <w:rFonts w:ascii="Gill Sans MT" w:hAnsi="Gill Sans MT"/>
        </w:rPr>
      </w:pPr>
      <w:r w:rsidRPr="00E35976">
        <w:rPr>
          <w:rFonts w:ascii="Gill Sans MT" w:hAnsi="Gill Sans MT"/>
        </w:rPr>
        <w:t xml:space="preserve">The Council of Obstetric and Paediatric Mortality and Morbidity </w:t>
      </w:r>
      <w:r w:rsidR="00286DDE" w:rsidRPr="00E35976">
        <w:rPr>
          <w:rFonts w:ascii="Gill Sans MT" w:hAnsi="Gill Sans MT"/>
        </w:rPr>
        <w:t>Database Report</w:t>
      </w:r>
      <w:bookmarkStart w:id="28" w:name="_Ref501014122"/>
      <w:r w:rsidR="00E851F6" w:rsidRPr="00E35976">
        <w:rPr>
          <w:rStyle w:val="EndnoteReference"/>
          <w:rFonts w:ascii="Gill Sans MT" w:hAnsi="Gill Sans MT"/>
        </w:rPr>
        <w:endnoteReference w:id="3"/>
      </w:r>
      <w:bookmarkEnd w:id="28"/>
      <w:r w:rsidR="00E851F6" w:rsidRPr="00E35976">
        <w:rPr>
          <w:rFonts w:ascii="Gill Sans MT" w:hAnsi="Gill Sans MT"/>
        </w:rPr>
        <w:t xml:space="preserve"> </w:t>
      </w:r>
      <w:r w:rsidR="007321E5" w:rsidRPr="00E35976">
        <w:rPr>
          <w:rFonts w:ascii="Gill Sans MT" w:hAnsi="Gill Sans MT"/>
        </w:rPr>
        <w:t>reported</w:t>
      </w:r>
      <w:r w:rsidRPr="00E35976">
        <w:rPr>
          <w:rFonts w:ascii="Gill Sans MT" w:hAnsi="Gill Sans MT"/>
        </w:rPr>
        <w:t xml:space="preserve"> that</w:t>
      </w:r>
      <w:r w:rsidR="00286DDE" w:rsidRPr="00E35976">
        <w:rPr>
          <w:rFonts w:ascii="Gill Sans MT" w:hAnsi="Gill Sans MT"/>
        </w:rPr>
        <w:t>,</w:t>
      </w:r>
      <w:r w:rsidR="007321E5" w:rsidRPr="00E35976">
        <w:rPr>
          <w:rFonts w:ascii="Gill Sans MT" w:hAnsi="Gill Sans MT"/>
        </w:rPr>
        <w:t xml:space="preserve"> overall</w:t>
      </w:r>
      <w:r w:rsidR="00286DDE" w:rsidRPr="00E35976">
        <w:rPr>
          <w:rFonts w:ascii="Gill Sans MT" w:hAnsi="Gill Sans MT"/>
        </w:rPr>
        <w:t>,</w:t>
      </w:r>
      <w:r w:rsidR="00E851F6" w:rsidRPr="00E35976">
        <w:rPr>
          <w:rFonts w:ascii="Gill Sans MT" w:hAnsi="Gill Sans MT"/>
        </w:rPr>
        <w:t xml:space="preserve"> </w:t>
      </w:r>
      <w:r w:rsidR="007321E5" w:rsidRPr="00E35976">
        <w:rPr>
          <w:rFonts w:ascii="Gill Sans MT" w:hAnsi="Gill Sans MT"/>
        </w:rPr>
        <w:t xml:space="preserve">7.6 </w:t>
      </w:r>
      <w:r w:rsidRPr="00E35976">
        <w:rPr>
          <w:rFonts w:ascii="Gill Sans MT" w:hAnsi="Gill Sans MT"/>
        </w:rPr>
        <w:t>per cent of Tasmanian women consumed alcoho</w:t>
      </w:r>
      <w:r w:rsidR="00CA6256" w:rsidRPr="00E35976">
        <w:rPr>
          <w:rFonts w:ascii="Gill Sans MT" w:hAnsi="Gill Sans MT"/>
        </w:rPr>
        <w:t>l during their pregnancy in 201</w:t>
      </w:r>
      <w:r w:rsidR="007321E5" w:rsidRPr="00E35976">
        <w:rPr>
          <w:rFonts w:ascii="Gill Sans MT" w:hAnsi="Gill Sans MT"/>
        </w:rPr>
        <w:t>5</w:t>
      </w:r>
      <w:r w:rsidR="00E851F6" w:rsidRPr="00E35976">
        <w:rPr>
          <w:rFonts w:ascii="Gill Sans MT" w:hAnsi="Gill Sans MT"/>
        </w:rPr>
        <w:t xml:space="preserve"> which was </w:t>
      </w:r>
      <w:r w:rsidR="007321E5" w:rsidRPr="00E35976">
        <w:rPr>
          <w:rFonts w:ascii="Gill Sans MT" w:hAnsi="Gill Sans MT"/>
        </w:rPr>
        <w:t>slightly higher than the 2014 figure of 6.5 per cent</w:t>
      </w:r>
      <w:r w:rsidR="00E851F6" w:rsidRPr="00E35976">
        <w:rPr>
          <w:rFonts w:ascii="Gill Sans MT" w:hAnsi="Gill Sans MT"/>
        </w:rPr>
        <w:t xml:space="preserve">. </w:t>
      </w:r>
      <w:bookmarkStart w:id="29" w:name="_Ref436833620"/>
      <w:r w:rsidR="00E851F6" w:rsidRPr="00E35976">
        <w:rPr>
          <w:rFonts w:ascii="Gill Sans MT" w:hAnsi="Gill Sans MT" w:cs="Calibri"/>
        </w:rPr>
        <w:t>Reported alcohol consumption during pregnancy in 201</w:t>
      </w:r>
      <w:r w:rsidR="007321E5" w:rsidRPr="00E35976">
        <w:rPr>
          <w:rFonts w:ascii="Gill Sans MT" w:hAnsi="Gill Sans MT" w:cs="Calibri"/>
        </w:rPr>
        <w:t>5</w:t>
      </w:r>
      <w:r w:rsidR="00E851F6" w:rsidRPr="00E35976">
        <w:rPr>
          <w:rFonts w:ascii="Gill Sans MT" w:hAnsi="Gill Sans MT" w:cs="Calibri"/>
        </w:rPr>
        <w:t xml:space="preserve"> for private patients (</w:t>
      </w:r>
      <w:r w:rsidR="007321E5" w:rsidRPr="00E35976">
        <w:rPr>
          <w:rFonts w:ascii="Gill Sans MT" w:hAnsi="Gill Sans MT" w:cs="Calibri"/>
        </w:rPr>
        <w:t xml:space="preserve">10.0 </w:t>
      </w:r>
      <w:r w:rsidR="00E851F6" w:rsidRPr="00E35976">
        <w:rPr>
          <w:rFonts w:ascii="Gill Sans MT" w:hAnsi="Gill Sans MT" w:cs="Calibri"/>
        </w:rPr>
        <w:t>per cent)</w:t>
      </w:r>
      <w:bookmarkEnd w:id="29"/>
      <w:r w:rsidR="007321E5" w:rsidRPr="00E35976">
        <w:rPr>
          <w:rFonts w:ascii="Gill Sans MT" w:hAnsi="Gill Sans MT" w:cs="Calibri"/>
        </w:rPr>
        <w:t xml:space="preserve"> was significantly higher than in 2014 (6.3 per cent). Unlike in previous years, reported alcohol consumption during pregnancy among public patients (6.8 per cent) was significantly lower than for private patients</w:t>
      </w:r>
    </w:p>
    <w:p w14:paraId="50AAFF4C" w14:textId="150FBA12" w:rsidR="002D610F" w:rsidRPr="00E35976" w:rsidRDefault="002D610F" w:rsidP="00F1687A">
      <w:pPr>
        <w:pStyle w:val="BulletedListLevel1"/>
        <w:keepNext/>
        <w:numPr>
          <w:ilvl w:val="0"/>
          <w:numId w:val="4"/>
        </w:numPr>
        <w:spacing w:line="260" w:lineRule="atLeast"/>
        <w:ind w:left="567" w:hanging="567"/>
        <w:rPr>
          <w:sz w:val="22"/>
          <w:szCs w:val="22"/>
        </w:rPr>
      </w:pPr>
      <w:r w:rsidRPr="00E35976">
        <w:rPr>
          <w:sz w:val="22"/>
          <w:szCs w:val="22"/>
        </w:rPr>
        <w:t>The proportion of Tasmanian women who reported smoking during pregnancy has fallen si</w:t>
      </w:r>
      <w:r w:rsidR="00CA6256" w:rsidRPr="00E35976">
        <w:rPr>
          <w:sz w:val="22"/>
          <w:szCs w:val="22"/>
        </w:rPr>
        <w:t>gnificantly since 2010.  In 201</w:t>
      </w:r>
      <w:r w:rsidR="00AD72A5" w:rsidRPr="00E35976">
        <w:rPr>
          <w:sz w:val="22"/>
          <w:szCs w:val="22"/>
        </w:rPr>
        <w:t>5</w:t>
      </w:r>
      <w:r w:rsidRPr="00E35976">
        <w:rPr>
          <w:sz w:val="22"/>
          <w:szCs w:val="22"/>
        </w:rPr>
        <w:t xml:space="preserve">, </w:t>
      </w:r>
      <w:r w:rsidR="00AD72A5" w:rsidRPr="00E35976">
        <w:rPr>
          <w:sz w:val="22"/>
          <w:szCs w:val="22"/>
        </w:rPr>
        <w:t>12.9</w:t>
      </w:r>
      <w:r w:rsidR="00CA6256" w:rsidRPr="00E35976">
        <w:rPr>
          <w:sz w:val="22"/>
          <w:szCs w:val="22"/>
        </w:rPr>
        <w:t xml:space="preserve"> </w:t>
      </w:r>
      <w:r w:rsidRPr="00E35976">
        <w:rPr>
          <w:sz w:val="22"/>
          <w:szCs w:val="22"/>
        </w:rPr>
        <w:t>per cent of women reported smoking whilst pregnant</w:t>
      </w:r>
      <w:r w:rsidR="00CA6256" w:rsidRPr="00E35976">
        <w:rPr>
          <w:sz w:val="22"/>
          <w:szCs w:val="22"/>
        </w:rPr>
        <w:t>, slightly lower than for 201</w:t>
      </w:r>
      <w:r w:rsidR="007321E5" w:rsidRPr="00E35976">
        <w:rPr>
          <w:sz w:val="22"/>
          <w:szCs w:val="22"/>
        </w:rPr>
        <w:t>4 (14.3 per cent)</w:t>
      </w:r>
      <w:r w:rsidR="00CA6256" w:rsidRPr="00E35976">
        <w:rPr>
          <w:sz w:val="22"/>
          <w:szCs w:val="22"/>
        </w:rPr>
        <w:t xml:space="preserve">. </w:t>
      </w:r>
      <w:r w:rsidRPr="00E35976">
        <w:rPr>
          <w:sz w:val="22"/>
          <w:szCs w:val="22"/>
        </w:rPr>
        <w:t xml:space="preserve"> Although this proportion continues to fall, smoking during pregnancy continues to be </w:t>
      </w:r>
      <w:r w:rsidR="00CA6256" w:rsidRPr="00E35976">
        <w:rPr>
          <w:sz w:val="22"/>
          <w:szCs w:val="22"/>
        </w:rPr>
        <w:t>more prevalent</w:t>
      </w:r>
      <w:r w:rsidRPr="00E35976">
        <w:rPr>
          <w:sz w:val="22"/>
          <w:szCs w:val="22"/>
        </w:rPr>
        <w:t xml:space="preserve"> among young mothers under 20 years</w:t>
      </w:r>
      <w:r w:rsidR="007321E5" w:rsidRPr="00E35976">
        <w:rPr>
          <w:sz w:val="22"/>
          <w:szCs w:val="22"/>
        </w:rPr>
        <w:t xml:space="preserve">, although this too is dropping – from </w:t>
      </w:r>
      <w:r w:rsidR="00CA6256" w:rsidRPr="00E35976">
        <w:rPr>
          <w:sz w:val="22"/>
          <w:szCs w:val="22"/>
        </w:rPr>
        <w:t>34.9 per cent</w:t>
      </w:r>
      <w:r w:rsidR="007321E5" w:rsidRPr="00E35976">
        <w:rPr>
          <w:sz w:val="22"/>
          <w:szCs w:val="22"/>
        </w:rPr>
        <w:t xml:space="preserve"> in 2014 to 33.6 per cent in 201</w:t>
      </w:r>
      <w:r w:rsidR="00F25960" w:rsidRPr="00E35976">
        <w:rPr>
          <w:sz w:val="22"/>
          <w:szCs w:val="22"/>
        </w:rPr>
        <w:t>5</w:t>
      </w:r>
      <w:r w:rsidR="00C65080" w:rsidRPr="00E35976">
        <w:rPr>
          <w:sz w:val="22"/>
          <w:szCs w:val="22"/>
          <w:vertAlign w:val="superscript"/>
        </w:rPr>
        <w:fldChar w:fldCharType="begin"/>
      </w:r>
      <w:r w:rsidR="00C65080" w:rsidRPr="00E35976">
        <w:rPr>
          <w:sz w:val="22"/>
          <w:szCs w:val="22"/>
          <w:vertAlign w:val="superscript"/>
        </w:rPr>
        <w:instrText xml:space="preserve"> NOTEREF _Ref501014122 \h  \* MERGEFORMAT </w:instrText>
      </w:r>
      <w:r w:rsidR="00C65080" w:rsidRPr="00E35976">
        <w:rPr>
          <w:sz w:val="22"/>
          <w:szCs w:val="22"/>
          <w:vertAlign w:val="superscript"/>
        </w:rPr>
      </w:r>
      <w:r w:rsidR="00C65080" w:rsidRPr="00E35976">
        <w:rPr>
          <w:sz w:val="22"/>
          <w:szCs w:val="22"/>
          <w:vertAlign w:val="superscript"/>
        </w:rPr>
        <w:fldChar w:fldCharType="separate"/>
      </w:r>
      <w:r w:rsidR="00313774" w:rsidRPr="00E35976">
        <w:rPr>
          <w:sz w:val="22"/>
          <w:szCs w:val="22"/>
          <w:vertAlign w:val="superscript"/>
        </w:rPr>
        <w:t>iii</w:t>
      </w:r>
      <w:r w:rsidR="00C65080" w:rsidRPr="00E35976">
        <w:rPr>
          <w:sz w:val="22"/>
          <w:szCs w:val="22"/>
          <w:vertAlign w:val="superscript"/>
        </w:rPr>
        <w:fldChar w:fldCharType="end"/>
      </w:r>
      <w:r w:rsidR="00E851F6" w:rsidRPr="00E35976">
        <w:rPr>
          <w:sz w:val="22"/>
          <w:szCs w:val="22"/>
        </w:rPr>
        <w:t>.</w:t>
      </w:r>
    </w:p>
    <w:p w14:paraId="4B10F188" w14:textId="77777777" w:rsidR="00286DDE" w:rsidRPr="00E35976" w:rsidRDefault="00286DDE" w:rsidP="00FA35B2">
      <w:pPr>
        <w:pStyle w:val="BulletedListLevel1"/>
        <w:keepNext/>
        <w:numPr>
          <w:ilvl w:val="0"/>
          <w:numId w:val="0"/>
        </w:numPr>
        <w:spacing w:line="260" w:lineRule="atLeast"/>
        <w:rPr>
          <w:i/>
          <w:sz w:val="22"/>
          <w:szCs w:val="22"/>
        </w:rPr>
      </w:pPr>
      <w:r w:rsidRPr="00E35976">
        <w:rPr>
          <w:i/>
          <w:sz w:val="22"/>
          <w:szCs w:val="22"/>
        </w:rPr>
        <w:t>The Australian School Students Alcohol and Drug Survey (ASSAD)</w:t>
      </w:r>
    </w:p>
    <w:p w14:paraId="640ECFF6" w14:textId="75FF4260" w:rsidR="00BF0875" w:rsidRPr="00E35976" w:rsidRDefault="00286DDE" w:rsidP="00F1687A">
      <w:pPr>
        <w:pStyle w:val="ListParagraph"/>
        <w:keepNext/>
        <w:numPr>
          <w:ilvl w:val="0"/>
          <w:numId w:val="4"/>
        </w:numPr>
        <w:spacing w:after="140" w:line="260" w:lineRule="atLeast"/>
        <w:ind w:left="567" w:hanging="567"/>
        <w:contextualSpacing w:val="0"/>
        <w:rPr>
          <w:rFonts w:ascii="Gill Sans MT" w:hAnsi="Gill Sans MT"/>
        </w:rPr>
      </w:pPr>
      <w:r w:rsidRPr="00E35976">
        <w:rPr>
          <w:rFonts w:ascii="Gill Sans MT" w:hAnsi="Gill Sans MT"/>
        </w:rPr>
        <w:t>The survey</w:t>
      </w:r>
      <w:r w:rsidR="00F30076" w:rsidRPr="00E35976">
        <w:rPr>
          <w:rStyle w:val="EndnoteReference"/>
          <w:rFonts w:ascii="Gill Sans MT" w:hAnsi="Gill Sans MT"/>
        </w:rPr>
        <w:endnoteReference w:id="4"/>
      </w:r>
      <w:r w:rsidR="00BF0875" w:rsidRPr="00E35976">
        <w:rPr>
          <w:rFonts w:ascii="Gill Sans MT" w:hAnsi="Gill Sans MT"/>
        </w:rPr>
        <w:t xml:space="preserve"> </w:t>
      </w:r>
      <w:r w:rsidR="003A218E" w:rsidRPr="00E35976">
        <w:rPr>
          <w:rFonts w:ascii="Gill Sans MT" w:hAnsi="Gill Sans MT"/>
        </w:rPr>
        <w:t xml:space="preserve">for Tasmania </w:t>
      </w:r>
      <w:r w:rsidR="00BF0875" w:rsidRPr="00E35976">
        <w:rPr>
          <w:rFonts w:ascii="Gill Sans MT" w:hAnsi="Gill Sans MT"/>
        </w:rPr>
        <w:t xml:space="preserve">in 2014 shows that experience with alcohol increased with age, with use increasing from 58 per cent of 12 to </w:t>
      </w:r>
      <w:proofErr w:type="gramStart"/>
      <w:r w:rsidR="00BF0875" w:rsidRPr="00E35976">
        <w:rPr>
          <w:rFonts w:ascii="Gill Sans MT" w:hAnsi="Gill Sans MT"/>
        </w:rPr>
        <w:t>13 year</w:t>
      </w:r>
      <w:proofErr w:type="gramEnd"/>
      <w:r w:rsidR="00BF0875" w:rsidRPr="00E35976">
        <w:rPr>
          <w:rFonts w:ascii="Gill Sans MT" w:hAnsi="Gill Sans MT"/>
        </w:rPr>
        <w:t xml:space="preserve"> </w:t>
      </w:r>
      <w:proofErr w:type="spellStart"/>
      <w:r w:rsidR="00BF0875" w:rsidRPr="00E35976">
        <w:rPr>
          <w:rFonts w:ascii="Gill Sans MT" w:hAnsi="Gill Sans MT"/>
        </w:rPr>
        <w:t>olds</w:t>
      </w:r>
      <w:proofErr w:type="spellEnd"/>
      <w:r w:rsidR="00BF0875" w:rsidRPr="00E35976">
        <w:rPr>
          <w:rFonts w:ascii="Gill Sans MT" w:hAnsi="Gill Sans MT"/>
        </w:rPr>
        <w:t xml:space="preserve"> to 95 per cent of 17</w:t>
      </w:r>
      <w:r w:rsidRPr="00E35976">
        <w:rPr>
          <w:rFonts w:ascii="Gill Sans MT" w:hAnsi="Gill Sans MT"/>
        </w:rPr>
        <w:t xml:space="preserve"> </w:t>
      </w:r>
      <w:r w:rsidR="00BF0875" w:rsidRPr="00E35976">
        <w:rPr>
          <w:rFonts w:ascii="Gill Sans MT" w:hAnsi="Gill Sans MT"/>
        </w:rPr>
        <w:t xml:space="preserve">year </w:t>
      </w:r>
      <w:proofErr w:type="spellStart"/>
      <w:r w:rsidR="00BF0875" w:rsidRPr="00E35976">
        <w:rPr>
          <w:rFonts w:ascii="Gill Sans MT" w:hAnsi="Gill Sans MT"/>
        </w:rPr>
        <w:t>olds</w:t>
      </w:r>
      <w:proofErr w:type="spellEnd"/>
      <w:r w:rsidR="00BF0875" w:rsidRPr="00E35976">
        <w:rPr>
          <w:rFonts w:ascii="Gill Sans MT" w:hAnsi="Gill Sans MT"/>
        </w:rPr>
        <w:t xml:space="preserve">.  Since the 2008 survey there have been some encouraging trends. The proportion of 12 to </w:t>
      </w:r>
      <w:proofErr w:type="gramStart"/>
      <w:r w:rsidR="00BF0875" w:rsidRPr="00E35976">
        <w:rPr>
          <w:rFonts w:ascii="Gill Sans MT" w:hAnsi="Gill Sans MT"/>
        </w:rPr>
        <w:t>15 year</w:t>
      </w:r>
      <w:proofErr w:type="gramEnd"/>
      <w:r w:rsidR="00BF0875" w:rsidRPr="00E35976">
        <w:rPr>
          <w:rFonts w:ascii="Gill Sans MT" w:hAnsi="Gill Sans MT"/>
        </w:rPr>
        <w:t xml:space="preserve"> </w:t>
      </w:r>
      <w:proofErr w:type="spellStart"/>
      <w:r w:rsidR="00BF0875" w:rsidRPr="00E35976">
        <w:rPr>
          <w:rFonts w:ascii="Gill Sans MT" w:hAnsi="Gill Sans MT"/>
        </w:rPr>
        <w:t>olds</w:t>
      </w:r>
      <w:proofErr w:type="spellEnd"/>
      <w:r w:rsidR="00BF0875" w:rsidRPr="00E35976">
        <w:rPr>
          <w:rFonts w:ascii="Gill Sans MT" w:hAnsi="Gill Sans MT"/>
        </w:rPr>
        <w:t xml:space="preserve"> drinking in their lifetime had decreased from 80 per cent in 2011 to 71 per cent in 2014, while the proportion of current drinkers 16 to 17 years </w:t>
      </w:r>
      <w:proofErr w:type="spellStart"/>
      <w:r w:rsidR="00BF0875" w:rsidRPr="00E35976">
        <w:rPr>
          <w:rFonts w:ascii="Gill Sans MT" w:hAnsi="Gill Sans MT"/>
        </w:rPr>
        <w:t>olds</w:t>
      </w:r>
      <w:proofErr w:type="spellEnd"/>
      <w:r w:rsidR="00BF0875" w:rsidRPr="00E35976">
        <w:rPr>
          <w:rFonts w:ascii="Gill Sans MT" w:hAnsi="Gill Sans MT"/>
        </w:rPr>
        <w:t xml:space="preserve"> drinking at risky levels has also decreased over time (2008: 56 per cent; 2011: 54 per cent; 2014: 39 per cent)</w:t>
      </w:r>
      <w:r w:rsidR="003A218E" w:rsidRPr="00E35976">
        <w:rPr>
          <w:rFonts w:ascii="Gill Sans MT" w:hAnsi="Gill Sans MT"/>
        </w:rPr>
        <w:t>.</w:t>
      </w:r>
    </w:p>
    <w:p w14:paraId="274CFD3D" w14:textId="7EF3FE82" w:rsidR="00A012AF" w:rsidRPr="00E35976" w:rsidRDefault="00B10EAF" w:rsidP="005D5D81">
      <w:pPr>
        <w:pStyle w:val="ListParagraph"/>
        <w:widowControl w:val="0"/>
        <w:numPr>
          <w:ilvl w:val="0"/>
          <w:numId w:val="4"/>
        </w:numPr>
        <w:spacing w:after="140" w:line="260" w:lineRule="atLeast"/>
        <w:ind w:left="567" w:hanging="567"/>
        <w:contextualSpacing w:val="0"/>
        <w:rPr>
          <w:rFonts w:ascii="Gill Sans MT" w:hAnsi="Gill Sans MT"/>
          <w:lang w:eastAsia="en-AU"/>
        </w:rPr>
      </w:pPr>
      <w:r w:rsidRPr="00E35976">
        <w:rPr>
          <w:rFonts w:ascii="Gill Sans MT" w:hAnsi="Gill Sans MT"/>
        </w:rPr>
        <w:t xml:space="preserve">Alcohol attributable deaths and hospitalisations are derived by applying aetiologic fractions (the probability that a </w:t>
      </w:r>
      <w:proofErr w:type="gramStart"/>
      <w:r w:rsidRPr="00E35976">
        <w:rPr>
          <w:rFonts w:ascii="Gill Sans MT" w:hAnsi="Gill Sans MT"/>
        </w:rPr>
        <w:t>particular death</w:t>
      </w:r>
      <w:proofErr w:type="gramEnd"/>
      <w:r w:rsidRPr="00E35976">
        <w:rPr>
          <w:rFonts w:ascii="Gill Sans MT" w:hAnsi="Gill Sans MT"/>
        </w:rPr>
        <w:t xml:space="preserve"> or illness is associated with alcohol consumption) to population level mortality and morbidity data</w:t>
      </w:r>
      <w:r w:rsidRPr="00E35976">
        <w:rPr>
          <w:rFonts w:ascii="Gill Sans MT" w:hAnsi="Gill Sans MT"/>
          <w:lang w:eastAsia="en-AU"/>
        </w:rPr>
        <w:t xml:space="preserve">. Rates of hospitalisation are significantly higher </w:t>
      </w:r>
      <w:r w:rsidR="00A012AF" w:rsidRPr="00E35976">
        <w:rPr>
          <w:rFonts w:ascii="Gill Sans MT" w:hAnsi="Gill Sans MT"/>
          <w:lang w:eastAsia="en-AU"/>
        </w:rPr>
        <w:t>for</w:t>
      </w:r>
      <w:r w:rsidRPr="00E35976">
        <w:rPr>
          <w:rFonts w:ascii="Gill Sans MT" w:hAnsi="Gill Sans MT"/>
          <w:lang w:eastAsia="en-AU"/>
        </w:rPr>
        <w:t xml:space="preserve"> males than females in Tasmania, although the gap appears to have narrowed over the last decade, with rates for females increasing at 3</w:t>
      </w:r>
      <w:r w:rsidR="00286DDE" w:rsidRPr="00E35976">
        <w:rPr>
          <w:rFonts w:ascii="Gill Sans MT" w:hAnsi="Gill Sans MT"/>
          <w:lang w:eastAsia="en-AU"/>
        </w:rPr>
        <w:t xml:space="preserve"> per cent</w:t>
      </w:r>
      <w:r w:rsidRPr="00E35976">
        <w:rPr>
          <w:rFonts w:ascii="Gill Sans MT" w:hAnsi="Gill Sans MT"/>
          <w:lang w:eastAsia="en-AU"/>
        </w:rPr>
        <w:t xml:space="preserve"> per year while rates for males have remained </w:t>
      </w:r>
      <w:proofErr w:type="gramStart"/>
      <w:r w:rsidRPr="00E35976">
        <w:rPr>
          <w:rFonts w:ascii="Gill Sans MT" w:hAnsi="Gill Sans MT"/>
          <w:lang w:eastAsia="en-AU"/>
        </w:rPr>
        <w:t>fairly stable</w:t>
      </w:r>
      <w:proofErr w:type="gramEnd"/>
      <w:r w:rsidRPr="00E35976">
        <w:rPr>
          <w:rFonts w:ascii="Gill Sans MT" w:hAnsi="Gill Sans MT"/>
          <w:lang w:eastAsia="en-AU"/>
        </w:rPr>
        <w:t>. In 2014-15 there were an estimated 5</w:t>
      </w:r>
      <w:r w:rsidR="00286DDE" w:rsidRPr="00E35976">
        <w:rPr>
          <w:rFonts w:ascii="Gill Sans MT" w:hAnsi="Gill Sans MT"/>
          <w:lang w:eastAsia="en-AU"/>
        </w:rPr>
        <w:t> </w:t>
      </w:r>
      <w:r w:rsidRPr="00E35976">
        <w:rPr>
          <w:rFonts w:ascii="Gill Sans MT" w:hAnsi="Gill Sans MT"/>
          <w:lang w:eastAsia="en-AU"/>
        </w:rPr>
        <w:t>210 hospitalisations</w:t>
      </w:r>
      <w:r w:rsidR="00372257" w:rsidRPr="00E35976">
        <w:rPr>
          <w:rFonts w:ascii="Gill Sans MT" w:hAnsi="Gill Sans MT"/>
          <w:lang w:eastAsia="en-AU"/>
        </w:rPr>
        <w:t xml:space="preserve"> in Tasmania </w:t>
      </w:r>
      <w:r w:rsidRPr="00E35976">
        <w:rPr>
          <w:rFonts w:ascii="Gill Sans MT" w:hAnsi="Gill Sans MT"/>
          <w:lang w:eastAsia="en-AU"/>
        </w:rPr>
        <w:t>(2</w:t>
      </w:r>
      <w:r w:rsidR="00286DDE" w:rsidRPr="00E35976">
        <w:rPr>
          <w:rFonts w:ascii="Gill Sans MT" w:hAnsi="Gill Sans MT"/>
          <w:lang w:eastAsia="en-AU"/>
        </w:rPr>
        <w:t> </w:t>
      </w:r>
      <w:r w:rsidRPr="00E35976">
        <w:rPr>
          <w:rFonts w:ascii="Gill Sans MT" w:hAnsi="Gill Sans MT"/>
          <w:lang w:eastAsia="en-AU"/>
        </w:rPr>
        <w:t>797 men and 2</w:t>
      </w:r>
      <w:r w:rsidR="00286DDE" w:rsidRPr="00E35976">
        <w:rPr>
          <w:rFonts w:ascii="Gill Sans MT" w:hAnsi="Gill Sans MT"/>
          <w:lang w:eastAsia="en-AU"/>
        </w:rPr>
        <w:t> </w:t>
      </w:r>
      <w:r w:rsidR="00A012AF" w:rsidRPr="00E35976">
        <w:rPr>
          <w:rFonts w:ascii="Gill Sans MT" w:hAnsi="Gill Sans MT"/>
          <w:lang w:eastAsia="en-AU"/>
        </w:rPr>
        <w:t>413</w:t>
      </w:r>
      <w:r w:rsidRPr="00E35976">
        <w:rPr>
          <w:rFonts w:ascii="Gill Sans MT" w:hAnsi="Gill Sans MT"/>
          <w:lang w:eastAsia="en-AU"/>
        </w:rPr>
        <w:t xml:space="preserve"> women) attributable to alcohol</w:t>
      </w:r>
      <w:r w:rsidR="00A012AF" w:rsidRPr="00E35976">
        <w:rPr>
          <w:rStyle w:val="EndnoteReference"/>
          <w:rFonts w:ascii="Gill Sans MT" w:hAnsi="Gill Sans MT"/>
          <w:lang w:eastAsia="en-AU"/>
        </w:rPr>
        <w:endnoteReference w:id="5"/>
      </w:r>
      <w:r w:rsidRPr="00E35976">
        <w:rPr>
          <w:rFonts w:ascii="Gill Sans MT" w:hAnsi="Gill Sans MT"/>
          <w:lang w:eastAsia="en-AU"/>
        </w:rPr>
        <w:t>.</w:t>
      </w:r>
      <w:r w:rsidR="00A012AF" w:rsidRPr="00E35976">
        <w:rPr>
          <w:rFonts w:ascii="Gill Sans MT" w:hAnsi="Gill Sans MT"/>
          <w:lang w:eastAsia="en-AU"/>
        </w:rPr>
        <w:t xml:space="preserve"> </w:t>
      </w:r>
    </w:p>
    <w:p w14:paraId="4F9BE414" w14:textId="41B1596D" w:rsidR="00B10EAF" w:rsidRPr="00E35976" w:rsidRDefault="00B10EAF" w:rsidP="005D5D81">
      <w:pPr>
        <w:pStyle w:val="ListParagraph"/>
        <w:widowControl w:val="0"/>
        <w:numPr>
          <w:ilvl w:val="0"/>
          <w:numId w:val="4"/>
        </w:numPr>
        <w:spacing w:after="140" w:line="260" w:lineRule="atLeast"/>
        <w:ind w:left="567" w:hanging="567"/>
        <w:contextualSpacing w:val="0"/>
        <w:rPr>
          <w:rFonts w:ascii="Gill Sans MT" w:hAnsi="Gill Sans MT"/>
          <w:lang w:eastAsia="en-AU"/>
        </w:rPr>
      </w:pPr>
      <w:r w:rsidRPr="00E35976">
        <w:rPr>
          <w:rFonts w:ascii="Gill Sans MT" w:hAnsi="Gill Sans MT"/>
        </w:rPr>
        <w:t>Estimating the true number of Emergency Department</w:t>
      </w:r>
      <w:r w:rsidR="00CD5C7F" w:rsidRPr="00E35976">
        <w:rPr>
          <w:rFonts w:ascii="Gill Sans MT" w:hAnsi="Gill Sans MT"/>
        </w:rPr>
        <w:t xml:space="preserve"> (ED)</w:t>
      </w:r>
      <w:r w:rsidRPr="00E35976">
        <w:rPr>
          <w:rFonts w:ascii="Gill Sans MT" w:hAnsi="Gill Sans MT"/>
        </w:rPr>
        <w:t xml:space="preserve"> presentations secondary to alcohol-related harm is challenging </w:t>
      </w:r>
      <w:proofErr w:type="gramStart"/>
      <w:r w:rsidRPr="00E35976">
        <w:rPr>
          <w:rFonts w:ascii="Gill Sans MT" w:hAnsi="Gill Sans MT"/>
        </w:rPr>
        <w:t>due to the fact that</w:t>
      </w:r>
      <w:proofErr w:type="gramEnd"/>
      <w:r w:rsidRPr="00E35976">
        <w:rPr>
          <w:rFonts w:ascii="Gill Sans MT" w:hAnsi="Gill Sans MT"/>
        </w:rPr>
        <w:t xml:space="preserve"> presentations are not always coded as being alcohol related. Using a ‘primary diagnosis’ only, it is estimated that 0.5 per cent of all ED presentations in Tasmania are alcohol related, with 822 presentations in 2014-15 financial year. The rate per 100</w:t>
      </w:r>
      <w:r w:rsidR="00CD5C7F" w:rsidRPr="00E35976">
        <w:rPr>
          <w:rFonts w:ascii="Gill Sans MT" w:hAnsi="Gill Sans MT"/>
        </w:rPr>
        <w:t> </w:t>
      </w:r>
      <w:r w:rsidRPr="00E35976">
        <w:rPr>
          <w:rFonts w:ascii="Gill Sans MT" w:hAnsi="Gill Sans MT"/>
        </w:rPr>
        <w:t>000 population has increased significantly between 2005-06 and 2014-15 (</w:t>
      </w:r>
      <w:r w:rsidR="00CD5C7F" w:rsidRPr="00E35976">
        <w:rPr>
          <w:rFonts w:ascii="Gill Sans MT" w:hAnsi="Gill Sans MT"/>
        </w:rPr>
        <w:t xml:space="preserve">with an </w:t>
      </w:r>
      <w:r w:rsidRPr="00E35976">
        <w:rPr>
          <w:rFonts w:ascii="Gill Sans MT" w:hAnsi="Gill Sans MT"/>
          <w:iCs/>
          <w:lang w:eastAsia="en-AU"/>
        </w:rPr>
        <w:t>average annual increase of 2.5 per cent). National studies in which more detailed assessment occurs reveal that approximately 8.3 per cent overall and 12 per cent at peak times of ED presentations are alcohol related</w:t>
      </w:r>
      <w:r w:rsidRPr="00E35976">
        <w:rPr>
          <w:rStyle w:val="EndnoteReference"/>
          <w:rFonts w:ascii="Gill Sans MT" w:hAnsi="Gill Sans MT"/>
          <w:iCs/>
          <w:lang w:eastAsia="en-AU"/>
        </w:rPr>
        <w:endnoteReference w:id="6"/>
      </w:r>
      <w:r w:rsidRPr="00E35976">
        <w:rPr>
          <w:rFonts w:ascii="Gill Sans MT" w:hAnsi="Gill Sans MT"/>
          <w:iCs/>
          <w:vertAlign w:val="superscript"/>
          <w:lang w:eastAsia="en-AU"/>
        </w:rPr>
        <w:t>,</w:t>
      </w:r>
      <w:r w:rsidRPr="00E35976">
        <w:rPr>
          <w:rFonts w:ascii="Gill Sans MT" w:hAnsi="Gill Sans MT"/>
          <w:iCs/>
          <w:lang w:eastAsia="en-AU"/>
        </w:rPr>
        <w:t>.</w:t>
      </w:r>
    </w:p>
    <w:p w14:paraId="2A89A1B8" w14:textId="77777777" w:rsidR="00544043" w:rsidRPr="00E35976" w:rsidRDefault="002D610F" w:rsidP="005D5D81">
      <w:pPr>
        <w:pStyle w:val="BulletedListLevel1"/>
        <w:keepLines w:val="0"/>
        <w:widowControl w:val="0"/>
        <w:numPr>
          <w:ilvl w:val="0"/>
          <w:numId w:val="4"/>
        </w:numPr>
        <w:spacing w:line="260" w:lineRule="atLeast"/>
        <w:ind w:left="567" w:hanging="567"/>
        <w:rPr>
          <w:sz w:val="22"/>
          <w:szCs w:val="22"/>
        </w:rPr>
      </w:pPr>
      <w:r w:rsidRPr="00E35976">
        <w:rPr>
          <w:sz w:val="22"/>
          <w:szCs w:val="22"/>
          <w:lang w:eastAsia="en-AU"/>
        </w:rPr>
        <w:t>I</w:t>
      </w:r>
      <w:r w:rsidRPr="00E35976">
        <w:rPr>
          <w:sz w:val="22"/>
          <w:szCs w:val="22"/>
        </w:rPr>
        <w:t>n Tasmania in 2010, there were an estimated 155 deaths attributable to alcohol and 2 636 hospitalisations</w:t>
      </w:r>
      <w:r w:rsidRPr="00E35976">
        <w:rPr>
          <w:rStyle w:val="EndnoteReference"/>
          <w:sz w:val="22"/>
          <w:szCs w:val="22"/>
        </w:rPr>
        <w:endnoteReference w:id="7"/>
      </w:r>
      <w:r w:rsidRPr="00E35976">
        <w:rPr>
          <w:sz w:val="22"/>
          <w:szCs w:val="22"/>
        </w:rPr>
        <w:t>.</w:t>
      </w:r>
    </w:p>
    <w:p w14:paraId="7D0DCA22" w14:textId="4BC08004" w:rsidR="00D154C6" w:rsidRPr="00E35976" w:rsidRDefault="00034EB9" w:rsidP="005D5D81">
      <w:pPr>
        <w:pStyle w:val="BulletedListLevel1"/>
        <w:keepLines w:val="0"/>
        <w:widowControl w:val="0"/>
        <w:numPr>
          <w:ilvl w:val="0"/>
          <w:numId w:val="4"/>
        </w:numPr>
        <w:spacing w:line="260" w:lineRule="atLeast"/>
        <w:ind w:left="567" w:hanging="567"/>
        <w:rPr>
          <w:sz w:val="22"/>
          <w:szCs w:val="22"/>
        </w:rPr>
      </w:pPr>
      <w:r w:rsidRPr="00E35976">
        <w:rPr>
          <w:sz w:val="22"/>
          <w:szCs w:val="22"/>
        </w:rPr>
        <w:lastRenderedPageBreak/>
        <w:t>The number of drug-induced deaths</w:t>
      </w:r>
      <w:r w:rsidRPr="00E35976">
        <w:rPr>
          <w:rStyle w:val="FootnoteReference"/>
          <w:sz w:val="22"/>
          <w:szCs w:val="22"/>
        </w:rPr>
        <w:footnoteReference w:id="5"/>
      </w:r>
      <w:r w:rsidRPr="00E35976">
        <w:rPr>
          <w:sz w:val="22"/>
          <w:szCs w:val="22"/>
        </w:rPr>
        <w:t xml:space="preserve"> in Tasmania in 2016 was estimated to be 52, or a rate of 9.4 per 100</w:t>
      </w:r>
      <w:r w:rsidR="00CD5C7F" w:rsidRPr="00E35976">
        <w:rPr>
          <w:sz w:val="22"/>
          <w:szCs w:val="22"/>
        </w:rPr>
        <w:t> </w:t>
      </w:r>
      <w:r w:rsidRPr="00E35976">
        <w:rPr>
          <w:sz w:val="22"/>
          <w:szCs w:val="22"/>
        </w:rPr>
        <w:t>000 of estimated population</w:t>
      </w:r>
      <w:r w:rsidRPr="00E35976">
        <w:rPr>
          <w:rStyle w:val="EndnoteReference"/>
          <w:sz w:val="22"/>
          <w:szCs w:val="22"/>
        </w:rPr>
        <w:endnoteReference w:id="8"/>
      </w:r>
      <w:r w:rsidR="00607E3C" w:rsidRPr="00E35976">
        <w:rPr>
          <w:sz w:val="22"/>
          <w:szCs w:val="22"/>
        </w:rPr>
        <w:t>, the second highest of all states and territories after Western Australia.</w:t>
      </w:r>
      <w:r w:rsidR="00CA5D3F" w:rsidRPr="00E35976">
        <w:rPr>
          <w:sz w:val="22"/>
          <w:szCs w:val="22"/>
        </w:rPr>
        <w:t xml:space="preserve">  </w:t>
      </w:r>
      <w:r w:rsidR="009A5B46" w:rsidRPr="00E35976">
        <w:rPr>
          <w:sz w:val="22"/>
          <w:szCs w:val="22"/>
        </w:rPr>
        <w:t>This includes</w:t>
      </w:r>
      <w:r w:rsidR="00CA5D3F" w:rsidRPr="00E35976">
        <w:rPr>
          <w:sz w:val="22"/>
          <w:szCs w:val="22"/>
        </w:rPr>
        <w:t xml:space="preserve"> 19</w:t>
      </w:r>
      <w:r w:rsidR="009A5B46" w:rsidRPr="00E35976">
        <w:rPr>
          <w:sz w:val="22"/>
          <w:szCs w:val="22"/>
        </w:rPr>
        <w:t xml:space="preserve"> drug-related deaths due to pharmaceutical opioids in 2016</w:t>
      </w:r>
      <w:r w:rsidR="00CA5D3F" w:rsidRPr="00E35976">
        <w:t>.</w:t>
      </w:r>
      <w:r w:rsidR="00D154C6" w:rsidRPr="00E35976">
        <w:t xml:space="preserve"> </w:t>
      </w:r>
    </w:p>
    <w:p w14:paraId="151086B2" w14:textId="32FBF5FE" w:rsidR="00070FF0" w:rsidRPr="00E35976" w:rsidRDefault="00070FF0" w:rsidP="005D5D81">
      <w:pPr>
        <w:pStyle w:val="BulletedListLevel1"/>
        <w:keepLines w:val="0"/>
        <w:widowControl w:val="0"/>
        <w:numPr>
          <w:ilvl w:val="0"/>
          <w:numId w:val="4"/>
        </w:numPr>
        <w:spacing w:line="260" w:lineRule="atLeast"/>
        <w:ind w:left="567" w:hanging="567"/>
        <w:rPr>
          <w:sz w:val="22"/>
          <w:szCs w:val="22"/>
        </w:rPr>
      </w:pPr>
      <w:r w:rsidRPr="00E35976">
        <w:rPr>
          <w:sz w:val="22"/>
          <w:szCs w:val="22"/>
        </w:rPr>
        <w:t xml:space="preserve">Opioid-related hospital separations in Tasmania have increased since 2009-10, with 394 separations </w:t>
      </w:r>
      <w:r w:rsidR="00D90A37" w:rsidRPr="00E35976">
        <w:rPr>
          <w:sz w:val="22"/>
          <w:szCs w:val="22"/>
        </w:rPr>
        <w:t>p</w:t>
      </w:r>
      <w:r w:rsidRPr="00E35976">
        <w:rPr>
          <w:sz w:val="22"/>
          <w:szCs w:val="22"/>
        </w:rPr>
        <w:t xml:space="preserve">er million persons in 2013-14 compared to 265 per million persons in the past </w:t>
      </w:r>
      <w:r w:rsidR="00E632D9" w:rsidRPr="00E35976">
        <w:rPr>
          <w:sz w:val="22"/>
          <w:szCs w:val="22"/>
        </w:rPr>
        <w:t>four</w:t>
      </w:r>
      <w:r w:rsidRPr="00E35976">
        <w:rPr>
          <w:sz w:val="22"/>
          <w:szCs w:val="22"/>
        </w:rPr>
        <w:t xml:space="preserve"> years</w:t>
      </w:r>
      <w:r w:rsidRPr="00E35976">
        <w:rPr>
          <w:rStyle w:val="EndnoteReference"/>
          <w:sz w:val="22"/>
          <w:szCs w:val="22"/>
        </w:rPr>
        <w:endnoteReference w:id="9"/>
      </w:r>
      <w:r w:rsidRPr="00E35976">
        <w:rPr>
          <w:sz w:val="22"/>
          <w:szCs w:val="22"/>
        </w:rPr>
        <w:t>.</w:t>
      </w:r>
      <w:r w:rsidR="009B00BE" w:rsidRPr="00E35976">
        <w:rPr>
          <w:sz w:val="22"/>
          <w:szCs w:val="22"/>
        </w:rPr>
        <w:t xml:space="preserve">  Tasmania and the ACT recorded the lowest rate of amphetamine-related separations relative to other jurisdictions (146 and 122 separations per million persons respectively).  Tasmania recorded the second highest rates </w:t>
      </w:r>
      <w:r w:rsidR="00FF748F" w:rsidRPr="00E35976">
        <w:rPr>
          <w:sz w:val="22"/>
          <w:szCs w:val="22"/>
        </w:rPr>
        <w:t xml:space="preserve">of cannabis-related separations, with the increase to </w:t>
      </w:r>
      <w:r w:rsidR="009B00BE" w:rsidRPr="00E35976">
        <w:rPr>
          <w:sz w:val="22"/>
          <w:szCs w:val="22"/>
        </w:rPr>
        <w:t xml:space="preserve">2013-14 </w:t>
      </w:r>
      <w:r w:rsidR="00FF748F" w:rsidRPr="00E35976">
        <w:rPr>
          <w:sz w:val="22"/>
          <w:szCs w:val="22"/>
        </w:rPr>
        <w:t>driven</w:t>
      </w:r>
      <w:r w:rsidR="009B00BE" w:rsidRPr="00E35976">
        <w:rPr>
          <w:sz w:val="22"/>
          <w:szCs w:val="22"/>
        </w:rPr>
        <w:t xml:space="preserve"> by separations for cannabis dependence (accounting for 51</w:t>
      </w:r>
      <w:r w:rsidR="00286DDE" w:rsidRPr="00E35976">
        <w:rPr>
          <w:sz w:val="22"/>
          <w:szCs w:val="22"/>
        </w:rPr>
        <w:t xml:space="preserve"> per cent</w:t>
      </w:r>
      <w:r w:rsidR="009B00BE" w:rsidRPr="00E35976">
        <w:rPr>
          <w:sz w:val="22"/>
          <w:szCs w:val="22"/>
        </w:rPr>
        <w:t xml:space="preserve"> of separations</w:t>
      </w:r>
      <w:r w:rsidR="00FF748F" w:rsidRPr="00E35976">
        <w:rPr>
          <w:sz w:val="22"/>
          <w:szCs w:val="22"/>
        </w:rPr>
        <w:t>)</w:t>
      </w:r>
      <w:r w:rsidR="009B00BE" w:rsidRPr="00E35976">
        <w:rPr>
          <w:sz w:val="22"/>
          <w:szCs w:val="22"/>
        </w:rPr>
        <w:t xml:space="preserve">. </w:t>
      </w:r>
    </w:p>
    <w:p w14:paraId="08C37E87" w14:textId="24676537" w:rsidR="00CD5C7F" w:rsidRPr="00E35976" w:rsidRDefault="002D610F" w:rsidP="005D5D81">
      <w:pPr>
        <w:pStyle w:val="BulletedListLevel1"/>
        <w:keepLines w:val="0"/>
        <w:widowControl w:val="0"/>
        <w:numPr>
          <w:ilvl w:val="0"/>
          <w:numId w:val="4"/>
        </w:numPr>
        <w:spacing w:line="260" w:lineRule="atLeast"/>
        <w:ind w:left="567" w:hanging="567"/>
        <w:rPr>
          <w:sz w:val="22"/>
          <w:szCs w:val="22"/>
        </w:rPr>
      </w:pPr>
      <w:r w:rsidRPr="00E35976">
        <w:rPr>
          <w:sz w:val="22"/>
          <w:szCs w:val="22"/>
        </w:rPr>
        <w:t xml:space="preserve">The wider use of alcohol is reflected in the number of drug and alcohol treatment service episodes, with alcohol the most common principal drug of concern in </w:t>
      </w:r>
      <w:r w:rsidR="0049378C" w:rsidRPr="00E35976">
        <w:rPr>
          <w:sz w:val="22"/>
          <w:szCs w:val="22"/>
        </w:rPr>
        <w:t xml:space="preserve">32.3 </w:t>
      </w:r>
      <w:r w:rsidR="00400A86" w:rsidRPr="00E35976">
        <w:rPr>
          <w:sz w:val="22"/>
          <w:szCs w:val="22"/>
        </w:rPr>
        <w:t xml:space="preserve">per cent of closed </w:t>
      </w:r>
      <w:r w:rsidRPr="00E35976">
        <w:rPr>
          <w:sz w:val="22"/>
          <w:szCs w:val="22"/>
        </w:rPr>
        <w:t xml:space="preserve">episodes </w:t>
      </w:r>
      <w:r w:rsidR="00400A86" w:rsidRPr="00E35976">
        <w:rPr>
          <w:sz w:val="22"/>
          <w:szCs w:val="22"/>
        </w:rPr>
        <w:t>in 201</w:t>
      </w:r>
      <w:r w:rsidR="00ED2512" w:rsidRPr="00E35976">
        <w:rPr>
          <w:sz w:val="22"/>
          <w:szCs w:val="22"/>
        </w:rPr>
        <w:t>6-17</w:t>
      </w:r>
      <w:r w:rsidRPr="00E35976">
        <w:rPr>
          <w:rStyle w:val="EndnoteReference"/>
          <w:sz w:val="22"/>
          <w:szCs w:val="22"/>
        </w:rPr>
        <w:endnoteReference w:id="10"/>
      </w:r>
      <w:r w:rsidR="0049378C" w:rsidRPr="00E35976">
        <w:rPr>
          <w:sz w:val="22"/>
          <w:szCs w:val="22"/>
        </w:rPr>
        <w:t>, down from 39 per cent in 2015-16</w:t>
      </w:r>
      <w:r w:rsidR="00CD5C7F" w:rsidRPr="00E35976">
        <w:rPr>
          <w:sz w:val="22"/>
          <w:szCs w:val="22"/>
        </w:rPr>
        <w:t>.</w:t>
      </w:r>
    </w:p>
    <w:p w14:paraId="11EC189C" w14:textId="2DA2AE12" w:rsidR="00CD5C7F" w:rsidRPr="00E35976" w:rsidRDefault="0049378C" w:rsidP="00FA35B2">
      <w:pPr>
        <w:pStyle w:val="BulletedListLevel1"/>
        <w:keepNext/>
        <w:keepLines w:val="0"/>
        <w:numPr>
          <w:ilvl w:val="0"/>
          <w:numId w:val="4"/>
        </w:numPr>
        <w:spacing w:line="260" w:lineRule="atLeast"/>
        <w:ind w:left="567" w:hanging="567"/>
        <w:rPr>
          <w:sz w:val="22"/>
          <w:szCs w:val="22"/>
        </w:rPr>
      </w:pPr>
      <w:r w:rsidRPr="00E35976">
        <w:rPr>
          <w:sz w:val="22"/>
          <w:szCs w:val="22"/>
        </w:rPr>
        <w:t>For the first time, a</w:t>
      </w:r>
      <w:r w:rsidR="00282F6C" w:rsidRPr="00E35976">
        <w:rPr>
          <w:sz w:val="22"/>
          <w:szCs w:val="22"/>
        </w:rPr>
        <w:t>mphetamines</w:t>
      </w:r>
      <w:r w:rsidR="00CD5C7F" w:rsidRPr="00E35976">
        <w:rPr>
          <w:sz w:val="22"/>
          <w:szCs w:val="22"/>
        </w:rPr>
        <w:t>,</w:t>
      </w:r>
      <w:r w:rsidRPr="00E35976">
        <w:rPr>
          <w:sz w:val="22"/>
          <w:szCs w:val="22"/>
        </w:rPr>
        <w:t xml:space="preserve"> at 25.7 per cent of closed treatment episodes</w:t>
      </w:r>
      <w:r w:rsidR="00CD5C7F" w:rsidRPr="00E35976">
        <w:rPr>
          <w:sz w:val="22"/>
          <w:szCs w:val="22"/>
        </w:rPr>
        <w:t>,</w:t>
      </w:r>
      <w:r w:rsidRPr="00E35976">
        <w:rPr>
          <w:sz w:val="22"/>
          <w:szCs w:val="22"/>
        </w:rPr>
        <w:t xml:space="preserve"> </w:t>
      </w:r>
      <w:r w:rsidR="00BF10C8" w:rsidRPr="00E35976">
        <w:rPr>
          <w:sz w:val="22"/>
          <w:szCs w:val="22"/>
        </w:rPr>
        <w:t>were</w:t>
      </w:r>
      <w:r w:rsidRPr="00E35976">
        <w:rPr>
          <w:sz w:val="22"/>
          <w:szCs w:val="22"/>
        </w:rPr>
        <w:t xml:space="preserve"> the second most common principal drug of concern.  This was followed by cannabis at 21.7 per cent.</w:t>
      </w:r>
      <w:r w:rsidR="00400A86" w:rsidRPr="00E35976">
        <w:rPr>
          <w:sz w:val="22"/>
          <w:szCs w:val="22"/>
        </w:rPr>
        <w:t xml:space="preserve">  </w:t>
      </w:r>
    </w:p>
    <w:p w14:paraId="2978E0AE" w14:textId="54FCC021" w:rsidR="00282F6C" w:rsidRPr="00E35976" w:rsidRDefault="00282F6C" w:rsidP="00FA35B2">
      <w:pPr>
        <w:pStyle w:val="BulletedListLevel1"/>
        <w:keepNext/>
        <w:keepLines w:val="0"/>
        <w:numPr>
          <w:ilvl w:val="0"/>
          <w:numId w:val="4"/>
        </w:numPr>
        <w:spacing w:line="260" w:lineRule="atLeast"/>
        <w:ind w:left="567" w:hanging="567"/>
        <w:rPr>
          <w:sz w:val="22"/>
          <w:szCs w:val="22"/>
        </w:rPr>
      </w:pPr>
      <w:r w:rsidRPr="00E35976">
        <w:rPr>
          <w:sz w:val="22"/>
          <w:szCs w:val="22"/>
        </w:rPr>
        <w:t xml:space="preserve">In </w:t>
      </w:r>
      <w:r w:rsidR="002358AD" w:rsidRPr="00E35976">
        <w:rPr>
          <w:sz w:val="22"/>
          <w:szCs w:val="22"/>
        </w:rPr>
        <w:t>the five years fro</w:t>
      </w:r>
      <w:r w:rsidRPr="00E35976">
        <w:rPr>
          <w:sz w:val="22"/>
          <w:szCs w:val="22"/>
        </w:rPr>
        <w:t xml:space="preserve">m </w:t>
      </w:r>
      <w:r w:rsidR="00BF10C8" w:rsidRPr="00E35976">
        <w:rPr>
          <w:sz w:val="22"/>
          <w:szCs w:val="22"/>
        </w:rPr>
        <w:t>2012-13</w:t>
      </w:r>
      <w:r w:rsidR="00CD5C7F" w:rsidRPr="00E35976">
        <w:rPr>
          <w:sz w:val="22"/>
          <w:szCs w:val="22"/>
        </w:rPr>
        <w:t>,</w:t>
      </w:r>
      <w:r w:rsidRPr="00E35976">
        <w:rPr>
          <w:sz w:val="22"/>
          <w:szCs w:val="22"/>
        </w:rPr>
        <w:t xml:space="preserve"> amphetamines as the principal drug of concern has more than doubled, from </w:t>
      </w:r>
      <w:r w:rsidR="00BF10C8" w:rsidRPr="00E35976">
        <w:rPr>
          <w:sz w:val="22"/>
          <w:szCs w:val="22"/>
        </w:rPr>
        <w:t>12</w:t>
      </w:r>
      <w:r w:rsidRPr="00E35976">
        <w:rPr>
          <w:sz w:val="22"/>
          <w:szCs w:val="22"/>
        </w:rPr>
        <w:t xml:space="preserve"> per cent in </w:t>
      </w:r>
      <w:r w:rsidR="00BF10C8" w:rsidRPr="00E35976">
        <w:rPr>
          <w:sz w:val="22"/>
          <w:szCs w:val="22"/>
        </w:rPr>
        <w:t>2012-13</w:t>
      </w:r>
      <w:r w:rsidRPr="00E35976">
        <w:rPr>
          <w:sz w:val="22"/>
          <w:szCs w:val="22"/>
        </w:rPr>
        <w:t xml:space="preserve"> to </w:t>
      </w:r>
      <w:r w:rsidR="00BF10C8" w:rsidRPr="00E35976">
        <w:rPr>
          <w:sz w:val="22"/>
          <w:szCs w:val="22"/>
        </w:rPr>
        <w:t xml:space="preserve">25.7 </w:t>
      </w:r>
      <w:r w:rsidRPr="00E35976">
        <w:rPr>
          <w:sz w:val="22"/>
          <w:szCs w:val="22"/>
        </w:rPr>
        <w:t xml:space="preserve">per cent in </w:t>
      </w:r>
      <w:r w:rsidR="00BF10C8" w:rsidRPr="00E35976">
        <w:rPr>
          <w:sz w:val="22"/>
          <w:szCs w:val="22"/>
        </w:rPr>
        <w:t>2016-17</w:t>
      </w:r>
      <w:r w:rsidRPr="00E35976">
        <w:rPr>
          <w:sz w:val="22"/>
          <w:szCs w:val="22"/>
        </w:rPr>
        <w:t>.  This compares with cannabinoids which ha</w:t>
      </w:r>
      <w:r w:rsidR="00BF10C8" w:rsidRPr="00E35976">
        <w:rPr>
          <w:sz w:val="22"/>
          <w:szCs w:val="22"/>
        </w:rPr>
        <w:t>ve</w:t>
      </w:r>
      <w:r w:rsidRPr="00E35976">
        <w:rPr>
          <w:sz w:val="22"/>
          <w:szCs w:val="22"/>
        </w:rPr>
        <w:t xml:space="preserve"> reduced from </w:t>
      </w:r>
      <w:r w:rsidR="00BF10C8" w:rsidRPr="00E35976">
        <w:rPr>
          <w:sz w:val="22"/>
          <w:szCs w:val="22"/>
        </w:rPr>
        <w:t xml:space="preserve">30 </w:t>
      </w:r>
      <w:r w:rsidRPr="00E35976">
        <w:rPr>
          <w:sz w:val="22"/>
          <w:szCs w:val="22"/>
        </w:rPr>
        <w:t>to 2</w:t>
      </w:r>
      <w:r w:rsidR="00BF10C8" w:rsidRPr="00E35976">
        <w:rPr>
          <w:sz w:val="22"/>
          <w:szCs w:val="22"/>
        </w:rPr>
        <w:t>1.7</w:t>
      </w:r>
      <w:r w:rsidRPr="00E35976">
        <w:rPr>
          <w:sz w:val="22"/>
          <w:szCs w:val="22"/>
        </w:rPr>
        <w:t xml:space="preserve"> per cent, over </w:t>
      </w:r>
      <w:r w:rsidR="00BF10C8" w:rsidRPr="00E35976">
        <w:rPr>
          <w:sz w:val="22"/>
          <w:szCs w:val="22"/>
        </w:rPr>
        <w:t xml:space="preserve">the same </w:t>
      </w:r>
      <w:r w:rsidRPr="00E35976">
        <w:rPr>
          <w:sz w:val="22"/>
          <w:szCs w:val="22"/>
        </w:rPr>
        <w:t>period.</w:t>
      </w:r>
    </w:p>
    <w:p w14:paraId="1D503C0B" w14:textId="77777777" w:rsidR="00CD5C7F" w:rsidRPr="00E35976" w:rsidRDefault="00CD5C7F" w:rsidP="00FA35B2">
      <w:pPr>
        <w:pStyle w:val="BulletedListLevel1"/>
        <w:keepNext/>
        <w:keepLines w:val="0"/>
        <w:numPr>
          <w:ilvl w:val="0"/>
          <w:numId w:val="0"/>
        </w:numPr>
        <w:spacing w:line="260" w:lineRule="atLeast"/>
        <w:ind w:left="567" w:hanging="567"/>
        <w:rPr>
          <w:i/>
          <w:sz w:val="22"/>
          <w:szCs w:val="22"/>
        </w:rPr>
      </w:pPr>
      <w:r w:rsidRPr="00E35976">
        <w:rPr>
          <w:i/>
          <w:sz w:val="22"/>
          <w:szCs w:val="22"/>
        </w:rPr>
        <w:t>Australian Criminal Intelligence Commission’s National Wastewater Drug Monitoring Program</w:t>
      </w:r>
    </w:p>
    <w:p w14:paraId="1806BFE7" w14:textId="0EB29D7B" w:rsidR="00CD5C7F" w:rsidRPr="00E35976" w:rsidRDefault="00CD5C7F" w:rsidP="00F1687A">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rPr>
      </w:pPr>
      <w:r w:rsidRPr="00E35976">
        <w:rPr>
          <w:rFonts w:ascii="Gill Sans MT" w:hAnsi="Gill Sans MT" w:cs="Calibri"/>
          <w:color w:val="000000"/>
        </w:rPr>
        <w:t>ACIC</w:t>
      </w:r>
      <w:r w:rsidR="006D4DB0" w:rsidRPr="00E35976">
        <w:rPr>
          <w:rFonts w:ascii="Gill Sans MT" w:hAnsi="Gill Sans MT" w:cs="Calibri"/>
          <w:color w:val="000000"/>
        </w:rPr>
        <w:t xml:space="preserve"> released two NWDMP reports during 2017</w:t>
      </w:r>
      <w:r w:rsidR="007226C7" w:rsidRPr="00E35976">
        <w:rPr>
          <w:rFonts w:ascii="Gill Sans MT" w:hAnsi="Gill Sans MT" w:cs="Calibri"/>
          <w:color w:val="000000"/>
        </w:rPr>
        <w:t>-</w:t>
      </w:r>
      <w:r w:rsidR="006D4DB0" w:rsidRPr="00E35976">
        <w:rPr>
          <w:rFonts w:ascii="Gill Sans MT" w:hAnsi="Gill Sans MT" w:cs="Calibri"/>
          <w:color w:val="000000"/>
        </w:rPr>
        <w:t xml:space="preserve">18; the third in the series </w:t>
      </w:r>
      <w:r w:rsidR="007226C7" w:rsidRPr="00E35976">
        <w:rPr>
          <w:rFonts w:ascii="Gill Sans MT" w:hAnsi="Gill Sans MT" w:cs="Calibri"/>
          <w:color w:val="000000"/>
        </w:rPr>
        <w:t xml:space="preserve">in December 2017 </w:t>
      </w:r>
      <w:r w:rsidR="006D4DB0" w:rsidRPr="00E35976">
        <w:rPr>
          <w:rFonts w:ascii="Gill Sans MT" w:hAnsi="Gill Sans MT" w:cs="Calibri"/>
          <w:color w:val="000000"/>
        </w:rPr>
        <w:t>and the f</w:t>
      </w:r>
      <w:r w:rsidR="00E632D9" w:rsidRPr="00E35976">
        <w:rPr>
          <w:rFonts w:ascii="Gill Sans MT" w:hAnsi="Gill Sans MT" w:cs="Calibri"/>
          <w:color w:val="000000"/>
        </w:rPr>
        <w:t>ifth</w:t>
      </w:r>
      <w:r w:rsidR="006D4DB0" w:rsidRPr="00E35976">
        <w:rPr>
          <w:rFonts w:ascii="Gill Sans MT" w:hAnsi="Gill Sans MT" w:cs="Calibri"/>
          <w:color w:val="000000"/>
        </w:rPr>
        <w:t xml:space="preserve"> in A</w:t>
      </w:r>
      <w:r w:rsidR="00E632D9" w:rsidRPr="00E35976">
        <w:rPr>
          <w:rFonts w:ascii="Gill Sans MT" w:hAnsi="Gill Sans MT" w:cs="Calibri"/>
          <w:color w:val="000000"/>
        </w:rPr>
        <w:t>ugust</w:t>
      </w:r>
      <w:r w:rsidR="006D4DB0" w:rsidRPr="00E35976">
        <w:rPr>
          <w:rFonts w:ascii="Gill Sans MT" w:hAnsi="Gill Sans MT" w:cs="Calibri"/>
          <w:color w:val="000000"/>
        </w:rPr>
        <w:t xml:space="preserve"> 2018</w:t>
      </w:r>
      <w:r w:rsidR="00DB569B" w:rsidRPr="00E35976">
        <w:rPr>
          <w:rFonts w:ascii="Gill Sans MT" w:hAnsi="Gill Sans MT" w:cs="Calibri"/>
          <w:color w:val="000000"/>
        </w:rPr>
        <w:t>.</w:t>
      </w:r>
    </w:p>
    <w:p w14:paraId="5D64788C" w14:textId="289B1F8A" w:rsidR="00CD5C7F" w:rsidRPr="00E35976" w:rsidRDefault="007226C7" w:rsidP="00FA35B2">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rPr>
      </w:pPr>
      <w:r w:rsidRPr="00E35976">
        <w:rPr>
          <w:rFonts w:ascii="Gill Sans MT" w:hAnsi="Gill Sans MT" w:cs="Calibri"/>
          <w:color w:val="000000"/>
        </w:rPr>
        <w:t xml:space="preserve">The third report included sampling from </w:t>
      </w:r>
      <w:r w:rsidR="00BC62E1" w:rsidRPr="00E35976">
        <w:rPr>
          <w:rFonts w:ascii="Gill Sans MT" w:hAnsi="Gill Sans MT" w:cs="Calibri"/>
          <w:color w:val="000000"/>
        </w:rPr>
        <w:t>six</w:t>
      </w:r>
      <w:r w:rsidRPr="00E35976">
        <w:rPr>
          <w:rFonts w:ascii="Gill Sans MT" w:hAnsi="Gill Sans MT" w:cs="Calibri"/>
          <w:color w:val="000000"/>
        </w:rPr>
        <w:t xml:space="preserve"> Tasmanian sites, but the fourth has dropped one regional site</w:t>
      </w:r>
      <w:r w:rsidR="00AD3799" w:rsidRPr="00E35976">
        <w:rPr>
          <w:rFonts w:ascii="Gill Sans MT" w:hAnsi="Gill Sans MT" w:cs="Calibri"/>
          <w:color w:val="000000"/>
        </w:rPr>
        <w:t xml:space="preserve">. Future sampling and reports </w:t>
      </w:r>
      <w:r w:rsidR="00570915" w:rsidRPr="00E35976">
        <w:rPr>
          <w:rFonts w:ascii="Gill Sans MT" w:hAnsi="Gill Sans MT" w:cs="Calibri"/>
          <w:color w:val="000000"/>
        </w:rPr>
        <w:t>will be</w:t>
      </w:r>
      <w:r w:rsidRPr="00E35976">
        <w:rPr>
          <w:rFonts w:ascii="Gill Sans MT" w:hAnsi="Gill Sans MT" w:cs="Calibri"/>
          <w:color w:val="000000"/>
        </w:rPr>
        <w:t xml:space="preserve"> </w:t>
      </w:r>
      <w:r w:rsidR="00AD3799" w:rsidRPr="00E35976">
        <w:rPr>
          <w:rFonts w:ascii="Gill Sans MT" w:hAnsi="Gill Sans MT" w:cs="Calibri"/>
          <w:color w:val="000000"/>
        </w:rPr>
        <w:t xml:space="preserve">from </w:t>
      </w:r>
      <w:r w:rsidR="00BC62E1" w:rsidRPr="00E35976">
        <w:rPr>
          <w:rFonts w:ascii="Gill Sans MT" w:hAnsi="Gill Sans MT" w:cs="Calibri"/>
          <w:color w:val="000000"/>
        </w:rPr>
        <w:t>three</w:t>
      </w:r>
      <w:r w:rsidRPr="00E35976">
        <w:rPr>
          <w:rFonts w:ascii="Gill Sans MT" w:hAnsi="Gill Sans MT" w:cs="Calibri"/>
          <w:color w:val="000000"/>
        </w:rPr>
        <w:t xml:space="preserve"> capital city sites from Hobart and surrounds, and </w:t>
      </w:r>
      <w:r w:rsidR="00BC62E1" w:rsidRPr="00E35976">
        <w:rPr>
          <w:rFonts w:ascii="Gill Sans MT" w:hAnsi="Gill Sans MT" w:cs="Calibri"/>
          <w:color w:val="000000"/>
        </w:rPr>
        <w:t>two</w:t>
      </w:r>
      <w:r w:rsidRPr="00E35976">
        <w:rPr>
          <w:rFonts w:ascii="Gill Sans MT" w:hAnsi="Gill Sans MT" w:cs="Calibri"/>
          <w:color w:val="000000"/>
        </w:rPr>
        <w:t xml:space="preserve"> regional sites – one in the North and one in the North West.</w:t>
      </w:r>
      <w:r w:rsidR="00AD3799" w:rsidRPr="00E35976">
        <w:rPr>
          <w:rFonts w:ascii="Gill Sans MT" w:hAnsi="Gill Sans MT" w:cs="Calibri"/>
          <w:color w:val="000000"/>
        </w:rPr>
        <w:t xml:space="preserve"> ACIC selects the sites</w:t>
      </w:r>
      <w:r w:rsidR="00570915" w:rsidRPr="00E35976">
        <w:rPr>
          <w:rFonts w:ascii="Gill Sans MT" w:hAnsi="Gill Sans MT" w:cs="Calibri"/>
          <w:color w:val="000000"/>
        </w:rPr>
        <w:t xml:space="preserve">, </w:t>
      </w:r>
      <w:r w:rsidR="00CD5C7F" w:rsidRPr="00E35976">
        <w:rPr>
          <w:rFonts w:ascii="Gill Sans MT" w:hAnsi="Gill Sans MT" w:cs="Calibri"/>
          <w:color w:val="000000"/>
        </w:rPr>
        <w:t xml:space="preserve">these </w:t>
      </w:r>
      <w:r w:rsidR="00570915" w:rsidRPr="00E35976">
        <w:rPr>
          <w:rFonts w:ascii="Gill Sans MT" w:hAnsi="Gill Sans MT" w:cs="Calibri"/>
          <w:color w:val="000000"/>
        </w:rPr>
        <w:t xml:space="preserve">are not </w:t>
      </w:r>
      <w:r w:rsidR="00BC62E1" w:rsidRPr="00E35976">
        <w:rPr>
          <w:rFonts w:ascii="Gill Sans MT" w:hAnsi="Gill Sans MT" w:cs="Calibri"/>
          <w:color w:val="000000"/>
        </w:rPr>
        <w:t xml:space="preserve">made </w:t>
      </w:r>
      <w:r w:rsidR="00570915" w:rsidRPr="00E35976">
        <w:rPr>
          <w:rFonts w:ascii="Gill Sans MT" w:hAnsi="Gill Sans MT" w:cs="Calibri"/>
          <w:color w:val="000000"/>
        </w:rPr>
        <w:t>public</w:t>
      </w:r>
      <w:r w:rsidR="00AD3799" w:rsidRPr="00E35976">
        <w:rPr>
          <w:rFonts w:ascii="Gill Sans MT" w:hAnsi="Gill Sans MT" w:cs="Calibri"/>
          <w:color w:val="000000"/>
        </w:rPr>
        <w:t>.</w:t>
      </w:r>
    </w:p>
    <w:p w14:paraId="079FBB75" w14:textId="6215B457" w:rsidR="00CD5C7F" w:rsidRPr="00E35976" w:rsidRDefault="00570915" w:rsidP="00FA35B2">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rPr>
      </w:pPr>
      <w:r w:rsidRPr="00E35976">
        <w:rPr>
          <w:rFonts w:ascii="Gill Sans MT" w:hAnsi="Gill Sans MT"/>
        </w:rPr>
        <w:t>Tasmanian f</w:t>
      </w:r>
      <w:r w:rsidR="00AD3799" w:rsidRPr="00E35976">
        <w:rPr>
          <w:rFonts w:ascii="Gill Sans MT" w:hAnsi="Gill Sans MT"/>
        </w:rPr>
        <w:t>indings from the fourth report</w:t>
      </w:r>
      <w:r w:rsidR="00CD5C7F" w:rsidRPr="00E35976">
        <w:rPr>
          <w:rFonts w:ascii="Gill Sans MT" w:hAnsi="Gill Sans MT"/>
        </w:rPr>
        <w:t xml:space="preserve"> include</w:t>
      </w:r>
      <w:r w:rsidR="00AD3799" w:rsidRPr="00E35976">
        <w:rPr>
          <w:rStyle w:val="EndnoteReference"/>
          <w:rFonts w:ascii="Gill Sans MT" w:hAnsi="Gill Sans MT"/>
        </w:rPr>
        <w:endnoteReference w:id="11"/>
      </w:r>
      <w:r w:rsidR="00AD3799" w:rsidRPr="00E35976">
        <w:rPr>
          <w:rFonts w:ascii="Gill Sans MT" w:hAnsi="Gill Sans MT"/>
        </w:rPr>
        <w:t>:</w:t>
      </w:r>
    </w:p>
    <w:p w14:paraId="60B92D3C" w14:textId="5A611D4D" w:rsidR="0095605C" w:rsidRPr="00E35976" w:rsidRDefault="005A6217"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 xml:space="preserve">For capital city sites, Tasmania’s estimated average consumption </w:t>
      </w:r>
      <w:r w:rsidR="00EC0734" w:rsidRPr="00E35976">
        <w:rPr>
          <w:rFonts w:ascii="Gill Sans MT" w:hAnsi="Gill Sans MT"/>
        </w:rPr>
        <w:t xml:space="preserve">of alcohol </w:t>
      </w:r>
      <w:r w:rsidRPr="00E35976">
        <w:rPr>
          <w:rFonts w:ascii="Gill Sans MT" w:hAnsi="Gill Sans MT"/>
        </w:rPr>
        <w:t>was around 2 400 standard drinks per 1 000 people per day and 2 700 cigarettes per 1</w:t>
      </w:r>
      <w:r w:rsidR="00BC62E1" w:rsidRPr="00E35976">
        <w:rPr>
          <w:rFonts w:ascii="Gill Sans MT" w:hAnsi="Gill Sans MT"/>
        </w:rPr>
        <w:t> </w:t>
      </w:r>
      <w:r w:rsidRPr="00E35976">
        <w:rPr>
          <w:rFonts w:ascii="Gill Sans MT" w:hAnsi="Gill Sans MT"/>
        </w:rPr>
        <w:t>000 people per day, compared to a national average for city sites of around 1</w:t>
      </w:r>
      <w:r w:rsidR="00BC62E1" w:rsidRPr="00E35976">
        <w:rPr>
          <w:rFonts w:ascii="Gill Sans MT" w:hAnsi="Gill Sans MT"/>
        </w:rPr>
        <w:t> </w:t>
      </w:r>
      <w:r w:rsidRPr="00E35976">
        <w:rPr>
          <w:rFonts w:ascii="Gill Sans MT" w:hAnsi="Gill Sans MT"/>
        </w:rPr>
        <w:t>250 standard drinks and 1 250 cigarettes per 1 000 people per day</w:t>
      </w:r>
      <w:r w:rsidR="00BC62E1" w:rsidRPr="00E35976">
        <w:rPr>
          <w:rFonts w:ascii="Gill Sans MT" w:hAnsi="Gill Sans MT"/>
        </w:rPr>
        <w:t>,</w:t>
      </w:r>
    </w:p>
    <w:p w14:paraId="6A7EF02D" w14:textId="5AAE016A" w:rsidR="0095605C" w:rsidRPr="00E35976" w:rsidRDefault="005A6217"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For regional sites, Tasmania’s estimated average consumption was around 2 000 standard drinks per 1 000 people per day and 2 100 cigarettes per 1 000 people per day, compared to a national average for regional sites of around 1 250 standard drinks and 1 80</w:t>
      </w:r>
      <w:r w:rsidR="00CA5D3F" w:rsidRPr="00E35976">
        <w:rPr>
          <w:rFonts w:ascii="Gill Sans MT" w:hAnsi="Gill Sans MT"/>
        </w:rPr>
        <w:t>0 cigarettes per</w:t>
      </w:r>
      <w:r w:rsidRPr="00E35976">
        <w:rPr>
          <w:rFonts w:ascii="Gill Sans MT" w:hAnsi="Gill Sans MT"/>
        </w:rPr>
        <w:t xml:space="preserve"> 1 000 people per day. </w:t>
      </w:r>
    </w:p>
    <w:p w14:paraId="22D0F0F3" w14:textId="77777777" w:rsidR="007D724D" w:rsidRPr="00E35976" w:rsidRDefault="007D724D"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 xml:space="preserve">Tasmania’s estimated consumption </w:t>
      </w:r>
      <w:r w:rsidR="00366956" w:rsidRPr="00E35976">
        <w:rPr>
          <w:rFonts w:ascii="Gill Sans MT" w:hAnsi="Gill Sans MT"/>
        </w:rPr>
        <w:t xml:space="preserve">of oxycodone </w:t>
      </w:r>
      <w:r w:rsidRPr="00E35976">
        <w:rPr>
          <w:rFonts w:ascii="Gill Sans MT" w:hAnsi="Gill Sans MT"/>
        </w:rPr>
        <w:t xml:space="preserve">in the capital city sites was significantly higher than any other capital city consumption and most regional consumption, at around 18 doses per 1 000 people. In comparison, the national average consumption was 4.5 doses per 1 000 people per day. Tasmania’s capital city consumption also </w:t>
      </w:r>
      <w:r w:rsidRPr="00E35976">
        <w:rPr>
          <w:rFonts w:ascii="Gill Sans MT" w:hAnsi="Gill Sans MT"/>
        </w:rPr>
        <w:lastRenderedPageBreak/>
        <w:t>showed an increase between August 2017 and December 2017, from approximately 8.5 to 18 doses per 1 000 people per day. At the same time, there was a decrease in estimated regional consumption, from around 8.8 doses to 4.2 per 1 000 people per day.</w:t>
      </w:r>
    </w:p>
    <w:p w14:paraId="44B864C2" w14:textId="250CCC1F" w:rsidR="007D724D" w:rsidRPr="00E35976" w:rsidRDefault="007D724D"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 xml:space="preserve">Tasmania was the only state with higher capital city consumption of fentanyl than regional areas. Two capital city sites in Tasmania tested higher than the national capital average, with </w:t>
      </w:r>
      <w:r w:rsidR="0095605C" w:rsidRPr="00E35976">
        <w:rPr>
          <w:rFonts w:ascii="Gill Sans MT" w:hAnsi="Gill Sans MT"/>
        </w:rPr>
        <w:t xml:space="preserve">one site </w:t>
      </w:r>
      <w:r w:rsidRPr="00E35976">
        <w:rPr>
          <w:rFonts w:ascii="Gill Sans MT" w:hAnsi="Gill Sans MT"/>
        </w:rPr>
        <w:t xml:space="preserve">having an estimated consumption of around 10 doses per 1 000 people per day. </w:t>
      </w:r>
    </w:p>
    <w:p w14:paraId="70FE2F14" w14:textId="569852C6" w:rsidR="007D724D" w:rsidRPr="00E35976" w:rsidRDefault="007D724D"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Methylamphetamine (including crystal methamphetamine ‘Ice’) continues to be the most consumed illicit drug tested</w:t>
      </w:r>
      <w:r w:rsidR="00BC62E1" w:rsidRPr="00E35976">
        <w:rPr>
          <w:rFonts w:ascii="Gill Sans MT" w:hAnsi="Gill Sans MT"/>
        </w:rPr>
        <w:t xml:space="preserve">. </w:t>
      </w:r>
      <w:r w:rsidRPr="00E35976">
        <w:rPr>
          <w:rFonts w:ascii="Gill Sans MT" w:hAnsi="Gill Sans MT"/>
        </w:rPr>
        <w:t>Tasmanian estimated methylamphetamine consumption was much lower than the national averages in both capital and regional areas</w:t>
      </w:r>
      <w:r w:rsidR="00366956" w:rsidRPr="00E35976">
        <w:rPr>
          <w:rFonts w:ascii="Gill Sans MT" w:hAnsi="Gill Sans MT"/>
        </w:rPr>
        <w:t>, at around 25 doses</w:t>
      </w:r>
      <w:r w:rsidRPr="00E35976">
        <w:rPr>
          <w:rFonts w:ascii="Gill Sans MT" w:hAnsi="Gill Sans MT"/>
        </w:rPr>
        <w:t xml:space="preserve"> per 1 000 people per day compared to a national average of around 37. Consumption has remained stable over the reporting periods.  </w:t>
      </w:r>
    </w:p>
    <w:p w14:paraId="626112D7" w14:textId="77777777" w:rsidR="007D724D" w:rsidRPr="00E35976" w:rsidRDefault="007D724D"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 xml:space="preserve">Estimated consumption of MDMA (ecstasy) was low across the country and appears to be on the decline in both the capital city and regional sites in Tasmania. </w:t>
      </w:r>
    </w:p>
    <w:p w14:paraId="411CB69F" w14:textId="77777777" w:rsidR="00143C7A" w:rsidRPr="00E35976" w:rsidRDefault="007D724D"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 xml:space="preserve">Tasmania had the highest estimated average capital city excretion of MDA (a metabolite of MDMA), with around 15 milligrams per 1 000 people per day. The national capital city average is around 6 milligrams per 1 000 people per day. </w:t>
      </w:r>
    </w:p>
    <w:p w14:paraId="01E5E8F6" w14:textId="15B7DDE2" w:rsidR="007D724D" w:rsidRPr="00E35976" w:rsidRDefault="007D724D" w:rsidP="005D5D81">
      <w:pPr>
        <w:pStyle w:val="ListParagraph"/>
        <w:keepNext/>
        <w:numPr>
          <w:ilvl w:val="1"/>
          <w:numId w:val="4"/>
        </w:numPr>
        <w:autoSpaceDE w:val="0"/>
        <w:autoSpaceDN w:val="0"/>
        <w:adjustRightInd w:val="0"/>
        <w:spacing w:after="140" w:line="260" w:lineRule="atLeast"/>
        <w:ind w:left="1134" w:hanging="567"/>
        <w:contextualSpacing w:val="0"/>
        <w:rPr>
          <w:rFonts w:ascii="Gill Sans MT" w:hAnsi="Gill Sans MT"/>
        </w:rPr>
      </w:pPr>
      <w:r w:rsidRPr="00E35976">
        <w:rPr>
          <w:rFonts w:ascii="Gill Sans MT" w:hAnsi="Gill Sans MT"/>
        </w:rPr>
        <w:t>Some regional areas of Tasmania and New South Wales recorded the highest levels of all measured locations for estimated regional heroin consumption. The highest consumption in Tasmania was recorded at</w:t>
      </w:r>
      <w:r w:rsidR="0095605C" w:rsidRPr="00E35976">
        <w:rPr>
          <w:rFonts w:ascii="Gill Sans MT" w:hAnsi="Gill Sans MT"/>
        </w:rPr>
        <w:t xml:space="preserve"> a</w:t>
      </w:r>
      <w:r w:rsidRPr="00E35976">
        <w:rPr>
          <w:rFonts w:ascii="Gill Sans MT" w:hAnsi="Gill Sans MT"/>
        </w:rPr>
        <w:t xml:space="preserve"> regional site </w:t>
      </w:r>
      <w:r w:rsidR="00143C7A" w:rsidRPr="00E35976">
        <w:rPr>
          <w:rFonts w:ascii="Gill Sans MT" w:hAnsi="Gill Sans MT"/>
        </w:rPr>
        <w:t>at</w:t>
      </w:r>
      <w:r w:rsidRPr="00E35976">
        <w:rPr>
          <w:rFonts w:ascii="Gill Sans MT" w:hAnsi="Gill Sans MT"/>
        </w:rPr>
        <w:t xml:space="preserve"> 7.5 doses per 1</w:t>
      </w:r>
      <w:r w:rsidR="00BC62E1" w:rsidRPr="00E35976">
        <w:rPr>
          <w:rFonts w:ascii="Gill Sans MT" w:hAnsi="Gill Sans MT"/>
        </w:rPr>
        <w:t> </w:t>
      </w:r>
      <w:r w:rsidRPr="00E35976">
        <w:rPr>
          <w:rFonts w:ascii="Gill Sans MT" w:hAnsi="Gill Sans MT"/>
        </w:rPr>
        <w:t>000 people per day. The national regional average was around 3 doses per 1 000 people per day. This is unusual</w:t>
      </w:r>
      <w:r w:rsidR="0095605C" w:rsidRPr="00E35976">
        <w:rPr>
          <w:rFonts w:ascii="Gill Sans MT" w:hAnsi="Gill Sans MT"/>
        </w:rPr>
        <w:t xml:space="preserve"> given</w:t>
      </w:r>
      <w:r w:rsidRPr="00E35976">
        <w:rPr>
          <w:rFonts w:ascii="Gill Sans MT" w:hAnsi="Gill Sans MT"/>
        </w:rPr>
        <w:t xml:space="preserve"> Tasmanian consumption of heroin </w:t>
      </w:r>
      <w:r w:rsidR="0095605C" w:rsidRPr="00E35976">
        <w:rPr>
          <w:rFonts w:ascii="Gill Sans MT" w:hAnsi="Gill Sans MT"/>
        </w:rPr>
        <w:t>has been historically</w:t>
      </w:r>
      <w:r w:rsidRPr="00E35976">
        <w:rPr>
          <w:rFonts w:ascii="Gill Sans MT" w:hAnsi="Gill Sans MT"/>
        </w:rPr>
        <w:t xml:space="preserve"> very low.</w:t>
      </w:r>
      <w:r w:rsidR="00CA5D3F" w:rsidRPr="00E35976">
        <w:rPr>
          <w:rFonts w:ascii="Gill Sans MT" w:hAnsi="Gill Sans MT"/>
        </w:rPr>
        <w:t xml:space="preserve"> </w:t>
      </w:r>
      <w:r w:rsidR="0095605C" w:rsidRPr="00E35976">
        <w:rPr>
          <w:rFonts w:ascii="Gill Sans MT" w:hAnsi="Gill Sans MT"/>
        </w:rPr>
        <w:t>However, t</w:t>
      </w:r>
      <w:r w:rsidRPr="00E35976">
        <w:rPr>
          <w:rFonts w:ascii="Gill Sans MT" w:hAnsi="Gill Sans MT"/>
        </w:rPr>
        <w:t xml:space="preserve">otal Tasmanian estimated average consumption of heroin for combined capital and regional sites remained well below the national average for all sites. Tasmanian rates were around 1.5 and 3 doses per 1 000 people per day for city and regional sites respectively, compared to an overall national average for all sites of 5.5 doses per 1 000 people per day. </w:t>
      </w:r>
    </w:p>
    <w:p w14:paraId="6C26DF82" w14:textId="77777777" w:rsidR="0095605C" w:rsidRPr="00E35976" w:rsidRDefault="0095605C" w:rsidP="00FA35B2">
      <w:pPr>
        <w:keepNext/>
        <w:autoSpaceDE w:val="0"/>
        <w:autoSpaceDN w:val="0"/>
        <w:adjustRightInd w:val="0"/>
        <w:spacing w:after="140" w:line="260" w:lineRule="atLeast"/>
        <w:rPr>
          <w:rFonts w:ascii="Gill Sans MT" w:hAnsi="Gill Sans MT"/>
          <w:i/>
        </w:rPr>
      </w:pPr>
      <w:r w:rsidRPr="00E35976">
        <w:rPr>
          <w:rFonts w:ascii="Gill Sans MT" w:hAnsi="Gill Sans MT"/>
          <w:i/>
        </w:rPr>
        <w:t>National Opioid Pharmacotherapy Statistics Annual Data (NOPSAD) Collection</w:t>
      </w:r>
    </w:p>
    <w:p w14:paraId="2A597CA2" w14:textId="122A9C2D" w:rsidR="008E0E43" w:rsidRPr="00E35976" w:rsidRDefault="008E0E43" w:rsidP="00F1687A">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cs="GillSans-Light"/>
        </w:rPr>
      </w:pPr>
      <w:r w:rsidRPr="00E35976">
        <w:rPr>
          <w:rFonts w:ascii="Gill Sans MT" w:hAnsi="Gill Sans MT" w:cs="GillSans-Light"/>
        </w:rPr>
        <w:t xml:space="preserve">The number of Tasmanians receiving opioid pharmacotherapy on the snapshot day in 2017 was 748.  </w:t>
      </w:r>
      <w:r w:rsidR="00EE08FB" w:rsidRPr="00E35976">
        <w:rPr>
          <w:rFonts w:ascii="Gill Sans MT" w:hAnsi="Gill Sans MT" w:cs="GillSans-Light"/>
        </w:rPr>
        <w:t>Almost half (46.7 per cent) were on methadone, whilst 42.6 per cent were on buprenorphine-naloxone and 10.7 per cent on buprenorphine.</w:t>
      </w:r>
      <w:r w:rsidR="00EF7B34" w:rsidRPr="00E35976">
        <w:rPr>
          <w:rFonts w:ascii="Gill Sans MT" w:hAnsi="Gill Sans MT" w:cs="GillSans-Light"/>
        </w:rPr>
        <w:t xml:space="preserve">  </w:t>
      </w:r>
      <w:proofErr w:type="gramStart"/>
      <w:r w:rsidR="00EF7B34" w:rsidRPr="00E35976">
        <w:rPr>
          <w:rFonts w:ascii="Gill Sans MT" w:hAnsi="Gill Sans MT" w:cs="GillSans-Light"/>
        </w:rPr>
        <w:t>The majority of</w:t>
      </w:r>
      <w:proofErr w:type="gramEnd"/>
      <w:r w:rsidR="00EF7B34" w:rsidRPr="00E35976">
        <w:rPr>
          <w:rFonts w:ascii="Gill Sans MT" w:hAnsi="Gill Sans MT" w:cs="GillSans-Light"/>
        </w:rPr>
        <w:t xml:space="preserve"> clients </w:t>
      </w:r>
      <w:r w:rsidR="0095605C" w:rsidRPr="00E35976">
        <w:rPr>
          <w:rFonts w:ascii="Gill Sans MT" w:hAnsi="Gill Sans MT" w:cs="GillSans-Light"/>
        </w:rPr>
        <w:t>were</w:t>
      </w:r>
      <w:r w:rsidR="00EF7B34" w:rsidRPr="00E35976">
        <w:rPr>
          <w:rFonts w:ascii="Gill Sans MT" w:hAnsi="Gill Sans MT" w:cs="GillSans-Light"/>
        </w:rPr>
        <w:t xml:space="preserve"> dosed in a community pharmacy (658 or 88 per cent)</w:t>
      </w:r>
      <w:r w:rsidR="00C65080" w:rsidRPr="00E35976">
        <w:rPr>
          <w:rStyle w:val="EndnoteReference"/>
          <w:rFonts w:ascii="Gill Sans MT" w:hAnsi="Gill Sans MT" w:cs="GillSans-Light"/>
        </w:rPr>
        <w:endnoteReference w:id="12"/>
      </w:r>
      <w:r w:rsidR="00EF7B34" w:rsidRPr="00E35976">
        <w:rPr>
          <w:rFonts w:ascii="Gill Sans MT" w:hAnsi="Gill Sans MT" w:cs="GillSans-Light"/>
        </w:rPr>
        <w:t xml:space="preserve">. </w:t>
      </w:r>
    </w:p>
    <w:p w14:paraId="460F2DBD" w14:textId="77777777" w:rsidR="0095605C" w:rsidRPr="00E35976" w:rsidRDefault="0095605C" w:rsidP="00FA35B2">
      <w:pPr>
        <w:keepNext/>
        <w:autoSpaceDE w:val="0"/>
        <w:autoSpaceDN w:val="0"/>
        <w:adjustRightInd w:val="0"/>
        <w:spacing w:after="140" w:line="260" w:lineRule="atLeast"/>
        <w:rPr>
          <w:rFonts w:ascii="Gill Sans MT" w:hAnsi="Gill Sans MT" w:cs="GillSans-Light"/>
          <w:i/>
        </w:rPr>
      </w:pPr>
      <w:r w:rsidRPr="00E35976">
        <w:rPr>
          <w:rFonts w:ascii="Gill Sans MT" w:hAnsi="Gill Sans MT" w:cs="GillSans-Light"/>
          <w:i/>
        </w:rPr>
        <w:t xml:space="preserve">Further Information </w:t>
      </w:r>
    </w:p>
    <w:p w14:paraId="4F5A9229" w14:textId="70161FA9" w:rsidR="004A14D2" w:rsidRPr="00E35976" w:rsidRDefault="004A14D2" w:rsidP="00F1687A">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cs="GillSans-Light"/>
        </w:rPr>
      </w:pPr>
      <w:r w:rsidRPr="00E35976">
        <w:rPr>
          <w:rFonts w:ascii="Gill Sans MT" w:hAnsi="Gill Sans MT" w:cs="GillSans-Light"/>
        </w:rPr>
        <w:t>In 2017-18, Tasmania Police recor</w:t>
      </w:r>
      <w:r w:rsidR="00EC0734" w:rsidRPr="00E35976">
        <w:rPr>
          <w:rFonts w:ascii="Gill Sans MT" w:hAnsi="Gill Sans MT" w:cs="GillSans-Light"/>
        </w:rPr>
        <w:t>ded 494 serious drug offen</w:t>
      </w:r>
      <w:r w:rsidR="00E632D9" w:rsidRPr="00E35976">
        <w:rPr>
          <w:rFonts w:ascii="Gill Sans MT" w:hAnsi="Gill Sans MT" w:cs="GillSans-Light"/>
        </w:rPr>
        <w:t xml:space="preserve">ces. </w:t>
      </w:r>
      <w:r w:rsidRPr="00E35976">
        <w:rPr>
          <w:rFonts w:ascii="Gill Sans MT" w:hAnsi="Gill Sans MT" w:cs="GillSans-Light"/>
        </w:rPr>
        <w:t>This represents a one per cent increase on the previous year’s figure. Tasmania Police also recorded 2</w:t>
      </w:r>
      <w:r w:rsidR="0095605C" w:rsidRPr="00E35976">
        <w:rPr>
          <w:rFonts w:ascii="Gill Sans MT" w:hAnsi="Gill Sans MT" w:cs="GillSans-Light"/>
        </w:rPr>
        <w:t> </w:t>
      </w:r>
      <w:r w:rsidRPr="00E35976">
        <w:rPr>
          <w:rFonts w:ascii="Gill Sans MT" w:hAnsi="Gill Sans MT" w:cs="GillSans-Light"/>
        </w:rPr>
        <w:t>684 non-serious drug offenders, with 2</w:t>
      </w:r>
      <w:r w:rsidR="0095605C" w:rsidRPr="00E35976">
        <w:rPr>
          <w:rFonts w:ascii="Gill Sans MT" w:hAnsi="Gill Sans MT" w:cs="GillSans-Light"/>
        </w:rPr>
        <w:t> </w:t>
      </w:r>
      <w:r w:rsidRPr="00E35976">
        <w:rPr>
          <w:rFonts w:ascii="Gill Sans MT" w:hAnsi="Gill Sans MT" w:cs="GillSans-Light"/>
        </w:rPr>
        <w:t>811 total drug offenders recorded in 2017-18.</w:t>
      </w:r>
    </w:p>
    <w:p w14:paraId="60A61B50" w14:textId="787D9A48" w:rsidR="004A14D2" w:rsidRPr="00E35976" w:rsidRDefault="004A14D2" w:rsidP="00F1687A">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cs="GillSans-Light"/>
          <w:color w:val="000000"/>
        </w:rPr>
      </w:pPr>
      <w:r w:rsidRPr="00E35976">
        <w:rPr>
          <w:rFonts w:ascii="Gill Sans MT" w:hAnsi="Gill Sans MT" w:cs="GillSans-Light"/>
          <w:color w:val="000000"/>
        </w:rPr>
        <w:t>Tasmania Police conducted 478</w:t>
      </w:r>
      <w:r w:rsidR="0095605C" w:rsidRPr="00E35976">
        <w:rPr>
          <w:rFonts w:ascii="Gill Sans MT" w:hAnsi="Gill Sans MT" w:cs="GillSans-Light"/>
          <w:color w:val="000000"/>
        </w:rPr>
        <w:t> </w:t>
      </w:r>
      <w:r w:rsidRPr="00E35976">
        <w:rPr>
          <w:rFonts w:ascii="Gill Sans MT" w:hAnsi="Gill Sans MT" w:cs="GillSans-Light"/>
          <w:color w:val="000000"/>
        </w:rPr>
        <w:t>219 random breath tests in 2017-18, a decrease from the 505</w:t>
      </w:r>
      <w:r w:rsidR="0095605C" w:rsidRPr="00E35976">
        <w:rPr>
          <w:rFonts w:ascii="Gill Sans MT" w:hAnsi="Gill Sans MT" w:cs="GillSans-Light"/>
          <w:color w:val="000000"/>
        </w:rPr>
        <w:t> </w:t>
      </w:r>
      <w:r w:rsidRPr="00E35976">
        <w:rPr>
          <w:rFonts w:ascii="Gill Sans MT" w:hAnsi="Gill Sans MT" w:cs="GillSans-Light"/>
          <w:color w:val="000000"/>
        </w:rPr>
        <w:t>445 conducted in 2016-17. In 2017-18, 2</w:t>
      </w:r>
      <w:r w:rsidR="0095605C" w:rsidRPr="00E35976">
        <w:rPr>
          <w:rFonts w:ascii="Gill Sans MT" w:hAnsi="Gill Sans MT" w:cs="GillSans-Light"/>
          <w:color w:val="000000"/>
        </w:rPr>
        <w:t> </w:t>
      </w:r>
      <w:r w:rsidRPr="00E35976">
        <w:rPr>
          <w:rFonts w:ascii="Gill Sans MT" w:hAnsi="Gill Sans MT" w:cs="GillSans-Light"/>
          <w:color w:val="000000"/>
        </w:rPr>
        <w:t>173 drivers were charged with exceeding the prescribed alcohol limit or driving under the influence of intoxicating liquor, compared with 2</w:t>
      </w:r>
      <w:r w:rsidR="0095605C" w:rsidRPr="00E35976">
        <w:rPr>
          <w:rFonts w:ascii="Gill Sans MT" w:hAnsi="Gill Sans MT" w:cs="GillSans-Light"/>
          <w:color w:val="000000"/>
        </w:rPr>
        <w:t> </w:t>
      </w:r>
      <w:r w:rsidRPr="00E35976">
        <w:rPr>
          <w:rFonts w:ascii="Gill Sans MT" w:hAnsi="Gill Sans MT" w:cs="GillSans-Light"/>
          <w:color w:val="000000"/>
        </w:rPr>
        <w:t xml:space="preserve">296 in 2016-17. </w:t>
      </w:r>
      <w:r w:rsidR="0095605C" w:rsidRPr="00E35976">
        <w:rPr>
          <w:rFonts w:ascii="Gill Sans MT" w:hAnsi="Gill Sans MT" w:cs="GillSans-Light"/>
          <w:color w:val="000000"/>
        </w:rPr>
        <w:t>A total of</w:t>
      </w:r>
      <w:r w:rsidRPr="00E35976">
        <w:rPr>
          <w:rFonts w:ascii="Gill Sans MT" w:hAnsi="Gill Sans MT" w:cs="GillSans-Light"/>
          <w:color w:val="000000"/>
        </w:rPr>
        <w:t xml:space="preserve"> 112 drivers </w:t>
      </w:r>
      <w:r w:rsidR="0095605C" w:rsidRPr="00E35976">
        <w:rPr>
          <w:rFonts w:ascii="Gill Sans MT" w:hAnsi="Gill Sans MT" w:cs="GillSans-Light"/>
          <w:color w:val="000000"/>
        </w:rPr>
        <w:t xml:space="preserve">were also </w:t>
      </w:r>
      <w:r w:rsidRPr="00E35976">
        <w:rPr>
          <w:rFonts w:ascii="Gill Sans MT" w:hAnsi="Gill Sans MT" w:cs="GillSans-Light"/>
          <w:color w:val="000000"/>
        </w:rPr>
        <w:t>charged with refusing to provide a breath or blood sample for analysis</w:t>
      </w:r>
      <w:r w:rsidR="00E632D9" w:rsidRPr="00E35976">
        <w:rPr>
          <w:rFonts w:ascii="Gill Sans MT" w:hAnsi="Gill Sans MT" w:cs="GillSans-Light"/>
          <w:color w:val="000000"/>
        </w:rPr>
        <w:t xml:space="preserve"> in 2017-18.</w:t>
      </w:r>
    </w:p>
    <w:p w14:paraId="5FE6AA6F" w14:textId="77777777" w:rsidR="005D5D81" w:rsidRPr="00E35976" w:rsidRDefault="004A14D2" w:rsidP="00F1687A">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cs="GillSans-Light"/>
          <w:color w:val="000000"/>
        </w:rPr>
      </w:pPr>
      <w:r w:rsidRPr="00E35976">
        <w:rPr>
          <w:rFonts w:ascii="Gill Sans MT" w:hAnsi="Gill Sans MT" w:cs="GillSans-Light"/>
          <w:color w:val="000000"/>
        </w:rPr>
        <w:t xml:space="preserve">Tasmania Police </w:t>
      </w:r>
      <w:r w:rsidR="0095605C" w:rsidRPr="00E35976">
        <w:rPr>
          <w:rFonts w:ascii="Gill Sans MT" w:hAnsi="Gill Sans MT" w:cs="GillSans-Light"/>
          <w:color w:val="000000"/>
        </w:rPr>
        <w:t xml:space="preserve">regularly </w:t>
      </w:r>
      <w:r w:rsidRPr="00E35976">
        <w:rPr>
          <w:rFonts w:ascii="Gill Sans MT" w:hAnsi="Gill Sans MT" w:cs="GillSans-Light"/>
          <w:color w:val="000000"/>
        </w:rPr>
        <w:t>conduct oral fluid testing to detect the presence of prescribed drugs in drivers. In 2017-18, 3</w:t>
      </w:r>
      <w:r w:rsidR="0095605C" w:rsidRPr="00E35976">
        <w:rPr>
          <w:rFonts w:ascii="Gill Sans MT" w:hAnsi="Gill Sans MT" w:cs="GillSans-Light"/>
          <w:color w:val="000000"/>
        </w:rPr>
        <w:t> </w:t>
      </w:r>
      <w:r w:rsidRPr="00E35976">
        <w:rPr>
          <w:rFonts w:ascii="Gill Sans MT" w:hAnsi="Gill Sans MT" w:cs="GillSans-Light"/>
          <w:color w:val="000000"/>
        </w:rPr>
        <w:t>936 tests were conducted, an increase from 3</w:t>
      </w:r>
      <w:r w:rsidR="0095605C" w:rsidRPr="00E35976">
        <w:rPr>
          <w:rFonts w:ascii="Gill Sans MT" w:hAnsi="Gill Sans MT" w:cs="GillSans-Light"/>
          <w:color w:val="000000"/>
        </w:rPr>
        <w:t> </w:t>
      </w:r>
      <w:r w:rsidRPr="00E35976">
        <w:rPr>
          <w:rFonts w:ascii="Gill Sans MT" w:hAnsi="Gill Sans MT" w:cs="GillSans-Light"/>
          <w:color w:val="000000"/>
        </w:rPr>
        <w:t xml:space="preserve">726 the previous year. </w:t>
      </w:r>
      <w:r w:rsidRPr="00E35976">
        <w:rPr>
          <w:rFonts w:ascii="Gill Sans MT" w:hAnsi="Gill Sans MT" w:cs="GillSans-Light"/>
          <w:color w:val="000000"/>
        </w:rPr>
        <w:lastRenderedPageBreak/>
        <w:t>A total 2</w:t>
      </w:r>
      <w:r w:rsidR="0095605C" w:rsidRPr="00E35976">
        <w:rPr>
          <w:rFonts w:ascii="Gill Sans MT" w:hAnsi="Gill Sans MT" w:cs="GillSans-Light"/>
          <w:color w:val="000000"/>
        </w:rPr>
        <w:t> </w:t>
      </w:r>
      <w:r w:rsidRPr="00E35976">
        <w:rPr>
          <w:rFonts w:ascii="Gill Sans MT" w:hAnsi="Gill Sans MT" w:cs="GillSans-Light"/>
          <w:color w:val="000000"/>
        </w:rPr>
        <w:t>212 drivers were subsequently charged with driving while a prescribed illicit drug was present in blood, an increase from 2</w:t>
      </w:r>
      <w:r w:rsidR="0095605C" w:rsidRPr="00E35976">
        <w:rPr>
          <w:rFonts w:ascii="Gill Sans MT" w:hAnsi="Gill Sans MT" w:cs="GillSans-Light"/>
          <w:color w:val="000000"/>
        </w:rPr>
        <w:t> </w:t>
      </w:r>
      <w:r w:rsidRPr="00E35976">
        <w:rPr>
          <w:rFonts w:ascii="Gill Sans MT" w:hAnsi="Gill Sans MT" w:cs="GillSans-Light"/>
          <w:color w:val="000000"/>
        </w:rPr>
        <w:t>158 charged in 2016-17.</w:t>
      </w:r>
    </w:p>
    <w:p w14:paraId="5F72C5E5" w14:textId="2F25588A" w:rsidR="004A14D2" w:rsidRPr="00E35976" w:rsidRDefault="004A14D2" w:rsidP="005D5D81">
      <w:pPr>
        <w:pStyle w:val="ListParagraph"/>
        <w:keepNext/>
        <w:autoSpaceDE w:val="0"/>
        <w:autoSpaceDN w:val="0"/>
        <w:adjustRightInd w:val="0"/>
        <w:spacing w:after="140" w:line="260" w:lineRule="atLeast"/>
        <w:ind w:left="567"/>
        <w:contextualSpacing w:val="0"/>
        <w:rPr>
          <w:rFonts w:ascii="Gill Sans MT" w:hAnsi="Gill Sans MT" w:cs="GillSans-Light"/>
          <w:color w:val="000000"/>
        </w:rPr>
      </w:pPr>
    </w:p>
    <w:tbl>
      <w:tblPr>
        <w:tblStyle w:val="TableGrid"/>
        <w:tblW w:w="0" w:type="auto"/>
        <w:tblLook w:val="04A0" w:firstRow="1" w:lastRow="0" w:firstColumn="1" w:lastColumn="0" w:noHBand="0" w:noVBand="1"/>
      </w:tblPr>
      <w:tblGrid>
        <w:gridCol w:w="1838"/>
        <w:gridCol w:w="1200"/>
        <w:gridCol w:w="1200"/>
        <w:gridCol w:w="1200"/>
        <w:gridCol w:w="1200"/>
        <w:gridCol w:w="1200"/>
        <w:gridCol w:w="1200"/>
      </w:tblGrid>
      <w:tr w:rsidR="004A14D2" w:rsidRPr="00E35976" w14:paraId="7A624E5F" w14:textId="77777777" w:rsidTr="00E35976">
        <w:trPr>
          <w:tblHeader/>
        </w:trPr>
        <w:tc>
          <w:tcPr>
            <w:tcW w:w="1838" w:type="dxa"/>
            <w:vAlign w:val="center"/>
          </w:tcPr>
          <w:p w14:paraId="511EC95E" w14:textId="77777777" w:rsidR="004A14D2" w:rsidRPr="00E35976" w:rsidRDefault="004A14D2" w:rsidP="00204862">
            <w:pPr>
              <w:pStyle w:val="Pa11"/>
              <w:keepNext/>
              <w:spacing w:before="100"/>
              <w:rPr>
                <w:rFonts w:ascii="Gill Sans MT" w:hAnsi="Gill Sans MT" w:cs="Gill Sans MT Pro Medium"/>
                <w:color w:val="000000"/>
                <w:sz w:val="10"/>
                <w:szCs w:val="10"/>
              </w:rPr>
            </w:pPr>
            <w:r w:rsidRPr="00E35976">
              <w:rPr>
                <w:rFonts w:ascii="Gill Sans MT" w:hAnsi="Gill Sans MT" w:cs="Gill Sans MT Pro Medium"/>
                <w:b/>
                <w:bCs/>
                <w:i/>
                <w:iCs/>
                <w:color w:val="000000"/>
                <w:sz w:val="18"/>
                <w:szCs w:val="18"/>
              </w:rPr>
              <w:t xml:space="preserve">Government Services Budget Paper </w:t>
            </w:r>
            <w:r w:rsidRPr="00E35976">
              <w:rPr>
                <w:rFonts w:ascii="Gill Sans MT" w:hAnsi="Gill Sans MT" w:cs="Gill Sans MT Pro Medium"/>
                <w:b/>
                <w:bCs/>
                <w:color w:val="000000"/>
                <w:sz w:val="18"/>
                <w:szCs w:val="18"/>
              </w:rPr>
              <w:t>- Performance Measure</w:t>
            </w:r>
            <w:r w:rsidRPr="00E35976">
              <w:rPr>
                <w:rStyle w:val="A8"/>
                <w:rFonts w:ascii="Gill Sans MT" w:hAnsi="Gill Sans MT"/>
                <w:b/>
                <w:bCs/>
              </w:rPr>
              <w:t xml:space="preserve">1 </w:t>
            </w:r>
          </w:p>
        </w:tc>
        <w:tc>
          <w:tcPr>
            <w:tcW w:w="1200" w:type="dxa"/>
            <w:vAlign w:val="bottom"/>
          </w:tcPr>
          <w:p w14:paraId="251FF98F" w14:textId="77777777" w:rsidR="004A14D2" w:rsidRPr="00E35976" w:rsidRDefault="004A14D2" w:rsidP="00204862">
            <w:pPr>
              <w:pStyle w:val="Pa28"/>
              <w:keepNext/>
              <w:spacing w:before="100"/>
              <w:jc w:val="center"/>
              <w:rPr>
                <w:rFonts w:ascii="Gill Sans MT" w:hAnsi="Gill Sans MT" w:cs="Gill Sans MT Pro Medium"/>
                <w:color w:val="000000"/>
                <w:sz w:val="18"/>
                <w:szCs w:val="18"/>
              </w:rPr>
            </w:pPr>
            <w:r w:rsidRPr="00E35976">
              <w:rPr>
                <w:rFonts w:ascii="Gill Sans MT" w:hAnsi="Gill Sans MT" w:cs="Gill Sans MT Pro Medium"/>
                <w:b/>
                <w:bCs/>
                <w:color w:val="000000"/>
                <w:sz w:val="18"/>
                <w:szCs w:val="18"/>
              </w:rPr>
              <w:t>Unit of Measure</w:t>
            </w:r>
          </w:p>
        </w:tc>
        <w:tc>
          <w:tcPr>
            <w:tcW w:w="1200" w:type="dxa"/>
            <w:vAlign w:val="bottom"/>
          </w:tcPr>
          <w:p w14:paraId="56B5B7B1" w14:textId="77777777" w:rsidR="004A14D2" w:rsidRPr="00E35976" w:rsidRDefault="004A14D2" w:rsidP="00204862">
            <w:pPr>
              <w:pStyle w:val="Pa28"/>
              <w:keepNext/>
              <w:spacing w:before="100"/>
              <w:jc w:val="center"/>
              <w:rPr>
                <w:rFonts w:ascii="Gill Sans MT" w:hAnsi="Gill Sans MT" w:cs="Gill Sans MT Pro Medium"/>
                <w:color w:val="000000"/>
                <w:sz w:val="18"/>
                <w:szCs w:val="18"/>
              </w:rPr>
            </w:pPr>
            <w:r w:rsidRPr="00E35976">
              <w:rPr>
                <w:rFonts w:ascii="Gill Sans MT" w:hAnsi="Gill Sans MT" w:cs="Gill Sans MT Pro Medium"/>
                <w:b/>
                <w:bCs/>
                <w:color w:val="000000"/>
                <w:sz w:val="18"/>
                <w:szCs w:val="18"/>
              </w:rPr>
              <w:t>2014-15 Actual</w:t>
            </w:r>
          </w:p>
        </w:tc>
        <w:tc>
          <w:tcPr>
            <w:tcW w:w="1200" w:type="dxa"/>
            <w:vAlign w:val="bottom"/>
          </w:tcPr>
          <w:p w14:paraId="1454EBDA" w14:textId="77777777" w:rsidR="004A14D2" w:rsidRPr="00E35976" w:rsidRDefault="004A14D2" w:rsidP="00204862">
            <w:pPr>
              <w:pStyle w:val="Pa28"/>
              <w:keepNext/>
              <w:spacing w:before="100"/>
              <w:jc w:val="center"/>
              <w:rPr>
                <w:rFonts w:ascii="Gill Sans MT" w:hAnsi="Gill Sans MT" w:cs="Gill Sans MT Pro Medium"/>
                <w:color w:val="000000"/>
                <w:sz w:val="18"/>
                <w:szCs w:val="18"/>
              </w:rPr>
            </w:pPr>
            <w:r w:rsidRPr="00E35976">
              <w:rPr>
                <w:rFonts w:ascii="Gill Sans MT" w:hAnsi="Gill Sans MT" w:cs="Gill Sans MT Pro Medium"/>
                <w:b/>
                <w:bCs/>
                <w:color w:val="000000"/>
                <w:sz w:val="18"/>
                <w:szCs w:val="18"/>
              </w:rPr>
              <w:t>2015-16 Actual</w:t>
            </w:r>
          </w:p>
        </w:tc>
        <w:tc>
          <w:tcPr>
            <w:tcW w:w="1200" w:type="dxa"/>
            <w:vAlign w:val="bottom"/>
          </w:tcPr>
          <w:p w14:paraId="18E8C8EA" w14:textId="77777777" w:rsidR="004A14D2" w:rsidRPr="00E35976" w:rsidRDefault="004A14D2" w:rsidP="00204862">
            <w:pPr>
              <w:pStyle w:val="Pa28"/>
              <w:keepNext/>
              <w:spacing w:before="100"/>
              <w:jc w:val="center"/>
              <w:rPr>
                <w:rFonts w:ascii="Gill Sans MT" w:hAnsi="Gill Sans MT" w:cs="Gill Sans MT Pro Medium"/>
                <w:color w:val="000000"/>
                <w:sz w:val="18"/>
                <w:szCs w:val="18"/>
              </w:rPr>
            </w:pPr>
            <w:r w:rsidRPr="00E35976">
              <w:rPr>
                <w:rFonts w:ascii="Gill Sans MT" w:hAnsi="Gill Sans MT" w:cs="Gill Sans MT Pro Medium"/>
                <w:b/>
                <w:bCs/>
                <w:color w:val="000000"/>
                <w:sz w:val="18"/>
                <w:szCs w:val="18"/>
              </w:rPr>
              <w:t>2016-17 Actual</w:t>
            </w:r>
          </w:p>
        </w:tc>
        <w:tc>
          <w:tcPr>
            <w:tcW w:w="1200" w:type="dxa"/>
            <w:vAlign w:val="bottom"/>
          </w:tcPr>
          <w:p w14:paraId="35706DC2" w14:textId="77777777" w:rsidR="004A14D2" w:rsidRPr="00E35976" w:rsidRDefault="004A14D2" w:rsidP="00204862">
            <w:pPr>
              <w:pStyle w:val="Pa28"/>
              <w:keepNext/>
              <w:spacing w:before="100"/>
              <w:jc w:val="center"/>
              <w:rPr>
                <w:rFonts w:ascii="Gill Sans MT" w:hAnsi="Gill Sans MT" w:cs="Gill Sans MT Pro Medium"/>
                <w:color w:val="000000"/>
                <w:sz w:val="18"/>
                <w:szCs w:val="18"/>
              </w:rPr>
            </w:pPr>
            <w:r w:rsidRPr="00E35976">
              <w:rPr>
                <w:rFonts w:ascii="Gill Sans MT" w:hAnsi="Gill Sans MT" w:cs="Gill Sans MT Pro Medium"/>
                <w:b/>
                <w:bCs/>
                <w:color w:val="000000"/>
                <w:sz w:val="18"/>
                <w:szCs w:val="18"/>
              </w:rPr>
              <w:t>2017-18 Target</w:t>
            </w:r>
          </w:p>
        </w:tc>
        <w:tc>
          <w:tcPr>
            <w:tcW w:w="1200" w:type="dxa"/>
            <w:vAlign w:val="bottom"/>
          </w:tcPr>
          <w:p w14:paraId="352F8085" w14:textId="77777777" w:rsidR="004A14D2" w:rsidRPr="00E35976" w:rsidRDefault="004A14D2" w:rsidP="00204862">
            <w:pPr>
              <w:pStyle w:val="Pa28"/>
              <w:keepNext/>
              <w:spacing w:before="100"/>
              <w:jc w:val="center"/>
              <w:rPr>
                <w:rFonts w:ascii="Gill Sans MT" w:hAnsi="Gill Sans MT" w:cs="Gill Sans MT Pro Medium"/>
                <w:color w:val="000000"/>
                <w:sz w:val="18"/>
                <w:szCs w:val="18"/>
              </w:rPr>
            </w:pPr>
            <w:r w:rsidRPr="00E35976">
              <w:rPr>
                <w:rFonts w:ascii="Gill Sans MT" w:hAnsi="Gill Sans MT" w:cs="Gill Sans MT Pro Medium"/>
                <w:b/>
                <w:bCs/>
                <w:color w:val="000000"/>
                <w:sz w:val="18"/>
                <w:szCs w:val="18"/>
              </w:rPr>
              <w:t>2017-18 Actual</w:t>
            </w:r>
          </w:p>
        </w:tc>
      </w:tr>
      <w:tr w:rsidR="004A14D2" w:rsidRPr="00E35976" w14:paraId="28959372" w14:textId="77777777" w:rsidTr="00BA55E7">
        <w:tc>
          <w:tcPr>
            <w:tcW w:w="1838" w:type="dxa"/>
          </w:tcPr>
          <w:p w14:paraId="28658D79" w14:textId="77777777" w:rsidR="004A14D2" w:rsidRPr="00E35976" w:rsidRDefault="004A14D2" w:rsidP="00204862">
            <w:pPr>
              <w:pStyle w:val="Pa11"/>
              <w:keepNext/>
              <w:spacing w:before="100"/>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Random breath tests conducted </w:t>
            </w:r>
          </w:p>
        </w:tc>
        <w:tc>
          <w:tcPr>
            <w:tcW w:w="1200" w:type="dxa"/>
            <w:vAlign w:val="bottom"/>
          </w:tcPr>
          <w:p w14:paraId="5AF11147"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Number</w:t>
            </w:r>
          </w:p>
        </w:tc>
        <w:tc>
          <w:tcPr>
            <w:tcW w:w="1200" w:type="dxa"/>
            <w:vAlign w:val="bottom"/>
          </w:tcPr>
          <w:p w14:paraId="6D30C514"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475,510 </w:t>
            </w:r>
          </w:p>
        </w:tc>
        <w:tc>
          <w:tcPr>
            <w:tcW w:w="1200" w:type="dxa"/>
            <w:vAlign w:val="bottom"/>
          </w:tcPr>
          <w:p w14:paraId="03058CE0"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469,610 </w:t>
            </w:r>
          </w:p>
        </w:tc>
        <w:tc>
          <w:tcPr>
            <w:tcW w:w="1200" w:type="dxa"/>
            <w:vAlign w:val="bottom"/>
          </w:tcPr>
          <w:p w14:paraId="06FA238D"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505,445 </w:t>
            </w:r>
          </w:p>
        </w:tc>
        <w:tc>
          <w:tcPr>
            <w:tcW w:w="1200" w:type="dxa"/>
            <w:vAlign w:val="bottom"/>
          </w:tcPr>
          <w:p w14:paraId="45329837"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440,000 </w:t>
            </w:r>
          </w:p>
        </w:tc>
        <w:tc>
          <w:tcPr>
            <w:tcW w:w="1200" w:type="dxa"/>
            <w:vAlign w:val="bottom"/>
          </w:tcPr>
          <w:p w14:paraId="41064518" w14:textId="77777777" w:rsidR="004A14D2" w:rsidRPr="00E35976" w:rsidRDefault="004A14D2" w:rsidP="00204862">
            <w:pPr>
              <w:pStyle w:val="Pa29"/>
              <w:keepNext/>
              <w:spacing w:before="100"/>
              <w:jc w:val="right"/>
              <w:rPr>
                <w:rFonts w:ascii="Gill Sans MT" w:hAnsi="Gill Sans MT" w:cs="Gill Sans MT Pro Medium"/>
                <w:color w:val="000000"/>
                <w:sz w:val="18"/>
                <w:szCs w:val="18"/>
              </w:rPr>
            </w:pPr>
            <w:r w:rsidRPr="00E35976">
              <w:rPr>
                <w:rFonts w:ascii="Gill Sans MT" w:hAnsi="Gill Sans MT" w:cs="Gill Sans MT Pro Medium"/>
                <w:color w:val="000000"/>
                <w:sz w:val="18"/>
                <w:szCs w:val="18"/>
              </w:rPr>
              <w:t xml:space="preserve">478,219 </w:t>
            </w:r>
          </w:p>
        </w:tc>
      </w:tr>
      <w:tr w:rsidR="004A14D2" w:rsidRPr="00E35976" w14:paraId="55BB565E" w14:textId="77777777" w:rsidTr="00BA55E7">
        <w:tc>
          <w:tcPr>
            <w:tcW w:w="1838" w:type="dxa"/>
          </w:tcPr>
          <w:p w14:paraId="0D463B35" w14:textId="77777777" w:rsidR="004A14D2" w:rsidRPr="00E35976" w:rsidRDefault="004A14D2" w:rsidP="00204862">
            <w:pPr>
              <w:pStyle w:val="Pa11"/>
              <w:keepNext/>
              <w:spacing w:before="100"/>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Number of </w:t>
            </w:r>
            <w:proofErr w:type="gramStart"/>
            <w:r w:rsidRPr="00E35976">
              <w:rPr>
                <w:rFonts w:ascii="Gill Sans MT" w:hAnsi="Gill Sans MT" w:cs="Gill Sans MT Pro Light"/>
                <w:color w:val="000000"/>
                <w:sz w:val="18"/>
                <w:szCs w:val="18"/>
              </w:rPr>
              <w:t>drink</w:t>
            </w:r>
            <w:proofErr w:type="gramEnd"/>
            <w:r w:rsidRPr="00E35976">
              <w:rPr>
                <w:rFonts w:ascii="Gill Sans MT" w:hAnsi="Gill Sans MT" w:cs="Gill Sans MT Pro Light"/>
                <w:color w:val="000000"/>
                <w:sz w:val="18"/>
                <w:szCs w:val="18"/>
              </w:rPr>
              <w:t xml:space="preserve"> driving offenders </w:t>
            </w:r>
          </w:p>
        </w:tc>
        <w:tc>
          <w:tcPr>
            <w:tcW w:w="1200" w:type="dxa"/>
            <w:vAlign w:val="bottom"/>
          </w:tcPr>
          <w:p w14:paraId="5A5A1BF8"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Number</w:t>
            </w:r>
          </w:p>
        </w:tc>
        <w:tc>
          <w:tcPr>
            <w:tcW w:w="1200" w:type="dxa"/>
            <w:vAlign w:val="bottom"/>
          </w:tcPr>
          <w:p w14:paraId="4DEFF061"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2,591 </w:t>
            </w:r>
          </w:p>
        </w:tc>
        <w:tc>
          <w:tcPr>
            <w:tcW w:w="1200" w:type="dxa"/>
            <w:vAlign w:val="bottom"/>
          </w:tcPr>
          <w:p w14:paraId="08E599AD"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2,400 </w:t>
            </w:r>
          </w:p>
        </w:tc>
        <w:tc>
          <w:tcPr>
            <w:tcW w:w="1200" w:type="dxa"/>
            <w:vAlign w:val="bottom"/>
          </w:tcPr>
          <w:p w14:paraId="6B452C8E"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2,296 </w:t>
            </w:r>
          </w:p>
        </w:tc>
        <w:tc>
          <w:tcPr>
            <w:tcW w:w="1200" w:type="dxa"/>
            <w:vAlign w:val="bottom"/>
          </w:tcPr>
          <w:p w14:paraId="57CB31F4"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2,550 </w:t>
            </w:r>
          </w:p>
        </w:tc>
        <w:tc>
          <w:tcPr>
            <w:tcW w:w="1200" w:type="dxa"/>
            <w:vAlign w:val="bottom"/>
          </w:tcPr>
          <w:p w14:paraId="29484CE9" w14:textId="77777777" w:rsidR="004A14D2" w:rsidRPr="00E35976" w:rsidRDefault="004A14D2" w:rsidP="00204862">
            <w:pPr>
              <w:pStyle w:val="Pa29"/>
              <w:keepNext/>
              <w:spacing w:before="100"/>
              <w:jc w:val="right"/>
              <w:rPr>
                <w:rFonts w:ascii="Gill Sans MT" w:hAnsi="Gill Sans MT" w:cs="Gill Sans MT Pro Medium"/>
                <w:color w:val="000000"/>
                <w:sz w:val="18"/>
                <w:szCs w:val="18"/>
              </w:rPr>
            </w:pPr>
            <w:r w:rsidRPr="00E35976">
              <w:rPr>
                <w:rFonts w:ascii="Gill Sans MT" w:hAnsi="Gill Sans MT" w:cs="Gill Sans MT Pro Medium"/>
                <w:color w:val="000000"/>
                <w:sz w:val="18"/>
                <w:szCs w:val="18"/>
              </w:rPr>
              <w:t xml:space="preserve">2,173 </w:t>
            </w:r>
          </w:p>
        </w:tc>
      </w:tr>
      <w:tr w:rsidR="004A14D2" w:rsidRPr="00E35976" w14:paraId="16B04D98" w14:textId="77777777" w:rsidTr="00BA55E7">
        <w:tc>
          <w:tcPr>
            <w:tcW w:w="1838" w:type="dxa"/>
          </w:tcPr>
          <w:p w14:paraId="0EED382E" w14:textId="77777777" w:rsidR="004A14D2" w:rsidRPr="00E35976" w:rsidRDefault="004A14D2" w:rsidP="00204862">
            <w:pPr>
              <w:pStyle w:val="Pa11"/>
              <w:keepNext/>
              <w:spacing w:before="100"/>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Oral fluid tests conducted </w:t>
            </w:r>
          </w:p>
        </w:tc>
        <w:tc>
          <w:tcPr>
            <w:tcW w:w="1200" w:type="dxa"/>
            <w:vAlign w:val="bottom"/>
          </w:tcPr>
          <w:p w14:paraId="3D9102FF"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Number</w:t>
            </w:r>
          </w:p>
        </w:tc>
        <w:tc>
          <w:tcPr>
            <w:tcW w:w="1200" w:type="dxa"/>
            <w:vAlign w:val="bottom"/>
          </w:tcPr>
          <w:p w14:paraId="7F2CB2A5"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3,431 </w:t>
            </w:r>
          </w:p>
        </w:tc>
        <w:tc>
          <w:tcPr>
            <w:tcW w:w="1200" w:type="dxa"/>
            <w:vAlign w:val="bottom"/>
          </w:tcPr>
          <w:p w14:paraId="70CE651D"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3,738 </w:t>
            </w:r>
          </w:p>
        </w:tc>
        <w:tc>
          <w:tcPr>
            <w:tcW w:w="1200" w:type="dxa"/>
            <w:vAlign w:val="bottom"/>
          </w:tcPr>
          <w:p w14:paraId="390A0F6F"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3,726 </w:t>
            </w:r>
          </w:p>
        </w:tc>
        <w:tc>
          <w:tcPr>
            <w:tcW w:w="1200" w:type="dxa"/>
            <w:vAlign w:val="bottom"/>
          </w:tcPr>
          <w:p w14:paraId="51FEDF94"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3,250 </w:t>
            </w:r>
          </w:p>
        </w:tc>
        <w:tc>
          <w:tcPr>
            <w:tcW w:w="1200" w:type="dxa"/>
            <w:vAlign w:val="bottom"/>
          </w:tcPr>
          <w:p w14:paraId="39D40AD5" w14:textId="77777777" w:rsidR="004A14D2" w:rsidRPr="00E35976" w:rsidRDefault="004A14D2" w:rsidP="00204862">
            <w:pPr>
              <w:pStyle w:val="Pa29"/>
              <w:keepNext/>
              <w:spacing w:before="100"/>
              <w:jc w:val="right"/>
              <w:rPr>
                <w:rFonts w:ascii="Gill Sans MT" w:hAnsi="Gill Sans MT" w:cs="Gill Sans MT Pro Medium"/>
                <w:color w:val="000000"/>
                <w:sz w:val="18"/>
                <w:szCs w:val="18"/>
              </w:rPr>
            </w:pPr>
            <w:r w:rsidRPr="00E35976">
              <w:rPr>
                <w:rFonts w:ascii="Gill Sans MT" w:hAnsi="Gill Sans MT" w:cs="Gill Sans MT Pro Medium"/>
                <w:color w:val="000000"/>
                <w:sz w:val="18"/>
                <w:szCs w:val="18"/>
              </w:rPr>
              <w:t xml:space="preserve">3,936 </w:t>
            </w:r>
          </w:p>
        </w:tc>
      </w:tr>
      <w:tr w:rsidR="004A14D2" w:rsidRPr="00E35976" w14:paraId="286FEFCA" w14:textId="77777777" w:rsidTr="00BA55E7">
        <w:tc>
          <w:tcPr>
            <w:tcW w:w="1838" w:type="dxa"/>
          </w:tcPr>
          <w:p w14:paraId="049D8D40" w14:textId="77777777" w:rsidR="004A14D2" w:rsidRPr="00E35976" w:rsidRDefault="004A14D2" w:rsidP="00204862">
            <w:pPr>
              <w:pStyle w:val="Pa11"/>
              <w:keepNext/>
              <w:spacing w:before="100"/>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Number of drug driving offenders </w:t>
            </w:r>
          </w:p>
        </w:tc>
        <w:tc>
          <w:tcPr>
            <w:tcW w:w="1200" w:type="dxa"/>
            <w:vAlign w:val="bottom"/>
          </w:tcPr>
          <w:p w14:paraId="2B40793D"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Number</w:t>
            </w:r>
          </w:p>
        </w:tc>
        <w:tc>
          <w:tcPr>
            <w:tcW w:w="1200" w:type="dxa"/>
            <w:vAlign w:val="bottom"/>
          </w:tcPr>
          <w:p w14:paraId="6377DA59"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1,500 </w:t>
            </w:r>
          </w:p>
        </w:tc>
        <w:tc>
          <w:tcPr>
            <w:tcW w:w="1200" w:type="dxa"/>
            <w:vAlign w:val="bottom"/>
          </w:tcPr>
          <w:p w14:paraId="08006339"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2,021 </w:t>
            </w:r>
          </w:p>
        </w:tc>
        <w:tc>
          <w:tcPr>
            <w:tcW w:w="1200" w:type="dxa"/>
            <w:vAlign w:val="bottom"/>
          </w:tcPr>
          <w:p w14:paraId="11EB41D9"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2,158 </w:t>
            </w:r>
          </w:p>
        </w:tc>
        <w:tc>
          <w:tcPr>
            <w:tcW w:w="1200" w:type="dxa"/>
            <w:vAlign w:val="bottom"/>
          </w:tcPr>
          <w:p w14:paraId="0949E7E5" w14:textId="77777777" w:rsidR="004A14D2" w:rsidRPr="00E35976" w:rsidRDefault="004A14D2" w:rsidP="00204862">
            <w:pPr>
              <w:pStyle w:val="Pa29"/>
              <w:keepNext/>
              <w:spacing w:before="100"/>
              <w:jc w:val="right"/>
              <w:rPr>
                <w:rFonts w:ascii="Gill Sans MT" w:hAnsi="Gill Sans MT" w:cs="Gill Sans MT Pro Light"/>
                <w:color w:val="000000"/>
                <w:sz w:val="18"/>
                <w:szCs w:val="18"/>
              </w:rPr>
            </w:pPr>
            <w:r w:rsidRPr="00E35976">
              <w:rPr>
                <w:rFonts w:ascii="Gill Sans MT" w:hAnsi="Gill Sans MT" w:cs="Gill Sans MT Pro Light"/>
                <w:color w:val="000000"/>
                <w:sz w:val="18"/>
                <w:szCs w:val="18"/>
              </w:rPr>
              <w:t xml:space="preserve">1,700 </w:t>
            </w:r>
          </w:p>
        </w:tc>
        <w:tc>
          <w:tcPr>
            <w:tcW w:w="1200" w:type="dxa"/>
            <w:vAlign w:val="bottom"/>
          </w:tcPr>
          <w:p w14:paraId="7351E94C" w14:textId="77777777" w:rsidR="004A14D2" w:rsidRPr="00E35976" w:rsidRDefault="004A14D2" w:rsidP="00204862">
            <w:pPr>
              <w:pStyle w:val="Pa29"/>
              <w:keepNext/>
              <w:spacing w:before="100"/>
              <w:jc w:val="right"/>
              <w:rPr>
                <w:rFonts w:ascii="Gill Sans MT" w:hAnsi="Gill Sans MT" w:cs="Gill Sans MT Pro Medium"/>
                <w:color w:val="000000"/>
                <w:sz w:val="18"/>
                <w:szCs w:val="18"/>
              </w:rPr>
            </w:pPr>
            <w:r w:rsidRPr="00E35976">
              <w:rPr>
                <w:rFonts w:ascii="Gill Sans MT" w:hAnsi="Gill Sans MT" w:cs="Gill Sans MT Pro Medium"/>
                <w:color w:val="000000"/>
                <w:sz w:val="18"/>
                <w:szCs w:val="18"/>
              </w:rPr>
              <w:t xml:space="preserve">2,212 </w:t>
            </w:r>
          </w:p>
        </w:tc>
      </w:tr>
    </w:tbl>
    <w:p w14:paraId="694ED080" w14:textId="77777777" w:rsidR="004A14D2" w:rsidRPr="00E35976" w:rsidRDefault="004A14D2" w:rsidP="00204862">
      <w:pPr>
        <w:pStyle w:val="DHHSbody"/>
        <w:keepNext/>
        <w:spacing w:after="80" w:line="240" w:lineRule="auto"/>
        <w:rPr>
          <w:rFonts w:ascii="Gill Sans MT" w:hAnsi="Gill Sans MT"/>
          <w:i/>
          <w:sz w:val="18"/>
          <w:szCs w:val="18"/>
        </w:rPr>
      </w:pPr>
      <w:r w:rsidRPr="00E35976">
        <w:rPr>
          <w:rFonts w:ascii="Gill Sans MT" w:hAnsi="Gill Sans MT"/>
          <w:i/>
          <w:sz w:val="18"/>
          <w:szCs w:val="18"/>
        </w:rPr>
        <w:t>Source: Annual Report 2017-18 Department of Police, Fire and Emergency Management</w:t>
      </w:r>
    </w:p>
    <w:p w14:paraId="0FA1C094" w14:textId="77777777" w:rsidR="0014741B" w:rsidRPr="00E35976" w:rsidRDefault="0014741B" w:rsidP="00204862">
      <w:pPr>
        <w:keepNext/>
        <w:autoSpaceDE w:val="0"/>
        <w:autoSpaceDN w:val="0"/>
        <w:adjustRightInd w:val="0"/>
        <w:spacing w:after="140" w:line="240" w:lineRule="auto"/>
        <w:rPr>
          <w:rFonts w:ascii="Gill Sans MT" w:hAnsi="Gill Sans MT" w:cs="GillSans-Light"/>
          <w:sz w:val="18"/>
          <w:szCs w:val="18"/>
        </w:rPr>
      </w:pPr>
    </w:p>
    <w:sectPr w:rsidR="0014741B" w:rsidRPr="00E35976" w:rsidSect="00C2312F">
      <w:pgSz w:w="14151" w:h="16838"/>
      <w:pgMar w:top="1247" w:right="3685"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CFDE" w14:textId="77777777" w:rsidR="00C310C7" w:rsidRDefault="00C310C7" w:rsidP="00C1339B">
      <w:pPr>
        <w:spacing w:after="0" w:line="240" w:lineRule="auto"/>
      </w:pPr>
      <w:r>
        <w:separator/>
      </w:r>
    </w:p>
  </w:endnote>
  <w:endnote w:type="continuationSeparator" w:id="0">
    <w:p w14:paraId="2F5C6E64" w14:textId="77777777" w:rsidR="00C310C7" w:rsidRDefault="00C310C7" w:rsidP="00C1339B">
      <w:pPr>
        <w:spacing w:after="0" w:line="240" w:lineRule="auto"/>
      </w:pPr>
      <w:r>
        <w:continuationSeparator/>
      </w:r>
    </w:p>
  </w:endnote>
  <w:endnote w:id="1">
    <w:p w14:paraId="3311509E" w14:textId="77777777" w:rsidR="00D46361" w:rsidRPr="0014741B" w:rsidRDefault="00D46361" w:rsidP="00AE7195">
      <w:pPr>
        <w:spacing w:before="60" w:after="60" w:line="240" w:lineRule="auto"/>
        <w:rPr>
          <w:rFonts w:ascii="Gill Sans MT" w:hAnsi="Gill Sans MT" w:cstheme="minorHAnsi"/>
          <w:sz w:val="20"/>
          <w:szCs w:val="20"/>
        </w:rPr>
      </w:pPr>
      <w:r w:rsidRPr="0014741B">
        <w:rPr>
          <w:rStyle w:val="EndnoteReference"/>
          <w:rFonts w:ascii="Gill Sans MT" w:hAnsi="Gill Sans MT"/>
          <w:sz w:val="20"/>
          <w:szCs w:val="20"/>
        </w:rPr>
        <w:endnoteRef/>
      </w:r>
      <w:r w:rsidRPr="0014741B">
        <w:rPr>
          <w:rFonts w:ascii="Gill Sans MT" w:hAnsi="Gill Sans MT"/>
          <w:sz w:val="20"/>
          <w:szCs w:val="20"/>
        </w:rPr>
        <w:t xml:space="preserve"> </w:t>
      </w:r>
      <w:r w:rsidRPr="0014741B">
        <w:rPr>
          <w:rFonts w:ascii="Gill Sans MT" w:hAnsi="Gill Sans MT" w:cs="Myriad Pro"/>
          <w:color w:val="000000"/>
          <w:sz w:val="20"/>
          <w:szCs w:val="20"/>
        </w:rPr>
        <w:t xml:space="preserve">Australian Institute of Health and Welfare </w:t>
      </w:r>
      <w:r>
        <w:rPr>
          <w:rFonts w:ascii="Gill Sans MT" w:hAnsi="Gill Sans MT" w:cs="Myriad Pro"/>
          <w:color w:val="000000"/>
          <w:sz w:val="20"/>
          <w:szCs w:val="20"/>
        </w:rPr>
        <w:t xml:space="preserve">(AIHW) </w:t>
      </w:r>
      <w:r w:rsidRPr="0014741B">
        <w:rPr>
          <w:rFonts w:ascii="Gill Sans MT" w:hAnsi="Gill Sans MT" w:cs="Myriad Pro"/>
          <w:color w:val="000000"/>
          <w:sz w:val="20"/>
          <w:szCs w:val="20"/>
        </w:rPr>
        <w:t>2017. National Drug Strategy Household Survey 2016: detailed findings. Drug Statistics series no. 31. Cat. no. PHE 214. Canberra: AIHW</w:t>
      </w:r>
      <w:r w:rsidRPr="0014741B">
        <w:rPr>
          <w:rFonts w:ascii="Gill Sans MT" w:hAnsi="Gill Sans MT" w:cstheme="minorHAnsi"/>
          <w:sz w:val="20"/>
          <w:szCs w:val="20"/>
        </w:rPr>
        <w:t>.</w:t>
      </w:r>
    </w:p>
  </w:endnote>
  <w:endnote w:id="2">
    <w:p w14:paraId="3A4E9703" w14:textId="77777777" w:rsidR="00D46361" w:rsidRPr="0014741B" w:rsidRDefault="00D46361" w:rsidP="00AE7195">
      <w:pPr>
        <w:pStyle w:val="EndnoteText"/>
        <w:spacing w:before="60" w:after="60"/>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w:t>
      </w:r>
      <w:r w:rsidRPr="0014741B">
        <w:rPr>
          <w:rFonts w:ascii="Gill Sans MT" w:hAnsi="Gill Sans MT"/>
          <w:noProof/>
        </w:rPr>
        <w:t xml:space="preserve">Australian Bureau of Statistics. National Health Survey: First Results, 2014-15 [INTERNET]. Canberra: ABS; 2015 [cited 2016 15 Jun]. Available from: </w:t>
      </w:r>
      <w:hyperlink r:id="rId1" w:history="1">
        <w:r w:rsidRPr="0014741B">
          <w:rPr>
            <w:rStyle w:val="Hyperlink"/>
            <w:rFonts w:ascii="Gill Sans MT" w:hAnsi="Gill Sans MT"/>
            <w:noProof/>
          </w:rPr>
          <w:t>http://www.abs.gov.au/AUSSTATS/abs@.nsf/DetailsPage/4364.0.55.0012014-15?OpenDocument</w:t>
        </w:r>
      </w:hyperlink>
    </w:p>
  </w:endnote>
  <w:endnote w:id="3">
    <w:p w14:paraId="74043138" w14:textId="77777777" w:rsidR="00D46361" w:rsidRPr="0014741B" w:rsidRDefault="00D46361" w:rsidP="00AE7195">
      <w:pPr>
        <w:pStyle w:val="EndnoteText"/>
        <w:spacing w:before="60" w:after="60"/>
        <w:rPr>
          <w:rFonts w:ascii="Gill Sans MT" w:hAnsi="Gill Sans MT"/>
        </w:rPr>
      </w:pPr>
      <w:r w:rsidRPr="0014741B">
        <w:rPr>
          <w:rStyle w:val="EndnoteReference"/>
          <w:rFonts w:ascii="Gill Sans MT" w:hAnsi="Gill Sans MT"/>
        </w:rPr>
        <w:endnoteRef/>
      </w:r>
      <w:r w:rsidRPr="0014741B">
        <w:rPr>
          <w:rFonts w:ascii="Gill Sans MT" w:hAnsi="Gill Sans MT"/>
        </w:rPr>
        <w:t xml:space="preserve"> Council of Obstetric and Paediatric Mortality and Morbidity Annual Report 201</w:t>
      </w:r>
      <w:r>
        <w:rPr>
          <w:rFonts w:ascii="Gill Sans MT" w:hAnsi="Gill Sans MT"/>
        </w:rPr>
        <w:t>5</w:t>
      </w:r>
      <w:r w:rsidRPr="0014741B">
        <w:rPr>
          <w:rFonts w:ascii="Gill Sans MT" w:hAnsi="Gill Sans MT"/>
        </w:rPr>
        <w:t>. (201</w:t>
      </w:r>
      <w:r>
        <w:rPr>
          <w:rFonts w:ascii="Gill Sans MT" w:hAnsi="Gill Sans MT"/>
        </w:rPr>
        <w:t>7</w:t>
      </w:r>
      <w:r w:rsidRPr="0014741B">
        <w:rPr>
          <w:rFonts w:ascii="Gill Sans MT" w:hAnsi="Gill Sans MT"/>
        </w:rPr>
        <w:t>) State of Tasmania, Department of Health and Human Services, 201</w:t>
      </w:r>
      <w:r>
        <w:rPr>
          <w:rFonts w:ascii="Gill Sans MT" w:hAnsi="Gill Sans MT"/>
        </w:rPr>
        <w:t>7</w:t>
      </w:r>
    </w:p>
  </w:endnote>
  <w:endnote w:id="4">
    <w:p w14:paraId="5FE11718" w14:textId="77777777" w:rsidR="00D46361" w:rsidRPr="0014741B" w:rsidRDefault="00D46361" w:rsidP="00F30076">
      <w:pPr>
        <w:pStyle w:val="EndnoteText"/>
        <w:spacing w:before="60" w:after="60"/>
        <w:rPr>
          <w:rFonts w:ascii="Gill Sans MT" w:hAnsi="Gill Sans MT"/>
          <w:lang w:val="en-AU"/>
        </w:rPr>
      </w:pPr>
      <w:r w:rsidRPr="0014741B">
        <w:rPr>
          <w:rStyle w:val="EndnoteReference"/>
          <w:rFonts w:ascii="Gill Sans MT" w:hAnsi="Gill Sans MT"/>
        </w:rPr>
        <w:endnoteRef/>
      </w:r>
      <w:r w:rsidRPr="0014741B">
        <w:rPr>
          <w:rFonts w:ascii="Gill Sans MT" w:hAnsi="Gill Sans MT"/>
        </w:rPr>
        <w:t xml:space="preserve"> </w:t>
      </w:r>
      <w:r w:rsidRPr="0014741B">
        <w:rPr>
          <w:rFonts w:ascii="Gill Sans MT" w:hAnsi="Gill Sans MT"/>
          <w:noProof/>
        </w:rPr>
        <w:t>Williams T, Katherine S. The use of alcohol, tobacco, over-the-counter substances, among Tasmanian secondary school students in 2014 and trends over time. Centre for Behavioural Research in Cancer Council Victoria, prapared for Cancer Council Tasmania, 2016.</w:t>
      </w:r>
    </w:p>
  </w:endnote>
  <w:endnote w:id="5">
    <w:p w14:paraId="593FE755" w14:textId="77777777" w:rsidR="00D46361" w:rsidRPr="00A012AF" w:rsidRDefault="00D46361" w:rsidP="00AE7195">
      <w:pPr>
        <w:pStyle w:val="EndnoteText"/>
        <w:spacing w:before="60" w:after="60"/>
        <w:rPr>
          <w:rFonts w:ascii="Gill Sans MT" w:hAnsi="Gill Sans MT"/>
          <w:lang w:val="en-AU"/>
        </w:rPr>
      </w:pPr>
      <w:r w:rsidRPr="00A012AF">
        <w:rPr>
          <w:rStyle w:val="EndnoteReference"/>
          <w:rFonts w:ascii="Gill Sans MT" w:hAnsi="Gill Sans MT"/>
        </w:rPr>
        <w:endnoteRef/>
      </w:r>
      <w:r w:rsidRPr="00A012AF">
        <w:rPr>
          <w:rFonts w:ascii="Gill Sans MT" w:hAnsi="Gill Sans MT"/>
        </w:rPr>
        <w:t xml:space="preserve"> </w:t>
      </w:r>
      <w:r w:rsidRPr="00A012AF">
        <w:rPr>
          <w:rFonts w:ascii="Gill Sans MT" w:hAnsi="Gill Sans MT"/>
          <w:lang w:val="en-AU"/>
        </w:rPr>
        <w:t>Department of Health and Human Services</w:t>
      </w:r>
      <w:r>
        <w:rPr>
          <w:rFonts w:ascii="Gill Sans MT" w:hAnsi="Gill Sans MT"/>
          <w:lang w:val="en-AU"/>
        </w:rPr>
        <w:t>, 2016. Tasmanian Alcohol Data and Trends Report 2016.</w:t>
      </w:r>
    </w:p>
  </w:endnote>
  <w:endnote w:id="6">
    <w:p w14:paraId="039A8C23" w14:textId="77777777" w:rsidR="00D46361" w:rsidRPr="0014741B" w:rsidRDefault="00D46361" w:rsidP="00AE7195">
      <w:pPr>
        <w:spacing w:before="60" w:after="60" w:line="240" w:lineRule="auto"/>
        <w:rPr>
          <w:rFonts w:ascii="Gill Sans MT" w:hAnsi="Gill Sans MT"/>
          <w:noProof/>
          <w:sz w:val="20"/>
          <w:szCs w:val="20"/>
        </w:rPr>
      </w:pPr>
      <w:r w:rsidRPr="0014741B">
        <w:rPr>
          <w:rStyle w:val="EndnoteReference"/>
          <w:rFonts w:ascii="Gill Sans MT" w:hAnsi="Gill Sans MT"/>
          <w:sz w:val="20"/>
          <w:szCs w:val="20"/>
        </w:rPr>
        <w:endnoteRef/>
      </w:r>
      <w:r w:rsidRPr="0014741B">
        <w:rPr>
          <w:rFonts w:ascii="Gill Sans MT" w:hAnsi="Gill Sans MT"/>
          <w:sz w:val="20"/>
          <w:szCs w:val="20"/>
        </w:rPr>
        <w:t xml:space="preserve"> </w:t>
      </w:r>
      <w:r w:rsidRPr="0014741B">
        <w:rPr>
          <w:rFonts w:ascii="Gill Sans MT" w:hAnsi="Gill Sans MT"/>
          <w:noProof/>
          <w:sz w:val="20"/>
          <w:szCs w:val="20"/>
        </w:rPr>
        <w:t xml:space="preserve">Australian College for Emergency Medicine. Alcohol Harm in Emergency Departments (AHED) Program [Internet]. 2016 [cited 2016 10 July]. Available from: </w:t>
      </w:r>
      <w:hyperlink r:id="rId2" w:history="1">
        <w:r w:rsidRPr="0006086D">
          <w:rPr>
            <w:rStyle w:val="Hyperlink"/>
            <w:rFonts w:ascii="Gill Sans MT" w:hAnsi="Gill Sans MT"/>
            <w:noProof/>
            <w:sz w:val="20"/>
            <w:szCs w:val="20"/>
          </w:rPr>
          <w:t>https://acem.org.au/About-ACEM/Programs-Projects/Alcohol-Harm-in-ED-(AHED)-Project.aspx</w:t>
        </w:r>
      </w:hyperlink>
      <w:r w:rsidRPr="0014741B">
        <w:rPr>
          <w:rFonts w:ascii="Gill Sans MT" w:hAnsi="Gill Sans MT"/>
          <w:noProof/>
          <w:sz w:val="20"/>
          <w:szCs w:val="20"/>
        </w:rPr>
        <w:t>.</w:t>
      </w:r>
      <w:r>
        <w:rPr>
          <w:rFonts w:ascii="Gill Sans MT" w:hAnsi="Gill Sans MT"/>
          <w:noProof/>
          <w:sz w:val="20"/>
          <w:szCs w:val="20"/>
        </w:rPr>
        <w:t xml:space="preserve"> </w:t>
      </w:r>
    </w:p>
  </w:endnote>
  <w:endnote w:id="7">
    <w:p w14:paraId="7C6CBD24" w14:textId="77777777" w:rsidR="00D46361" w:rsidRPr="0014741B" w:rsidRDefault="00D46361" w:rsidP="00AE7195">
      <w:pPr>
        <w:pStyle w:val="EndnoteText"/>
        <w:spacing w:before="60" w:after="60"/>
        <w:rPr>
          <w:rFonts w:ascii="Gill Sans MT" w:hAnsi="Gill Sans MT" w:cstheme="minorHAnsi"/>
        </w:rPr>
      </w:pPr>
      <w:r w:rsidRPr="0014741B">
        <w:rPr>
          <w:rStyle w:val="EndnoteReference"/>
          <w:rFonts w:ascii="Gill Sans MT" w:hAnsi="Gill Sans MT"/>
        </w:rPr>
        <w:endnoteRef/>
      </w:r>
      <w:r w:rsidRPr="0014741B">
        <w:rPr>
          <w:rFonts w:ascii="Gill Sans MT" w:hAnsi="Gill Sans MT"/>
        </w:rPr>
        <w:t xml:space="preserve"> </w:t>
      </w:r>
      <w:r w:rsidRPr="0014741B">
        <w:rPr>
          <w:rFonts w:ascii="Gill Sans MT" w:hAnsi="Gill Sans MT"/>
          <w:noProof/>
        </w:rPr>
        <w:t>Egerton-Warburton D, Gosbell A, Wadsworth A, Fatovich DM, Richardson DB. Survey of alcohol-related presentations to Australasian emergency departments. The Medical journal of Australia. 2014 Nov 17;201(10):584-7. PubMed PMID: 25390264</w:t>
      </w:r>
      <w:r>
        <w:rPr>
          <w:rFonts w:ascii="Gill Sans MT" w:hAnsi="Gill Sans MT"/>
          <w:noProof/>
        </w:rPr>
        <w:t xml:space="preserve">; </w:t>
      </w:r>
      <w:r w:rsidRPr="005F2956">
        <w:rPr>
          <w:rFonts w:ascii="Gill Sans MT" w:hAnsi="Gill Sans MT"/>
          <w:noProof/>
        </w:rPr>
        <w:t>Gao, C., Ogeil, R.P., &amp; Lloyd, B. 2014. Alcohol’s burden of disease in Australia. Canberra: FARE and VicHealth in collaboration with Turning Point</w:t>
      </w:r>
    </w:p>
  </w:endnote>
  <w:endnote w:id="8">
    <w:p w14:paraId="72A11060" w14:textId="77777777" w:rsidR="00D46361" w:rsidRPr="00034EB9" w:rsidRDefault="00D46361" w:rsidP="00AE7195">
      <w:pPr>
        <w:pStyle w:val="EndnoteText"/>
        <w:spacing w:before="60" w:after="60"/>
        <w:rPr>
          <w:rFonts w:ascii="Gill Sans MT" w:hAnsi="Gill Sans MT"/>
          <w:lang w:val="en-AU"/>
        </w:rPr>
      </w:pPr>
      <w:r w:rsidRPr="004A14D2">
        <w:rPr>
          <w:rStyle w:val="EndnoteReference"/>
          <w:rFonts w:ascii="Gill Sans MT" w:hAnsi="Gill Sans MT"/>
        </w:rPr>
        <w:endnoteRef/>
      </w:r>
      <w:r w:rsidRPr="004A14D2">
        <w:rPr>
          <w:rFonts w:ascii="Gill Sans MT" w:hAnsi="Gill Sans MT"/>
        </w:rPr>
        <w:t xml:space="preserve"> ABS (Australian Bureau of Statistics) </w:t>
      </w:r>
      <w:r>
        <w:rPr>
          <w:rFonts w:ascii="Gill Sans MT" w:hAnsi="Gill Sans MT"/>
        </w:rPr>
        <w:t>(2016) Drug Induced Deaths in Australia 2016, Cat. No. 3303.0  Canberra: ABS</w:t>
      </w:r>
    </w:p>
  </w:endnote>
  <w:endnote w:id="9">
    <w:p w14:paraId="27FE2E49" w14:textId="77777777" w:rsidR="00D46361" w:rsidRPr="0014741B" w:rsidRDefault="00D46361" w:rsidP="00AE7195">
      <w:pPr>
        <w:pStyle w:val="Default"/>
        <w:spacing w:before="60" w:after="60"/>
        <w:rPr>
          <w:sz w:val="20"/>
          <w:szCs w:val="20"/>
        </w:rPr>
      </w:pPr>
      <w:r w:rsidRPr="0014741B">
        <w:rPr>
          <w:rStyle w:val="EndnoteReference"/>
          <w:sz w:val="20"/>
          <w:szCs w:val="20"/>
        </w:rPr>
        <w:endnoteRef/>
      </w:r>
      <w:r w:rsidRPr="0014741B">
        <w:rPr>
          <w:sz w:val="20"/>
          <w:szCs w:val="20"/>
        </w:rPr>
        <w:t xml:space="preserve"> </w:t>
      </w:r>
      <w:r w:rsidRPr="0014741B">
        <w:rPr>
          <w:rFonts w:cs="Arial Narrow"/>
          <w:sz w:val="20"/>
          <w:szCs w:val="20"/>
        </w:rPr>
        <w:t xml:space="preserve"> Roxburgh, A., and Breen, C. (2016). Drug-related hospital stays in Australia, 1993-2014.  Sydney: National </w:t>
      </w:r>
      <w:bookmarkStart w:id="30" w:name="_GoBack"/>
      <w:bookmarkEnd w:id="30"/>
      <w:r w:rsidRPr="0014741B">
        <w:rPr>
          <w:rFonts w:cs="Arial Narrow"/>
          <w:sz w:val="20"/>
          <w:szCs w:val="20"/>
        </w:rPr>
        <w:t>Drug and Alcohol Research Centre, University of New South Wales</w:t>
      </w:r>
    </w:p>
  </w:endnote>
  <w:endnote w:id="10">
    <w:p w14:paraId="5D42604A" w14:textId="77777777" w:rsidR="00D46361" w:rsidRPr="0014741B" w:rsidRDefault="00D46361" w:rsidP="00AE7195">
      <w:pPr>
        <w:pStyle w:val="EndnoteText"/>
        <w:spacing w:before="60" w:after="60"/>
        <w:rPr>
          <w:rFonts w:ascii="Gill Sans MT" w:hAnsi="Gill Sans MT"/>
        </w:rPr>
      </w:pPr>
      <w:r w:rsidRPr="0014741B">
        <w:rPr>
          <w:rStyle w:val="EndnoteReference"/>
          <w:rFonts w:ascii="Gill Sans MT" w:hAnsi="Gill Sans MT"/>
        </w:rPr>
        <w:endnoteRef/>
      </w:r>
      <w:r w:rsidRPr="0014741B">
        <w:rPr>
          <w:rFonts w:ascii="Gill Sans MT" w:hAnsi="Gill Sans MT"/>
        </w:rPr>
        <w:t xml:space="preserve"> Australian Institute of Health and Welfare 201</w:t>
      </w:r>
      <w:r>
        <w:rPr>
          <w:rFonts w:ascii="Gill Sans MT" w:hAnsi="Gill Sans MT"/>
        </w:rPr>
        <w:t>8</w:t>
      </w:r>
      <w:r w:rsidRPr="0014741B">
        <w:rPr>
          <w:rFonts w:ascii="Gill Sans MT" w:hAnsi="Gill Sans MT"/>
        </w:rPr>
        <w:t>.</w:t>
      </w:r>
      <w:r>
        <w:rPr>
          <w:rFonts w:ascii="Gill Sans MT" w:hAnsi="Gill Sans MT"/>
        </w:rPr>
        <w:t xml:space="preserve"> </w:t>
      </w:r>
      <w:r w:rsidRPr="0014741B">
        <w:rPr>
          <w:rFonts w:ascii="Gill Sans MT" w:hAnsi="Gill Sans MT"/>
        </w:rPr>
        <w:t>Alcohol and other drug treatment services in Australia</w:t>
      </w:r>
      <w:r>
        <w:rPr>
          <w:rFonts w:ascii="Gill Sans MT" w:hAnsi="Gill Sans MT"/>
        </w:rPr>
        <w:t>:</w:t>
      </w:r>
      <w:r w:rsidRPr="0014741B">
        <w:rPr>
          <w:rFonts w:ascii="Gill Sans MT" w:hAnsi="Gill Sans MT"/>
        </w:rPr>
        <w:t xml:space="preserve"> 201</w:t>
      </w:r>
      <w:r>
        <w:rPr>
          <w:rFonts w:ascii="Gill Sans MT" w:hAnsi="Gill Sans MT"/>
        </w:rPr>
        <w:t>6</w:t>
      </w:r>
      <w:r w:rsidRPr="0014741B">
        <w:rPr>
          <w:rFonts w:ascii="Gill Sans MT" w:hAnsi="Gill Sans MT"/>
        </w:rPr>
        <w:t>-1</w:t>
      </w:r>
      <w:r>
        <w:rPr>
          <w:rFonts w:ascii="Gill Sans MT" w:hAnsi="Gill Sans MT"/>
        </w:rPr>
        <w:t>7</w:t>
      </w:r>
      <w:r w:rsidRPr="0014741B">
        <w:rPr>
          <w:rFonts w:ascii="Gill Sans MT" w:hAnsi="Gill Sans MT"/>
        </w:rPr>
        <w:t xml:space="preserve">. Drug treatment series no. </w:t>
      </w:r>
      <w:r>
        <w:rPr>
          <w:rFonts w:ascii="Gill Sans MT" w:hAnsi="Gill Sans MT"/>
        </w:rPr>
        <w:t>31</w:t>
      </w:r>
      <w:r w:rsidRPr="0014741B">
        <w:rPr>
          <w:rFonts w:ascii="Gill Sans MT" w:hAnsi="Gill Sans MT"/>
        </w:rPr>
        <w:t xml:space="preserve">. Cat. </w:t>
      </w:r>
      <w:r>
        <w:rPr>
          <w:rFonts w:ascii="Gill Sans MT" w:hAnsi="Gill Sans MT"/>
        </w:rPr>
        <w:t>n</w:t>
      </w:r>
      <w:r w:rsidRPr="0014741B">
        <w:rPr>
          <w:rFonts w:ascii="Gill Sans MT" w:hAnsi="Gill Sans MT"/>
        </w:rPr>
        <w:t>o. HSE</w:t>
      </w:r>
      <w:r>
        <w:rPr>
          <w:rFonts w:ascii="Gill Sans MT" w:hAnsi="Gill Sans MT"/>
        </w:rPr>
        <w:t xml:space="preserve"> 207</w:t>
      </w:r>
      <w:r w:rsidRPr="0014741B">
        <w:rPr>
          <w:rFonts w:ascii="Gill Sans MT" w:hAnsi="Gill Sans MT"/>
        </w:rPr>
        <w:t>. Canberra: AIHW.</w:t>
      </w:r>
    </w:p>
  </w:endnote>
  <w:endnote w:id="11">
    <w:p w14:paraId="5674D272" w14:textId="77777777" w:rsidR="00D46361" w:rsidRPr="00AD3799" w:rsidRDefault="00D46361" w:rsidP="00AE7195">
      <w:pPr>
        <w:pStyle w:val="EndnoteText"/>
        <w:spacing w:before="60" w:after="60"/>
        <w:rPr>
          <w:rFonts w:ascii="Gill Sans MT" w:hAnsi="Gill Sans MT"/>
          <w:lang w:val="en-AU"/>
        </w:rPr>
      </w:pPr>
      <w:r w:rsidRPr="00AD3799">
        <w:rPr>
          <w:rStyle w:val="EndnoteReference"/>
          <w:rFonts w:ascii="Gill Sans MT" w:hAnsi="Gill Sans MT"/>
        </w:rPr>
        <w:endnoteRef/>
      </w:r>
      <w:r w:rsidRPr="00AD3799">
        <w:rPr>
          <w:rFonts w:ascii="Gill Sans MT" w:hAnsi="Gill Sans MT"/>
        </w:rPr>
        <w:t xml:space="preserve"> </w:t>
      </w:r>
      <w:r>
        <w:rPr>
          <w:rFonts w:ascii="Gill Sans MT" w:hAnsi="Gill Sans MT"/>
        </w:rPr>
        <w:t>Australian Criminal Intelligence C</w:t>
      </w:r>
      <w:r w:rsidRPr="00AD3799">
        <w:rPr>
          <w:rFonts w:ascii="Gill Sans MT" w:hAnsi="Gill Sans MT"/>
        </w:rPr>
        <w:t>ommission</w:t>
      </w:r>
      <w:r>
        <w:rPr>
          <w:rFonts w:ascii="Gill Sans MT" w:hAnsi="Gill Sans MT"/>
        </w:rPr>
        <w:t xml:space="preserve"> 2018. National Wastewater Drug Monitoring Program Report 4, March 2018. </w:t>
      </w:r>
    </w:p>
  </w:endnote>
  <w:endnote w:id="12">
    <w:p w14:paraId="5ABA37E7" w14:textId="77777777" w:rsidR="00D46361" w:rsidRPr="0026666E" w:rsidRDefault="00D46361" w:rsidP="00AE7195">
      <w:pPr>
        <w:pStyle w:val="EndnoteText"/>
        <w:spacing w:before="60" w:after="60"/>
        <w:rPr>
          <w:rFonts w:ascii="Gill Sans MT" w:hAnsi="Gill Sans MT"/>
          <w:lang w:val="en-AU"/>
        </w:rPr>
      </w:pPr>
      <w:r w:rsidRPr="0026666E">
        <w:rPr>
          <w:rStyle w:val="EndnoteReference"/>
          <w:rFonts w:ascii="Gill Sans MT" w:hAnsi="Gill Sans MT"/>
        </w:rPr>
        <w:endnoteRef/>
      </w:r>
      <w:r w:rsidRPr="0026666E">
        <w:rPr>
          <w:rFonts w:ascii="Gill Sans MT" w:hAnsi="Gill Sans MT"/>
        </w:rPr>
        <w:t xml:space="preserve"> </w:t>
      </w:r>
      <w:r>
        <w:rPr>
          <w:rFonts w:ascii="Gill Sans MT" w:hAnsi="Gill Sans MT"/>
        </w:rPr>
        <w:t xml:space="preserve">AIHW, 2018. National opioid Pharmacotherapy Statistics Annual Data (NOPSAD) Collection.  Cat. No. HSE 199. Canberra: AIHW. </w:t>
      </w:r>
      <w:hyperlink r:id="rId3" w:history="1">
        <w:r w:rsidRPr="0006086D">
          <w:rPr>
            <w:rStyle w:val="Hyperlink"/>
            <w:rFonts w:ascii="Gill Sans MT" w:hAnsi="Gill Sans MT"/>
          </w:rPr>
          <w:t>https://www.aihw.gov.au/reports/alcohol-other-drug-treatment-services/nopsad-2017/contents/summary</w:t>
        </w:r>
      </w:hyperlink>
      <w:r>
        <w:rPr>
          <w:rFonts w:ascii="Gill Sans MT" w:hAnsi="Gill Sans M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illSans Light">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Sans">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190E" w14:textId="77777777" w:rsidR="00D46361" w:rsidRDefault="00D4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370991"/>
      <w:docPartObj>
        <w:docPartGallery w:val="Page Numbers (Bottom of Page)"/>
        <w:docPartUnique/>
      </w:docPartObj>
    </w:sdtPr>
    <w:sdtEndPr>
      <w:rPr>
        <w:noProof/>
      </w:rPr>
    </w:sdtEndPr>
    <w:sdtContent>
      <w:p w14:paraId="1651AD1E" w14:textId="77777777" w:rsidR="00D46361" w:rsidRDefault="00D4636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66B1317" w14:textId="77777777" w:rsidR="00D46361" w:rsidRDefault="00D46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DF28" w14:textId="77777777" w:rsidR="00D46361" w:rsidRDefault="00D4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B953" w14:textId="77777777" w:rsidR="00C310C7" w:rsidRDefault="00C310C7" w:rsidP="00C1339B">
      <w:pPr>
        <w:spacing w:after="0" w:line="240" w:lineRule="auto"/>
      </w:pPr>
      <w:r>
        <w:separator/>
      </w:r>
    </w:p>
  </w:footnote>
  <w:footnote w:type="continuationSeparator" w:id="0">
    <w:p w14:paraId="7318CC36" w14:textId="77777777" w:rsidR="00C310C7" w:rsidRDefault="00C310C7" w:rsidP="00C1339B">
      <w:pPr>
        <w:spacing w:after="0" w:line="240" w:lineRule="auto"/>
      </w:pPr>
      <w:r>
        <w:continuationSeparator/>
      </w:r>
    </w:p>
  </w:footnote>
  <w:footnote w:id="1">
    <w:p w14:paraId="0C14A501" w14:textId="77777777" w:rsidR="00D46361" w:rsidRPr="00036896" w:rsidRDefault="00D46361" w:rsidP="00FA76BC">
      <w:pPr>
        <w:spacing w:after="0" w:line="240" w:lineRule="auto"/>
        <w:rPr>
          <w:rFonts w:ascii="Gill Sans MT" w:hAnsi="Gill Sans MT" w:cs="Myriad Pro"/>
          <w:color w:val="000000"/>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w:t>
      </w:r>
      <w:r w:rsidRPr="00036896">
        <w:rPr>
          <w:rFonts w:ascii="Gill Sans MT" w:hAnsi="Gill Sans MT" w:cs="Myriad Pro"/>
          <w:color w:val="000000"/>
          <w:sz w:val="18"/>
          <w:szCs w:val="18"/>
        </w:rPr>
        <w:t>On a single occasion of drinking, the risk of alcohol-related injury increases with the amount consumed. For healthy men and women, drinking no more than four standard drinks on a single occasion reduces the risk of alcohol-related injury arising from that occasion. This report mainly presents the proportion of people exceeding the single occasion risk guidelines once a month or more often (at least monthly).</w:t>
      </w:r>
    </w:p>
  </w:footnote>
  <w:footnote w:id="2">
    <w:p w14:paraId="0F0AC855" w14:textId="77777777" w:rsidR="00D46361" w:rsidRPr="00036896" w:rsidRDefault="00D46361" w:rsidP="00F628F2">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Used at least 1 of 16 illicit drugs in 2016, noting the number and type of illicit drug used varied between 2010 and 2016.</w:t>
      </w:r>
    </w:p>
  </w:footnote>
  <w:footnote w:id="3">
    <w:p w14:paraId="2BB4201C" w14:textId="77777777" w:rsidR="00D46361" w:rsidRPr="00036896" w:rsidRDefault="00D46361" w:rsidP="00F628F2">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OTC refers to paracetamol, aspirin and other non-opioid over-the-counter (OTC) pain killers/analgesics.</w:t>
      </w:r>
    </w:p>
  </w:footnote>
  <w:footnote w:id="4">
    <w:p w14:paraId="3840AF59" w14:textId="77777777" w:rsidR="00D46361" w:rsidRPr="00036896" w:rsidRDefault="00D46361" w:rsidP="00F628F2">
      <w:pPr>
        <w:pStyle w:val="FootnoteText"/>
        <w:rPr>
          <w:rFonts w:ascii="Gill Sans MT" w:hAnsi="Gill Sans MT"/>
          <w:sz w:val="18"/>
          <w:szCs w:val="18"/>
        </w:rPr>
      </w:pPr>
      <w:r w:rsidRPr="00036896">
        <w:rPr>
          <w:rStyle w:val="FootnoteReference"/>
          <w:rFonts w:ascii="Gill Sans MT" w:hAnsi="Gill Sans MT"/>
          <w:sz w:val="18"/>
          <w:szCs w:val="18"/>
        </w:rPr>
        <w:footnoteRef/>
      </w:r>
      <w:r w:rsidRPr="00036896">
        <w:rPr>
          <w:rFonts w:ascii="Gill Sans MT" w:hAnsi="Gill Sans MT"/>
          <w:sz w:val="18"/>
          <w:szCs w:val="18"/>
        </w:rPr>
        <w:t xml:space="preserve"> Estimate has a relative standard error of 25 to 50 per cent and should be used with caution.</w:t>
      </w:r>
    </w:p>
  </w:footnote>
  <w:footnote w:id="5">
    <w:p w14:paraId="2493AB02" w14:textId="77777777" w:rsidR="00D46361" w:rsidRPr="0022621B" w:rsidRDefault="00D46361">
      <w:pPr>
        <w:pStyle w:val="FootnoteText"/>
        <w:rPr>
          <w:rFonts w:ascii="Gill Sans MT" w:hAnsi="Gill Sans MT"/>
        </w:rPr>
      </w:pPr>
      <w:r w:rsidRPr="0022621B">
        <w:rPr>
          <w:rStyle w:val="FootnoteReference"/>
          <w:rFonts w:ascii="Gill Sans MT" w:hAnsi="Gill Sans MT"/>
        </w:rPr>
        <w:footnoteRef/>
      </w:r>
      <w:r w:rsidRPr="0022621B">
        <w:rPr>
          <w:rFonts w:ascii="Gill Sans MT" w:hAnsi="Gill Sans MT"/>
        </w:rPr>
        <w:t xml:space="preserve"> </w:t>
      </w:r>
      <w:r w:rsidRPr="0022621B">
        <w:rPr>
          <w:rFonts w:ascii="Gill Sans MT" w:eastAsia="Times New Roman" w:hAnsi="Gill Sans MT"/>
        </w:rPr>
        <w:t xml:space="preserve">Deaths are considered “drug induced” if directly attributable to drug use. </w:t>
      </w:r>
      <w:r w:rsidRPr="00062B52">
        <w:rPr>
          <w:rFonts w:ascii="Gill Sans MT" w:eastAsia="Times New Roman" w:hAnsi="Gill Sans MT"/>
        </w:rPr>
        <w:t>Deaths can be directly attributable to drug abuse such as overdoses, or deaths can occur where a drug is found to be a contributory factor such as a traffic accident where</w:t>
      </w:r>
      <w:r w:rsidRPr="0022621B">
        <w:rPr>
          <w:rFonts w:ascii="Gill Sans MT" w:eastAsia="Times New Roman" w:hAnsi="Gill Sans MT"/>
        </w:rPr>
        <w:t xml:space="preserve"> the deceased was found to be under the influence of a substance at time of death. The majority of drug induced deaths in 2016 </w:t>
      </w:r>
      <w:r>
        <w:rPr>
          <w:rFonts w:ascii="Gill Sans MT" w:eastAsia="Times New Roman" w:hAnsi="Gill Sans MT"/>
        </w:rPr>
        <w:t xml:space="preserve">nationally </w:t>
      </w:r>
      <w:r w:rsidRPr="0022621B">
        <w:rPr>
          <w:rFonts w:ascii="Gill Sans MT" w:eastAsia="Times New Roman" w:hAnsi="Gill Sans MT"/>
        </w:rPr>
        <w:t xml:space="preserve">were due to acute accidental overdoses (71.3%), followed by suicidal overdoses (22.7%). Other types of drug deaths, including addictions and chronic complications of drug abuse as well as homicide and undetermined intent accounted for the remaining 6.0%. </w:t>
      </w:r>
      <w:r w:rsidRPr="0022621B">
        <w:rPr>
          <w:rFonts w:ascii="Gill Sans MT" w:eastAsia="Times New Roman" w:hAnsi="Gill Sans MT"/>
        </w:rPr>
        <w:br/>
      </w:r>
      <w:r w:rsidRPr="0022621B">
        <w:rPr>
          <w:rFonts w:ascii="Gill Sans MT" w:eastAsia="Times New Roman" w:hAnsi="Gill Sans MT"/>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D0B0" w14:textId="3514A89F" w:rsidR="00D46361" w:rsidRDefault="00D4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5913" w14:textId="7495AFAE" w:rsidR="00D46361" w:rsidRDefault="00D46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F5FC" w14:textId="5BADC969" w:rsidR="00D46361" w:rsidRDefault="00D4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F0A24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0729A7"/>
    <w:multiLevelType w:val="hybridMultilevel"/>
    <w:tmpl w:val="2A961DE8"/>
    <w:lvl w:ilvl="0" w:tplc="B406CC28">
      <w:numFmt w:val="bullet"/>
      <w:lvlText w:val="-"/>
      <w:lvlJc w:val="left"/>
      <w:pPr>
        <w:ind w:left="714" w:hanging="360"/>
      </w:pPr>
      <w:rPr>
        <w:rFonts w:ascii="Gill Sans MT" w:eastAsia="Times New Roman" w:hAnsi="Gill Sans MT" w:cs="Times New Roman"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2" w15:restartNumberingAfterBreak="0">
    <w:nsid w:val="064D776C"/>
    <w:multiLevelType w:val="hybridMultilevel"/>
    <w:tmpl w:val="69B4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45218"/>
    <w:multiLevelType w:val="hybridMultilevel"/>
    <w:tmpl w:val="5CE6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639A92DC"/>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59411CA"/>
    <w:multiLevelType w:val="hybridMultilevel"/>
    <w:tmpl w:val="56CC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CD745A"/>
    <w:multiLevelType w:val="hybridMultilevel"/>
    <w:tmpl w:val="ED324CE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F126A"/>
    <w:multiLevelType w:val="hybridMultilevel"/>
    <w:tmpl w:val="569638B0"/>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433D4CF8"/>
    <w:multiLevelType w:val="hybridMultilevel"/>
    <w:tmpl w:val="0A48D182"/>
    <w:lvl w:ilvl="0" w:tplc="0C090003">
      <w:start w:val="1"/>
      <w:numFmt w:val="bullet"/>
      <w:lvlText w:val="o"/>
      <w:lvlJc w:val="left"/>
      <w:pPr>
        <w:ind w:left="458" w:hanging="360"/>
      </w:pPr>
      <w:rPr>
        <w:rFonts w:ascii="Courier New" w:hAnsi="Courier New" w:cs="Courier New" w:hint="default"/>
      </w:rPr>
    </w:lvl>
    <w:lvl w:ilvl="1" w:tplc="0C090003" w:tentative="1">
      <w:start w:val="1"/>
      <w:numFmt w:val="bullet"/>
      <w:lvlText w:val="o"/>
      <w:lvlJc w:val="left"/>
      <w:pPr>
        <w:ind w:left="1178" w:hanging="360"/>
      </w:pPr>
      <w:rPr>
        <w:rFonts w:ascii="Courier New" w:hAnsi="Courier New" w:cs="Courier New" w:hint="default"/>
      </w:rPr>
    </w:lvl>
    <w:lvl w:ilvl="2" w:tplc="0C090005" w:tentative="1">
      <w:start w:val="1"/>
      <w:numFmt w:val="bullet"/>
      <w:lvlText w:val=""/>
      <w:lvlJc w:val="left"/>
      <w:pPr>
        <w:ind w:left="1898" w:hanging="360"/>
      </w:pPr>
      <w:rPr>
        <w:rFonts w:ascii="Wingdings" w:hAnsi="Wingdings" w:hint="default"/>
      </w:rPr>
    </w:lvl>
    <w:lvl w:ilvl="3" w:tplc="0C090001" w:tentative="1">
      <w:start w:val="1"/>
      <w:numFmt w:val="bullet"/>
      <w:lvlText w:val=""/>
      <w:lvlJc w:val="left"/>
      <w:pPr>
        <w:ind w:left="2618" w:hanging="360"/>
      </w:pPr>
      <w:rPr>
        <w:rFonts w:ascii="Symbol" w:hAnsi="Symbol" w:hint="default"/>
      </w:rPr>
    </w:lvl>
    <w:lvl w:ilvl="4" w:tplc="0C090003" w:tentative="1">
      <w:start w:val="1"/>
      <w:numFmt w:val="bullet"/>
      <w:lvlText w:val="o"/>
      <w:lvlJc w:val="left"/>
      <w:pPr>
        <w:ind w:left="3338" w:hanging="360"/>
      </w:pPr>
      <w:rPr>
        <w:rFonts w:ascii="Courier New" w:hAnsi="Courier New" w:cs="Courier New" w:hint="default"/>
      </w:rPr>
    </w:lvl>
    <w:lvl w:ilvl="5" w:tplc="0C090005" w:tentative="1">
      <w:start w:val="1"/>
      <w:numFmt w:val="bullet"/>
      <w:lvlText w:val=""/>
      <w:lvlJc w:val="left"/>
      <w:pPr>
        <w:ind w:left="4058" w:hanging="360"/>
      </w:pPr>
      <w:rPr>
        <w:rFonts w:ascii="Wingdings" w:hAnsi="Wingdings" w:hint="default"/>
      </w:rPr>
    </w:lvl>
    <w:lvl w:ilvl="6" w:tplc="0C090001" w:tentative="1">
      <w:start w:val="1"/>
      <w:numFmt w:val="bullet"/>
      <w:lvlText w:val=""/>
      <w:lvlJc w:val="left"/>
      <w:pPr>
        <w:ind w:left="4778" w:hanging="360"/>
      </w:pPr>
      <w:rPr>
        <w:rFonts w:ascii="Symbol" w:hAnsi="Symbol" w:hint="default"/>
      </w:rPr>
    </w:lvl>
    <w:lvl w:ilvl="7" w:tplc="0C090003" w:tentative="1">
      <w:start w:val="1"/>
      <w:numFmt w:val="bullet"/>
      <w:lvlText w:val="o"/>
      <w:lvlJc w:val="left"/>
      <w:pPr>
        <w:ind w:left="5498" w:hanging="360"/>
      </w:pPr>
      <w:rPr>
        <w:rFonts w:ascii="Courier New" w:hAnsi="Courier New" w:cs="Courier New" w:hint="default"/>
      </w:rPr>
    </w:lvl>
    <w:lvl w:ilvl="8" w:tplc="0C090005" w:tentative="1">
      <w:start w:val="1"/>
      <w:numFmt w:val="bullet"/>
      <w:lvlText w:val=""/>
      <w:lvlJc w:val="left"/>
      <w:pPr>
        <w:ind w:left="6218" w:hanging="360"/>
      </w:pPr>
      <w:rPr>
        <w:rFonts w:ascii="Wingdings" w:hAnsi="Wingdings" w:hint="default"/>
      </w:rPr>
    </w:lvl>
  </w:abstractNum>
  <w:abstractNum w:abstractNumId="9" w15:restartNumberingAfterBreak="0">
    <w:nsid w:val="46C7087D"/>
    <w:multiLevelType w:val="hybridMultilevel"/>
    <w:tmpl w:val="9F76087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48A062FA"/>
    <w:multiLevelType w:val="hybridMultilevel"/>
    <w:tmpl w:val="C122DBE0"/>
    <w:lvl w:ilvl="0" w:tplc="B406CC28">
      <w:numFmt w:val="bullet"/>
      <w:lvlText w:val="-"/>
      <w:lvlJc w:val="left"/>
      <w:pPr>
        <w:ind w:left="927" w:hanging="360"/>
      </w:pPr>
      <w:rPr>
        <w:rFonts w:ascii="Gill Sans MT" w:eastAsia="Times New Roman" w:hAnsi="Gill Sans MT"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4E7A7214"/>
    <w:multiLevelType w:val="hybridMultilevel"/>
    <w:tmpl w:val="041E2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F502D1"/>
    <w:multiLevelType w:val="hybridMultilevel"/>
    <w:tmpl w:val="A67E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210047"/>
    <w:multiLevelType w:val="hybridMultilevel"/>
    <w:tmpl w:val="ACB641A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EA420B"/>
    <w:multiLevelType w:val="hybridMultilevel"/>
    <w:tmpl w:val="A96281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0A11F3"/>
    <w:multiLevelType w:val="hybridMultilevel"/>
    <w:tmpl w:val="9AF6468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73C4685A"/>
    <w:multiLevelType w:val="hybridMultilevel"/>
    <w:tmpl w:val="111812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3"/>
  </w:num>
  <w:num w:numId="2">
    <w:abstractNumId w:val="4"/>
  </w:num>
  <w:num w:numId="3">
    <w:abstractNumId w:val="12"/>
  </w:num>
  <w:num w:numId="4">
    <w:abstractNumId w:val="11"/>
  </w:num>
  <w:num w:numId="5">
    <w:abstractNumId w:val="5"/>
  </w:num>
  <w:num w:numId="6">
    <w:abstractNumId w:val="6"/>
  </w:num>
  <w:num w:numId="7">
    <w:abstractNumId w:val="0"/>
  </w:num>
  <w:num w:numId="8">
    <w:abstractNumId w:val="13"/>
  </w:num>
  <w:num w:numId="9">
    <w:abstractNumId w:val="17"/>
  </w:num>
  <w:num w:numId="10">
    <w:abstractNumId w:val="2"/>
  </w:num>
  <w:num w:numId="11">
    <w:abstractNumId w:val="10"/>
  </w:num>
  <w:num w:numId="12">
    <w:abstractNumId w:val="8"/>
  </w:num>
  <w:num w:numId="13">
    <w:abstractNumId w:val="14"/>
  </w:num>
  <w:num w:numId="14">
    <w:abstractNumId w:val="1"/>
  </w:num>
  <w:num w:numId="15">
    <w:abstractNumId w:val="7"/>
  </w:num>
  <w:num w:numId="16">
    <w:abstractNumId w:val="9"/>
  </w:num>
  <w:num w:numId="17">
    <w:abstractNumId w:val="16"/>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F"/>
    <w:rsid w:val="00000B84"/>
    <w:rsid w:val="00002B0D"/>
    <w:rsid w:val="000056D4"/>
    <w:rsid w:val="00012B94"/>
    <w:rsid w:val="00034EB9"/>
    <w:rsid w:val="00036896"/>
    <w:rsid w:val="000417BB"/>
    <w:rsid w:val="00045AAC"/>
    <w:rsid w:val="0006112E"/>
    <w:rsid w:val="00062B52"/>
    <w:rsid w:val="000633FC"/>
    <w:rsid w:val="00064049"/>
    <w:rsid w:val="00065264"/>
    <w:rsid w:val="00066936"/>
    <w:rsid w:val="00070FF0"/>
    <w:rsid w:val="000727CB"/>
    <w:rsid w:val="0007676C"/>
    <w:rsid w:val="00083301"/>
    <w:rsid w:val="00086C9B"/>
    <w:rsid w:val="000943EC"/>
    <w:rsid w:val="00097D86"/>
    <w:rsid w:val="000A2DAC"/>
    <w:rsid w:val="000A337B"/>
    <w:rsid w:val="000B5E97"/>
    <w:rsid w:val="000C4018"/>
    <w:rsid w:val="000C62D2"/>
    <w:rsid w:val="000D0E38"/>
    <w:rsid w:val="000E052A"/>
    <w:rsid w:val="000E2E6B"/>
    <w:rsid w:val="000E3BFD"/>
    <w:rsid w:val="000E4A28"/>
    <w:rsid w:val="000F30CD"/>
    <w:rsid w:val="000F5CF3"/>
    <w:rsid w:val="000F71BF"/>
    <w:rsid w:val="00107FB6"/>
    <w:rsid w:val="00116BB5"/>
    <w:rsid w:val="00121FDC"/>
    <w:rsid w:val="001256FC"/>
    <w:rsid w:val="00127840"/>
    <w:rsid w:val="001334C6"/>
    <w:rsid w:val="001350B1"/>
    <w:rsid w:val="00137789"/>
    <w:rsid w:val="00143C7A"/>
    <w:rsid w:val="00145F8A"/>
    <w:rsid w:val="0014741B"/>
    <w:rsid w:val="001476DF"/>
    <w:rsid w:val="00152E0A"/>
    <w:rsid w:val="001543C7"/>
    <w:rsid w:val="0015449E"/>
    <w:rsid w:val="00156AC8"/>
    <w:rsid w:val="00160761"/>
    <w:rsid w:val="00165218"/>
    <w:rsid w:val="00170376"/>
    <w:rsid w:val="001711E6"/>
    <w:rsid w:val="00175DA9"/>
    <w:rsid w:val="00185E16"/>
    <w:rsid w:val="00190109"/>
    <w:rsid w:val="00190E9E"/>
    <w:rsid w:val="00197DD5"/>
    <w:rsid w:val="001A3FAE"/>
    <w:rsid w:val="001A4B11"/>
    <w:rsid w:val="001A5DDA"/>
    <w:rsid w:val="001B155D"/>
    <w:rsid w:val="001B1C07"/>
    <w:rsid w:val="001B59AF"/>
    <w:rsid w:val="001C76F2"/>
    <w:rsid w:val="001D3448"/>
    <w:rsid w:val="001E465A"/>
    <w:rsid w:val="001E6319"/>
    <w:rsid w:val="001F5AD5"/>
    <w:rsid w:val="001F6836"/>
    <w:rsid w:val="001F6B8E"/>
    <w:rsid w:val="00204862"/>
    <w:rsid w:val="00207486"/>
    <w:rsid w:val="00223B87"/>
    <w:rsid w:val="0022551A"/>
    <w:rsid w:val="0022621B"/>
    <w:rsid w:val="00232CBB"/>
    <w:rsid w:val="002332AB"/>
    <w:rsid w:val="002356CA"/>
    <w:rsid w:val="002358AD"/>
    <w:rsid w:val="0024054B"/>
    <w:rsid w:val="00242577"/>
    <w:rsid w:val="00246385"/>
    <w:rsid w:val="002510E6"/>
    <w:rsid w:val="00253AC6"/>
    <w:rsid w:val="0026666E"/>
    <w:rsid w:val="00272EEC"/>
    <w:rsid w:val="00275346"/>
    <w:rsid w:val="0028182A"/>
    <w:rsid w:val="00282F6C"/>
    <w:rsid w:val="002855BE"/>
    <w:rsid w:val="00286DDE"/>
    <w:rsid w:val="00290A87"/>
    <w:rsid w:val="002922E7"/>
    <w:rsid w:val="002B00CC"/>
    <w:rsid w:val="002B09B7"/>
    <w:rsid w:val="002B793F"/>
    <w:rsid w:val="002C11F8"/>
    <w:rsid w:val="002C482D"/>
    <w:rsid w:val="002C73CF"/>
    <w:rsid w:val="002D3EEA"/>
    <w:rsid w:val="002D610F"/>
    <w:rsid w:val="002E3F06"/>
    <w:rsid w:val="002E78AD"/>
    <w:rsid w:val="00313774"/>
    <w:rsid w:val="00314211"/>
    <w:rsid w:val="00316683"/>
    <w:rsid w:val="0032151F"/>
    <w:rsid w:val="003253B1"/>
    <w:rsid w:val="00326F87"/>
    <w:rsid w:val="003301F7"/>
    <w:rsid w:val="003305B4"/>
    <w:rsid w:val="00330CA3"/>
    <w:rsid w:val="00331B29"/>
    <w:rsid w:val="003474A0"/>
    <w:rsid w:val="003637E1"/>
    <w:rsid w:val="00366956"/>
    <w:rsid w:val="00372257"/>
    <w:rsid w:val="00373358"/>
    <w:rsid w:val="003759CA"/>
    <w:rsid w:val="00382100"/>
    <w:rsid w:val="003822D5"/>
    <w:rsid w:val="00386EBD"/>
    <w:rsid w:val="00391DA4"/>
    <w:rsid w:val="003A218E"/>
    <w:rsid w:val="003A6FC0"/>
    <w:rsid w:val="003A762A"/>
    <w:rsid w:val="003B5617"/>
    <w:rsid w:val="003C3C89"/>
    <w:rsid w:val="003D67E0"/>
    <w:rsid w:val="003E2E45"/>
    <w:rsid w:val="003F1969"/>
    <w:rsid w:val="00400A86"/>
    <w:rsid w:val="00412A38"/>
    <w:rsid w:val="004159F7"/>
    <w:rsid w:val="00417507"/>
    <w:rsid w:val="0041794E"/>
    <w:rsid w:val="00425A3D"/>
    <w:rsid w:val="00426873"/>
    <w:rsid w:val="004331BC"/>
    <w:rsid w:val="0043360C"/>
    <w:rsid w:val="004372E8"/>
    <w:rsid w:val="0043763B"/>
    <w:rsid w:val="00440FE8"/>
    <w:rsid w:val="00441107"/>
    <w:rsid w:val="00442D30"/>
    <w:rsid w:val="0044474D"/>
    <w:rsid w:val="00446F22"/>
    <w:rsid w:val="004553E9"/>
    <w:rsid w:val="004640C5"/>
    <w:rsid w:val="00464A7E"/>
    <w:rsid w:val="00471A07"/>
    <w:rsid w:val="00485B5E"/>
    <w:rsid w:val="00490147"/>
    <w:rsid w:val="004907F0"/>
    <w:rsid w:val="0049108C"/>
    <w:rsid w:val="0049378C"/>
    <w:rsid w:val="004A1021"/>
    <w:rsid w:val="004A14D2"/>
    <w:rsid w:val="004B1663"/>
    <w:rsid w:val="004B2C5F"/>
    <w:rsid w:val="004D2930"/>
    <w:rsid w:val="004D3D2C"/>
    <w:rsid w:val="004D4D80"/>
    <w:rsid w:val="004D6397"/>
    <w:rsid w:val="004E72A7"/>
    <w:rsid w:val="004F4BCD"/>
    <w:rsid w:val="005040CD"/>
    <w:rsid w:val="00515EB8"/>
    <w:rsid w:val="00521502"/>
    <w:rsid w:val="00524B3B"/>
    <w:rsid w:val="00527C58"/>
    <w:rsid w:val="005340A9"/>
    <w:rsid w:val="00544043"/>
    <w:rsid w:val="005440A4"/>
    <w:rsid w:val="00545CB5"/>
    <w:rsid w:val="0054784B"/>
    <w:rsid w:val="00555C98"/>
    <w:rsid w:val="00567604"/>
    <w:rsid w:val="00570915"/>
    <w:rsid w:val="0058164F"/>
    <w:rsid w:val="00582819"/>
    <w:rsid w:val="00586B87"/>
    <w:rsid w:val="0059039B"/>
    <w:rsid w:val="00591C92"/>
    <w:rsid w:val="005A6066"/>
    <w:rsid w:val="005A6217"/>
    <w:rsid w:val="005A6533"/>
    <w:rsid w:val="005A741A"/>
    <w:rsid w:val="005C3332"/>
    <w:rsid w:val="005D0F96"/>
    <w:rsid w:val="005D55B9"/>
    <w:rsid w:val="005D5D81"/>
    <w:rsid w:val="005F1387"/>
    <w:rsid w:val="005F1D37"/>
    <w:rsid w:val="005F2956"/>
    <w:rsid w:val="005F3117"/>
    <w:rsid w:val="005F44E1"/>
    <w:rsid w:val="005F5F5C"/>
    <w:rsid w:val="00607E3C"/>
    <w:rsid w:val="006116C0"/>
    <w:rsid w:val="00613B49"/>
    <w:rsid w:val="00613F52"/>
    <w:rsid w:val="00624763"/>
    <w:rsid w:val="00624C85"/>
    <w:rsid w:val="00626E73"/>
    <w:rsid w:val="00630F4D"/>
    <w:rsid w:val="00637188"/>
    <w:rsid w:val="0064052A"/>
    <w:rsid w:val="00640B4B"/>
    <w:rsid w:val="00641972"/>
    <w:rsid w:val="00646B1F"/>
    <w:rsid w:val="00652412"/>
    <w:rsid w:val="00653BC4"/>
    <w:rsid w:val="00657ABD"/>
    <w:rsid w:val="00660CA3"/>
    <w:rsid w:val="00672CE9"/>
    <w:rsid w:val="0068243C"/>
    <w:rsid w:val="00687739"/>
    <w:rsid w:val="006926C1"/>
    <w:rsid w:val="00693155"/>
    <w:rsid w:val="006A0842"/>
    <w:rsid w:val="006A706F"/>
    <w:rsid w:val="006B0DC3"/>
    <w:rsid w:val="006C3835"/>
    <w:rsid w:val="006C4C4E"/>
    <w:rsid w:val="006C7E79"/>
    <w:rsid w:val="006C7F59"/>
    <w:rsid w:val="006D24A1"/>
    <w:rsid w:val="006D4DB0"/>
    <w:rsid w:val="006E1D43"/>
    <w:rsid w:val="006E1F91"/>
    <w:rsid w:val="006E5D7A"/>
    <w:rsid w:val="006F6E65"/>
    <w:rsid w:val="0071047C"/>
    <w:rsid w:val="00712646"/>
    <w:rsid w:val="00713BB7"/>
    <w:rsid w:val="00714039"/>
    <w:rsid w:val="007226C7"/>
    <w:rsid w:val="00722832"/>
    <w:rsid w:val="007321E5"/>
    <w:rsid w:val="007324B3"/>
    <w:rsid w:val="00733CCC"/>
    <w:rsid w:val="00734485"/>
    <w:rsid w:val="00736957"/>
    <w:rsid w:val="0074016B"/>
    <w:rsid w:val="0074675E"/>
    <w:rsid w:val="007467E3"/>
    <w:rsid w:val="0076067F"/>
    <w:rsid w:val="00761822"/>
    <w:rsid w:val="0077696E"/>
    <w:rsid w:val="00780021"/>
    <w:rsid w:val="007810EA"/>
    <w:rsid w:val="00785675"/>
    <w:rsid w:val="00790DF7"/>
    <w:rsid w:val="007940C5"/>
    <w:rsid w:val="007948EE"/>
    <w:rsid w:val="007A0307"/>
    <w:rsid w:val="007B0AC9"/>
    <w:rsid w:val="007B1B9A"/>
    <w:rsid w:val="007C4B57"/>
    <w:rsid w:val="007C6DD1"/>
    <w:rsid w:val="007D07CF"/>
    <w:rsid w:val="007D4F51"/>
    <w:rsid w:val="007D5541"/>
    <w:rsid w:val="007D5658"/>
    <w:rsid w:val="007D724D"/>
    <w:rsid w:val="007E41F6"/>
    <w:rsid w:val="007E48F2"/>
    <w:rsid w:val="007E606C"/>
    <w:rsid w:val="007F3D75"/>
    <w:rsid w:val="007F56B2"/>
    <w:rsid w:val="00801D53"/>
    <w:rsid w:val="00812D78"/>
    <w:rsid w:val="00813E39"/>
    <w:rsid w:val="00825DAE"/>
    <w:rsid w:val="00832B3C"/>
    <w:rsid w:val="00833291"/>
    <w:rsid w:val="00834EBD"/>
    <w:rsid w:val="008437B4"/>
    <w:rsid w:val="00850773"/>
    <w:rsid w:val="00851919"/>
    <w:rsid w:val="00853754"/>
    <w:rsid w:val="0085458F"/>
    <w:rsid w:val="00856EFD"/>
    <w:rsid w:val="0088568B"/>
    <w:rsid w:val="00885908"/>
    <w:rsid w:val="00895A72"/>
    <w:rsid w:val="008A0CE8"/>
    <w:rsid w:val="008A2B80"/>
    <w:rsid w:val="008B2E33"/>
    <w:rsid w:val="008C6603"/>
    <w:rsid w:val="008E04EF"/>
    <w:rsid w:val="008E0E43"/>
    <w:rsid w:val="008E20C0"/>
    <w:rsid w:val="008F1E37"/>
    <w:rsid w:val="008F7C89"/>
    <w:rsid w:val="008F7E07"/>
    <w:rsid w:val="00901B51"/>
    <w:rsid w:val="00905BF9"/>
    <w:rsid w:val="00915F9B"/>
    <w:rsid w:val="00925BEA"/>
    <w:rsid w:val="00925C62"/>
    <w:rsid w:val="00927316"/>
    <w:rsid w:val="00930FED"/>
    <w:rsid w:val="00932F92"/>
    <w:rsid w:val="009370F3"/>
    <w:rsid w:val="009415D5"/>
    <w:rsid w:val="00941A19"/>
    <w:rsid w:val="0095605C"/>
    <w:rsid w:val="00965ADF"/>
    <w:rsid w:val="009711B3"/>
    <w:rsid w:val="00972C89"/>
    <w:rsid w:val="00974BF2"/>
    <w:rsid w:val="0098355E"/>
    <w:rsid w:val="00985773"/>
    <w:rsid w:val="009A12B8"/>
    <w:rsid w:val="009A48C1"/>
    <w:rsid w:val="009A5B46"/>
    <w:rsid w:val="009A5B4F"/>
    <w:rsid w:val="009B00BE"/>
    <w:rsid w:val="009B5A4B"/>
    <w:rsid w:val="009C066A"/>
    <w:rsid w:val="009C25AD"/>
    <w:rsid w:val="009F656B"/>
    <w:rsid w:val="009F6CA6"/>
    <w:rsid w:val="00A012AF"/>
    <w:rsid w:val="00A02B15"/>
    <w:rsid w:val="00A032A5"/>
    <w:rsid w:val="00A0762E"/>
    <w:rsid w:val="00A21722"/>
    <w:rsid w:val="00A31C4F"/>
    <w:rsid w:val="00A414CB"/>
    <w:rsid w:val="00A4592A"/>
    <w:rsid w:val="00A517DE"/>
    <w:rsid w:val="00A557A8"/>
    <w:rsid w:val="00A5646C"/>
    <w:rsid w:val="00A5669D"/>
    <w:rsid w:val="00A65C4C"/>
    <w:rsid w:val="00A66EEB"/>
    <w:rsid w:val="00A730B7"/>
    <w:rsid w:val="00A870C9"/>
    <w:rsid w:val="00A925E7"/>
    <w:rsid w:val="00A941F5"/>
    <w:rsid w:val="00AA04A1"/>
    <w:rsid w:val="00AA424A"/>
    <w:rsid w:val="00AC19B4"/>
    <w:rsid w:val="00AC291B"/>
    <w:rsid w:val="00AD1E44"/>
    <w:rsid w:val="00AD3799"/>
    <w:rsid w:val="00AD623E"/>
    <w:rsid w:val="00AD72A5"/>
    <w:rsid w:val="00AE7195"/>
    <w:rsid w:val="00AF0FAC"/>
    <w:rsid w:val="00AF31AB"/>
    <w:rsid w:val="00AF46CF"/>
    <w:rsid w:val="00AF4F98"/>
    <w:rsid w:val="00AF78E9"/>
    <w:rsid w:val="00B02B20"/>
    <w:rsid w:val="00B10EAF"/>
    <w:rsid w:val="00B233EC"/>
    <w:rsid w:val="00B26C94"/>
    <w:rsid w:val="00B31D37"/>
    <w:rsid w:val="00B32BCF"/>
    <w:rsid w:val="00B33A80"/>
    <w:rsid w:val="00B3687C"/>
    <w:rsid w:val="00B46215"/>
    <w:rsid w:val="00B474E7"/>
    <w:rsid w:val="00B51AD1"/>
    <w:rsid w:val="00B55BF2"/>
    <w:rsid w:val="00B57A1A"/>
    <w:rsid w:val="00B6399B"/>
    <w:rsid w:val="00B72B95"/>
    <w:rsid w:val="00B76193"/>
    <w:rsid w:val="00B871B3"/>
    <w:rsid w:val="00B95FF4"/>
    <w:rsid w:val="00BA0075"/>
    <w:rsid w:val="00BA0153"/>
    <w:rsid w:val="00BA0B27"/>
    <w:rsid w:val="00BA25ED"/>
    <w:rsid w:val="00BA3AEB"/>
    <w:rsid w:val="00BA40A7"/>
    <w:rsid w:val="00BA55E7"/>
    <w:rsid w:val="00BB51AC"/>
    <w:rsid w:val="00BB799A"/>
    <w:rsid w:val="00BB7B3F"/>
    <w:rsid w:val="00BC1308"/>
    <w:rsid w:val="00BC173B"/>
    <w:rsid w:val="00BC62E1"/>
    <w:rsid w:val="00BD4FE4"/>
    <w:rsid w:val="00BD5233"/>
    <w:rsid w:val="00BE09DF"/>
    <w:rsid w:val="00BE68A6"/>
    <w:rsid w:val="00BF0875"/>
    <w:rsid w:val="00BF10C8"/>
    <w:rsid w:val="00BF113A"/>
    <w:rsid w:val="00BF6297"/>
    <w:rsid w:val="00C03CC7"/>
    <w:rsid w:val="00C10F7D"/>
    <w:rsid w:val="00C1263B"/>
    <w:rsid w:val="00C1339B"/>
    <w:rsid w:val="00C2312F"/>
    <w:rsid w:val="00C26CF1"/>
    <w:rsid w:val="00C3085C"/>
    <w:rsid w:val="00C310C7"/>
    <w:rsid w:val="00C31839"/>
    <w:rsid w:val="00C3293F"/>
    <w:rsid w:val="00C373FF"/>
    <w:rsid w:val="00C4079F"/>
    <w:rsid w:val="00C46D32"/>
    <w:rsid w:val="00C52F88"/>
    <w:rsid w:val="00C5778C"/>
    <w:rsid w:val="00C65080"/>
    <w:rsid w:val="00C658A8"/>
    <w:rsid w:val="00C75E71"/>
    <w:rsid w:val="00C7736A"/>
    <w:rsid w:val="00C816B8"/>
    <w:rsid w:val="00C8742F"/>
    <w:rsid w:val="00C92870"/>
    <w:rsid w:val="00C93050"/>
    <w:rsid w:val="00C9331A"/>
    <w:rsid w:val="00C946C7"/>
    <w:rsid w:val="00C97B7B"/>
    <w:rsid w:val="00C97C1F"/>
    <w:rsid w:val="00C97FC9"/>
    <w:rsid w:val="00CA0630"/>
    <w:rsid w:val="00CA5D3F"/>
    <w:rsid w:val="00CA6256"/>
    <w:rsid w:val="00CB08F1"/>
    <w:rsid w:val="00CB1458"/>
    <w:rsid w:val="00CB3F0C"/>
    <w:rsid w:val="00CB6396"/>
    <w:rsid w:val="00CC46F6"/>
    <w:rsid w:val="00CC49B3"/>
    <w:rsid w:val="00CD4EDD"/>
    <w:rsid w:val="00CD5C7F"/>
    <w:rsid w:val="00CF0049"/>
    <w:rsid w:val="00CF11A8"/>
    <w:rsid w:val="00D0176F"/>
    <w:rsid w:val="00D034DA"/>
    <w:rsid w:val="00D13850"/>
    <w:rsid w:val="00D154C6"/>
    <w:rsid w:val="00D15DF6"/>
    <w:rsid w:val="00D224DB"/>
    <w:rsid w:val="00D242AA"/>
    <w:rsid w:val="00D30969"/>
    <w:rsid w:val="00D325FC"/>
    <w:rsid w:val="00D42B4E"/>
    <w:rsid w:val="00D46295"/>
    <w:rsid w:val="00D46361"/>
    <w:rsid w:val="00D57F62"/>
    <w:rsid w:val="00D77DC3"/>
    <w:rsid w:val="00D829ED"/>
    <w:rsid w:val="00D84D25"/>
    <w:rsid w:val="00D85DA0"/>
    <w:rsid w:val="00D877D9"/>
    <w:rsid w:val="00D90A37"/>
    <w:rsid w:val="00D93867"/>
    <w:rsid w:val="00D95057"/>
    <w:rsid w:val="00D96144"/>
    <w:rsid w:val="00D9795D"/>
    <w:rsid w:val="00DA3FB0"/>
    <w:rsid w:val="00DA7AA2"/>
    <w:rsid w:val="00DB19A5"/>
    <w:rsid w:val="00DB3746"/>
    <w:rsid w:val="00DB3C3D"/>
    <w:rsid w:val="00DB569B"/>
    <w:rsid w:val="00DB6DFF"/>
    <w:rsid w:val="00DB6FF2"/>
    <w:rsid w:val="00DD53FD"/>
    <w:rsid w:val="00DE21F5"/>
    <w:rsid w:val="00DE4C9F"/>
    <w:rsid w:val="00DF1787"/>
    <w:rsid w:val="00DF1DB3"/>
    <w:rsid w:val="00E01D31"/>
    <w:rsid w:val="00E0637B"/>
    <w:rsid w:val="00E06E41"/>
    <w:rsid w:val="00E15F93"/>
    <w:rsid w:val="00E35976"/>
    <w:rsid w:val="00E3716F"/>
    <w:rsid w:val="00E37AD5"/>
    <w:rsid w:val="00E508BF"/>
    <w:rsid w:val="00E539C2"/>
    <w:rsid w:val="00E632D9"/>
    <w:rsid w:val="00E668B3"/>
    <w:rsid w:val="00E674D0"/>
    <w:rsid w:val="00E765D9"/>
    <w:rsid w:val="00E81A39"/>
    <w:rsid w:val="00E824DA"/>
    <w:rsid w:val="00E851F6"/>
    <w:rsid w:val="00E87561"/>
    <w:rsid w:val="00E91E15"/>
    <w:rsid w:val="00E96001"/>
    <w:rsid w:val="00EA2E36"/>
    <w:rsid w:val="00EA4556"/>
    <w:rsid w:val="00EB1F92"/>
    <w:rsid w:val="00EB2B1C"/>
    <w:rsid w:val="00EB7AE9"/>
    <w:rsid w:val="00EC0734"/>
    <w:rsid w:val="00EC0F49"/>
    <w:rsid w:val="00EC32DE"/>
    <w:rsid w:val="00ED2512"/>
    <w:rsid w:val="00ED28D7"/>
    <w:rsid w:val="00ED4612"/>
    <w:rsid w:val="00EE08FB"/>
    <w:rsid w:val="00EE7050"/>
    <w:rsid w:val="00EF0C0E"/>
    <w:rsid w:val="00EF2A94"/>
    <w:rsid w:val="00EF2ECC"/>
    <w:rsid w:val="00EF7B34"/>
    <w:rsid w:val="00F00F20"/>
    <w:rsid w:val="00F1687A"/>
    <w:rsid w:val="00F25960"/>
    <w:rsid w:val="00F26A38"/>
    <w:rsid w:val="00F30076"/>
    <w:rsid w:val="00F30D50"/>
    <w:rsid w:val="00F35700"/>
    <w:rsid w:val="00F40390"/>
    <w:rsid w:val="00F479AE"/>
    <w:rsid w:val="00F5052F"/>
    <w:rsid w:val="00F53329"/>
    <w:rsid w:val="00F628F2"/>
    <w:rsid w:val="00F655DF"/>
    <w:rsid w:val="00F72190"/>
    <w:rsid w:val="00F73D65"/>
    <w:rsid w:val="00F83765"/>
    <w:rsid w:val="00F83FC6"/>
    <w:rsid w:val="00F86CE0"/>
    <w:rsid w:val="00F86DFE"/>
    <w:rsid w:val="00F91CAA"/>
    <w:rsid w:val="00F97E38"/>
    <w:rsid w:val="00FA35B2"/>
    <w:rsid w:val="00FA38DC"/>
    <w:rsid w:val="00FA4664"/>
    <w:rsid w:val="00FA76BC"/>
    <w:rsid w:val="00FB18D6"/>
    <w:rsid w:val="00FB3A81"/>
    <w:rsid w:val="00FC0506"/>
    <w:rsid w:val="00FD6235"/>
    <w:rsid w:val="00FD7C9B"/>
    <w:rsid w:val="00FD7D28"/>
    <w:rsid w:val="00FE307B"/>
    <w:rsid w:val="00FE55C5"/>
    <w:rsid w:val="00FF748F"/>
    <w:rsid w:val="00FF7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2CEAC"/>
  <w15:docId w15:val="{8F86F607-313F-46AC-9BEF-EDB3F911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8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62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link w:val="Heading7Char"/>
    <w:qFormat/>
    <w:rsid w:val="00567604"/>
    <w:pPr>
      <w:numPr>
        <w:ilvl w:val="6"/>
        <w:numId w:val="9"/>
      </w:numPr>
      <w:spacing w:after="0" w:line="240" w:lineRule="auto"/>
      <w:outlineLvl w:val="6"/>
    </w:pPr>
    <w:rPr>
      <w:rFonts w:ascii="Gill Sans MT" w:eastAsia="Times New Roman" w:hAnsi="Gill Sans MT" w:cs="Times New Roman"/>
      <w:b/>
      <w:szCs w:val="24"/>
    </w:rPr>
  </w:style>
  <w:style w:type="paragraph" w:styleId="Heading8">
    <w:name w:val="heading 8"/>
    <w:link w:val="Heading8Char"/>
    <w:qFormat/>
    <w:rsid w:val="00567604"/>
    <w:pPr>
      <w:numPr>
        <w:ilvl w:val="7"/>
        <w:numId w:val="9"/>
      </w:numPr>
      <w:spacing w:after="0" w:line="240" w:lineRule="auto"/>
      <w:outlineLvl w:val="7"/>
    </w:pPr>
    <w:rPr>
      <w:rFonts w:ascii="Gill Sans MT" w:eastAsia="Times New Roman" w:hAnsi="Gill Sans MT" w:cs="Times New Roman"/>
      <w:iCs/>
      <w:szCs w:val="24"/>
    </w:rPr>
  </w:style>
  <w:style w:type="paragraph" w:styleId="Heading9">
    <w:name w:val="heading 9"/>
    <w:link w:val="Heading9Char"/>
    <w:qFormat/>
    <w:rsid w:val="00567604"/>
    <w:pPr>
      <w:numPr>
        <w:ilvl w:val="8"/>
        <w:numId w:val="9"/>
      </w:numPr>
      <w:spacing w:after="0" w:line="240" w:lineRule="auto"/>
      <w:outlineLvl w:val="8"/>
    </w:pPr>
    <w:rPr>
      <w:rFonts w:ascii="Gill Sans MT" w:eastAsia="Times New Roman" w:hAnsi="Gill Sans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9B"/>
  </w:style>
  <w:style w:type="paragraph" w:styleId="Footer">
    <w:name w:val="footer"/>
    <w:basedOn w:val="Normal"/>
    <w:link w:val="FooterChar"/>
    <w:uiPriority w:val="99"/>
    <w:unhideWhenUsed/>
    <w:rsid w:val="00C1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9B"/>
  </w:style>
  <w:style w:type="paragraph" w:styleId="ListParagraph">
    <w:name w:val="List Paragraph"/>
    <w:aliases w:val="Bullet point,Bullets,CV text,Dot pt,F5 List Paragraph,FooterText,L,List Paragraph Number,List Paragraph1,List Paragraph11,List Paragraph111,List Paragraph2,Medium Grid 1 - Accent 21,NAST Quote,NFP GP Bulleted List,Recommendation,リスト段落,列"/>
    <w:basedOn w:val="Normal"/>
    <w:link w:val="ListParagraphChar"/>
    <w:uiPriority w:val="34"/>
    <w:qFormat/>
    <w:rsid w:val="006926C1"/>
    <w:pPr>
      <w:ind w:left="720"/>
      <w:contextualSpacing/>
    </w:pPr>
  </w:style>
  <w:style w:type="table" w:styleId="TableGrid">
    <w:name w:val="Table Grid"/>
    <w:basedOn w:val="TableNormal"/>
    <w:uiPriority w:val="59"/>
    <w:rsid w:val="0069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 Number Char,List Paragraph1 Char,List Paragraph11 Char,List Paragraph111 Char,List Paragraph2 Char,NAST Quote Char"/>
    <w:basedOn w:val="DefaultParagraphFont"/>
    <w:link w:val="ListParagraph"/>
    <w:uiPriority w:val="34"/>
    <w:rsid w:val="006926C1"/>
  </w:style>
  <w:style w:type="paragraph" w:styleId="EndnoteText">
    <w:name w:val="endnote text"/>
    <w:basedOn w:val="Normal"/>
    <w:link w:val="EndnoteTextChar"/>
    <w:rsid w:val="002D610F"/>
    <w:pPr>
      <w:spacing w:after="0" w:line="240" w:lineRule="auto"/>
    </w:pPr>
    <w:rPr>
      <w:rFonts w:ascii="GillSans Light" w:eastAsia="Cambria" w:hAnsi="GillSans Light" w:cs="Times New Roman"/>
      <w:sz w:val="20"/>
      <w:szCs w:val="20"/>
      <w:lang w:val="en-US"/>
    </w:rPr>
  </w:style>
  <w:style w:type="character" w:customStyle="1" w:styleId="EndnoteTextChar">
    <w:name w:val="Endnote Text Char"/>
    <w:basedOn w:val="DefaultParagraphFont"/>
    <w:link w:val="EndnoteText"/>
    <w:rsid w:val="002D610F"/>
    <w:rPr>
      <w:rFonts w:ascii="GillSans Light" w:eastAsia="Cambria" w:hAnsi="GillSans Light" w:cs="Times New Roman"/>
      <w:sz w:val="20"/>
      <w:szCs w:val="20"/>
      <w:lang w:val="en-US"/>
    </w:rPr>
  </w:style>
  <w:style w:type="character" w:styleId="EndnoteReference">
    <w:name w:val="endnote reference"/>
    <w:basedOn w:val="DefaultParagraphFont"/>
    <w:rsid w:val="002D610F"/>
    <w:rPr>
      <w:vertAlign w:val="superscript"/>
    </w:rPr>
  </w:style>
  <w:style w:type="paragraph" w:customStyle="1" w:styleId="BulletedListLevel1">
    <w:name w:val="Bulleted List Level 1"/>
    <w:link w:val="BulletedListLevel1Char"/>
    <w:rsid w:val="002D610F"/>
    <w:pPr>
      <w:keepLines/>
      <w:numPr>
        <w:numId w:val="2"/>
      </w:numPr>
      <w:tabs>
        <w:tab w:val="left" w:pos="1134"/>
      </w:tabs>
      <w:spacing w:after="140" w:line="300" w:lineRule="atLeast"/>
    </w:pPr>
    <w:rPr>
      <w:rFonts w:ascii="Gill Sans MT" w:eastAsia="Times New Roman" w:hAnsi="Gill Sans MT" w:cs="Times New Roman"/>
      <w:sz w:val="24"/>
      <w:szCs w:val="24"/>
    </w:rPr>
  </w:style>
  <w:style w:type="character" w:customStyle="1" w:styleId="BulletedListLevel1Char">
    <w:name w:val="Bulleted List Level 1 Char"/>
    <w:basedOn w:val="DefaultParagraphFont"/>
    <w:link w:val="BulletedListLevel1"/>
    <w:rsid w:val="002D610F"/>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61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9"/>
    <w:rPr>
      <w:rFonts w:ascii="Tahoma" w:hAnsi="Tahoma" w:cs="Tahoma"/>
      <w:sz w:val="16"/>
      <w:szCs w:val="16"/>
    </w:rPr>
  </w:style>
  <w:style w:type="character" w:styleId="Hyperlink">
    <w:name w:val="Hyperlink"/>
    <w:basedOn w:val="DefaultParagraphFont"/>
    <w:uiPriority w:val="99"/>
    <w:unhideWhenUsed/>
    <w:rsid w:val="00D15DF6"/>
    <w:rPr>
      <w:color w:val="0000FF" w:themeColor="hyperlink"/>
      <w:u w:val="single"/>
    </w:rPr>
  </w:style>
  <w:style w:type="character" w:styleId="FollowedHyperlink">
    <w:name w:val="FollowedHyperlink"/>
    <w:basedOn w:val="DefaultParagraphFont"/>
    <w:uiPriority w:val="99"/>
    <w:semiHidden/>
    <w:unhideWhenUsed/>
    <w:rsid w:val="00D15DF6"/>
    <w:rPr>
      <w:color w:val="800080" w:themeColor="followedHyperlink"/>
      <w:u w:val="single"/>
    </w:rPr>
  </w:style>
  <w:style w:type="paragraph" w:styleId="Revision">
    <w:name w:val="Revision"/>
    <w:hidden/>
    <w:uiPriority w:val="99"/>
    <w:semiHidden/>
    <w:rsid w:val="00722832"/>
    <w:pPr>
      <w:spacing w:after="0" w:line="240" w:lineRule="auto"/>
    </w:pPr>
  </w:style>
  <w:style w:type="paragraph" w:styleId="ListBullet">
    <w:name w:val="List Bullet"/>
    <w:basedOn w:val="BulletedListLevel1"/>
    <w:semiHidden/>
    <w:rsid w:val="003253B1"/>
    <w:pPr>
      <w:keepLines w:val="0"/>
      <w:numPr>
        <w:numId w:val="0"/>
      </w:numPr>
      <w:tabs>
        <w:tab w:val="clear" w:pos="1134"/>
      </w:tabs>
    </w:pPr>
    <w:rPr>
      <w:sz w:val="22"/>
    </w:rPr>
  </w:style>
  <w:style w:type="paragraph" w:styleId="NormalWeb">
    <w:name w:val="Normal (Web)"/>
    <w:basedOn w:val="Normal"/>
    <w:uiPriority w:val="99"/>
    <w:unhideWhenUsed/>
    <w:rsid w:val="00B474E7"/>
    <w:pPr>
      <w:spacing w:after="150" w:line="240" w:lineRule="auto"/>
    </w:pPr>
    <w:rPr>
      <w:rFonts w:ascii="Times New Roman" w:hAnsi="Times New Roman" w:cs="Times New Roman"/>
      <w:sz w:val="24"/>
      <w:szCs w:val="24"/>
      <w:lang w:eastAsia="en-AU"/>
    </w:rPr>
  </w:style>
  <w:style w:type="paragraph" w:customStyle="1" w:styleId="GovHeading3">
    <w:name w:val="Gov Heading 3"/>
    <w:uiPriority w:val="99"/>
    <w:qFormat/>
    <w:rsid w:val="00B474E7"/>
    <w:pPr>
      <w:spacing w:before="240" w:after="120" w:line="240" w:lineRule="auto"/>
    </w:pPr>
    <w:rPr>
      <w:rFonts w:ascii="GillSans" w:eastAsia="Times New Roman" w:hAnsi="GillSans" w:cs="Times New Roman"/>
      <w:bCs/>
      <w:sz w:val="32"/>
      <w:szCs w:val="24"/>
      <w:lang w:val="en-US"/>
    </w:rPr>
  </w:style>
  <w:style w:type="paragraph" w:customStyle="1" w:styleId="Default">
    <w:name w:val="Default"/>
    <w:rsid w:val="00A032A5"/>
    <w:pPr>
      <w:autoSpaceDE w:val="0"/>
      <w:autoSpaceDN w:val="0"/>
      <w:adjustRightInd w:val="0"/>
      <w:spacing w:after="0" w:line="240" w:lineRule="auto"/>
    </w:pPr>
    <w:rPr>
      <w:rFonts w:ascii="Gill Sans MT" w:hAnsi="Gill Sans MT" w:cs="Gill Sans MT"/>
      <w:color w:val="000000"/>
      <w:sz w:val="24"/>
      <w:szCs w:val="24"/>
    </w:rPr>
  </w:style>
  <w:style w:type="paragraph" w:customStyle="1" w:styleId="Level2DiscussionAction">
    <w:name w:val="Level 2 Discussion Action"/>
    <w:basedOn w:val="Normal"/>
    <w:rsid w:val="00160761"/>
    <w:pPr>
      <w:tabs>
        <w:tab w:val="left" w:pos="567"/>
      </w:tabs>
      <w:spacing w:after="0" w:line="240" w:lineRule="auto"/>
    </w:pPr>
    <w:rPr>
      <w:rFonts w:ascii="Gill Sans MT" w:eastAsia="Times New Roman" w:hAnsi="Gill Sans MT" w:cs="Times New Roman"/>
      <w:szCs w:val="24"/>
    </w:rPr>
  </w:style>
  <w:style w:type="paragraph" w:customStyle="1" w:styleId="RFQNormal12">
    <w:name w:val="RFQ Normal 12"/>
    <w:basedOn w:val="Normal"/>
    <w:rsid w:val="001350B1"/>
    <w:pPr>
      <w:spacing w:after="120" w:line="240" w:lineRule="auto"/>
    </w:pPr>
    <w:rPr>
      <w:rFonts w:ascii="Arial" w:eastAsia="Times New Roman" w:hAnsi="Arial" w:cs="Arial"/>
      <w:sz w:val="24"/>
      <w:szCs w:val="24"/>
    </w:rPr>
  </w:style>
  <w:style w:type="paragraph" w:customStyle="1" w:styleId="Contact">
    <w:name w:val="Contact"/>
    <w:semiHidden/>
    <w:rsid w:val="00D325FC"/>
    <w:pPr>
      <w:spacing w:before="40" w:after="40" w:line="240" w:lineRule="auto"/>
    </w:pPr>
    <w:rPr>
      <w:rFonts w:ascii="Gill Sans MT" w:eastAsia="Times New Roman" w:hAnsi="Gill Sans MT" w:cs="Times New Roman"/>
      <w:sz w:val="20"/>
      <w:szCs w:val="24"/>
    </w:rPr>
  </w:style>
  <w:style w:type="character" w:styleId="CommentReference">
    <w:name w:val="annotation reference"/>
    <w:basedOn w:val="DefaultParagraphFont"/>
    <w:uiPriority w:val="99"/>
    <w:semiHidden/>
    <w:unhideWhenUsed/>
    <w:rsid w:val="008B2E33"/>
    <w:rPr>
      <w:sz w:val="16"/>
      <w:szCs w:val="16"/>
    </w:rPr>
  </w:style>
  <w:style w:type="paragraph" w:styleId="CommentText">
    <w:name w:val="annotation text"/>
    <w:basedOn w:val="Normal"/>
    <w:link w:val="CommentTextChar"/>
    <w:uiPriority w:val="99"/>
    <w:unhideWhenUsed/>
    <w:rsid w:val="008B2E33"/>
    <w:pPr>
      <w:spacing w:line="240" w:lineRule="auto"/>
    </w:pPr>
    <w:rPr>
      <w:sz w:val="20"/>
      <w:szCs w:val="20"/>
    </w:rPr>
  </w:style>
  <w:style w:type="character" w:customStyle="1" w:styleId="CommentTextChar">
    <w:name w:val="Comment Text Char"/>
    <w:basedOn w:val="DefaultParagraphFont"/>
    <w:link w:val="CommentText"/>
    <w:uiPriority w:val="99"/>
    <w:rsid w:val="008B2E33"/>
    <w:rPr>
      <w:sz w:val="20"/>
      <w:szCs w:val="20"/>
    </w:rPr>
  </w:style>
  <w:style w:type="paragraph" w:styleId="CommentSubject">
    <w:name w:val="annotation subject"/>
    <w:basedOn w:val="CommentText"/>
    <w:next w:val="CommentText"/>
    <w:link w:val="CommentSubjectChar"/>
    <w:uiPriority w:val="99"/>
    <w:semiHidden/>
    <w:unhideWhenUsed/>
    <w:rsid w:val="008B2E33"/>
    <w:rPr>
      <w:b/>
      <w:bCs/>
    </w:rPr>
  </w:style>
  <w:style w:type="character" w:customStyle="1" w:styleId="CommentSubjectChar">
    <w:name w:val="Comment Subject Char"/>
    <w:basedOn w:val="CommentTextChar"/>
    <w:link w:val="CommentSubject"/>
    <w:uiPriority w:val="99"/>
    <w:semiHidden/>
    <w:rsid w:val="008B2E33"/>
    <w:rPr>
      <w:b/>
      <w:bCs/>
      <w:sz w:val="20"/>
      <w:szCs w:val="20"/>
    </w:rPr>
  </w:style>
  <w:style w:type="paragraph" w:styleId="BodyTextIndent">
    <w:name w:val="Body Text Indent"/>
    <w:basedOn w:val="Normal"/>
    <w:link w:val="BodyTextIndentChar"/>
    <w:rsid w:val="006B0DC3"/>
    <w:pPr>
      <w:spacing w:after="120" w:line="240" w:lineRule="auto"/>
      <w:ind w:left="360"/>
    </w:pPr>
    <w:rPr>
      <w:rFonts w:ascii="Arial" w:eastAsia="Times New Roman" w:hAnsi="Arial" w:cs="Times New Roman"/>
      <w:sz w:val="24"/>
      <w:szCs w:val="20"/>
      <w:lang w:val="x-none" w:eastAsia="x-none"/>
    </w:rPr>
  </w:style>
  <w:style w:type="character" w:customStyle="1" w:styleId="BodyTextIndentChar">
    <w:name w:val="Body Text Indent Char"/>
    <w:basedOn w:val="DefaultParagraphFont"/>
    <w:link w:val="BodyTextIndent"/>
    <w:rsid w:val="006B0DC3"/>
    <w:rPr>
      <w:rFonts w:ascii="Arial" w:eastAsia="Times New Roman" w:hAnsi="Arial" w:cs="Times New Roman"/>
      <w:sz w:val="24"/>
      <w:szCs w:val="20"/>
      <w:lang w:val="x-none" w:eastAsia="x-none"/>
    </w:rPr>
  </w:style>
  <w:style w:type="paragraph" w:styleId="FootnoteText">
    <w:name w:val="footnote text"/>
    <w:basedOn w:val="Normal"/>
    <w:link w:val="FootnoteTextChar"/>
    <w:semiHidden/>
    <w:unhideWhenUsed/>
    <w:rsid w:val="0044474D"/>
    <w:pPr>
      <w:spacing w:after="0" w:line="240" w:lineRule="auto"/>
    </w:pPr>
    <w:rPr>
      <w:sz w:val="20"/>
      <w:szCs w:val="20"/>
    </w:rPr>
  </w:style>
  <w:style w:type="character" w:customStyle="1" w:styleId="FootnoteTextChar">
    <w:name w:val="Footnote Text Char"/>
    <w:basedOn w:val="DefaultParagraphFont"/>
    <w:link w:val="FootnoteText"/>
    <w:semiHidden/>
    <w:rsid w:val="0044474D"/>
    <w:rPr>
      <w:sz w:val="20"/>
      <w:szCs w:val="20"/>
    </w:rPr>
  </w:style>
  <w:style w:type="character" w:styleId="FootnoteReference">
    <w:name w:val="footnote reference"/>
    <w:basedOn w:val="DefaultParagraphFont"/>
    <w:semiHidden/>
    <w:unhideWhenUsed/>
    <w:rsid w:val="0044474D"/>
    <w:rPr>
      <w:vertAlign w:val="superscript"/>
    </w:rPr>
  </w:style>
  <w:style w:type="paragraph" w:styleId="ListBullet2">
    <w:name w:val="List Bullet 2"/>
    <w:basedOn w:val="Normal"/>
    <w:uiPriority w:val="99"/>
    <w:unhideWhenUsed/>
    <w:rsid w:val="005F1D37"/>
    <w:pPr>
      <w:numPr>
        <w:numId w:val="7"/>
      </w:numPr>
      <w:contextualSpacing/>
    </w:pPr>
  </w:style>
  <w:style w:type="paragraph" w:customStyle="1" w:styleId="first">
    <w:name w:val="first"/>
    <w:basedOn w:val="Normal"/>
    <w:rsid w:val="00D85D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85DA0"/>
  </w:style>
  <w:style w:type="character" w:styleId="Strong">
    <w:name w:val="Strong"/>
    <w:basedOn w:val="DefaultParagraphFont"/>
    <w:uiPriority w:val="22"/>
    <w:qFormat/>
    <w:rsid w:val="00D85DA0"/>
    <w:rPr>
      <w:b/>
      <w:bCs/>
    </w:rPr>
  </w:style>
  <w:style w:type="character" w:customStyle="1" w:styleId="Heading7Char">
    <w:name w:val="Heading 7 Char"/>
    <w:basedOn w:val="DefaultParagraphFont"/>
    <w:link w:val="Heading7"/>
    <w:rsid w:val="00567604"/>
    <w:rPr>
      <w:rFonts w:ascii="Gill Sans MT" w:eastAsia="Times New Roman" w:hAnsi="Gill Sans MT" w:cs="Times New Roman"/>
      <w:b/>
      <w:szCs w:val="24"/>
    </w:rPr>
  </w:style>
  <w:style w:type="character" w:customStyle="1" w:styleId="Heading8Char">
    <w:name w:val="Heading 8 Char"/>
    <w:basedOn w:val="DefaultParagraphFont"/>
    <w:link w:val="Heading8"/>
    <w:rsid w:val="00567604"/>
    <w:rPr>
      <w:rFonts w:ascii="Gill Sans MT" w:eastAsia="Times New Roman" w:hAnsi="Gill Sans MT" w:cs="Times New Roman"/>
      <w:iCs/>
      <w:szCs w:val="24"/>
    </w:rPr>
  </w:style>
  <w:style w:type="character" w:customStyle="1" w:styleId="Heading9Char">
    <w:name w:val="Heading 9 Char"/>
    <w:basedOn w:val="DefaultParagraphFont"/>
    <w:link w:val="Heading9"/>
    <w:rsid w:val="00567604"/>
    <w:rPr>
      <w:rFonts w:ascii="Gill Sans MT" w:eastAsia="Times New Roman" w:hAnsi="Gill Sans MT" w:cs="Times New Roman"/>
      <w:szCs w:val="24"/>
    </w:rPr>
  </w:style>
  <w:style w:type="paragraph" w:customStyle="1" w:styleId="ItemHeadingLevel1">
    <w:name w:val="Item Heading Level 1"/>
    <w:rsid w:val="00567604"/>
    <w:pPr>
      <w:numPr>
        <w:numId w:val="9"/>
      </w:numPr>
      <w:spacing w:after="0" w:line="240" w:lineRule="auto"/>
      <w:outlineLvl w:val="0"/>
    </w:pPr>
    <w:rPr>
      <w:rFonts w:ascii="Gill Sans MT" w:eastAsia="Times New Roman" w:hAnsi="Gill Sans MT" w:cs="Times New Roman"/>
      <w:b/>
      <w:szCs w:val="24"/>
    </w:rPr>
  </w:style>
  <w:style w:type="paragraph" w:customStyle="1" w:styleId="ItemLevel2">
    <w:name w:val="Item Level 2"/>
    <w:rsid w:val="00567604"/>
    <w:pPr>
      <w:numPr>
        <w:ilvl w:val="1"/>
        <w:numId w:val="9"/>
      </w:numPr>
      <w:tabs>
        <w:tab w:val="num" w:pos="851"/>
      </w:tabs>
      <w:spacing w:after="0" w:line="240" w:lineRule="auto"/>
      <w:ind w:left="851"/>
      <w:outlineLvl w:val="1"/>
    </w:pPr>
    <w:rPr>
      <w:rFonts w:ascii="Gill Sans MT" w:eastAsia="Times New Roman" w:hAnsi="Gill Sans MT" w:cs="Times New Roman"/>
      <w:szCs w:val="24"/>
    </w:rPr>
  </w:style>
  <w:style w:type="paragraph" w:customStyle="1" w:styleId="ItemLevel3">
    <w:name w:val="Item Level 3"/>
    <w:rsid w:val="00567604"/>
    <w:pPr>
      <w:numPr>
        <w:ilvl w:val="2"/>
        <w:numId w:val="9"/>
      </w:numPr>
      <w:tabs>
        <w:tab w:val="num" w:pos="1134"/>
      </w:tabs>
      <w:spacing w:after="0" w:line="240" w:lineRule="auto"/>
      <w:ind w:left="1134"/>
      <w:outlineLvl w:val="2"/>
    </w:pPr>
    <w:rPr>
      <w:rFonts w:ascii="Gill Sans MT" w:eastAsia="Times New Roman" w:hAnsi="Gill Sans MT" w:cs="Times New Roman"/>
      <w:szCs w:val="24"/>
    </w:rPr>
  </w:style>
  <w:style w:type="paragraph" w:customStyle="1" w:styleId="DHHSbody">
    <w:name w:val="DHHS body"/>
    <w:link w:val="DHHSbodyChar"/>
    <w:qFormat/>
    <w:rsid w:val="00567604"/>
    <w:pPr>
      <w:spacing w:after="120" w:line="270" w:lineRule="atLeast"/>
    </w:pPr>
    <w:rPr>
      <w:rFonts w:ascii="Arial" w:eastAsia="Times" w:hAnsi="Arial" w:cs="Times New Roman"/>
      <w:sz w:val="20"/>
      <w:szCs w:val="20"/>
    </w:rPr>
  </w:style>
  <w:style w:type="character" w:customStyle="1" w:styleId="DHHSbodyChar">
    <w:name w:val="DHHS body Char"/>
    <w:link w:val="DHHSbody"/>
    <w:rsid w:val="00567604"/>
    <w:rPr>
      <w:rFonts w:ascii="Arial" w:eastAsia="Times" w:hAnsi="Arial" w:cs="Times New Roman"/>
      <w:sz w:val="20"/>
      <w:szCs w:val="20"/>
    </w:rPr>
  </w:style>
  <w:style w:type="character" w:styleId="Emphasis">
    <w:name w:val="Emphasis"/>
    <w:basedOn w:val="DefaultParagraphFont"/>
    <w:uiPriority w:val="20"/>
    <w:qFormat/>
    <w:rsid w:val="00EC0F49"/>
    <w:rPr>
      <w:i/>
      <w:iCs/>
    </w:rPr>
  </w:style>
  <w:style w:type="character" w:customStyle="1" w:styleId="Heading1Char">
    <w:name w:val="Heading 1 Char"/>
    <w:basedOn w:val="DefaultParagraphFont"/>
    <w:link w:val="Heading1"/>
    <w:uiPriority w:val="9"/>
    <w:rsid w:val="00B368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6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687C"/>
    <w:rPr>
      <w:rFonts w:asciiTheme="majorHAnsi" w:eastAsiaTheme="majorEastAsia" w:hAnsiTheme="majorHAnsi" w:cstheme="majorBidi"/>
      <w:b/>
      <w:bCs/>
      <w:color w:val="4F81BD" w:themeColor="accent1"/>
    </w:rPr>
  </w:style>
  <w:style w:type="paragraph" w:customStyle="1" w:styleId="bulletedlistlevel10">
    <w:name w:val="bulletedlistlevel1"/>
    <w:basedOn w:val="Normal"/>
    <w:rsid w:val="00C31839"/>
    <w:pPr>
      <w:spacing w:after="140" w:line="300" w:lineRule="atLeast"/>
      <w:ind w:left="567" w:hanging="567"/>
    </w:pPr>
    <w:rPr>
      <w:rFonts w:ascii="Gill Sans MT" w:hAnsi="Gill Sans MT" w:cs="Times New Roman"/>
      <w:sz w:val="24"/>
      <w:szCs w:val="24"/>
      <w:lang w:eastAsia="en-AU"/>
    </w:rPr>
  </w:style>
  <w:style w:type="paragraph" w:customStyle="1" w:styleId="Pa11">
    <w:name w:val="Pa11"/>
    <w:basedOn w:val="Normal"/>
    <w:next w:val="Normal"/>
    <w:uiPriority w:val="99"/>
    <w:rsid w:val="004A14D2"/>
    <w:pPr>
      <w:autoSpaceDE w:val="0"/>
      <w:autoSpaceDN w:val="0"/>
      <w:adjustRightInd w:val="0"/>
      <w:spacing w:after="0" w:line="181" w:lineRule="atLeast"/>
    </w:pPr>
    <w:rPr>
      <w:rFonts w:ascii="Gill Sans MT Pro Medium" w:hAnsi="Gill Sans MT Pro Medium"/>
      <w:sz w:val="24"/>
      <w:szCs w:val="24"/>
    </w:rPr>
  </w:style>
  <w:style w:type="character" w:customStyle="1" w:styleId="A8">
    <w:name w:val="A8"/>
    <w:uiPriority w:val="99"/>
    <w:rsid w:val="004A14D2"/>
    <w:rPr>
      <w:rFonts w:cs="Gill Sans MT Pro Medium"/>
      <w:color w:val="000000"/>
      <w:sz w:val="10"/>
      <w:szCs w:val="10"/>
    </w:rPr>
  </w:style>
  <w:style w:type="paragraph" w:customStyle="1" w:styleId="Pa28">
    <w:name w:val="Pa28"/>
    <w:basedOn w:val="Normal"/>
    <w:next w:val="Normal"/>
    <w:uiPriority w:val="99"/>
    <w:rsid w:val="004A14D2"/>
    <w:pPr>
      <w:autoSpaceDE w:val="0"/>
      <w:autoSpaceDN w:val="0"/>
      <w:adjustRightInd w:val="0"/>
      <w:spacing w:after="0" w:line="181" w:lineRule="atLeast"/>
    </w:pPr>
    <w:rPr>
      <w:rFonts w:ascii="Gill Sans MT Pro Medium" w:hAnsi="Gill Sans MT Pro Medium"/>
      <w:sz w:val="24"/>
      <w:szCs w:val="24"/>
    </w:rPr>
  </w:style>
  <w:style w:type="paragraph" w:customStyle="1" w:styleId="Pa29">
    <w:name w:val="Pa29"/>
    <w:basedOn w:val="Normal"/>
    <w:next w:val="Normal"/>
    <w:uiPriority w:val="99"/>
    <w:rsid w:val="004A14D2"/>
    <w:pPr>
      <w:autoSpaceDE w:val="0"/>
      <w:autoSpaceDN w:val="0"/>
      <w:adjustRightInd w:val="0"/>
      <w:spacing w:after="0" w:line="181" w:lineRule="atLeast"/>
    </w:pPr>
    <w:rPr>
      <w:rFonts w:ascii="Gill Sans MT Pro Medium" w:hAnsi="Gill Sans MT Pro Medium"/>
      <w:sz w:val="24"/>
      <w:szCs w:val="24"/>
    </w:rPr>
  </w:style>
  <w:style w:type="paragraph" w:styleId="TOCHeading">
    <w:name w:val="TOC Heading"/>
    <w:basedOn w:val="Heading1"/>
    <w:next w:val="Normal"/>
    <w:uiPriority w:val="39"/>
    <w:semiHidden/>
    <w:unhideWhenUsed/>
    <w:qFormat/>
    <w:rsid w:val="002D3EEA"/>
    <w:pPr>
      <w:outlineLvl w:val="9"/>
    </w:pPr>
    <w:rPr>
      <w:lang w:val="en-US" w:eastAsia="ja-JP"/>
    </w:rPr>
  </w:style>
  <w:style w:type="paragraph" w:styleId="TOC1">
    <w:name w:val="toc 1"/>
    <w:basedOn w:val="Normal"/>
    <w:next w:val="Normal"/>
    <w:autoRedefine/>
    <w:uiPriority w:val="39"/>
    <w:unhideWhenUsed/>
    <w:rsid w:val="002D3EEA"/>
    <w:pPr>
      <w:spacing w:after="100"/>
    </w:pPr>
  </w:style>
  <w:style w:type="paragraph" w:styleId="TOC2">
    <w:name w:val="toc 2"/>
    <w:basedOn w:val="Normal"/>
    <w:next w:val="Normal"/>
    <w:autoRedefine/>
    <w:uiPriority w:val="39"/>
    <w:unhideWhenUsed/>
    <w:rsid w:val="002D3EEA"/>
    <w:pPr>
      <w:spacing w:after="100"/>
      <w:ind w:left="220"/>
    </w:pPr>
  </w:style>
  <w:style w:type="paragraph" w:styleId="TOC3">
    <w:name w:val="toc 3"/>
    <w:basedOn w:val="Normal"/>
    <w:next w:val="Normal"/>
    <w:autoRedefine/>
    <w:uiPriority w:val="39"/>
    <w:unhideWhenUsed/>
    <w:rsid w:val="002D3EEA"/>
    <w:pPr>
      <w:spacing w:after="100"/>
      <w:ind w:left="440"/>
    </w:pPr>
  </w:style>
  <w:style w:type="character" w:customStyle="1" w:styleId="Heading4Char">
    <w:name w:val="Heading 4 Char"/>
    <w:basedOn w:val="DefaultParagraphFont"/>
    <w:link w:val="Heading4"/>
    <w:uiPriority w:val="9"/>
    <w:rsid w:val="00B462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3314">
      <w:bodyDiv w:val="1"/>
      <w:marLeft w:val="0"/>
      <w:marRight w:val="0"/>
      <w:marTop w:val="0"/>
      <w:marBottom w:val="0"/>
      <w:divBdr>
        <w:top w:val="none" w:sz="0" w:space="0" w:color="auto"/>
        <w:left w:val="none" w:sz="0" w:space="0" w:color="auto"/>
        <w:bottom w:val="none" w:sz="0" w:space="0" w:color="auto"/>
        <w:right w:val="none" w:sz="0" w:space="0" w:color="auto"/>
      </w:divBdr>
    </w:div>
    <w:div w:id="298808711">
      <w:bodyDiv w:val="1"/>
      <w:marLeft w:val="0"/>
      <w:marRight w:val="0"/>
      <w:marTop w:val="0"/>
      <w:marBottom w:val="0"/>
      <w:divBdr>
        <w:top w:val="none" w:sz="0" w:space="0" w:color="auto"/>
        <w:left w:val="none" w:sz="0" w:space="0" w:color="auto"/>
        <w:bottom w:val="none" w:sz="0" w:space="0" w:color="auto"/>
        <w:right w:val="none" w:sz="0" w:space="0" w:color="auto"/>
      </w:divBdr>
    </w:div>
    <w:div w:id="814755597">
      <w:bodyDiv w:val="1"/>
      <w:marLeft w:val="0"/>
      <w:marRight w:val="0"/>
      <w:marTop w:val="0"/>
      <w:marBottom w:val="0"/>
      <w:divBdr>
        <w:top w:val="none" w:sz="0" w:space="0" w:color="auto"/>
        <w:left w:val="none" w:sz="0" w:space="0" w:color="auto"/>
        <w:bottom w:val="none" w:sz="0" w:space="0" w:color="auto"/>
        <w:right w:val="none" w:sz="0" w:space="0" w:color="auto"/>
      </w:divBdr>
    </w:div>
    <w:div w:id="1177424973">
      <w:bodyDiv w:val="1"/>
      <w:marLeft w:val="0"/>
      <w:marRight w:val="0"/>
      <w:marTop w:val="0"/>
      <w:marBottom w:val="0"/>
      <w:divBdr>
        <w:top w:val="none" w:sz="0" w:space="0" w:color="auto"/>
        <w:left w:val="none" w:sz="0" w:space="0" w:color="auto"/>
        <w:bottom w:val="none" w:sz="0" w:space="0" w:color="auto"/>
        <w:right w:val="none" w:sz="0" w:space="0" w:color="auto"/>
      </w:divBdr>
    </w:div>
    <w:div w:id="1683237202">
      <w:bodyDiv w:val="1"/>
      <w:marLeft w:val="0"/>
      <w:marRight w:val="0"/>
      <w:marTop w:val="0"/>
      <w:marBottom w:val="0"/>
      <w:divBdr>
        <w:top w:val="none" w:sz="0" w:space="0" w:color="auto"/>
        <w:left w:val="none" w:sz="0" w:space="0" w:color="auto"/>
        <w:bottom w:val="none" w:sz="0" w:space="0" w:color="auto"/>
        <w:right w:val="none" w:sz="0" w:space="0" w:color="auto"/>
      </w:divBdr>
    </w:div>
    <w:div w:id="1927155486">
      <w:bodyDiv w:val="1"/>
      <w:marLeft w:val="0"/>
      <w:marRight w:val="0"/>
      <w:marTop w:val="0"/>
      <w:marBottom w:val="0"/>
      <w:divBdr>
        <w:top w:val="none" w:sz="0" w:space="0" w:color="auto"/>
        <w:left w:val="none" w:sz="0" w:space="0" w:color="auto"/>
        <w:bottom w:val="none" w:sz="0" w:space="0" w:color="auto"/>
        <w:right w:val="none" w:sz="0" w:space="0" w:color="auto"/>
      </w:divBdr>
    </w:div>
    <w:div w:id="2007243438">
      <w:bodyDiv w:val="1"/>
      <w:marLeft w:val="0"/>
      <w:marRight w:val="0"/>
      <w:marTop w:val="0"/>
      <w:marBottom w:val="0"/>
      <w:divBdr>
        <w:top w:val="none" w:sz="0" w:space="0" w:color="auto"/>
        <w:left w:val="none" w:sz="0" w:space="0" w:color="auto"/>
        <w:bottom w:val="none" w:sz="0" w:space="0" w:color="auto"/>
        <w:right w:val="none" w:sz="0" w:space="0" w:color="auto"/>
      </w:divBdr>
    </w:div>
    <w:div w:id="20987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hhs.tas.gov.au/publichealth/about_us/publications/epidemiology_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aihw.gov.au/reports/alcohol-other-drug-treatment-services/nopsad-2017/contents/summary" TargetMode="External"/><Relationship Id="rId2" Type="http://schemas.openxmlformats.org/officeDocument/2006/relationships/hyperlink" Target="https://acem.org.au/About-ACEM/Programs-Projects/Alcohol-Harm-in-ED-(AHED)-Project.aspx" TargetMode="External"/><Relationship Id="rId1" Type="http://schemas.openxmlformats.org/officeDocument/2006/relationships/hyperlink" Target="http://www.abs.gov.au/AUSSTATS/abs@.nsf/DetailsPage/4364.0.55.0012014-15?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4BB1-082B-4C93-8608-DC97E7F8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Goderick</dc:creator>
  <cp:lastModifiedBy>Director Mental Health, Alcohol &amp; Drug Directorate</cp:lastModifiedBy>
  <cp:revision>4</cp:revision>
  <cp:lastPrinted>2019-11-25T03:33:00Z</cp:lastPrinted>
  <dcterms:created xsi:type="dcterms:W3CDTF">2019-11-25T03:32:00Z</dcterms:created>
  <dcterms:modified xsi:type="dcterms:W3CDTF">2019-12-04T04:18:00Z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No1">
    <vt:lpwstr/>
  </property>
  <property fmtid="{D5CDD505-2E9C-101B-9397-08002B2CF9AE}" pid="3" name="Acronym1">
    <vt:lpwstr/>
  </property>
  <property fmtid="{D5CDD505-2E9C-101B-9397-08002B2CF9AE}" pid="4" name="SubjectBriefing1">
    <vt:lpwstr>Interagency Working Group on Drugs Annual Report 2016-2017</vt:lpwstr>
  </property>
  <property fmtid="{D5CDD505-2E9C-101B-9397-08002B2CF9AE}" pid="5" name="PreparedBy1">
    <vt:lpwstr>Sylvia Engels </vt:lpwstr>
  </property>
  <property fmtid="{D5CDD505-2E9C-101B-9397-08002B2CF9AE}" pid="6" name="PreparedPositionTitle1">
    <vt:lpwstr>Manager, Policy Development</vt:lpwstr>
  </property>
  <property fmtid="{D5CDD505-2E9C-101B-9397-08002B2CF9AE}" pid="7" name="PreparedPhone1">
    <vt:lpwstr>6166 0771</vt:lpwstr>
  </property>
  <property fmtid="{D5CDD505-2E9C-101B-9397-08002B2CF9AE}" pid="8" name="PreparedDate1">
    <vt:lpwstr>21 December 2017</vt:lpwstr>
  </property>
  <property fmtid="{D5CDD505-2E9C-101B-9397-08002B2CF9AE}" pid="9" name="Through1">
    <vt:lpwstr>Narelle Butt</vt:lpwstr>
  </property>
  <property fmtid="{D5CDD505-2E9C-101B-9397-08002B2CF9AE}" pid="10" name="ThroughPositionTitle1">
    <vt:lpwstr>General Manager, Mental Health Alcohol and Drug Directorate</vt:lpwstr>
  </property>
  <property fmtid="{D5CDD505-2E9C-101B-9397-08002B2CF9AE}" pid="11" name="ThroughDate1">
    <vt:lpwstr/>
  </property>
  <property fmtid="{D5CDD505-2E9C-101B-9397-08002B2CF9AE}" pid="12" name="ThroughPhone1">
    <vt:lpwstr>6166 0770</vt:lpwstr>
  </property>
  <property fmtid="{D5CDD505-2E9C-101B-9397-08002B2CF9AE}" pid="13" name="Through21">
    <vt:lpwstr>Jodi Willcox </vt:lpwstr>
  </property>
  <property fmtid="{D5CDD505-2E9C-101B-9397-08002B2CF9AE}" pid="14" name="Through2PositionTitle1">
    <vt:lpwstr>Director, Strategic Policy and Regulation</vt:lpwstr>
  </property>
  <property fmtid="{D5CDD505-2E9C-101B-9397-08002B2CF9AE}" pid="15" name="Through2Date1">
    <vt:lpwstr/>
  </property>
  <property fmtid="{D5CDD505-2E9C-101B-9397-08002B2CF9AE}" pid="16" name="Through2Phone1">
    <vt:lpwstr>6166 3689</vt:lpwstr>
  </property>
  <property fmtid="{D5CDD505-2E9C-101B-9397-08002B2CF9AE}" pid="17" name="ClearedBy1">
    <vt:lpwstr>Michael Reynolds</vt:lpwstr>
  </property>
  <property fmtid="{D5CDD505-2E9C-101B-9397-08002B2CF9AE}" pid="18" name="ClearedPositionTitle1">
    <vt:lpwstr>Acting Deputy Secretary, Corporate Policy and Regulatory Services</vt:lpwstr>
  </property>
  <property fmtid="{D5CDD505-2E9C-101B-9397-08002B2CF9AE}" pid="19" name="ClearedPhone1">
    <vt:lpwstr>6166 3808</vt:lpwstr>
  </property>
  <property fmtid="{D5CDD505-2E9C-101B-9397-08002B2CF9AE}" pid="20" name="ClearedDate1">
    <vt:lpwstr/>
  </property>
</Properties>
</file>