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C89" w:rsidRPr="00F80387" w:rsidRDefault="00013C89">
      <w:pPr>
        <w:tabs>
          <w:tab w:val="clear" w:pos="567"/>
        </w:tabs>
        <w:spacing w:after="200" w:line="276" w:lineRule="auto"/>
        <w:rPr>
          <w:rFonts w:eastAsiaTheme="majorEastAsia" w:cstheme="majorBidi"/>
          <w:b/>
          <w:bCs/>
          <w:noProof/>
          <w:sz w:val="40"/>
          <w:szCs w:val="28"/>
          <w:lang w:eastAsia="en-AU"/>
        </w:rPr>
      </w:pPr>
      <w:bookmarkStart w:id="0" w:name="_Toc400549904"/>
      <w:bookmarkStart w:id="1" w:name="_Toc400551565"/>
      <w:bookmarkStart w:id="2" w:name="_Toc401059723"/>
      <w:r w:rsidRPr="00F80387">
        <w:rPr>
          <w:noProof/>
          <w:lang w:eastAsia="en-AU"/>
        </w:rPr>
        <w:drawing>
          <wp:anchor distT="0" distB="0" distL="114300" distR="114300" simplePos="0" relativeHeight="251659264" behindDoc="1" locked="0" layoutInCell="1" allowOverlap="1" wp14:anchorId="07D77058" wp14:editId="6EFD8D86">
            <wp:simplePos x="0" y="0"/>
            <wp:positionH relativeFrom="page">
              <wp:posOffset>2927</wp:posOffset>
            </wp:positionH>
            <wp:positionV relativeFrom="page">
              <wp:posOffset>1325</wp:posOffset>
            </wp:positionV>
            <wp:extent cx="7567200" cy="10703409"/>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MS_MAC_01:Users:amcgown:Desktop:DHHS_Annual Report:JPGs:ARPT_2014_Blank Cover.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67200" cy="1070340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F80387">
        <w:rPr>
          <w:noProof/>
          <w:lang w:eastAsia="en-AU"/>
        </w:rPr>
        <w:br w:type="page"/>
      </w:r>
    </w:p>
    <w:p w:rsidR="00F80387" w:rsidRDefault="00F80387" w:rsidP="00F80387">
      <w:pPr>
        <w:pStyle w:val="Heading1"/>
        <w:sectPr w:rsidR="00F80387" w:rsidSect="00065E95">
          <w:headerReference w:type="even" r:id="rId10"/>
          <w:headerReference w:type="default" r:id="rId11"/>
          <w:footerReference w:type="even" r:id="rId12"/>
          <w:footerReference w:type="default" r:id="rId13"/>
          <w:headerReference w:type="first" r:id="rId14"/>
          <w:footerReference w:type="first" r:id="rId15"/>
          <w:pgSz w:w="11906" w:h="16838" w:code="9"/>
          <w:pgMar w:top="907" w:right="1134" w:bottom="720" w:left="1134" w:header="709" w:footer="709" w:gutter="0"/>
          <w:cols w:space="708"/>
          <w:docGrid w:linePitch="360"/>
        </w:sect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rPr>
          <w:rFonts w:ascii="GillSans Light" w:hAnsi="GillSans Light"/>
        </w:rPr>
      </w:pPr>
    </w:p>
    <w:p w:rsidR="00933AB9" w:rsidRDefault="00933AB9" w:rsidP="00933AB9">
      <w:pPr>
        <w:pStyle w:val="Sub-branch"/>
        <w:spacing w:after="120" w:line="240" w:lineRule="auto"/>
        <w:rPr>
          <w:rFonts w:ascii="GillSans Light" w:hAnsi="GillSans Light"/>
          <w:b/>
          <w:caps w:val="0"/>
        </w:rPr>
      </w:pPr>
      <w:r w:rsidRPr="002E1D36">
        <w:rPr>
          <w:rFonts w:ascii="GillSans Light" w:hAnsi="GillSans Light"/>
          <w:b/>
          <w:caps w:val="0"/>
        </w:rPr>
        <w:t>Department of Health and Human Services</w:t>
      </w:r>
      <w:r>
        <w:rPr>
          <w:rFonts w:ascii="GillSans Light" w:hAnsi="GillSans Light"/>
          <w:b/>
          <w:caps w:val="0"/>
        </w:rPr>
        <w:t xml:space="preserve"> Annual Report 2014-15</w:t>
      </w:r>
    </w:p>
    <w:p w:rsidR="00933AB9" w:rsidRPr="007B4F8E" w:rsidRDefault="00933AB9" w:rsidP="00933AB9">
      <w:pPr>
        <w:pStyle w:val="Sub-branch"/>
        <w:spacing w:after="120" w:line="240" w:lineRule="auto"/>
        <w:rPr>
          <w:rFonts w:ascii="GillSans Light" w:hAnsi="GillSans Light"/>
          <w:caps w:val="0"/>
        </w:rPr>
      </w:pPr>
      <w:r w:rsidRPr="007B4F8E">
        <w:rPr>
          <w:rFonts w:ascii="GillSans Light" w:hAnsi="GillSans Light"/>
          <w:caps w:val="0"/>
        </w:rPr>
        <w:t>© Crown in the Right of the State of Tasmania</w:t>
      </w:r>
    </w:p>
    <w:p w:rsidR="00933AB9" w:rsidRDefault="00933AB9" w:rsidP="00933AB9">
      <w:pPr>
        <w:pStyle w:val="Sub-branch"/>
        <w:rPr>
          <w:rFonts w:ascii="GillSans Light" w:hAnsi="GillSans Light"/>
        </w:rPr>
      </w:pPr>
    </w:p>
    <w:p w:rsidR="00933AB9" w:rsidRDefault="00933AB9" w:rsidP="00933AB9">
      <w:pPr>
        <w:pStyle w:val="Sub-branch"/>
        <w:spacing w:after="120" w:line="240" w:lineRule="auto"/>
        <w:rPr>
          <w:rFonts w:ascii="GillSans Light" w:hAnsi="GillSans Light"/>
          <w:caps w:val="0"/>
        </w:rPr>
      </w:pPr>
      <w:r>
        <w:rPr>
          <w:rFonts w:ascii="GillSans Light" w:hAnsi="GillSans Light"/>
          <w:caps w:val="0"/>
        </w:rPr>
        <w:t>Department of Health and Human Services</w:t>
      </w:r>
    </w:p>
    <w:p w:rsidR="00933AB9" w:rsidRDefault="00933AB9" w:rsidP="00933AB9">
      <w:pPr>
        <w:pStyle w:val="Sub-branch"/>
        <w:spacing w:after="120" w:line="240" w:lineRule="auto"/>
        <w:rPr>
          <w:rFonts w:ascii="GillSans Light" w:hAnsi="GillSans Light"/>
          <w:caps w:val="0"/>
        </w:rPr>
      </w:pPr>
      <w:r>
        <w:rPr>
          <w:rFonts w:ascii="GillSans Light" w:hAnsi="GillSans Light"/>
          <w:caps w:val="0"/>
        </w:rPr>
        <w:t>GPO Box 125</w:t>
      </w:r>
    </w:p>
    <w:p w:rsidR="00933AB9" w:rsidRDefault="00933AB9" w:rsidP="00933AB9">
      <w:pPr>
        <w:pStyle w:val="Sub-branch"/>
        <w:spacing w:after="120" w:line="240" w:lineRule="auto"/>
        <w:rPr>
          <w:rFonts w:ascii="GillSans Light" w:hAnsi="GillSans Light"/>
          <w:caps w:val="0"/>
        </w:rPr>
      </w:pPr>
      <w:r>
        <w:rPr>
          <w:rFonts w:ascii="GillSans Light" w:hAnsi="GillSans Light"/>
          <w:caps w:val="0"/>
        </w:rPr>
        <w:t>Hobart TAS 7001</w:t>
      </w:r>
    </w:p>
    <w:p w:rsidR="00933AB9" w:rsidRDefault="00933AB9" w:rsidP="00933AB9">
      <w:pPr>
        <w:pStyle w:val="Sub-branch"/>
        <w:spacing w:after="120" w:line="240" w:lineRule="auto"/>
        <w:rPr>
          <w:rFonts w:ascii="GillSans Light" w:hAnsi="GillSans Light"/>
          <w:caps w:val="0"/>
        </w:rPr>
      </w:pPr>
      <w:r>
        <w:rPr>
          <w:rFonts w:ascii="GillSans Light" w:hAnsi="GillSans Light"/>
          <w:caps w:val="0"/>
        </w:rPr>
        <w:t>Telephone: 1300 135 513</w:t>
      </w:r>
    </w:p>
    <w:p w:rsidR="00933AB9" w:rsidRDefault="00933AB9" w:rsidP="00933AB9">
      <w:pPr>
        <w:pStyle w:val="Sub-branch"/>
        <w:spacing w:after="120" w:line="240" w:lineRule="auto"/>
        <w:rPr>
          <w:rFonts w:ascii="GillSans Light" w:hAnsi="GillSans Light"/>
          <w:caps w:val="0"/>
        </w:rPr>
      </w:pPr>
      <w:r>
        <w:rPr>
          <w:rFonts w:ascii="GillSans Light" w:hAnsi="GillSans Light"/>
          <w:caps w:val="0"/>
        </w:rPr>
        <w:t xml:space="preserve">Website: </w:t>
      </w:r>
      <w:hyperlink r:id="rId16" w:history="1">
        <w:r w:rsidRPr="00880A6E">
          <w:rPr>
            <w:rStyle w:val="Hyperlink"/>
            <w:rFonts w:ascii="GillSans Light" w:hAnsi="GillSans Light"/>
            <w:caps w:val="0"/>
          </w:rPr>
          <w:t>www.dhhs.tas.gov.au</w:t>
        </w:r>
      </w:hyperlink>
    </w:p>
    <w:p w:rsidR="00933AB9" w:rsidRDefault="00B960B2" w:rsidP="00933AB9">
      <w:pPr>
        <w:pStyle w:val="Sub-branch"/>
        <w:spacing w:after="120" w:line="240" w:lineRule="auto"/>
        <w:rPr>
          <w:rFonts w:ascii="GillSans Light" w:hAnsi="GillSans Light"/>
          <w:caps w:val="0"/>
        </w:rPr>
      </w:pPr>
      <w:r>
        <w:rPr>
          <w:rFonts w:ascii="GillSans Light" w:hAnsi="GillSans Light"/>
          <w:caps w:val="0"/>
        </w:rPr>
        <w:t>Published October 2015</w:t>
      </w:r>
    </w:p>
    <w:p w:rsidR="00933AB9" w:rsidRDefault="00933AB9" w:rsidP="00933AB9">
      <w:pPr>
        <w:pStyle w:val="Sub-branch"/>
        <w:spacing w:after="120" w:line="240" w:lineRule="auto"/>
        <w:rPr>
          <w:rFonts w:ascii="GillSans Light" w:hAnsi="GillSans Light"/>
          <w:caps w:val="0"/>
        </w:rPr>
      </w:pPr>
      <w:r>
        <w:rPr>
          <w:rFonts w:ascii="GillSans Light" w:hAnsi="GillSans Light"/>
          <w:caps w:val="0"/>
        </w:rPr>
        <w:t>ISBN 978-0-992417-4-4</w:t>
      </w:r>
    </w:p>
    <w:p w:rsidR="00933AB9" w:rsidRPr="002E1D36" w:rsidRDefault="00933AB9" w:rsidP="00933AB9">
      <w:pPr>
        <w:pStyle w:val="Sub-branch"/>
        <w:spacing w:after="120" w:line="240" w:lineRule="auto"/>
        <w:rPr>
          <w:rFonts w:ascii="GillSans Light" w:hAnsi="GillSans Light"/>
          <w:caps w:val="0"/>
        </w:rPr>
      </w:pPr>
    </w:p>
    <w:tbl>
      <w:tblPr>
        <w:tblW w:w="5000" w:type="pct"/>
        <w:tblLook w:val="01E0" w:firstRow="1" w:lastRow="1" w:firstColumn="1" w:lastColumn="1" w:noHBand="0" w:noVBand="0"/>
      </w:tblPr>
      <w:tblGrid>
        <w:gridCol w:w="7848"/>
        <w:gridCol w:w="2006"/>
      </w:tblGrid>
      <w:tr w:rsidR="00933AB9" w:rsidRPr="0098024A" w:rsidTr="00433B2E">
        <w:tc>
          <w:tcPr>
            <w:tcW w:w="3982" w:type="pct"/>
          </w:tcPr>
          <w:p w:rsidR="00933AB9" w:rsidRPr="0098024A" w:rsidRDefault="00933AB9" w:rsidP="00433B2E">
            <w:pPr>
              <w:pStyle w:val="Sub-branch"/>
              <w:rPr>
                <w:rFonts w:ascii="GillSans Light" w:hAnsi="GillSans Light"/>
              </w:rPr>
            </w:pPr>
          </w:p>
        </w:tc>
        <w:tc>
          <w:tcPr>
            <w:tcW w:w="1018" w:type="pct"/>
          </w:tcPr>
          <w:p w:rsidR="00933AB9" w:rsidRPr="0098024A" w:rsidRDefault="00933AB9" w:rsidP="00433B2E">
            <w:pPr>
              <w:pStyle w:val="Logo"/>
              <w:rPr>
                <w:rFonts w:ascii="GillSans Light" w:hAnsi="GillSans Light"/>
                <w:szCs w:val="18"/>
              </w:rPr>
            </w:pPr>
          </w:p>
        </w:tc>
      </w:tr>
      <w:tr w:rsidR="00933AB9" w:rsidRPr="0098024A" w:rsidTr="00433B2E">
        <w:tc>
          <w:tcPr>
            <w:tcW w:w="3982" w:type="pct"/>
          </w:tcPr>
          <w:p w:rsidR="00933AB9" w:rsidRPr="0098024A" w:rsidRDefault="00933AB9" w:rsidP="00433B2E">
            <w:pPr>
              <w:pStyle w:val="FileorMTSNo"/>
              <w:rPr>
                <w:rFonts w:ascii="GillSans Light" w:hAnsi="GillSans Light"/>
              </w:rPr>
            </w:pPr>
          </w:p>
        </w:tc>
        <w:tc>
          <w:tcPr>
            <w:tcW w:w="1018" w:type="pct"/>
          </w:tcPr>
          <w:p w:rsidR="00933AB9" w:rsidRPr="0098024A" w:rsidRDefault="00933AB9" w:rsidP="00433B2E">
            <w:pPr>
              <w:pStyle w:val="Fileno"/>
              <w:rPr>
                <w:rFonts w:ascii="GillSans Light" w:hAnsi="GillSans Light"/>
              </w:rPr>
            </w:pPr>
          </w:p>
        </w:tc>
      </w:tr>
    </w:tbl>
    <w:p w:rsidR="00933AB9" w:rsidRPr="0098024A" w:rsidRDefault="00933AB9" w:rsidP="00933AB9"/>
    <w:p w:rsidR="00D47223" w:rsidRDefault="00D47223" w:rsidP="00D47223">
      <w:pPr>
        <w:spacing w:after="240" w:line="240" w:lineRule="atLeast"/>
        <w:rPr>
          <w:b/>
          <w:sz w:val="40"/>
          <w:szCs w:val="40"/>
        </w:rPr>
        <w:sectPr w:rsidR="00D47223" w:rsidSect="00452C66">
          <w:headerReference w:type="even" r:id="rId17"/>
          <w:headerReference w:type="default" r:id="rId18"/>
          <w:footerReference w:type="even" r:id="rId19"/>
          <w:footerReference w:type="default" r:id="rId20"/>
          <w:pgSz w:w="11906" w:h="16838" w:code="9"/>
          <w:pgMar w:top="907" w:right="1134" w:bottom="720" w:left="1134" w:header="709" w:footer="709" w:gutter="0"/>
          <w:pgNumType w:start="2"/>
          <w:cols w:space="708"/>
          <w:docGrid w:linePitch="360"/>
        </w:sectPr>
      </w:pPr>
      <w:r w:rsidRPr="00E660CF">
        <w:rPr>
          <w:b/>
          <w:sz w:val="40"/>
          <w:szCs w:val="40"/>
        </w:rPr>
        <w:lastRenderedPageBreak/>
        <w:t>Contents</w:t>
      </w:r>
    </w:p>
    <w:p w:rsidR="00D47223" w:rsidRPr="00D47223" w:rsidRDefault="00D47223" w:rsidP="00D47223">
      <w:pPr>
        <w:spacing w:after="240"/>
        <w:rPr>
          <w:b/>
          <w:szCs w:val="40"/>
        </w:rPr>
      </w:pPr>
    </w:p>
    <w:p w:rsidR="00D47223" w:rsidRPr="00D47223" w:rsidRDefault="00D47223" w:rsidP="00D47223">
      <w:pPr>
        <w:spacing w:after="240"/>
        <w:rPr>
          <w:sz w:val="2"/>
        </w:rPr>
        <w:sectPr w:rsidR="00D47223" w:rsidRPr="00D47223" w:rsidSect="00D47223">
          <w:type w:val="continuous"/>
          <w:pgSz w:w="11906" w:h="16838" w:code="9"/>
          <w:pgMar w:top="907" w:right="1134" w:bottom="720" w:left="1134" w:header="709" w:footer="709" w:gutter="0"/>
          <w:pgNumType w:start="2"/>
          <w:cols w:space="708"/>
          <w:docGrid w:linePitch="360"/>
        </w:sectPr>
      </w:pPr>
    </w:p>
    <w:p w:rsidR="00D47223" w:rsidRPr="00C00392" w:rsidRDefault="00D47223" w:rsidP="00D47223">
      <w:pPr>
        <w:spacing w:after="240"/>
      </w:pPr>
      <w:r w:rsidRPr="00C00392">
        <w:lastRenderedPageBreak/>
        <w:t>Sec</w:t>
      </w:r>
      <w:r>
        <w:t>retary’s Letter of Transmittal</w:t>
      </w:r>
      <w:r>
        <w:tab/>
      </w:r>
      <w:r>
        <w:tab/>
      </w:r>
      <w:r>
        <w:tab/>
        <w:t>3</w:t>
      </w:r>
    </w:p>
    <w:p w:rsidR="00D47223" w:rsidRPr="00D47223" w:rsidRDefault="00D47223" w:rsidP="00D47223">
      <w:pPr>
        <w:tabs>
          <w:tab w:val="right" w:pos="4395"/>
        </w:tabs>
        <w:spacing w:after="240" w:line="260" w:lineRule="atLeast"/>
        <w:rPr>
          <w:sz w:val="14"/>
        </w:rPr>
      </w:pPr>
    </w:p>
    <w:p w:rsidR="00D47223" w:rsidRPr="00C00392" w:rsidRDefault="00D47223" w:rsidP="00D47223">
      <w:pPr>
        <w:tabs>
          <w:tab w:val="right" w:pos="4395"/>
        </w:tabs>
        <w:spacing w:after="240"/>
      </w:pPr>
      <w:r w:rsidRPr="00C00392">
        <w:t>Part 1 – Overview</w:t>
      </w:r>
      <w:r w:rsidRPr="00C00392">
        <w:tab/>
      </w:r>
    </w:p>
    <w:p w:rsidR="00D47223" w:rsidRPr="00C00392" w:rsidRDefault="00D47223" w:rsidP="00D47223">
      <w:pPr>
        <w:tabs>
          <w:tab w:val="right" w:pos="4395"/>
        </w:tabs>
        <w:spacing w:after="240"/>
      </w:pPr>
      <w:r w:rsidRPr="00C00392">
        <w:t>DHHS Overview</w:t>
      </w:r>
      <w:r w:rsidRPr="00C00392">
        <w:tab/>
        <w:t>9</w:t>
      </w:r>
    </w:p>
    <w:p w:rsidR="00D47223" w:rsidRPr="00C00392" w:rsidRDefault="00D47223" w:rsidP="00D47223">
      <w:pPr>
        <w:tabs>
          <w:tab w:val="right" w:pos="4395"/>
        </w:tabs>
        <w:spacing w:after="240"/>
      </w:pPr>
      <w:r w:rsidRPr="00C00392">
        <w:t>Financial Overview</w:t>
      </w:r>
      <w:r w:rsidRPr="00C00392">
        <w:tab/>
        <w:t>13</w:t>
      </w:r>
    </w:p>
    <w:p w:rsidR="00D47223" w:rsidRPr="00C00392" w:rsidRDefault="00D47223" w:rsidP="00D47223">
      <w:pPr>
        <w:tabs>
          <w:tab w:val="right" w:pos="4395"/>
        </w:tabs>
        <w:spacing w:after="240"/>
      </w:pPr>
      <w:r w:rsidRPr="00C00392">
        <w:t>Health and Human Services Workforce</w:t>
      </w:r>
      <w:r w:rsidRPr="00C00392">
        <w:tab/>
        <w:t>16</w:t>
      </w:r>
    </w:p>
    <w:p w:rsidR="00D47223" w:rsidRPr="00C00392" w:rsidRDefault="00D47223" w:rsidP="00D47223">
      <w:pPr>
        <w:tabs>
          <w:tab w:val="right" w:pos="4395"/>
        </w:tabs>
        <w:spacing w:after="240"/>
      </w:pPr>
      <w:r w:rsidRPr="00C00392">
        <w:t>Community Engagement</w:t>
      </w:r>
      <w:r w:rsidRPr="00C00392">
        <w:tab/>
        <w:t>21</w:t>
      </w:r>
    </w:p>
    <w:p w:rsidR="00D47223" w:rsidRPr="00C00392" w:rsidRDefault="00D47223" w:rsidP="00D47223">
      <w:pPr>
        <w:tabs>
          <w:tab w:val="right" w:pos="4395"/>
        </w:tabs>
        <w:spacing w:after="240"/>
      </w:pPr>
      <w:r w:rsidRPr="00C00392">
        <w:t>Disability Framework for Action</w:t>
      </w:r>
      <w:r w:rsidRPr="00C00392">
        <w:tab/>
        <w:t>23</w:t>
      </w:r>
    </w:p>
    <w:p w:rsidR="00D47223" w:rsidRPr="00C00392" w:rsidRDefault="00D47223" w:rsidP="00D47223">
      <w:pPr>
        <w:tabs>
          <w:tab w:val="right" w:pos="4395"/>
        </w:tabs>
        <w:spacing w:after="240"/>
      </w:pPr>
      <w:r w:rsidRPr="00C00392">
        <w:t>DHHS in 2014-15</w:t>
      </w:r>
      <w:r w:rsidRPr="00C00392">
        <w:tab/>
        <w:t>24</w:t>
      </w:r>
    </w:p>
    <w:p w:rsidR="00D47223" w:rsidRPr="00C00392" w:rsidRDefault="00D47223" w:rsidP="00D47223">
      <w:pPr>
        <w:tabs>
          <w:tab w:val="right" w:pos="4395"/>
        </w:tabs>
        <w:spacing w:after="240"/>
      </w:pPr>
      <w:r w:rsidRPr="00C00392">
        <w:t>DHHS in 2015-16</w:t>
      </w:r>
      <w:r w:rsidRPr="00C00392">
        <w:tab/>
        <w:t>34</w:t>
      </w:r>
    </w:p>
    <w:p w:rsidR="00D47223" w:rsidRPr="00D47223" w:rsidRDefault="00D47223" w:rsidP="00D47223">
      <w:pPr>
        <w:tabs>
          <w:tab w:val="right" w:pos="4395"/>
        </w:tabs>
        <w:spacing w:after="240" w:line="260" w:lineRule="atLeast"/>
        <w:rPr>
          <w:sz w:val="14"/>
        </w:rPr>
      </w:pPr>
    </w:p>
    <w:p w:rsidR="00D47223" w:rsidRPr="00C00392" w:rsidRDefault="00D47223" w:rsidP="00D47223">
      <w:pPr>
        <w:tabs>
          <w:tab w:val="right" w:pos="4395"/>
        </w:tabs>
        <w:spacing w:after="240"/>
      </w:pPr>
      <w:r w:rsidRPr="00C00392">
        <w:t>Part 2 – Regulatory Information</w:t>
      </w:r>
    </w:p>
    <w:p w:rsidR="00D47223" w:rsidRPr="00C00392" w:rsidRDefault="00D47223" w:rsidP="00D47223">
      <w:pPr>
        <w:tabs>
          <w:tab w:val="right" w:pos="4395"/>
        </w:tabs>
        <w:spacing w:after="240"/>
      </w:pPr>
      <w:r w:rsidRPr="00C00392">
        <w:t>Capital Works and Asset Management</w:t>
      </w:r>
      <w:r w:rsidRPr="00C00392">
        <w:tab/>
        <w:t>39</w:t>
      </w:r>
    </w:p>
    <w:p w:rsidR="00D47223" w:rsidRPr="00C00392" w:rsidRDefault="00D47223" w:rsidP="00D47223">
      <w:pPr>
        <w:tabs>
          <w:tab w:val="right" w:pos="4395"/>
        </w:tabs>
        <w:spacing w:after="240"/>
      </w:pPr>
      <w:r w:rsidRPr="00C00392">
        <w:t>Consultancies, Contracts and Tenders</w:t>
      </w:r>
      <w:r w:rsidRPr="00C00392">
        <w:tab/>
        <w:t>47</w:t>
      </w:r>
    </w:p>
    <w:p w:rsidR="00D47223" w:rsidRPr="00C00392" w:rsidRDefault="00D47223" w:rsidP="00D47223">
      <w:pPr>
        <w:tabs>
          <w:tab w:val="right" w:pos="4395"/>
        </w:tabs>
        <w:spacing w:after="240"/>
      </w:pPr>
      <w:r w:rsidRPr="00C00392">
        <w:t>Community Sector Organisations</w:t>
      </w:r>
      <w:r w:rsidRPr="00C00392">
        <w:tab/>
        <w:t>58</w:t>
      </w:r>
    </w:p>
    <w:p w:rsidR="00D47223" w:rsidRPr="00C00392" w:rsidRDefault="00D47223" w:rsidP="00D47223">
      <w:pPr>
        <w:tabs>
          <w:tab w:val="right" w:pos="4395"/>
        </w:tabs>
        <w:spacing w:after="240"/>
      </w:pPr>
      <w:r w:rsidRPr="00C00392">
        <w:t>Climate Change</w:t>
      </w:r>
      <w:r w:rsidRPr="00C00392">
        <w:tab/>
        <w:t>74</w:t>
      </w:r>
    </w:p>
    <w:p w:rsidR="00D47223" w:rsidRPr="00C00392" w:rsidRDefault="00D47223" w:rsidP="00D47223">
      <w:pPr>
        <w:tabs>
          <w:tab w:val="right" w:pos="4395"/>
        </w:tabs>
        <w:spacing w:after="240"/>
      </w:pPr>
      <w:r w:rsidRPr="00C00392">
        <w:t>Risk Management</w:t>
      </w:r>
      <w:r w:rsidRPr="00C00392">
        <w:tab/>
        <w:t>76</w:t>
      </w:r>
    </w:p>
    <w:p w:rsidR="00D47223" w:rsidRPr="00C00392" w:rsidRDefault="00D47223" w:rsidP="00D47223">
      <w:pPr>
        <w:tabs>
          <w:tab w:val="right" w:pos="4395"/>
        </w:tabs>
        <w:spacing w:after="240"/>
      </w:pPr>
      <w:r w:rsidRPr="00C00392">
        <w:t>Pricing Policies</w:t>
      </w:r>
      <w:r w:rsidRPr="00C00392">
        <w:tab/>
        <w:t>77</w:t>
      </w:r>
    </w:p>
    <w:p w:rsidR="00D47223" w:rsidRPr="00C00392" w:rsidRDefault="00D47223" w:rsidP="00D47223">
      <w:pPr>
        <w:tabs>
          <w:tab w:val="right" w:pos="4395"/>
        </w:tabs>
        <w:spacing w:after="240"/>
      </w:pPr>
      <w:r w:rsidRPr="00C00392">
        <w:t>Administered Payments</w:t>
      </w:r>
      <w:r w:rsidRPr="00C00392">
        <w:tab/>
        <w:t>77</w:t>
      </w:r>
    </w:p>
    <w:p w:rsidR="00D47223" w:rsidRPr="00C00392" w:rsidRDefault="00D47223" w:rsidP="00D47223">
      <w:pPr>
        <w:tabs>
          <w:tab w:val="right" w:pos="4395"/>
        </w:tabs>
        <w:spacing w:after="240"/>
      </w:pPr>
      <w:r w:rsidRPr="00C00392">
        <w:t>Superannuation Declaration</w:t>
      </w:r>
      <w:r w:rsidRPr="00C00392">
        <w:tab/>
        <w:t>77</w:t>
      </w:r>
    </w:p>
    <w:p w:rsidR="00D47223" w:rsidRPr="00C00392" w:rsidRDefault="00D47223" w:rsidP="00D47223">
      <w:pPr>
        <w:tabs>
          <w:tab w:val="right" w:pos="4395"/>
        </w:tabs>
        <w:spacing w:after="240"/>
      </w:pPr>
      <w:r w:rsidRPr="00C00392">
        <w:t>Public Interest Disclosure</w:t>
      </w:r>
      <w:r w:rsidRPr="00C00392">
        <w:tab/>
        <w:t>78</w:t>
      </w:r>
    </w:p>
    <w:p w:rsidR="00D47223" w:rsidRPr="00C00392" w:rsidRDefault="00D47223" w:rsidP="00D47223">
      <w:pPr>
        <w:keepNext/>
        <w:tabs>
          <w:tab w:val="right" w:pos="4395"/>
        </w:tabs>
        <w:spacing w:after="240"/>
      </w:pPr>
      <w:r w:rsidRPr="00C00392">
        <w:t>Right to Information</w:t>
      </w:r>
      <w:r w:rsidRPr="00C00392">
        <w:tab/>
        <w:t>79</w:t>
      </w:r>
    </w:p>
    <w:p w:rsidR="00D47223" w:rsidRPr="00C00392" w:rsidRDefault="00D47223" w:rsidP="00D47223">
      <w:pPr>
        <w:keepNext/>
        <w:tabs>
          <w:tab w:val="right" w:pos="4395"/>
        </w:tabs>
        <w:spacing w:after="240"/>
      </w:pPr>
      <w:r w:rsidRPr="00C00392">
        <w:t>Legislation</w:t>
      </w:r>
      <w:r w:rsidRPr="00C00392">
        <w:tab/>
        <w:t>81</w:t>
      </w:r>
    </w:p>
    <w:p w:rsidR="00D47223" w:rsidRPr="00C00392" w:rsidRDefault="00D47223" w:rsidP="00D47223">
      <w:pPr>
        <w:keepNext/>
        <w:tabs>
          <w:tab w:val="right" w:pos="4395"/>
        </w:tabs>
        <w:spacing w:after="240"/>
      </w:pPr>
      <w:r w:rsidRPr="00C00392">
        <w:t>Other Annual Reports</w:t>
      </w:r>
      <w:r w:rsidRPr="00C00392">
        <w:tab/>
        <w:t>85</w:t>
      </w:r>
    </w:p>
    <w:p w:rsidR="00D47223" w:rsidRPr="00C00392" w:rsidRDefault="00D47223" w:rsidP="00D47223">
      <w:pPr>
        <w:tabs>
          <w:tab w:val="right" w:pos="4395"/>
        </w:tabs>
        <w:spacing w:after="240"/>
      </w:pPr>
      <w:r w:rsidRPr="00C00392">
        <w:t xml:space="preserve">   </w:t>
      </w:r>
      <w:r w:rsidRPr="00C00392">
        <w:rPr>
          <w:i/>
        </w:rPr>
        <w:t>Disability Services Act 2011</w:t>
      </w:r>
      <w:r w:rsidRPr="00C00392">
        <w:tab/>
        <w:t>86</w:t>
      </w:r>
    </w:p>
    <w:p w:rsidR="00D47223" w:rsidRPr="00C00392" w:rsidRDefault="00D47223" w:rsidP="00D47223">
      <w:pPr>
        <w:tabs>
          <w:tab w:val="right" w:pos="4395"/>
        </w:tabs>
        <w:spacing w:after="240"/>
      </w:pPr>
      <w:r w:rsidRPr="00C00392">
        <w:lastRenderedPageBreak/>
        <w:t xml:space="preserve">   Council of Obstetric and Paediatric </w:t>
      </w:r>
      <w:r w:rsidRPr="00C00392">
        <w:br/>
        <w:t xml:space="preserve">   Mortality and Morbidity</w:t>
      </w:r>
      <w:r w:rsidRPr="00C00392">
        <w:tab/>
        <w:t>93</w:t>
      </w:r>
    </w:p>
    <w:p w:rsidR="00D47223" w:rsidRPr="00C00392" w:rsidRDefault="00D47223" w:rsidP="00D47223">
      <w:pPr>
        <w:tabs>
          <w:tab w:val="right" w:pos="4395"/>
        </w:tabs>
        <w:spacing w:after="240"/>
      </w:pPr>
      <w:r w:rsidRPr="00C00392">
        <w:t xml:space="preserve">   Tasmanian Pharmacy Authority</w:t>
      </w:r>
      <w:r w:rsidRPr="00C00392">
        <w:tab/>
        <w:t>99</w:t>
      </w:r>
    </w:p>
    <w:p w:rsidR="00D47223" w:rsidRPr="00C00392" w:rsidRDefault="00D47223" w:rsidP="00D47223">
      <w:pPr>
        <w:tabs>
          <w:tab w:val="right" w:pos="4395"/>
        </w:tabs>
        <w:spacing w:after="120"/>
        <w:rPr>
          <w:sz w:val="2"/>
        </w:rPr>
      </w:pPr>
    </w:p>
    <w:p w:rsidR="00D47223" w:rsidRPr="00C00392" w:rsidRDefault="00D47223" w:rsidP="00D47223">
      <w:pPr>
        <w:tabs>
          <w:tab w:val="right" w:pos="4395"/>
        </w:tabs>
        <w:spacing w:after="240"/>
      </w:pPr>
      <w:r w:rsidRPr="00C00392">
        <w:t>Part 3 – Financial Report</w:t>
      </w:r>
    </w:p>
    <w:p w:rsidR="00D47223" w:rsidRPr="00C00392" w:rsidRDefault="00D47223" w:rsidP="00D47223">
      <w:pPr>
        <w:tabs>
          <w:tab w:val="right" w:pos="4395"/>
        </w:tabs>
        <w:spacing w:after="240"/>
      </w:pPr>
      <w:r w:rsidRPr="00C00392">
        <w:t>Department of Health and Human Services</w:t>
      </w:r>
    </w:p>
    <w:p w:rsidR="00D47223" w:rsidRPr="00C00392" w:rsidRDefault="00D47223" w:rsidP="00D47223">
      <w:pPr>
        <w:tabs>
          <w:tab w:val="right" w:pos="4395"/>
        </w:tabs>
        <w:spacing w:after="240"/>
      </w:pPr>
      <w:r w:rsidRPr="00C00392">
        <w:t xml:space="preserve">   Statement of Certification</w:t>
      </w:r>
      <w:r w:rsidRPr="00C00392">
        <w:tab/>
        <w:t>121</w:t>
      </w:r>
    </w:p>
    <w:p w:rsidR="00D47223" w:rsidRPr="00C00392" w:rsidRDefault="00D47223" w:rsidP="00D47223">
      <w:pPr>
        <w:tabs>
          <w:tab w:val="right" w:pos="4395"/>
        </w:tabs>
        <w:spacing w:after="240"/>
      </w:pPr>
      <w:r w:rsidRPr="00C00392">
        <w:t xml:space="preserve">   Statement of Comprehensive Income</w:t>
      </w:r>
      <w:r w:rsidRPr="00C00392">
        <w:tab/>
        <w:t>122</w:t>
      </w:r>
    </w:p>
    <w:p w:rsidR="00D47223" w:rsidRPr="00C00392" w:rsidRDefault="00D47223" w:rsidP="00D47223">
      <w:pPr>
        <w:tabs>
          <w:tab w:val="right" w:pos="4395"/>
        </w:tabs>
        <w:spacing w:after="240"/>
      </w:pPr>
      <w:r w:rsidRPr="00C00392">
        <w:t xml:space="preserve">   Statement of Financial Position</w:t>
      </w:r>
      <w:r w:rsidRPr="00C00392">
        <w:tab/>
        <w:t>123</w:t>
      </w:r>
    </w:p>
    <w:p w:rsidR="00D47223" w:rsidRPr="00C00392" w:rsidRDefault="00D47223" w:rsidP="00D47223">
      <w:pPr>
        <w:tabs>
          <w:tab w:val="right" w:pos="4395"/>
        </w:tabs>
        <w:spacing w:after="240"/>
      </w:pPr>
      <w:r w:rsidRPr="00C00392">
        <w:t xml:space="preserve">   Statement of Cash Flows</w:t>
      </w:r>
      <w:r w:rsidRPr="00C00392">
        <w:tab/>
        <w:t>124</w:t>
      </w:r>
    </w:p>
    <w:p w:rsidR="00D47223" w:rsidRPr="00C00392" w:rsidRDefault="00D47223" w:rsidP="00D47223">
      <w:pPr>
        <w:tabs>
          <w:tab w:val="right" w:pos="4395"/>
        </w:tabs>
        <w:spacing w:after="240"/>
      </w:pPr>
      <w:r w:rsidRPr="00C00392">
        <w:t xml:space="preserve">   Statement of Changes in Equity</w:t>
      </w:r>
      <w:r w:rsidRPr="00C00392">
        <w:tab/>
        <w:t>125</w:t>
      </w:r>
    </w:p>
    <w:p w:rsidR="00D47223" w:rsidRPr="00C00392" w:rsidRDefault="00D47223" w:rsidP="00D47223">
      <w:pPr>
        <w:tabs>
          <w:tab w:val="right" w:pos="4395"/>
        </w:tabs>
        <w:spacing w:after="240"/>
      </w:pPr>
      <w:r w:rsidRPr="00C00392">
        <w:t xml:space="preserve">   Notes to and Forming Part of Financial</w:t>
      </w:r>
      <w:r w:rsidRPr="00C00392">
        <w:tab/>
        <w:t>126</w:t>
      </w:r>
      <w:r w:rsidRPr="00C00392">
        <w:br/>
        <w:t xml:space="preserve">   Statements</w:t>
      </w:r>
    </w:p>
    <w:p w:rsidR="00D47223" w:rsidRPr="00C00392" w:rsidRDefault="00D47223" w:rsidP="00D47223">
      <w:pPr>
        <w:tabs>
          <w:tab w:val="right" w:pos="4395"/>
        </w:tabs>
        <w:spacing w:after="240"/>
      </w:pPr>
    </w:p>
    <w:p w:rsidR="00D47223" w:rsidRPr="00C00392" w:rsidRDefault="00D47223" w:rsidP="00D47223">
      <w:pPr>
        <w:tabs>
          <w:tab w:val="right" w:pos="4395"/>
        </w:tabs>
        <w:spacing w:after="240"/>
      </w:pPr>
      <w:r w:rsidRPr="00C00392">
        <w:t>Ambulance Tasmania</w:t>
      </w:r>
    </w:p>
    <w:p w:rsidR="00D47223" w:rsidRPr="00C00392" w:rsidRDefault="00D47223" w:rsidP="00D47223">
      <w:pPr>
        <w:tabs>
          <w:tab w:val="right" w:pos="4395"/>
        </w:tabs>
        <w:spacing w:after="240"/>
      </w:pPr>
      <w:r w:rsidRPr="00C00392">
        <w:t xml:space="preserve">   Statement of Certification</w:t>
      </w:r>
      <w:r w:rsidRPr="00C00392">
        <w:tab/>
        <w:t>210</w:t>
      </w:r>
    </w:p>
    <w:p w:rsidR="00D47223" w:rsidRPr="00C00392" w:rsidRDefault="00D47223" w:rsidP="00D47223">
      <w:pPr>
        <w:tabs>
          <w:tab w:val="right" w:pos="4395"/>
        </w:tabs>
        <w:spacing w:after="240"/>
      </w:pPr>
      <w:r w:rsidRPr="00C00392">
        <w:t xml:space="preserve">   Statement of Comprehensive Income</w:t>
      </w:r>
      <w:r w:rsidRPr="00C00392">
        <w:tab/>
        <w:t>211</w:t>
      </w:r>
    </w:p>
    <w:p w:rsidR="00D47223" w:rsidRPr="00C00392" w:rsidRDefault="00D47223" w:rsidP="00D47223">
      <w:pPr>
        <w:tabs>
          <w:tab w:val="right" w:pos="4395"/>
        </w:tabs>
        <w:spacing w:after="240"/>
      </w:pPr>
      <w:r w:rsidRPr="00C00392">
        <w:t xml:space="preserve">   Statement of Financial Position</w:t>
      </w:r>
      <w:r w:rsidRPr="00C00392">
        <w:tab/>
        <w:t>212</w:t>
      </w:r>
    </w:p>
    <w:p w:rsidR="00D47223" w:rsidRPr="00C00392" w:rsidRDefault="00D47223" w:rsidP="00D47223">
      <w:pPr>
        <w:tabs>
          <w:tab w:val="right" w:pos="4395"/>
        </w:tabs>
        <w:spacing w:after="240"/>
      </w:pPr>
      <w:r w:rsidRPr="00C00392">
        <w:t xml:space="preserve">   Statement of Cash Flows</w:t>
      </w:r>
      <w:r w:rsidRPr="00C00392">
        <w:tab/>
        <w:t>213</w:t>
      </w:r>
    </w:p>
    <w:p w:rsidR="00D47223" w:rsidRPr="00C00392" w:rsidRDefault="00D47223" w:rsidP="00D47223">
      <w:pPr>
        <w:tabs>
          <w:tab w:val="right" w:pos="4395"/>
        </w:tabs>
        <w:spacing w:after="240"/>
      </w:pPr>
      <w:r w:rsidRPr="00C00392">
        <w:t xml:space="preserve">   Statement of Changes in Equity</w:t>
      </w:r>
      <w:r w:rsidRPr="00C00392">
        <w:tab/>
        <w:t>214</w:t>
      </w:r>
    </w:p>
    <w:p w:rsidR="00D47223" w:rsidRPr="00C00392" w:rsidRDefault="00D47223" w:rsidP="00D47223">
      <w:pPr>
        <w:tabs>
          <w:tab w:val="right" w:pos="4395"/>
        </w:tabs>
        <w:spacing w:after="240"/>
      </w:pPr>
      <w:r w:rsidRPr="00C00392">
        <w:t xml:space="preserve">   Notes to and Forming Part of Financial</w:t>
      </w:r>
      <w:r w:rsidRPr="00C00392">
        <w:tab/>
        <w:t>215</w:t>
      </w:r>
      <w:r w:rsidRPr="00C00392">
        <w:br/>
        <w:t xml:space="preserve">   Statements</w:t>
      </w:r>
    </w:p>
    <w:p w:rsidR="00D47223" w:rsidRDefault="00D47223" w:rsidP="00D47223">
      <w:pPr>
        <w:tabs>
          <w:tab w:val="right" w:pos="4395"/>
        </w:tabs>
        <w:spacing w:after="240"/>
        <w:sectPr w:rsidR="00D47223" w:rsidSect="00D47223">
          <w:type w:val="continuous"/>
          <w:pgSz w:w="11906" w:h="16838" w:code="9"/>
          <w:pgMar w:top="907" w:right="1134" w:bottom="720" w:left="1134" w:header="709" w:footer="709" w:gutter="0"/>
          <w:pgNumType w:start="2"/>
          <w:cols w:num="2" w:space="708"/>
          <w:docGrid w:linePitch="360"/>
        </w:sectPr>
      </w:pPr>
    </w:p>
    <w:p w:rsidR="00933AB9" w:rsidRDefault="00933AB9">
      <w:pPr>
        <w:tabs>
          <w:tab w:val="clear" w:pos="567"/>
        </w:tabs>
        <w:spacing w:after="200" w:line="276" w:lineRule="auto"/>
      </w:pPr>
      <w:r>
        <w:lastRenderedPageBreak/>
        <w:br w:type="page"/>
      </w:r>
    </w:p>
    <w:p w:rsidR="00B166D8" w:rsidRPr="00F80387" w:rsidRDefault="00B166D8" w:rsidP="00F80387">
      <w:pPr>
        <w:pStyle w:val="Heading1"/>
      </w:pPr>
    </w:p>
    <w:p w:rsidR="009A1212" w:rsidRDefault="00F80387" w:rsidP="00B166D8">
      <w:pPr>
        <w:sectPr w:rsidR="009A1212" w:rsidSect="00D47223">
          <w:type w:val="continuous"/>
          <w:pgSz w:w="11906" w:h="16838" w:code="9"/>
          <w:pgMar w:top="907" w:right="1134" w:bottom="720" w:left="1134" w:header="709" w:footer="709" w:gutter="0"/>
          <w:pgNumType w:start="2"/>
          <w:cols w:space="708"/>
          <w:docGrid w:linePitch="360"/>
        </w:sectPr>
      </w:pPr>
      <w:r w:rsidRPr="00F80387">
        <w:rPr>
          <w:noProof/>
          <w:lang w:eastAsia="en-AU"/>
        </w:rPr>
        <w:drawing>
          <wp:anchor distT="0" distB="0" distL="114300" distR="114300" simplePos="0" relativeHeight="251662336" behindDoc="1" locked="0" layoutInCell="1" allowOverlap="1" wp14:anchorId="286BAD6D" wp14:editId="45E8EB24">
            <wp:simplePos x="0" y="0"/>
            <wp:positionH relativeFrom="column">
              <wp:posOffset>-1141509</wp:posOffset>
            </wp:positionH>
            <wp:positionV relativeFrom="paragraph">
              <wp:posOffset>742757</wp:posOffset>
            </wp:positionV>
            <wp:extent cx="8340918" cy="6289841"/>
            <wp:effectExtent l="0" t="1028700" r="0" b="1006309"/>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THO Jun15 v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8340918" cy="6289841"/>
                    </a:xfrm>
                    <a:prstGeom prst="rect">
                      <a:avLst/>
                    </a:prstGeom>
                  </pic:spPr>
                </pic:pic>
              </a:graphicData>
            </a:graphic>
          </wp:anchor>
        </w:drawing>
      </w:r>
      <w:r w:rsidR="00B166D8" w:rsidRPr="00F80387">
        <w:br w:type="page"/>
      </w:r>
    </w:p>
    <w:p w:rsidR="00B166D8" w:rsidRPr="00F80387" w:rsidRDefault="00B166D8" w:rsidP="00B166D8">
      <w:pPr>
        <w:rPr>
          <w:rFonts w:eastAsiaTheme="majorEastAsia" w:cstheme="majorBidi"/>
          <w:sz w:val="40"/>
          <w:szCs w:val="28"/>
        </w:rPr>
      </w:pPr>
    </w:p>
    <w:p w:rsidR="008C40C3" w:rsidRPr="00F80387" w:rsidRDefault="008C40C3" w:rsidP="00DC72FA">
      <w:pPr>
        <w:pStyle w:val="Heading2"/>
      </w:pPr>
      <w:r w:rsidRPr="00F80387">
        <w:t>Secretary’s Letter of Transmittal</w:t>
      </w:r>
      <w:bookmarkEnd w:id="0"/>
      <w:bookmarkEnd w:id="1"/>
      <w:bookmarkEnd w:id="2"/>
    </w:p>
    <w:p w:rsidR="009E2428" w:rsidRPr="00F80387" w:rsidRDefault="009E2428" w:rsidP="0020675D">
      <w:pPr>
        <w:sectPr w:rsidR="009E2428" w:rsidRPr="00F80387" w:rsidSect="00452C66">
          <w:footerReference w:type="default" r:id="rId22"/>
          <w:type w:val="oddPage"/>
          <w:pgSz w:w="11906" w:h="16838" w:code="9"/>
          <w:pgMar w:top="907" w:right="1134" w:bottom="720" w:left="1134" w:header="709" w:footer="709" w:gutter="0"/>
          <w:pgNumType w:start="3"/>
          <w:cols w:space="708"/>
          <w:docGrid w:linePitch="360"/>
        </w:sectPr>
      </w:pPr>
    </w:p>
    <w:p w:rsidR="008C40C3" w:rsidRPr="00F80387" w:rsidRDefault="008C40C3" w:rsidP="0020675D">
      <w:r w:rsidRPr="00F80387">
        <w:lastRenderedPageBreak/>
        <w:t>Dear Ministers</w:t>
      </w:r>
    </w:p>
    <w:p w:rsidR="00A90575" w:rsidRPr="00F80387" w:rsidRDefault="008C40C3" w:rsidP="0020675D">
      <w:r w:rsidRPr="00F80387">
        <w:t>During 201</w:t>
      </w:r>
      <w:r w:rsidR="009944F2" w:rsidRPr="00F80387">
        <w:t>4</w:t>
      </w:r>
      <w:r w:rsidRPr="00F80387">
        <w:t>-1</w:t>
      </w:r>
      <w:r w:rsidR="009944F2" w:rsidRPr="00F80387">
        <w:t>5</w:t>
      </w:r>
      <w:r w:rsidRPr="00F80387">
        <w:t>, the Department of Health and Human Services</w:t>
      </w:r>
      <w:r w:rsidR="009E2428" w:rsidRPr="00F80387">
        <w:t xml:space="preserve"> (DHHS)</w:t>
      </w:r>
      <w:r w:rsidRPr="00F80387">
        <w:t xml:space="preserve"> has continued</w:t>
      </w:r>
      <w:r w:rsidR="001D436C">
        <w:t xml:space="preserve"> to</w:t>
      </w:r>
      <w:r w:rsidR="00A90575" w:rsidRPr="00F80387">
        <w:t xml:space="preserve"> </w:t>
      </w:r>
      <w:r w:rsidR="009E2428" w:rsidRPr="00F80387">
        <w:t xml:space="preserve">put </w:t>
      </w:r>
      <w:r w:rsidR="00A90575" w:rsidRPr="00F80387">
        <w:t xml:space="preserve">patients and clients at the forefront of everything we do. </w:t>
      </w:r>
      <w:r w:rsidR="0053321A" w:rsidRPr="00F80387">
        <w:t xml:space="preserve"> </w:t>
      </w:r>
      <w:r w:rsidR="00A90575" w:rsidRPr="00F80387">
        <w:t>We remained focussed on successfully delivering our mission to improve the health and wellbeing of patients, clients and the Tasmanian community through a sustainable, high quality and safe health and human services system.</w:t>
      </w:r>
    </w:p>
    <w:p w:rsidR="009E2428" w:rsidRPr="00AD7F2A" w:rsidRDefault="00AD7F2A" w:rsidP="00AD7F2A">
      <w:pPr>
        <w:pStyle w:val="Heading4"/>
      </w:pPr>
      <w:r w:rsidRPr="00AD7F2A">
        <w:t>Departmental</w:t>
      </w:r>
      <w:r w:rsidR="009E2428" w:rsidRPr="00AD7F2A">
        <w:t xml:space="preserve"> Reform</w:t>
      </w:r>
    </w:p>
    <w:p w:rsidR="00AD7F2A" w:rsidRPr="00F80387" w:rsidRDefault="005D2313" w:rsidP="00772BFC">
      <w:r>
        <w:t xml:space="preserve">In the </w:t>
      </w:r>
      <w:r w:rsidR="00AD7F2A" w:rsidRPr="00F80387">
        <w:t>2014-15</w:t>
      </w:r>
      <w:r>
        <w:t xml:space="preserve"> Budget</w:t>
      </w:r>
      <w:r w:rsidR="0086180A">
        <w:t xml:space="preserve">, the Government announced a review of </w:t>
      </w:r>
      <w:r w:rsidR="00AD7F2A" w:rsidRPr="00F80387">
        <w:t xml:space="preserve">DHHS as one of its savings strategies. The Review set out to achieve efficiencies in a way that </w:t>
      </w:r>
      <w:r w:rsidR="0086180A">
        <w:t xml:space="preserve">minimised </w:t>
      </w:r>
      <w:r w:rsidR="00AD7F2A" w:rsidRPr="00F80387">
        <w:t>the impact</w:t>
      </w:r>
      <w:r w:rsidR="00772BFC">
        <w:t xml:space="preserve"> on services to the community.</w:t>
      </w:r>
    </w:p>
    <w:p w:rsidR="004D2D98" w:rsidRDefault="001D436C" w:rsidP="00AD7F2A">
      <w:r>
        <w:t>After extensive consultation, led by key working groups within the Agency, t</w:t>
      </w:r>
      <w:r w:rsidR="00AD7F2A" w:rsidRPr="00AD7F2A">
        <w:t>he final DHHS Review Report</w:t>
      </w:r>
      <w:r>
        <w:t xml:space="preserve"> was released to staff in April </w:t>
      </w:r>
      <w:r w:rsidR="00AD7F2A" w:rsidRPr="00AD7F2A">
        <w:t xml:space="preserve">2015. </w:t>
      </w:r>
      <w:r w:rsidR="007546FD">
        <w:t xml:space="preserve"> </w:t>
      </w:r>
      <w:r w:rsidR="00AD7F2A" w:rsidRPr="00AD7F2A">
        <w:t xml:space="preserve">It proposed a revised structure for the delivery of corporate and business support to service delivery areas.  </w:t>
      </w:r>
    </w:p>
    <w:p w:rsidR="00B226B4" w:rsidRDefault="00AD7F2A" w:rsidP="00B226B4">
      <w:r w:rsidRPr="00AD7F2A">
        <w:t xml:space="preserve">The Report </w:t>
      </w:r>
      <w:r w:rsidR="004D2D98">
        <w:t xml:space="preserve">also </w:t>
      </w:r>
      <w:r w:rsidRPr="00AD7F2A">
        <w:t xml:space="preserve">highlighted </w:t>
      </w:r>
      <w:r w:rsidR="00B226B4">
        <w:t xml:space="preserve">the </w:t>
      </w:r>
      <w:r w:rsidRPr="00AD7F2A">
        <w:t xml:space="preserve">potential benefits </w:t>
      </w:r>
      <w:r w:rsidR="00B226B4">
        <w:t>of consolidation</w:t>
      </w:r>
      <w:r w:rsidRPr="00AD7F2A">
        <w:t xml:space="preserve">, </w:t>
      </w:r>
      <w:r w:rsidR="00B226B4">
        <w:t xml:space="preserve">and </w:t>
      </w:r>
      <w:r w:rsidR="00B226B4" w:rsidRPr="00B57BD8">
        <w:t xml:space="preserve">provided the </w:t>
      </w:r>
      <w:r w:rsidR="00B226B4">
        <w:t xml:space="preserve">opportunity </w:t>
      </w:r>
      <w:r w:rsidR="00B226B4" w:rsidRPr="00B57BD8">
        <w:t xml:space="preserve">to </w:t>
      </w:r>
      <w:r w:rsidR="00B226B4">
        <w:t xml:space="preserve">look at </w:t>
      </w:r>
      <w:r w:rsidR="00B226B4" w:rsidRPr="00B57BD8">
        <w:t xml:space="preserve">which parts of the Agency currently undertake system management functions </w:t>
      </w:r>
      <w:r w:rsidR="00B226B4">
        <w:t xml:space="preserve">for the service purchaser / provider arrangement between the Department and the Tasmanian Health Organisations (THOs) </w:t>
      </w:r>
      <w:r w:rsidR="00B226B4" w:rsidRPr="00B57BD8">
        <w:t>and consider how and where they would best be undertaken in the future</w:t>
      </w:r>
      <w:r w:rsidR="00B226B4">
        <w:t>.</w:t>
      </w:r>
    </w:p>
    <w:p w:rsidR="00B226B4" w:rsidRDefault="00B226B4" w:rsidP="00B226B4">
      <w:r>
        <w:t xml:space="preserve">It recommended the </w:t>
      </w:r>
      <w:r w:rsidR="00AD7F2A" w:rsidRPr="00AD7F2A">
        <w:t xml:space="preserve">consolidation of all service purchasing functions, reduction in the number of separate business units in the corporate areas and centralisation of a number of the </w:t>
      </w:r>
      <w:r w:rsidR="001D436C">
        <w:t>Department’s</w:t>
      </w:r>
      <w:r w:rsidR="00AD7F2A" w:rsidRPr="00AD7F2A">
        <w:t xml:space="preserve"> regulatory functions. In addition to the proposed structure, the Review also outlined 26 actions required to successfully implement the new structure.  </w:t>
      </w:r>
    </w:p>
    <w:p w:rsidR="009E2428" w:rsidRDefault="00AD7F2A" w:rsidP="00AD7F2A">
      <w:r w:rsidRPr="00AD7F2A">
        <w:t>The implementation of the new structure, and the actions recommended by the Review</w:t>
      </w:r>
      <w:r w:rsidR="004D2D98">
        <w:t xml:space="preserve"> Report</w:t>
      </w:r>
      <w:r w:rsidR="00B226B4">
        <w:t xml:space="preserve"> have </w:t>
      </w:r>
      <w:r w:rsidR="00B226B4">
        <w:lastRenderedPageBreak/>
        <w:t>commenced</w:t>
      </w:r>
      <w:r w:rsidR="004D2D98">
        <w:t>, and</w:t>
      </w:r>
      <w:r w:rsidRPr="00AD7F2A">
        <w:t xml:space="preserve"> will progress over the course of the 2015</w:t>
      </w:r>
      <w:r w:rsidRPr="00AD7F2A">
        <w:noBreakHyphen/>
        <w:t>16 year.</w:t>
      </w:r>
    </w:p>
    <w:p w:rsidR="0086180A" w:rsidRDefault="0086180A" w:rsidP="00AD7F2A">
      <w:r>
        <w:t xml:space="preserve">I am very proud of the constructive contribution of a large number of staff engaged in this process. </w:t>
      </w:r>
    </w:p>
    <w:p w:rsidR="00835FFD" w:rsidRDefault="00835FFD" w:rsidP="00835FFD">
      <w:pPr>
        <w:pStyle w:val="Heading4"/>
      </w:pPr>
      <w:r>
        <w:t>Government’s 365 Day Plan</w:t>
      </w:r>
    </w:p>
    <w:p w:rsidR="0053321A" w:rsidRDefault="00C47A6C" w:rsidP="0020675D">
      <w:r w:rsidRPr="00F80387">
        <w:t xml:space="preserve">Looking to </w:t>
      </w:r>
      <w:r w:rsidR="00835FFD">
        <w:t xml:space="preserve">the Government’s </w:t>
      </w:r>
      <w:r w:rsidR="005D2313">
        <w:t>broader</w:t>
      </w:r>
      <w:r w:rsidR="00835FFD">
        <w:t xml:space="preserve"> reform agenda, </w:t>
      </w:r>
      <w:r w:rsidRPr="00F80387">
        <w:t>i</w:t>
      </w:r>
      <w:r w:rsidR="0053321A" w:rsidRPr="00F80387">
        <w:t xml:space="preserve">n March 2015 the Government released </w:t>
      </w:r>
      <w:r w:rsidR="0053321A" w:rsidRPr="00F80387">
        <w:rPr>
          <w:i/>
        </w:rPr>
        <w:t xml:space="preserve">Our Plan for the Next 365 Days. </w:t>
      </w:r>
      <w:r w:rsidR="0053321A" w:rsidRPr="00F80387">
        <w:t xml:space="preserve">This document sets out the Government’s </w:t>
      </w:r>
      <w:r w:rsidR="00CE41A2" w:rsidRPr="00F80387">
        <w:t xml:space="preserve">road map </w:t>
      </w:r>
      <w:r w:rsidR="0053321A" w:rsidRPr="00F80387">
        <w:t xml:space="preserve">for the coming year and </w:t>
      </w:r>
      <w:r w:rsidR="009E2428" w:rsidRPr="00F80387">
        <w:t xml:space="preserve">DHHS </w:t>
      </w:r>
      <w:r w:rsidR="0053321A" w:rsidRPr="00F80387">
        <w:t>has some key initiatives to take forward as part of this program of work.</w:t>
      </w:r>
    </w:p>
    <w:p w:rsidR="00D91FC4" w:rsidRPr="00F80387" w:rsidRDefault="00D91FC4" w:rsidP="0020675D">
      <w:r w:rsidRPr="00F80387">
        <w:t>The Department has worked hard to successfully deliver on the</w:t>
      </w:r>
      <w:r>
        <w:t>se</w:t>
      </w:r>
      <w:r w:rsidRPr="00F80387">
        <w:t xml:space="preserve"> reform priorities the Government has set </w:t>
      </w:r>
      <w:r>
        <w:t xml:space="preserve">for us </w:t>
      </w:r>
      <w:r w:rsidRPr="00F80387">
        <w:t>across a number of areas.</w:t>
      </w:r>
    </w:p>
    <w:p w:rsidR="00835FFD" w:rsidRDefault="00835FFD" w:rsidP="00835FFD">
      <w:pPr>
        <w:pStyle w:val="Heading4"/>
      </w:pPr>
      <w:r>
        <w:t xml:space="preserve">Health Reform Priorities </w:t>
      </w:r>
    </w:p>
    <w:p w:rsidR="00D91FC4" w:rsidRPr="00F80387" w:rsidRDefault="00D91FC4" w:rsidP="0020675D">
      <w:r>
        <w:t xml:space="preserve">The Government’s </w:t>
      </w:r>
      <w:r w:rsidR="004D2D98">
        <w:t xml:space="preserve">key </w:t>
      </w:r>
      <w:r>
        <w:t xml:space="preserve">goal in the Health portfolio </w:t>
      </w:r>
      <w:r w:rsidR="001D436C">
        <w:t xml:space="preserve">is </w:t>
      </w:r>
      <w:r>
        <w:t xml:space="preserve">to make Tasmania the healthiest population in Australia by </w:t>
      </w:r>
      <w:proofErr w:type="gramStart"/>
      <w:r>
        <w:t>2025,</w:t>
      </w:r>
      <w:proofErr w:type="gramEnd"/>
      <w:r>
        <w:t xml:space="preserve"> and the policy framework for this goal is </w:t>
      </w:r>
      <w:r w:rsidR="001D436C">
        <w:t xml:space="preserve">guided by the commitment to </w:t>
      </w:r>
      <w:r w:rsidR="00F622C9">
        <w:rPr>
          <w:i/>
        </w:rPr>
        <w:t>A </w:t>
      </w:r>
      <w:r w:rsidRPr="001D436C">
        <w:rPr>
          <w:i/>
        </w:rPr>
        <w:t>Health</w:t>
      </w:r>
      <w:r w:rsidR="001D436C" w:rsidRPr="001D436C">
        <w:rPr>
          <w:i/>
        </w:rPr>
        <w:t>y</w:t>
      </w:r>
      <w:r w:rsidRPr="001D436C">
        <w:rPr>
          <w:i/>
        </w:rPr>
        <w:t xml:space="preserve"> Tasmania</w:t>
      </w:r>
      <w:r>
        <w:t>.</w:t>
      </w:r>
    </w:p>
    <w:p w:rsidR="007D5CF8" w:rsidRDefault="00634578" w:rsidP="0020675D">
      <w:r w:rsidRPr="00F80387">
        <w:t xml:space="preserve">The Department has been working to </w:t>
      </w:r>
      <w:r w:rsidR="00277671" w:rsidRPr="00F80387">
        <w:t xml:space="preserve">fulfil </w:t>
      </w:r>
      <w:r w:rsidR="00D91FC4">
        <w:t xml:space="preserve">this vision on behalf of the </w:t>
      </w:r>
      <w:r w:rsidR="00277671" w:rsidRPr="00F80387">
        <w:t xml:space="preserve">Minister for Health </w:t>
      </w:r>
      <w:r w:rsidR="00D91FC4">
        <w:t xml:space="preserve">through the </w:t>
      </w:r>
      <w:r w:rsidRPr="00F80387">
        <w:t xml:space="preserve">One </w:t>
      </w:r>
      <w:r w:rsidR="00277671" w:rsidRPr="00F80387">
        <w:t xml:space="preserve">State, One </w:t>
      </w:r>
      <w:r w:rsidRPr="00F80387">
        <w:t>Health System</w:t>
      </w:r>
      <w:r w:rsidR="00277671" w:rsidRPr="00F80387">
        <w:t xml:space="preserve">, </w:t>
      </w:r>
      <w:proofErr w:type="gramStart"/>
      <w:r w:rsidR="00277671" w:rsidRPr="00F80387">
        <w:t>Better</w:t>
      </w:r>
      <w:proofErr w:type="gramEnd"/>
      <w:r w:rsidR="00277671" w:rsidRPr="00F80387">
        <w:t xml:space="preserve"> Outcomes suite of reforms</w:t>
      </w:r>
      <w:r w:rsidR="00CE41A2" w:rsidRPr="00F80387">
        <w:t xml:space="preserve"> throughout the year</w:t>
      </w:r>
      <w:r w:rsidRPr="00F80387">
        <w:t xml:space="preserve">. </w:t>
      </w:r>
      <w:r w:rsidR="004D2D98">
        <w:t xml:space="preserve"> On 28 June 2015</w:t>
      </w:r>
      <w:r w:rsidR="00B226B4">
        <w:t>,</w:t>
      </w:r>
      <w:r w:rsidR="004D2D98">
        <w:t xml:space="preserve"> the Minister released the </w:t>
      </w:r>
      <w:r w:rsidR="00C5198E">
        <w:rPr>
          <w:i/>
        </w:rPr>
        <w:t>White Paper on Delivering Safe and Sustainable Clinical Services</w:t>
      </w:r>
      <w:r w:rsidR="004D2D98">
        <w:t>, mark</w:t>
      </w:r>
      <w:r w:rsidR="00C5198E">
        <w:t>ing the end of an extensive six </w:t>
      </w:r>
      <w:r w:rsidR="004D2D98">
        <w:t xml:space="preserve">month consultation program, which saw </w:t>
      </w:r>
      <w:proofErr w:type="gramStart"/>
      <w:r w:rsidR="004D2D98">
        <w:t>us</w:t>
      </w:r>
      <w:proofErr w:type="gramEnd"/>
      <w:r w:rsidR="004D2D98">
        <w:t xml:space="preserve"> engage in a </w:t>
      </w:r>
      <w:proofErr w:type="spellStart"/>
      <w:r w:rsidR="004D2D98">
        <w:t>statewide</w:t>
      </w:r>
      <w:proofErr w:type="spellEnd"/>
      <w:r w:rsidR="004D2D98">
        <w:t xml:space="preserve"> conversation with the community and stakeholders about how to </w:t>
      </w:r>
      <w:r w:rsidR="00B226B4">
        <w:t xml:space="preserve">get better </w:t>
      </w:r>
      <w:r w:rsidR="007D5CF8">
        <w:t xml:space="preserve">outcomes </w:t>
      </w:r>
      <w:r w:rsidR="00B226B4">
        <w:t xml:space="preserve">from our </w:t>
      </w:r>
      <w:r w:rsidR="004D2D98">
        <w:t xml:space="preserve">health system. </w:t>
      </w:r>
      <w:r w:rsidR="007D5CF8">
        <w:t xml:space="preserve"> The White Paper is a policy framework that will guide the development of an implementation plan in the coming months.</w:t>
      </w:r>
    </w:p>
    <w:p w:rsidR="009B1D7D" w:rsidRDefault="00B226B4" w:rsidP="007D5CF8">
      <w:r>
        <w:t>The White Paper was also a vehicle for the Department to put further focus</w:t>
      </w:r>
      <w:r w:rsidRPr="00B57BD8">
        <w:t xml:space="preserve"> on accountability, leadership and culture as mechanisms that enable </w:t>
      </w:r>
      <w:r>
        <w:t xml:space="preserve">an </w:t>
      </w:r>
      <w:r w:rsidRPr="00B57BD8">
        <w:t xml:space="preserve">effective </w:t>
      </w:r>
      <w:r>
        <w:t xml:space="preserve">and efficient </w:t>
      </w:r>
      <w:r w:rsidRPr="00B57BD8">
        <w:t>system management</w:t>
      </w:r>
      <w:r>
        <w:t xml:space="preserve"> role between DHHS and the </w:t>
      </w:r>
      <w:proofErr w:type="spellStart"/>
      <w:r>
        <w:t>THOs</w:t>
      </w:r>
      <w:r w:rsidRPr="00B57BD8">
        <w:t>.</w:t>
      </w:r>
      <w:proofErr w:type="spellEnd"/>
      <w:r w:rsidRPr="00B57BD8">
        <w:t xml:space="preserve"> </w:t>
      </w:r>
    </w:p>
    <w:p w:rsidR="009B1D7D" w:rsidRDefault="009B1D7D">
      <w:pPr>
        <w:tabs>
          <w:tab w:val="clear" w:pos="567"/>
        </w:tabs>
        <w:spacing w:after="200" w:line="276" w:lineRule="auto"/>
      </w:pPr>
      <w:r>
        <w:br w:type="page"/>
      </w:r>
    </w:p>
    <w:p w:rsidR="00B226B4" w:rsidRDefault="00B226B4" w:rsidP="007D5CF8">
      <w:r>
        <w:lastRenderedPageBreak/>
        <w:t xml:space="preserve">As part of </w:t>
      </w:r>
      <w:r w:rsidRPr="00B57BD8">
        <w:t>fulfilling the system management role of strategic planner</w:t>
      </w:r>
      <w:r>
        <w:t>,</w:t>
      </w:r>
      <w:r w:rsidRPr="00B57BD8">
        <w:t xml:space="preserve"> and in supporting system safety, the </w:t>
      </w:r>
      <w:r>
        <w:t>W</w:t>
      </w:r>
      <w:r w:rsidRPr="00B57BD8">
        <w:t xml:space="preserve">hite </w:t>
      </w:r>
      <w:r>
        <w:t>P</w:t>
      </w:r>
      <w:r w:rsidRPr="00B57BD8">
        <w:t xml:space="preserve">aper included two planning documents that define the capacity and capabilities of our health </w:t>
      </w:r>
      <w:r>
        <w:t xml:space="preserve">system </w:t>
      </w:r>
      <w:r w:rsidRPr="00B57BD8">
        <w:t>facilities to provide safe and sustainable clinical services of defined complexity</w:t>
      </w:r>
      <w:r>
        <w:t>:</w:t>
      </w:r>
      <w:r w:rsidRPr="00B57BD8">
        <w:t xml:space="preserve"> the Tasman</w:t>
      </w:r>
      <w:r w:rsidR="00C5198E">
        <w:t>ian Role Delineation Framework</w:t>
      </w:r>
      <w:r w:rsidRPr="00B57BD8">
        <w:t xml:space="preserve"> and the Tasmanian Clinical Service Profile.</w:t>
      </w:r>
    </w:p>
    <w:p w:rsidR="007D5CF8" w:rsidRDefault="00900279" w:rsidP="007D5CF8">
      <w:r>
        <w:t>In tandem with th</w:t>
      </w:r>
      <w:r w:rsidR="007D5CF8">
        <w:t xml:space="preserve">e White Paper </w:t>
      </w:r>
      <w:r>
        <w:t>process, work is being undertaken to address</w:t>
      </w:r>
      <w:r w:rsidR="007D5CF8">
        <w:t xml:space="preserve"> the role of preventive health in the system, and work in this space will be guided by a f</w:t>
      </w:r>
      <w:r w:rsidR="007D5CF8">
        <w:rPr>
          <w:shd w:val="clear" w:color="auto" w:fill="FFFFFF"/>
        </w:rPr>
        <w:t>i</w:t>
      </w:r>
      <w:r w:rsidR="007D5CF8" w:rsidRPr="00070FA1">
        <w:rPr>
          <w:shd w:val="clear" w:color="auto" w:fill="FFFFFF"/>
        </w:rPr>
        <w:t xml:space="preserve">ve-year </w:t>
      </w:r>
      <w:r w:rsidR="00070FA1" w:rsidRPr="00070FA1">
        <w:t xml:space="preserve">preventive </w:t>
      </w:r>
      <w:r w:rsidR="00070FA1" w:rsidRPr="00070FA1">
        <w:rPr>
          <w:shd w:val="clear" w:color="auto" w:fill="FFFFFF"/>
        </w:rPr>
        <w:t xml:space="preserve">health strategy, currently being formulated in response to the work of the </w:t>
      </w:r>
      <w:r w:rsidR="007D5CF8" w:rsidRPr="00070FA1">
        <w:rPr>
          <w:shd w:val="clear" w:color="auto" w:fill="FFFFFF"/>
        </w:rPr>
        <w:t>Healthy Tasmania Committee, a sub-committee of the He</w:t>
      </w:r>
      <w:r w:rsidR="007D5CF8">
        <w:rPr>
          <w:shd w:val="clear" w:color="auto" w:fill="FFFFFF"/>
        </w:rPr>
        <w:t>alth Council of Tasmania.</w:t>
      </w:r>
    </w:p>
    <w:p w:rsidR="008F18AD" w:rsidRDefault="004D2D98" w:rsidP="0020675D">
      <w:r>
        <w:t xml:space="preserve">A key pillar of the One Health </w:t>
      </w:r>
      <w:r w:rsidR="005D2313">
        <w:t xml:space="preserve">System </w:t>
      </w:r>
      <w:r>
        <w:t xml:space="preserve">reforms </w:t>
      </w:r>
      <w:r w:rsidR="0086180A">
        <w:t xml:space="preserve">saw </w:t>
      </w:r>
      <w:r w:rsidR="00277671" w:rsidRPr="00F80387">
        <w:t>t</w:t>
      </w:r>
      <w:r w:rsidR="00634578" w:rsidRPr="00F80387">
        <w:t xml:space="preserve">he three </w:t>
      </w:r>
      <w:r>
        <w:t xml:space="preserve">regional </w:t>
      </w:r>
      <w:r w:rsidR="00634578" w:rsidRPr="00F80387">
        <w:t xml:space="preserve">THOs replaced with a single </w:t>
      </w:r>
      <w:proofErr w:type="spellStart"/>
      <w:r w:rsidR="00634578" w:rsidRPr="00F80387">
        <w:t>statewide</w:t>
      </w:r>
      <w:proofErr w:type="spellEnd"/>
      <w:r w:rsidR="00634578" w:rsidRPr="00F80387">
        <w:t xml:space="preserve"> Tasm</w:t>
      </w:r>
      <w:r w:rsidR="005D2313">
        <w:t>anian Health Service (THS) on 1 </w:t>
      </w:r>
      <w:r w:rsidR="00634578" w:rsidRPr="00F80387">
        <w:t>July 2015</w:t>
      </w:r>
      <w:r w:rsidR="009E2428" w:rsidRPr="00F80387">
        <w:t xml:space="preserve">. </w:t>
      </w:r>
      <w:r w:rsidR="00277671" w:rsidRPr="00F80387">
        <w:t xml:space="preserve"> </w:t>
      </w:r>
      <w:r>
        <w:t xml:space="preserve">Careful </w:t>
      </w:r>
      <w:r w:rsidR="009E2428" w:rsidRPr="00F80387">
        <w:t xml:space="preserve">preparation </w:t>
      </w:r>
      <w:r w:rsidR="0086180A">
        <w:t xml:space="preserve">stands </w:t>
      </w:r>
      <w:r w:rsidR="00D6520F">
        <w:t>us in good stead</w:t>
      </w:r>
      <w:r w:rsidR="009E2428" w:rsidRPr="00F80387">
        <w:t xml:space="preserve"> for </w:t>
      </w:r>
      <w:r w:rsidR="00CE41A2" w:rsidRPr="00F80387">
        <w:t xml:space="preserve">a </w:t>
      </w:r>
      <w:r w:rsidR="00277671" w:rsidRPr="00F80387">
        <w:t>successful transition</w:t>
      </w:r>
      <w:r w:rsidR="00CE41A2" w:rsidRPr="00F80387">
        <w:t xml:space="preserve">, and </w:t>
      </w:r>
      <w:r w:rsidR="00F622C9">
        <w:t xml:space="preserve">this major consolidation work is set to </w:t>
      </w:r>
      <w:r w:rsidR="007D5CF8">
        <w:t xml:space="preserve">pave the way for </w:t>
      </w:r>
      <w:r w:rsidR="00CE41A2" w:rsidRPr="00F80387">
        <w:t>improved patient outcomes</w:t>
      </w:r>
      <w:r w:rsidR="00F622C9">
        <w:t xml:space="preserve"> </w:t>
      </w:r>
      <w:r>
        <w:t>including</w:t>
      </w:r>
      <w:r w:rsidR="00F622C9">
        <w:t xml:space="preserve"> access to better care and reduced </w:t>
      </w:r>
      <w:r w:rsidR="007D5CF8">
        <w:t xml:space="preserve">elective surgery </w:t>
      </w:r>
      <w:r w:rsidR="00F622C9">
        <w:t>waiting list</w:t>
      </w:r>
      <w:r>
        <w:t>s</w:t>
      </w:r>
      <w:r w:rsidR="00634578" w:rsidRPr="00F80387">
        <w:t xml:space="preserve">. </w:t>
      </w:r>
    </w:p>
    <w:p w:rsidR="00175E79" w:rsidRDefault="00175E79" w:rsidP="0020675D">
      <w:pPr>
        <w:rPr>
          <w:lang w:eastAsia="en-AU"/>
        </w:rPr>
      </w:pPr>
      <w:r>
        <w:t xml:space="preserve">Another important commitment in the Health portfolio is the policy </w:t>
      </w:r>
      <w:proofErr w:type="gramStart"/>
      <w:r w:rsidRPr="00175E79">
        <w:rPr>
          <w:i/>
        </w:rPr>
        <w:t>A</w:t>
      </w:r>
      <w:proofErr w:type="gramEnd"/>
      <w:r w:rsidRPr="00175E79">
        <w:rPr>
          <w:i/>
        </w:rPr>
        <w:t xml:space="preserve"> long term plan for mental health</w:t>
      </w:r>
      <w:r w:rsidRPr="00F80387">
        <w:rPr>
          <w:i/>
          <w:lang w:eastAsia="en-AU"/>
        </w:rPr>
        <w:t xml:space="preserve">. </w:t>
      </w:r>
      <w:r>
        <w:rPr>
          <w:lang w:eastAsia="en-AU"/>
        </w:rPr>
        <w:t xml:space="preserve">Under this banner are two key policy initiatives – the Rethink Mental Health Project and the Suicide Prevention Strategy. </w:t>
      </w:r>
    </w:p>
    <w:p w:rsidR="00175E79" w:rsidRDefault="00175E79" w:rsidP="0020675D">
      <w:r>
        <w:rPr>
          <w:lang w:eastAsia="en-AU"/>
        </w:rPr>
        <w:t xml:space="preserve">Rethink </w:t>
      </w:r>
      <w:r w:rsidR="004D2D98">
        <w:rPr>
          <w:lang w:eastAsia="en-AU"/>
        </w:rPr>
        <w:t>M</w:t>
      </w:r>
      <w:r>
        <w:rPr>
          <w:lang w:eastAsia="en-AU"/>
        </w:rPr>
        <w:t xml:space="preserve">ental </w:t>
      </w:r>
      <w:r w:rsidR="004D2D98">
        <w:rPr>
          <w:lang w:eastAsia="en-AU"/>
        </w:rPr>
        <w:t>H</w:t>
      </w:r>
      <w:r>
        <w:rPr>
          <w:lang w:eastAsia="en-AU"/>
        </w:rPr>
        <w:t xml:space="preserve">ealth </w:t>
      </w:r>
      <w:r w:rsidR="004D2D98">
        <w:rPr>
          <w:lang w:eastAsia="en-AU"/>
        </w:rPr>
        <w:t xml:space="preserve">will deliver </w:t>
      </w:r>
      <w:r>
        <w:t>an integrated Tasmanian mental health system that provides support in the right place, at the right time and with clear signposts about where and how to get help. A discussio</w:t>
      </w:r>
      <w:r w:rsidR="004D2D98">
        <w:t>n paper was released in October </w:t>
      </w:r>
      <w:r>
        <w:t>2014 to prompt community and stakeholder discussion</w:t>
      </w:r>
      <w:r w:rsidR="004D2D98">
        <w:t xml:space="preserve"> on the topic</w:t>
      </w:r>
      <w:r>
        <w:t xml:space="preserve">. </w:t>
      </w:r>
      <w:r w:rsidR="00A505A2">
        <w:t>Subsequently t</w:t>
      </w:r>
      <w:r w:rsidRPr="00F80387">
        <w:t xml:space="preserve">he </w:t>
      </w:r>
      <w:r w:rsidR="00A505A2">
        <w:t>R</w:t>
      </w:r>
      <w:r w:rsidRPr="00F80387">
        <w:t xml:space="preserve">eview </w:t>
      </w:r>
      <w:r w:rsidR="00A505A2">
        <w:t xml:space="preserve">Report brought together all of this collated </w:t>
      </w:r>
      <w:r w:rsidR="00A505A2" w:rsidRPr="00A505A2">
        <w:t xml:space="preserve">feedback, and was </w:t>
      </w:r>
      <w:r w:rsidR="004D2D98">
        <w:t>released on 30 June </w:t>
      </w:r>
      <w:r w:rsidRPr="00A505A2">
        <w:t>2015.</w:t>
      </w:r>
      <w:r w:rsidR="00A505A2" w:rsidRPr="00A505A2">
        <w:t xml:space="preserve">  The end result of this ongoing work will be a long term plan for mental health in Tasmania that guides investment into the next decade.</w:t>
      </w:r>
    </w:p>
    <w:p w:rsidR="009B1D7D" w:rsidRDefault="001D436C" w:rsidP="0089310D">
      <w:pPr>
        <w:spacing w:after="0"/>
        <w:rPr>
          <w:lang w:eastAsia="en-AU"/>
        </w:rPr>
      </w:pPr>
      <w:r>
        <w:t>T</w:t>
      </w:r>
      <w:r w:rsidR="00A505A2">
        <w:t xml:space="preserve">he </w:t>
      </w:r>
      <w:r>
        <w:t xml:space="preserve">Government has further invested in the </w:t>
      </w:r>
      <w:r w:rsidR="00D6520F" w:rsidRPr="00D6520F">
        <w:t>long term plan for mental health</w:t>
      </w:r>
      <w:r w:rsidR="00A505A2">
        <w:t xml:space="preserve"> </w:t>
      </w:r>
      <w:r>
        <w:t xml:space="preserve">committing </w:t>
      </w:r>
      <w:r w:rsidR="00A505A2">
        <w:t xml:space="preserve">$3 million over three years for the development of </w:t>
      </w:r>
      <w:r w:rsidR="00D6520F">
        <w:rPr>
          <w:lang w:eastAsia="en-AU"/>
        </w:rPr>
        <w:t>a new all </w:t>
      </w:r>
      <w:r w:rsidR="00A505A2" w:rsidRPr="00F80387">
        <w:rPr>
          <w:lang w:eastAsia="en-AU"/>
        </w:rPr>
        <w:t xml:space="preserve">ages Suicide Prevention Strategy for Tasmania </w:t>
      </w:r>
      <w:r w:rsidR="00A505A2" w:rsidRPr="00F80387">
        <w:rPr>
          <w:lang w:eastAsia="en-AU"/>
        </w:rPr>
        <w:lastRenderedPageBreak/>
        <w:t>and a new Youth Suicide Prevention Strategy.</w:t>
      </w:r>
      <w:r w:rsidR="00A505A2">
        <w:rPr>
          <w:lang w:eastAsia="en-AU"/>
        </w:rPr>
        <w:t xml:space="preserve"> </w:t>
      </w:r>
      <w:r w:rsidR="00A505A2" w:rsidRPr="00F80387">
        <w:t xml:space="preserve">2014-15 saw the extension of </w:t>
      </w:r>
      <w:r w:rsidR="00A505A2" w:rsidRPr="00F80387">
        <w:rPr>
          <w:iCs/>
          <w:lang w:eastAsia="en-AU"/>
        </w:rPr>
        <w:t>the curre</w:t>
      </w:r>
      <w:r w:rsidR="00C5198E">
        <w:rPr>
          <w:iCs/>
          <w:lang w:eastAsia="en-AU"/>
        </w:rPr>
        <w:t>nt Suicide </w:t>
      </w:r>
      <w:r w:rsidR="00A505A2">
        <w:rPr>
          <w:iCs/>
          <w:lang w:eastAsia="en-AU"/>
        </w:rPr>
        <w:t>Prevention Strategy (</w:t>
      </w:r>
      <w:r w:rsidR="00A505A2" w:rsidRPr="00F80387">
        <w:rPr>
          <w:iCs/>
          <w:lang w:eastAsia="en-AU"/>
        </w:rPr>
        <w:t>which expired in December last year</w:t>
      </w:r>
      <w:r w:rsidR="00A505A2">
        <w:rPr>
          <w:iCs/>
          <w:lang w:eastAsia="en-AU"/>
        </w:rPr>
        <w:t>)</w:t>
      </w:r>
      <w:r w:rsidR="00A505A2" w:rsidRPr="00F80387">
        <w:rPr>
          <w:iCs/>
          <w:lang w:eastAsia="en-AU"/>
        </w:rPr>
        <w:t xml:space="preserve"> until December 2015</w:t>
      </w:r>
      <w:r w:rsidR="00A505A2">
        <w:rPr>
          <w:iCs/>
          <w:lang w:eastAsia="en-AU"/>
        </w:rPr>
        <w:t xml:space="preserve"> to</w:t>
      </w:r>
      <w:r w:rsidR="00A505A2" w:rsidRPr="00F80387">
        <w:rPr>
          <w:lang w:eastAsia="en-AU"/>
        </w:rPr>
        <w:t xml:space="preserve"> </w:t>
      </w:r>
      <w:r w:rsidR="00A505A2">
        <w:rPr>
          <w:lang w:eastAsia="en-AU"/>
        </w:rPr>
        <w:t xml:space="preserve">allow us </w:t>
      </w:r>
      <w:r w:rsidR="00A505A2" w:rsidRPr="00F80387">
        <w:rPr>
          <w:lang w:eastAsia="en-AU"/>
        </w:rPr>
        <w:t xml:space="preserve">sufficient time to </w:t>
      </w:r>
      <w:r w:rsidR="00A505A2">
        <w:rPr>
          <w:lang w:eastAsia="en-AU"/>
        </w:rPr>
        <w:t xml:space="preserve">consult stakeholders, and to </w:t>
      </w:r>
      <w:r w:rsidR="00A505A2" w:rsidRPr="00F80387">
        <w:rPr>
          <w:lang w:eastAsia="en-AU"/>
        </w:rPr>
        <w:t xml:space="preserve">develop </w:t>
      </w:r>
      <w:r w:rsidR="00A505A2">
        <w:rPr>
          <w:lang w:eastAsia="en-AU"/>
        </w:rPr>
        <w:t xml:space="preserve">these important strategies in the next financial year. </w:t>
      </w:r>
    </w:p>
    <w:p w:rsidR="00590ADE" w:rsidRPr="009B1D7D" w:rsidRDefault="00590ADE" w:rsidP="009B1D7D">
      <w:pPr>
        <w:pStyle w:val="Heading4"/>
        <w:rPr>
          <w:rStyle w:val="Heading4Char"/>
          <w:b/>
        </w:rPr>
      </w:pPr>
      <w:r w:rsidRPr="009B1D7D">
        <w:rPr>
          <w:rStyle w:val="Heading4Char"/>
          <w:b/>
        </w:rPr>
        <w:t>Human Services Reform</w:t>
      </w:r>
    </w:p>
    <w:p w:rsidR="00CB5DD9" w:rsidRPr="00F80387" w:rsidRDefault="00634578" w:rsidP="0089310D">
      <w:r w:rsidRPr="00F80387">
        <w:t xml:space="preserve">Across the </w:t>
      </w:r>
      <w:r w:rsidR="00CB5DD9" w:rsidRPr="00F80387">
        <w:t xml:space="preserve">Minister for </w:t>
      </w:r>
      <w:r w:rsidRPr="00F80387">
        <w:t>Human Services</w:t>
      </w:r>
      <w:r w:rsidR="00CB5DD9" w:rsidRPr="00F80387">
        <w:t>’</w:t>
      </w:r>
      <w:r w:rsidRPr="00F80387">
        <w:t xml:space="preserve"> portfolio</w:t>
      </w:r>
      <w:r w:rsidR="005D2313">
        <w:t>,</w:t>
      </w:r>
      <w:r w:rsidRPr="00F80387">
        <w:t xml:space="preserve"> </w:t>
      </w:r>
      <w:r w:rsidR="009E2428" w:rsidRPr="00F80387">
        <w:t xml:space="preserve">DHHS </w:t>
      </w:r>
      <w:r w:rsidR="00CB5DD9" w:rsidRPr="00F80387">
        <w:t xml:space="preserve">is driving the delivery of human services reform, in partnership with the community </w:t>
      </w:r>
      <w:proofErr w:type="gramStart"/>
      <w:r w:rsidR="00CB5DD9" w:rsidRPr="00F80387">
        <w:t>sec</w:t>
      </w:r>
      <w:r w:rsidR="009E2428" w:rsidRPr="00F80387">
        <w:t>tor,</w:t>
      </w:r>
      <w:proofErr w:type="gramEnd"/>
      <w:r w:rsidR="009E2428" w:rsidRPr="00F80387">
        <w:t xml:space="preserve"> to develop a </w:t>
      </w:r>
      <w:r w:rsidR="00175E79">
        <w:t>j</w:t>
      </w:r>
      <w:r w:rsidR="009E2428" w:rsidRPr="00F80387">
        <w:t>oined </w:t>
      </w:r>
      <w:r w:rsidR="00175E79">
        <w:t>u</w:t>
      </w:r>
      <w:r w:rsidR="00CB5DD9" w:rsidRPr="00F80387">
        <w:t xml:space="preserve">p and streamlined support system for </w:t>
      </w:r>
      <w:r w:rsidR="00CB5DD9" w:rsidRPr="00AD7F2A">
        <w:t>vulnerable and disadvantaged</w:t>
      </w:r>
      <w:r w:rsidR="00CB5DD9" w:rsidRPr="00F80387">
        <w:t xml:space="preserve"> Tasmanians.</w:t>
      </w:r>
      <w:r w:rsidRPr="00F80387">
        <w:t xml:space="preserve"> </w:t>
      </w:r>
    </w:p>
    <w:p w:rsidR="00175E79" w:rsidRPr="00F80387" w:rsidRDefault="00175E79" w:rsidP="00175E79">
      <w:r w:rsidRPr="00F80387">
        <w:t xml:space="preserve">Under the Election Commitment </w:t>
      </w:r>
      <w:proofErr w:type="gramStart"/>
      <w:r w:rsidRPr="00F80387">
        <w:rPr>
          <w:i/>
        </w:rPr>
        <w:t>A</w:t>
      </w:r>
      <w:proofErr w:type="gramEnd"/>
      <w:r w:rsidRPr="00F80387">
        <w:rPr>
          <w:i/>
        </w:rPr>
        <w:t xml:space="preserve"> Hand-up for Vulnerable Tasmanians</w:t>
      </w:r>
      <w:r w:rsidRPr="00F80387">
        <w:t>, the Tasmanian Government articulated the need to work on a long-term plan, in partnership with the community sector, to deliver a more joined up human services system. During the past financial year, a dedicated project team</w:t>
      </w:r>
      <w:r w:rsidR="007D5CF8">
        <w:t xml:space="preserve"> within DHHS</w:t>
      </w:r>
      <w:r w:rsidRPr="00F80387">
        <w:t xml:space="preserve"> was established to further this goal. The team has worked hard towards achieving a shared vision between Government and the community sector. </w:t>
      </w:r>
    </w:p>
    <w:p w:rsidR="00175E79" w:rsidRPr="00F80387" w:rsidRDefault="00175E79" w:rsidP="00A56884">
      <w:r w:rsidRPr="00F80387">
        <w:t>Significant work has been undertaken to develop a detailed Project Proposal</w:t>
      </w:r>
      <w:r w:rsidR="00D6520F">
        <w:t>,</w:t>
      </w:r>
      <w:r w:rsidRPr="00F80387">
        <w:t xml:space="preserve"> and </w:t>
      </w:r>
      <w:r w:rsidR="003D76DB">
        <w:t xml:space="preserve">in May it was announced that the Project team will further the implementation, and then evaluate, five priority initiatives under the Building a Joined </w:t>
      </w:r>
      <w:proofErr w:type="gramStart"/>
      <w:r w:rsidR="003D76DB">
        <w:t>Up</w:t>
      </w:r>
      <w:proofErr w:type="gramEnd"/>
      <w:r w:rsidR="003D76DB">
        <w:t xml:space="preserve"> Human Services Support System project. This initial work will help formulate the future roll-out of the Building a Joined </w:t>
      </w:r>
      <w:proofErr w:type="gramStart"/>
      <w:r w:rsidR="003D76DB">
        <w:t>Up</w:t>
      </w:r>
      <w:proofErr w:type="gramEnd"/>
      <w:r w:rsidR="003D76DB">
        <w:t xml:space="preserve"> Human Services Support System initiative.</w:t>
      </w:r>
      <w:r w:rsidRPr="00F80387">
        <w:t xml:space="preserve"> </w:t>
      </w:r>
    </w:p>
    <w:p w:rsidR="002D6AD2" w:rsidRPr="001B05C8" w:rsidRDefault="002D6AD2" w:rsidP="002D6AD2">
      <w:r>
        <w:t xml:space="preserve">2014-15 saw the conclusion of the </w:t>
      </w:r>
      <w:r w:rsidRPr="001B05C8">
        <w:rPr>
          <w:i/>
        </w:rPr>
        <w:t xml:space="preserve">Better Housing Futures </w:t>
      </w:r>
      <w:r w:rsidRPr="001B05C8">
        <w:t xml:space="preserve">(BHF) </w:t>
      </w:r>
      <w:r>
        <w:t>program</w:t>
      </w:r>
      <w:r w:rsidRPr="001B05C8">
        <w:t xml:space="preserve">, </w:t>
      </w:r>
      <w:r>
        <w:t xml:space="preserve">with management of </w:t>
      </w:r>
      <w:r w:rsidRPr="001B05C8">
        <w:t xml:space="preserve">the final </w:t>
      </w:r>
      <w:r>
        <w:t xml:space="preserve">group </w:t>
      </w:r>
      <w:r w:rsidRPr="001B05C8">
        <w:t xml:space="preserve">of 1 197 properties transferred to Community Housing Limited. </w:t>
      </w:r>
      <w:r>
        <w:t>T</w:t>
      </w:r>
      <w:r w:rsidRPr="001B05C8">
        <w:t>he properties</w:t>
      </w:r>
      <w:r>
        <w:t xml:space="preserve"> (in the north of the State)</w:t>
      </w:r>
      <w:r w:rsidRPr="001B05C8">
        <w:t xml:space="preserve"> were located in Mayfield, Mowbray, Ravenswood, Rocherlea and Waverley.  </w:t>
      </w:r>
      <w:r>
        <w:t xml:space="preserve">The program </w:t>
      </w:r>
      <w:r w:rsidRPr="001B05C8">
        <w:t>has seen Tasmania become the only state to meet national housing reform target</w:t>
      </w:r>
      <w:r>
        <w:t>s</w:t>
      </w:r>
      <w:r w:rsidRPr="001B05C8">
        <w:t xml:space="preserve"> to transfer 35</w:t>
      </w:r>
      <w:r>
        <w:t xml:space="preserve"> per cent</w:t>
      </w:r>
      <w:r w:rsidRPr="001B05C8">
        <w:t xml:space="preserve"> of public housing stock to the community housing sector. </w:t>
      </w:r>
    </w:p>
    <w:p w:rsidR="00AD7F2A" w:rsidRDefault="00920FF9" w:rsidP="0020675D">
      <w:r>
        <w:t xml:space="preserve">In the Housing Program, </w:t>
      </w:r>
      <w:r w:rsidRPr="001B05C8">
        <w:t>a total of 358 new affordable homes, and seven residential lots, were delivered at a total cost</w:t>
      </w:r>
      <w:r w:rsidR="00D6520F">
        <w:t xml:space="preserve"> of</w:t>
      </w:r>
      <w:r w:rsidRPr="001B05C8">
        <w:t xml:space="preserve"> $36.</w:t>
      </w:r>
      <w:r w:rsidR="005D2313">
        <w:t>3</w:t>
      </w:r>
      <w:r w:rsidRPr="001B05C8">
        <w:t xml:space="preserve"> million</w:t>
      </w:r>
      <w:r>
        <w:t>.</w:t>
      </w:r>
    </w:p>
    <w:p w:rsidR="00920FF9" w:rsidRDefault="00920FF9" w:rsidP="00920FF9">
      <w:r w:rsidRPr="001B05C8">
        <w:lastRenderedPageBreak/>
        <w:t>Under the Neighbourhood House Ca</w:t>
      </w:r>
      <w:r w:rsidR="005D2313">
        <w:t>pital Investment Program, $1.5</w:t>
      </w:r>
      <w:r w:rsidRPr="001B05C8">
        <w:t xml:space="preserve"> million was spent on the upgrade of the </w:t>
      </w:r>
      <w:proofErr w:type="spellStart"/>
      <w:r w:rsidRPr="001B05C8">
        <w:t>statewide</w:t>
      </w:r>
      <w:proofErr w:type="spellEnd"/>
      <w:r w:rsidRPr="001B05C8">
        <w:t xml:space="preserve"> network of Neighbourhood Houses</w:t>
      </w:r>
      <w:r>
        <w:t xml:space="preserve"> in Rocherlea, Zeehan, Dunalley, Geeveston, Ulverstone </w:t>
      </w:r>
      <w:r w:rsidR="007D5CF8">
        <w:t>and St </w:t>
      </w:r>
      <w:r>
        <w:t xml:space="preserve">Helens; with grants also provided to property owners at Deloraine, Fingal Valley, Goodwood and Exeter to enable works to be undertaken. </w:t>
      </w:r>
      <w:r w:rsidRPr="001B05C8">
        <w:t>Further works to upgrade anothe</w:t>
      </w:r>
      <w:r w:rsidR="00D6520F">
        <w:t>r 18 Houses are planned in 2015</w:t>
      </w:r>
      <w:r w:rsidR="00D6520F">
        <w:noBreakHyphen/>
      </w:r>
      <w:r w:rsidRPr="001B05C8">
        <w:t>16</w:t>
      </w:r>
      <w:r>
        <w:t>.</w:t>
      </w:r>
    </w:p>
    <w:p w:rsidR="00920FF9" w:rsidRDefault="00920FF9" w:rsidP="00920FF9">
      <w:r>
        <w:t xml:space="preserve">Community Sector Grants </w:t>
      </w:r>
      <w:r w:rsidRPr="001B05C8">
        <w:t xml:space="preserve">provided a total of $245 million under its Central Grants Program to 230 organisations to assist them to deliver </w:t>
      </w:r>
      <w:r>
        <w:t xml:space="preserve">more than </w:t>
      </w:r>
      <w:r w:rsidRPr="001B05C8">
        <w:t>440 services</w:t>
      </w:r>
      <w:r>
        <w:t xml:space="preserve">. </w:t>
      </w:r>
    </w:p>
    <w:p w:rsidR="00C47A6C" w:rsidRDefault="00C47A6C" w:rsidP="0020675D">
      <w:r w:rsidRPr="00F80387">
        <w:t>In Children and Youth Services</w:t>
      </w:r>
      <w:r w:rsidR="00B134C7">
        <w:t xml:space="preserve"> (CYS)</w:t>
      </w:r>
      <w:r w:rsidRPr="00F80387">
        <w:t xml:space="preserve">, the Department has </w:t>
      </w:r>
      <w:proofErr w:type="gramStart"/>
      <w:r w:rsidRPr="00F80387">
        <w:t>progressed</w:t>
      </w:r>
      <w:proofErr w:type="gramEnd"/>
      <w:r w:rsidRPr="00F80387">
        <w:t xml:space="preserve"> a program of work to strive for best practice care for Tasmania’s vulnerable children. Reforms in youth justice, </w:t>
      </w:r>
      <w:r w:rsidR="005D2313">
        <w:t>O</w:t>
      </w:r>
      <w:r w:rsidRPr="00F80387">
        <w:t xml:space="preserve">ut of </w:t>
      </w:r>
      <w:r w:rsidR="005D2313">
        <w:t>H</w:t>
      </w:r>
      <w:r w:rsidRPr="00F80387">
        <w:t xml:space="preserve">ome </w:t>
      </w:r>
      <w:r w:rsidR="005D2313">
        <w:t>C</w:t>
      </w:r>
      <w:r w:rsidRPr="00F80387">
        <w:t xml:space="preserve">are </w:t>
      </w:r>
      <w:r w:rsidR="005D2313">
        <w:t xml:space="preserve">(OOHC) </w:t>
      </w:r>
      <w:r w:rsidRPr="00F80387">
        <w:t xml:space="preserve">and </w:t>
      </w:r>
      <w:r w:rsidR="009E2428" w:rsidRPr="00F80387">
        <w:t xml:space="preserve">the </w:t>
      </w:r>
      <w:r w:rsidRPr="00F80387">
        <w:t xml:space="preserve">manual </w:t>
      </w:r>
      <w:r w:rsidR="009E2428" w:rsidRPr="00F80387">
        <w:t xml:space="preserve">of </w:t>
      </w:r>
      <w:r w:rsidRPr="00F80387">
        <w:t xml:space="preserve">practice will all </w:t>
      </w:r>
      <w:r w:rsidR="009E2428" w:rsidRPr="00F80387">
        <w:t xml:space="preserve">bring </w:t>
      </w:r>
      <w:r w:rsidRPr="00F80387">
        <w:t>us closer to this goal.</w:t>
      </w:r>
    </w:p>
    <w:p w:rsidR="00175E79" w:rsidRPr="00BC7382" w:rsidRDefault="00175E79" w:rsidP="00175E79">
      <w:pPr>
        <w:rPr>
          <w:rFonts w:cs="Arial"/>
          <w:shd w:val="clear" w:color="auto" w:fill="FFFFFF"/>
        </w:rPr>
      </w:pPr>
      <w:r>
        <w:rPr>
          <w:lang w:eastAsia="en-AU"/>
        </w:rPr>
        <w:t xml:space="preserve">The </w:t>
      </w:r>
      <w:r w:rsidRPr="00BC7382">
        <w:rPr>
          <w:lang w:eastAsia="en-AU"/>
        </w:rPr>
        <w:t>OOHC reform</w:t>
      </w:r>
      <w:r>
        <w:rPr>
          <w:lang w:eastAsia="en-AU"/>
        </w:rPr>
        <w:t>s</w:t>
      </w:r>
      <w:r w:rsidRPr="00BC7382">
        <w:rPr>
          <w:lang w:eastAsia="en-AU"/>
        </w:rPr>
        <w:t xml:space="preserve"> in </w:t>
      </w:r>
      <w:r w:rsidR="007D5CF8">
        <w:rPr>
          <w:lang w:eastAsia="en-AU"/>
        </w:rPr>
        <w:t>progress</w:t>
      </w:r>
      <w:r w:rsidRPr="00BC7382">
        <w:rPr>
          <w:lang w:eastAsia="en-AU"/>
        </w:rPr>
        <w:t xml:space="preserve"> </w:t>
      </w:r>
      <w:r>
        <w:rPr>
          <w:lang w:eastAsia="en-AU"/>
        </w:rPr>
        <w:t>are</w:t>
      </w:r>
      <w:r w:rsidRPr="00BC7382">
        <w:rPr>
          <w:lang w:eastAsia="en-AU"/>
        </w:rPr>
        <w:t xml:space="preserve"> </w:t>
      </w:r>
      <w:r w:rsidRPr="00BC7382">
        <w:rPr>
          <w:rFonts w:cs="Arial"/>
          <w:shd w:val="clear" w:color="auto" w:fill="FFFFFF"/>
        </w:rPr>
        <w:t>about filling in the gaps identified in past reviews and reports</w:t>
      </w:r>
      <w:r w:rsidR="00D6520F">
        <w:rPr>
          <w:rFonts w:cs="Arial"/>
          <w:shd w:val="clear" w:color="auto" w:fill="FFFFFF"/>
        </w:rPr>
        <w:t>,</w:t>
      </w:r>
      <w:r w:rsidRPr="00BC7382">
        <w:rPr>
          <w:rFonts w:cs="Arial"/>
          <w:shd w:val="clear" w:color="auto" w:fill="FFFFFF"/>
        </w:rPr>
        <w:t xml:space="preserve"> and delivering stronger outcomes for Tasmanian children and young people in </w:t>
      </w:r>
      <w:r w:rsidR="00A56884">
        <w:rPr>
          <w:rFonts w:cs="Arial"/>
          <w:shd w:val="clear" w:color="auto" w:fill="FFFFFF"/>
        </w:rPr>
        <w:t>OOHC</w:t>
      </w:r>
      <w:r w:rsidRPr="00BC7382">
        <w:rPr>
          <w:rFonts w:cs="Arial"/>
          <w:shd w:val="clear" w:color="auto" w:fill="FFFFFF"/>
        </w:rPr>
        <w:t>. The reform will ensure the system is evidenced-based, has the capacity to meet the needs of children and ultimately improves outcomes for children, young people and their families</w:t>
      </w:r>
      <w:r w:rsidR="00D6520F">
        <w:rPr>
          <w:rFonts w:cs="Arial"/>
          <w:shd w:val="clear" w:color="auto" w:fill="FFFFFF"/>
        </w:rPr>
        <w:t>.</w:t>
      </w:r>
    </w:p>
    <w:p w:rsidR="00175E79" w:rsidRPr="00F80387" w:rsidRDefault="00175E79" w:rsidP="00175E79">
      <w:r w:rsidRPr="00BC7382">
        <w:rPr>
          <w:lang w:eastAsia="en-AU"/>
        </w:rPr>
        <w:t xml:space="preserve">A key deliverable of Phase 1 of OOHC reform this year was the finalisation of a Request for Proposal (RFP), released on 15 November 2014, to commission specialised care services including Sibling Group Care, Residential Care types and Therapeutic Services.  </w:t>
      </w:r>
      <w:r w:rsidRPr="00BC7382">
        <w:t xml:space="preserve">Three organisations have now been engaged to deliver these services sought through the Phase 1 RFP. The successful providers were the Australian Childhood Foundation (Therapeutic Services), Key Assets (Sibling Group Care) and </w:t>
      </w:r>
      <w:proofErr w:type="spellStart"/>
      <w:r w:rsidR="00162F28">
        <w:t>CatholicCare</w:t>
      </w:r>
      <w:proofErr w:type="spellEnd"/>
      <w:r w:rsidRPr="00BC7382">
        <w:t xml:space="preserve"> Tasmania (Residential Care).  The new services will commence from 1 July 2015 and</w:t>
      </w:r>
      <w:r w:rsidR="005D2313">
        <w:t>,</w:t>
      </w:r>
      <w:r w:rsidRPr="00BC7382">
        <w:t xml:space="preserve"> for the first time</w:t>
      </w:r>
      <w:r w:rsidR="005D2313">
        <w:t>,</w:t>
      </w:r>
      <w:r w:rsidRPr="00BC7382">
        <w:t xml:space="preserve"> will mean that </w:t>
      </w:r>
      <w:r w:rsidRPr="00BC7382">
        <w:rPr>
          <w:rFonts w:cs="Arial"/>
          <w:shd w:val="clear" w:color="auto" w:fill="FFFFFF"/>
        </w:rPr>
        <w:t>placement and therapeutic services will be purposely matched to the specific assessed needs of each child</w:t>
      </w:r>
      <w:r w:rsidRPr="00BC7382">
        <w:t xml:space="preserve">. </w:t>
      </w:r>
      <w:r w:rsidR="00A56884">
        <w:br w:type="column"/>
      </w:r>
      <w:r w:rsidRPr="00F80387">
        <w:rPr>
          <w:lang w:eastAsia="en-AU"/>
        </w:rPr>
        <w:lastRenderedPageBreak/>
        <w:t xml:space="preserve">Phase 2 of OOHC </w:t>
      </w:r>
      <w:r>
        <w:rPr>
          <w:lang w:eastAsia="en-AU"/>
        </w:rPr>
        <w:t xml:space="preserve">reform </w:t>
      </w:r>
      <w:r w:rsidRPr="00F80387">
        <w:rPr>
          <w:lang w:eastAsia="en-AU"/>
        </w:rPr>
        <w:t>examines Family Based Care options with an initial focus on foster care, including the recruitment, support, training, approval, registration and deregistration of carers.</w:t>
      </w:r>
    </w:p>
    <w:p w:rsidR="00175E79" w:rsidRPr="00F80387" w:rsidRDefault="00175E79" w:rsidP="00175E79">
      <w:r w:rsidRPr="00F80387">
        <w:t xml:space="preserve">Children and Youth Services also furthered its Practice Manual Project which aims to ensure quality, consistent practice </w:t>
      </w:r>
      <w:proofErr w:type="spellStart"/>
      <w:r w:rsidRPr="00F80387">
        <w:t>statewide</w:t>
      </w:r>
      <w:proofErr w:type="spellEnd"/>
      <w:r w:rsidRPr="00F80387">
        <w:t>. This important Project is a critical part of providing our practitioners with the guidance, support, information and procedural clarity they need to work with children, young people, families, carers and partners.</w:t>
      </w:r>
      <w:r w:rsidR="00C5198E">
        <w:t xml:space="preserve"> T</w:t>
      </w:r>
      <w:r w:rsidRPr="00F80387">
        <w:t>he Project Team achieve</w:t>
      </w:r>
      <w:r w:rsidR="00C5198E">
        <w:t>d</w:t>
      </w:r>
      <w:r w:rsidRPr="00F80387">
        <w:t xml:space="preserve"> its goal of ‘going live’ with the </w:t>
      </w:r>
      <w:r w:rsidR="00C166D8">
        <w:t xml:space="preserve">Practice </w:t>
      </w:r>
      <w:r w:rsidRPr="00F80387">
        <w:t xml:space="preserve">Manual </w:t>
      </w:r>
      <w:r w:rsidR="00C5198E">
        <w:t xml:space="preserve">on </w:t>
      </w:r>
      <w:r w:rsidRPr="00F80387">
        <w:t xml:space="preserve">1 July 2015. </w:t>
      </w:r>
    </w:p>
    <w:p w:rsidR="00920FF9" w:rsidRPr="00011EDD" w:rsidRDefault="00920FF9" w:rsidP="00920FF9">
      <w:r w:rsidRPr="001B05C8">
        <w:rPr>
          <w:lang w:eastAsia="en-AU" w:bidi="en-US"/>
        </w:rPr>
        <w:t xml:space="preserve">During the year, the Department continued work on the legislative project </w:t>
      </w:r>
      <w:r>
        <w:rPr>
          <w:lang w:eastAsia="en-AU" w:bidi="en-US"/>
        </w:rPr>
        <w:t xml:space="preserve">to clarify the </w:t>
      </w:r>
      <w:r w:rsidRPr="001B05C8">
        <w:t xml:space="preserve">powers and functions of the Commissioner for Children. </w:t>
      </w:r>
      <w:r>
        <w:t xml:space="preserve">These changes have </w:t>
      </w:r>
      <w:r w:rsidR="007D5CF8">
        <w:t>arisen</w:t>
      </w:r>
      <w:r>
        <w:t xml:space="preserve"> from </w:t>
      </w:r>
      <w:r w:rsidR="007D5CF8">
        <w:t xml:space="preserve">recommendations made by the </w:t>
      </w:r>
      <w:r w:rsidRPr="001B05C8">
        <w:t>Advocacy for</w:t>
      </w:r>
      <w:r>
        <w:t xml:space="preserve"> Children in Tasmania Committee, one of which </w:t>
      </w:r>
      <w:r w:rsidR="007D5CF8">
        <w:t>was</w:t>
      </w:r>
      <w:r>
        <w:t xml:space="preserve"> </w:t>
      </w:r>
      <w:r w:rsidRPr="001B05C8">
        <w:t>the development of standalone legislation</w:t>
      </w:r>
      <w:r>
        <w:t xml:space="preserve"> to distance</w:t>
      </w:r>
      <w:r w:rsidRPr="001B05C8">
        <w:t xml:space="preserve"> </w:t>
      </w:r>
      <w:r>
        <w:t xml:space="preserve">the </w:t>
      </w:r>
      <w:r w:rsidRPr="001B05C8">
        <w:t xml:space="preserve">position from the statutory services provided through the </w:t>
      </w:r>
      <w:r w:rsidRPr="001B05C8">
        <w:rPr>
          <w:i/>
          <w:iCs/>
        </w:rPr>
        <w:t>Children, Young Persons and Their Families Act 1997.</w:t>
      </w:r>
    </w:p>
    <w:p w:rsidR="00590ADE" w:rsidRPr="00F80387" w:rsidRDefault="00590ADE" w:rsidP="00F80387">
      <w:pPr>
        <w:pStyle w:val="Heading4"/>
      </w:pPr>
      <w:r w:rsidRPr="00F80387">
        <w:t>Stability in Times of Change</w:t>
      </w:r>
    </w:p>
    <w:p w:rsidR="00CF0BB6" w:rsidRPr="00F80387" w:rsidRDefault="00CE41A2" w:rsidP="0020675D">
      <w:r w:rsidRPr="00F80387">
        <w:t>Though we are in an environment of major change</w:t>
      </w:r>
      <w:r w:rsidR="00EA7108">
        <w:t xml:space="preserve"> </w:t>
      </w:r>
      <w:r w:rsidR="0086180A">
        <w:t xml:space="preserve">across every aspect of the Department’s functions, and </w:t>
      </w:r>
      <w:r w:rsidR="00EA7108">
        <w:t>as we strive for innovation and better outcomes across both of the Department’s portfolios</w:t>
      </w:r>
      <w:r w:rsidRPr="00F80387">
        <w:t xml:space="preserve">, </w:t>
      </w:r>
      <w:r w:rsidR="00EA7108">
        <w:t xml:space="preserve">our </w:t>
      </w:r>
      <w:r w:rsidRPr="00F80387">
        <w:t>fun</w:t>
      </w:r>
      <w:r w:rsidR="0086180A">
        <w:t>damental role remains constant. Our primary focus is to improve the health and wellbeing of Tasmanians</w:t>
      </w:r>
      <w:r w:rsidR="00CF0BB6" w:rsidRPr="00F80387">
        <w:t xml:space="preserve">.  </w:t>
      </w:r>
    </w:p>
    <w:p w:rsidR="00A56884" w:rsidRDefault="00920FF9" w:rsidP="0020675D">
      <w:r>
        <w:t xml:space="preserve">Without doubt </w:t>
      </w:r>
      <w:r w:rsidR="00835FFD">
        <w:t xml:space="preserve">my </w:t>
      </w:r>
      <w:r>
        <w:t xml:space="preserve">key message </w:t>
      </w:r>
      <w:r w:rsidR="00835FFD">
        <w:t>for</w:t>
      </w:r>
      <w:r>
        <w:t xml:space="preserve"> the DHHS 2014-15 Annual Report is one of thanks. Thanks to the </w:t>
      </w:r>
      <w:proofErr w:type="gramStart"/>
      <w:r>
        <w:t>staff of the Department who have</w:t>
      </w:r>
      <w:proofErr w:type="gramEnd"/>
      <w:r>
        <w:t xml:space="preserve"> bought about this exceptional suite of reforms while continuing to deliver the day to day outcomes required of them to a high </w:t>
      </w:r>
      <w:r w:rsidR="00EA7108">
        <w:t>standard</w:t>
      </w:r>
      <w:r>
        <w:t>.  Particularly given the program of FTE reduction</w:t>
      </w:r>
      <w:r w:rsidR="00835FFD">
        <w:t>s</w:t>
      </w:r>
      <w:r>
        <w:t xml:space="preserve"> we </w:t>
      </w:r>
      <w:r w:rsidR="00835FFD">
        <w:t xml:space="preserve">completed </w:t>
      </w:r>
      <w:r>
        <w:t xml:space="preserve">in 2014-15, this is an exceptional effort, and my thanks </w:t>
      </w:r>
      <w:r w:rsidR="00835FFD">
        <w:t xml:space="preserve">and recognition </w:t>
      </w:r>
      <w:r>
        <w:t>go</w:t>
      </w:r>
      <w:r w:rsidR="00835FFD">
        <w:t>es</w:t>
      </w:r>
      <w:r>
        <w:t xml:space="preserve"> </w:t>
      </w:r>
      <w:r w:rsidR="00835FFD">
        <w:t xml:space="preserve">out </w:t>
      </w:r>
      <w:r>
        <w:t>to each and every staff</w:t>
      </w:r>
      <w:r w:rsidR="00835FFD">
        <w:t xml:space="preserve"> member</w:t>
      </w:r>
      <w:r>
        <w:t xml:space="preserve">. </w:t>
      </w:r>
    </w:p>
    <w:p w:rsidR="00A56884" w:rsidRDefault="00A56884">
      <w:pPr>
        <w:tabs>
          <w:tab w:val="clear" w:pos="567"/>
        </w:tabs>
        <w:spacing w:after="200" w:line="276" w:lineRule="auto"/>
      </w:pPr>
      <w:r>
        <w:br w:type="page"/>
      </w:r>
    </w:p>
    <w:p w:rsidR="008C40C3" w:rsidRPr="00F80387" w:rsidRDefault="00920FF9" w:rsidP="0020675D">
      <w:r>
        <w:lastRenderedPageBreak/>
        <w:t xml:space="preserve">We arrived at </w:t>
      </w:r>
      <w:r w:rsidR="00835FFD">
        <w:t>these achievements by working</w:t>
      </w:r>
      <w:r>
        <w:t xml:space="preserve"> together, and seeing what we achieved in 2014-15 consolidated into this Annual Report makes it quite clear just </w:t>
      </w:r>
      <w:r w:rsidR="00835FFD">
        <w:t>how far we’ve come</w:t>
      </w:r>
      <w:r w:rsidR="00EA7108">
        <w:t xml:space="preserve"> in delivering real and positive change for Tasmanians – particularly those most vulnerable</w:t>
      </w:r>
      <w:r w:rsidR="00835FFD">
        <w:t>.</w:t>
      </w:r>
      <w:r w:rsidR="00EA7108">
        <w:t xml:space="preserve"> </w:t>
      </w:r>
    </w:p>
    <w:p w:rsidR="00E674EC" w:rsidRDefault="00835FFD" w:rsidP="0020675D">
      <w:r>
        <w:t xml:space="preserve">Ministers, </w:t>
      </w:r>
      <w:r w:rsidR="00E674EC" w:rsidRPr="00F80387">
        <w:t xml:space="preserve">I am </w:t>
      </w:r>
      <w:r w:rsidR="00920FF9">
        <w:t xml:space="preserve">very </w:t>
      </w:r>
      <w:r w:rsidR="00E674EC" w:rsidRPr="00F80387">
        <w:t xml:space="preserve">pleased to submit to you the Annual Report </w:t>
      </w:r>
      <w:r>
        <w:t xml:space="preserve">of </w:t>
      </w:r>
      <w:r w:rsidR="00E674EC" w:rsidRPr="00F80387">
        <w:t xml:space="preserve">the Department of Health and Human Services for the </w:t>
      </w:r>
      <w:r>
        <w:t xml:space="preserve">financial </w:t>
      </w:r>
      <w:r w:rsidR="00E674EC" w:rsidRPr="00F80387">
        <w:t>year 2014-15.</w:t>
      </w:r>
    </w:p>
    <w:p w:rsidR="00A56884" w:rsidRDefault="00A56884" w:rsidP="0020675D"/>
    <w:p w:rsidR="00A56884" w:rsidRDefault="00A56884" w:rsidP="0020675D"/>
    <w:p w:rsidR="00A56884" w:rsidRDefault="00A56884" w:rsidP="0020675D"/>
    <w:p w:rsidR="00A56884" w:rsidRDefault="00A56884" w:rsidP="0020675D"/>
    <w:p w:rsidR="00A56884" w:rsidRDefault="00A56884" w:rsidP="0020675D"/>
    <w:p w:rsidR="00A56884" w:rsidRPr="00F80387" w:rsidRDefault="00A56884" w:rsidP="0020675D"/>
    <w:p w:rsidR="009E2428" w:rsidRPr="00F80387" w:rsidRDefault="009E2428" w:rsidP="00B166D8">
      <w:pPr>
        <w:sectPr w:rsidR="009E2428" w:rsidRPr="00F80387" w:rsidSect="009E2428">
          <w:headerReference w:type="default" r:id="rId23"/>
          <w:type w:val="continuous"/>
          <w:pgSz w:w="11906" w:h="16838" w:code="9"/>
          <w:pgMar w:top="907" w:right="1134" w:bottom="720" w:left="1134" w:header="709" w:footer="709" w:gutter="0"/>
          <w:cols w:num="2" w:space="708"/>
          <w:docGrid w:linePitch="360"/>
        </w:sectPr>
      </w:pPr>
    </w:p>
    <w:p w:rsidR="008C40C3" w:rsidRDefault="00A56884" w:rsidP="00B166D8">
      <w:r w:rsidRPr="001B05C8">
        <w:rPr>
          <w:noProof/>
          <w:lang w:eastAsia="en-AU"/>
        </w:rPr>
        <w:lastRenderedPageBreak/>
        <w:drawing>
          <wp:inline distT="0" distB="0" distL="0" distR="0" wp14:anchorId="6325C2C4" wp14:editId="3AADB24B">
            <wp:extent cx="1244600" cy="790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4600" cy="790575"/>
                    </a:xfrm>
                    <a:prstGeom prst="rect">
                      <a:avLst/>
                    </a:prstGeom>
                    <a:noFill/>
                    <a:ln>
                      <a:noFill/>
                    </a:ln>
                  </pic:spPr>
                </pic:pic>
              </a:graphicData>
            </a:graphic>
          </wp:inline>
        </w:drawing>
      </w:r>
    </w:p>
    <w:p w:rsidR="008C40C3" w:rsidRPr="00F80387" w:rsidRDefault="008C40C3" w:rsidP="00E674EC">
      <w:pPr>
        <w:spacing w:after="0"/>
      </w:pPr>
      <w:r w:rsidRPr="00F80387">
        <w:t>Michael Pervan</w:t>
      </w:r>
    </w:p>
    <w:p w:rsidR="00ED49D6" w:rsidRPr="00F80387" w:rsidRDefault="008C40C3" w:rsidP="00810559">
      <w:pPr>
        <w:spacing w:after="0"/>
        <w:rPr>
          <w:color w:val="0070C0"/>
        </w:rPr>
      </w:pPr>
      <w:r w:rsidRPr="00F80387">
        <w:rPr>
          <w:b/>
        </w:rPr>
        <w:t>Acting Secretary</w:t>
      </w:r>
      <w:r w:rsidR="00ED49D6" w:rsidRPr="00F80387">
        <w:rPr>
          <w:color w:val="0070C0"/>
        </w:rPr>
        <w:br w:type="page"/>
      </w:r>
    </w:p>
    <w:p w:rsidR="009E2428" w:rsidRPr="00F80387" w:rsidRDefault="00013C89">
      <w:pPr>
        <w:tabs>
          <w:tab w:val="clear" w:pos="567"/>
        </w:tabs>
        <w:spacing w:after="200" w:line="276" w:lineRule="auto"/>
        <w:rPr>
          <w:rFonts w:eastAsiaTheme="majorEastAsia" w:cstheme="majorBidi"/>
          <w:b/>
          <w:bCs/>
          <w:sz w:val="40"/>
          <w:szCs w:val="28"/>
        </w:rPr>
      </w:pPr>
      <w:r w:rsidRPr="00F80387">
        <w:rPr>
          <w:noProof/>
          <w:lang w:eastAsia="en-AU"/>
        </w:rPr>
        <w:lastRenderedPageBreak/>
        <w:drawing>
          <wp:anchor distT="0" distB="0" distL="114300" distR="114300" simplePos="0" relativeHeight="251661312" behindDoc="1" locked="0" layoutInCell="1" allowOverlap="1" wp14:anchorId="7613E0BA" wp14:editId="73A12ED6">
            <wp:simplePos x="0" y="0"/>
            <wp:positionH relativeFrom="page">
              <wp:posOffset>-3727</wp:posOffset>
            </wp:positionH>
            <wp:positionV relativeFrom="page">
              <wp:posOffset>10381</wp:posOffset>
            </wp:positionV>
            <wp:extent cx="7566106" cy="10699200"/>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6106" cy="10699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9E2428" w:rsidRPr="00F80387">
        <w:br w:type="page"/>
      </w:r>
    </w:p>
    <w:p w:rsidR="00C5198E" w:rsidRPr="00933AB9" w:rsidRDefault="00C5198E" w:rsidP="00C5198E">
      <w:pPr>
        <w:pStyle w:val="Heading2"/>
      </w:pPr>
      <w:r w:rsidRPr="00933AB9">
        <w:lastRenderedPageBreak/>
        <w:t>Contents – Part 1 - Overview</w:t>
      </w:r>
    </w:p>
    <w:p w:rsidR="00003BB8" w:rsidRDefault="00C5198E">
      <w:pPr>
        <w:pStyle w:val="TOC1"/>
        <w:tabs>
          <w:tab w:val="right" w:leader="dot" w:pos="9628"/>
        </w:tabs>
        <w:rPr>
          <w:rFonts w:asciiTheme="minorHAnsi" w:eastAsiaTheme="minorEastAsia" w:hAnsiTheme="minorHAnsi" w:cstheme="minorBidi"/>
          <w:noProof/>
          <w:lang w:eastAsia="en-AU"/>
        </w:rPr>
      </w:pPr>
      <w:r>
        <w:fldChar w:fldCharType="begin"/>
      </w:r>
      <w:r>
        <w:instrText xml:space="preserve"> TOC \o "1-1" \h \z \u </w:instrText>
      </w:r>
      <w:r>
        <w:fldChar w:fldCharType="separate"/>
      </w:r>
      <w:hyperlink w:anchor="_Toc432517208" w:history="1">
        <w:r w:rsidR="00003BB8" w:rsidRPr="00041805">
          <w:rPr>
            <w:rStyle w:val="Hyperlink"/>
            <w:rFonts w:eastAsiaTheme="majorEastAsia"/>
            <w:noProof/>
          </w:rPr>
          <w:t>DHHS Overview</w:t>
        </w:r>
        <w:r w:rsidR="00003BB8">
          <w:rPr>
            <w:noProof/>
            <w:webHidden/>
          </w:rPr>
          <w:tab/>
        </w:r>
        <w:r w:rsidR="00003BB8">
          <w:rPr>
            <w:noProof/>
            <w:webHidden/>
          </w:rPr>
          <w:fldChar w:fldCharType="begin"/>
        </w:r>
        <w:r w:rsidR="00003BB8">
          <w:rPr>
            <w:noProof/>
            <w:webHidden/>
          </w:rPr>
          <w:instrText xml:space="preserve"> PAGEREF _Toc432517208 \h </w:instrText>
        </w:r>
        <w:r w:rsidR="00003BB8">
          <w:rPr>
            <w:noProof/>
            <w:webHidden/>
          </w:rPr>
        </w:r>
        <w:r w:rsidR="00003BB8">
          <w:rPr>
            <w:noProof/>
            <w:webHidden/>
          </w:rPr>
          <w:fldChar w:fldCharType="separate"/>
        </w:r>
        <w:r w:rsidR="00B70049">
          <w:rPr>
            <w:noProof/>
            <w:webHidden/>
          </w:rPr>
          <w:t>9</w:t>
        </w:r>
        <w:r w:rsidR="00003BB8">
          <w:rPr>
            <w:noProof/>
            <w:webHidden/>
          </w:rPr>
          <w:fldChar w:fldCharType="end"/>
        </w:r>
      </w:hyperlink>
    </w:p>
    <w:p w:rsidR="00003BB8" w:rsidRDefault="0079201E">
      <w:pPr>
        <w:pStyle w:val="TOC1"/>
        <w:tabs>
          <w:tab w:val="right" w:leader="dot" w:pos="9628"/>
        </w:tabs>
        <w:rPr>
          <w:rFonts w:asciiTheme="minorHAnsi" w:eastAsiaTheme="minorEastAsia" w:hAnsiTheme="minorHAnsi" w:cstheme="minorBidi"/>
          <w:noProof/>
          <w:lang w:eastAsia="en-AU"/>
        </w:rPr>
      </w:pPr>
      <w:hyperlink w:anchor="_Toc432517209" w:history="1">
        <w:r w:rsidR="00003BB8" w:rsidRPr="00041805">
          <w:rPr>
            <w:rStyle w:val="Hyperlink"/>
            <w:rFonts w:eastAsiaTheme="majorEastAsia"/>
            <w:noProof/>
          </w:rPr>
          <w:t>Financial Overview</w:t>
        </w:r>
        <w:r w:rsidR="00003BB8">
          <w:rPr>
            <w:noProof/>
            <w:webHidden/>
          </w:rPr>
          <w:tab/>
        </w:r>
        <w:r w:rsidR="00003BB8">
          <w:rPr>
            <w:noProof/>
            <w:webHidden/>
          </w:rPr>
          <w:fldChar w:fldCharType="begin"/>
        </w:r>
        <w:r w:rsidR="00003BB8">
          <w:rPr>
            <w:noProof/>
            <w:webHidden/>
          </w:rPr>
          <w:instrText xml:space="preserve"> PAGEREF _Toc432517209 \h </w:instrText>
        </w:r>
        <w:r w:rsidR="00003BB8">
          <w:rPr>
            <w:noProof/>
            <w:webHidden/>
          </w:rPr>
        </w:r>
        <w:r w:rsidR="00003BB8">
          <w:rPr>
            <w:noProof/>
            <w:webHidden/>
          </w:rPr>
          <w:fldChar w:fldCharType="separate"/>
        </w:r>
        <w:r w:rsidR="00B70049">
          <w:rPr>
            <w:noProof/>
            <w:webHidden/>
          </w:rPr>
          <w:t>13</w:t>
        </w:r>
        <w:r w:rsidR="00003BB8">
          <w:rPr>
            <w:noProof/>
            <w:webHidden/>
          </w:rPr>
          <w:fldChar w:fldCharType="end"/>
        </w:r>
      </w:hyperlink>
    </w:p>
    <w:p w:rsidR="00003BB8" w:rsidRDefault="0079201E">
      <w:pPr>
        <w:pStyle w:val="TOC1"/>
        <w:tabs>
          <w:tab w:val="right" w:leader="dot" w:pos="9628"/>
        </w:tabs>
        <w:rPr>
          <w:rFonts w:asciiTheme="minorHAnsi" w:eastAsiaTheme="minorEastAsia" w:hAnsiTheme="minorHAnsi" w:cstheme="minorBidi"/>
          <w:noProof/>
          <w:lang w:eastAsia="en-AU"/>
        </w:rPr>
      </w:pPr>
      <w:hyperlink w:anchor="_Toc432517297" w:history="1">
        <w:r w:rsidR="00003BB8" w:rsidRPr="00041805">
          <w:rPr>
            <w:rStyle w:val="Hyperlink"/>
            <w:rFonts w:eastAsiaTheme="majorEastAsia"/>
            <w:noProof/>
          </w:rPr>
          <w:t>Health and Human Services Workforce</w:t>
        </w:r>
        <w:r w:rsidR="00003BB8">
          <w:rPr>
            <w:noProof/>
            <w:webHidden/>
          </w:rPr>
          <w:tab/>
        </w:r>
        <w:r w:rsidR="00003BB8">
          <w:rPr>
            <w:noProof/>
            <w:webHidden/>
          </w:rPr>
          <w:fldChar w:fldCharType="begin"/>
        </w:r>
        <w:r w:rsidR="00003BB8">
          <w:rPr>
            <w:noProof/>
            <w:webHidden/>
          </w:rPr>
          <w:instrText xml:space="preserve"> PAGEREF _Toc432517297 \h </w:instrText>
        </w:r>
        <w:r w:rsidR="00003BB8">
          <w:rPr>
            <w:noProof/>
            <w:webHidden/>
          </w:rPr>
        </w:r>
        <w:r w:rsidR="00003BB8">
          <w:rPr>
            <w:noProof/>
            <w:webHidden/>
          </w:rPr>
          <w:fldChar w:fldCharType="separate"/>
        </w:r>
        <w:r w:rsidR="00B70049">
          <w:rPr>
            <w:noProof/>
            <w:webHidden/>
          </w:rPr>
          <w:t>16</w:t>
        </w:r>
        <w:r w:rsidR="00003BB8">
          <w:rPr>
            <w:noProof/>
            <w:webHidden/>
          </w:rPr>
          <w:fldChar w:fldCharType="end"/>
        </w:r>
      </w:hyperlink>
    </w:p>
    <w:p w:rsidR="00003BB8" w:rsidRDefault="0079201E">
      <w:pPr>
        <w:pStyle w:val="TOC1"/>
        <w:tabs>
          <w:tab w:val="right" w:leader="dot" w:pos="9628"/>
        </w:tabs>
        <w:rPr>
          <w:rFonts w:asciiTheme="minorHAnsi" w:eastAsiaTheme="minorEastAsia" w:hAnsiTheme="minorHAnsi" w:cstheme="minorBidi"/>
          <w:noProof/>
          <w:lang w:eastAsia="en-AU"/>
        </w:rPr>
      </w:pPr>
      <w:hyperlink w:anchor="_Toc432517298" w:history="1">
        <w:r w:rsidR="00003BB8" w:rsidRPr="00041805">
          <w:rPr>
            <w:rStyle w:val="Hyperlink"/>
            <w:rFonts w:eastAsiaTheme="majorEastAsia"/>
            <w:noProof/>
          </w:rPr>
          <w:t>Community Engagement</w:t>
        </w:r>
        <w:r w:rsidR="00003BB8">
          <w:rPr>
            <w:noProof/>
            <w:webHidden/>
          </w:rPr>
          <w:tab/>
        </w:r>
        <w:r w:rsidR="00003BB8">
          <w:rPr>
            <w:noProof/>
            <w:webHidden/>
          </w:rPr>
          <w:fldChar w:fldCharType="begin"/>
        </w:r>
        <w:r w:rsidR="00003BB8">
          <w:rPr>
            <w:noProof/>
            <w:webHidden/>
          </w:rPr>
          <w:instrText xml:space="preserve"> PAGEREF _Toc432517298 \h </w:instrText>
        </w:r>
        <w:r w:rsidR="00003BB8">
          <w:rPr>
            <w:noProof/>
            <w:webHidden/>
          </w:rPr>
        </w:r>
        <w:r w:rsidR="00003BB8">
          <w:rPr>
            <w:noProof/>
            <w:webHidden/>
          </w:rPr>
          <w:fldChar w:fldCharType="separate"/>
        </w:r>
        <w:r w:rsidR="00B70049">
          <w:rPr>
            <w:noProof/>
            <w:webHidden/>
          </w:rPr>
          <w:t>21</w:t>
        </w:r>
        <w:r w:rsidR="00003BB8">
          <w:rPr>
            <w:noProof/>
            <w:webHidden/>
          </w:rPr>
          <w:fldChar w:fldCharType="end"/>
        </w:r>
      </w:hyperlink>
    </w:p>
    <w:p w:rsidR="00003BB8" w:rsidRDefault="0079201E">
      <w:pPr>
        <w:pStyle w:val="TOC1"/>
        <w:tabs>
          <w:tab w:val="right" w:leader="dot" w:pos="9628"/>
        </w:tabs>
        <w:rPr>
          <w:rFonts w:asciiTheme="minorHAnsi" w:eastAsiaTheme="minorEastAsia" w:hAnsiTheme="minorHAnsi" w:cstheme="minorBidi"/>
          <w:noProof/>
          <w:lang w:eastAsia="en-AU"/>
        </w:rPr>
      </w:pPr>
      <w:hyperlink w:anchor="_Toc432517299" w:history="1">
        <w:r w:rsidR="00003BB8" w:rsidRPr="00041805">
          <w:rPr>
            <w:rStyle w:val="Hyperlink"/>
            <w:rFonts w:eastAsiaTheme="majorEastAsia"/>
            <w:noProof/>
          </w:rPr>
          <w:t>Disability Framework for Action</w:t>
        </w:r>
        <w:r w:rsidR="00003BB8">
          <w:rPr>
            <w:noProof/>
            <w:webHidden/>
          </w:rPr>
          <w:tab/>
        </w:r>
        <w:r w:rsidR="00003BB8">
          <w:rPr>
            <w:noProof/>
            <w:webHidden/>
          </w:rPr>
          <w:fldChar w:fldCharType="begin"/>
        </w:r>
        <w:r w:rsidR="00003BB8">
          <w:rPr>
            <w:noProof/>
            <w:webHidden/>
          </w:rPr>
          <w:instrText xml:space="preserve"> PAGEREF _Toc432517299 \h </w:instrText>
        </w:r>
        <w:r w:rsidR="00003BB8">
          <w:rPr>
            <w:noProof/>
            <w:webHidden/>
          </w:rPr>
        </w:r>
        <w:r w:rsidR="00003BB8">
          <w:rPr>
            <w:noProof/>
            <w:webHidden/>
          </w:rPr>
          <w:fldChar w:fldCharType="separate"/>
        </w:r>
        <w:r w:rsidR="00B70049">
          <w:rPr>
            <w:noProof/>
            <w:webHidden/>
          </w:rPr>
          <w:t>23</w:t>
        </w:r>
        <w:r w:rsidR="00003BB8">
          <w:rPr>
            <w:noProof/>
            <w:webHidden/>
          </w:rPr>
          <w:fldChar w:fldCharType="end"/>
        </w:r>
      </w:hyperlink>
    </w:p>
    <w:p w:rsidR="00003BB8" w:rsidRDefault="0079201E">
      <w:pPr>
        <w:pStyle w:val="TOC1"/>
        <w:tabs>
          <w:tab w:val="right" w:leader="dot" w:pos="9628"/>
        </w:tabs>
        <w:rPr>
          <w:rFonts w:asciiTheme="minorHAnsi" w:eastAsiaTheme="minorEastAsia" w:hAnsiTheme="minorHAnsi" w:cstheme="minorBidi"/>
          <w:noProof/>
          <w:lang w:eastAsia="en-AU"/>
        </w:rPr>
      </w:pPr>
      <w:hyperlink w:anchor="_Toc432517300" w:history="1">
        <w:r w:rsidR="00003BB8" w:rsidRPr="00041805">
          <w:rPr>
            <w:rStyle w:val="Hyperlink"/>
            <w:rFonts w:eastAsiaTheme="majorEastAsia"/>
            <w:noProof/>
          </w:rPr>
          <w:t>DHHS in 2014-15</w:t>
        </w:r>
        <w:r w:rsidR="00003BB8">
          <w:rPr>
            <w:noProof/>
            <w:webHidden/>
          </w:rPr>
          <w:tab/>
        </w:r>
        <w:r w:rsidR="00003BB8">
          <w:rPr>
            <w:noProof/>
            <w:webHidden/>
          </w:rPr>
          <w:fldChar w:fldCharType="begin"/>
        </w:r>
        <w:r w:rsidR="00003BB8">
          <w:rPr>
            <w:noProof/>
            <w:webHidden/>
          </w:rPr>
          <w:instrText xml:space="preserve"> PAGEREF _Toc432517300 \h </w:instrText>
        </w:r>
        <w:r w:rsidR="00003BB8">
          <w:rPr>
            <w:noProof/>
            <w:webHidden/>
          </w:rPr>
        </w:r>
        <w:r w:rsidR="00003BB8">
          <w:rPr>
            <w:noProof/>
            <w:webHidden/>
          </w:rPr>
          <w:fldChar w:fldCharType="separate"/>
        </w:r>
        <w:r w:rsidR="00B70049">
          <w:rPr>
            <w:noProof/>
            <w:webHidden/>
          </w:rPr>
          <w:t>24</w:t>
        </w:r>
        <w:r w:rsidR="00003BB8">
          <w:rPr>
            <w:noProof/>
            <w:webHidden/>
          </w:rPr>
          <w:fldChar w:fldCharType="end"/>
        </w:r>
      </w:hyperlink>
    </w:p>
    <w:p w:rsidR="00003BB8" w:rsidRDefault="0079201E">
      <w:pPr>
        <w:pStyle w:val="TOC1"/>
        <w:tabs>
          <w:tab w:val="right" w:leader="dot" w:pos="9628"/>
        </w:tabs>
        <w:rPr>
          <w:rFonts w:asciiTheme="minorHAnsi" w:eastAsiaTheme="minorEastAsia" w:hAnsiTheme="minorHAnsi" w:cstheme="minorBidi"/>
          <w:noProof/>
          <w:lang w:eastAsia="en-AU"/>
        </w:rPr>
      </w:pPr>
      <w:hyperlink w:anchor="_Toc432517301" w:history="1">
        <w:r w:rsidR="00003BB8" w:rsidRPr="00041805">
          <w:rPr>
            <w:rStyle w:val="Hyperlink"/>
            <w:rFonts w:eastAsiaTheme="majorEastAsia"/>
            <w:noProof/>
          </w:rPr>
          <w:t>DHHS in 2015-16</w:t>
        </w:r>
        <w:r w:rsidR="00003BB8">
          <w:rPr>
            <w:noProof/>
            <w:webHidden/>
          </w:rPr>
          <w:tab/>
        </w:r>
        <w:r w:rsidR="00003BB8">
          <w:rPr>
            <w:noProof/>
            <w:webHidden/>
          </w:rPr>
          <w:fldChar w:fldCharType="begin"/>
        </w:r>
        <w:r w:rsidR="00003BB8">
          <w:rPr>
            <w:noProof/>
            <w:webHidden/>
          </w:rPr>
          <w:instrText xml:space="preserve"> PAGEREF _Toc432517301 \h </w:instrText>
        </w:r>
        <w:r w:rsidR="00003BB8">
          <w:rPr>
            <w:noProof/>
            <w:webHidden/>
          </w:rPr>
        </w:r>
        <w:r w:rsidR="00003BB8">
          <w:rPr>
            <w:noProof/>
            <w:webHidden/>
          </w:rPr>
          <w:fldChar w:fldCharType="separate"/>
        </w:r>
        <w:r w:rsidR="00B70049">
          <w:rPr>
            <w:noProof/>
            <w:webHidden/>
          </w:rPr>
          <w:t>34</w:t>
        </w:r>
        <w:r w:rsidR="00003BB8">
          <w:rPr>
            <w:noProof/>
            <w:webHidden/>
          </w:rPr>
          <w:fldChar w:fldCharType="end"/>
        </w:r>
      </w:hyperlink>
    </w:p>
    <w:p w:rsidR="00C5198E" w:rsidRDefault="00C5198E" w:rsidP="00C5198E">
      <w:r>
        <w:fldChar w:fldCharType="end"/>
      </w:r>
    </w:p>
    <w:p w:rsidR="00C5198E" w:rsidRDefault="00C5198E" w:rsidP="00C5198E"/>
    <w:p w:rsidR="00C5198E" w:rsidRPr="00F80387" w:rsidRDefault="00C5198E" w:rsidP="00C5198E">
      <w:pPr>
        <w:sectPr w:rsidR="00C5198E" w:rsidRPr="00F80387" w:rsidSect="00C5198E">
          <w:headerReference w:type="even" r:id="rId26"/>
          <w:type w:val="continuous"/>
          <w:pgSz w:w="11906" w:h="16838" w:code="9"/>
          <w:pgMar w:top="907" w:right="1134" w:bottom="720" w:left="1134" w:header="709" w:footer="709" w:gutter="0"/>
          <w:cols w:space="708"/>
          <w:docGrid w:linePitch="360"/>
        </w:sectPr>
      </w:pPr>
    </w:p>
    <w:p w:rsidR="00C5198E" w:rsidRDefault="00C5198E">
      <w:pPr>
        <w:tabs>
          <w:tab w:val="clear" w:pos="567"/>
        </w:tabs>
        <w:spacing w:after="200" w:line="276" w:lineRule="auto"/>
        <w:rPr>
          <w:rFonts w:eastAsiaTheme="majorEastAsia" w:cstheme="majorBidi"/>
          <w:b/>
          <w:bCs/>
          <w:sz w:val="40"/>
          <w:szCs w:val="28"/>
        </w:rPr>
      </w:pPr>
      <w:r>
        <w:lastRenderedPageBreak/>
        <w:br w:type="page"/>
      </w:r>
    </w:p>
    <w:p w:rsidR="0041611F" w:rsidRPr="00F80387" w:rsidRDefault="0041611F" w:rsidP="00F80387">
      <w:pPr>
        <w:pStyle w:val="Heading1"/>
      </w:pPr>
      <w:bookmarkStart w:id="12" w:name="_Toc432517208"/>
      <w:r w:rsidRPr="00F80387">
        <w:lastRenderedPageBreak/>
        <w:t xml:space="preserve">DHHS </w:t>
      </w:r>
      <w:r w:rsidR="001D436C">
        <w:t>Overview</w:t>
      </w:r>
      <w:bookmarkEnd w:id="12"/>
    </w:p>
    <w:p w:rsidR="00C72D5F" w:rsidRPr="00F80387" w:rsidRDefault="00C72D5F" w:rsidP="00F80387">
      <w:pPr>
        <w:pStyle w:val="Heading3"/>
        <w:sectPr w:rsidR="00C72D5F" w:rsidRPr="00F80387" w:rsidSect="00013C89">
          <w:headerReference w:type="default" r:id="rId27"/>
          <w:type w:val="continuous"/>
          <w:pgSz w:w="11906" w:h="16838" w:code="9"/>
          <w:pgMar w:top="907" w:right="1134" w:bottom="720" w:left="1134" w:header="709" w:footer="709" w:gutter="0"/>
          <w:cols w:space="708"/>
          <w:titlePg/>
          <w:docGrid w:linePitch="360"/>
        </w:sectPr>
      </w:pPr>
    </w:p>
    <w:p w:rsidR="00EF5AB8" w:rsidRPr="00F80387" w:rsidRDefault="00EF5AB8" w:rsidP="00EF5AB8">
      <w:r w:rsidRPr="00F80387">
        <w:lastRenderedPageBreak/>
        <w:t xml:space="preserve">The objective of public sector health and human services is to deliver safe, high quality services to improve, promote, protect and maintain the health and wellbeing of Tasmanians. </w:t>
      </w:r>
    </w:p>
    <w:p w:rsidR="002D6AD2" w:rsidRDefault="00EF5AB8" w:rsidP="00EF5AB8">
      <w:r w:rsidRPr="00F80387">
        <w:t xml:space="preserve">Specifically, it is the </w:t>
      </w:r>
      <w:r w:rsidR="00900279">
        <w:t xml:space="preserve">Department’s </w:t>
      </w:r>
      <w:r w:rsidRPr="00F80387">
        <w:t xml:space="preserve">management responsibility to provide strategic leadership and direction for the delivery of public sector health and human services </w:t>
      </w:r>
      <w:r w:rsidR="00900279">
        <w:t>in</w:t>
      </w:r>
      <w:r w:rsidRPr="00F80387">
        <w:t xml:space="preserve"> the State</w:t>
      </w:r>
      <w:r w:rsidR="00900279">
        <w:t xml:space="preserve">. It is also </w:t>
      </w:r>
      <w:r w:rsidRPr="00F80387">
        <w:t xml:space="preserve">to have </w:t>
      </w:r>
      <w:r w:rsidR="00900279">
        <w:t xml:space="preserve">in place a </w:t>
      </w:r>
      <w:r w:rsidRPr="00F80387">
        <w:t>framework of processes, procedures and controls to satisfy the</w:t>
      </w:r>
      <w:r w:rsidR="00B74122">
        <w:t xml:space="preserve"> needs of </w:t>
      </w:r>
      <w:r w:rsidR="000B4190">
        <w:t xml:space="preserve">the </w:t>
      </w:r>
      <w:r w:rsidRPr="00F80387">
        <w:t>Min</w:t>
      </w:r>
      <w:r w:rsidR="00B74122">
        <w:t>i</w:t>
      </w:r>
      <w:r w:rsidRPr="00F80387">
        <w:t xml:space="preserve">ster for Health and </w:t>
      </w:r>
      <w:r w:rsidR="000B4190">
        <w:t xml:space="preserve">the </w:t>
      </w:r>
      <w:r w:rsidRPr="00F80387">
        <w:t xml:space="preserve">Minister for Human Services </w:t>
      </w:r>
      <w:r w:rsidR="00900279">
        <w:t xml:space="preserve">to ensure </w:t>
      </w:r>
      <w:r w:rsidRPr="00F80387">
        <w:t xml:space="preserve">the objectives of the system are being met. </w:t>
      </w:r>
    </w:p>
    <w:p w:rsidR="002D6AD2" w:rsidRPr="00F80387" w:rsidRDefault="00A12506" w:rsidP="002D6AD2">
      <w:pPr>
        <w:rPr>
          <w:lang w:eastAsia="en-AU"/>
        </w:rPr>
      </w:pPr>
      <w:r>
        <w:t xml:space="preserve">The Department </w:t>
      </w:r>
      <w:r w:rsidR="002D6AD2" w:rsidRPr="00F80387">
        <w:t xml:space="preserve">is system manager and purchaser of </w:t>
      </w:r>
      <w:r w:rsidR="005D2313">
        <w:t xml:space="preserve">safe, </w:t>
      </w:r>
      <w:r w:rsidR="002D6AD2" w:rsidRPr="00F80387">
        <w:rPr>
          <w:lang w:eastAsia="en-AU"/>
        </w:rPr>
        <w:t>high quality and efficient healthcare services through the public hospital system, primary and community health services, including mental health, oral health and correctional health services, and ambulance services</w:t>
      </w:r>
      <w:r>
        <w:rPr>
          <w:lang w:eastAsia="en-AU"/>
        </w:rPr>
        <w:t>.</w:t>
      </w:r>
    </w:p>
    <w:p w:rsidR="002D6AD2" w:rsidRPr="00F80387" w:rsidRDefault="002D6AD2" w:rsidP="002D6AD2">
      <w:pPr>
        <w:rPr>
          <w:lang w:eastAsia="en-AU"/>
        </w:rPr>
      </w:pPr>
      <w:r w:rsidRPr="00F80387">
        <w:rPr>
          <w:lang w:eastAsia="en-AU"/>
        </w:rPr>
        <w:t>The Department delivers health promotion and protection through emergency management, public health and related preventative services.</w:t>
      </w:r>
      <w:r w:rsidRPr="00F80387">
        <w:t xml:space="preserve"> It also has a regulatory role for the public and private health sector</w:t>
      </w:r>
      <w:r w:rsidR="00D12532">
        <w:t>.</w:t>
      </w:r>
    </w:p>
    <w:p w:rsidR="002D6AD2" w:rsidRPr="00F80387" w:rsidRDefault="002D6AD2" w:rsidP="002D6AD2">
      <w:pPr>
        <w:rPr>
          <w:lang w:eastAsia="en-AU"/>
        </w:rPr>
      </w:pPr>
      <w:r w:rsidRPr="00F80387">
        <w:rPr>
          <w:lang w:eastAsia="en-AU"/>
        </w:rPr>
        <w:t>We facilitate residential and rehabilitative care for older Tasmanians, as well as support and assistance to enable them to remain living independently in their own homes. We also run a network of alcohol and drug prevention and treatment services.</w:t>
      </w:r>
    </w:p>
    <w:p w:rsidR="002D6AD2" w:rsidRPr="00F80387" w:rsidRDefault="002D6AD2" w:rsidP="002D6AD2">
      <w:pPr>
        <w:rPr>
          <w:lang w:eastAsia="en-AU"/>
        </w:rPr>
      </w:pPr>
      <w:r w:rsidRPr="00F80387">
        <w:rPr>
          <w:lang w:eastAsia="en-AU"/>
        </w:rPr>
        <w:t>The Department provides a range of accommodation and support services which aim to enhance the quality of life for people with disability and this work has been built on this year under the Disab</w:t>
      </w:r>
      <w:r>
        <w:rPr>
          <w:lang w:eastAsia="en-AU"/>
        </w:rPr>
        <w:t>ility Framework for Action 2013</w:t>
      </w:r>
      <w:r>
        <w:rPr>
          <w:lang w:eastAsia="en-AU"/>
        </w:rPr>
        <w:noBreakHyphen/>
      </w:r>
      <w:r w:rsidRPr="00F80387">
        <w:rPr>
          <w:lang w:eastAsia="en-AU"/>
        </w:rPr>
        <w:t xml:space="preserve">17. </w:t>
      </w:r>
    </w:p>
    <w:p w:rsidR="00D60752" w:rsidRDefault="002D6AD2" w:rsidP="002D6AD2">
      <w:pPr>
        <w:rPr>
          <w:lang w:eastAsia="en-AU"/>
        </w:rPr>
      </w:pPr>
      <w:r w:rsidRPr="00F80387">
        <w:rPr>
          <w:lang w:eastAsia="en-AU"/>
        </w:rPr>
        <w:t xml:space="preserve">We hold vital statutory responsibilities relating to vulnerable children and young people in child protection and juvenile justice, and provide a wide range of community services for children and their families, including early intervention, family support services and child health services. </w:t>
      </w:r>
    </w:p>
    <w:p w:rsidR="002D6AD2" w:rsidRPr="00F80387" w:rsidRDefault="008D05D2" w:rsidP="002D6AD2">
      <w:pPr>
        <w:rPr>
          <w:lang w:eastAsia="en-AU"/>
        </w:rPr>
      </w:pPr>
      <w:r>
        <w:rPr>
          <w:lang w:eastAsia="en-AU"/>
        </w:rPr>
        <w:br w:type="column"/>
      </w:r>
      <w:r w:rsidR="002D6AD2" w:rsidRPr="00F80387">
        <w:rPr>
          <w:lang w:eastAsia="en-AU"/>
        </w:rPr>
        <w:lastRenderedPageBreak/>
        <w:t>And through a collaboration between Government and the community s</w:t>
      </w:r>
      <w:r w:rsidR="00D12532">
        <w:rPr>
          <w:lang w:eastAsia="en-AU"/>
        </w:rPr>
        <w:t xml:space="preserve">ector, </w:t>
      </w:r>
      <w:r w:rsidR="002D6AD2" w:rsidRPr="00F80387">
        <w:rPr>
          <w:lang w:eastAsia="en-AU"/>
        </w:rPr>
        <w:t>Housing Connect provides a one-stop shop for Tasmanians in need of housing assistance ranging from emergency accommodation through to finding and sustaining a long-term home.</w:t>
      </w:r>
    </w:p>
    <w:p w:rsidR="002D6AD2" w:rsidRDefault="002D6AD2" w:rsidP="002D6AD2">
      <w:r w:rsidRPr="00F80387">
        <w:t xml:space="preserve">The Department will continue to implement reform in the coming year while maintaining and striving </w:t>
      </w:r>
      <w:r w:rsidR="005D2313">
        <w:t xml:space="preserve">to improve </w:t>
      </w:r>
      <w:r w:rsidRPr="00F80387">
        <w:t xml:space="preserve">our service delivery and oversight </w:t>
      </w:r>
      <w:r w:rsidR="00D12532">
        <w:t xml:space="preserve">roles for all </w:t>
      </w:r>
      <w:r w:rsidRPr="00F80387">
        <w:t>Tasmanians.</w:t>
      </w:r>
    </w:p>
    <w:p w:rsidR="001D436C" w:rsidRPr="008D05D2" w:rsidRDefault="00D12532" w:rsidP="008D05D2">
      <w:pPr>
        <w:pStyle w:val="Heading2"/>
      </w:pPr>
      <w:r w:rsidRPr="008D05D2">
        <w:t>DHHS a</w:t>
      </w:r>
      <w:r w:rsidR="001D436C" w:rsidRPr="008D05D2">
        <w:t xml:space="preserve">t </w:t>
      </w:r>
      <w:r w:rsidRPr="008D05D2">
        <w:t>a</w:t>
      </w:r>
      <w:r w:rsidR="001D436C" w:rsidRPr="008D05D2">
        <w:t xml:space="preserve"> Glance</w:t>
      </w:r>
    </w:p>
    <w:p w:rsidR="00EF5AB8" w:rsidRPr="00F80387" w:rsidRDefault="002D6AD2" w:rsidP="00EF5AB8">
      <w:r>
        <w:t>As system manager the Department’s role includes:</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d</w:t>
      </w:r>
      <w:r w:rsidR="00EF5AB8" w:rsidRPr="00F80387">
        <w:rPr>
          <w:rFonts w:ascii="GillSans Light" w:hAnsi="GillSans Light"/>
          <w:sz w:val="22"/>
          <w:szCs w:val="22"/>
        </w:rPr>
        <w:t xml:space="preserve">escribing and enacting the strategic direction of the </w:t>
      </w:r>
      <w:r w:rsidRPr="00F80387">
        <w:rPr>
          <w:rFonts w:ascii="GillSans Light" w:hAnsi="GillSans Light"/>
          <w:sz w:val="22"/>
          <w:szCs w:val="22"/>
        </w:rPr>
        <w:t>h</w:t>
      </w:r>
      <w:r w:rsidR="00EF5AB8" w:rsidRPr="00F80387">
        <w:rPr>
          <w:rFonts w:ascii="GillSans Light" w:hAnsi="GillSans Light"/>
          <w:sz w:val="22"/>
          <w:szCs w:val="22"/>
        </w:rPr>
        <w:t xml:space="preserve">ealth </w:t>
      </w:r>
      <w:r w:rsidRPr="00F80387">
        <w:rPr>
          <w:rFonts w:ascii="GillSans Light" w:hAnsi="GillSans Light"/>
          <w:sz w:val="22"/>
          <w:szCs w:val="22"/>
        </w:rPr>
        <w:t>system</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government relations</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t</w:t>
      </w:r>
      <w:r w:rsidR="00EF5AB8" w:rsidRPr="00F80387">
        <w:rPr>
          <w:rFonts w:ascii="GillSans Light" w:hAnsi="GillSans Light"/>
          <w:sz w:val="22"/>
          <w:szCs w:val="22"/>
        </w:rPr>
        <w:t xml:space="preserve">he planning and purchasing </w:t>
      </w:r>
      <w:r w:rsidRPr="00F80387">
        <w:rPr>
          <w:rFonts w:ascii="GillSans Light" w:hAnsi="GillSans Light"/>
          <w:sz w:val="22"/>
          <w:szCs w:val="22"/>
        </w:rPr>
        <w:t>of services</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t</w:t>
      </w:r>
      <w:r w:rsidR="00EF5AB8" w:rsidRPr="00F80387">
        <w:rPr>
          <w:rFonts w:ascii="GillSans Light" w:hAnsi="GillSans Light"/>
          <w:sz w:val="22"/>
          <w:szCs w:val="22"/>
        </w:rPr>
        <w:t>he planning and purchasing of capital resources</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p</w:t>
      </w:r>
      <w:r w:rsidR="00EF5AB8" w:rsidRPr="00F80387">
        <w:rPr>
          <w:rFonts w:ascii="GillSans Light" w:hAnsi="GillSans Light"/>
          <w:sz w:val="22"/>
          <w:szCs w:val="22"/>
        </w:rPr>
        <w:t>erformance management of service providers</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r</w:t>
      </w:r>
      <w:r w:rsidR="00EF5AB8" w:rsidRPr="00F80387">
        <w:rPr>
          <w:rFonts w:ascii="GillSans Light" w:hAnsi="GillSans Light"/>
          <w:sz w:val="22"/>
          <w:szCs w:val="22"/>
        </w:rPr>
        <w:t>egulation of service providers</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m</w:t>
      </w:r>
      <w:r w:rsidR="00EF5AB8" w:rsidRPr="00F80387">
        <w:rPr>
          <w:rFonts w:ascii="GillSans Light" w:hAnsi="GillSans Light"/>
          <w:sz w:val="22"/>
          <w:szCs w:val="22"/>
        </w:rPr>
        <w:t>onitor</w:t>
      </w:r>
      <w:r w:rsidRPr="00F80387">
        <w:rPr>
          <w:rFonts w:ascii="GillSans Light" w:hAnsi="GillSans Light"/>
          <w:sz w:val="22"/>
          <w:szCs w:val="22"/>
        </w:rPr>
        <w:t>ing and oversight of the system</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s</w:t>
      </w:r>
      <w:r w:rsidR="00EF5AB8" w:rsidRPr="00F80387">
        <w:rPr>
          <w:rFonts w:ascii="GillSans Light" w:hAnsi="GillSans Light"/>
          <w:sz w:val="22"/>
          <w:szCs w:val="22"/>
        </w:rPr>
        <w:t xml:space="preserve">ystem reporting </w:t>
      </w:r>
    </w:p>
    <w:p w:rsidR="001D436C" w:rsidRPr="001D436C" w:rsidRDefault="001D436C" w:rsidP="001D436C">
      <w:pPr>
        <w:pStyle w:val="ListParagraph"/>
        <w:numPr>
          <w:ilvl w:val="0"/>
          <w:numId w:val="40"/>
        </w:numPr>
        <w:ind w:left="567" w:hanging="567"/>
        <w:rPr>
          <w:sz w:val="22"/>
          <w:szCs w:val="22"/>
        </w:rPr>
      </w:pPr>
      <w:r w:rsidRPr="001D436C">
        <w:rPr>
          <w:sz w:val="22"/>
          <w:szCs w:val="22"/>
        </w:rPr>
        <w:t xml:space="preserve">health promotion and protection through emergency management, </w:t>
      </w:r>
      <w:r w:rsidR="00070FA1">
        <w:rPr>
          <w:sz w:val="22"/>
          <w:szCs w:val="22"/>
        </w:rPr>
        <w:t>and public health services</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c</w:t>
      </w:r>
      <w:r w:rsidR="00EF5AB8" w:rsidRPr="00F80387">
        <w:rPr>
          <w:rFonts w:ascii="GillSans Light" w:hAnsi="GillSans Light"/>
          <w:sz w:val="22"/>
          <w:szCs w:val="22"/>
        </w:rPr>
        <w:t xml:space="preserve">ontinuous improvement in the quality of care </w:t>
      </w:r>
      <w:r w:rsidRPr="00F80387">
        <w:rPr>
          <w:rFonts w:ascii="GillSans Light" w:hAnsi="GillSans Light"/>
          <w:sz w:val="22"/>
          <w:szCs w:val="22"/>
        </w:rPr>
        <w:t>s</w:t>
      </w:r>
      <w:r w:rsidR="00EF5AB8" w:rsidRPr="00F80387">
        <w:rPr>
          <w:rFonts w:ascii="GillSans Light" w:hAnsi="GillSans Light"/>
          <w:sz w:val="22"/>
          <w:szCs w:val="22"/>
        </w:rPr>
        <w:t>tat</w:t>
      </w:r>
      <w:r w:rsidRPr="00F80387">
        <w:rPr>
          <w:rFonts w:ascii="GillSans Light" w:hAnsi="GillSans Light"/>
          <w:sz w:val="22"/>
          <w:szCs w:val="22"/>
        </w:rPr>
        <w:t xml:space="preserve">ewide </w:t>
      </w:r>
      <w:r w:rsidR="008D05D2">
        <w:rPr>
          <w:rFonts w:ascii="GillSans Light" w:hAnsi="GillSans Light"/>
          <w:sz w:val="22"/>
          <w:szCs w:val="22"/>
        </w:rPr>
        <w:t>c</w:t>
      </w:r>
      <w:r w:rsidRPr="00F80387">
        <w:rPr>
          <w:rFonts w:ascii="GillSans Light" w:hAnsi="GillSans Light"/>
          <w:sz w:val="22"/>
          <w:szCs w:val="22"/>
        </w:rPr>
        <w:t xml:space="preserve">linical </w:t>
      </w:r>
      <w:r w:rsidR="008D05D2">
        <w:rPr>
          <w:rFonts w:ascii="GillSans Light" w:hAnsi="GillSans Light"/>
          <w:sz w:val="22"/>
          <w:szCs w:val="22"/>
        </w:rPr>
        <w:t>g</w:t>
      </w:r>
      <w:r w:rsidRPr="00F80387">
        <w:rPr>
          <w:rFonts w:ascii="GillSans Light" w:hAnsi="GillSans Light"/>
          <w:sz w:val="22"/>
          <w:szCs w:val="22"/>
        </w:rPr>
        <w:t>overnance</w:t>
      </w:r>
    </w:p>
    <w:p w:rsidR="00EF5AB8" w:rsidRPr="00F80387" w:rsidRDefault="00590ADE" w:rsidP="0094444B">
      <w:pPr>
        <w:pStyle w:val="Style5"/>
        <w:spacing w:line="240" w:lineRule="atLeast"/>
        <w:ind w:left="567" w:hanging="567"/>
        <w:jc w:val="left"/>
        <w:rPr>
          <w:rFonts w:ascii="GillSans Light" w:hAnsi="GillSans Light"/>
          <w:sz w:val="22"/>
          <w:szCs w:val="22"/>
        </w:rPr>
      </w:pPr>
      <w:r w:rsidRPr="00F80387">
        <w:rPr>
          <w:rFonts w:ascii="GillSans Light" w:hAnsi="GillSans Light"/>
          <w:sz w:val="22"/>
          <w:szCs w:val="22"/>
        </w:rPr>
        <w:t>industrial relations</w:t>
      </w:r>
      <w:r w:rsidR="00D60752">
        <w:rPr>
          <w:rFonts w:ascii="GillSans Light" w:hAnsi="GillSans Light"/>
          <w:sz w:val="22"/>
          <w:szCs w:val="22"/>
        </w:rPr>
        <w:t xml:space="preserve"> and</w:t>
      </w:r>
    </w:p>
    <w:p w:rsidR="00590ADE" w:rsidRPr="001D436C" w:rsidRDefault="001D436C" w:rsidP="00E817AD">
      <w:pPr>
        <w:pStyle w:val="ListParagraph"/>
        <w:numPr>
          <w:ilvl w:val="0"/>
          <w:numId w:val="33"/>
        </w:numPr>
        <w:ind w:left="567" w:hanging="567"/>
        <w:rPr>
          <w:color w:val="000000" w:themeColor="text1"/>
          <w:sz w:val="22"/>
        </w:rPr>
      </w:pPr>
      <w:proofErr w:type="gramStart"/>
      <w:r>
        <w:rPr>
          <w:rFonts w:cs="Arial"/>
          <w:sz w:val="22"/>
        </w:rPr>
        <w:t>i</w:t>
      </w:r>
      <w:r w:rsidR="00750FD6" w:rsidRPr="001D436C">
        <w:rPr>
          <w:rFonts w:cs="Arial"/>
          <w:sz w:val="22"/>
        </w:rPr>
        <w:t>ntegrated</w:t>
      </w:r>
      <w:proofErr w:type="gramEnd"/>
      <w:r w:rsidR="00750FD6" w:rsidRPr="001D436C">
        <w:rPr>
          <w:rFonts w:cs="Arial"/>
          <w:sz w:val="22"/>
        </w:rPr>
        <w:t xml:space="preserve"> pre-hospital emergency and medical services, health transport, aero</w:t>
      </w:r>
      <w:r w:rsidR="00750FD6" w:rsidRPr="001D436C">
        <w:rPr>
          <w:rFonts w:cs="Arial"/>
          <w:sz w:val="22"/>
        </w:rPr>
        <w:noBreakHyphen/>
        <w:t>medical and medical retrieval services.</w:t>
      </w:r>
    </w:p>
    <w:p w:rsidR="0094444B" w:rsidRPr="00F80387" w:rsidRDefault="0094444B" w:rsidP="00590ADE">
      <w:pPr>
        <w:rPr>
          <w:color w:val="000000" w:themeColor="text1"/>
        </w:rPr>
      </w:pPr>
      <w:r w:rsidRPr="00F80387">
        <w:rPr>
          <w:color w:val="000000" w:themeColor="text1"/>
        </w:rPr>
        <w:t xml:space="preserve">Other </w:t>
      </w:r>
      <w:r w:rsidR="00590ADE" w:rsidRPr="00F80387">
        <w:rPr>
          <w:color w:val="000000" w:themeColor="text1"/>
        </w:rPr>
        <w:t>p</w:t>
      </w:r>
      <w:r w:rsidRPr="00F80387">
        <w:rPr>
          <w:color w:val="000000" w:themeColor="text1"/>
        </w:rPr>
        <w:t xml:space="preserve">rincipal </w:t>
      </w:r>
      <w:r w:rsidR="00590ADE" w:rsidRPr="00F80387">
        <w:rPr>
          <w:color w:val="000000" w:themeColor="text1"/>
        </w:rPr>
        <w:t>r</w:t>
      </w:r>
      <w:r w:rsidRPr="00F80387">
        <w:rPr>
          <w:color w:val="000000" w:themeColor="text1"/>
        </w:rPr>
        <w:t>esponsibilities:</w:t>
      </w:r>
    </w:p>
    <w:p w:rsidR="008D05D2" w:rsidRDefault="00590ADE" w:rsidP="0094444B">
      <w:pPr>
        <w:pStyle w:val="ListParagraph"/>
        <w:widowControl/>
        <w:numPr>
          <w:ilvl w:val="0"/>
          <w:numId w:val="27"/>
        </w:numPr>
        <w:spacing w:line="240" w:lineRule="atLeast"/>
        <w:ind w:left="567" w:hanging="567"/>
        <w:rPr>
          <w:color w:val="000000" w:themeColor="text1"/>
          <w:sz w:val="22"/>
          <w:szCs w:val="22"/>
        </w:rPr>
      </w:pPr>
      <w:r w:rsidRPr="00F80387">
        <w:rPr>
          <w:color w:val="000000" w:themeColor="text1"/>
          <w:sz w:val="22"/>
          <w:szCs w:val="22"/>
        </w:rPr>
        <w:t>s</w:t>
      </w:r>
      <w:r w:rsidR="0094444B" w:rsidRPr="00F80387">
        <w:rPr>
          <w:color w:val="000000" w:themeColor="text1"/>
          <w:sz w:val="22"/>
          <w:szCs w:val="22"/>
        </w:rPr>
        <w:t xml:space="preserve">tatutory responsibilities for vulnerable children and young people including child </w:t>
      </w:r>
      <w:r w:rsidRPr="00F80387">
        <w:rPr>
          <w:color w:val="000000" w:themeColor="text1"/>
          <w:sz w:val="22"/>
          <w:szCs w:val="22"/>
        </w:rPr>
        <w:t xml:space="preserve">protection and </w:t>
      </w:r>
      <w:r w:rsidR="00B74122">
        <w:rPr>
          <w:color w:val="000000" w:themeColor="text1"/>
          <w:sz w:val="22"/>
          <w:szCs w:val="22"/>
        </w:rPr>
        <w:t>Youth Ju</w:t>
      </w:r>
      <w:r w:rsidRPr="00F80387">
        <w:rPr>
          <w:color w:val="000000" w:themeColor="text1"/>
          <w:sz w:val="22"/>
          <w:szCs w:val="22"/>
        </w:rPr>
        <w:t>stice</w:t>
      </w:r>
    </w:p>
    <w:p w:rsidR="008D05D2" w:rsidRDefault="008D05D2">
      <w:pPr>
        <w:tabs>
          <w:tab w:val="clear" w:pos="567"/>
        </w:tabs>
        <w:spacing w:after="200" w:line="276" w:lineRule="auto"/>
        <w:rPr>
          <w:color w:val="000000" w:themeColor="text1"/>
          <w:lang w:bidi="en-US"/>
        </w:rPr>
      </w:pPr>
      <w:r>
        <w:rPr>
          <w:color w:val="000000" w:themeColor="text1"/>
        </w:rPr>
        <w:br w:type="page"/>
      </w:r>
    </w:p>
    <w:p w:rsidR="0002159C" w:rsidRDefault="00B74122" w:rsidP="0094444B">
      <w:pPr>
        <w:pStyle w:val="ListParagraph"/>
        <w:widowControl/>
        <w:numPr>
          <w:ilvl w:val="0"/>
          <w:numId w:val="27"/>
        </w:numPr>
        <w:spacing w:line="240" w:lineRule="atLeast"/>
        <w:ind w:left="567" w:hanging="567"/>
        <w:rPr>
          <w:color w:val="000000" w:themeColor="text1"/>
          <w:sz w:val="22"/>
          <w:szCs w:val="22"/>
        </w:rPr>
      </w:pPr>
      <w:r>
        <w:rPr>
          <w:color w:val="000000" w:themeColor="text1"/>
          <w:sz w:val="22"/>
          <w:szCs w:val="22"/>
        </w:rPr>
        <w:lastRenderedPageBreak/>
        <w:t xml:space="preserve">either directly, or through funding partnerships, we deliver </w:t>
      </w:r>
      <w:r w:rsidR="00590ADE" w:rsidRPr="00F80387">
        <w:rPr>
          <w:color w:val="000000" w:themeColor="text1"/>
          <w:sz w:val="22"/>
          <w:szCs w:val="22"/>
        </w:rPr>
        <w:t>a</w:t>
      </w:r>
      <w:r w:rsidR="0094444B" w:rsidRPr="00F80387">
        <w:rPr>
          <w:color w:val="000000" w:themeColor="text1"/>
          <w:sz w:val="22"/>
          <w:szCs w:val="22"/>
        </w:rPr>
        <w:t xml:space="preserve"> wide range of community services for children and their families including early intervention, counselling and support for families affected by family violence, other family support services and chil</w:t>
      </w:r>
      <w:r w:rsidR="00590ADE" w:rsidRPr="00F80387">
        <w:rPr>
          <w:color w:val="000000" w:themeColor="text1"/>
          <w:sz w:val="22"/>
          <w:szCs w:val="22"/>
        </w:rPr>
        <w:t>d health and parenting services</w:t>
      </w:r>
    </w:p>
    <w:p w:rsidR="0002159C" w:rsidRPr="00F80387" w:rsidRDefault="0002159C" w:rsidP="0002159C">
      <w:pPr>
        <w:pStyle w:val="Style5"/>
        <w:numPr>
          <w:ilvl w:val="0"/>
          <w:numId w:val="27"/>
        </w:numPr>
        <w:spacing w:line="240" w:lineRule="atLeast"/>
        <w:ind w:left="567" w:hanging="567"/>
        <w:jc w:val="left"/>
        <w:rPr>
          <w:rFonts w:ascii="GillSans Light" w:hAnsi="GillSans Light"/>
          <w:color w:val="000000" w:themeColor="text1"/>
          <w:sz w:val="22"/>
          <w:szCs w:val="22"/>
        </w:rPr>
      </w:pPr>
      <w:r>
        <w:rPr>
          <w:rFonts w:ascii="GillSans Light" w:hAnsi="GillSans Light"/>
          <w:color w:val="000000" w:themeColor="text1"/>
          <w:sz w:val="22"/>
          <w:szCs w:val="22"/>
          <w:lang w:eastAsia="en-AU"/>
        </w:rPr>
        <w:t>secure and affordable housing to support low income Tasmanians, and accommodation and support for people experiencing homelessness, and</w:t>
      </w:r>
    </w:p>
    <w:p w:rsidR="0094444B" w:rsidRDefault="00590ADE" w:rsidP="0094444B">
      <w:pPr>
        <w:pStyle w:val="Style5"/>
        <w:numPr>
          <w:ilvl w:val="0"/>
          <w:numId w:val="27"/>
        </w:numPr>
        <w:spacing w:line="240" w:lineRule="atLeast"/>
        <w:ind w:left="567" w:hanging="567"/>
        <w:jc w:val="left"/>
        <w:rPr>
          <w:rFonts w:ascii="GillSans Light" w:hAnsi="GillSans Light"/>
          <w:color w:val="000000" w:themeColor="text1"/>
          <w:sz w:val="22"/>
          <w:szCs w:val="22"/>
        </w:rPr>
      </w:pPr>
      <w:proofErr w:type="gramStart"/>
      <w:r w:rsidRPr="00F80387">
        <w:rPr>
          <w:rFonts w:ascii="GillSans Light" w:hAnsi="GillSans Light"/>
          <w:color w:val="000000" w:themeColor="text1"/>
          <w:sz w:val="22"/>
          <w:szCs w:val="22"/>
        </w:rPr>
        <w:t>a</w:t>
      </w:r>
      <w:proofErr w:type="gramEnd"/>
      <w:r w:rsidR="0094444B" w:rsidRPr="00F80387">
        <w:rPr>
          <w:rFonts w:ascii="GillSans Light" w:hAnsi="GillSans Light"/>
          <w:color w:val="000000" w:themeColor="text1"/>
          <w:sz w:val="22"/>
          <w:szCs w:val="22"/>
        </w:rPr>
        <w:t xml:space="preserve"> range of accommodation and support services </w:t>
      </w:r>
      <w:r w:rsidR="0094444B" w:rsidRPr="00F80387">
        <w:rPr>
          <w:rFonts w:ascii="GillSans Light" w:hAnsi="GillSans Light"/>
          <w:color w:val="000000" w:themeColor="text1"/>
          <w:sz w:val="22"/>
          <w:szCs w:val="22"/>
          <w:lang w:eastAsia="en-AU"/>
        </w:rPr>
        <w:t>aimed at enhancing the quality of life for people with disability.</w:t>
      </w:r>
    </w:p>
    <w:p w:rsidR="0094444B" w:rsidRPr="00F80387" w:rsidRDefault="0094444B" w:rsidP="0094444B">
      <w:pPr>
        <w:rPr>
          <w:color w:val="000000" w:themeColor="text1"/>
        </w:rPr>
      </w:pPr>
      <w:r w:rsidRPr="00F80387">
        <w:rPr>
          <w:color w:val="000000" w:themeColor="text1"/>
        </w:rPr>
        <w:t xml:space="preserve">The </w:t>
      </w:r>
      <w:r w:rsidR="0002159C">
        <w:rPr>
          <w:color w:val="000000" w:themeColor="text1"/>
        </w:rPr>
        <w:t xml:space="preserve">operational Groups of the </w:t>
      </w:r>
      <w:r w:rsidRPr="00F80387">
        <w:rPr>
          <w:color w:val="000000" w:themeColor="text1"/>
        </w:rPr>
        <w:t>Department provided a range of services across Tasmania in 2014-15, including:</w:t>
      </w:r>
    </w:p>
    <w:p w:rsidR="006D4A5F" w:rsidRDefault="006D4A5F" w:rsidP="0094444B">
      <w:pPr>
        <w:pStyle w:val="ListParagraph"/>
        <w:widowControl/>
        <w:numPr>
          <w:ilvl w:val="0"/>
          <w:numId w:val="29"/>
        </w:numPr>
        <w:spacing w:line="240" w:lineRule="atLeast"/>
        <w:ind w:left="567" w:hanging="567"/>
        <w:rPr>
          <w:color w:val="000000" w:themeColor="text1"/>
          <w:sz w:val="22"/>
          <w:szCs w:val="22"/>
        </w:rPr>
      </w:pPr>
      <w:r>
        <w:rPr>
          <w:color w:val="000000" w:themeColor="text1"/>
          <w:sz w:val="22"/>
          <w:szCs w:val="22"/>
        </w:rPr>
        <w:t>5</w:t>
      </w:r>
      <w:r w:rsidR="00BF749B">
        <w:rPr>
          <w:color w:val="000000" w:themeColor="text1"/>
          <w:sz w:val="22"/>
          <w:szCs w:val="22"/>
        </w:rPr>
        <w:t>5 a</w:t>
      </w:r>
      <w:r>
        <w:rPr>
          <w:color w:val="000000" w:themeColor="text1"/>
          <w:sz w:val="22"/>
          <w:szCs w:val="22"/>
        </w:rPr>
        <w:t xml:space="preserve">mbulance </w:t>
      </w:r>
      <w:r w:rsidR="00BF749B">
        <w:rPr>
          <w:color w:val="000000" w:themeColor="text1"/>
          <w:sz w:val="22"/>
          <w:szCs w:val="22"/>
        </w:rPr>
        <w:t xml:space="preserve">response locations </w:t>
      </w:r>
    </w:p>
    <w:p w:rsidR="0094444B" w:rsidRPr="00F80387" w:rsidRDefault="00590ADE" w:rsidP="0094444B">
      <w:pPr>
        <w:pStyle w:val="ListParagraph"/>
        <w:widowControl/>
        <w:numPr>
          <w:ilvl w:val="0"/>
          <w:numId w:val="29"/>
        </w:numPr>
        <w:spacing w:line="240" w:lineRule="atLeast"/>
        <w:ind w:left="567" w:hanging="567"/>
        <w:rPr>
          <w:color w:val="000000" w:themeColor="text1"/>
          <w:sz w:val="22"/>
          <w:szCs w:val="22"/>
        </w:rPr>
      </w:pPr>
      <w:r w:rsidRPr="00F80387">
        <w:rPr>
          <w:color w:val="000000" w:themeColor="text1"/>
          <w:sz w:val="22"/>
          <w:szCs w:val="22"/>
        </w:rPr>
        <w:t>f</w:t>
      </w:r>
      <w:r w:rsidR="0094444B" w:rsidRPr="00F80387">
        <w:rPr>
          <w:color w:val="000000" w:themeColor="text1"/>
          <w:sz w:val="22"/>
          <w:szCs w:val="22"/>
        </w:rPr>
        <w:t>our Children and Youth Service Centres located at Newtown, L</w:t>
      </w:r>
      <w:r w:rsidRPr="00F80387">
        <w:rPr>
          <w:color w:val="000000" w:themeColor="text1"/>
          <w:sz w:val="22"/>
          <w:szCs w:val="22"/>
        </w:rPr>
        <w:t>aunceston, Burnie and Devonport</w:t>
      </w:r>
    </w:p>
    <w:p w:rsidR="0094444B" w:rsidRPr="008D05D2" w:rsidRDefault="003F24F9" w:rsidP="0094444B">
      <w:pPr>
        <w:pStyle w:val="ListParagraph"/>
        <w:widowControl/>
        <w:numPr>
          <w:ilvl w:val="0"/>
          <w:numId w:val="29"/>
        </w:numPr>
        <w:spacing w:line="240" w:lineRule="atLeast"/>
        <w:ind w:left="567" w:hanging="567"/>
        <w:rPr>
          <w:sz w:val="22"/>
          <w:szCs w:val="22"/>
        </w:rPr>
      </w:pPr>
      <w:r w:rsidRPr="008D05D2">
        <w:rPr>
          <w:sz w:val="22"/>
          <w:szCs w:val="22"/>
        </w:rPr>
        <w:t xml:space="preserve">three </w:t>
      </w:r>
      <w:r w:rsidR="0094444B" w:rsidRPr="008D05D2">
        <w:rPr>
          <w:sz w:val="22"/>
          <w:szCs w:val="22"/>
        </w:rPr>
        <w:t xml:space="preserve">Family Violence Counselling and Support services located in </w:t>
      </w:r>
      <w:r w:rsidR="008D05D2" w:rsidRPr="008D05D2">
        <w:rPr>
          <w:sz w:val="22"/>
          <w:szCs w:val="22"/>
        </w:rPr>
        <w:t xml:space="preserve">Burnie, </w:t>
      </w:r>
      <w:r w:rsidR="0094444B" w:rsidRPr="008D05D2">
        <w:rPr>
          <w:sz w:val="22"/>
          <w:szCs w:val="22"/>
        </w:rPr>
        <w:t>Launceston and Hobart</w:t>
      </w:r>
      <w:r w:rsidR="008D05D2" w:rsidRPr="008D05D2">
        <w:rPr>
          <w:sz w:val="22"/>
          <w:szCs w:val="22"/>
        </w:rPr>
        <w:t xml:space="preserve">, </w:t>
      </w:r>
      <w:r w:rsidR="008D05D2" w:rsidRPr="008D05D2">
        <w:rPr>
          <w:sz w:val="22"/>
          <w:szCs w:val="22"/>
          <w:lang w:eastAsia="en-AU"/>
        </w:rPr>
        <w:t>with capacity to provide outreach service within each respective region</w:t>
      </w:r>
    </w:p>
    <w:p w:rsidR="0094444B" w:rsidRPr="00F80387" w:rsidRDefault="0094444B" w:rsidP="0094444B">
      <w:pPr>
        <w:pStyle w:val="ListParagraph"/>
        <w:widowControl/>
        <w:numPr>
          <w:ilvl w:val="0"/>
          <w:numId w:val="29"/>
        </w:numPr>
        <w:spacing w:line="240" w:lineRule="atLeast"/>
        <w:ind w:left="567" w:hanging="567"/>
        <w:rPr>
          <w:color w:val="000000" w:themeColor="text1"/>
          <w:sz w:val="22"/>
          <w:szCs w:val="22"/>
        </w:rPr>
      </w:pPr>
      <w:r w:rsidRPr="00F80387">
        <w:rPr>
          <w:color w:val="000000" w:themeColor="text1"/>
          <w:sz w:val="22"/>
          <w:szCs w:val="22"/>
        </w:rPr>
        <w:t xml:space="preserve">78 Child Health and Parenting Service (CHaPS) clinics around the </w:t>
      </w:r>
      <w:r w:rsidR="00590ADE" w:rsidRPr="00F80387">
        <w:rPr>
          <w:color w:val="000000" w:themeColor="text1"/>
          <w:sz w:val="22"/>
          <w:szCs w:val="22"/>
        </w:rPr>
        <w:t>S</w:t>
      </w:r>
      <w:r w:rsidRPr="00F80387">
        <w:rPr>
          <w:color w:val="000000" w:themeColor="text1"/>
          <w:sz w:val="22"/>
          <w:szCs w:val="22"/>
        </w:rPr>
        <w:t>tate</w:t>
      </w:r>
    </w:p>
    <w:p w:rsidR="00D60752" w:rsidRPr="00F80387" w:rsidRDefault="00D60752" w:rsidP="00D60752">
      <w:pPr>
        <w:pStyle w:val="ListParagraph"/>
        <w:widowControl/>
        <w:numPr>
          <w:ilvl w:val="0"/>
          <w:numId w:val="29"/>
        </w:numPr>
        <w:spacing w:line="240" w:lineRule="atLeast"/>
        <w:ind w:left="567" w:hanging="567"/>
        <w:rPr>
          <w:color w:val="000000" w:themeColor="text1"/>
          <w:sz w:val="22"/>
          <w:szCs w:val="22"/>
        </w:rPr>
      </w:pPr>
      <w:r w:rsidRPr="00F80387">
        <w:rPr>
          <w:color w:val="000000" w:themeColor="text1"/>
          <w:sz w:val="22"/>
          <w:szCs w:val="22"/>
        </w:rPr>
        <w:t>three Parenting Centres</w:t>
      </w:r>
    </w:p>
    <w:p w:rsidR="0035226A" w:rsidRPr="00F80387" w:rsidRDefault="00D60752" w:rsidP="0094444B">
      <w:pPr>
        <w:pStyle w:val="ListParagraph"/>
        <w:widowControl/>
        <w:numPr>
          <w:ilvl w:val="0"/>
          <w:numId w:val="29"/>
        </w:numPr>
        <w:spacing w:line="240" w:lineRule="atLeast"/>
        <w:ind w:left="567" w:hanging="567"/>
        <w:rPr>
          <w:color w:val="000000" w:themeColor="text1"/>
          <w:sz w:val="22"/>
          <w:szCs w:val="22"/>
        </w:rPr>
      </w:pPr>
      <w:r>
        <w:rPr>
          <w:color w:val="000000" w:themeColor="text1"/>
          <w:sz w:val="22"/>
          <w:szCs w:val="22"/>
        </w:rPr>
        <w:t>t</w:t>
      </w:r>
      <w:r w:rsidR="0035226A" w:rsidRPr="00F80387">
        <w:rPr>
          <w:color w:val="000000" w:themeColor="text1"/>
          <w:sz w:val="22"/>
          <w:szCs w:val="22"/>
        </w:rPr>
        <w:t>he Ashley Youth Detention Centre</w:t>
      </w:r>
    </w:p>
    <w:p w:rsidR="0094444B" w:rsidRPr="00F80387" w:rsidRDefault="0094444B" w:rsidP="0094444B">
      <w:pPr>
        <w:pStyle w:val="ListParagraph"/>
        <w:widowControl/>
        <w:numPr>
          <w:ilvl w:val="0"/>
          <w:numId w:val="29"/>
        </w:numPr>
        <w:spacing w:line="240" w:lineRule="atLeast"/>
        <w:ind w:left="567" w:hanging="567"/>
        <w:rPr>
          <w:color w:val="000000" w:themeColor="text1"/>
          <w:sz w:val="22"/>
          <w:szCs w:val="22"/>
        </w:rPr>
      </w:pPr>
      <w:r w:rsidRPr="00F80387">
        <w:rPr>
          <w:color w:val="000000" w:themeColor="text1"/>
          <w:sz w:val="22"/>
          <w:szCs w:val="22"/>
        </w:rPr>
        <w:t xml:space="preserve">22 Housing Tasmania homes for children in </w:t>
      </w:r>
      <w:r w:rsidR="00A56884">
        <w:rPr>
          <w:color w:val="000000" w:themeColor="text1"/>
          <w:sz w:val="22"/>
          <w:szCs w:val="22"/>
        </w:rPr>
        <w:t>OOHC</w:t>
      </w:r>
    </w:p>
    <w:p w:rsidR="0094444B" w:rsidRPr="00F80387" w:rsidRDefault="00590ADE" w:rsidP="0094444B">
      <w:pPr>
        <w:pStyle w:val="Style5"/>
        <w:numPr>
          <w:ilvl w:val="0"/>
          <w:numId w:val="29"/>
        </w:numPr>
        <w:spacing w:line="240" w:lineRule="atLeast"/>
        <w:ind w:left="567" w:hanging="567"/>
        <w:jc w:val="left"/>
        <w:rPr>
          <w:rFonts w:ascii="GillSans Light" w:hAnsi="GillSans Light"/>
          <w:color w:val="000000" w:themeColor="text1"/>
          <w:sz w:val="22"/>
          <w:szCs w:val="22"/>
        </w:rPr>
      </w:pPr>
      <w:r w:rsidRPr="00F80387">
        <w:rPr>
          <w:rFonts w:ascii="GillSans Light" w:hAnsi="GillSans Light"/>
          <w:color w:val="000000" w:themeColor="text1"/>
          <w:sz w:val="22"/>
          <w:szCs w:val="22"/>
        </w:rPr>
        <w:t>four area-</w:t>
      </w:r>
      <w:r w:rsidR="0094444B" w:rsidRPr="00F80387">
        <w:rPr>
          <w:rFonts w:ascii="GillSans Light" w:hAnsi="GillSans Light"/>
          <w:color w:val="000000" w:themeColor="text1"/>
          <w:sz w:val="22"/>
          <w:szCs w:val="22"/>
        </w:rPr>
        <w:t>based Disability Assessment and Advisory Teams providing specialist support to outsourced disability services</w:t>
      </w:r>
    </w:p>
    <w:p w:rsidR="0094444B" w:rsidRPr="00F80387" w:rsidRDefault="00590ADE" w:rsidP="0094444B">
      <w:pPr>
        <w:pStyle w:val="Style5"/>
        <w:numPr>
          <w:ilvl w:val="0"/>
          <w:numId w:val="29"/>
        </w:numPr>
        <w:spacing w:line="240" w:lineRule="atLeast"/>
        <w:ind w:left="567" w:hanging="567"/>
        <w:jc w:val="left"/>
        <w:rPr>
          <w:rFonts w:ascii="GillSans Light" w:hAnsi="GillSans Light"/>
          <w:color w:val="000000" w:themeColor="text1"/>
          <w:sz w:val="22"/>
          <w:szCs w:val="22"/>
        </w:rPr>
      </w:pPr>
      <w:r w:rsidRPr="00F80387">
        <w:rPr>
          <w:rFonts w:ascii="GillSans Light" w:hAnsi="GillSans Light"/>
          <w:color w:val="000000" w:themeColor="text1"/>
          <w:sz w:val="22"/>
          <w:szCs w:val="22"/>
        </w:rPr>
        <w:t>four area-</w:t>
      </w:r>
      <w:r w:rsidR="0094444B" w:rsidRPr="00F80387">
        <w:rPr>
          <w:rFonts w:ascii="GillSans Light" w:hAnsi="GillSans Light"/>
          <w:color w:val="000000" w:themeColor="text1"/>
          <w:sz w:val="22"/>
          <w:szCs w:val="22"/>
        </w:rPr>
        <w:t>based Community Partnership Teams who provide relationship management with Community Sector providers</w:t>
      </w:r>
    </w:p>
    <w:p w:rsidR="0094444B" w:rsidRDefault="00590ADE" w:rsidP="0094444B">
      <w:pPr>
        <w:pStyle w:val="Style5"/>
        <w:numPr>
          <w:ilvl w:val="0"/>
          <w:numId w:val="29"/>
        </w:numPr>
        <w:spacing w:line="240" w:lineRule="atLeast"/>
        <w:ind w:left="567" w:hanging="567"/>
        <w:jc w:val="left"/>
        <w:rPr>
          <w:rFonts w:ascii="GillSans Light" w:hAnsi="GillSans Light"/>
          <w:color w:val="000000" w:themeColor="text1"/>
          <w:sz w:val="22"/>
          <w:szCs w:val="22"/>
        </w:rPr>
      </w:pPr>
      <w:r w:rsidRPr="00F80387">
        <w:rPr>
          <w:rFonts w:ascii="GillSans Light" w:hAnsi="GillSans Light"/>
          <w:color w:val="000000" w:themeColor="text1"/>
          <w:sz w:val="22"/>
          <w:szCs w:val="22"/>
        </w:rPr>
        <w:t>five</w:t>
      </w:r>
      <w:r w:rsidR="0094444B" w:rsidRPr="00F80387">
        <w:rPr>
          <w:rFonts w:ascii="GillSans Light" w:hAnsi="GillSans Light"/>
          <w:color w:val="000000" w:themeColor="text1"/>
          <w:sz w:val="22"/>
          <w:szCs w:val="22"/>
        </w:rPr>
        <w:t xml:space="preserve"> service points, providing tenancy services</w:t>
      </w:r>
      <w:r w:rsidRPr="00F80387">
        <w:rPr>
          <w:rFonts w:ascii="GillSans Light" w:hAnsi="GillSans Light"/>
          <w:color w:val="000000" w:themeColor="text1"/>
          <w:sz w:val="22"/>
          <w:szCs w:val="22"/>
        </w:rPr>
        <w:t>, advice and support to over 11 </w:t>
      </w:r>
      <w:r w:rsidR="0094444B" w:rsidRPr="00F80387">
        <w:rPr>
          <w:rFonts w:ascii="GillSans Light" w:hAnsi="GillSans Light"/>
          <w:color w:val="000000" w:themeColor="text1"/>
          <w:sz w:val="22"/>
          <w:szCs w:val="22"/>
        </w:rPr>
        <w:t>039 public, Aboriginal a</w:t>
      </w:r>
      <w:r w:rsidR="006D4A5F">
        <w:rPr>
          <w:rFonts w:ascii="GillSans Light" w:hAnsi="GillSans Light"/>
          <w:color w:val="000000" w:themeColor="text1"/>
          <w:sz w:val="22"/>
          <w:szCs w:val="22"/>
        </w:rPr>
        <w:t>nd community managed properties, and</w:t>
      </w:r>
    </w:p>
    <w:p w:rsidR="006D4A5F" w:rsidRDefault="006D4A5F" w:rsidP="006D4A5F">
      <w:pPr>
        <w:pStyle w:val="ListParagraph"/>
        <w:widowControl/>
        <w:numPr>
          <w:ilvl w:val="0"/>
          <w:numId w:val="29"/>
        </w:numPr>
        <w:spacing w:line="240" w:lineRule="atLeast"/>
        <w:ind w:left="567" w:hanging="567"/>
        <w:rPr>
          <w:color w:val="000000" w:themeColor="text1"/>
          <w:sz w:val="22"/>
          <w:szCs w:val="22"/>
        </w:rPr>
      </w:pPr>
      <w:proofErr w:type="gramStart"/>
      <w:r>
        <w:rPr>
          <w:color w:val="000000" w:themeColor="text1"/>
          <w:sz w:val="22"/>
          <w:szCs w:val="22"/>
        </w:rPr>
        <w:t>approximately</w:t>
      </w:r>
      <w:proofErr w:type="gramEnd"/>
      <w:r>
        <w:rPr>
          <w:color w:val="000000" w:themeColor="text1"/>
          <w:sz w:val="22"/>
          <w:szCs w:val="22"/>
        </w:rPr>
        <w:t xml:space="preserve"> 520 community defibrillators registered with Ambulance Tasmania under the Early Access to Defibrillation program</w:t>
      </w:r>
      <w:r w:rsidR="00B960B2">
        <w:rPr>
          <w:color w:val="000000" w:themeColor="text1"/>
          <w:sz w:val="22"/>
          <w:szCs w:val="22"/>
        </w:rPr>
        <w:t>.</w:t>
      </w:r>
    </w:p>
    <w:p w:rsidR="0094444B" w:rsidRPr="00F80387" w:rsidRDefault="0094444B" w:rsidP="0094444B">
      <w:pPr>
        <w:rPr>
          <w:color w:val="000000" w:themeColor="text1"/>
        </w:rPr>
      </w:pPr>
      <w:r w:rsidRPr="00F80387">
        <w:rPr>
          <w:color w:val="000000" w:themeColor="text1"/>
        </w:rPr>
        <w:t xml:space="preserve">The Department </w:t>
      </w:r>
      <w:r w:rsidR="00421E3F">
        <w:rPr>
          <w:color w:val="000000" w:themeColor="text1"/>
        </w:rPr>
        <w:t>also provided a range of Public </w:t>
      </w:r>
      <w:r w:rsidRPr="00F80387">
        <w:rPr>
          <w:color w:val="000000" w:themeColor="text1"/>
        </w:rPr>
        <w:t>Health Services across Tasmania in 2014-15, including:</w:t>
      </w:r>
    </w:p>
    <w:p w:rsidR="0094444B" w:rsidRPr="00F80387" w:rsidRDefault="0094444B" w:rsidP="0094444B">
      <w:pPr>
        <w:pStyle w:val="ListParagraph"/>
        <w:widowControl/>
        <w:numPr>
          <w:ilvl w:val="0"/>
          <w:numId w:val="30"/>
        </w:numPr>
        <w:spacing w:line="240" w:lineRule="atLeast"/>
        <w:ind w:left="567" w:hanging="567"/>
        <w:rPr>
          <w:color w:val="000000" w:themeColor="text1"/>
          <w:sz w:val="22"/>
          <w:szCs w:val="22"/>
        </w:rPr>
      </w:pPr>
      <w:r w:rsidRPr="00F80387">
        <w:rPr>
          <w:color w:val="000000" w:themeColor="text1"/>
          <w:sz w:val="22"/>
          <w:szCs w:val="22"/>
        </w:rPr>
        <w:lastRenderedPageBreak/>
        <w:t>protecting Tasmanians from public health and environmental threats and hazards</w:t>
      </w:r>
    </w:p>
    <w:p w:rsidR="0094444B" w:rsidRPr="00F80387" w:rsidRDefault="0094444B" w:rsidP="0094444B">
      <w:pPr>
        <w:pStyle w:val="ListParagraph"/>
        <w:widowControl/>
        <w:numPr>
          <w:ilvl w:val="0"/>
          <w:numId w:val="30"/>
        </w:numPr>
        <w:spacing w:line="240" w:lineRule="atLeast"/>
        <w:ind w:left="567" w:hanging="567"/>
        <w:rPr>
          <w:color w:val="000000" w:themeColor="text1"/>
          <w:sz w:val="22"/>
          <w:szCs w:val="22"/>
        </w:rPr>
      </w:pPr>
      <w:r w:rsidRPr="00F80387">
        <w:rPr>
          <w:color w:val="000000" w:themeColor="text1"/>
          <w:sz w:val="22"/>
          <w:szCs w:val="22"/>
        </w:rPr>
        <w:t>providing public healt</w:t>
      </w:r>
      <w:r w:rsidR="00421E3F">
        <w:rPr>
          <w:color w:val="000000" w:themeColor="text1"/>
          <w:sz w:val="22"/>
          <w:szCs w:val="22"/>
        </w:rPr>
        <w:t>h information, policy and plans</w:t>
      </w:r>
    </w:p>
    <w:p w:rsidR="0092760A" w:rsidRPr="00F80387" w:rsidRDefault="006D4A5F" w:rsidP="0094444B">
      <w:pPr>
        <w:pStyle w:val="ListParagraph"/>
        <w:widowControl/>
        <w:numPr>
          <w:ilvl w:val="0"/>
          <w:numId w:val="30"/>
        </w:numPr>
        <w:spacing w:line="240" w:lineRule="atLeast"/>
        <w:ind w:left="567" w:hanging="567"/>
        <w:rPr>
          <w:color w:val="000000" w:themeColor="text1"/>
          <w:sz w:val="22"/>
          <w:szCs w:val="22"/>
        </w:rPr>
      </w:pPr>
      <w:r>
        <w:rPr>
          <w:color w:val="000000" w:themeColor="text1"/>
          <w:sz w:val="22"/>
          <w:szCs w:val="22"/>
        </w:rPr>
        <w:t>p</w:t>
      </w:r>
      <w:r w:rsidR="0092760A" w:rsidRPr="00F80387">
        <w:rPr>
          <w:color w:val="000000" w:themeColor="text1"/>
          <w:sz w:val="22"/>
          <w:szCs w:val="22"/>
        </w:rPr>
        <w:t>reventing chronic disease through common risk factor action e.g. nutrition and smoking</w:t>
      </w:r>
    </w:p>
    <w:p w:rsidR="0094444B" w:rsidRPr="00F80387" w:rsidRDefault="0094444B" w:rsidP="0094444B">
      <w:pPr>
        <w:pStyle w:val="ListParagraph"/>
        <w:widowControl/>
        <w:numPr>
          <w:ilvl w:val="0"/>
          <w:numId w:val="30"/>
        </w:numPr>
        <w:spacing w:line="240" w:lineRule="atLeast"/>
        <w:ind w:left="567" w:hanging="567"/>
        <w:rPr>
          <w:color w:val="000000" w:themeColor="text1"/>
          <w:sz w:val="22"/>
          <w:szCs w:val="22"/>
        </w:rPr>
      </w:pPr>
      <w:r w:rsidRPr="00F80387">
        <w:rPr>
          <w:color w:val="000000" w:themeColor="text1"/>
          <w:sz w:val="22"/>
          <w:szCs w:val="22"/>
        </w:rPr>
        <w:t>monitoring and responding to communicable disease risks such as flu, hepatitis or gastro</w:t>
      </w:r>
      <w:r w:rsidR="00B960B2">
        <w:rPr>
          <w:color w:val="000000" w:themeColor="text1"/>
          <w:sz w:val="22"/>
          <w:szCs w:val="22"/>
        </w:rPr>
        <w:t>, and</w:t>
      </w:r>
    </w:p>
    <w:p w:rsidR="0094444B" w:rsidRPr="00F80387" w:rsidRDefault="0094444B" w:rsidP="0094444B">
      <w:pPr>
        <w:pStyle w:val="ListParagraph"/>
        <w:widowControl/>
        <w:numPr>
          <w:ilvl w:val="0"/>
          <w:numId w:val="30"/>
        </w:numPr>
        <w:spacing w:line="240" w:lineRule="atLeast"/>
        <w:ind w:left="567" w:hanging="567"/>
        <w:rPr>
          <w:color w:val="000000" w:themeColor="text1"/>
          <w:sz w:val="22"/>
          <w:szCs w:val="22"/>
        </w:rPr>
      </w:pPr>
      <w:proofErr w:type="gramStart"/>
      <w:r w:rsidRPr="00F80387">
        <w:rPr>
          <w:color w:val="000000" w:themeColor="text1"/>
          <w:sz w:val="22"/>
          <w:szCs w:val="22"/>
        </w:rPr>
        <w:t>promoting</w:t>
      </w:r>
      <w:proofErr w:type="gramEnd"/>
      <w:r w:rsidRPr="00F80387">
        <w:rPr>
          <w:color w:val="000000" w:themeColor="text1"/>
          <w:sz w:val="22"/>
          <w:szCs w:val="22"/>
        </w:rPr>
        <w:t xml:space="preserve"> good health and wellbeing through effective p</w:t>
      </w:r>
      <w:r w:rsidR="00B960B2">
        <w:rPr>
          <w:color w:val="000000" w:themeColor="text1"/>
          <w:sz w:val="22"/>
          <w:szCs w:val="22"/>
        </w:rPr>
        <w:t>rograms in the community sector.</w:t>
      </w:r>
    </w:p>
    <w:p w:rsidR="00070FA1" w:rsidRPr="00070FA1" w:rsidRDefault="00070FA1" w:rsidP="00070FA1">
      <w:r w:rsidRPr="00070FA1">
        <w:t>Some of the direct services provided included:</w:t>
      </w:r>
    </w:p>
    <w:p w:rsidR="00070FA1" w:rsidRPr="00070FA1" w:rsidRDefault="00070FA1" w:rsidP="00070FA1">
      <w:pPr>
        <w:pStyle w:val="ListParagraph"/>
        <w:widowControl/>
        <w:numPr>
          <w:ilvl w:val="0"/>
          <w:numId w:val="31"/>
        </w:numPr>
        <w:spacing w:line="240" w:lineRule="atLeast"/>
        <w:ind w:left="567" w:hanging="567"/>
        <w:rPr>
          <w:sz w:val="22"/>
          <w:szCs w:val="22"/>
        </w:rPr>
      </w:pPr>
      <w:r w:rsidRPr="00070FA1">
        <w:rPr>
          <w:sz w:val="22"/>
          <w:szCs w:val="22"/>
        </w:rPr>
        <w:t>over $8 million in grants funding to health promotion programs in 27 community sector organisations</w:t>
      </w:r>
    </w:p>
    <w:p w:rsidR="00070FA1" w:rsidRPr="00070FA1" w:rsidRDefault="00070FA1" w:rsidP="00070FA1">
      <w:pPr>
        <w:pStyle w:val="ListParagraph"/>
        <w:widowControl/>
        <w:numPr>
          <w:ilvl w:val="0"/>
          <w:numId w:val="31"/>
        </w:numPr>
        <w:spacing w:line="240" w:lineRule="atLeast"/>
        <w:ind w:left="567" w:hanging="567"/>
        <w:rPr>
          <w:sz w:val="22"/>
          <w:szCs w:val="22"/>
        </w:rPr>
      </w:pPr>
      <w:r w:rsidRPr="00070FA1">
        <w:rPr>
          <w:sz w:val="22"/>
          <w:szCs w:val="22"/>
        </w:rPr>
        <w:t>vaccines and support services to 193 immunisation providers, including 29 councils and 103 high schools</w:t>
      </w:r>
    </w:p>
    <w:p w:rsidR="00070FA1" w:rsidRPr="00070FA1" w:rsidRDefault="00070FA1" w:rsidP="00070FA1">
      <w:pPr>
        <w:pStyle w:val="ListParagraph"/>
        <w:widowControl/>
        <w:numPr>
          <w:ilvl w:val="0"/>
          <w:numId w:val="31"/>
        </w:numPr>
        <w:spacing w:line="240" w:lineRule="atLeast"/>
        <w:ind w:left="567" w:hanging="567"/>
        <w:rPr>
          <w:sz w:val="22"/>
          <w:szCs w:val="22"/>
        </w:rPr>
      </w:pPr>
      <w:r w:rsidRPr="00070FA1">
        <w:rPr>
          <w:sz w:val="22"/>
          <w:szCs w:val="22"/>
        </w:rPr>
        <w:t>regulation of over 800 tobacco retailers</w:t>
      </w:r>
      <w:r w:rsidR="00484EB1">
        <w:rPr>
          <w:sz w:val="22"/>
          <w:szCs w:val="22"/>
        </w:rPr>
        <w:t xml:space="preserve"> and</w:t>
      </w:r>
    </w:p>
    <w:p w:rsidR="00070FA1" w:rsidRPr="00070FA1" w:rsidRDefault="00070FA1" w:rsidP="00070FA1">
      <w:pPr>
        <w:pStyle w:val="ListParagraph"/>
        <w:widowControl/>
        <w:numPr>
          <w:ilvl w:val="0"/>
          <w:numId w:val="31"/>
        </w:numPr>
        <w:spacing w:line="240" w:lineRule="atLeast"/>
        <w:ind w:left="567" w:hanging="567"/>
        <w:rPr>
          <w:sz w:val="22"/>
          <w:szCs w:val="22"/>
        </w:rPr>
      </w:pPr>
      <w:proofErr w:type="gramStart"/>
      <w:r w:rsidRPr="00070FA1">
        <w:rPr>
          <w:sz w:val="22"/>
          <w:szCs w:val="22"/>
        </w:rPr>
        <w:t>regulation</w:t>
      </w:r>
      <w:proofErr w:type="gramEnd"/>
      <w:r w:rsidRPr="00070FA1">
        <w:rPr>
          <w:sz w:val="22"/>
          <w:szCs w:val="22"/>
        </w:rPr>
        <w:t xml:space="preserve"> of over 800 outdoor smoking areas at licenced venues</w:t>
      </w:r>
      <w:r w:rsidR="00BF749B">
        <w:rPr>
          <w:sz w:val="22"/>
          <w:szCs w:val="22"/>
        </w:rPr>
        <w:t>.</w:t>
      </w:r>
    </w:p>
    <w:p w:rsidR="00B7688A" w:rsidRPr="00142B82" w:rsidRDefault="00B7688A" w:rsidP="00B7688A">
      <w:pPr>
        <w:pStyle w:val="Heading3"/>
      </w:pPr>
      <w:r w:rsidRPr="00142B82">
        <w:t>One State, One Health System, Better Outcomes</w:t>
      </w:r>
    </w:p>
    <w:p w:rsidR="00B7688A" w:rsidRPr="00142B82" w:rsidRDefault="00B7688A" w:rsidP="00B7688A">
      <w:pPr>
        <w:spacing w:after="120"/>
        <w:rPr>
          <w:shd w:val="clear" w:color="auto" w:fill="FBFAF7"/>
        </w:rPr>
      </w:pPr>
      <w:r w:rsidRPr="00142B82">
        <w:rPr>
          <w:shd w:val="clear" w:color="auto" w:fill="FBFAF7"/>
        </w:rPr>
        <w:t xml:space="preserve">The Government's vision in the Health portfolio is for Tasmania to strive for the healthiest population in Australia by 2025, and a world-class health care system.  The One State, One Health System, Better Outcomes suite of reforms is a key driver for this vision.  </w:t>
      </w:r>
    </w:p>
    <w:p w:rsidR="00B7688A" w:rsidRPr="00142B82" w:rsidRDefault="0002159C" w:rsidP="00B7688A">
      <w:pPr>
        <w:spacing w:after="120"/>
      </w:pPr>
      <w:r>
        <w:rPr>
          <w:shd w:val="clear" w:color="auto" w:fill="FBFAF7"/>
        </w:rPr>
        <w:t>In September 2014</w:t>
      </w:r>
      <w:r w:rsidR="00B7688A" w:rsidRPr="00142B82">
        <w:rPr>
          <w:shd w:val="clear" w:color="auto" w:fill="FBFAF7"/>
        </w:rPr>
        <w:t xml:space="preserve">, the Minister </w:t>
      </w:r>
      <w:r w:rsidR="00B74122">
        <w:rPr>
          <w:shd w:val="clear" w:color="auto" w:fill="FBFAF7"/>
        </w:rPr>
        <w:t xml:space="preserve">for Health </w:t>
      </w:r>
      <w:r w:rsidR="00B7688A" w:rsidRPr="00142B82">
        <w:rPr>
          <w:shd w:val="clear" w:color="auto" w:fill="FBFAF7"/>
        </w:rPr>
        <w:t>released an Issues Paper titled Rebuilding Tasmania’s Health System. This informed the development of a Green Paper, released in December 2014, which outlined the process to determine where and how services would be provided, balancing safety with access, efficiency, suitabili</w:t>
      </w:r>
      <w:r w:rsidR="003D5696">
        <w:rPr>
          <w:shd w:val="clear" w:color="auto" w:fill="FBFAF7"/>
        </w:rPr>
        <w:t xml:space="preserve">ty and equity.  </w:t>
      </w:r>
      <w:r w:rsidR="001F6052">
        <w:rPr>
          <w:shd w:val="clear" w:color="auto" w:fill="FBFAF7"/>
        </w:rPr>
        <w:t>The</w:t>
      </w:r>
      <w:r w:rsidR="00B7688A" w:rsidRPr="00142B82">
        <w:rPr>
          <w:shd w:val="clear" w:color="auto" w:fill="FBFAF7"/>
        </w:rPr>
        <w:t xml:space="preserve"> Green Paper w</w:t>
      </w:r>
      <w:r w:rsidR="001F6052">
        <w:rPr>
          <w:shd w:val="clear" w:color="auto" w:fill="FBFAF7"/>
        </w:rPr>
        <w:t>as</w:t>
      </w:r>
      <w:r w:rsidR="00B7688A" w:rsidRPr="00142B82">
        <w:rPr>
          <w:shd w:val="clear" w:color="auto" w:fill="FBFAF7"/>
        </w:rPr>
        <w:t xml:space="preserve"> informed by extensive statewide consultation, incorporating community forums, and a written submission process. </w:t>
      </w:r>
    </w:p>
    <w:p w:rsidR="00B7688A" w:rsidRPr="00142B82" w:rsidRDefault="00B7688A" w:rsidP="00B7688A">
      <w:pPr>
        <w:spacing w:after="120"/>
      </w:pPr>
      <w:r w:rsidRPr="00142B82">
        <w:rPr>
          <w:lang w:eastAsia="en-AU"/>
        </w:rPr>
        <w:t xml:space="preserve">The culmination of these efforts was the Minister for Health’s public release of the </w:t>
      </w:r>
      <w:r w:rsidRPr="00142B82">
        <w:rPr>
          <w:i/>
          <w:lang w:eastAsia="en-AU"/>
        </w:rPr>
        <w:t>White Paper</w:t>
      </w:r>
      <w:r w:rsidRPr="00142B82">
        <w:rPr>
          <w:lang w:eastAsia="en-AU"/>
        </w:rPr>
        <w:t xml:space="preserve"> </w:t>
      </w:r>
      <w:r w:rsidRPr="00142B82">
        <w:rPr>
          <w:i/>
        </w:rPr>
        <w:t xml:space="preserve">on </w:t>
      </w:r>
      <w:r w:rsidR="007965E7">
        <w:rPr>
          <w:i/>
        </w:rPr>
        <w:t>Delivering</w:t>
      </w:r>
      <w:r w:rsidRPr="00142B82">
        <w:rPr>
          <w:i/>
        </w:rPr>
        <w:t xml:space="preserve"> Safe and Sustainable Clinical Services</w:t>
      </w:r>
      <w:r w:rsidRPr="00142B82">
        <w:t xml:space="preserve"> </w:t>
      </w:r>
      <w:r w:rsidRPr="00142B82">
        <w:rPr>
          <w:lang w:eastAsia="en-AU"/>
        </w:rPr>
        <w:t xml:space="preserve">on 28 June 2015, where he announced that the THS Governing Council </w:t>
      </w:r>
      <w:r w:rsidR="001F6052">
        <w:rPr>
          <w:lang w:eastAsia="en-AU"/>
        </w:rPr>
        <w:t>is to</w:t>
      </w:r>
      <w:r w:rsidRPr="00142B82">
        <w:rPr>
          <w:lang w:eastAsia="en-AU"/>
        </w:rPr>
        <w:t xml:space="preserve"> prepare an implementation plan by September 2015. </w:t>
      </w:r>
      <w:r w:rsidR="00484EB1">
        <w:rPr>
          <w:lang w:eastAsia="en-AU"/>
        </w:rPr>
        <w:br/>
      </w:r>
      <w:r w:rsidRPr="00142B82">
        <w:lastRenderedPageBreak/>
        <w:t>There will be a significant program of work required to implement the White Paper</w:t>
      </w:r>
      <w:r w:rsidRPr="00142B82">
        <w:rPr>
          <w:i/>
        </w:rPr>
        <w:t xml:space="preserve"> </w:t>
      </w:r>
      <w:r w:rsidRPr="00142B82">
        <w:t>post the establishment of the THS from 1 July 2015.</w:t>
      </w:r>
    </w:p>
    <w:p w:rsidR="00B7688A" w:rsidRPr="00142B82" w:rsidRDefault="00B7688A" w:rsidP="00B7688A">
      <w:pPr>
        <w:spacing w:after="120"/>
      </w:pPr>
      <w:r w:rsidRPr="00142B82">
        <w:t xml:space="preserve">In parallel with the release of the White Paper, the Department </w:t>
      </w:r>
      <w:proofErr w:type="gramStart"/>
      <w:r w:rsidRPr="00142B82">
        <w:t>progressed</w:t>
      </w:r>
      <w:proofErr w:type="gramEnd"/>
      <w:r w:rsidRPr="00142B82">
        <w:t xml:space="preserve"> a number of other initiatives to improve the health system.  They included the establishment of the Health Council of Tasmania</w:t>
      </w:r>
      <w:r w:rsidR="00061E2F">
        <w:t xml:space="preserve"> (HCT)</w:t>
      </w:r>
      <w:r w:rsidRPr="00142B82">
        <w:t xml:space="preserve">, improvements to the framework for purchasing services and progressing with the development of a new public dashboard to report on </w:t>
      </w:r>
      <w:r w:rsidR="0054734B">
        <w:t xml:space="preserve">health system </w:t>
      </w:r>
      <w:r w:rsidRPr="00142B82">
        <w:t>performance.</w:t>
      </w:r>
    </w:p>
    <w:p w:rsidR="00B7688A" w:rsidRPr="0012106E" w:rsidRDefault="00B7688A" w:rsidP="0012106E">
      <w:pPr>
        <w:pStyle w:val="Heading4"/>
        <w:rPr>
          <w:lang w:eastAsia="en-AU"/>
        </w:rPr>
      </w:pPr>
      <w:r w:rsidRPr="0012106E">
        <w:rPr>
          <w:lang w:eastAsia="en-AU"/>
        </w:rPr>
        <w:t>Investing in Elective Surgery</w:t>
      </w:r>
    </w:p>
    <w:p w:rsidR="0054734B" w:rsidRDefault="0054734B" w:rsidP="0054734B">
      <w:pPr>
        <w:spacing w:after="120"/>
        <w:rPr>
          <w:lang w:eastAsia="en-AU"/>
        </w:rPr>
      </w:pPr>
      <w:r>
        <w:rPr>
          <w:lang w:eastAsia="en-AU"/>
        </w:rPr>
        <w:t xml:space="preserve">The THOs rolled out the Government’s </w:t>
      </w:r>
      <w:r>
        <w:rPr>
          <w:i/>
          <w:iCs/>
          <w:lang w:eastAsia="en-AU"/>
        </w:rPr>
        <w:t>Rebuilding Health Services Elective Surgery Program</w:t>
      </w:r>
      <w:r>
        <w:rPr>
          <w:lang w:eastAsia="en-AU"/>
        </w:rPr>
        <w:t xml:space="preserve"> which provided over $10 million and more than 800 additional elective surgery procedures during the financial year. These patients were long waiting overdue patients who had waited too long for their surgery.</w:t>
      </w:r>
    </w:p>
    <w:p w:rsidR="0054734B" w:rsidRDefault="0054734B" w:rsidP="0054734B">
      <w:pPr>
        <w:spacing w:after="120"/>
      </w:pPr>
      <w:r>
        <w:t xml:space="preserve">Under the Tasmanian Health Assistance Package a further $4 million in </w:t>
      </w:r>
      <w:r w:rsidR="00162F28">
        <w:t xml:space="preserve">Australian Government </w:t>
      </w:r>
      <w:r>
        <w:t xml:space="preserve">funding was </w:t>
      </w:r>
      <w:r w:rsidR="00162F28">
        <w:t xml:space="preserve">spent by </w:t>
      </w:r>
      <w:r>
        <w:t xml:space="preserve">THOs in 2014-15 to help Tasmania’s longest waiting patients receive their surgery, delivering over 1 400 additional procedures. Under these arrangements, DHHS will establish a panel of local and interstate private providers, alongside existing public sector measures, to help sustainably reduce Tasmania’s elective surgery waiting times. </w:t>
      </w:r>
    </w:p>
    <w:p w:rsidR="00B7688A" w:rsidRPr="00142B82" w:rsidRDefault="00B7688A" w:rsidP="00B7688A">
      <w:r w:rsidRPr="00142B82">
        <w:rPr>
          <w:lang w:eastAsia="en-AU"/>
        </w:rPr>
        <w:t>Reducing Tasmania’s elective surgery waiting list, along with a</w:t>
      </w:r>
      <w:r w:rsidRPr="00142B82">
        <w:t>ll work on health system reform, continues to be progressed collaboratively between DHHS as the service purchaser and system manager and the THS.</w:t>
      </w:r>
    </w:p>
    <w:p w:rsidR="00B7688A" w:rsidRPr="00142B82" w:rsidRDefault="00061E2F" w:rsidP="0012106E">
      <w:pPr>
        <w:pStyle w:val="Heading3"/>
      </w:pPr>
      <w:r>
        <w:br w:type="column"/>
      </w:r>
      <w:r w:rsidR="00B7688A" w:rsidRPr="00142B82">
        <w:lastRenderedPageBreak/>
        <w:t>Healthy Tasmania</w:t>
      </w:r>
    </w:p>
    <w:p w:rsidR="00B7688A" w:rsidRPr="00142B82" w:rsidRDefault="00B7688A" w:rsidP="00B7688A">
      <w:r w:rsidRPr="00142B82">
        <w:t xml:space="preserve">In December 2014, the HCT was established to provide high level advisory and consultative assistance to the Minister for Health through accessing representative views of the key stakeholders across the Tasmanian health system.  In addition, the work of the HCT also assists the Minister for Health in establishing key strategic priorities for the Tasmanian health system.  </w:t>
      </w:r>
    </w:p>
    <w:p w:rsidR="003C54D4" w:rsidRDefault="003C54D4" w:rsidP="003C54D4">
      <w:r>
        <w:t xml:space="preserve">The Government’s election commitment to build a </w:t>
      </w:r>
      <w:r>
        <w:rPr>
          <w:i/>
          <w:iCs/>
        </w:rPr>
        <w:t xml:space="preserve">Healthy Tasmania </w:t>
      </w:r>
      <w:r>
        <w:t>saw the establishment of the Healthy Tasmania Committee, a sub</w:t>
      </w:r>
      <w:r>
        <w:noBreakHyphen/>
        <w:t xml:space="preserve">Committee of the HCT.  The Healthy Tasmania Committee has provided advice on how the Tasmanian Government can achieve its vision for Tasmania to become the healthiest state in Australia by 2025. </w:t>
      </w:r>
    </w:p>
    <w:p w:rsidR="00B7688A" w:rsidRPr="0012106E" w:rsidRDefault="00B7688A" w:rsidP="0012106E">
      <w:pPr>
        <w:pStyle w:val="Heading3"/>
      </w:pPr>
      <w:r w:rsidRPr="0012106E">
        <w:t>Joined Up</w:t>
      </w:r>
      <w:r w:rsidR="003D5696" w:rsidRPr="0012106E">
        <w:t xml:space="preserve"> Human Services</w:t>
      </w:r>
    </w:p>
    <w:p w:rsidR="00B7688A" w:rsidRPr="00142B82" w:rsidRDefault="003D5696" w:rsidP="00B7688A">
      <w:pPr>
        <w:rPr>
          <w:shd w:val="clear" w:color="auto" w:fill="FBFAF7"/>
        </w:rPr>
      </w:pPr>
      <w:r>
        <w:rPr>
          <w:shd w:val="clear" w:color="auto" w:fill="FBFAF7"/>
        </w:rPr>
        <w:t xml:space="preserve">The Department </w:t>
      </w:r>
      <w:r w:rsidR="00B7688A" w:rsidRPr="00142B82">
        <w:rPr>
          <w:shd w:val="clear" w:color="auto" w:fill="FBFAF7"/>
        </w:rPr>
        <w:t>continued to implement initiatives to support a more joined up human services system.  Work progressed on projects to improve case coordination for individuals with complex needs, to test ways to improve the capacity of human services in a particular geographic location to work together, to identify systems that can support service integration and to explore and resolve barriers to service integration and support.</w:t>
      </w:r>
    </w:p>
    <w:p w:rsidR="00B7688A" w:rsidRPr="0012106E" w:rsidRDefault="00B7688A" w:rsidP="0012106E">
      <w:pPr>
        <w:pStyle w:val="Heading3"/>
      </w:pPr>
      <w:r w:rsidRPr="0012106E">
        <w:t>Reform in Children and Youth Services</w:t>
      </w:r>
    </w:p>
    <w:p w:rsidR="00B7688A" w:rsidRPr="00142B82" w:rsidRDefault="00B7688A" w:rsidP="00F15F9F">
      <w:r w:rsidRPr="00142B82">
        <w:t xml:space="preserve">Children and Youth Services continued its moves to strengthen </w:t>
      </w:r>
      <w:r w:rsidR="00B74122">
        <w:t>services</w:t>
      </w:r>
      <w:r w:rsidRPr="00142B82">
        <w:t xml:space="preserve"> through wide reform, aimed at improving outcomes for children and their families.</w:t>
      </w:r>
    </w:p>
    <w:p w:rsidR="00B7688A" w:rsidRPr="00142B82" w:rsidRDefault="00B7688A" w:rsidP="00B7688A">
      <w:r w:rsidRPr="00142B82">
        <w:t xml:space="preserve">Reforms progressed in 2014-15 included transitioning to a statewide leadership structure, </w:t>
      </w:r>
      <w:r w:rsidR="00B74122" w:rsidRPr="00B74122">
        <w:t>reforming the Out of Home Care system, with completion of Phase one and commencement on time of Phase two</w:t>
      </w:r>
      <w:r w:rsidRPr="00B74122">
        <w:t xml:space="preserve">, </w:t>
      </w:r>
      <w:r w:rsidRPr="00142B82">
        <w:t xml:space="preserve">redesigning policy, procedures and practice guides and continuing to implement </w:t>
      </w:r>
      <w:r w:rsidR="0054734B">
        <w:t>the Signs of Safety Framework.</w:t>
      </w:r>
    </w:p>
    <w:p w:rsidR="0049160C" w:rsidRDefault="0049160C">
      <w:pPr>
        <w:tabs>
          <w:tab w:val="clear" w:pos="567"/>
        </w:tabs>
        <w:spacing w:after="200" w:line="276" w:lineRule="auto"/>
        <w:rPr>
          <w:rFonts w:eastAsiaTheme="majorEastAsia" w:cstheme="majorBidi"/>
          <w:b/>
          <w:bCs/>
          <w:sz w:val="28"/>
        </w:rPr>
      </w:pPr>
      <w:r>
        <w:br w:type="page"/>
      </w:r>
    </w:p>
    <w:p w:rsidR="00B7688A" w:rsidRPr="0012106E" w:rsidRDefault="00B7688A" w:rsidP="0012106E">
      <w:pPr>
        <w:pStyle w:val="Heading3"/>
      </w:pPr>
      <w:r w:rsidRPr="0012106E">
        <w:lastRenderedPageBreak/>
        <w:t>Affordable Housing</w:t>
      </w:r>
    </w:p>
    <w:p w:rsidR="00B7688A" w:rsidRPr="00142B82" w:rsidRDefault="00B7688A" w:rsidP="00F15F9F">
      <w:r w:rsidRPr="00142B82">
        <w:t xml:space="preserve">At the last election, the Government committed to </w:t>
      </w:r>
      <w:r w:rsidR="00F15F9F">
        <w:t xml:space="preserve">the </w:t>
      </w:r>
      <w:r w:rsidRPr="00142B82">
        <w:t xml:space="preserve">development of an Affordable Housing Strategy, and the Government’s </w:t>
      </w:r>
      <w:r w:rsidRPr="00142B82">
        <w:rPr>
          <w:i/>
        </w:rPr>
        <w:t>365 Day Plan</w:t>
      </w:r>
      <w:r w:rsidRPr="00142B82">
        <w:t xml:space="preserve"> promises its launch </w:t>
      </w:r>
      <w:r w:rsidR="00E35AAF">
        <w:t>by 30 September 2015</w:t>
      </w:r>
      <w:r w:rsidRPr="00142B82">
        <w:t>.</w:t>
      </w:r>
      <w:r w:rsidR="0054734B">
        <w:t xml:space="preserve"> </w:t>
      </w:r>
      <w:r w:rsidRPr="00142B82">
        <w:t xml:space="preserve"> Housing Tasmania has been working hard on the development of the Affordable Housing Strategy, which will provide a framework and direction for how Tasmania will work over the next decade to improve access to safe and affordable homes and provide a hand-up to those who need it. </w:t>
      </w:r>
    </w:p>
    <w:p w:rsidR="00B7688A" w:rsidRPr="00142B82" w:rsidRDefault="00B7688A" w:rsidP="00F15F9F">
      <w:r w:rsidRPr="00142B82">
        <w:rPr>
          <w:lang w:eastAsia="en-AU"/>
        </w:rPr>
        <w:t>The Affordable Housing Strategy 2015</w:t>
      </w:r>
      <w:r w:rsidRPr="00142B82">
        <w:rPr>
          <w:lang w:eastAsia="en-AU"/>
        </w:rPr>
        <w:noBreakHyphen/>
        <w:t>2025</w:t>
      </w:r>
      <w:r w:rsidRPr="00142B82">
        <w:t xml:space="preserve"> will be a blueprint, developed in collaboration with key stakeholders. </w:t>
      </w:r>
      <w:r w:rsidRPr="00142B82">
        <w:rPr>
          <w:lang w:eastAsia="en-AU"/>
        </w:rPr>
        <w:t>It will provide high level strategic direction for improvements within the housing and homelessness system regarding affordable housing and will include recommendations focused on supply and support services.</w:t>
      </w:r>
    </w:p>
    <w:p w:rsidR="00B7688A" w:rsidRPr="0012106E" w:rsidRDefault="00B7688A" w:rsidP="0012106E">
      <w:pPr>
        <w:pStyle w:val="Heading3"/>
      </w:pPr>
      <w:r w:rsidRPr="0012106E">
        <w:t>Reducing Red Tape</w:t>
      </w:r>
    </w:p>
    <w:p w:rsidR="00B7688A" w:rsidRPr="00142B82" w:rsidRDefault="00B7688A" w:rsidP="00F15F9F">
      <w:r w:rsidRPr="00142B82">
        <w:t xml:space="preserve">In line with the Government’s priority of reducing red tape, the Department has progressed initiatives to reduce administrative burden. </w:t>
      </w:r>
    </w:p>
    <w:p w:rsidR="00B7688A" w:rsidRPr="00142B82" w:rsidRDefault="00B7688A" w:rsidP="00F15F9F">
      <w:pPr>
        <w:rPr>
          <w:lang w:eastAsia="en-AU"/>
        </w:rPr>
      </w:pPr>
      <w:r w:rsidRPr="00142B82">
        <w:rPr>
          <w:lang w:eastAsia="en-AU"/>
        </w:rPr>
        <w:t xml:space="preserve">The Joined </w:t>
      </w:r>
      <w:proofErr w:type="gramStart"/>
      <w:r w:rsidRPr="00142B82">
        <w:rPr>
          <w:lang w:eastAsia="en-AU"/>
        </w:rPr>
        <w:t>Up</w:t>
      </w:r>
      <w:proofErr w:type="gramEnd"/>
      <w:r w:rsidRPr="00142B82">
        <w:rPr>
          <w:lang w:eastAsia="en-AU"/>
        </w:rPr>
        <w:t xml:space="preserve"> Human Services project has the potential to reduce administrative burden on community sector organisations, by moving to a more integrated system of community services delivery. </w:t>
      </w:r>
    </w:p>
    <w:p w:rsidR="00B7688A" w:rsidRPr="00142B82" w:rsidRDefault="00B7688A" w:rsidP="003D5696">
      <w:r w:rsidRPr="00142B82">
        <w:t>A working group has been established to gain insight into where non-government organisations see the key areas of red tape. Specific examples of work currently underway in this space include:</w:t>
      </w:r>
    </w:p>
    <w:p w:rsidR="00B7688A" w:rsidRPr="00142B82" w:rsidRDefault="00B7688A" w:rsidP="003D5696">
      <w:pPr>
        <w:pStyle w:val="ListParagraph"/>
        <w:numPr>
          <w:ilvl w:val="0"/>
          <w:numId w:val="24"/>
        </w:numPr>
        <w:spacing w:after="140"/>
        <w:ind w:left="567" w:hanging="567"/>
        <w:rPr>
          <w:sz w:val="22"/>
          <w:szCs w:val="22"/>
          <w:lang w:eastAsia="en-AU"/>
        </w:rPr>
      </w:pPr>
      <w:proofErr w:type="gramStart"/>
      <w:r w:rsidRPr="00142B82">
        <w:rPr>
          <w:sz w:val="22"/>
          <w:szCs w:val="22"/>
          <w:lang w:eastAsia="en-AU"/>
        </w:rPr>
        <w:t>the</w:t>
      </w:r>
      <w:proofErr w:type="gramEnd"/>
      <w:r w:rsidRPr="00142B82">
        <w:rPr>
          <w:sz w:val="22"/>
          <w:szCs w:val="22"/>
          <w:lang w:eastAsia="en-AU"/>
        </w:rPr>
        <w:t xml:space="preserve"> Electronic Grants Management System (EGMS) which is an IT solution to provide integrated information for the management of grants both internally for DHHS and ultimately for the community sector. In the future, EGMS will be used to facilitate more efficient r</w:t>
      </w:r>
      <w:r w:rsidR="0054734B">
        <w:rPr>
          <w:sz w:val="22"/>
          <w:szCs w:val="22"/>
          <w:lang w:eastAsia="en-AU"/>
        </w:rPr>
        <w:t>eporting options for the sector, and</w:t>
      </w:r>
    </w:p>
    <w:p w:rsidR="00B7688A" w:rsidRDefault="00B7688A" w:rsidP="003D5696">
      <w:pPr>
        <w:pStyle w:val="ListParagraph"/>
        <w:numPr>
          <w:ilvl w:val="0"/>
          <w:numId w:val="24"/>
        </w:numPr>
        <w:spacing w:after="140"/>
        <w:ind w:left="567" w:hanging="567"/>
        <w:rPr>
          <w:sz w:val="22"/>
          <w:szCs w:val="22"/>
          <w:lang w:eastAsia="en-AU"/>
        </w:rPr>
      </w:pPr>
      <w:proofErr w:type="gramStart"/>
      <w:r w:rsidRPr="00142B82">
        <w:rPr>
          <w:sz w:val="22"/>
          <w:szCs w:val="22"/>
          <w:lang w:eastAsia="en-AU"/>
        </w:rPr>
        <w:t>the</w:t>
      </w:r>
      <w:proofErr w:type="gramEnd"/>
      <w:r w:rsidRPr="00142B82">
        <w:rPr>
          <w:sz w:val="22"/>
          <w:szCs w:val="22"/>
          <w:lang w:eastAsia="en-AU"/>
        </w:rPr>
        <w:t xml:space="preserve"> </w:t>
      </w:r>
      <w:proofErr w:type="spellStart"/>
      <w:r w:rsidRPr="00142B82">
        <w:rPr>
          <w:sz w:val="22"/>
          <w:szCs w:val="22"/>
          <w:lang w:eastAsia="en-AU"/>
        </w:rPr>
        <w:t>TasCOSS</w:t>
      </w:r>
      <w:proofErr w:type="spellEnd"/>
      <w:r w:rsidRPr="00142B82">
        <w:rPr>
          <w:sz w:val="22"/>
          <w:szCs w:val="22"/>
          <w:lang w:eastAsia="en-AU"/>
        </w:rPr>
        <w:t xml:space="preserve"> Standards and Performance Pathways Portal which is already reducing the time and effort required by funded organisations to report against their quality and safety requirements.</w:t>
      </w:r>
    </w:p>
    <w:p w:rsidR="00932C0C" w:rsidRDefault="00932C0C" w:rsidP="00F15F9F">
      <w:r>
        <w:br w:type="column"/>
      </w:r>
      <w:r>
        <w:lastRenderedPageBreak/>
        <w:t>In 2014-15 communication tools such as the DHHS Private Health Regulation website (</w:t>
      </w:r>
      <w:hyperlink r:id="rId28" w:history="1">
        <w:r>
          <w:rPr>
            <w:rStyle w:val="Hyperlink"/>
          </w:rPr>
          <w:t>http://www.dhhs.tas.gov.au/privatehealthregulation</w:t>
        </w:r>
      </w:hyperlink>
      <w:r>
        <w:t>) were developed to provide information for individuals and licensed private hospitals and day procedure centres.</w:t>
      </w:r>
    </w:p>
    <w:p w:rsidR="00932C0C" w:rsidRDefault="00932C0C" w:rsidP="00932C0C">
      <w:r>
        <w:t xml:space="preserve">The Regulation Unit continued to monitor and support licensed facilities </w:t>
      </w:r>
      <w:r w:rsidR="00F15F9F">
        <w:t xml:space="preserve">to </w:t>
      </w:r>
      <w:r>
        <w:t>maintain compliance with the licensing standards and a further educative focus on standards and compliance is planned for 2015-16.  A number of reporting processes were simplified in the past financial year, including the implementation of a streamlined process that has reduced the reporting requirements around anticipated deaths.</w:t>
      </w:r>
    </w:p>
    <w:p w:rsidR="00932C0C" w:rsidRDefault="00932C0C" w:rsidP="00932C0C">
      <w:r>
        <w:t>Internal processes have also been developed to strengthen links between DHHS business units to avoid unnecessary duplication of reporting.</w:t>
      </w:r>
    </w:p>
    <w:p w:rsidR="00B7688A" w:rsidRDefault="00B7688A" w:rsidP="00932C0C"/>
    <w:p w:rsidR="00857F4E" w:rsidRDefault="00857F4E" w:rsidP="00B7688A">
      <w:pPr>
        <w:spacing w:afterLines="120" w:after="288"/>
      </w:pPr>
    </w:p>
    <w:p w:rsidR="00857F4E" w:rsidRDefault="00857F4E" w:rsidP="00B7688A">
      <w:pPr>
        <w:spacing w:afterLines="120" w:after="288"/>
      </w:pPr>
    </w:p>
    <w:p w:rsidR="00857F4E" w:rsidRDefault="00857F4E" w:rsidP="00B7688A">
      <w:pPr>
        <w:spacing w:afterLines="120" w:after="288"/>
      </w:pPr>
    </w:p>
    <w:p w:rsidR="00857F4E" w:rsidRPr="00142B82" w:rsidRDefault="00857F4E" w:rsidP="00B7688A">
      <w:pPr>
        <w:spacing w:afterLines="120" w:after="288"/>
      </w:pPr>
    </w:p>
    <w:p w:rsidR="00C72D5F" w:rsidRPr="00D377CA" w:rsidRDefault="00C72D5F" w:rsidP="0041611F">
      <w:pPr>
        <w:rPr>
          <w:color w:val="FF0000"/>
        </w:rPr>
        <w:sectPr w:rsidR="00C72D5F" w:rsidRPr="00D377CA" w:rsidSect="00C72D5F">
          <w:headerReference w:type="even" r:id="rId29"/>
          <w:headerReference w:type="default" r:id="rId30"/>
          <w:type w:val="continuous"/>
          <w:pgSz w:w="11906" w:h="16838" w:code="9"/>
          <w:pgMar w:top="907" w:right="1134" w:bottom="720" w:left="1134" w:header="709" w:footer="709" w:gutter="0"/>
          <w:cols w:num="2" w:space="708"/>
          <w:docGrid w:linePitch="360"/>
        </w:sectPr>
      </w:pPr>
    </w:p>
    <w:p w:rsidR="00932C0C" w:rsidRDefault="00932C0C">
      <w:pPr>
        <w:tabs>
          <w:tab w:val="clear" w:pos="567"/>
        </w:tabs>
        <w:spacing w:after="200" w:line="276" w:lineRule="auto"/>
        <w:rPr>
          <w:rFonts w:eastAsiaTheme="majorEastAsia" w:cstheme="majorBidi"/>
          <w:b/>
          <w:bCs/>
          <w:sz w:val="40"/>
          <w:szCs w:val="28"/>
        </w:rPr>
      </w:pPr>
      <w:r>
        <w:lastRenderedPageBreak/>
        <w:br w:type="page"/>
      </w:r>
    </w:p>
    <w:p w:rsidR="00240717" w:rsidRPr="0098024A" w:rsidRDefault="00240717" w:rsidP="00003BB8">
      <w:pPr>
        <w:pStyle w:val="Heading1"/>
      </w:pPr>
      <w:bookmarkStart w:id="14" w:name="_Toc402335309"/>
      <w:bookmarkStart w:id="15" w:name="_Toc432517209"/>
      <w:r w:rsidRPr="0098024A">
        <w:lastRenderedPageBreak/>
        <w:t xml:space="preserve">Financial </w:t>
      </w:r>
      <w:r>
        <w:t>Overview</w:t>
      </w:r>
      <w:bookmarkEnd w:id="14"/>
      <w:bookmarkEnd w:id="15"/>
      <w:r>
        <w:t xml:space="preserve"> </w:t>
      </w:r>
    </w:p>
    <w:p w:rsidR="00240717" w:rsidRPr="0098024A" w:rsidRDefault="00240717" w:rsidP="00F7564F">
      <w:pPr>
        <w:pStyle w:val="Heading2"/>
        <w:sectPr w:rsidR="00240717" w:rsidRPr="0098024A" w:rsidSect="00B960B2">
          <w:headerReference w:type="default" r:id="rId31"/>
          <w:footerReference w:type="default" r:id="rId32"/>
          <w:type w:val="continuous"/>
          <w:pgSz w:w="11906" w:h="16838" w:code="9"/>
          <w:pgMar w:top="907" w:right="1134" w:bottom="720" w:left="1134" w:header="709" w:footer="709" w:gutter="0"/>
          <w:cols w:space="708"/>
          <w:docGrid w:linePitch="360"/>
        </w:sectPr>
      </w:pPr>
    </w:p>
    <w:p w:rsidR="00240717" w:rsidRPr="000A58C6" w:rsidRDefault="00240717" w:rsidP="00240717">
      <w:pPr>
        <w:outlineLvl w:val="0"/>
      </w:pPr>
      <w:bookmarkStart w:id="16" w:name="_Toc432516789"/>
      <w:bookmarkStart w:id="17" w:name="_Toc432517210"/>
      <w:r>
        <w:lastRenderedPageBreak/>
        <w:t>In 2014-15</w:t>
      </w:r>
      <w:r w:rsidRPr="000A58C6">
        <w:t>, the total budgeted expenditure for the Department of Heal</w:t>
      </w:r>
      <w:r>
        <w:t>th and Human Services was $1.640</w:t>
      </w:r>
      <w:r w:rsidRPr="000A58C6">
        <w:t xml:space="preserve"> bi</w:t>
      </w:r>
      <w:r>
        <w:t xml:space="preserve">llion </w:t>
      </w:r>
      <w:r w:rsidRPr="000A58C6">
        <w:t>and the</w:t>
      </w:r>
      <w:r>
        <w:t xml:space="preserve"> budgeted</w:t>
      </w:r>
      <w:r w:rsidRPr="000A58C6">
        <w:t xml:space="preserve"> annual appropriation from the Consolidated Fund </w:t>
      </w:r>
      <w:r>
        <w:t>for recurrent services was $1.109</w:t>
      </w:r>
      <w:r w:rsidRPr="000A58C6">
        <w:t xml:space="preserve"> billion.</w:t>
      </w:r>
      <w:bookmarkEnd w:id="16"/>
      <w:bookmarkEnd w:id="17"/>
      <w:r w:rsidRPr="000A58C6">
        <w:t xml:space="preserve"> </w:t>
      </w:r>
    </w:p>
    <w:p w:rsidR="00240717" w:rsidRDefault="00240717" w:rsidP="00240717">
      <w:pPr>
        <w:outlineLvl w:val="0"/>
      </w:pPr>
      <w:bookmarkStart w:id="18" w:name="_Toc432516790"/>
      <w:bookmarkStart w:id="19" w:name="_Toc432517211"/>
      <w:r>
        <w:t xml:space="preserve">The </w:t>
      </w:r>
      <w:r w:rsidRPr="000A58C6">
        <w:t>Department</w:t>
      </w:r>
      <w:r>
        <w:t>’s 2014-15</w:t>
      </w:r>
      <w:r w:rsidRPr="000A58C6">
        <w:t xml:space="preserve"> Budget </w:t>
      </w:r>
      <w:r>
        <w:t xml:space="preserve">distributed </w:t>
      </w:r>
      <w:r w:rsidRPr="000A58C6">
        <w:t>by Output included:</w:t>
      </w:r>
      <w:bookmarkEnd w:id="18"/>
      <w:bookmarkEnd w:id="19"/>
      <w:r w:rsidRPr="000A58C6">
        <w:t xml:space="preserve"> </w:t>
      </w:r>
    </w:p>
    <w:p w:rsidR="00240717" w:rsidRPr="000A58C6" w:rsidRDefault="00240717" w:rsidP="00240717">
      <w:pPr>
        <w:outlineLvl w:val="0"/>
      </w:pPr>
      <w:r>
        <w:br/>
      </w:r>
    </w:p>
    <w:p w:rsidR="00240717" w:rsidRPr="000A58C6" w:rsidRDefault="00240717" w:rsidP="00240717">
      <w:pPr>
        <w:pStyle w:val="ListParagraph"/>
        <w:numPr>
          <w:ilvl w:val="0"/>
          <w:numId w:val="44"/>
        </w:numPr>
        <w:spacing w:after="120" w:line="240" w:lineRule="atLeast"/>
        <w:ind w:left="567" w:hanging="567"/>
        <w:outlineLvl w:val="0"/>
        <w:rPr>
          <w:szCs w:val="22"/>
        </w:rPr>
      </w:pPr>
      <w:bookmarkStart w:id="20" w:name="_Toc432516791"/>
      <w:bookmarkStart w:id="21" w:name="_Toc432517212"/>
      <w:r w:rsidRPr="000A58C6">
        <w:rPr>
          <w:szCs w:val="22"/>
        </w:rPr>
        <w:lastRenderedPageBreak/>
        <w:t>Health</w:t>
      </w:r>
      <w:r>
        <w:rPr>
          <w:szCs w:val="22"/>
        </w:rPr>
        <w:t xml:space="preserve"> Services System Management 8.83</w:t>
      </w:r>
      <w:r w:rsidRPr="000A58C6">
        <w:rPr>
          <w:szCs w:val="22"/>
        </w:rPr>
        <w:t>%</w:t>
      </w:r>
      <w:bookmarkEnd w:id="20"/>
      <w:bookmarkEnd w:id="21"/>
    </w:p>
    <w:p w:rsidR="00240717" w:rsidRPr="000A58C6" w:rsidRDefault="00240717" w:rsidP="00240717">
      <w:pPr>
        <w:pStyle w:val="ListParagraph"/>
        <w:numPr>
          <w:ilvl w:val="0"/>
          <w:numId w:val="44"/>
        </w:numPr>
        <w:spacing w:after="120" w:line="240" w:lineRule="atLeast"/>
        <w:ind w:left="567" w:hanging="567"/>
        <w:outlineLvl w:val="0"/>
        <w:rPr>
          <w:szCs w:val="22"/>
        </w:rPr>
      </w:pPr>
      <w:bookmarkStart w:id="22" w:name="_Toc432516792"/>
      <w:bookmarkStart w:id="23" w:name="_Toc432517213"/>
      <w:r w:rsidRPr="000A58C6">
        <w:rPr>
          <w:szCs w:val="22"/>
        </w:rPr>
        <w:t xml:space="preserve">Tasmanian Health Organisations </w:t>
      </w:r>
      <w:r>
        <w:rPr>
          <w:szCs w:val="22"/>
        </w:rPr>
        <w:t>35.99</w:t>
      </w:r>
      <w:r w:rsidRPr="000A58C6">
        <w:rPr>
          <w:szCs w:val="22"/>
        </w:rPr>
        <w:t>%</w:t>
      </w:r>
      <w:bookmarkEnd w:id="22"/>
      <w:bookmarkEnd w:id="23"/>
    </w:p>
    <w:p w:rsidR="00240717" w:rsidRPr="000A58C6" w:rsidRDefault="00240717" w:rsidP="00240717">
      <w:pPr>
        <w:pStyle w:val="ListParagraph"/>
        <w:numPr>
          <w:ilvl w:val="0"/>
          <w:numId w:val="44"/>
        </w:numPr>
        <w:spacing w:after="120" w:line="240" w:lineRule="atLeast"/>
        <w:ind w:left="567" w:hanging="567"/>
        <w:outlineLvl w:val="0"/>
        <w:rPr>
          <w:szCs w:val="22"/>
        </w:rPr>
      </w:pPr>
      <w:bookmarkStart w:id="24" w:name="_Toc432516793"/>
      <w:bookmarkStart w:id="25" w:name="_Toc432517214"/>
      <w:r>
        <w:rPr>
          <w:szCs w:val="22"/>
        </w:rPr>
        <w:t>Statewide Services 6.26</w:t>
      </w:r>
      <w:r w:rsidRPr="000A58C6">
        <w:rPr>
          <w:szCs w:val="22"/>
        </w:rPr>
        <w:t>%</w:t>
      </w:r>
      <w:bookmarkEnd w:id="24"/>
      <w:bookmarkEnd w:id="25"/>
    </w:p>
    <w:p w:rsidR="00240717" w:rsidRPr="000A58C6" w:rsidRDefault="00240717" w:rsidP="00240717">
      <w:pPr>
        <w:pStyle w:val="ListParagraph"/>
        <w:numPr>
          <w:ilvl w:val="0"/>
          <w:numId w:val="44"/>
        </w:numPr>
        <w:spacing w:after="120" w:line="240" w:lineRule="atLeast"/>
        <w:ind w:left="567" w:hanging="567"/>
        <w:outlineLvl w:val="0"/>
        <w:rPr>
          <w:szCs w:val="22"/>
        </w:rPr>
      </w:pPr>
      <w:bookmarkStart w:id="26" w:name="_Toc432516794"/>
      <w:bookmarkStart w:id="27" w:name="_Toc432517215"/>
      <w:r>
        <w:rPr>
          <w:szCs w:val="22"/>
        </w:rPr>
        <w:t>Human Services 30.43</w:t>
      </w:r>
      <w:r w:rsidRPr="000A58C6">
        <w:rPr>
          <w:szCs w:val="22"/>
        </w:rPr>
        <w:t>%</w:t>
      </w:r>
      <w:bookmarkEnd w:id="26"/>
      <w:bookmarkEnd w:id="27"/>
    </w:p>
    <w:p w:rsidR="00240717" w:rsidRPr="000A58C6" w:rsidRDefault="00240717" w:rsidP="00240717">
      <w:pPr>
        <w:pStyle w:val="ListParagraph"/>
        <w:numPr>
          <w:ilvl w:val="0"/>
          <w:numId w:val="44"/>
        </w:numPr>
        <w:spacing w:after="120" w:line="240" w:lineRule="atLeast"/>
        <w:ind w:left="567" w:hanging="567"/>
        <w:outlineLvl w:val="0"/>
        <w:rPr>
          <w:szCs w:val="22"/>
        </w:rPr>
      </w:pPr>
      <w:bookmarkStart w:id="28" w:name="_Toc432516795"/>
      <w:bookmarkStart w:id="29" w:name="_Toc432517216"/>
      <w:r>
        <w:rPr>
          <w:szCs w:val="22"/>
        </w:rPr>
        <w:t>Children Services 6.92</w:t>
      </w:r>
      <w:r w:rsidRPr="000A58C6">
        <w:rPr>
          <w:szCs w:val="22"/>
        </w:rPr>
        <w:t>%</w:t>
      </w:r>
      <w:bookmarkEnd w:id="28"/>
      <w:bookmarkEnd w:id="29"/>
    </w:p>
    <w:p w:rsidR="00240717" w:rsidRPr="000A58C6" w:rsidRDefault="00240717" w:rsidP="00240717">
      <w:pPr>
        <w:pStyle w:val="ListParagraph"/>
        <w:numPr>
          <w:ilvl w:val="0"/>
          <w:numId w:val="44"/>
        </w:numPr>
        <w:spacing w:after="120" w:line="240" w:lineRule="atLeast"/>
        <w:ind w:left="567" w:hanging="567"/>
        <w:outlineLvl w:val="0"/>
        <w:rPr>
          <w:szCs w:val="22"/>
        </w:rPr>
      </w:pPr>
      <w:bookmarkStart w:id="30" w:name="_Toc432516796"/>
      <w:bookmarkStart w:id="31" w:name="_Toc432517217"/>
      <w:r w:rsidRPr="000A58C6">
        <w:rPr>
          <w:szCs w:val="22"/>
        </w:rPr>
        <w:t>Independent</w:t>
      </w:r>
      <w:r>
        <w:rPr>
          <w:szCs w:val="22"/>
        </w:rPr>
        <w:t xml:space="preserve"> Children’s Review Services 0.05</w:t>
      </w:r>
      <w:r w:rsidRPr="000A58C6">
        <w:rPr>
          <w:szCs w:val="22"/>
        </w:rPr>
        <w:t>%</w:t>
      </w:r>
      <w:bookmarkEnd w:id="30"/>
      <w:bookmarkEnd w:id="31"/>
    </w:p>
    <w:p w:rsidR="00240717" w:rsidRPr="000A58C6" w:rsidRDefault="00240717" w:rsidP="00240717">
      <w:pPr>
        <w:pStyle w:val="ListParagraph"/>
        <w:numPr>
          <w:ilvl w:val="0"/>
          <w:numId w:val="44"/>
        </w:numPr>
        <w:spacing w:after="120" w:line="240" w:lineRule="atLeast"/>
        <w:ind w:left="567" w:hanging="567"/>
        <w:outlineLvl w:val="0"/>
        <w:rPr>
          <w:szCs w:val="22"/>
        </w:rPr>
      </w:pPr>
      <w:bookmarkStart w:id="32" w:name="_Toc432516797"/>
      <w:bookmarkStart w:id="33" w:name="_Toc432517218"/>
      <w:r w:rsidRPr="000A58C6">
        <w:rPr>
          <w:szCs w:val="22"/>
        </w:rPr>
        <w:t>Capital In</w:t>
      </w:r>
      <w:r w:rsidR="007803C9">
        <w:rPr>
          <w:szCs w:val="22"/>
        </w:rPr>
        <w:t>vestment Program</w:t>
      </w:r>
      <w:r>
        <w:rPr>
          <w:szCs w:val="22"/>
        </w:rPr>
        <w:t xml:space="preserve"> 4.66</w:t>
      </w:r>
      <w:r w:rsidRPr="000A58C6">
        <w:rPr>
          <w:szCs w:val="22"/>
        </w:rPr>
        <w:t>%</w:t>
      </w:r>
      <w:bookmarkEnd w:id="32"/>
      <w:bookmarkEnd w:id="33"/>
    </w:p>
    <w:p w:rsidR="00240717" w:rsidRPr="000A58C6" w:rsidRDefault="00240717" w:rsidP="00240717">
      <w:pPr>
        <w:pStyle w:val="ListParagraph"/>
        <w:numPr>
          <w:ilvl w:val="0"/>
          <w:numId w:val="44"/>
        </w:numPr>
        <w:spacing w:after="120" w:line="240" w:lineRule="atLeast"/>
        <w:ind w:left="567" w:hanging="567"/>
        <w:outlineLvl w:val="0"/>
        <w:rPr>
          <w:szCs w:val="22"/>
        </w:rPr>
      </w:pPr>
      <w:bookmarkStart w:id="34" w:name="_Toc432516798"/>
      <w:bookmarkStart w:id="35" w:name="_Toc432517219"/>
      <w:r w:rsidRPr="000A58C6">
        <w:rPr>
          <w:szCs w:val="22"/>
        </w:rPr>
        <w:t>Speci</w:t>
      </w:r>
      <w:r>
        <w:rPr>
          <w:szCs w:val="22"/>
        </w:rPr>
        <w:t>al Capital Investment Funds 6.86</w:t>
      </w:r>
      <w:r w:rsidRPr="000A58C6">
        <w:rPr>
          <w:szCs w:val="22"/>
        </w:rPr>
        <w:t>%</w:t>
      </w:r>
      <w:r>
        <w:rPr>
          <w:szCs w:val="22"/>
        </w:rPr>
        <w:t>.</w:t>
      </w:r>
      <w:bookmarkEnd w:id="34"/>
      <w:bookmarkEnd w:id="35"/>
    </w:p>
    <w:p w:rsidR="00240717" w:rsidRPr="0098024A" w:rsidRDefault="00240717" w:rsidP="00240717">
      <w:pPr>
        <w:sectPr w:rsidR="00240717" w:rsidRPr="0098024A" w:rsidSect="00B960B2">
          <w:type w:val="continuous"/>
          <w:pgSz w:w="11906" w:h="16838" w:code="9"/>
          <w:pgMar w:top="907" w:right="1134" w:bottom="720" w:left="1134" w:header="709" w:footer="709" w:gutter="0"/>
          <w:cols w:num="2" w:space="708"/>
          <w:docGrid w:linePitch="360"/>
        </w:sectPr>
      </w:pPr>
    </w:p>
    <w:p w:rsidR="00240717" w:rsidRPr="00F7564F" w:rsidRDefault="00240717" w:rsidP="00F7564F">
      <w:pPr>
        <w:pStyle w:val="Heading2"/>
        <w:spacing w:before="240"/>
        <w:sectPr w:rsidR="00240717" w:rsidRPr="00F7564F" w:rsidSect="00B960B2">
          <w:type w:val="continuous"/>
          <w:pgSz w:w="11906" w:h="16838" w:code="9"/>
          <w:pgMar w:top="907" w:right="1134" w:bottom="720" w:left="1134" w:header="709" w:footer="709" w:gutter="0"/>
          <w:cols w:space="708"/>
          <w:docGrid w:linePitch="360"/>
        </w:sectPr>
      </w:pPr>
      <w:r w:rsidRPr="00F7564F">
        <w:lastRenderedPageBreak/>
        <w:t>Expenses</w:t>
      </w:r>
    </w:p>
    <w:p w:rsidR="00240717" w:rsidRPr="000A58C6" w:rsidRDefault="00240717" w:rsidP="00240717">
      <w:pPr>
        <w:outlineLvl w:val="0"/>
      </w:pPr>
      <w:bookmarkStart w:id="36" w:name="_Toc432516799"/>
      <w:bookmarkStart w:id="37" w:name="_Toc432517220"/>
      <w:r w:rsidRPr="000A58C6">
        <w:lastRenderedPageBreak/>
        <w:t xml:space="preserve">Department of Health and Human Services Expenditure Budget </w:t>
      </w:r>
      <w:r>
        <w:t>2014-15 by Major Category</w:t>
      </w:r>
      <w:bookmarkEnd w:id="36"/>
      <w:bookmarkEnd w:id="37"/>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Pr>
      <w:tblGrid>
        <w:gridCol w:w="6946"/>
        <w:gridCol w:w="2693"/>
      </w:tblGrid>
      <w:tr w:rsidR="00240717" w:rsidRPr="00296516" w:rsidTr="00240717">
        <w:tc>
          <w:tcPr>
            <w:tcW w:w="6946" w:type="dxa"/>
            <w:tcBorders>
              <w:top w:val="single" w:sz="4" w:space="0" w:color="A6A6A6" w:themeColor="background1" w:themeShade="A6"/>
              <w:bottom w:val="single" w:sz="4" w:space="0" w:color="A6A6A6" w:themeColor="background1" w:themeShade="A6"/>
            </w:tcBorders>
            <w:shd w:val="clear" w:color="auto" w:fill="auto"/>
          </w:tcPr>
          <w:p w:rsidR="00240717" w:rsidRPr="00240717" w:rsidRDefault="00240717" w:rsidP="00B960B2">
            <w:pPr>
              <w:keepNext/>
              <w:spacing w:after="60" w:line="280" w:lineRule="atLeast"/>
              <w:ind w:left="-108"/>
              <w:rPr>
                <w:b/>
                <w:sz w:val="18"/>
                <w:szCs w:val="18"/>
              </w:rPr>
            </w:pPr>
            <w:r w:rsidRPr="00240717">
              <w:rPr>
                <w:b/>
                <w:sz w:val="18"/>
                <w:szCs w:val="18"/>
              </w:rPr>
              <w:t>Budget Expenditure by Output</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240717" w:rsidRPr="00240717" w:rsidRDefault="00240717" w:rsidP="00B960B2">
            <w:pPr>
              <w:keepNext/>
              <w:spacing w:after="60" w:line="280" w:lineRule="atLeast"/>
              <w:jc w:val="right"/>
              <w:rPr>
                <w:b/>
                <w:sz w:val="18"/>
                <w:szCs w:val="18"/>
              </w:rPr>
            </w:pPr>
            <w:r w:rsidRPr="00240717">
              <w:rPr>
                <w:b/>
                <w:sz w:val="18"/>
                <w:szCs w:val="18"/>
              </w:rPr>
              <w:t>2014-15</w:t>
            </w:r>
          </w:p>
          <w:p w:rsidR="00240717" w:rsidRPr="00240717" w:rsidRDefault="00240717" w:rsidP="00B960B2">
            <w:pPr>
              <w:keepNext/>
              <w:spacing w:after="60" w:line="280" w:lineRule="atLeast"/>
              <w:jc w:val="right"/>
              <w:rPr>
                <w:b/>
                <w:sz w:val="18"/>
                <w:szCs w:val="18"/>
              </w:rPr>
            </w:pPr>
            <w:r w:rsidRPr="00240717">
              <w:rPr>
                <w:b/>
                <w:sz w:val="18"/>
                <w:szCs w:val="18"/>
              </w:rPr>
              <w:t>$ ‘000</w:t>
            </w:r>
          </w:p>
        </w:tc>
      </w:tr>
      <w:tr w:rsidR="00240717" w:rsidRPr="00296516" w:rsidTr="00240717">
        <w:tc>
          <w:tcPr>
            <w:tcW w:w="6946" w:type="dxa"/>
            <w:tcBorders>
              <w:top w:val="single" w:sz="4" w:space="0" w:color="A6A6A6" w:themeColor="background1" w:themeShade="A6"/>
            </w:tcBorders>
            <w:vAlign w:val="center"/>
          </w:tcPr>
          <w:p w:rsidR="00240717" w:rsidRPr="00296516" w:rsidRDefault="00240717" w:rsidP="00B960B2">
            <w:pPr>
              <w:keepNext/>
              <w:spacing w:after="60" w:line="280" w:lineRule="atLeast"/>
              <w:ind w:left="-108"/>
              <w:outlineLvl w:val="0"/>
              <w:rPr>
                <w:sz w:val="18"/>
                <w:szCs w:val="18"/>
              </w:rPr>
            </w:pPr>
            <w:bookmarkStart w:id="38" w:name="_Toc432516800"/>
            <w:bookmarkStart w:id="39" w:name="_Toc432517221"/>
            <w:r w:rsidRPr="00296516">
              <w:rPr>
                <w:sz w:val="18"/>
                <w:szCs w:val="18"/>
              </w:rPr>
              <w:t>Health Services System Management</w:t>
            </w:r>
            <w:bookmarkEnd w:id="38"/>
            <w:bookmarkEnd w:id="39"/>
          </w:p>
        </w:tc>
        <w:tc>
          <w:tcPr>
            <w:tcW w:w="2693" w:type="dxa"/>
            <w:tcBorders>
              <w:top w:val="single" w:sz="4" w:space="0" w:color="A6A6A6" w:themeColor="background1" w:themeShade="A6"/>
            </w:tcBorders>
          </w:tcPr>
          <w:p w:rsidR="00240717" w:rsidRPr="00296516" w:rsidRDefault="00240717" w:rsidP="00B960B2">
            <w:pPr>
              <w:keepNext/>
              <w:spacing w:after="60" w:line="280" w:lineRule="atLeast"/>
              <w:jc w:val="right"/>
              <w:outlineLvl w:val="0"/>
              <w:rPr>
                <w:sz w:val="18"/>
                <w:szCs w:val="18"/>
              </w:rPr>
            </w:pPr>
            <w:bookmarkStart w:id="40" w:name="_Toc432516801"/>
            <w:bookmarkStart w:id="41" w:name="_Toc432517222"/>
            <w:r>
              <w:rPr>
                <w:sz w:val="18"/>
                <w:szCs w:val="18"/>
              </w:rPr>
              <w:t>144 745</w:t>
            </w:r>
            <w:bookmarkEnd w:id="40"/>
            <w:bookmarkEnd w:id="41"/>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42" w:name="_Toc432516802"/>
            <w:bookmarkStart w:id="43" w:name="_Toc432517223"/>
            <w:r w:rsidRPr="00296516">
              <w:rPr>
                <w:sz w:val="18"/>
                <w:szCs w:val="18"/>
              </w:rPr>
              <w:t>Tasmanian Health Organisations</w:t>
            </w:r>
            <w:bookmarkEnd w:id="42"/>
            <w:bookmarkEnd w:id="43"/>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44" w:name="_Toc432516803"/>
            <w:bookmarkStart w:id="45" w:name="_Toc432517224"/>
            <w:r>
              <w:rPr>
                <w:rFonts w:cs="Arial"/>
                <w:color w:val="000000"/>
                <w:sz w:val="18"/>
                <w:szCs w:val="18"/>
              </w:rPr>
              <w:t>590 110</w:t>
            </w:r>
            <w:bookmarkEnd w:id="44"/>
            <w:bookmarkEnd w:id="45"/>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46" w:name="_Toc432516804"/>
            <w:bookmarkStart w:id="47" w:name="_Toc432517225"/>
            <w:r w:rsidRPr="00296516">
              <w:rPr>
                <w:sz w:val="18"/>
                <w:szCs w:val="18"/>
              </w:rPr>
              <w:t>Statewide Services</w:t>
            </w:r>
            <w:bookmarkEnd w:id="46"/>
            <w:bookmarkEnd w:id="47"/>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48" w:name="_Toc432516805"/>
            <w:bookmarkStart w:id="49" w:name="_Toc432517226"/>
            <w:r>
              <w:rPr>
                <w:rFonts w:cs="Arial"/>
                <w:color w:val="000000"/>
                <w:sz w:val="18"/>
                <w:szCs w:val="18"/>
              </w:rPr>
              <w:t>102 679</w:t>
            </w:r>
            <w:bookmarkEnd w:id="48"/>
            <w:bookmarkEnd w:id="49"/>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50" w:name="_Toc432516806"/>
            <w:bookmarkStart w:id="51" w:name="_Toc432517227"/>
            <w:r w:rsidRPr="00296516">
              <w:rPr>
                <w:sz w:val="18"/>
                <w:szCs w:val="18"/>
              </w:rPr>
              <w:t>Human Services</w:t>
            </w:r>
            <w:bookmarkEnd w:id="50"/>
            <w:bookmarkEnd w:id="51"/>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52" w:name="_Toc432516807"/>
            <w:bookmarkStart w:id="53" w:name="_Toc432517228"/>
            <w:r>
              <w:rPr>
                <w:rFonts w:cs="Arial"/>
                <w:color w:val="000000"/>
                <w:sz w:val="18"/>
                <w:szCs w:val="18"/>
              </w:rPr>
              <w:t>498 941</w:t>
            </w:r>
            <w:bookmarkEnd w:id="52"/>
            <w:bookmarkEnd w:id="53"/>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54" w:name="_Toc432516808"/>
            <w:bookmarkStart w:id="55" w:name="_Toc432517229"/>
            <w:r w:rsidRPr="00296516">
              <w:rPr>
                <w:sz w:val="18"/>
                <w:szCs w:val="18"/>
              </w:rPr>
              <w:t>Children Services</w:t>
            </w:r>
            <w:bookmarkEnd w:id="54"/>
            <w:bookmarkEnd w:id="55"/>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56" w:name="_Toc432516809"/>
            <w:bookmarkStart w:id="57" w:name="_Toc432517230"/>
            <w:r>
              <w:rPr>
                <w:rFonts w:cs="Arial"/>
                <w:color w:val="000000"/>
                <w:sz w:val="18"/>
                <w:szCs w:val="18"/>
              </w:rPr>
              <w:t>113 496</w:t>
            </w:r>
            <w:bookmarkEnd w:id="56"/>
            <w:bookmarkEnd w:id="57"/>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58" w:name="_Toc432516810"/>
            <w:bookmarkStart w:id="59" w:name="_Toc432517231"/>
            <w:r w:rsidRPr="00296516">
              <w:rPr>
                <w:sz w:val="18"/>
                <w:szCs w:val="18"/>
              </w:rPr>
              <w:t>Independent Children’s Review Services</w:t>
            </w:r>
            <w:bookmarkEnd w:id="58"/>
            <w:bookmarkEnd w:id="59"/>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60" w:name="_Toc432516811"/>
            <w:bookmarkStart w:id="61" w:name="_Toc432517232"/>
            <w:r>
              <w:rPr>
                <w:rFonts w:cs="Arial"/>
                <w:color w:val="000000"/>
                <w:sz w:val="18"/>
                <w:szCs w:val="18"/>
              </w:rPr>
              <w:t>892</w:t>
            </w:r>
            <w:bookmarkEnd w:id="60"/>
            <w:bookmarkEnd w:id="61"/>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62" w:name="_Toc432516812"/>
            <w:bookmarkStart w:id="63" w:name="_Toc432517233"/>
            <w:r w:rsidRPr="00296516">
              <w:rPr>
                <w:sz w:val="18"/>
                <w:szCs w:val="18"/>
              </w:rPr>
              <w:t>Capital Investment Program</w:t>
            </w:r>
            <w:bookmarkEnd w:id="62"/>
            <w:bookmarkEnd w:id="63"/>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64" w:name="_Toc432516813"/>
            <w:bookmarkStart w:id="65" w:name="_Toc432517234"/>
            <w:r>
              <w:rPr>
                <w:rFonts w:cs="Arial"/>
                <w:color w:val="000000"/>
                <w:sz w:val="18"/>
                <w:szCs w:val="18"/>
              </w:rPr>
              <w:t>76 379</w:t>
            </w:r>
            <w:bookmarkEnd w:id="64"/>
            <w:bookmarkEnd w:id="65"/>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66" w:name="_Toc432516814"/>
            <w:bookmarkStart w:id="67" w:name="_Toc432517235"/>
            <w:r w:rsidRPr="00296516">
              <w:rPr>
                <w:sz w:val="18"/>
                <w:szCs w:val="18"/>
              </w:rPr>
              <w:t>Special Capital Investment Funds</w:t>
            </w:r>
            <w:bookmarkEnd w:id="66"/>
            <w:bookmarkEnd w:id="67"/>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68" w:name="_Toc432516815"/>
            <w:bookmarkStart w:id="69" w:name="_Toc432517236"/>
            <w:r>
              <w:rPr>
                <w:rFonts w:cs="Arial"/>
                <w:color w:val="000000"/>
                <w:sz w:val="18"/>
                <w:szCs w:val="18"/>
              </w:rPr>
              <w:t>112 579</w:t>
            </w:r>
            <w:bookmarkEnd w:id="68"/>
            <w:bookmarkEnd w:id="69"/>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b/>
                <w:sz w:val="18"/>
                <w:szCs w:val="18"/>
              </w:rPr>
            </w:pPr>
            <w:bookmarkStart w:id="70" w:name="_Toc432516816"/>
            <w:bookmarkStart w:id="71" w:name="_Toc432517237"/>
            <w:r w:rsidRPr="00296516">
              <w:rPr>
                <w:b/>
                <w:sz w:val="18"/>
                <w:szCs w:val="18"/>
              </w:rPr>
              <w:t>Total</w:t>
            </w:r>
            <w:bookmarkEnd w:id="70"/>
            <w:bookmarkEnd w:id="71"/>
          </w:p>
        </w:tc>
        <w:tc>
          <w:tcPr>
            <w:tcW w:w="2693" w:type="dxa"/>
          </w:tcPr>
          <w:p w:rsidR="00240717" w:rsidRPr="00296516" w:rsidRDefault="00240717" w:rsidP="00B960B2">
            <w:pPr>
              <w:keepNext/>
              <w:spacing w:after="60" w:line="280" w:lineRule="atLeast"/>
              <w:jc w:val="right"/>
              <w:outlineLvl w:val="0"/>
              <w:rPr>
                <w:rFonts w:cs="Arial"/>
                <w:b/>
                <w:color w:val="000000"/>
                <w:sz w:val="18"/>
                <w:szCs w:val="18"/>
              </w:rPr>
            </w:pPr>
            <w:bookmarkStart w:id="72" w:name="_Toc432516817"/>
            <w:bookmarkStart w:id="73" w:name="_Toc432517238"/>
            <w:r>
              <w:rPr>
                <w:rFonts w:cs="Arial"/>
                <w:b/>
                <w:color w:val="000000"/>
                <w:sz w:val="18"/>
                <w:szCs w:val="18"/>
              </w:rPr>
              <w:t>1 639 821</w:t>
            </w:r>
            <w:bookmarkEnd w:id="72"/>
            <w:bookmarkEnd w:id="73"/>
          </w:p>
        </w:tc>
      </w:tr>
    </w:tbl>
    <w:p w:rsidR="00240717" w:rsidRPr="0098024A" w:rsidRDefault="00240717" w:rsidP="00240717"/>
    <w:p w:rsidR="00240717" w:rsidRDefault="00240717" w:rsidP="00240717">
      <w:pPr>
        <w:spacing w:before="120" w:after="120"/>
        <w:outlineLvl w:val="0"/>
        <w:sectPr w:rsidR="00240717" w:rsidSect="00B960B2">
          <w:type w:val="continuous"/>
          <w:pgSz w:w="11906" w:h="16838" w:code="9"/>
          <w:pgMar w:top="907" w:right="1134" w:bottom="720" w:left="1134" w:header="709" w:footer="709" w:gutter="0"/>
          <w:cols w:space="708"/>
          <w:docGrid w:linePitch="360"/>
        </w:sectPr>
      </w:pPr>
    </w:p>
    <w:p w:rsidR="00240717" w:rsidRDefault="00240717" w:rsidP="00240717">
      <w:pPr>
        <w:keepNext/>
        <w:spacing w:before="120" w:after="120"/>
        <w:outlineLvl w:val="0"/>
      </w:pPr>
      <w:bookmarkStart w:id="74" w:name="_Toc432516818"/>
      <w:bookmarkStart w:id="75" w:name="_Toc432517239"/>
      <w:r>
        <w:lastRenderedPageBreak/>
        <w:t>The Department had $1.644</w:t>
      </w:r>
      <w:r w:rsidRPr="000A58C6">
        <w:t xml:space="preserve"> billion in physical </w:t>
      </w:r>
      <w:r>
        <w:t>assets under its control in 2014</w:t>
      </w:r>
      <w:r>
        <w:noBreakHyphen/>
        <w:t>15</w:t>
      </w:r>
      <w:r w:rsidRPr="000A58C6">
        <w:t xml:space="preserve">, and the annual appropriation from the Consolidated Fund </w:t>
      </w:r>
      <w:r>
        <w:t>for recurrent services was $1.147</w:t>
      </w:r>
      <w:r w:rsidRPr="000A58C6">
        <w:t xml:space="preserve"> billion.</w:t>
      </w:r>
      <w:bookmarkEnd w:id="74"/>
      <w:bookmarkEnd w:id="75"/>
      <w:r w:rsidRPr="000A58C6">
        <w:t xml:space="preserve"> </w:t>
      </w:r>
    </w:p>
    <w:p w:rsidR="00240717" w:rsidRPr="00155B09" w:rsidRDefault="00240717" w:rsidP="00240717">
      <w:pPr>
        <w:keepNext/>
        <w:spacing w:before="120" w:after="120"/>
        <w:outlineLvl w:val="0"/>
      </w:pPr>
      <w:bookmarkStart w:id="76" w:name="_Toc432516819"/>
      <w:bookmarkStart w:id="77" w:name="_Toc432517240"/>
      <w:r w:rsidRPr="00155B09">
        <w:t>The Statement of Comprehensive Income identified that total expense</w:t>
      </w:r>
      <w:r>
        <w:t>s for 2014-15 amounted to $1.423</w:t>
      </w:r>
      <w:r w:rsidRPr="00155B09">
        <w:t xml:space="preserve"> billion.</w:t>
      </w:r>
      <w:bookmarkEnd w:id="76"/>
      <w:bookmarkEnd w:id="77"/>
    </w:p>
    <w:p w:rsidR="00240717" w:rsidRPr="00155B09" w:rsidRDefault="00240717" w:rsidP="00240717">
      <w:pPr>
        <w:keepNext/>
        <w:spacing w:before="120" w:after="120"/>
        <w:outlineLvl w:val="0"/>
      </w:pPr>
      <w:bookmarkStart w:id="78" w:name="_Toc432516820"/>
      <w:bookmarkStart w:id="79" w:name="_Toc432517241"/>
      <w:r w:rsidRPr="00155B09">
        <w:t>Operating expenses incurred throughout the Department are varied but the major categories include:</w:t>
      </w:r>
      <w:bookmarkEnd w:id="78"/>
      <w:bookmarkEnd w:id="79"/>
    </w:p>
    <w:p w:rsidR="00240717" w:rsidRPr="00155B09" w:rsidRDefault="00240717" w:rsidP="00240717">
      <w:pPr>
        <w:keepNext/>
        <w:numPr>
          <w:ilvl w:val="0"/>
          <w:numId w:val="45"/>
        </w:numPr>
        <w:tabs>
          <w:tab w:val="clear" w:pos="567"/>
        </w:tabs>
        <w:spacing w:before="120" w:after="120" w:line="240" w:lineRule="auto"/>
        <w:ind w:left="567" w:hanging="567"/>
        <w:outlineLvl w:val="0"/>
      </w:pPr>
      <w:bookmarkStart w:id="80" w:name="_Toc432516821"/>
      <w:bookmarkStart w:id="81" w:name="_Toc432517242"/>
      <w:r w:rsidRPr="00155B09">
        <w:t>salaries and emplo</w:t>
      </w:r>
      <w:r>
        <w:t>yee related expenses at $189.546</w:t>
      </w:r>
      <w:r w:rsidRPr="00155B09">
        <w:t xml:space="preserve"> million</w:t>
      </w:r>
      <w:bookmarkEnd w:id="80"/>
      <w:bookmarkEnd w:id="81"/>
    </w:p>
    <w:p w:rsidR="00240717" w:rsidRDefault="00240717" w:rsidP="00240717">
      <w:pPr>
        <w:keepNext/>
        <w:numPr>
          <w:ilvl w:val="0"/>
          <w:numId w:val="45"/>
        </w:numPr>
        <w:tabs>
          <w:tab w:val="clear" w:pos="567"/>
        </w:tabs>
        <w:spacing w:before="120" w:after="120" w:line="240" w:lineRule="auto"/>
        <w:ind w:left="567" w:hanging="567"/>
        <w:outlineLvl w:val="0"/>
      </w:pPr>
      <w:bookmarkStart w:id="82" w:name="_Toc432516822"/>
      <w:bookmarkStart w:id="83" w:name="_Toc432517243"/>
      <w:r w:rsidRPr="00155B09">
        <w:t>patien</w:t>
      </w:r>
      <w:r>
        <w:t>t and client services at $28.040</w:t>
      </w:r>
      <w:r w:rsidRPr="00155B09">
        <w:t xml:space="preserve"> million</w:t>
      </w:r>
      <w:r>
        <w:t xml:space="preserve"> and</w:t>
      </w:r>
      <w:bookmarkEnd w:id="82"/>
      <w:bookmarkEnd w:id="83"/>
    </w:p>
    <w:p w:rsidR="00240717" w:rsidRDefault="00240717" w:rsidP="00240717">
      <w:pPr>
        <w:keepNext/>
        <w:keepLines/>
        <w:numPr>
          <w:ilvl w:val="0"/>
          <w:numId w:val="45"/>
        </w:numPr>
        <w:tabs>
          <w:tab w:val="clear" w:pos="567"/>
        </w:tabs>
        <w:spacing w:before="120" w:after="120" w:line="240" w:lineRule="auto"/>
        <w:ind w:left="567" w:hanging="567"/>
        <w:outlineLvl w:val="0"/>
      </w:pPr>
      <w:bookmarkStart w:id="84" w:name="_Toc432516823"/>
      <w:bookmarkStart w:id="85" w:name="_Toc432517244"/>
      <w:proofErr w:type="gramStart"/>
      <w:r w:rsidRPr="00CF2C2A">
        <w:t>property</w:t>
      </w:r>
      <w:proofErr w:type="gramEnd"/>
      <w:r w:rsidRPr="00CF2C2A">
        <w:t>, including rent, rates, mainte</w:t>
      </w:r>
      <w:r>
        <w:t>nance and electricity at $56.547</w:t>
      </w:r>
      <w:r w:rsidRPr="00CF2C2A">
        <w:t xml:space="preserve"> million</w:t>
      </w:r>
      <w:r>
        <w:t>.</w:t>
      </w:r>
      <w:bookmarkEnd w:id="84"/>
      <w:bookmarkEnd w:id="85"/>
    </w:p>
    <w:p w:rsidR="00240717" w:rsidRPr="00CF2C2A" w:rsidRDefault="00240717" w:rsidP="00240717">
      <w:pPr>
        <w:keepNext/>
        <w:keepLines/>
        <w:tabs>
          <w:tab w:val="clear" w:pos="567"/>
        </w:tabs>
        <w:spacing w:before="120" w:after="120" w:line="300" w:lineRule="exact"/>
        <w:outlineLvl w:val="0"/>
      </w:pPr>
      <w:r>
        <w:br w:type="column"/>
      </w:r>
      <w:bookmarkStart w:id="86" w:name="_Toc432516824"/>
      <w:bookmarkStart w:id="87" w:name="_Toc432517245"/>
      <w:r w:rsidRPr="00CF2C2A">
        <w:lastRenderedPageBreak/>
        <w:t>Capital Expenditure for prope</w:t>
      </w:r>
      <w:r>
        <w:t>rty, plant and equipment in 2014-15</w:t>
      </w:r>
      <w:r w:rsidRPr="00CF2C2A">
        <w:t xml:space="preserve"> totalled</w:t>
      </w:r>
      <w:r>
        <w:t xml:space="preserve"> $69.820</w:t>
      </w:r>
      <w:r w:rsidRPr="00CF2C2A">
        <w:t xml:space="preserve"> million, which included expenditure on works at the major hospitals, community health centres and ongoing Housing Tasmania capital programs. Further details on the capital program are available in Part 2.</w:t>
      </w:r>
      <w:bookmarkEnd w:id="86"/>
      <w:bookmarkEnd w:id="87"/>
    </w:p>
    <w:p w:rsidR="00240717" w:rsidRDefault="00240717" w:rsidP="00240717">
      <w:pPr>
        <w:outlineLvl w:val="0"/>
        <w:sectPr w:rsidR="00240717" w:rsidSect="00B960B2">
          <w:type w:val="continuous"/>
          <w:pgSz w:w="11906" w:h="16838" w:code="9"/>
          <w:pgMar w:top="907" w:right="1134" w:bottom="720" w:left="1134" w:header="709" w:footer="709" w:gutter="0"/>
          <w:cols w:num="2" w:space="708"/>
          <w:docGrid w:linePitch="360"/>
        </w:sectPr>
      </w:pPr>
    </w:p>
    <w:p w:rsidR="00240717" w:rsidRPr="00155B09" w:rsidRDefault="00240717" w:rsidP="00240717">
      <w:pPr>
        <w:keepNext/>
        <w:outlineLvl w:val="0"/>
      </w:pPr>
      <w:bookmarkStart w:id="88" w:name="_Toc432516825"/>
      <w:bookmarkStart w:id="89" w:name="_Toc432517246"/>
      <w:r w:rsidRPr="00155B09">
        <w:lastRenderedPageBreak/>
        <w:t>Department of Health and Human Services A</w:t>
      </w:r>
      <w:r>
        <w:t>ctual Expenditure 2014-15</w:t>
      </w:r>
      <w:bookmarkEnd w:id="88"/>
      <w:bookmarkEnd w:id="89"/>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Pr>
      <w:tblGrid>
        <w:gridCol w:w="6946"/>
        <w:gridCol w:w="2693"/>
      </w:tblGrid>
      <w:tr w:rsidR="00240717" w:rsidRPr="00296516" w:rsidTr="00B960B2">
        <w:trPr>
          <w:cantSplit/>
        </w:trPr>
        <w:tc>
          <w:tcPr>
            <w:tcW w:w="6946" w:type="dxa"/>
            <w:shd w:val="clear" w:color="auto" w:fill="auto"/>
          </w:tcPr>
          <w:p w:rsidR="00240717" w:rsidRPr="00296516" w:rsidRDefault="00240717" w:rsidP="00B960B2">
            <w:pPr>
              <w:keepNext/>
              <w:spacing w:after="60" w:line="280" w:lineRule="atLeast"/>
              <w:ind w:left="-108"/>
              <w:rPr>
                <w:b/>
                <w:sz w:val="18"/>
                <w:szCs w:val="18"/>
              </w:rPr>
            </w:pPr>
            <w:r w:rsidRPr="00296516">
              <w:rPr>
                <w:b/>
                <w:sz w:val="18"/>
                <w:szCs w:val="18"/>
              </w:rPr>
              <w:t>Actual Expenditure by Output</w:t>
            </w:r>
          </w:p>
        </w:tc>
        <w:tc>
          <w:tcPr>
            <w:tcW w:w="2693" w:type="dxa"/>
            <w:shd w:val="clear" w:color="auto" w:fill="auto"/>
            <w:vAlign w:val="center"/>
          </w:tcPr>
          <w:p w:rsidR="00240717" w:rsidRPr="00296516" w:rsidRDefault="00240717" w:rsidP="00B960B2">
            <w:pPr>
              <w:keepNext/>
              <w:spacing w:after="60" w:line="280" w:lineRule="atLeast"/>
              <w:jc w:val="right"/>
              <w:rPr>
                <w:b/>
                <w:sz w:val="18"/>
                <w:szCs w:val="18"/>
              </w:rPr>
            </w:pPr>
            <w:r>
              <w:rPr>
                <w:b/>
                <w:sz w:val="18"/>
                <w:szCs w:val="18"/>
              </w:rPr>
              <w:t>2014-15</w:t>
            </w:r>
          </w:p>
          <w:p w:rsidR="00240717" w:rsidRPr="00296516" w:rsidRDefault="00240717" w:rsidP="00B960B2">
            <w:pPr>
              <w:keepNext/>
              <w:spacing w:after="60" w:line="280" w:lineRule="atLeast"/>
              <w:jc w:val="right"/>
              <w:rPr>
                <w:b/>
                <w:sz w:val="18"/>
                <w:szCs w:val="18"/>
              </w:rPr>
            </w:pPr>
            <w:r w:rsidRPr="00296516">
              <w:rPr>
                <w:b/>
                <w:sz w:val="18"/>
                <w:szCs w:val="18"/>
              </w:rPr>
              <w:t>$ ‘000</w:t>
            </w:r>
          </w:p>
        </w:tc>
      </w:tr>
      <w:tr w:rsidR="00240717" w:rsidRPr="00296516" w:rsidTr="00B960B2">
        <w:trPr>
          <w:cantSplit/>
        </w:trPr>
        <w:tc>
          <w:tcPr>
            <w:tcW w:w="6946" w:type="dxa"/>
            <w:vAlign w:val="center"/>
          </w:tcPr>
          <w:p w:rsidR="00240717" w:rsidRPr="00296516" w:rsidRDefault="00240717" w:rsidP="00B960B2">
            <w:pPr>
              <w:keepNext/>
              <w:spacing w:after="60" w:line="280" w:lineRule="atLeast"/>
              <w:ind w:left="-108"/>
              <w:outlineLvl w:val="0"/>
              <w:rPr>
                <w:sz w:val="18"/>
                <w:szCs w:val="18"/>
              </w:rPr>
            </w:pPr>
            <w:bookmarkStart w:id="90" w:name="_Toc432516826"/>
            <w:bookmarkStart w:id="91" w:name="_Toc432517247"/>
            <w:r w:rsidRPr="00296516">
              <w:rPr>
                <w:sz w:val="18"/>
                <w:szCs w:val="18"/>
              </w:rPr>
              <w:t>Health Services System Management</w:t>
            </w:r>
            <w:bookmarkEnd w:id="90"/>
            <w:bookmarkEnd w:id="91"/>
          </w:p>
        </w:tc>
        <w:tc>
          <w:tcPr>
            <w:tcW w:w="2693" w:type="dxa"/>
          </w:tcPr>
          <w:p w:rsidR="00240717" w:rsidRPr="00296516" w:rsidRDefault="00240717" w:rsidP="00B960B2">
            <w:pPr>
              <w:keepNext/>
              <w:spacing w:after="60" w:line="280" w:lineRule="atLeast"/>
              <w:jc w:val="right"/>
              <w:outlineLvl w:val="0"/>
              <w:rPr>
                <w:sz w:val="18"/>
                <w:szCs w:val="18"/>
              </w:rPr>
            </w:pPr>
            <w:r>
              <w:rPr>
                <w:sz w:val="18"/>
                <w:szCs w:val="18"/>
              </w:rPr>
              <w:t xml:space="preserve">       </w:t>
            </w:r>
            <w:bookmarkStart w:id="92" w:name="_Toc432516827"/>
            <w:bookmarkStart w:id="93" w:name="_Toc432517248"/>
            <w:r>
              <w:rPr>
                <w:sz w:val="18"/>
                <w:szCs w:val="18"/>
              </w:rPr>
              <w:t>118 663</w:t>
            </w:r>
            <w:bookmarkEnd w:id="92"/>
            <w:bookmarkEnd w:id="93"/>
          </w:p>
        </w:tc>
      </w:tr>
      <w:tr w:rsidR="00240717" w:rsidRPr="00296516" w:rsidTr="00B960B2">
        <w:trPr>
          <w:cantSplit/>
        </w:trPr>
        <w:tc>
          <w:tcPr>
            <w:tcW w:w="6946" w:type="dxa"/>
            <w:vAlign w:val="center"/>
          </w:tcPr>
          <w:p w:rsidR="00240717" w:rsidRPr="00296516" w:rsidRDefault="00240717" w:rsidP="00B960B2">
            <w:pPr>
              <w:keepNext/>
              <w:spacing w:after="60" w:line="280" w:lineRule="atLeast"/>
              <w:ind w:left="-108"/>
              <w:outlineLvl w:val="0"/>
              <w:rPr>
                <w:sz w:val="18"/>
                <w:szCs w:val="18"/>
              </w:rPr>
            </w:pPr>
            <w:bookmarkStart w:id="94" w:name="_Toc432516828"/>
            <w:bookmarkStart w:id="95" w:name="_Toc432517249"/>
            <w:r w:rsidRPr="00296516">
              <w:rPr>
                <w:sz w:val="18"/>
                <w:szCs w:val="18"/>
              </w:rPr>
              <w:t>Tasmanian Health Organisations</w:t>
            </w:r>
            <w:bookmarkEnd w:id="94"/>
            <w:bookmarkEnd w:id="95"/>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96" w:name="_Toc432516829"/>
            <w:bookmarkStart w:id="97" w:name="_Toc432517250"/>
            <w:r>
              <w:rPr>
                <w:rFonts w:cs="Arial"/>
                <w:color w:val="000000"/>
                <w:sz w:val="18"/>
                <w:szCs w:val="18"/>
              </w:rPr>
              <w:t>607 857</w:t>
            </w:r>
            <w:bookmarkEnd w:id="96"/>
            <w:bookmarkEnd w:id="97"/>
          </w:p>
        </w:tc>
      </w:tr>
      <w:tr w:rsidR="00240717" w:rsidRPr="00296516" w:rsidTr="00B960B2">
        <w:trPr>
          <w:cantSplit/>
        </w:trPr>
        <w:tc>
          <w:tcPr>
            <w:tcW w:w="6946" w:type="dxa"/>
            <w:vAlign w:val="center"/>
          </w:tcPr>
          <w:p w:rsidR="00240717" w:rsidRPr="00296516" w:rsidRDefault="00240717" w:rsidP="00B960B2">
            <w:pPr>
              <w:keepNext/>
              <w:spacing w:after="60" w:line="280" w:lineRule="atLeast"/>
              <w:ind w:left="-108"/>
              <w:outlineLvl w:val="0"/>
              <w:rPr>
                <w:sz w:val="18"/>
                <w:szCs w:val="18"/>
              </w:rPr>
            </w:pPr>
            <w:bookmarkStart w:id="98" w:name="_Toc432516830"/>
            <w:bookmarkStart w:id="99" w:name="_Toc432517251"/>
            <w:r w:rsidRPr="00296516">
              <w:rPr>
                <w:sz w:val="18"/>
                <w:szCs w:val="18"/>
              </w:rPr>
              <w:t>Statewide Services</w:t>
            </w:r>
            <w:bookmarkEnd w:id="98"/>
            <w:bookmarkEnd w:id="99"/>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100" w:name="_Toc432516831"/>
            <w:bookmarkStart w:id="101" w:name="_Toc432517252"/>
            <w:r>
              <w:rPr>
                <w:rFonts w:cs="Arial"/>
                <w:color w:val="000000"/>
                <w:sz w:val="18"/>
                <w:szCs w:val="18"/>
              </w:rPr>
              <w:t>97 652</w:t>
            </w:r>
            <w:bookmarkEnd w:id="100"/>
            <w:bookmarkEnd w:id="101"/>
          </w:p>
        </w:tc>
      </w:tr>
      <w:tr w:rsidR="00240717" w:rsidRPr="00296516" w:rsidTr="00B960B2">
        <w:trPr>
          <w:cantSplit/>
        </w:trPr>
        <w:tc>
          <w:tcPr>
            <w:tcW w:w="6946" w:type="dxa"/>
            <w:vAlign w:val="center"/>
          </w:tcPr>
          <w:p w:rsidR="00240717" w:rsidRPr="00296516" w:rsidRDefault="00240717" w:rsidP="00B960B2">
            <w:pPr>
              <w:keepNext/>
              <w:spacing w:after="60" w:line="280" w:lineRule="atLeast"/>
              <w:ind w:left="-108"/>
              <w:outlineLvl w:val="0"/>
              <w:rPr>
                <w:sz w:val="18"/>
                <w:szCs w:val="18"/>
              </w:rPr>
            </w:pPr>
            <w:bookmarkStart w:id="102" w:name="_Toc432516832"/>
            <w:bookmarkStart w:id="103" w:name="_Toc432517253"/>
            <w:r w:rsidRPr="00296516">
              <w:rPr>
                <w:sz w:val="18"/>
                <w:szCs w:val="18"/>
              </w:rPr>
              <w:t>Human Services</w:t>
            </w:r>
            <w:bookmarkEnd w:id="102"/>
            <w:bookmarkEnd w:id="103"/>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104" w:name="_Toc432516833"/>
            <w:bookmarkStart w:id="105" w:name="_Toc432517254"/>
            <w:r>
              <w:rPr>
                <w:rFonts w:cs="Arial"/>
                <w:color w:val="000000"/>
                <w:sz w:val="18"/>
                <w:szCs w:val="18"/>
              </w:rPr>
              <w:t>469 805</w:t>
            </w:r>
            <w:bookmarkEnd w:id="104"/>
            <w:bookmarkEnd w:id="105"/>
          </w:p>
        </w:tc>
      </w:tr>
      <w:tr w:rsidR="00240717" w:rsidRPr="00296516" w:rsidTr="00B960B2">
        <w:trPr>
          <w:cantSplit/>
        </w:trPr>
        <w:tc>
          <w:tcPr>
            <w:tcW w:w="6946" w:type="dxa"/>
            <w:vAlign w:val="center"/>
          </w:tcPr>
          <w:p w:rsidR="00240717" w:rsidRPr="00296516" w:rsidRDefault="00240717" w:rsidP="00B960B2">
            <w:pPr>
              <w:keepNext/>
              <w:spacing w:after="60" w:line="280" w:lineRule="atLeast"/>
              <w:ind w:left="-108"/>
              <w:outlineLvl w:val="0"/>
              <w:rPr>
                <w:sz w:val="18"/>
                <w:szCs w:val="18"/>
              </w:rPr>
            </w:pPr>
            <w:bookmarkStart w:id="106" w:name="_Toc432516834"/>
            <w:bookmarkStart w:id="107" w:name="_Toc432517255"/>
            <w:r w:rsidRPr="00296516">
              <w:rPr>
                <w:sz w:val="18"/>
                <w:szCs w:val="18"/>
              </w:rPr>
              <w:t>Children Services</w:t>
            </w:r>
            <w:bookmarkEnd w:id="106"/>
            <w:bookmarkEnd w:id="107"/>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108" w:name="_Toc432516835"/>
            <w:bookmarkStart w:id="109" w:name="_Toc432517256"/>
            <w:r>
              <w:rPr>
                <w:rFonts w:cs="Arial"/>
                <w:color w:val="000000"/>
                <w:sz w:val="18"/>
                <w:szCs w:val="18"/>
              </w:rPr>
              <w:t>105 212</w:t>
            </w:r>
            <w:bookmarkEnd w:id="108"/>
            <w:bookmarkEnd w:id="109"/>
          </w:p>
        </w:tc>
      </w:tr>
      <w:tr w:rsidR="00240717" w:rsidRPr="00296516" w:rsidTr="00B960B2">
        <w:trPr>
          <w:cantSplit/>
        </w:trPr>
        <w:tc>
          <w:tcPr>
            <w:tcW w:w="6946" w:type="dxa"/>
            <w:vAlign w:val="center"/>
          </w:tcPr>
          <w:p w:rsidR="00240717" w:rsidRPr="00296516" w:rsidRDefault="00240717" w:rsidP="00B960B2">
            <w:pPr>
              <w:keepNext/>
              <w:spacing w:after="60" w:line="280" w:lineRule="atLeast"/>
              <w:ind w:left="-108"/>
              <w:outlineLvl w:val="0"/>
              <w:rPr>
                <w:sz w:val="18"/>
                <w:szCs w:val="18"/>
              </w:rPr>
            </w:pPr>
            <w:bookmarkStart w:id="110" w:name="_Toc432516836"/>
            <w:bookmarkStart w:id="111" w:name="_Toc432517257"/>
            <w:r w:rsidRPr="00296516">
              <w:rPr>
                <w:sz w:val="18"/>
                <w:szCs w:val="18"/>
              </w:rPr>
              <w:t>Independent Children’s Review Services</w:t>
            </w:r>
            <w:bookmarkEnd w:id="110"/>
            <w:bookmarkEnd w:id="111"/>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112" w:name="_Toc432516837"/>
            <w:bookmarkStart w:id="113" w:name="_Toc432517258"/>
            <w:r>
              <w:rPr>
                <w:rFonts w:cs="Arial"/>
                <w:color w:val="000000"/>
                <w:sz w:val="18"/>
                <w:szCs w:val="18"/>
              </w:rPr>
              <w:t>847</w:t>
            </w:r>
            <w:bookmarkEnd w:id="112"/>
            <w:bookmarkEnd w:id="113"/>
          </w:p>
        </w:tc>
      </w:tr>
      <w:tr w:rsidR="00240717" w:rsidRPr="00296516" w:rsidTr="00B960B2">
        <w:trPr>
          <w:cantSplit/>
        </w:trPr>
        <w:tc>
          <w:tcPr>
            <w:tcW w:w="6946" w:type="dxa"/>
            <w:vAlign w:val="center"/>
          </w:tcPr>
          <w:p w:rsidR="00240717" w:rsidRPr="00296516" w:rsidRDefault="00240717" w:rsidP="00B960B2">
            <w:pPr>
              <w:keepNext/>
              <w:spacing w:after="60" w:line="280" w:lineRule="atLeast"/>
              <w:ind w:left="-108"/>
              <w:outlineLvl w:val="0"/>
              <w:rPr>
                <w:sz w:val="18"/>
                <w:szCs w:val="18"/>
              </w:rPr>
            </w:pPr>
            <w:bookmarkStart w:id="114" w:name="_Toc432516838"/>
            <w:bookmarkStart w:id="115" w:name="_Toc432517259"/>
            <w:r w:rsidRPr="00296516">
              <w:rPr>
                <w:sz w:val="18"/>
                <w:szCs w:val="18"/>
              </w:rPr>
              <w:t>Capital Investment Program</w:t>
            </w:r>
            <w:bookmarkEnd w:id="114"/>
            <w:bookmarkEnd w:id="115"/>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116" w:name="_Toc432516839"/>
            <w:bookmarkStart w:id="117" w:name="_Toc432517260"/>
            <w:r>
              <w:rPr>
                <w:rFonts w:cs="Arial"/>
                <w:color w:val="000000"/>
                <w:sz w:val="18"/>
                <w:szCs w:val="18"/>
              </w:rPr>
              <w:t>6 429</w:t>
            </w:r>
            <w:bookmarkEnd w:id="116"/>
            <w:bookmarkEnd w:id="117"/>
          </w:p>
        </w:tc>
      </w:tr>
      <w:tr w:rsidR="00240717" w:rsidRPr="00296516" w:rsidTr="00B960B2">
        <w:trPr>
          <w:cantSplit/>
        </w:trPr>
        <w:tc>
          <w:tcPr>
            <w:tcW w:w="6946" w:type="dxa"/>
            <w:vAlign w:val="center"/>
          </w:tcPr>
          <w:p w:rsidR="00240717" w:rsidRPr="00296516" w:rsidRDefault="00240717" w:rsidP="00B960B2">
            <w:pPr>
              <w:keepNext/>
              <w:spacing w:after="60" w:line="280" w:lineRule="atLeast"/>
              <w:ind w:left="-108"/>
              <w:outlineLvl w:val="0"/>
              <w:rPr>
                <w:sz w:val="18"/>
                <w:szCs w:val="18"/>
              </w:rPr>
            </w:pPr>
            <w:bookmarkStart w:id="118" w:name="_Toc432516840"/>
            <w:bookmarkStart w:id="119" w:name="_Toc432517261"/>
            <w:r w:rsidRPr="00296516">
              <w:rPr>
                <w:sz w:val="18"/>
                <w:szCs w:val="18"/>
              </w:rPr>
              <w:t>Special Capital Investment Funds</w:t>
            </w:r>
            <w:bookmarkEnd w:id="118"/>
            <w:bookmarkEnd w:id="119"/>
          </w:p>
        </w:tc>
        <w:tc>
          <w:tcPr>
            <w:tcW w:w="2693" w:type="dxa"/>
          </w:tcPr>
          <w:p w:rsidR="00240717" w:rsidRPr="00296516" w:rsidRDefault="00240717" w:rsidP="00B960B2">
            <w:pPr>
              <w:keepNext/>
              <w:spacing w:after="60" w:line="280" w:lineRule="atLeast"/>
              <w:jc w:val="right"/>
              <w:outlineLvl w:val="0"/>
              <w:rPr>
                <w:rFonts w:cs="Arial"/>
                <w:color w:val="000000"/>
                <w:sz w:val="18"/>
                <w:szCs w:val="18"/>
              </w:rPr>
            </w:pPr>
            <w:bookmarkStart w:id="120" w:name="_Toc432516841"/>
            <w:bookmarkStart w:id="121" w:name="_Toc432517262"/>
            <w:r>
              <w:rPr>
                <w:rFonts w:cs="Arial"/>
                <w:color w:val="000000"/>
                <w:sz w:val="18"/>
                <w:szCs w:val="18"/>
              </w:rPr>
              <w:t>16 264</w:t>
            </w:r>
            <w:bookmarkEnd w:id="120"/>
            <w:bookmarkEnd w:id="121"/>
          </w:p>
        </w:tc>
      </w:tr>
      <w:tr w:rsidR="00240717" w:rsidRPr="00296516" w:rsidTr="00B960B2">
        <w:trPr>
          <w:cantSplit/>
        </w:trPr>
        <w:tc>
          <w:tcPr>
            <w:tcW w:w="6946" w:type="dxa"/>
            <w:vAlign w:val="center"/>
          </w:tcPr>
          <w:p w:rsidR="00240717" w:rsidRPr="00296516" w:rsidRDefault="00240717" w:rsidP="00B960B2">
            <w:pPr>
              <w:keepNext/>
              <w:spacing w:after="60" w:line="280" w:lineRule="atLeast"/>
              <w:ind w:left="-108"/>
              <w:outlineLvl w:val="0"/>
              <w:rPr>
                <w:b/>
                <w:sz w:val="18"/>
                <w:szCs w:val="18"/>
              </w:rPr>
            </w:pPr>
            <w:bookmarkStart w:id="122" w:name="_Toc432516842"/>
            <w:bookmarkStart w:id="123" w:name="_Toc432517263"/>
            <w:r w:rsidRPr="00296516">
              <w:rPr>
                <w:b/>
                <w:sz w:val="18"/>
                <w:szCs w:val="18"/>
              </w:rPr>
              <w:t>Total</w:t>
            </w:r>
            <w:bookmarkEnd w:id="122"/>
            <w:bookmarkEnd w:id="123"/>
          </w:p>
        </w:tc>
        <w:tc>
          <w:tcPr>
            <w:tcW w:w="2693" w:type="dxa"/>
          </w:tcPr>
          <w:p w:rsidR="00240717" w:rsidRPr="00296516" w:rsidRDefault="00240717" w:rsidP="00B960B2">
            <w:pPr>
              <w:keepNext/>
              <w:spacing w:after="60" w:line="280" w:lineRule="atLeast"/>
              <w:jc w:val="right"/>
              <w:outlineLvl w:val="0"/>
              <w:rPr>
                <w:rFonts w:cs="Arial"/>
                <w:b/>
                <w:color w:val="000000"/>
                <w:sz w:val="18"/>
                <w:szCs w:val="18"/>
              </w:rPr>
            </w:pPr>
            <w:bookmarkStart w:id="124" w:name="_Toc432516843"/>
            <w:bookmarkStart w:id="125" w:name="_Toc432517264"/>
            <w:r>
              <w:rPr>
                <w:rFonts w:cs="Arial"/>
                <w:b/>
                <w:color w:val="000000"/>
                <w:sz w:val="18"/>
                <w:szCs w:val="18"/>
              </w:rPr>
              <w:t>1 422 729</w:t>
            </w:r>
            <w:bookmarkEnd w:id="124"/>
            <w:bookmarkEnd w:id="125"/>
          </w:p>
        </w:tc>
      </w:tr>
      <w:tr w:rsidR="00240717" w:rsidRPr="00296516" w:rsidTr="00B960B2">
        <w:tc>
          <w:tcPr>
            <w:tcW w:w="6946" w:type="dxa"/>
            <w:shd w:val="clear" w:color="auto" w:fill="auto"/>
          </w:tcPr>
          <w:p w:rsidR="00240717" w:rsidRDefault="00240717" w:rsidP="00B960B2">
            <w:pPr>
              <w:keepNext/>
              <w:spacing w:after="60" w:line="280" w:lineRule="atLeast"/>
              <w:ind w:left="-108"/>
              <w:rPr>
                <w:b/>
                <w:sz w:val="18"/>
                <w:szCs w:val="18"/>
              </w:rPr>
            </w:pPr>
          </w:p>
          <w:p w:rsidR="00240717" w:rsidRPr="00296516" w:rsidRDefault="00240717" w:rsidP="00B960B2">
            <w:pPr>
              <w:keepNext/>
              <w:spacing w:after="60" w:line="280" w:lineRule="atLeast"/>
              <w:ind w:left="-108"/>
              <w:rPr>
                <w:sz w:val="18"/>
                <w:szCs w:val="18"/>
              </w:rPr>
            </w:pPr>
          </w:p>
        </w:tc>
        <w:tc>
          <w:tcPr>
            <w:tcW w:w="2693" w:type="dxa"/>
            <w:shd w:val="clear" w:color="auto" w:fill="auto"/>
            <w:vAlign w:val="center"/>
          </w:tcPr>
          <w:p w:rsidR="00240717" w:rsidRDefault="00240717" w:rsidP="00B960B2">
            <w:pPr>
              <w:keepNext/>
              <w:spacing w:after="60" w:line="280" w:lineRule="atLeast"/>
              <w:jc w:val="right"/>
              <w:rPr>
                <w:b/>
                <w:sz w:val="18"/>
                <w:szCs w:val="18"/>
              </w:rPr>
            </w:pPr>
          </w:p>
          <w:p w:rsidR="00240717" w:rsidRPr="00296516" w:rsidRDefault="00240717" w:rsidP="00B960B2">
            <w:pPr>
              <w:keepNext/>
              <w:spacing w:after="60" w:line="280" w:lineRule="atLeast"/>
              <w:jc w:val="right"/>
              <w:rPr>
                <w:b/>
                <w:sz w:val="18"/>
                <w:szCs w:val="18"/>
              </w:rPr>
            </w:pP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26" w:name="_Toc432516844"/>
            <w:bookmarkStart w:id="127" w:name="_Toc432517265"/>
            <w:r w:rsidRPr="00296516">
              <w:rPr>
                <w:b/>
                <w:sz w:val="18"/>
                <w:szCs w:val="18"/>
              </w:rPr>
              <w:t>Actual Expenditure by Type</w:t>
            </w:r>
            <w:bookmarkEnd w:id="126"/>
            <w:bookmarkEnd w:id="127"/>
          </w:p>
        </w:tc>
        <w:tc>
          <w:tcPr>
            <w:tcW w:w="2693" w:type="dxa"/>
          </w:tcPr>
          <w:p w:rsidR="00240717" w:rsidRPr="00296516" w:rsidRDefault="00240717" w:rsidP="00B960B2">
            <w:pPr>
              <w:keepNext/>
              <w:spacing w:after="60" w:line="280" w:lineRule="atLeast"/>
              <w:jc w:val="right"/>
              <w:rPr>
                <w:b/>
                <w:sz w:val="18"/>
                <w:szCs w:val="18"/>
              </w:rPr>
            </w:pPr>
            <w:r>
              <w:rPr>
                <w:b/>
                <w:sz w:val="18"/>
                <w:szCs w:val="18"/>
              </w:rPr>
              <w:t>2014-15</w:t>
            </w:r>
          </w:p>
          <w:p w:rsidR="00240717" w:rsidRPr="00296516" w:rsidRDefault="00240717" w:rsidP="00B960B2">
            <w:pPr>
              <w:keepNext/>
              <w:spacing w:after="60" w:line="280" w:lineRule="atLeast"/>
              <w:jc w:val="right"/>
              <w:rPr>
                <w:rFonts w:cs="Arial"/>
                <w:color w:val="000000"/>
                <w:sz w:val="18"/>
                <w:szCs w:val="18"/>
              </w:rPr>
            </w:pPr>
            <w:r w:rsidRPr="00296516">
              <w:rPr>
                <w:b/>
                <w:sz w:val="18"/>
                <w:szCs w:val="18"/>
              </w:rPr>
              <w:t>$ ‘000</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28" w:name="_Toc432516845"/>
            <w:bookmarkStart w:id="129" w:name="_Toc432517266"/>
            <w:r w:rsidRPr="00296516">
              <w:rPr>
                <w:sz w:val="18"/>
                <w:szCs w:val="18"/>
              </w:rPr>
              <w:t>Salaries and wages</w:t>
            </w:r>
            <w:bookmarkEnd w:id="128"/>
            <w:bookmarkEnd w:id="129"/>
          </w:p>
        </w:tc>
        <w:tc>
          <w:tcPr>
            <w:tcW w:w="2693" w:type="dxa"/>
          </w:tcPr>
          <w:p w:rsidR="00240717" w:rsidRPr="00296516" w:rsidRDefault="00240717" w:rsidP="00B960B2">
            <w:pPr>
              <w:keepNext/>
              <w:spacing w:after="60" w:line="280" w:lineRule="atLeast"/>
              <w:jc w:val="right"/>
              <w:rPr>
                <w:rFonts w:cs="Arial"/>
                <w:color w:val="000000"/>
                <w:sz w:val="18"/>
                <w:szCs w:val="18"/>
              </w:rPr>
            </w:pPr>
            <w:r>
              <w:rPr>
                <w:rFonts w:cs="Arial"/>
                <w:color w:val="000000"/>
                <w:sz w:val="18"/>
                <w:szCs w:val="18"/>
              </w:rPr>
              <w:t>147 048</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30" w:name="_Toc432516846"/>
            <w:bookmarkStart w:id="131" w:name="_Toc432517267"/>
            <w:r w:rsidRPr="00296516">
              <w:rPr>
                <w:sz w:val="18"/>
                <w:szCs w:val="18"/>
              </w:rPr>
              <w:t>Other employee related expenses</w:t>
            </w:r>
            <w:bookmarkEnd w:id="130"/>
            <w:bookmarkEnd w:id="131"/>
          </w:p>
        </w:tc>
        <w:tc>
          <w:tcPr>
            <w:tcW w:w="2693" w:type="dxa"/>
          </w:tcPr>
          <w:p w:rsidR="00240717" w:rsidRPr="00296516" w:rsidRDefault="00240717" w:rsidP="00B960B2">
            <w:pPr>
              <w:keepNext/>
              <w:spacing w:after="60" w:line="280" w:lineRule="atLeast"/>
              <w:jc w:val="right"/>
              <w:rPr>
                <w:sz w:val="18"/>
                <w:szCs w:val="18"/>
              </w:rPr>
            </w:pPr>
            <w:r>
              <w:rPr>
                <w:sz w:val="18"/>
                <w:szCs w:val="18"/>
              </w:rPr>
              <w:t>22 806</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32" w:name="_Toc432516847"/>
            <w:bookmarkStart w:id="133" w:name="_Toc432517268"/>
            <w:r w:rsidRPr="00296516">
              <w:rPr>
                <w:sz w:val="18"/>
                <w:szCs w:val="18"/>
              </w:rPr>
              <w:t>Superannuation expenses</w:t>
            </w:r>
            <w:bookmarkEnd w:id="132"/>
            <w:bookmarkEnd w:id="133"/>
          </w:p>
        </w:tc>
        <w:tc>
          <w:tcPr>
            <w:tcW w:w="2693" w:type="dxa"/>
          </w:tcPr>
          <w:p w:rsidR="00240717" w:rsidRPr="00296516" w:rsidRDefault="00240717" w:rsidP="00B960B2">
            <w:pPr>
              <w:keepNext/>
              <w:spacing w:after="60" w:line="280" w:lineRule="atLeast"/>
              <w:jc w:val="right"/>
              <w:rPr>
                <w:sz w:val="18"/>
                <w:szCs w:val="18"/>
              </w:rPr>
            </w:pPr>
            <w:r>
              <w:rPr>
                <w:sz w:val="18"/>
                <w:szCs w:val="18"/>
              </w:rPr>
              <w:t>19 692</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34" w:name="_Toc432516848"/>
            <w:bookmarkStart w:id="135" w:name="_Toc432517269"/>
            <w:r w:rsidRPr="00296516">
              <w:rPr>
                <w:sz w:val="18"/>
                <w:szCs w:val="18"/>
              </w:rPr>
              <w:t>Depreciation and amortisation</w:t>
            </w:r>
            <w:bookmarkEnd w:id="134"/>
            <w:bookmarkEnd w:id="135"/>
          </w:p>
        </w:tc>
        <w:tc>
          <w:tcPr>
            <w:tcW w:w="2693" w:type="dxa"/>
          </w:tcPr>
          <w:p w:rsidR="00240717" w:rsidRPr="00296516" w:rsidRDefault="00240717" w:rsidP="00B960B2">
            <w:pPr>
              <w:keepNext/>
              <w:spacing w:after="60" w:line="280" w:lineRule="atLeast"/>
              <w:jc w:val="right"/>
              <w:rPr>
                <w:sz w:val="18"/>
                <w:szCs w:val="18"/>
              </w:rPr>
            </w:pPr>
            <w:r>
              <w:rPr>
                <w:sz w:val="18"/>
                <w:szCs w:val="18"/>
              </w:rPr>
              <w:t>25 342</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36" w:name="_Toc432516849"/>
            <w:bookmarkStart w:id="137" w:name="_Toc432517270"/>
            <w:r w:rsidRPr="00296516">
              <w:rPr>
                <w:sz w:val="18"/>
                <w:szCs w:val="18"/>
              </w:rPr>
              <w:t>Consultants</w:t>
            </w:r>
            <w:bookmarkEnd w:id="136"/>
            <w:bookmarkEnd w:id="137"/>
          </w:p>
        </w:tc>
        <w:tc>
          <w:tcPr>
            <w:tcW w:w="2693" w:type="dxa"/>
          </w:tcPr>
          <w:p w:rsidR="00240717" w:rsidRPr="00296516" w:rsidRDefault="00240717" w:rsidP="00B960B2">
            <w:pPr>
              <w:keepNext/>
              <w:spacing w:after="60" w:line="280" w:lineRule="atLeast"/>
              <w:jc w:val="right"/>
              <w:rPr>
                <w:sz w:val="18"/>
                <w:szCs w:val="18"/>
              </w:rPr>
            </w:pPr>
            <w:r>
              <w:rPr>
                <w:sz w:val="18"/>
                <w:szCs w:val="18"/>
              </w:rPr>
              <w:t xml:space="preserve"> 2 703</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38" w:name="_Toc432516850"/>
            <w:bookmarkStart w:id="139" w:name="_Toc432517271"/>
            <w:r w:rsidRPr="00296516">
              <w:rPr>
                <w:sz w:val="18"/>
                <w:szCs w:val="18"/>
              </w:rPr>
              <w:t>Maintenance and property services</w:t>
            </w:r>
            <w:bookmarkEnd w:id="138"/>
            <w:bookmarkEnd w:id="139"/>
          </w:p>
        </w:tc>
        <w:tc>
          <w:tcPr>
            <w:tcW w:w="2693" w:type="dxa"/>
          </w:tcPr>
          <w:p w:rsidR="00240717" w:rsidRPr="00296516" w:rsidRDefault="00240717" w:rsidP="00B960B2">
            <w:pPr>
              <w:keepNext/>
              <w:spacing w:after="60" w:line="280" w:lineRule="atLeast"/>
              <w:jc w:val="right"/>
              <w:rPr>
                <w:sz w:val="18"/>
                <w:szCs w:val="18"/>
              </w:rPr>
            </w:pPr>
            <w:r>
              <w:rPr>
                <w:sz w:val="18"/>
                <w:szCs w:val="18"/>
              </w:rPr>
              <w:t xml:space="preserve">        56 547</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40" w:name="_Toc432516851"/>
            <w:bookmarkStart w:id="141" w:name="_Toc432517272"/>
            <w:r w:rsidRPr="00296516">
              <w:rPr>
                <w:sz w:val="18"/>
                <w:szCs w:val="18"/>
              </w:rPr>
              <w:t>Communications</w:t>
            </w:r>
            <w:bookmarkEnd w:id="140"/>
            <w:bookmarkEnd w:id="141"/>
          </w:p>
        </w:tc>
        <w:tc>
          <w:tcPr>
            <w:tcW w:w="2693" w:type="dxa"/>
          </w:tcPr>
          <w:p w:rsidR="00240717" w:rsidRPr="00296516" w:rsidRDefault="00240717" w:rsidP="00B960B2">
            <w:pPr>
              <w:keepNext/>
              <w:spacing w:after="60" w:line="280" w:lineRule="atLeast"/>
              <w:jc w:val="right"/>
              <w:rPr>
                <w:sz w:val="18"/>
                <w:szCs w:val="18"/>
              </w:rPr>
            </w:pPr>
            <w:r>
              <w:rPr>
                <w:sz w:val="18"/>
                <w:szCs w:val="18"/>
              </w:rPr>
              <w:t>3 238</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42" w:name="_Toc432516852"/>
            <w:bookmarkStart w:id="143" w:name="_Toc432517273"/>
            <w:r w:rsidRPr="00296516">
              <w:rPr>
                <w:sz w:val="18"/>
                <w:szCs w:val="18"/>
              </w:rPr>
              <w:t>Information technology</w:t>
            </w:r>
            <w:bookmarkEnd w:id="142"/>
            <w:bookmarkEnd w:id="143"/>
          </w:p>
        </w:tc>
        <w:tc>
          <w:tcPr>
            <w:tcW w:w="2693" w:type="dxa"/>
          </w:tcPr>
          <w:p w:rsidR="00240717" w:rsidRPr="00296516" w:rsidRDefault="00240717" w:rsidP="00B960B2">
            <w:pPr>
              <w:keepNext/>
              <w:spacing w:after="60" w:line="280" w:lineRule="atLeast"/>
              <w:jc w:val="right"/>
              <w:rPr>
                <w:sz w:val="18"/>
                <w:szCs w:val="18"/>
              </w:rPr>
            </w:pPr>
            <w:r>
              <w:rPr>
                <w:sz w:val="18"/>
                <w:szCs w:val="18"/>
              </w:rPr>
              <w:t>16 454</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44" w:name="_Toc432516853"/>
            <w:bookmarkStart w:id="145" w:name="_Toc432517274"/>
            <w:r w:rsidRPr="00296516">
              <w:rPr>
                <w:sz w:val="18"/>
                <w:szCs w:val="18"/>
              </w:rPr>
              <w:t>Travel and transport</w:t>
            </w:r>
            <w:bookmarkEnd w:id="144"/>
            <w:bookmarkEnd w:id="145"/>
          </w:p>
        </w:tc>
        <w:tc>
          <w:tcPr>
            <w:tcW w:w="2693" w:type="dxa"/>
          </w:tcPr>
          <w:p w:rsidR="00240717" w:rsidRPr="00296516" w:rsidRDefault="00240717" w:rsidP="00B960B2">
            <w:pPr>
              <w:keepNext/>
              <w:spacing w:after="60" w:line="280" w:lineRule="atLeast"/>
              <w:jc w:val="right"/>
              <w:rPr>
                <w:sz w:val="18"/>
                <w:szCs w:val="18"/>
              </w:rPr>
            </w:pPr>
            <w:r>
              <w:rPr>
                <w:sz w:val="18"/>
                <w:szCs w:val="18"/>
              </w:rPr>
              <w:t>5 406</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46" w:name="_Toc432516854"/>
            <w:bookmarkStart w:id="147" w:name="_Toc432517275"/>
            <w:r w:rsidRPr="00296516">
              <w:rPr>
                <w:sz w:val="18"/>
                <w:szCs w:val="18"/>
              </w:rPr>
              <w:t>Medical, surgical and pharmacy supplies</w:t>
            </w:r>
            <w:bookmarkEnd w:id="146"/>
            <w:bookmarkEnd w:id="147"/>
          </w:p>
        </w:tc>
        <w:tc>
          <w:tcPr>
            <w:tcW w:w="2693" w:type="dxa"/>
          </w:tcPr>
          <w:p w:rsidR="00240717" w:rsidRPr="00296516" w:rsidRDefault="00240717" w:rsidP="00B960B2">
            <w:pPr>
              <w:keepNext/>
              <w:spacing w:after="60" w:line="280" w:lineRule="atLeast"/>
              <w:jc w:val="right"/>
              <w:rPr>
                <w:sz w:val="18"/>
                <w:szCs w:val="18"/>
              </w:rPr>
            </w:pPr>
            <w:r>
              <w:rPr>
                <w:sz w:val="18"/>
                <w:szCs w:val="18"/>
              </w:rPr>
              <w:t>8 239</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48" w:name="_Toc432516855"/>
            <w:bookmarkStart w:id="149" w:name="_Toc432517276"/>
            <w:r>
              <w:rPr>
                <w:sz w:val="18"/>
                <w:szCs w:val="18"/>
              </w:rPr>
              <w:t>Patient and Client Services</w:t>
            </w:r>
            <w:bookmarkEnd w:id="148"/>
            <w:bookmarkEnd w:id="149"/>
          </w:p>
        </w:tc>
        <w:tc>
          <w:tcPr>
            <w:tcW w:w="2693" w:type="dxa"/>
          </w:tcPr>
          <w:p w:rsidR="00240717" w:rsidRPr="00296516" w:rsidRDefault="00240717" w:rsidP="00B960B2">
            <w:pPr>
              <w:keepNext/>
              <w:spacing w:after="60" w:line="280" w:lineRule="atLeast"/>
              <w:jc w:val="right"/>
              <w:rPr>
                <w:sz w:val="18"/>
                <w:szCs w:val="18"/>
              </w:rPr>
            </w:pPr>
            <w:r>
              <w:rPr>
                <w:sz w:val="18"/>
                <w:szCs w:val="18"/>
              </w:rPr>
              <w:t>28 040</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50" w:name="_Toc432516856"/>
            <w:bookmarkStart w:id="151" w:name="_Toc432517277"/>
            <w:r>
              <w:rPr>
                <w:sz w:val="18"/>
                <w:szCs w:val="18"/>
              </w:rPr>
              <w:t>Service Fees</w:t>
            </w:r>
            <w:bookmarkEnd w:id="150"/>
            <w:bookmarkEnd w:id="151"/>
          </w:p>
        </w:tc>
        <w:tc>
          <w:tcPr>
            <w:tcW w:w="2693" w:type="dxa"/>
          </w:tcPr>
          <w:p w:rsidR="00240717" w:rsidRDefault="00240717" w:rsidP="00B960B2">
            <w:pPr>
              <w:keepNext/>
              <w:spacing w:after="60" w:line="280" w:lineRule="atLeast"/>
              <w:jc w:val="right"/>
              <w:rPr>
                <w:sz w:val="18"/>
                <w:szCs w:val="18"/>
              </w:rPr>
            </w:pPr>
            <w:r>
              <w:rPr>
                <w:sz w:val="18"/>
                <w:szCs w:val="18"/>
              </w:rPr>
              <w:t>3 828</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52" w:name="_Toc432516857"/>
            <w:bookmarkStart w:id="153" w:name="_Toc432517278"/>
            <w:r w:rsidRPr="00296516">
              <w:rPr>
                <w:sz w:val="18"/>
                <w:szCs w:val="18"/>
              </w:rPr>
              <w:t>Other supplies and consumables</w:t>
            </w:r>
            <w:bookmarkEnd w:id="152"/>
            <w:bookmarkEnd w:id="153"/>
          </w:p>
        </w:tc>
        <w:tc>
          <w:tcPr>
            <w:tcW w:w="2693" w:type="dxa"/>
          </w:tcPr>
          <w:p w:rsidR="00240717" w:rsidRPr="00296516" w:rsidRDefault="00240717" w:rsidP="00B960B2">
            <w:pPr>
              <w:keepNext/>
              <w:spacing w:after="60" w:line="280" w:lineRule="atLeast"/>
              <w:jc w:val="right"/>
              <w:rPr>
                <w:sz w:val="18"/>
                <w:szCs w:val="18"/>
              </w:rPr>
            </w:pPr>
            <w:r>
              <w:rPr>
                <w:sz w:val="18"/>
                <w:szCs w:val="18"/>
              </w:rPr>
              <w:t>7 738</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54" w:name="_Toc432516858"/>
            <w:bookmarkStart w:id="155" w:name="_Toc432517279"/>
            <w:r w:rsidRPr="00296516">
              <w:rPr>
                <w:sz w:val="18"/>
                <w:szCs w:val="18"/>
              </w:rPr>
              <w:t>Grants and subsidies</w:t>
            </w:r>
            <w:bookmarkEnd w:id="154"/>
            <w:bookmarkEnd w:id="155"/>
          </w:p>
        </w:tc>
        <w:tc>
          <w:tcPr>
            <w:tcW w:w="2693" w:type="dxa"/>
          </w:tcPr>
          <w:p w:rsidR="00240717" w:rsidRPr="00296516" w:rsidRDefault="00240717" w:rsidP="00B960B2">
            <w:pPr>
              <w:keepNext/>
              <w:spacing w:after="60" w:line="280" w:lineRule="atLeast"/>
              <w:jc w:val="right"/>
              <w:rPr>
                <w:sz w:val="18"/>
                <w:szCs w:val="18"/>
              </w:rPr>
            </w:pPr>
            <w:r>
              <w:rPr>
                <w:sz w:val="18"/>
                <w:szCs w:val="18"/>
              </w:rPr>
              <w:t>1 060 488</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56" w:name="_Toc432516859"/>
            <w:bookmarkStart w:id="157" w:name="_Toc432517280"/>
            <w:r w:rsidRPr="00296516">
              <w:rPr>
                <w:sz w:val="18"/>
                <w:szCs w:val="18"/>
              </w:rPr>
              <w:t>Finance costs</w:t>
            </w:r>
            <w:bookmarkEnd w:id="156"/>
            <w:bookmarkEnd w:id="157"/>
          </w:p>
        </w:tc>
        <w:tc>
          <w:tcPr>
            <w:tcW w:w="2693" w:type="dxa"/>
          </w:tcPr>
          <w:p w:rsidR="00240717" w:rsidRPr="00296516" w:rsidRDefault="00240717" w:rsidP="00B960B2">
            <w:pPr>
              <w:keepNext/>
              <w:spacing w:after="60" w:line="280" w:lineRule="atLeast"/>
              <w:jc w:val="right"/>
              <w:rPr>
                <w:sz w:val="18"/>
                <w:szCs w:val="18"/>
              </w:rPr>
            </w:pPr>
            <w:r>
              <w:rPr>
                <w:sz w:val="18"/>
                <w:szCs w:val="18"/>
              </w:rPr>
              <w:t>9 317</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sz w:val="18"/>
                <w:szCs w:val="18"/>
              </w:rPr>
            </w:pPr>
            <w:bookmarkStart w:id="158" w:name="_Toc432516860"/>
            <w:bookmarkStart w:id="159" w:name="_Toc432517281"/>
            <w:r w:rsidRPr="00296516">
              <w:rPr>
                <w:sz w:val="18"/>
                <w:szCs w:val="18"/>
              </w:rPr>
              <w:t>Other expenses</w:t>
            </w:r>
            <w:bookmarkEnd w:id="158"/>
            <w:bookmarkEnd w:id="159"/>
          </w:p>
        </w:tc>
        <w:tc>
          <w:tcPr>
            <w:tcW w:w="2693" w:type="dxa"/>
          </w:tcPr>
          <w:p w:rsidR="00240717" w:rsidRPr="00296516" w:rsidRDefault="00240717" w:rsidP="00B960B2">
            <w:pPr>
              <w:keepNext/>
              <w:spacing w:after="60" w:line="280" w:lineRule="atLeast"/>
              <w:jc w:val="right"/>
              <w:rPr>
                <w:sz w:val="18"/>
                <w:szCs w:val="18"/>
              </w:rPr>
            </w:pPr>
            <w:r>
              <w:rPr>
                <w:sz w:val="18"/>
                <w:szCs w:val="18"/>
              </w:rPr>
              <w:t>5 843</w:t>
            </w:r>
          </w:p>
        </w:tc>
      </w:tr>
      <w:tr w:rsidR="00240717" w:rsidRPr="00296516" w:rsidTr="00B960B2">
        <w:tc>
          <w:tcPr>
            <w:tcW w:w="6946" w:type="dxa"/>
            <w:vAlign w:val="center"/>
          </w:tcPr>
          <w:p w:rsidR="00240717" w:rsidRPr="00296516" w:rsidRDefault="00240717" w:rsidP="00B960B2">
            <w:pPr>
              <w:keepNext/>
              <w:spacing w:after="60" w:line="280" w:lineRule="atLeast"/>
              <w:ind w:left="-108"/>
              <w:outlineLvl w:val="0"/>
              <w:rPr>
                <w:b/>
                <w:sz w:val="18"/>
                <w:szCs w:val="18"/>
              </w:rPr>
            </w:pPr>
            <w:bookmarkStart w:id="160" w:name="_Toc432516861"/>
            <w:bookmarkStart w:id="161" w:name="_Toc432517282"/>
            <w:r w:rsidRPr="00296516">
              <w:rPr>
                <w:b/>
                <w:sz w:val="18"/>
                <w:szCs w:val="18"/>
              </w:rPr>
              <w:t>Total</w:t>
            </w:r>
            <w:bookmarkEnd w:id="160"/>
            <w:bookmarkEnd w:id="161"/>
          </w:p>
        </w:tc>
        <w:tc>
          <w:tcPr>
            <w:tcW w:w="2693" w:type="dxa"/>
          </w:tcPr>
          <w:p w:rsidR="00240717" w:rsidRPr="00296516" w:rsidRDefault="00240717" w:rsidP="00B960B2">
            <w:pPr>
              <w:keepNext/>
              <w:spacing w:after="60" w:line="280" w:lineRule="atLeast"/>
              <w:jc w:val="right"/>
              <w:rPr>
                <w:b/>
                <w:sz w:val="18"/>
                <w:szCs w:val="18"/>
              </w:rPr>
            </w:pPr>
            <w:r>
              <w:rPr>
                <w:b/>
                <w:sz w:val="18"/>
                <w:szCs w:val="18"/>
              </w:rPr>
              <w:t>1 422 729</w:t>
            </w:r>
          </w:p>
        </w:tc>
      </w:tr>
    </w:tbl>
    <w:p w:rsidR="00240717" w:rsidRDefault="00240717" w:rsidP="00240717">
      <w:pPr>
        <w:pStyle w:val="Heading2"/>
      </w:pPr>
    </w:p>
    <w:p w:rsidR="00240717" w:rsidRDefault="00240717" w:rsidP="00240717">
      <w:pPr>
        <w:pStyle w:val="Heading2"/>
      </w:pPr>
      <w:r>
        <w:br w:type="page"/>
      </w:r>
      <w:r>
        <w:lastRenderedPageBreak/>
        <w:t>Revenue</w:t>
      </w:r>
    </w:p>
    <w:p w:rsidR="00240717" w:rsidRDefault="00240717" w:rsidP="00240717">
      <w:pPr>
        <w:keepNext/>
        <w:outlineLvl w:val="0"/>
      </w:pPr>
      <w:bookmarkStart w:id="162" w:name="_Toc432516862"/>
      <w:bookmarkStart w:id="163" w:name="_Toc432517283"/>
      <w:r w:rsidRPr="00155B09">
        <w:t>Department of Health</w:t>
      </w:r>
      <w:r>
        <w:t xml:space="preserve"> and Human Services Revenue 2014-15 by Major Category</w:t>
      </w:r>
      <w:bookmarkEnd w:id="162"/>
      <w:bookmarkEnd w:id="163"/>
    </w:p>
    <w:tbl>
      <w:tblPr>
        <w:tblW w:w="9639" w:type="dxa"/>
        <w:tblInd w:w="108" w:type="dxa"/>
        <w:tblBorders>
          <w:top w:val="single" w:sz="2" w:space="0" w:color="808080"/>
          <w:insideH w:val="single" w:sz="2" w:space="0" w:color="808080"/>
        </w:tblBorders>
        <w:tblLayout w:type="fixed"/>
        <w:tblLook w:val="04A0" w:firstRow="1" w:lastRow="0" w:firstColumn="1" w:lastColumn="0" w:noHBand="0" w:noVBand="1"/>
      </w:tblPr>
      <w:tblGrid>
        <w:gridCol w:w="6946"/>
        <w:gridCol w:w="2693"/>
      </w:tblGrid>
      <w:tr w:rsidR="00240717" w:rsidRPr="00296516" w:rsidTr="00B960B2">
        <w:tc>
          <w:tcPr>
            <w:tcW w:w="6946" w:type="dxa"/>
            <w:shd w:val="clear" w:color="auto" w:fill="auto"/>
          </w:tcPr>
          <w:p w:rsidR="00240717" w:rsidRPr="00296516" w:rsidRDefault="00240717" w:rsidP="00B960B2">
            <w:pPr>
              <w:keepNext/>
              <w:spacing w:after="60" w:line="280" w:lineRule="atLeast"/>
              <w:rPr>
                <w:b/>
                <w:sz w:val="18"/>
                <w:szCs w:val="18"/>
              </w:rPr>
            </w:pPr>
            <w:r w:rsidRPr="00296516">
              <w:rPr>
                <w:b/>
                <w:sz w:val="18"/>
                <w:szCs w:val="18"/>
              </w:rPr>
              <w:t>Revenue</w:t>
            </w:r>
          </w:p>
        </w:tc>
        <w:tc>
          <w:tcPr>
            <w:tcW w:w="2693" w:type="dxa"/>
            <w:shd w:val="clear" w:color="auto" w:fill="auto"/>
            <w:vAlign w:val="center"/>
          </w:tcPr>
          <w:p w:rsidR="00240717" w:rsidRPr="00296516" w:rsidRDefault="00240717" w:rsidP="00B960B2">
            <w:pPr>
              <w:keepNext/>
              <w:spacing w:after="60" w:line="280" w:lineRule="atLeast"/>
              <w:jc w:val="right"/>
              <w:rPr>
                <w:b/>
                <w:sz w:val="18"/>
                <w:szCs w:val="18"/>
              </w:rPr>
            </w:pPr>
            <w:r>
              <w:rPr>
                <w:b/>
                <w:sz w:val="18"/>
                <w:szCs w:val="18"/>
              </w:rPr>
              <w:t>2014-15</w:t>
            </w:r>
          </w:p>
          <w:p w:rsidR="00240717" w:rsidRPr="00296516" w:rsidRDefault="00240717" w:rsidP="00B960B2">
            <w:pPr>
              <w:keepNext/>
              <w:spacing w:after="60" w:line="280" w:lineRule="atLeast"/>
              <w:jc w:val="right"/>
              <w:rPr>
                <w:b/>
                <w:sz w:val="18"/>
                <w:szCs w:val="18"/>
              </w:rPr>
            </w:pPr>
            <w:r w:rsidRPr="00296516">
              <w:rPr>
                <w:b/>
                <w:sz w:val="18"/>
                <w:szCs w:val="18"/>
              </w:rPr>
              <w:t>$ ‘000</w:t>
            </w:r>
          </w:p>
        </w:tc>
      </w:tr>
      <w:tr w:rsidR="00240717" w:rsidRPr="00296516" w:rsidTr="00B960B2">
        <w:tc>
          <w:tcPr>
            <w:tcW w:w="6946" w:type="dxa"/>
            <w:vAlign w:val="center"/>
          </w:tcPr>
          <w:p w:rsidR="00240717" w:rsidRPr="00296516" w:rsidRDefault="00240717" w:rsidP="00B960B2">
            <w:pPr>
              <w:keepNext/>
              <w:spacing w:after="60" w:line="280" w:lineRule="atLeast"/>
              <w:outlineLvl w:val="0"/>
              <w:rPr>
                <w:sz w:val="18"/>
                <w:szCs w:val="18"/>
              </w:rPr>
            </w:pPr>
            <w:bookmarkStart w:id="164" w:name="_Toc432516863"/>
            <w:bookmarkStart w:id="165" w:name="_Toc432517284"/>
            <w:r>
              <w:rPr>
                <w:sz w:val="18"/>
                <w:szCs w:val="18"/>
              </w:rPr>
              <w:t>Revenue from Government</w:t>
            </w:r>
            <w:bookmarkEnd w:id="164"/>
            <w:bookmarkEnd w:id="165"/>
          </w:p>
        </w:tc>
        <w:tc>
          <w:tcPr>
            <w:tcW w:w="2693" w:type="dxa"/>
          </w:tcPr>
          <w:p w:rsidR="00240717" w:rsidRPr="00296516" w:rsidRDefault="00240717" w:rsidP="00B960B2">
            <w:pPr>
              <w:keepNext/>
              <w:spacing w:after="60" w:line="280" w:lineRule="atLeast"/>
              <w:jc w:val="right"/>
              <w:rPr>
                <w:rFonts w:cs="Arial"/>
                <w:color w:val="000000"/>
                <w:sz w:val="18"/>
                <w:szCs w:val="18"/>
              </w:rPr>
            </w:pPr>
            <w:r>
              <w:rPr>
                <w:rFonts w:cs="Arial"/>
                <w:color w:val="000000"/>
                <w:sz w:val="18"/>
                <w:szCs w:val="18"/>
              </w:rPr>
              <w:t>1 140 303</w:t>
            </w:r>
          </w:p>
        </w:tc>
      </w:tr>
      <w:tr w:rsidR="00240717" w:rsidRPr="00296516" w:rsidTr="00B960B2">
        <w:tc>
          <w:tcPr>
            <w:tcW w:w="6946" w:type="dxa"/>
            <w:vAlign w:val="center"/>
          </w:tcPr>
          <w:p w:rsidR="00240717" w:rsidRPr="00296516" w:rsidRDefault="00240717" w:rsidP="00B960B2">
            <w:pPr>
              <w:keepNext/>
              <w:spacing w:after="60" w:line="280" w:lineRule="atLeast"/>
              <w:outlineLvl w:val="0"/>
              <w:rPr>
                <w:sz w:val="18"/>
                <w:szCs w:val="18"/>
              </w:rPr>
            </w:pPr>
            <w:bookmarkStart w:id="166" w:name="_Toc432516864"/>
            <w:bookmarkStart w:id="167" w:name="_Toc432517285"/>
            <w:r w:rsidRPr="00296516">
              <w:rPr>
                <w:sz w:val="18"/>
                <w:szCs w:val="18"/>
              </w:rPr>
              <w:t>Revenue from Special Capital Investment Funds</w:t>
            </w:r>
            <w:bookmarkEnd w:id="166"/>
            <w:bookmarkEnd w:id="167"/>
          </w:p>
        </w:tc>
        <w:tc>
          <w:tcPr>
            <w:tcW w:w="2693" w:type="dxa"/>
          </w:tcPr>
          <w:p w:rsidR="00240717" w:rsidRPr="00296516" w:rsidRDefault="00240717" w:rsidP="00B960B2">
            <w:pPr>
              <w:keepNext/>
              <w:spacing w:after="60" w:line="280" w:lineRule="atLeast"/>
              <w:jc w:val="right"/>
              <w:rPr>
                <w:sz w:val="18"/>
                <w:szCs w:val="18"/>
              </w:rPr>
            </w:pPr>
            <w:r>
              <w:rPr>
                <w:sz w:val="18"/>
                <w:szCs w:val="18"/>
              </w:rPr>
              <w:t>9 046</w:t>
            </w:r>
          </w:p>
        </w:tc>
      </w:tr>
      <w:tr w:rsidR="00240717" w:rsidRPr="00296516" w:rsidTr="00B960B2">
        <w:tc>
          <w:tcPr>
            <w:tcW w:w="6946" w:type="dxa"/>
            <w:vAlign w:val="center"/>
          </w:tcPr>
          <w:p w:rsidR="00240717" w:rsidRPr="00296516" w:rsidRDefault="00240717" w:rsidP="00B960B2">
            <w:pPr>
              <w:keepNext/>
              <w:spacing w:after="60" w:line="280" w:lineRule="atLeast"/>
              <w:outlineLvl w:val="0"/>
              <w:rPr>
                <w:sz w:val="18"/>
                <w:szCs w:val="18"/>
              </w:rPr>
            </w:pPr>
            <w:bookmarkStart w:id="168" w:name="_Toc432516865"/>
            <w:bookmarkStart w:id="169" w:name="_Toc432517286"/>
            <w:r w:rsidRPr="00296516">
              <w:rPr>
                <w:sz w:val="18"/>
                <w:szCs w:val="18"/>
              </w:rPr>
              <w:t>Grants</w:t>
            </w:r>
            <w:bookmarkEnd w:id="168"/>
            <w:bookmarkEnd w:id="169"/>
          </w:p>
        </w:tc>
        <w:tc>
          <w:tcPr>
            <w:tcW w:w="2693" w:type="dxa"/>
          </w:tcPr>
          <w:p w:rsidR="00240717" w:rsidRPr="00296516" w:rsidRDefault="00240717" w:rsidP="00B960B2">
            <w:pPr>
              <w:keepNext/>
              <w:spacing w:after="60" w:line="280" w:lineRule="atLeast"/>
              <w:jc w:val="right"/>
              <w:rPr>
                <w:sz w:val="18"/>
                <w:szCs w:val="18"/>
              </w:rPr>
            </w:pPr>
            <w:r>
              <w:rPr>
                <w:sz w:val="18"/>
                <w:szCs w:val="18"/>
              </w:rPr>
              <w:t>68 616</w:t>
            </w:r>
          </w:p>
        </w:tc>
      </w:tr>
      <w:tr w:rsidR="00240717" w:rsidRPr="00296516" w:rsidTr="00B960B2">
        <w:tc>
          <w:tcPr>
            <w:tcW w:w="6946" w:type="dxa"/>
            <w:vAlign w:val="center"/>
          </w:tcPr>
          <w:p w:rsidR="00240717" w:rsidRPr="00296516" w:rsidRDefault="00240717" w:rsidP="00B960B2">
            <w:pPr>
              <w:keepNext/>
              <w:spacing w:after="60" w:line="280" w:lineRule="atLeast"/>
              <w:outlineLvl w:val="0"/>
              <w:rPr>
                <w:sz w:val="18"/>
                <w:szCs w:val="18"/>
              </w:rPr>
            </w:pPr>
            <w:bookmarkStart w:id="170" w:name="_Toc432516866"/>
            <w:bookmarkStart w:id="171" w:name="_Toc432517287"/>
            <w:r w:rsidRPr="00296516">
              <w:rPr>
                <w:sz w:val="18"/>
                <w:szCs w:val="18"/>
              </w:rPr>
              <w:t>Sales of goods and services</w:t>
            </w:r>
            <w:bookmarkEnd w:id="170"/>
            <w:bookmarkEnd w:id="171"/>
          </w:p>
        </w:tc>
        <w:tc>
          <w:tcPr>
            <w:tcW w:w="2693" w:type="dxa"/>
          </w:tcPr>
          <w:p w:rsidR="00240717" w:rsidRPr="00296516" w:rsidRDefault="00240717" w:rsidP="00B960B2">
            <w:pPr>
              <w:keepNext/>
              <w:spacing w:after="60" w:line="280" w:lineRule="atLeast"/>
              <w:jc w:val="right"/>
              <w:rPr>
                <w:sz w:val="18"/>
                <w:szCs w:val="18"/>
              </w:rPr>
            </w:pPr>
            <w:r>
              <w:rPr>
                <w:sz w:val="18"/>
                <w:szCs w:val="18"/>
              </w:rPr>
              <w:t>80 047</w:t>
            </w:r>
          </w:p>
        </w:tc>
      </w:tr>
      <w:tr w:rsidR="00240717" w:rsidRPr="00296516" w:rsidTr="00B960B2">
        <w:tc>
          <w:tcPr>
            <w:tcW w:w="6946" w:type="dxa"/>
            <w:vAlign w:val="center"/>
          </w:tcPr>
          <w:p w:rsidR="00240717" w:rsidRPr="00296516" w:rsidRDefault="00240717" w:rsidP="00B960B2">
            <w:pPr>
              <w:keepNext/>
              <w:spacing w:after="60" w:line="280" w:lineRule="atLeast"/>
              <w:outlineLvl w:val="0"/>
              <w:rPr>
                <w:sz w:val="18"/>
                <w:szCs w:val="18"/>
              </w:rPr>
            </w:pPr>
            <w:bookmarkStart w:id="172" w:name="_Toc432516867"/>
            <w:bookmarkStart w:id="173" w:name="_Toc432517288"/>
            <w:r w:rsidRPr="00296516">
              <w:rPr>
                <w:sz w:val="18"/>
                <w:szCs w:val="18"/>
              </w:rPr>
              <w:t>Interest</w:t>
            </w:r>
            <w:bookmarkEnd w:id="172"/>
            <w:bookmarkEnd w:id="173"/>
          </w:p>
        </w:tc>
        <w:tc>
          <w:tcPr>
            <w:tcW w:w="2693" w:type="dxa"/>
          </w:tcPr>
          <w:p w:rsidR="00240717" w:rsidRPr="00296516" w:rsidRDefault="00240717" w:rsidP="00B960B2">
            <w:pPr>
              <w:keepNext/>
              <w:spacing w:after="60" w:line="280" w:lineRule="atLeast"/>
              <w:jc w:val="right"/>
              <w:rPr>
                <w:sz w:val="18"/>
                <w:szCs w:val="18"/>
              </w:rPr>
            </w:pPr>
            <w:r w:rsidRPr="00296516">
              <w:rPr>
                <w:sz w:val="18"/>
                <w:szCs w:val="18"/>
              </w:rPr>
              <w:t>148</w:t>
            </w:r>
          </w:p>
        </w:tc>
      </w:tr>
      <w:tr w:rsidR="00240717" w:rsidRPr="00296516" w:rsidTr="00B960B2">
        <w:tc>
          <w:tcPr>
            <w:tcW w:w="6946" w:type="dxa"/>
            <w:vAlign w:val="center"/>
          </w:tcPr>
          <w:p w:rsidR="00240717" w:rsidRPr="00296516" w:rsidRDefault="00240717" w:rsidP="00B960B2">
            <w:pPr>
              <w:keepNext/>
              <w:spacing w:after="60" w:line="280" w:lineRule="atLeast"/>
              <w:outlineLvl w:val="0"/>
              <w:rPr>
                <w:sz w:val="18"/>
                <w:szCs w:val="18"/>
              </w:rPr>
            </w:pPr>
            <w:bookmarkStart w:id="174" w:name="_Toc432516868"/>
            <w:bookmarkStart w:id="175" w:name="_Toc432517289"/>
            <w:r w:rsidRPr="00296516">
              <w:rPr>
                <w:sz w:val="18"/>
                <w:szCs w:val="18"/>
              </w:rPr>
              <w:t>Contributions received</w:t>
            </w:r>
            <w:bookmarkEnd w:id="174"/>
            <w:bookmarkEnd w:id="175"/>
          </w:p>
        </w:tc>
        <w:tc>
          <w:tcPr>
            <w:tcW w:w="2693" w:type="dxa"/>
          </w:tcPr>
          <w:p w:rsidR="00240717" w:rsidRPr="00296516" w:rsidRDefault="00240717" w:rsidP="00B960B2">
            <w:pPr>
              <w:keepNext/>
              <w:spacing w:after="60" w:line="280" w:lineRule="atLeast"/>
              <w:jc w:val="right"/>
              <w:rPr>
                <w:sz w:val="18"/>
                <w:szCs w:val="18"/>
              </w:rPr>
            </w:pPr>
            <w:r>
              <w:rPr>
                <w:sz w:val="18"/>
                <w:szCs w:val="18"/>
              </w:rPr>
              <w:t>0</w:t>
            </w:r>
          </w:p>
        </w:tc>
      </w:tr>
      <w:tr w:rsidR="00240717" w:rsidRPr="00296516" w:rsidTr="00B960B2">
        <w:tc>
          <w:tcPr>
            <w:tcW w:w="6946" w:type="dxa"/>
            <w:vAlign w:val="center"/>
          </w:tcPr>
          <w:p w:rsidR="00240717" w:rsidRPr="00296516" w:rsidRDefault="00240717" w:rsidP="00B960B2">
            <w:pPr>
              <w:keepNext/>
              <w:spacing w:after="60" w:line="280" w:lineRule="atLeast"/>
              <w:outlineLvl w:val="0"/>
              <w:rPr>
                <w:sz w:val="18"/>
                <w:szCs w:val="18"/>
              </w:rPr>
            </w:pPr>
            <w:bookmarkStart w:id="176" w:name="_Toc432516869"/>
            <w:bookmarkStart w:id="177" w:name="_Toc432517290"/>
            <w:r w:rsidRPr="00296516">
              <w:rPr>
                <w:sz w:val="18"/>
                <w:szCs w:val="18"/>
              </w:rPr>
              <w:t>Other revenue</w:t>
            </w:r>
            <w:bookmarkEnd w:id="176"/>
            <w:bookmarkEnd w:id="177"/>
          </w:p>
        </w:tc>
        <w:tc>
          <w:tcPr>
            <w:tcW w:w="2693" w:type="dxa"/>
          </w:tcPr>
          <w:p w:rsidR="00240717" w:rsidRPr="00296516" w:rsidRDefault="00240717" w:rsidP="00B960B2">
            <w:pPr>
              <w:keepNext/>
              <w:spacing w:after="60" w:line="280" w:lineRule="atLeast"/>
              <w:jc w:val="right"/>
              <w:rPr>
                <w:sz w:val="18"/>
                <w:szCs w:val="18"/>
              </w:rPr>
            </w:pPr>
            <w:r>
              <w:rPr>
                <w:sz w:val="18"/>
                <w:szCs w:val="18"/>
              </w:rPr>
              <w:t>19 481</w:t>
            </w:r>
          </w:p>
        </w:tc>
      </w:tr>
      <w:tr w:rsidR="00240717" w:rsidRPr="00296516" w:rsidTr="00B960B2">
        <w:tc>
          <w:tcPr>
            <w:tcW w:w="6946" w:type="dxa"/>
            <w:vAlign w:val="center"/>
          </w:tcPr>
          <w:p w:rsidR="00240717" w:rsidRPr="00296516" w:rsidRDefault="00240717" w:rsidP="00B960B2">
            <w:pPr>
              <w:keepNext/>
              <w:spacing w:after="60" w:line="280" w:lineRule="atLeast"/>
              <w:outlineLvl w:val="0"/>
              <w:rPr>
                <w:b/>
                <w:sz w:val="18"/>
                <w:szCs w:val="18"/>
              </w:rPr>
            </w:pPr>
            <w:bookmarkStart w:id="178" w:name="_Toc432516870"/>
            <w:bookmarkStart w:id="179" w:name="_Toc432517291"/>
            <w:r w:rsidRPr="00296516">
              <w:rPr>
                <w:b/>
                <w:sz w:val="18"/>
                <w:szCs w:val="18"/>
              </w:rPr>
              <w:t>Total revenue and other income from transactions</w:t>
            </w:r>
            <w:bookmarkEnd w:id="178"/>
            <w:bookmarkEnd w:id="179"/>
          </w:p>
        </w:tc>
        <w:tc>
          <w:tcPr>
            <w:tcW w:w="2693" w:type="dxa"/>
          </w:tcPr>
          <w:p w:rsidR="00240717" w:rsidRPr="00296516" w:rsidRDefault="00240717" w:rsidP="00B960B2">
            <w:pPr>
              <w:keepNext/>
              <w:spacing w:after="60" w:line="280" w:lineRule="atLeast"/>
              <w:jc w:val="right"/>
              <w:rPr>
                <w:b/>
                <w:sz w:val="18"/>
                <w:szCs w:val="18"/>
              </w:rPr>
            </w:pPr>
            <w:r>
              <w:rPr>
                <w:b/>
                <w:sz w:val="18"/>
                <w:szCs w:val="18"/>
              </w:rPr>
              <w:t>1 317 641</w:t>
            </w:r>
          </w:p>
        </w:tc>
      </w:tr>
      <w:tr w:rsidR="00240717" w:rsidRPr="00296516" w:rsidTr="00B960B2">
        <w:tc>
          <w:tcPr>
            <w:tcW w:w="9639" w:type="dxa"/>
            <w:gridSpan w:val="2"/>
            <w:vAlign w:val="center"/>
          </w:tcPr>
          <w:p w:rsidR="00240717" w:rsidRPr="00296516" w:rsidRDefault="00240717" w:rsidP="00F7564F">
            <w:pPr>
              <w:keepNext/>
              <w:spacing w:after="60" w:line="280" w:lineRule="atLeast"/>
              <w:outlineLvl w:val="0"/>
              <w:rPr>
                <w:b/>
                <w:sz w:val="18"/>
                <w:szCs w:val="18"/>
              </w:rPr>
            </w:pPr>
            <w:bookmarkStart w:id="180" w:name="_Toc432516871"/>
            <w:bookmarkStart w:id="181" w:name="_Toc432517292"/>
            <w:r w:rsidRPr="00296516">
              <w:rPr>
                <w:sz w:val="18"/>
                <w:szCs w:val="18"/>
              </w:rPr>
              <w:t xml:space="preserve">Note: Sale of goods and services includes </w:t>
            </w:r>
            <w:r>
              <w:rPr>
                <w:sz w:val="18"/>
                <w:szCs w:val="18"/>
              </w:rPr>
              <w:t>r</w:t>
            </w:r>
            <w:r w:rsidRPr="00296516">
              <w:rPr>
                <w:sz w:val="18"/>
                <w:szCs w:val="18"/>
              </w:rPr>
              <w:t xml:space="preserve">esidential </w:t>
            </w:r>
            <w:r>
              <w:rPr>
                <w:sz w:val="18"/>
                <w:szCs w:val="18"/>
              </w:rPr>
              <w:t>r</w:t>
            </w:r>
            <w:r w:rsidRPr="00296516">
              <w:rPr>
                <w:sz w:val="18"/>
                <w:szCs w:val="18"/>
              </w:rPr>
              <w:t xml:space="preserve">ental, </w:t>
            </w:r>
            <w:r>
              <w:rPr>
                <w:sz w:val="18"/>
                <w:szCs w:val="18"/>
              </w:rPr>
              <w:t>i</w:t>
            </w:r>
            <w:r w:rsidRPr="00296516">
              <w:rPr>
                <w:sz w:val="18"/>
                <w:szCs w:val="18"/>
              </w:rPr>
              <w:t>nterstate charging, Ambulance Fees</w:t>
            </w:r>
            <w:r w:rsidR="00F7564F">
              <w:rPr>
                <w:sz w:val="18"/>
                <w:szCs w:val="18"/>
              </w:rPr>
              <w:t xml:space="preserve"> and Compensable Fees for Motor </w:t>
            </w:r>
            <w:r w:rsidRPr="00296516">
              <w:rPr>
                <w:sz w:val="18"/>
                <w:szCs w:val="18"/>
              </w:rPr>
              <w:t>Vehicle Accidents.</w:t>
            </w:r>
            <w:bookmarkEnd w:id="180"/>
            <w:bookmarkEnd w:id="181"/>
          </w:p>
        </w:tc>
      </w:tr>
    </w:tbl>
    <w:p w:rsidR="00240717" w:rsidRDefault="00240717" w:rsidP="00240717">
      <w:pPr>
        <w:pStyle w:val="Heading2"/>
      </w:pPr>
      <w:r>
        <w:t>Net Assets</w:t>
      </w:r>
    </w:p>
    <w:p w:rsidR="00240717" w:rsidRPr="00F61608" w:rsidRDefault="00240717" w:rsidP="00240717">
      <w:pPr>
        <w:outlineLvl w:val="0"/>
      </w:pPr>
      <w:bookmarkStart w:id="182" w:name="_Toc432516872"/>
      <w:bookmarkStart w:id="183" w:name="_Toc432517293"/>
      <w:r>
        <w:t>Net Assets of $1.500</w:t>
      </w:r>
      <w:r w:rsidRPr="00F61608">
        <w:t xml:space="preserve"> billion is made up of:</w:t>
      </w:r>
      <w:bookmarkEnd w:id="182"/>
      <w:bookmarkEnd w:id="183"/>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Pr>
      <w:tblGrid>
        <w:gridCol w:w="2552"/>
        <w:gridCol w:w="7087"/>
      </w:tblGrid>
      <w:tr w:rsidR="00240717" w:rsidRPr="00296516" w:rsidTr="00B960B2">
        <w:tc>
          <w:tcPr>
            <w:tcW w:w="2552" w:type="dxa"/>
            <w:shd w:val="clear" w:color="auto" w:fill="auto"/>
          </w:tcPr>
          <w:p w:rsidR="00240717" w:rsidRPr="00296516" w:rsidRDefault="00240717" w:rsidP="00B960B2">
            <w:pPr>
              <w:keepNext/>
              <w:spacing w:after="60" w:line="280" w:lineRule="atLeast"/>
              <w:rPr>
                <w:b/>
                <w:sz w:val="18"/>
                <w:szCs w:val="18"/>
              </w:rPr>
            </w:pPr>
            <w:r w:rsidRPr="00296516">
              <w:rPr>
                <w:b/>
                <w:sz w:val="18"/>
                <w:szCs w:val="18"/>
              </w:rPr>
              <w:t>Net Assets</w:t>
            </w:r>
          </w:p>
        </w:tc>
        <w:tc>
          <w:tcPr>
            <w:tcW w:w="7087" w:type="dxa"/>
            <w:shd w:val="clear" w:color="auto" w:fill="auto"/>
            <w:vAlign w:val="center"/>
          </w:tcPr>
          <w:p w:rsidR="00240717" w:rsidRPr="00296516" w:rsidRDefault="00240717" w:rsidP="00B960B2">
            <w:pPr>
              <w:keepNext/>
              <w:spacing w:after="60" w:line="280" w:lineRule="atLeast"/>
              <w:jc w:val="right"/>
              <w:rPr>
                <w:b/>
                <w:sz w:val="18"/>
                <w:szCs w:val="18"/>
              </w:rPr>
            </w:pPr>
            <w:r>
              <w:rPr>
                <w:b/>
                <w:sz w:val="18"/>
                <w:szCs w:val="18"/>
              </w:rPr>
              <w:t>2014-15</w:t>
            </w:r>
          </w:p>
          <w:p w:rsidR="00240717" w:rsidRPr="00296516" w:rsidRDefault="00240717" w:rsidP="00B960B2">
            <w:pPr>
              <w:keepNext/>
              <w:spacing w:after="60" w:line="280" w:lineRule="atLeast"/>
              <w:jc w:val="right"/>
              <w:rPr>
                <w:b/>
                <w:sz w:val="18"/>
                <w:szCs w:val="18"/>
              </w:rPr>
            </w:pPr>
            <w:r w:rsidRPr="00296516">
              <w:rPr>
                <w:b/>
                <w:sz w:val="18"/>
                <w:szCs w:val="18"/>
              </w:rPr>
              <w:t>$ ‘000</w:t>
            </w:r>
          </w:p>
        </w:tc>
      </w:tr>
      <w:tr w:rsidR="00240717" w:rsidRPr="00296516" w:rsidTr="00B960B2">
        <w:tc>
          <w:tcPr>
            <w:tcW w:w="2552" w:type="dxa"/>
            <w:vAlign w:val="center"/>
          </w:tcPr>
          <w:p w:rsidR="00240717" w:rsidRPr="00296516" w:rsidRDefault="00240717" w:rsidP="00B960B2">
            <w:pPr>
              <w:keepNext/>
              <w:spacing w:after="60" w:line="280" w:lineRule="atLeast"/>
              <w:outlineLvl w:val="0"/>
              <w:rPr>
                <w:sz w:val="18"/>
                <w:szCs w:val="18"/>
              </w:rPr>
            </w:pPr>
            <w:bookmarkStart w:id="184" w:name="_Toc432516873"/>
            <w:bookmarkStart w:id="185" w:name="_Toc432517294"/>
            <w:r w:rsidRPr="00296516">
              <w:rPr>
                <w:sz w:val="18"/>
                <w:szCs w:val="18"/>
              </w:rPr>
              <w:t>Total Assets</w:t>
            </w:r>
            <w:bookmarkEnd w:id="184"/>
            <w:bookmarkEnd w:id="185"/>
          </w:p>
        </w:tc>
        <w:tc>
          <w:tcPr>
            <w:tcW w:w="7087" w:type="dxa"/>
          </w:tcPr>
          <w:p w:rsidR="00240717" w:rsidRPr="00296516" w:rsidRDefault="00240717" w:rsidP="00B960B2">
            <w:pPr>
              <w:keepNext/>
              <w:spacing w:after="60" w:line="280" w:lineRule="atLeast"/>
              <w:jc w:val="right"/>
              <w:rPr>
                <w:rFonts w:cs="Arial"/>
                <w:color w:val="000000"/>
                <w:sz w:val="18"/>
                <w:szCs w:val="18"/>
              </w:rPr>
            </w:pPr>
            <w:r>
              <w:rPr>
                <w:rFonts w:cs="Arial"/>
                <w:color w:val="000000"/>
                <w:sz w:val="18"/>
                <w:szCs w:val="18"/>
              </w:rPr>
              <w:t>1 785 691</w:t>
            </w:r>
          </w:p>
        </w:tc>
      </w:tr>
      <w:tr w:rsidR="00240717" w:rsidRPr="00296516" w:rsidTr="00B960B2">
        <w:tc>
          <w:tcPr>
            <w:tcW w:w="2552" w:type="dxa"/>
            <w:vAlign w:val="center"/>
          </w:tcPr>
          <w:p w:rsidR="00240717" w:rsidRPr="00296516" w:rsidRDefault="00240717" w:rsidP="00B960B2">
            <w:pPr>
              <w:keepNext/>
              <w:spacing w:after="60" w:line="280" w:lineRule="atLeast"/>
              <w:outlineLvl w:val="0"/>
              <w:rPr>
                <w:sz w:val="18"/>
                <w:szCs w:val="18"/>
              </w:rPr>
            </w:pPr>
            <w:bookmarkStart w:id="186" w:name="_Toc432516874"/>
            <w:bookmarkStart w:id="187" w:name="_Toc432517295"/>
            <w:r w:rsidRPr="00296516">
              <w:rPr>
                <w:sz w:val="18"/>
                <w:szCs w:val="18"/>
              </w:rPr>
              <w:t>Total Liabilities</w:t>
            </w:r>
            <w:bookmarkEnd w:id="186"/>
            <w:bookmarkEnd w:id="187"/>
          </w:p>
        </w:tc>
        <w:tc>
          <w:tcPr>
            <w:tcW w:w="7087" w:type="dxa"/>
          </w:tcPr>
          <w:p w:rsidR="00240717" w:rsidRPr="00296516" w:rsidRDefault="00240717" w:rsidP="00B960B2">
            <w:pPr>
              <w:keepNext/>
              <w:spacing w:after="60" w:line="280" w:lineRule="atLeast"/>
              <w:jc w:val="right"/>
              <w:rPr>
                <w:sz w:val="18"/>
                <w:szCs w:val="18"/>
              </w:rPr>
            </w:pPr>
            <w:r>
              <w:rPr>
                <w:sz w:val="18"/>
                <w:szCs w:val="18"/>
              </w:rPr>
              <w:t>286 112</w:t>
            </w:r>
          </w:p>
        </w:tc>
      </w:tr>
      <w:tr w:rsidR="00240717" w:rsidRPr="00296516" w:rsidTr="00B960B2">
        <w:tc>
          <w:tcPr>
            <w:tcW w:w="2552" w:type="dxa"/>
            <w:vAlign w:val="center"/>
          </w:tcPr>
          <w:p w:rsidR="00240717" w:rsidRPr="00296516" w:rsidRDefault="00240717" w:rsidP="00B960B2">
            <w:pPr>
              <w:keepNext/>
              <w:spacing w:after="60" w:line="280" w:lineRule="atLeast"/>
              <w:outlineLvl w:val="0"/>
              <w:rPr>
                <w:sz w:val="18"/>
                <w:szCs w:val="18"/>
              </w:rPr>
            </w:pPr>
            <w:bookmarkStart w:id="188" w:name="_Toc432516875"/>
            <w:bookmarkStart w:id="189" w:name="_Toc432517296"/>
            <w:r w:rsidRPr="00296516">
              <w:rPr>
                <w:sz w:val="18"/>
                <w:szCs w:val="18"/>
              </w:rPr>
              <w:t>Net Assets</w:t>
            </w:r>
            <w:bookmarkEnd w:id="188"/>
            <w:bookmarkEnd w:id="189"/>
          </w:p>
        </w:tc>
        <w:tc>
          <w:tcPr>
            <w:tcW w:w="7087" w:type="dxa"/>
          </w:tcPr>
          <w:p w:rsidR="00240717" w:rsidRPr="00296516" w:rsidRDefault="00240717" w:rsidP="00B960B2">
            <w:pPr>
              <w:keepNext/>
              <w:spacing w:after="60" w:line="280" w:lineRule="atLeast"/>
              <w:jc w:val="right"/>
              <w:rPr>
                <w:sz w:val="18"/>
                <w:szCs w:val="18"/>
              </w:rPr>
            </w:pPr>
            <w:r>
              <w:rPr>
                <w:sz w:val="18"/>
                <w:szCs w:val="18"/>
              </w:rPr>
              <w:t>1 499 579</w:t>
            </w:r>
          </w:p>
        </w:tc>
      </w:tr>
    </w:tbl>
    <w:p w:rsidR="00240717" w:rsidRPr="00F61608" w:rsidRDefault="00240717" w:rsidP="00240717">
      <w:pPr>
        <w:outlineLvl w:val="0"/>
      </w:pPr>
    </w:p>
    <w:p w:rsidR="0041611F" w:rsidRPr="00F80387" w:rsidRDefault="00240717" w:rsidP="00240717">
      <w:pPr>
        <w:rPr>
          <w:rFonts w:eastAsiaTheme="majorEastAsia" w:cstheme="majorBidi"/>
          <w:sz w:val="40"/>
          <w:szCs w:val="28"/>
        </w:rPr>
      </w:pPr>
      <w:r w:rsidRPr="00F61608">
        <w:t xml:space="preserve">For further financial information on the </w:t>
      </w:r>
      <w:r>
        <w:t>Department’s</w:t>
      </w:r>
      <w:r w:rsidRPr="00F61608">
        <w:t xml:space="preserve"> activities, please refer to the Financial Statements in Part 3 of this Report.</w:t>
      </w:r>
      <w:r w:rsidR="0041611F" w:rsidRPr="00F80387">
        <w:br w:type="page"/>
      </w:r>
    </w:p>
    <w:p w:rsidR="0041611F" w:rsidRPr="00F80387" w:rsidRDefault="0041611F" w:rsidP="00F80387">
      <w:pPr>
        <w:pStyle w:val="Heading1"/>
      </w:pPr>
      <w:bookmarkStart w:id="190" w:name="_Toc432517297"/>
      <w:r w:rsidRPr="00F80387">
        <w:lastRenderedPageBreak/>
        <w:t>Health and Human Services Workforce</w:t>
      </w:r>
      <w:bookmarkEnd w:id="190"/>
    </w:p>
    <w:p w:rsidR="00065E95" w:rsidRPr="00F80387" w:rsidRDefault="00065E95" w:rsidP="00065E95">
      <w:pPr>
        <w:sectPr w:rsidR="00065E95" w:rsidRPr="00F80387" w:rsidSect="00C72D5F">
          <w:headerReference w:type="even" r:id="rId33"/>
          <w:headerReference w:type="default" r:id="rId34"/>
          <w:type w:val="continuous"/>
          <w:pgSz w:w="11906" w:h="16838" w:code="9"/>
          <w:pgMar w:top="907" w:right="1134" w:bottom="720" w:left="1134" w:header="709" w:footer="709" w:gutter="0"/>
          <w:cols w:space="708"/>
          <w:docGrid w:linePitch="360"/>
        </w:sectPr>
      </w:pPr>
    </w:p>
    <w:p w:rsidR="00065E95" w:rsidRPr="00F80387" w:rsidRDefault="004937F7" w:rsidP="0094172F">
      <w:r w:rsidRPr="00F80387">
        <w:lastRenderedPageBreak/>
        <w:t>In 2014-</w:t>
      </w:r>
      <w:r w:rsidR="00065E95" w:rsidRPr="00F80387">
        <w:t>15</w:t>
      </w:r>
      <w:r w:rsidR="00462C65">
        <w:t>,</w:t>
      </w:r>
      <w:r w:rsidR="00065E95" w:rsidRPr="00F80387">
        <w:t xml:space="preserve"> </w:t>
      </w:r>
      <w:r w:rsidR="00810559">
        <w:t xml:space="preserve">DHHS </w:t>
      </w:r>
      <w:r w:rsidR="00065E95" w:rsidRPr="00F80387">
        <w:t>undertook a comprehensive organisational review to clarify and reinforce its role as system manager to make a leaner, more efficient service with an emphasis on reducing duplication.</w:t>
      </w:r>
    </w:p>
    <w:p w:rsidR="00065E95" w:rsidRPr="00F80387" w:rsidRDefault="00065E95" w:rsidP="0094172F">
      <w:r w:rsidRPr="00F80387">
        <w:t>The DHHS Review was conducted concurrently with the One State, One Health System</w:t>
      </w:r>
      <w:r w:rsidR="0094172F" w:rsidRPr="00F80387">
        <w:t>,</w:t>
      </w:r>
      <w:r w:rsidRPr="00F80387">
        <w:t xml:space="preserve"> Better Outcomes </w:t>
      </w:r>
      <w:r w:rsidR="004C2198">
        <w:t xml:space="preserve">project </w:t>
      </w:r>
      <w:r w:rsidRPr="00F80387">
        <w:t>and other internal reform actions.</w:t>
      </w:r>
    </w:p>
    <w:p w:rsidR="00065E95" w:rsidRPr="00F80387" w:rsidRDefault="00E5528E" w:rsidP="0094172F">
      <w:r>
        <w:t>T</w:t>
      </w:r>
      <w:r w:rsidR="00065E95" w:rsidRPr="00F80387">
        <w:t>o enable a coordinated and efficient approach to sup</w:t>
      </w:r>
      <w:r w:rsidR="00ED5DCA">
        <w:t xml:space="preserve">porting service delivery areas and </w:t>
      </w:r>
      <w:r>
        <w:t xml:space="preserve">following extensive consultation, </w:t>
      </w:r>
      <w:r w:rsidR="00065E95" w:rsidRPr="00F80387">
        <w:t xml:space="preserve">Human Resources Management and Strategy </w:t>
      </w:r>
      <w:r w:rsidR="0094172F" w:rsidRPr="00F80387">
        <w:t xml:space="preserve">(HRMS) </w:t>
      </w:r>
      <w:r w:rsidR="00065E95" w:rsidRPr="00F80387">
        <w:t xml:space="preserve">was restructured </w:t>
      </w:r>
      <w:r>
        <w:t xml:space="preserve">effective 1 July 2015 </w:t>
      </w:r>
      <w:r w:rsidR="00065E95" w:rsidRPr="00F80387">
        <w:t xml:space="preserve">and consolidated into one central team.  The focus is now on a portfolio approach with key </w:t>
      </w:r>
      <w:r w:rsidR="0094172F" w:rsidRPr="00F80387">
        <w:t xml:space="preserve">human resources </w:t>
      </w:r>
      <w:r w:rsidR="00065E95" w:rsidRPr="00F80387">
        <w:t xml:space="preserve">contacts providing personalised support and engaging expert services as required. This single point of contact approach came about after consultation with </w:t>
      </w:r>
      <w:r w:rsidR="007452D6">
        <w:t>b</w:t>
      </w:r>
      <w:r w:rsidR="00065E95" w:rsidRPr="00F80387">
        <w:t xml:space="preserve">usiness </w:t>
      </w:r>
      <w:r w:rsidR="007452D6">
        <w:t>u</w:t>
      </w:r>
      <w:r w:rsidR="00065E95" w:rsidRPr="00F80387">
        <w:t xml:space="preserve">nits </w:t>
      </w:r>
      <w:r w:rsidR="0094172F" w:rsidRPr="00F80387">
        <w:t>around</w:t>
      </w:r>
      <w:r w:rsidR="00065E95" w:rsidRPr="00F80387">
        <w:t xml:space="preserve"> what they required from a human resources service.</w:t>
      </w:r>
    </w:p>
    <w:p w:rsidR="00065E95" w:rsidRPr="00F80387" w:rsidRDefault="00065E95" w:rsidP="0094172F">
      <w:r w:rsidRPr="00F80387">
        <w:t xml:space="preserve">A new Workforce </w:t>
      </w:r>
      <w:r w:rsidR="00E5528E">
        <w:t>Development</w:t>
      </w:r>
      <w:r w:rsidRPr="00F80387">
        <w:t xml:space="preserve"> and </w:t>
      </w:r>
      <w:r w:rsidR="0094172F" w:rsidRPr="00F80387">
        <w:t>Human Resources</w:t>
      </w:r>
      <w:r w:rsidRPr="00F80387">
        <w:t xml:space="preserve"> Policy team has been created to ensure a coordinated approach to people management and development issues across the whole of DHHS. The focus of this team will be in supporting and educating mangers in the comprehensive suite of policies and procedures that were implemented as a priority in 2013-14.  </w:t>
      </w:r>
    </w:p>
    <w:p w:rsidR="00065E95" w:rsidRPr="00F80387" w:rsidRDefault="00065E95" w:rsidP="0094172F">
      <w:r w:rsidRPr="00F80387">
        <w:lastRenderedPageBreak/>
        <w:t>The Allied Health Professional workforce has been comprehensively mapped</w:t>
      </w:r>
      <w:r w:rsidR="00E5528E">
        <w:t>, and</w:t>
      </w:r>
      <w:r w:rsidRPr="00F80387">
        <w:t xml:space="preserve"> a suite of supporting materials and data </w:t>
      </w:r>
      <w:r w:rsidR="00E5528E">
        <w:t xml:space="preserve">will </w:t>
      </w:r>
      <w:r w:rsidRPr="00F80387">
        <w:t xml:space="preserve">be made available to managers to assist in workforce planning and recruitment activities. </w:t>
      </w:r>
    </w:p>
    <w:p w:rsidR="00065E95" w:rsidRPr="00F80387" w:rsidRDefault="00065E95" w:rsidP="0094172F">
      <w:r w:rsidRPr="00F80387">
        <w:t xml:space="preserve">‘In-house’ learning and development short course webinars, videoconferences and workshops continue to be provided on a wide range of topics across both the DHHS and the </w:t>
      </w:r>
      <w:r w:rsidR="0094172F" w:rsidRPr="00F80387">
        <w:t>THS. In 2014-</w:t>
      </w:r>
      <w:r w:rsidRPr="00F80387">
        <w:t>15 there were 93 events with more than 2</w:t>
      </w:r>
      <w:r w:rsidR="0094172F" w:rsidRPr="00F80387">
        <w:t> </w:t>
      </w:r>
      <w:r w:rsidRPr="00F80387">
        <w:t>700 attendees.</w:t>
      </w:r>
    </w:p>
    <w:p w:rsidR="00065E95" w:rsidRPr="00F80387" w:rsidRDefault="0094172F" w:rsidP="0094172F">
      <w:r w:rsidRPr="00F80387">
        <w:t xml:space="preserve">The </w:t>
      </w:r>
      <w:r w:rsidR="00E5528E">
        <w:t xml:space="preserve">DHHS </w:t>
      </w:r>
      <w:r w:rsidR="00065E95" w:rsidRPr="00F80387">
        <w:t xml:space="preserve">continues to have </w:t>
      </w:r>
      <w:r w:rsidRPr="00F80387">
        <w:t xml:space="preserve">a </w:t>
      </w:r>
      <w:r w:rsidR="00065E95" w:rsidRPr="00F80387">
        <w:t>strong partnership with the University of Tasmania, offering an Academic Program through the Faculty of Health. Financial support is provided to eligible employees to undertake units towards a Graduate Certificate or Graduate Diploma.</w:t>
      </w:r>
    </w:p>
    <w:p w:rsidR="00065E95" w:rsidRPr="00F80387" w:rsidRDefault="00065E95" w:rsidP="0094172F">
      <w:r w:rsidRPr="00F80387">
        <w:t>A</w:t>
      </w:r>
      <w:r w:rsidR="0094172F" w:rsidRPr="00F80387">
        <w:t>nother major priority in 2014-</w:t>
      </w:r>
      <w:r w:rsidRPr="00F80387">
        <w:t xml:space="preserve">15 was to provide support to the </w:t>
      </w:r>
      <w:r w:rsidR="00457347">
        <w:t xml:space="preserve">THOs </w:t>
      </w:r>
      <w:r w:rsidRPr="00F80387">
        <w:t xml:space="preserve">as they </w:t>
      </w:r>
      <w:r w:rsidR="0094172F" w:rsidRPr="00F80387">
        <w:t>prepare to transition</w:t>
      </w:r>
      <w:r w:rsidRPr="00F80387">
        <w:t xml:space="preserve"> to the </w:t>
      </w:r>
      <w:r w:rsidR="00457347">
        <w:t>THS</w:t>
      </w:r>
      <w:r w:rsidRPr="00F80387">
        <w:t xml:space="preserve">. HRMS continues to provide services in </w:t>
      </w:r>
      <w:r w:rsidR="0094172F" w:rsidRPr="00F80387">
        <w:t>r</w:t>
      </w:r>
      <w:r w:rsidRPr="00F80387">
        <w:t xml:space="preserve">ecruitment, </w:t>
      </w:r>
      <w:r w:rsidR="0094172F" w:rsidRPr="00F80387">
        <w:t>w</w:t>
      </w:r>
      <w:r w:rsidRPr="00F80387">
        <w:t xml:space="preserve">orkers </w:t>
      </w:r>
      <w:r w:rsidR="0094172F" w:rsidRPr="00F80387">
        <w:t>c</w:t>
      </w:r>
      <w:r w:rsidRPr="00F80387">
        <w:t xml:space="preserve">ompensation, </w:t>
      </w:r>
      <w:r w:rsidR="0094172F" w:rsidRPr="00F80387">
        <w:t>c</w:t>
      </w:r>
      <w:r w:rsidRPr="00F80387">
        <w:t xml:space="preserve">onduct and </w:t>
      </w:r>
      <w:r w:rsidR="0094172F" w:rsidRPr="00F80387">
        <w:t>r</w:t>
      </w:r>
      <w:r w:rsidRPr="00F80387">
        <w:t xml:space="preserve">eview, </w:t>
      </w:r>
      <w:r w:rsidR="0094172F" w:rsidRPr="00F80387">
        <w:t>j</w:t>
      </w:r>
      <w:r w:rsidRPr="00F80387">
        <w:t xml:space="preserve">ob </w:t>
      </w:r>
      <w:r w:rsidR="0094172F" w:rsidRPr="00F80387">
        <w:t>d</w:t>
      </w:r>
      <w:r w:rsidRPr="00F80387">
        <w:t xml:space="preserve">esign and </w:t>
      </w:r>
      <w:r w:rsidR="0094172F" w:rsidRPr="00F80387">
        <w:t>i</w:t>
      </w:r>
      <w:r w:rsidRPr="00F80387">
        <w:t xml:space="preserve">ndustrial </w:t>
      </w:r>
      <w:r w:rsidR="0094172F" w:rsidRPr="00F80387">
        <w:t>r</w:t>
      </w:r>
      <w:r w:rsidRPr="00F80387">
        <w:t xml:space="preserve">elations </w:t>
      </w:r>
      <w:r w:rsidR="0094172F" w:rsidRPr="00F80387">
        <w:t xml:space="preserve">to assist preparations for </w:t>
      </w:r>
      <w:r w:rsidRPr="00F80387">
        <w:t xml:space="preserve">statewide corporate structures </w:t>
      </w:r>
      <w:r w:rsidR="0094172F" w:rsidRPr="00F80387">
        <w:t xml:space="preserve">to be </w:t>
      </w:r>
      <w:r w:rsidRPr="00F80387">
        <w:t xml:space="preserve">put in place. </w:t>
      </w:r>
    </w:p>
    <w:p w:rsidR="00065E95" w:rsidRPr="00F80387" w:rsidRDefault="00065E95" w:rsidP="00B166D8"/>
    <w:p w:rsidR="00065E95" w:rsidRDefault="00065E95" w:rsidP="00B166D8"/>
    <w:p w:rsidR="00857F4E" w:rsidRPr="00F80387" w:rsidRDefault="00857F4E" w:rsidP="00B166D8">
      <w:pPr>
        <w:sectPr w:rsidR="00857F4E" w:rsidRPr="00F80387" w:rsidSect="00277671">
          <w:type w:val="continuous"/>
          <w:pgSz w:w="11906" w:h="16838" w:code="9"/>
          <w:pgMar w:top="907" w:right="1134" w:bottom="720" w:left="1134" w:header="709" w:footer="709" w:gutter="0"/>
          <w:cols w:num="2" w:space="708"/>
          <w:docGrid w:linePitch="360"/>
        </w:sectPr>
      </w:pPr>
    </w:p>
    <w:p w:rsidR="00D60752" w:rsidRDefault="00D60752" w:rsidP="00F80387">
      <w:pPr>
        <w:pStyle w:val="Heading2"/>
        <w:sectPr w:rsidR="00D60752" w:rsidSect="00277671">
          <w:type w:val="continuous"/>
          <w:pgSz w:w="11906" w:h="16838" w:code="9"/>
          <w:pgMar w:top="907" w:right="1134" w:bottom="720" w:left="1134" w:header="709" w:footer="709" w:gutter="0"/>
          <w:cols w:num="2" w:space="708"/>
          <w:docGrid w:linePitch="360"/>
        </w:sectPr>
      </w:pPr>
      <w:bookmarkStart w:id="191" w:name="_Toc303933614"/>
    </w:p>
    <w:p w:rsidR="00065E95" w:rsidRPr="00F80387" w:rsidRDefault="00065E95" w:rsidP="00F80387">
      <w:pPr>
        <w:pStyle w:val="Heading2"/>
      </w:pPr>
      <w:r w:rsidRPr="00F80387">
        <w:lastRenderedPageBreak/>
        <w:t>Current Workforce Profile</w:t>
      </w:r>
      <w:bookmarkEnd w:id="191"/>
    </w:p>
    <w:p w:rsidR="00D60752" w:rsidRDefault="00D60752" w:rsidP="00B166D8">
      <w:pPr>
        <w:sectPr w:rsidR="00D60752" w:rsidSect="00482AA0">
          <w:pgSz w:w="11906" w:h="16838" w:code="9"/>
          <w:pgMar w:top="907" w:right="1134" w:bottom="720" w:left="1134" w:header="709" w:footer="709" w:gutter="0"/>
          <w:cols w:space="708"/>
          <w:docGrid w:linePitch="360"/>
        </w:sectPr>
      </w:pPr>
    </w:p>
    <w:p w:rsidR="00065E95" w:rsidRPr="00F80387" w:rsidRDefault="00065E95" w:rsidP="00B166D8">
      <w:r w:rsidRPr="00F80387">
        <w:lastRenderedPageBreak/>
        <w:t xml:space="preserve">The </w:t>
      </w:r>
      <w:r w:rsidR="00457347">
        <w:t>DHHS workforce</w:t>
      </w:r>
      <w:r w:rsidR="0094172F" w:rsidRPr="00F80387">
        <w:t xml:space="preserve"> figures for 2014-</w:t>
      </w:r>
      <w:r w:rsidRPr="00F80387">
        <w:t xml:space="preserve">15 reflect the outcomes of the DHHS Review </w:t>
      </w:r>
      <w:r w:rsidR="007452D6">
        <w:t>- the guiding principles of which were</w:t>
      </w:r>
      <w:r w:rsidRPr="00F80387">
        <w:t xml:space="preserve"> </w:t>
      </w:r>
      <w:r w:rsidR="007452D6">
        <w:t xml:space="preserve">achieving efficiencies, </w:t>
      </w:r>
      <w:r w:rsidR="0094172F" w:rsidRPr="00F80387">
        <w:t>the reduction of full</w:t>
      </w:r>
      <w:r w:rsidR="00457347">
        <w:t> </w:t>
      </w:r>
      <w:r w:rsidRPr="00F80387">
        <w:t>time equivalent positions</w:t>
      </w:r>
      <w:r w:rsidR="0094172F" w:rsidRPr="00F80387">
        <w:t>, and achieving</w:t>
      </w:r>
      <w:r w:rsidRPr="00F80387">
        <w:t xml:space="preserve"> budget savings. </w:t>
      </w:r>
    </w:p>
    <w:p w:rsidR="00065E95" w:rsidRPr="00F80387" w:rsidRDefault="00457347" w:rsidP="00B166D8">
      <w:r>
        <w:lastRenderedPageBreak/>
        <w:t>T</w:t>
      </w:r>
      <w:r w:rsidR="00065E95" w:rsidRPr="00F80387">
        <w:t xml:space="preserve">he figures for 2012-13 </w:t>
      </w:r>
      <w:r>
        <w:t xml:space="preserve">reflect </w:t>
      </w:r>
      <w:r w:rsidR="00065E95" w:rsidRPr="00F80387">
        <w:t xml:space="preserve">the establishment of three </w:t>
      </w:r>
      <w:r>
        <w:t xml:space="preserve">THOs </w:t>
      </w:r>
      <w:r w:rsidR="00065E95" w:rsidRPr="00F80387">
        <w:t>which are reported separately to the Department.</w:t>
      </w:r>
    </w:p>
    <w:p w:rsidR="00D60752" w:rsidRDefault="00D60752" w:rsidP="001D436C">
      <w:pPr>
        <w:pStyle w:val="Heading4"/>
        <w:sectPr w:rsidR="00D60752" w:rsidSect="00D60752">
          <w:type w:val="continuous"/>
          <w:pgSz w:w="11906" w:h="16838" w:code="9"/>
          <w:pgMar w:top="907" w:right="1134" w:bottom="720" w:left="1134" w:header="709" w:footer="709" w:gutter="0"/>
          <w:cols w:num="2" w:space="708"/>
          <w:docGrid w:linePitch="360"/>
        </w:sectPr>
      </w:pPr>
    </w:p>
    <w:p w:rsidR="00065E95" w:rsidRPr="001C4341" w:rsidRDefault="00065E95" w:rsidP="001C4341">
      <w:pPr>
        <w:pStyle w:val="Heading4"/>
      </w:pPr>
      <w:r w:rsidRPr="001C4341">
        <w:lastRenderedPageBreak/>
        <w:t>Total Number of FTE Paid Employees by Award</w:t>
      </w:r>
    </w:p>
    <w:tbl>
      <w:tblPr>
        <w:tblW w:w="9636"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Pr>
      <w:tblGrid>
        <w:gridCol w:w="4253"/>
        <w:gridCol w:w="283"/>
        <w:gridCol w:w="1275"/>
        <w:gridCol w:w="1275"/>
        <w:gridCol w:w="1275"/>
        <w:gridCol w:w="1275"/>
      </w:tblGrid>
      <w:tr w:rsidR="00065E95" w:rsidRPr="00F80387" w:rsidTr="004937F7">
        <w:tc>
          <w:tcPr>
            <w:tcW w:w="4253" w:type="dxa"/>
            <w:shd w:val="clear" w:color="auto" w:fill="auto"/>
          </w:tcPr>
          <w:p w:rsidR="00065E95" w:rsidRPr="00F80387" w:rsidRDefault="00065E95" w:rsidP="00B166D8">
            <w:pPr>
              <w:keepNext/>
              <w:spacing w:before="60" w:after="60" w:line="360" w:lineRule="auto"/>
              <w:outlineLvl w:val="0"/>
              <w:rPr>
                <w:b/>
                <w:bCs/>
                <w:kern w:val="32"/>
                <w:sz w:val="18"/>
                <w:szCs w:val="18"/>
              </w:rPr>
            </w:pPr>
          </w:p>
        </w:tc>
        <w:tc>
          <w:tcPr>
            <w:tcW w:w="283" w:type="dxa"/>
            <w:shd w:val="clear" w:color="auto" w:fill="auto"/>
            <w:vAlign w:val="center"/>
          </w:tcPr>
          <w:p w:rsidR="00065E95" w:rsidRPr="00F80387" w:rsidRDefault="00065E95" w:rsidP="00B166D8">
            <w:pPr>
              <w:keepNext/>
              <w:spacing w:before="60" w:after="60" w:line="360" w:lineRule="auto"/>
              <w:jc w:val="right"/>
              <w:outlineLvl w:val="0"/>
              <w:rPr>
                <w:b/>
                <w:bCs/>
                <w:kern w:val="32"/>
                <w:sz w:val="18"/>
                <w:szCs w:val="18"/>
              </w:rPr>
            </w:pPr>
          </w:p>
        </w:tc>
        <w:tc>
          <w:tcPr>
            <w:tcW w:w="1275" w:type="dxa"/>
            <w:shd w:val="clear" w:color="auto" w:fill="auto"/>
          </w:tcPr>
          <w:p w:rsidR="00065E95" w:rsidRPr="000F7A1D" w:rsidRDefault="00065E95" w:rsidP="000F7A1D">
            <w:pPr>
              <w:jc w:val="right"/>
              <w:rPr>
                <w:b/>
                <w:kern w:val="32"/>
                <w:sz w:val="18"/>
                <w:szCs w:val="18"/>
              </w:rPr>
            </w:pPr>
            <w:r w:rsidRPr="000F7A1D">
              <w:rPr>
                <w:b/>
                <w:kern w:val="32"/>
                <w:sz w:val="18"/>
                <w:szCs w:val="18"/>
              </w:rPr>
              <w:t>2011-12</w:t>
            </w:r>
          </w:p>
        </w:tc>
        <w:tc>
          <w:tcPr>
            <w:tcW w:w="1275" w:type="dxa"/>
            <w:shd w:val="clear" w:color="auto" w:fill="auto"/>
            <w:vAlign w:val="center"/>
          </w:tcPr>
          <w:p w:rsidR="00065E95" w:rsidRPr="000F7A1D" w:rsidRDefault="00065E95" w:rsidP="000F7A1D">
            <w:pPr>
              <w:jc w:val="right"/>
              <w:rPr>
                <w:b/>
                <w:kern w:val="32"/>
                <w:sz w:val="18"/>
                <w:szCs w:val="18"/>
              </w:rPr>
            </w:pPr>
            <w:r w:rsidRPr="000F7A1D">
              <w:rPr>
                <w:b/>
                <w:kern w:val="32"/>
                <w:sz w:val="18"/>
                <w:szCs w:val="18"/>
              </w:rPr>
              <w:t>2012-13</w:t>
            </w:r>
          </w:p>
        </w:tc>
        <w:tc>
          <w:tcPr>
            <w:tcW w:w="1275" w:type="dxa"/>
            <w:shd w:val="clear" w:color="auto" w:fill="auto"/>
          </w:tcPr>
          <w:p w:rsidR="00065E95" w:rsidRPr="000F7A1D" w:rsidRDefault="00065E95" w:rsidP="000F7A1D">
            <w:pPr>
              <w:jc w:val="right"/>
              <w:rPr>
                <w:b/>
                <w:kern w:val="32"/>
                <w:sz w:val="18"/>
                <w:szCs w:val="18"/>
              </w:rPr>
            </w:pPr>
            <w:r w:rsidRPr="000F7A1D">
              <w:rPr>
                <w:b/>
                <w:kern w:val="32"/>
                <w:sz w:val="18"/>
                <w:szCs w:val="18"/>
              </w:rPr>
              <w:t>2013-14</w:t>
            </w:r>
          </w:p>
        </w:tc>
        <w:tc>
          <w:tcPr>
            <w:tcW w:w="1275" w:type="dxa"/>
          </w:tcPr>
          <w:p w:rsidR="00065E95" w:rsidRPr="000F7A1D" w:rsidRDefault="00065E95" w:rsidP="000F7A1D">
            <w:pPr>
              <w:jc w:val="right"/>
              <w:rPr>
                <w:b/>
                <w:kern w:val="32"/>
                <w:sz w:val="18"/>
                <w:szCs w:val="18"/>
              </w:rPr>
            </w:pPr>
            <w:r w:rsidRPr="000F7A1D">
              <w:rPr>
                <w:b/>
                <w:kern w:val="32"/>
                <w:sz w:val="18"/>
                <w:szCs w:val="18"/>
              </w:rPr>
              <w:t>2014-15</w:t>
            </w:r>
          </w:p>
        </w:tc>
      </w:tr>
      <w:tr w:rsidR="00065E95" w:rsidRPr="00F80387" w:rsidTr="004937F7">
        <w:tc>
          <w:tcPr>
            <w:tcW w:w="4253" w:type="dxa"/>
            <w:vAlign w:val="center"/>
          </w:tcPr>
          <w:p w:rsidR="00065E95" w:rsidRPr="00F80387" w:rsidRDefault="00065E95" w:rsidP="004B134C">
            <w:pPr>
              <w:pStyle w:val="Table-AnnualReport"/>
            </w:pPr>
            <w:bookmarkStart w:id="192" w:name="_Toc303758119"/>
            <w:bookmarkStart w:id="193" w:name="_Toc304279114"/>
            <w:r w:rsidRPr="00F80387">
              <w:t>Allied Health Professional</w:t>
            </w:r>
            <w:bookmarkEnd w:id="192"/>
            <w:bookmarkEnd w:id="193"/>
          </w:p>
        </w:tc>
        <w:tc>
          <w:tcPr>
            <w:tcW w:w="283" w:type="dxa"/>
            <w:vAlign w:val="center"/>
          </w:tcPr>
          <w:p w:rsidR="00065E95" w:rsidRPr="00F80387" w:rsidRDefault="00065E95" w:rsidP="004B134C">
            <w:pPr>
              <w:pStyle w:val="Table-AnnualReport"/>
            </w:pPr>
          </w:p>
        </w:tc>
        <w:tc>
          <w:tcPr>
            <w:tcW w:w="1275" w:type="dxa"/>
          </w:tcPr>
          <w:p w:rsidR="00065E95" w:rsidRPr="00F80387" w:rsidRDefault="00065E95" w:rsidP="0094172F">
            <w:pPr>
              <w:pStyle w:val="Table-AnnualReport"/>
              <w:jc w:val="right"/>
            </w:pPr>
            <w:r w:rsidRPr="00F80387">
              <w:rPr>
                <w:rFonts w:cs="Arial"/>
                <w:color w:val="000000"/>
              </w:rPr>
              <w:t>1</w:t>
            </w:r>
            <w:r w:rsidR="0094172F" w:rsidRPr="00F80387">
              <w:rPr>
                <w:rFonts w:cs="Arial"/>
                <w:color w:val="000000"/>
              </w:rPr>
              <w:t> </w:t>
            </w:r>
            <w:r w:rsidRPr="00F80387">
              <w:rPr>
                <w:rFonts w:cs="Arial"/>
                <w:color w:val="000000"/>
              </w:rPr>
              <w:t>141.5</w:t>
            </w:r>
          </w:p>
        </w:tc>
        <w:tc>
          <w:tcPr>
            <w:tcW w:w="1275" w:type="dxa"/>
          </w:tcPr>
          <w:p w:rsidR="00065E95" w:rsidRPr="00F80387" w:rsidRDefault="00065E95" w:rsidP="004B134C">
            <w:pPr>
              <w:pStyle w:val="Table-AnnualReport"/>
              <w:jc w:val="right"/>
              <w:rPr>
                <w:rFonts w:cs="Arial"/>
                <w:color w:val="000000"/>
              </w:rPr>
            </w:pPr>
            <w:r w:rsidRPr="00F80387">
              <w:rPr>
                <w:rFonts w:cs="Arial"/>
                <w:color w:val="000000"/>
              </w:rPr>
              <w:t>445.24</w:t>
            </w:r>
          </w:p>
        </w:tc>
        <w:tc>
          <w:tcPr>
            <w:tcW w:w="1275" w:type="dxa"/>
            <w:shd w:val="clear" w:color="auto" w:fill="auto"/>
            <w:vAlign w:val="bottom"/>
          </w:tcPr>
          <w:p w:rsidR="00065E95" w:rsidRPr="00F80387" w:rsidRDefault="00065E95" w:rsidP="004B134C">
            <w:pPr>
              <w:pStyle w:val="Table-AnnualReport"/>
              <w:jc w:val="right"/>
              <w:rPr>
                <w:rFonts w:cs="Tahoma"/>
                <w:color w:val="333333"/>
              </w:rPr>
            </w:pPr>
            <w:r w:rsidRPr="00F80387">
              <w:rPr>
                <w:rFonts w:cs="Tahoma"/>
                <w:color w:val="333333"/>
              </w:rPr>
              <w:t>316.08</w:t>
            </w:r>
          </w:p>
        </w:tc>
        <w:tc>
          <w:tcPr>
            <w:tcW w:w="1275" w:type="dxa"/>
            <w:vAlign w:val="bottom"/>
          </w:tcPr>
          <w:p w:rsidR="00065E95" w:rsidRPr="00F80387" w:rsidRDefault="00065E95" w:rsidP="004B134C">
            <w:pPr>
              <w:pStyle w:val="Table-AnnualReport"/>
              <w:jc w:val="right"/>
              <w:rPr>
                <w:color w:val="000000"/>
              </w:rPr>
            </w:pPr>
            <w:r w:rsidRPr="00F80387">
              <w:rPr>
                <w:color w:val="000000"/>
              </w:rPr>
              <w:t>308.22</w:t>
            </w:r>
          </w:p>
        </w:tc>
      </w:tr>
      <w:tr w:rsidR="00065E95" w:rsidRPr="00F80387" w:rsidTr="004937F7">
        <w:tc>
          <w:tcPr>
            <w:tcW w:w="4253" w:type="dxa"/>
            <w:vAlign w:val="center"/>
          </w:tcPr>
          <w:p w:rsidR="00065E95" w:rsidRPr="00F80387" w:rsidRDefault="00065E95" w:rsidP="004B134C">
            <w:pPr>
              <w:pStyle w:val="Table-AnnualReport"/>
            </w:pPr>
            <w:bookmarkStart w:id="194" w:name="_Toc303758124"/>
            <w:bookmarkStart w:id="195" w:name="_Toc304279119"/>
            <w:r w:rsidRPr="00F80387">
              <w:t xml:space="preserve">Ambulance </w:t>
            </w:r>
            <w:bookmarkEnd w:id="194"/>
            <w:bookmarkEnd w:id="195"/>
            <w:r w:rsidRPr="00F80387">
              <w:t>Tasmania Award</w:t>
            </w:r>
          </w:p>
        </w:tc>
        <w:tc>
          <w:tcPr>
            <w:tcW w:w="283" w:type="dxa"/>
            <w:vAlign w:val="center"/>
          </w:tcPr>
          <w:p w:rsidR="00065E95" w:rsidRPr="00F80387" w:rsidRDefault="00065E95" w:rsidP="004B134C">
            <w:pPr>
              <w:pStyle w:val="Table-AnnualReport"/>
            </w:pPr>
          </w:p>
        </w:tc>
        <w:tc>
          <w:tcPr>
            <w:tcW w:w="1275" w:type="dxa"/>
          </w:tcPr>
          <w:p w:rsidR="00065E95" w:rsidRPr="00F80387" w:rsidRDefault="00065E95" w:rsidP="004B134C">
            <w:pPr>
              <w:pStyle w:val="Table-AnnualReport"/>
              <w:jc w:val="right"/>
            </w:pPr>
            <w:r w:rsidRPr="00F80387">
              <w:rPr>
                <w:rFonts w:cs="Arial"/>
                <w:color w:val="000000"/>
              </w:rPr>
              <w:t>298.9</w:t>
            </w:r>
          </w:p>
        </w:tc>
        <w:tc>
          <w:tcPr>
            <w:tcW w:w="1275" w:type="dxa"/>
          </w:tcPr>
          <w:p w:rsidR="00065E95" w:rsidRPr="00F80387" w:rsidRDefault="00065E95" w:rsidP="004B134C">
            <w:pPr>
              <w:pStyle w:val="Table-AnnualReport"/>
              <w:jc w:val="right"/>
              <w:rPr>
                <w:rFonts w:cs="Arial"/>
                <w:color w:val="000000"/>
              </w:rPr>
            </w:pPr>
            <w:r w:rsidRPr="00F80387">
              <w:rPr>
                <w:rFonts w:cs="Arial"/>
                <w:color w:val="000000"/>
              </w:rPr>
              <w:t>309.77</w:t>
            </w:r>
          </w:p>
        </w:tc>
        <w:tc>
          <w:tcPr>
            <w:tcW w:w="1275" w:type="dxa"/>
            <w:shd w:val="clear" w:color="auto" w:fill="auto"/>
            <w:vAlign w:val="bottom"/>
          </w:tcPr>
          <w:p w:rsidR="00065E95" w:rsidRPr="00F80387" w:rsidRDefault="00065E95" w:rsidP="004B134C">
            <w:pPr>
              <w:pStyle w:val="Table-AnnualReport"/>
              <w:jc w:val="right"/>
              <w:rPr>
                <w:rFonts w:cs="Tahoma"/>
                <w:color w:val="333333"/>
              </w:rPr>
            </w:pPr>
            <w:r w:rsidRPr="00F80387">
              <w:rPr>
                <w:rFonts w:cs="Tahoma"/>
                <w:color w:val="333333"/>
              </w:rPr>
              <w:t>324.89</w:t>
            </w:r>
          </w:p>
        </w:tc>
        <w:tc>
          <w:tcPr>
            <w:tcW w:w="1275" w:type="dxa"/>
            <w:vAlign w:val="bottom"/>
          </w:tcPr>
          <w:p w:rsidR="00065E95" w:rsidRPr="00F80387" w:rsidRDefault="00065E95" w:rsidP="004B134C">
            <w:pPr>
              <w:pStyle w:val="Table-AnnualReport"/>
              <w:jc w:val="right"/>
              <w:rPr>
                <w:color w:val="000000"/>
              </w:rPr>
            </w:pPr>
            <w:r w:rsidRPr="00F80387">
              <w:rPr>
                <w:color w:val="000000"/>
              </w:rPr>
              <w:t>306.81</w:t>
            </w:r>
          </w:p>
        </w:tc>
      </w:tr>
      <w:tr w:rsidR="00065E95" w:rsidRPr="00F80387" w:rsidTr="004937F7">
        <w:tc>
          <w:tcPr>
            <w:tcW w:w="4253" w:type="dxa"/>
            <w:vAlign w:val="center"/>
          </w:tcPr>
          <w:p w:rsidR="00065E95" w:rsidRPr="00F80387" w:rsidRDefault="00065E95" w:rsidP="004B134C">
            <w:pPr>
              <w:pStyle w:val="Table-AnnualReport"/>
            </w:pPr>
            <w:bookmarkStart w:id="196" w:name="_Toc303758129"/>
            <w:bookmarkStart w:id="197" w:name="_Toc304279124"/>
            <w:r w:rsidRPr="00F80387">
              <w:t>Dental Officers</w:t>
            </w:r>
            <w:bookmarkEnd w:id="196"/>
            <w:bookmarkEnd w:id="197"/>
          </w:p>
        </w:tc>
        <w:tc>
          <w:tcPr>
            <w:tcW w:w="283" w:type="dxa"/>
            <w:vAlign w:val="center"/>
          </w:tcPr>
          <w:p w:rsidR="00065E95" w:rsidRPr="00F80387" w:rsidRDefault="00065E95" w:rsidP="004B134C">
            <w:pPr>
              <w:pStyle w:val="Table-AnnualReport"/>
            </w:pPr>
          </w:p>
        </w:tc>
        <w:tc>
          <w:tcPr>
            <w:tcW w:w="1275" w:type="dxa"/>
          </w:tcPr>
          <w:p w:rsidR="00065E95" w:rsidRPr="00F80387" w:rsidRDefault="00065E95" w:rsidP="004B134C">
            <w:pPr>
              <w:pStyle w:val="Table-AnnualReport"/>
              <w:jc w:val="right"/>
            </w:pPr>
            <w:r w:rsidRPr="00F80387">
              <w:rPr>
                <w:rFonts w:cs="Arial"/>
                <w:color w:val="000000"/>
              </w:rPr>
              <w:t>27.2</w:t>
            </w:r>
          </w:p>
        </w:tc>
        <w:tc>
          <w:tcPr>
            <w:tcW w:w="1275" w:type="dxa"/>
          </w:tcPr>
          <w:p w:rsidR="00065E95" w:rsidRPr="00F80387" w:rsidRDefault="00065E95" w:rsidP="004B134C">
            <w:pPr>
              <w:pStyle w:val="Table-AnnualReport"/>
              <w:jc w:val="right"/>
              <w:rPr>
                <w:rFonts w:cs="Arial"/>
                <w:color w:val="000000"/>
              </w:rPr>
            </w:pPr>
            <w:r w:rsidRPr="00F80387">
              <w:rPr>
                <w:rFonts w:cs="Arial"/>
                <w:color w:val="000000"/>
              </w:rPr>
              <w:t>-</w:t>
            </w:r>
          </w:p>
        </w:tc>
        <w:tc>
          <w:tcPr>
            <w:tcW w:w="1275" w:type="dxa"/>
            <w:shd w:val="clear" w:color="auto" w:fill="auto"/>
            <w:vAlign w:val="bottom"/>
          </w:tcPr>
          <w:p w:rsidR="00065E95" w:rsidRPr="00F80387" w:rsidRDefault="00065E95" w:rsidP="004B134C">
            <w:pPr>
              <w:pStyle w:val="Table-AnnualReport"/>
              <w:jc w:val="right"/>
              <w:rPr>
                <w:rFonts w:cs="Tahoma"/>
                <w:color w:val="333333"/>
              </w:rPr>
            </w:pPr>
            <w:r w:rsidRPr="00F80387">
              <w:rPr>
                <w:rFonts w:cs="Tahoma"/>
                <w:color w:val="333333"/>
              </w:rPr>
              <w:t>-</w:t>
            </w:r>
          </w:p>
        </w:tc>
        <w:tc>
          <w:tcPr>
            <w:tcW w:w="1275" w:type="dxa"/>
            <w:vAlign w:val="bottom"/>
          </w:tcPr>
          <w:p w:rsidR="00065E95" w:rsidRPr="00F80387" w:rsidRDefault="00482AA0" w:rsidP="004B134C">
            <w:pPr>
              <w:pStyle w:val="Table-AnnualReport"/>
              <w:jc w:val="right"/>
              <w:rPr>
                <w:color w:val="000000"/>
              </w:rPr>
            </w:pPr>
            <w:r w:rsidRPr="00F80387">
              <w:rPr>
                <w:color w:val="000000"/>
              </w:rPr>
              <w:t>-</w:t>
            </w:r>
          </w:p>
        </w:tc>
      </w:tr>
      <w:tr w:rsidR="00065E95" w:rsidRPr="00F80387" w:rsidTr="004937F7">
        <w:tc>
          <w:tcPr>
            <w:tcW w:w="4253" w:type="dxa"/>
            <w:vAlign w:val="center"/>
          </w:tcPr>
          <w:p w:rsidR="00065E95" w:rsidRPr="00F80387" w:rsidRDefault="00065E95" w:rsidP="004B134C">
            <w:pPr>
              <w:pStyle w:val="Table-AnnualReport"/>
            </w:pPr>
            <w:bookmarkStart w:id="198" w:name="_Toc303758134"/>
            <w:bookmarkStart w:id="199" w:name="_Toc304279129"/>
            <w:r w:rsidRPr="00F80387">
              <w:t>Health and Human Services</w:t>
            </w:r>
            <w:bookmarkEnd w:id="198"/>
            <w:bookmarkEnd w:id="199"/>
          </w:p>
        </w:tc>
        <w:tc>
          <w:tcPr>
            <w:tcW w:w="283" w:type="dxa"/>
            <w:vAlign w:val="center"/>
          </w:tcPr>
          <w:p w:rsidR="00065E95" w:rsidRPr="00F80387" w:rsidRDefault="00065E95" w:rsidP="004B134C">
            <w:pPr>
              <w:pStyle w:val="Table-AnnualReport"/>
            </w:pPr>
          </w:p>
        </w:tc>
        <w:tc>
          <w:tcPr>
            <w:tcW w:w="1275" w:type="dxa"/>
          </w:tcPr>
          <w:p w:rsidR="00065E95" w:rsidRPr="00F80387" w:rsidRDefault="0094172F" w:rsidP="004B134C">
            <w:pPr>
              <w:pStyle w:val="Table-AnnualReport"/>
              <w:jc w:val="right"/>
            </w:pPr>
            <w:r w:rsidRPr="00F80387">
              <w:rPr>
                <w:rFonts w:cs="Arial"/>
                <w:color w:val="000000"/>
              </w:rPr>
              <w:t>3 </w:t>
            </w:r>
            <w:r w:rsidR="00065E95" w:rsidRPr="00F80387">
              <w:rPr>
                <w:rFonts w:cs="Arial"/>
                <w:color w:val="000000"/>
              </w:rPr>
              <w:t>799.6</w:t>
            </w:r>
          </w:p>
        </w:tc>
        <w:tc>
          <w:tcPr>
            <w:tcW w:w="1275" w:type="dxa"/>
          </w:tcPr>
          <w:p w:rsidR="00065E95" w:rsidRPr="00F80387" w:rsidRDefault="00482AA0" w:rsidP="004B134C">
            <w:pPr>
              <w:pStyle w:val="Table-AnnualReport"/>
              <w:jc w:val="right"/>
              <w:rPr>
                <w:rFonts w:cs="Arial"/>
                <w:color w:val="000000"/>
              </w:rPr>
            </w:pPr>
            <w:r w:rsidRPr="00F80387">
              <w:rPr>
                <w:rFonts w:cs="Arial"/>
                <w:color w:val="000000"/>
              </w:rPr>
              <w:t xml:space="preserve"> 1 </w:t>
            </w:r>
            <w:r w:rsidR="00065E95" w:rsidRPr="00F80387">
              <w:rPr>
                <w:rFonts w:cs="Arial"/>
                <w:color w:val="000000"/>
              </w:rPr>
              <w:t>242.55</w:t>
            </w:r>
          </w:p>
        </w:tc>
        <w:tc>
          <w:tcPr>
            <w:tcW w:w="1275" w:type="dxa"/>
            <w:shd w:val="clear" w:color="auto" w:fill="auto"/>
            <w:vAlign w:val="bottom"/>
          </w:tcPr>
          <w:p w:rsidR="00065E95" w:rsidRPr="00F80387" w:rsidRDefault="00065E95" w:rsidP="004B134C">
            <w:pPr>
              <w:pStyle w:val="Table-AnnualReport"/>
              <w:jc w:val="right"/>
              <w:rPr>
                <w:rFonts w:cs="Tahoma"/>
                <w:color w:val="333333"/>
              </w:rPr>
            </w:pPr>
            <w:r w:rsidRPr="00F80387">
              <w:rPr>
                <w:rFonts w:cs="Tahoma"/>
                <w:color w:val="333333"/>
              </w:rPr>
              <w:t>1</w:t>
            </w:r>
            <w:r w:rsidR="00482AA0" w:rsidRPr="00F80387">
              <w:rPr>
                <w:rFonts w:cs="Tahoma"/>
                <w:color w:val="333333"/>
              </w:rPr>
              <w:t> </w:t>
            </w:r>
            <w:r w:rsidRPr="00F80387">
              <w:rPr>
                <w:rFonts w:cs="Tahoma"/>
                <w:color w:val="333333"/>
              </w:rPr>
              <w:t>044.59</w:t>
            </w:r>
          </w:p>
        </w:tc>
        <w:tc>
          <w:tcPr>
            <w:tcW w:w="1275" w:type="dxa"/>
            <w:vAlign w:val="bottom"/>
          </w:tcPr>
          <w:p w:rsidR="00065E95" w:rsidRPr="00F80387" w:rsidRDefault="00065E95" w:rsidP="004B134C">
            <w:pPr>
              <w:pStyle w:val="Table-AnnualReport"/>
              <w:jc w:val="right"/>
              <w:rPr>
                <w:color w:val="000000"/>
              </w:rPr>
            </w:pPr>
            <w:r w:rsidRPr="00F80387">
              <w:rPr>
                <w:color w:val="000000"/>
              </w:rPr>
              <w:t>890.69</w:t>
            </w:r>
          </w:p>
        </w:tc>
      </w:tr>
      <w:tr w:rsidR="00065E95" w:rsidRPr="00F80387" w:rsidTr="004937F7">
        <w:tc>
          <w:tcPr>
            <w:tcW w:w="4253" w:type="dxa"/>
            <w:vAlign w:val="center"/>
          </w:tcPr>
          <w:p w:rsidR="00065E95" w:rsidRPr="00F80387" w:rsidRDefault="00065E95" w:rsidP="004B134C">
            <w:pPr>
              <w:pStyle w:val="Table-AnnualReport"/>
            </w:pPr>
            <w:bookmarkStart w:id="200" w:name="_Toc303758139"/>
            <w:bookmarkStart w:id="201" w:name="_Toc304279134"/>
            <w:r w:rsidRPr="00F80387">
              <w:t>Medical Practitioners</w:t>
            </w:r>
            <w:bookmarkEnd w:id="200"/>
            <w:bookmarkEnd w:id="201"/>
          </w:p>
        </w:tc>
        <w:tc>
          <w:tcPr>
            <w:tcW w:w="283" w:type="dxa"/>
            <w:vAlign w:val="center"/>
          </w:tcPr>
          <w:p w:rsidR="00065E95" w:rsidRPr="00F80387" w:rsidRDefault="00065E95" w:rsidP="004B134C">
            <w:pPr>
              <w:pStyle w:val="Table-AnnualReport"/>
            </w:pPr>
          </w:p>
        </w:tc>
        <w:tc>
          <w:tcPr>
            <w:tcW w:w="1275" w:type="dxa"/>
          </w:tcPr>
          <w:p w:rsidR="00065E95" w:rsidRPr="00F80387" w:rsidRDefault="00065E95" w:rsidP="004B134C">
            <w:pPr>
              <w:pStyle w:val="Table-AnnualReport"/>
              <w:jc w:val="right"/>
            </w:pPr>
            <w:r w:rsidRPr="00F80387">
              <w:rPr>
                <w:rFonts w:cs="Arial"/>
                <w:color w:val="000000"/>
              </w:rPr>
              <w:t>740.7</w:t>
            </w:r>
          </w:p>
        </w:tc>
        <w:tc>
          <w:tcPr>
            <w:tcW w:w="1275" w:type="dxa"/>
          </w:tcPr>
          <w:p w:rsidR="00065E95" w:rsidRPr="00F80387" w:rsidRDefault="00065E95" w:rsidP="004B134C">
            <w:pPr>
              <w:pStyle w:val="Table-AnnualReport"/>
              <w:jc w:val="right"/>
              <w:rPr>
                <w:rFonts w:cs="Arial"/>
                <w:color w:val="000000"/>
              </w:rPr>
            </w:pPr>
            <w:r w:rsidRPr="00F80387">
              <w:rPr>
                <w:rFonts w:cs="Arial"/>
                <w:color w:val="000000"/>
              </w:rPr>
              <w:t>74.76</w:t>
            </w:r>
          </w:p>
        </w:tc>
        <w:tc>
          <w:tcPr>
            <w:tcW w:w="1275" w:type="dxa"/>
            <w:shd w:val="clear" w:color="auto" w:fill="auto"/>
            <w:vAlign w:val="bottom"/>
          </w:tcPr>
          <w:p w:rsidR="00065E95" w:rsidRPr="00F80387" w:rsidRDefault="00065E95" w:rsidP="004B134C">
            <w:pPr>
              <w:pStyle w:val="Table-AnnualReport"/>
              <w:jc w:val="right"/>
              <w:rPr>
                <w:rFonts w:cs="Tahoma"/>
                <w:color w:val="333333"/>
              </w:rPr>
            </w:pPr>
            <w:r w:rsidRPr="00F80387">
              <w:rPr>
                <w:rFonts w:cs="Tahoma"/>
                <w:color w:val="333333"/>
              </w:rPr>
              <w:t>12.03</w:t>
            </w:r>
          </w:p>
        </w:tc>
        <w:tc>
          <w:tcPr>
            <w:tcW w:w="1275" w:type="dxa"/>
            <w:vAlign w:val="bottom"/>
          </w:tcPr>
          <w:p w:rsidR="00065E95" w:rsidRPr="00F80387" w:rsidRDefault="00065E95" w:rsidP="004B134C">
            <w:pPr>
              <w:pStyle w:val="Table-AnnualReport"/>
              <w:jc w:val="right"/>
              <w:rPr>
                <w:color w:val="000000"/>
              </w:rPr>
            </w:pPr>
            <w:r w:rsidRPr="00F80387">
              <w:rPr>
                <w:color w:val="000000"/>
              </w:rPr>
              <w:t>10.03</w:t>
            </w:r>
          </w:p>
        </w:tc>
      </w:tr>
      <w:tr w:rsidR="00065E95" w:rsidRPr="00F80387" w:rsidTr="004937F7">
        <w:tc>
          <w:tcPr>
            <w:tcW w:w="4253" w:type="dxa"/>
            <w:vAlign w:val="center"/>
          </w:tcPr>
          <w:p w:rsidR="00065E95" w:rsidRPr="00F80387" w:rsidRDefault="00065E95" w:rsidP="004B134C">
            <w:pPr>
              <w:pStyle w:val="Table-AnnualReport"/>
            </w:pPr>
            <w:bookmarkStart w:id="202" w:name="_Toc303758144"/>
            <w:bookmarkStart w:id="203" w:name="_Toc304279139"/>
            <w:r w:rsidRPr="00F80387">
              <w:t>No Award</w:t>
            </w:r>
            <w:bookmarkEnd w:id="202"/>
            <w:bookmarkEnd w:id="203"/>
          </w:p>
        </w:tc>
        <w:tc>
          <w:tcPr>
            <w:tcW w:w="283" w:type="dxa"/>
            <w:vAlign w:val="center"/>
          </w:tcPr>
          <w:p w:rsidR="00065E95" w:rsidRPr="00F80387" w:rsidRDefault="00065E95" w:rsidP="004B134C">
            <w:pPr>
              <w:pStyle w:val="Table-AnnualReport"/>
            </w:pPr>
          </w:p>
        </w:tc>
        <w:tc>
          <w:tcPr>
            <w:tcW w:w="1275" w:type="dxa"/>
          </w:tcPr>
          <w:p w:rsidR="00065E95" w:rsidRPr="00F80387" w:rsidRDefault="00065E95" w:rsidP="004B134C">
            <w:pPr>
              <w:pStyle w:val="Table-AnnualReport"/>
              <w:jc w:val="right"/>
            </w:pPr>
            <w:r w:rsidRPr="00F80387">
              <w:rPr>
                <w:rFonts w:cs="Arial"/>
                <w:color w:val="000000"/>
              </w:rPr>
              <w:t>4.6</w:t>
            </w:r>
          </w:p>
        </w:tc>
        <w:tc>
          <w:tcPr>
            <w:tcW w:w="1275" w:type="dxa"/>
          </w:tcPr>
          <w:p w:rsidR="00065E95" w:rsidRPr="00F80387" w:rsidRDefault="00065E95" w:rsidP="004B134C">
            <w:pPr>
              <w:pStyle w:val="Table-AnnualReport"/>
              <w:jc w:val="right"/>
              <w:rPr>
                <w:rFonts w:cs="Arial"/>
                <w:color w:val="000000"/>
              </w:rPr>
            </w:pPr>
            <w:r w:rsidRPr="00F80387">
              <w:rPr>
                <w:rFonts w:cs="Arial"/>
                <w:color w:val="000000"/>
              </w:rPr>
              <w:t>1.78</w:t>
            </w:r>
          </w:p>
        </w:tc>
        <w:tc>
          <w:tcPr>
            <w:tcW w:w="1275" w:type="dxa"/>
            <w:shd w:val="clear" w:color="auto" w:fill="auto"/>
            <w:vAlign w:val="bottom"/>
          </w:tcPr>
          <w:p w:rsidR="00065E95" w:rsidRPr="00F80387" w:rsidRDefault="00065E95" w:rsidP="004B134C">
            <w:pPr>
              <w:pStyle w:val="Table-AnnualReport"/>
              <w:jc w:val="right"/>
              <w:rPr>
                <w:rFonts w:cs="Tahoma"/>
                <w:color w:val="333333"/>
              </w:rPr>
            </w:pPr>
            <w:r w:rsidRPr="00F80387">
              <w:rPr>
                <w:rFonts w:cs="Tahoma"/>
                <w:color w:val="333333"/>
              </w:rPr>
              <w:t>1.00</w:t>
            </w:r>
          </w:p>
        </w:tc>
        <w:tc>
          <w:tcPr>
            <w:tcW w:w="1275" w:type="dxa"/>
            <w:vAlign w:val="bottom"/>
          </w:tcPr>
          <w:p w:rsidR="00065E95" w:rsidRPr="00F80387" w:rsidRDefault="00065E95" w:rsidP="004B134C">
            <w:pPr>
              <w:pStyle w:val="Table-AnnualReport"/>
              <w:jc w:val="right"/>
              <w:rPr>
                <w:color w:val="000000"/>
              </w:rPr>
            </w:pPr>
            <w:r w:rsidRPr="00F80387">
              <w:rPr>
                <w:color w:val="000000"/>
              </w:rPr>
              <w:t>1.00</w:t>
            </w:r>
          </w:p>
        </w:tc>
      </w:tr>
      <w:tr w:rsidR="00065E95" w:rsidRPr="00F80387" w:rsidTr="004937F7">
        <w:tc>
          <w:tcPr>
            <w:tcW w:w="4253" w:type="dxa"/>
            <w:vAlign w:val="center"/>
          </w:tcPr>
          <w:p w:rsidR="00065E95" w:rsidRPr="00F80387" w:rsidRDefault="00065E95" w:rsidP="004B134C">
            <w:pPr>
              <w:pStyle w:val="Table-AnnualReport"/>
            </w:pPr>
            <w:bookmarkStart w:id="204" w:name="_Toc303758149"/>
            <w:bookmarkStart w:id="205" w:name="_Toc304279144"/>
            <w:r w:rsidRPr="00F80387">
              <w:t>Nursing</w:t>
            </w:r>
            <w:bookmarkEnd w:id="204"/>
            <w:bookmarkEnd w:id="205"/>
          </w:p>
        </w:tc>
        <w:tc>
          <w:tcPr>
            <w:tcW w:w="283" w:type="dxa"/>
            <w:vAlign w:val="center"/>
          </w:tcPr>
          <w:p w:rsidR="00065E95" w:rsidRPr="00F80387" w:rsidRDefault="00065E95" w:rsidP="004B134C">
            <w:pPr>
              <w:pStyle w:val="Table-AnnualReport"/>
            </w:pPr>
          </w:p>
        </w:tc>
        <w:tc>
          <w:tcPr>
            <w:tcW w:w="1275" w:type="dxa"/>
          </w:tcPr>
          <w:p w:rsidR="00065E95" w:rsidRPr="00F80387" w:rsidRDefault="0094172F" w:rsidP="004B134C">
            <w:pPr>
              <w:pStyle w:val="Table-AnnualReport"/>
              <w:jc w:val="right"/>
            </w:pPr>
            <w:r w:rsidRPr="00F80387">
              <w:rPr>
                <w:rFonts w:cs="Arial"/>
                <w:color w:val="000000"/>
              </w:rPr>
              <w:t>3 </w:t>
            </w:r>
            <w:r w:rsidR="00065E95" w:rsidRPr="00F80387">
              <w:rPr>
                <w:rFonts w:cs="Arial"/>
                <w:color w:val="000000"/>
              </w:rPr>
              <w:t>197.7</w:t>
            </w:r>
          </w:p>
        </w:tc>
        <w:tc>
          <w:tcPr>
            <w:tcW w:w="1275" w:type="dxa"/>
          </w:tcPr>
          <w:p w:rsidR="00065E95" w:rsidRPr="00F80387" w:rsidRDefault="00065E95" w:rsidP="004B134C">
            <w:pPr>
              <w:pStyle w:val="Table-AnnualReport"/>
              <w:jc w:val="right"/>
              <w:rPr>
                <w:rFonts w:cs="Arial"/>
                <w:color w:val="000000"/>
              </w:rPr>
            </w:pPr>
            <w:r w:rsidRPr="00F80387">
              <w:rPr>
                <w:rFonts w:cs="Arial"/>
                <w:color w:val="000000"/>
              </w:rPr>
              <w:t>518.29</w:t>
            </w:r>
          </w:p>
        </w:tc>
        <w:tc>
          <w:tcPr>
            <w:tcW w:w="1275" w:type="dxa"/>
            <w:shd w:val="clear" w:color="auto" w:fill="auto"/>
            <w:vAlign w:val="bottom"/>
          </w:tcPr>
          <w:p w:rsidR="00065E95" w:rsidRPr="00F80387" w:rsidRDefault="00065E95" w:rsidP="004B134C">
            <w:pPr>
              <w:pStyle w:val="Table-AnnualReport"/>
              <w:jc w:val="right"/>
              <w:rPr>
                <w:rFonts w:cs="Tahoma"/>
                <w:color w:val="333333"/>
              </w:rPr>
            </w:pPr>
            <w:r w:rsidRPr="00F80387">
              <w:rPr>
                <w:rFonts w:cs="Tahoma"/>
                <w:color w:val="333333"/>
              </w:rPr>
              <w:t>121.59</w:t>
            </w:r>
          </w:p>
        </w:tc>
        <w:tc>
          <w:tcPr>
            <w:tcW w:w="1275" w:type="dxa"/>
            <w:vAlign w:val="bottom"/>
          </w:tcPr>
          <w:p w:rsidR="00065E95" w:rsidRPr="00F80387" w:rsidRDefault="00065E95" w:rsidP="004B134C">
            <w:pPr>
              <w:pStyle w:val="Table-AnnualReport"/>
              <w:jc w:val="right"/>
              <w:rPr>
                <w:color w:val="000000"/>
              </w:rPr>
            </w:pPr>
            <w:r w:rsidRPr="00F80387">
              <w:rPr>
                <w:color w:val="000000"/>
              </w:rPr>
              <w:t>109.96</w:t>
            </w:r>
          </w:p>
        </w:tc>
      </w:tr>
      <w:tr w:rsidR="00065E95" w:rsidRPr="00F80387" w:rsidTr="004937F7">
        <w:tc>
          <w:tcPr>
            <w:tcW w:w="4253" w:type="dxa"/>
            <w:vAlign w:val="center"/>
          </w:tcPr>
          <w:p w:rsidR="00065E95" w:rsidRPr="00F80387" w:rsidRDefault="00065E95" w:rsidP="004B134C">
            <w:pPr>
              <w:pStyle w:val="Table-AnnualReport"/>
            </w:pPr>
            <w:bookmarkStart w:id="206" w:name="_Toc303758154"/>
            <w:bookmarkStart w:id="207" w:name="_Toc304279149"/>
            <w:r w:rsidRPr="00F80387">
              <w:t>Senior Executive Service (SES)</w:t>
            </w:r>
            <w:bookmarkEnd w:id="206"/>
            <w:bookmarkEnd w:id="207"/>
          </w:p>
        </w:tc>
        <w:tc>
          <w:tcPr>
            <w:tcW w:w="283" w:type="dxa"/>
            <w:vAlign w:val="center"/>
          </w:tcPr>
          <w:p w:rsidR="00065E95" w:rsidRPr="00F80387" w:rsidRDefault="00065E95" w:rsidP="004B134C">
            <w:pPr>
              <w:pStyle w:val="Table-AnnualReport"/>
            </w:pPr>
          </w:p>
        </w:tc>
        <w:tc>
          <w:tcPr>
            <w:tcW w:w="1275" w:type="dxa"/>
          </w:tcPr>
          <w:p w:rsidR="00065E95" w:rsidRPr="00F80387" w:rsidRDefault="00065E95" w:rsidP="004B134C">
            <w:pPr>
              <w:pStyle w:val="Table-AnnualReport"/>
              <w:jc w:val="right"/>
            </w:pPr>
            <w:r w:rsidRPr="00F80387">
              <w:rPr>
                <w:rFonts w:cs="Arial"/>
                <w:color w:val="000000"/>
              </w:rPr>
              <w:t>37.0</w:t>
            </w:r>
          </w:p>
        </w:tc>
        <w:tc>
          <w:tcPr>
            <w:tcW w:w="1275" w:type="dxa"/>
          </w:tcPr>
          <w:p w:rsidR="00065E95" w:rsidRPr="00F80387" w:rsidRDefault="00065E95" w:rsidP="004B134C">
            <w:pPr>
              <w:pStyle w:val="Table-AnnualReport"/>
              <w:jc w:val="right"/>
              <w:rPr>
                <w:rFonts w:cs="Arial"/>
                <w:color w:val="000000"/>
              </w:rPr>
            </w:pPr>
            <w:r w:rsidRPr="00F80387">
              <w:rPr>
                <w:rFonts w:cs="Arial"/>
                <w:color w:val="000000"/>
              </w:rPr>
              <w:t>24.90</w:t>
            </w:r>
          </w:p>
        </w:tc>
        <w:tc>
          <w:tcPr>
            <w:tcW w:w="1275" w:type="dxa"/>
            <w:shd w:val="clear" w:color="auto" w:fill="auto"/>
            <w:vAlign w:val="bottom"/>
          </w:tcPr>
          <w:p w:rsidR="00065E95" w:rsidRPr="00F80387" w:rsidRDefault="00065E95" w:rsidP="004B134C">
            <w:pPr>
              <w:pStyle w:val="Table-AnnualReport"/>
              <w:jc w:val="right"/>
              <w:rPr>
                <w:rFonts w:cs="Tahoma"/>
                <w:color w:val="333333"/>
              </w:rPr>
            </w:pPr>
            <w:r w:rsidRPr="00F80387">
              <w:rPr>
                <w:rFonts w:cs="Tahoma"/>
                <w:color w:val="333333"/>
              </w:rPr>
              <w:t>22.20</w:t>
            </w:r>
          </w:p>
        </w:tc>
        <w:tc>
          <w:tcPr>
            <w:tcW w:w="1275" w:type="dxa"/>
            <w:vAlign w:val="bottom"/>
          </w:tcPr>
          <w:p w:rsidR="00065E95" w:rsidRPr="00F80387" w:rsidRDefault="00065E95" w:rsidP="004B134C">
            <w:pPr>
              <w:pStyle w:val="Table-AnnualReport"/>
              <w:jc w:val="right"/>
              <w:rPr>
                <w:color w:val="000000"/>
              </w:rPr>
            </w:pPr>
            <w:r w:rsidRPr="00F80387">
              <w:rPr>
                <w:color w:val="000000"/>
              </w:rPr>
              <w:t>21.50</w:t>
            </w:r>
          </w:p>
        </w:tc>
      </w:tr>
      <w:tr w:rsidR="00065E95" w:rsidRPr="00F80387" w:rsidTr="004937F7">
        <w:tc>
          <w:tcPr>
            <w:tcW w:w="4253" w:type="dxa"/>
            <w:vAlign w:val="center"/>
          </w:tcPr>
          <w:p w:rsidR="00065E95" w:rsidRPr="00F80387" w:rsidRDefault="00065E95" w:rsidP="004B134C">
            <w:pPr>
              <w:pStyle w:val="Table-AnnualReport"/>
            </w:pPr>
            <w:bookmarkStart w:id="208" w:name="_Toc303758159"/>
            <w:bookmarkStart w:id="209" w:name="_Toc304279154"/>
            <w:r w:rsidRPr="00F80387">
              <w:t>Visiting Medical Officers</w:t>
            </w:r>
            <w:bookmarkEnd w:id="208"/>
            <w:bookmarkEnd w:id="209"/>
          </w:p>
        </w:tc>
        <w:tc>
          <w:tcPr>
            <w:tcW w:w="283" w:type="dxa"/>
            <w:vAlign w:val="center"/>
          </w:tcPr>
          <w:p w:rsidR="00065E95" w:rsidRPr="00F80387" w:rsidRDefault="00065E95" w:rsidP="004B134C">
            <w:pPr>
              <w:pStyle w:val="Table-AnnualReport"/>
            </w:pPr>
          </w:p>
        </w:tc>
        <w:tc>
          <w:tcPr>
            <w:tcW w:w="1275" w:type="dxa"/>
          </w:tcPr>
          <w:p w:rsidR="00065E95" w:rsidRPr="00F80387" w:rsidRDefault="00065E95" w:rsidP="004B134C">
            <w:pPr>
              <w:pStyle w:val="Table-AnnualReport"/>
              <w:jc w:val="right"/>
            </w:pPr>
            <w:r w:rsidRPr="00F80387">
              <w:rPr>
                <w:rFonts w:cs="Arial"/>
                <w:color w:val="000000"/>
              </w:rPr>
              <w:t>43.3</w:t>
            </w:r>
          </w:p>
        </w:tc>
        <w:tc>
          <w:tcPr>
            <w:tcW w:w="1275" w:type="dxa"/>
          </w:tcPr>
          <w:p w:rsidR="00065E95" w:rsidRPr="00F80387" w:rsidRDefault="00065E95" w:rsidP="004B134C">
            <w:pPr>
              <w:pStyle w:val="Table-AnnualReport"/>
              <w:jc w:val="right"/>
              <w:rPr>
                <w:rFonts w:cs="Arial"/>
                <w:color w:val="000000"/>
              </w:rPr>
            </w:pPr>
            <w:r w:rsidRPr="00F80387">
              <w:rPr>
                <w:rFonts w:cs="Arial"/>
                <w:color w:val="000000"/>
              </w:rPr>
              <w:t>2.09</w:t>
            </w:r>
          </w:p>
        </w:tc>
        <w:tc>
          <w:tcPr>
            <w:tcW w:w="1275" w:type="dxa"/>
            <w:shd w:val="clear" w:color="auto" w:fill="auto"/>
            <w:vAlign w:val="bottom"/>
          </w:tcPr>
          <w:p w:rsidR="00065E95" w:rsidRPr="00F80387" w:rsidRDefault="00065E95" w:rsidP="004B134C">
            <w:pPr>
              <w:pStyle w:val="Table-AnnualReport"/>
              <w:jc w:val="right"/>
              <w:rPr>
                <w:rFonts w:cs="Tahoma"/>
                <w:color w:val="333333"/>
              </w:rPr>
            </w:pPr>
            <w:r w:rsidRPr="00F80387">
              <w:rPr>
                <w:rFonts w:cs="Tahoma"/>
                <w:color w:val="333333"/>
              </w:rPr>
              <w:t>1.57</w:t>
            </w:r>
          </w:p>
        </w:tc>
        <w:tc>
          <w:tcPr>
            <w:tcW w:w="1275" w:type="dxa"/>
            <w:vAlign w:val="bottom"/>
          </w:tcPr>
          <w:p w:rsidR="00065E95" w:rsidRPr="00F80387" w:rsidRDefault="00065E95" w:rsidP="004B134C">
            <w:pPr>
              <w:pStyle w:val="Table-AnnualReport"/>
              <w:jc w:val="right"/>
              <w:rPr>
                <w:color w:val="000000"/>
              </w:rPr>
            </w:pPr>
            <w:r w:rsidRPr="00F80387">
              <w:rPr>
                <w:color w:val="000000"/>
              </w:rPr>
              <w:t>2.42</w:t>
            </w:r>
          </w:p>
        </w:tc>
      </w:tr>
      <w:tr w:rsidR="00D60752" w:rsidRPr="00D60752" w:rsidTr="004937F7">
        <w:tc>
          <w:tcPr>
            <w:tcW w:w="4253" w:type="dxa"/>
            <w:vAlign w:val="center"/>
          </w:tcPr>
          <w:p w:rsidR="00065E95" w:rsidRPr="000F7A1D" w:rsidRDefault="00065E95" w:rsidP="000F7A1D">
            <w:pPr>
              <w:rPr>
                <w:b/>
                <w:sz w:val="18"/>
                <w:szCs w:val="18"/>
              </w:rPr>
            </w:pPr>
            <w:bookmarkStart w:id="210" w:name="_Toc303758164"/>
            <w:bookmarkStart w:id="211" w:name="_Toc304279159"/>
            <w:r w:rsidRPr="000F7A1D">
              <w:rPr>
                <w:b/>
                <w:sz w:val="18"/>
                <w:szCs w:val="18"/>
              </w:rPr>
              <w:t>Total</w:t>
            </w:r>
            <w:bookmarkEnd w:id="210"/>
            <w:bookmarkEnd w:id="211"/>
          </w:p>
        </w:tc>
        <w:tc>
          <w:tcPr>
            <w:tcW w:w="283" w:type="dxa"/>
            <w:vAlign w:val="center"/>
          </w:tcPr>
          <w:p w:rsidR="00065E95" w:rsidRPr="000F7A1D" w:rsidRDefault="00065E95" w:rsidP="000F7A1D">
            <w:pPr>
              <w:rPr>
                <w:b/>
                <w:sz w:val="18"/>
                <w:szCs w:val="18"/>
              </w:rPr>
            </w:pPr>
          </w:p>
        </w:tc>
        <w:tc>
          <w:tcPr>
            <w:tcW w:w="1275" w:type="dxa"/>
          </w:tcPr>
          <w:p w:rsidR="00065E95" w:rsidRPr="000F7A1D" w:rsidRDefault="0094172F" w:rsidP="000F7A1D">
            <w:pPr>
              <w:jc w:val="right"/>
              <w:rPr>
                <w:b/>
                <w:sz w:val="18"/>
                <w:szCs w:val="18"/>
              </w:rPr>
            </w:pPr>
            <w:r w:rsidRPr="000F7A1D">
              <w:rPr>
                <w:rFonts w:cs="Arial"/>
                <w:b/>
                <w:bCs/>
                <w:color w:val="000000"/>
                <w:sz w:val="18"/>
                <w:szCs w:val="18"/>
              </w:rPr>
              <w:t>9 </w:t>
            </w:r>
            <w:r w:rsidR="00065E95" w:rsidRPr="000F7A1D">
              <w:rPr>
                <w:rFonts w:cs="Arial"/>
                <w:b/>
                <w:bCs/>
                <w:color w:val="000000"/>
                <w:sz w:val="18"/>
                <w:szCs w:val="18"/>
              </w:rPr>
              <w:t>290.5</w:t>
            </w:r>
          </w:p>
        </w:tc>
        <w:tc>
          <w:tcPr>
            <w:tcW w:w="1275" w:type="dxa"/>
          </w:tcPr>
          <w:p w:rsidR="00065E95" w:rsidRPr="000F7A1D" w:rsidRDefault="00065E95" w:rsidP="000F7A1D">
            <w:pPr>
              <w:jc w:val="right"/>
              <w:rPr>
                <w:rFonts w:cs="Arial"/>
                <w:b/>
                <w:color w:val="000000"/>
                <w:sz w:val="18"/>
                <w:szCs w:val="18"/>
              </w:rPr>
            </w:pPr>
            <w:r w:rsidRPr="000F7A1D">
              <w:rPr>
                <w:rFonts w:cs="Arial"/>
                <w:b/>
                <w:color w:val="000000"/>
                <w:sz w:val="18"/>
                <w:szCs w:val="18"/>
              </w:rPr>
              <w:t>2 619.38</w:t>
            </w:r>
          </w:p>
        </w:tc>
        <w:tc>
          <w:tcPr>
            <w:tcW w:w="1275" w:type="dxa"/>
            <w:shd w:val="clear" w:color="auto" w:fill="auto"/>
            <w:vAlign w:val="bottom"/>
          </w:tcPr>
          <w:p w:rsidR="00065E95" w:rsidRPr="000F7A1D" w:rsidRDefault="00065E95" w:rsidP="000F7A1D">
            <w:pPr>
              <w:jc w:val="right"/>
              <w:rPr>
                <w:rFonts w:cs="Tahoma"/>
                <w:b/>
                <w:bCs/>
                <w:color w:val="000000"/>
                <w:sz w:val="18"/>
                <w:szCs w:val="18"/>
              </w:rPr>
            </w:pPr>
            <w:r w:rsidRPr="000F7A1D">
              <w:rPr>
                <w:rFonts w:cs="Tahoma"/>
                <w:b/>
                <w:bCs/>
                <w:color w:val="000000"/>
                <w:sz w:val="18"/>
                <w:szCs w:val="18"/>
              </w:rPr>
              <w:t>1 843.94</w:t>
            </w:r>
          </w:p>
        </w:tc>
        <w:tc>
          <w:tcPr>
            <w:tcW w:w="1275" w:type="dxa"/>
            <w:vAlign w:val="bottom"/>
          </w:tcPr>
          <w:p w:rsidR="00065E95" w:rsidRPr="00D60752" w:rsidRDefault="00065E95" w:rsidP="00D60752">
            <w:pPr>
              <w:jc w:val="right"/>
              <w:rPr>
                <w:b/>
                <w:bCs/>
                <w:sz w:val="18"/>
                <w:szCs w:val="18"/>
              </w:rPr>
            </w:pPr>
            <w:r w:rsidRPr="00D60752">
              <w:rPr>
                <w:b/>
                <w:bCs/>
                <w:sz w:val="18"/>
                <w:szCs w:val="18"/>
              </w:rPr>
              <w:t>1 650.6</w:t>
            </w:r>
            <w:r w:rsidR="00D60752" w:rsidRPr="00D60752">
              <w:rPr>
                <w:b/>
                <w:bCs/>
                <w:sz w:val="18"/>
                <w:szCs w:val="18"/>
              </w:rPr>
              <w:t>3</w:t>
            </w:r>
          </w:p>
        </w:tc>
      </w:tr>
    </w:tbl>
    <w:p w:rsidR="0094599C" w:rsidRDefault="0094599C" w:rsidP="00F80387">
      <w:pPr>
        <w:pStyle w:val="Heading4"/>
      </w:pPr>
    </w:p>
    <w:p w:rsidR="00065E95" w:rsidRPr="00F80387" w:rsidRDefault="00065E95" w:rsidP="00F80387">
      <w:pPr>
        <w:pStyle w:val="Heading4"/>
      </w:pPr>
      <w:r w:rsidRPr="00F80387">
        <w:t xml:space="preserve">Total Number Paid by Employment Category: Permanent, Full Time, Part Time, Fixed Term and Casual  </w:t>
      </w:r>
    </w:p>
    <w:tbl>
      <w:tblPr>
        <w:tblW w:w="9642" w:type="dxa"/>
        <w:tblInd w:w="108" w:type="dxa"/>
        <w:tblBorders>
          <w:top w:val="single" w:sz="2" w:space="0" w:color="808080"/>
          <w:insideH w:val="single" w:sz="2" w:space="0" w:color="808080"/>
        </w:tblBorders>
        <w:tblLook w:val="04A0" w:firstRow="1" w:lastRow="0" w:firstColumn="1" w:lastColumn="0" w:noHBand="0" w:noVBand="1"/>
      </w:tblPr>
      <w:tblGrid>
        <w:gridCol w:w="4253"/>
        <w:gridCol w:w="283"/>
        <w:gridCol w:w="1275"/>
        <w:gridCol w:w="1275"/>
        <w:gridCol w:w="1278"/>
        <w:gridCol w:w="1278"/>
      </w:tblGrid>
      <w:tr w:rsidR="00065E95" w:rsidRPr="00F80387" w:rsidTr="004937F7">
        <w:trPr>
          <w:trHeight w:val="424"/>
        </w:trPr>
        <w:tc>
          <w:tcPr>
            <w:tcW w:w="4253" w:type="dxa"/>
            <w:shd w:val="clear" w:color="auto" w:fill="auto"/>
            <w:vAlign w:val="center"/>
          </w:tcPr>
          <w:p w:rsidR="00065E95" w:rsidRPr="00F80387" w:rsidRDefault="00065E95" w:rsidP="004937F7">
            <w:pPr>
              <w:pStyle w:val="Table-AnnualReport"/>
              <w:jc w:val="right"/>
              <w:rPr>
                <w:b/>
              </w:rPr>
            </w:pPr>
          </w:p>
        </w:tc>
        <w:tc>
          <w:tcPr>
            <w:tcW w:w="283" w:type="dxa"/>
            <w:shd w:val="clear" w:color="auto" w:fill="auto"/>
            <w:vAlign w:val="center"/>
          </w:tcPr>
          <w:p w:rsidR="00065E95" w:rsidRPr="00F80387" w:rsidRDefault="00065E95" w:rsidP="004937F7">
            <w:pPr>
              <w:pStyle w:val="Table-AnnualReport"/>
              <w:jc w:val="right"/>
              <w:rPr>
                <w:b/>
              </w:rPr>
            </w:pPr>
          </w:p>
        </w:tc>
        <w:tc>
          <w:tcPr>
            <w:tcW w:w="1275" w:type="dxa"/>
            <w:shd w:val="clear" w:color="auto" w:fill="auto"/>
            <w:vAlign w:val="center"/>
          </w:tcPr>
          <w:p w:rsidR="00065E95" w:rsidRPr="00F80387" w:rsidRDefault="00065E95" w:rsidP="004937F7">
            <w:pPr>
              <w:pStyle w:val="Table-AnnualReport"/>
              <w:jc w:val="right"/>
              <w:rPr>
                <w:b/>
              </w:rPr>
            </w:pPr>
            <w:r w:rsidRPr="00F80387">
              <w:rPr>
                <w:b/>
              </w:rPr>
              <w:t>2011-12</w:t>
            </w:r>
          </w:p>
        </w:tc>
        <w:tc>
          <w:tcPr>
            <w:tcW w:w="1275" w:type="dxa"/>
            <w:shd w:val="clear" w:color="auto" w:fill="auto"/>
            <w:vAlign w:val="center"/>
          </w:tcPr>
          <w:p w:rsidR="00065E95" w:rsidRPr="00F80387" w:rsidRDefault="00065E95" w:rsidP="004937F7">
            <w:pPr>
              <w:pStyle w:val="Table-AnnualReport"/>
              <w:jc w:val="right"/>
              <w:rPr>
                <w:b/>
              </w:rPr>
            </w:pPr>
            <w:r w:rsidRPr="00F80387">
              <w:rPr>
                <w:b/>
              </w:rPr>
              <w:t>2012-13</w:t>
            </w:r>
          </w:p>
        </w:tc>
        <w:tc>
          <w:tcPr>
            <w:tcW w:w="1278" w:type="dxa"/>
            <w:shd w:val="clear" w:color="auto" w:fill="auto"/>
            <w:vAlign w:val="center"/>
          </w:tcPr>
          <w:p w:rsidR="00065E95" w:rsidRPr="00F80387" w:rsidRDefault="00065E95" w:rsidP="004937F7">
            <w:pPr>
              <w:pStyle w:val="Table-AnnualReport"/>
              <w:jc w:val="right"/>
              <w:rPr>
                <w:b/>
              </w:rPr>
            </w:pPr>
            <w:r w:rsidRPr="00F80387">
              <w:rPr>
                <w:b/>
              </w:rPr>
              <w:t>2013-14</w:t>
            </w:r>
          </w:p>
        </w:tc>
        <w:tc>
          <w:tcPr>
            <w:tcW w:w="1278" w:type="dxa"/>
            <w:vAlign w:val="center"/>
          </w:tcPr>
          <w:p w:rsidR="00065E95" w:rsidRPr="00F80387" w:rsidRDefault="00065E95" w:rsidP="004937F7">
            <w:pPr>
              <w:pStyle w:val="Table-AnnualReport"/>
              <w:jc w:val="right"/>
              <w:rPr>
                <w:b/>
              </w:rPr>
            </w:pPr>
            <w:r w:rsidRPr="00F80387">
              <w:rPr>
                <w:b/>
              </w:rPr>
              <w:t>2014-15</w:t>
            </w:r>
          </w:p>
        </w:tc>
      </w:tr>
      <w:tr w:rsidR="00065E95" w:rsidRPr="00F80387" w:rsidTr="00277671">
        <w:tc>
          <w:tcPr>
            <w:tcW w:w="4253" w:type="dxa"/>
          </w:tcPr>
          <w:p w:rsidR="00065E95" w:rsidRPr="00F80387" w:rsidRDefault="00065E95" w:rsidP="004937F7">
            <w:pPr>
              <w:pStyle w:val="Table-AnnualReport"/>
            </w:pPr>
            <w:bookmarkStart w:id="212" w:name="_Toc303758174"/>
            <w:bookmarkStart w:id="213" w:name="_Toc304279169"/>
            <w:r w:rsidRPr="00F80387">
              <w:t>Permanent full-time</w:t>
            </w:r>
            <w:bookmarkEnd w:id="212"/>
            <w:bookmarkEnd w:id="213"/>
          </w:p>
        </w:tc>
        <w:tc>
          <w:tcPr>
            <w:tcW w:w="283" w:type="dxa"/>
          </w:tcPr>
          <w:p w:rsidR="00065E95" w:rsidRPr="00F80387" w:rsidRDefault="00065E95" w:rsidP="004937F7">
            <w:pPr>
              <w:pStyle w:val="Table-AnnualReport"/>
            </w:pPr>
          </w:p>
        </w:tc>
        <w:tc>
          <w:tcPr>
            <w:tcW w:w="1275" w:type="dxa"/>
          </w:tcPr>
          <w:p w:rsidR="00065E95" w:rsidRPr="00F80387" w:rsidRDefault="00065E95" w:rsidP="004937F7">
            <w:pPr>
              <w:pStyle w:val="Table-AnnualReport"/>
              <w:jc w:val="right"/>
            </w:pPr>
            <w:r w:rsidRPr="00F80387">
              <w:t>4 393</w:t>
            </w:r>
          </w:p>
        </w:tc>
        <w:tc>
          <w:tcPr>
            <w:tcW w:w="1275" w:type="dxa"/>
          </w:tcPr>
          <w:p w:rsidR="00065E95" w:rsidRPr="00F80387" w:rsidRDefault="00065E95" w:rsidP="004937F7">
            <w:pPr>
              <w:pStyle w:val="Table-AnnualReport"/>
              <w:jc w:val="right"/>
            </w:pPr>
            <w:r w:rsidRPr="00F80387">
              <w:t>1 753</w:t>
            </w:r>
          </w:p>
        </w:tc>
        <w:tc>
          <w:tcPr>
            <w:tcW w:w="1278" w:type="dxa"/>
            <w:shd w:val="clear" w:color="auto" w:fill="auto"/>
          </w:tcPr>
          <w:p w:rsidR="00065E95" w:rsidRPr="00F80387" w:rsidRDefault="00065E95" w:rsidP="004937F7">
            <w:pPr>
              <w:pStyle w:val="Table-AnnualReport"/>
              <w:jc w:val="right"/>
              <w:rPr>
                <w:rFonts w:cs="Arial"/>
                <w:color w:val="000000"/>
              </w:rPr>
            </w:pPr>
            <w:r w:rsidRPr="00F80387">
              <w:rPr>
                <w:rFonts w:cs="Arial"/>
                <w:color w:val="000000"/>
              </w:rPr>
              <w:t>1</w:t>
            </w:r>
            <w:r w:rsidR="00482AA0" w:rsidRPr="00F80387">
              <w:rPr>
                <w:rFonts w:cs="Arial"/>
                <w:color w:val="000000"/>
              </w:rPr>
              <w:t> </w:t>
            </w:r>
            <w:r w:rsidRPr="00F80387">
              <w:rPr>
                <w:rFonts w:cs="Arial"/>
                <w:color w:val="000000"/>
              </w:rPr>
              <w:t>316</w:t>
            </w:r>
          </w:p>
        </w:tc>
        <w:tc>
          <w:tcPr>
            <w:tcW w:w="1278" w:type="dxa"/>
          </w:tcPr>
          <w:p w:rsidR="00065E95" w:rsidRPr="00F80387" w:rsidRDefault="00065E95" w:rsidP="004937F7">
            <w:pPr>
              <w:pStyle w:val="Table-AnnualReport"/>
              <w:jc w:val="right"/>
              <w:rPr>
                <w:rFonts w:cs="Arial"/>
                <w:color w:val="000000"/>
              </w:rPr>
            </w:pPr>
            <w:r w:rsidRPr="00F80387">
              <w:rPr>
                <w:rFonts w:cs="Arial"/>
                <w:color w:val="000000"/>
              </w:rPr>
              <w:t>1</w:t>
            </w:r>
            <w:r w:rsidR="00482AA0" w:rsidRPr="00F80387">
              <w:rPr>
                <w:rFonts w:cs="Arial"/>
                <w:color w:val="000000"/>
              </w:rPr>
              <w:t> </w:t>
            </w:r>
            <w:r w:rsidRPr="00F80387">
              <w:rPr>
                <w:rFonts w:cs="Arial"/>
                <w:color w:val="000000"/>
              </w:rPr>
              <w:t>193</w:t>
            </w:r>
          </w:p>
        </w:tc>
      </w:tr>
      <w:tr w:rsidR="00065E95" w:rsidRPr="00F80387" w:rsidTr="00277671">
        <w:tc>
          <w:tcPr>
            <w:tcW w:w="4253" w:type="dxa"/>
          </w:tcPr>
          <w:p w:rsidR="00065E95" w:rsidRPr="00F80387" w:rsidRDefault="00065E95" w:rsidP="004937F7">
            <w:pPr>
              <w:pStyle w:val="Table-AnnualReport"/>
            </w:pPr>
            <w:bookmarkStart w:id="214" w:name="_Toc303758179"/>
            <w:bookmarkStart w:id="215" w:name="_Toc304279174"/>
            <w:r w:rsidRPr="00F80387">
              <w:t>Permanent part-time</w:t>
            </w:r>
            <w:bookmarkEnd w:id="214"/>
            <w:bookmarkEnd w:id="215"/>
          </w:p>
        </w:tc>
        <w:tc>
          <w:tcPr>
            <w:tcW w:w="283" w:type="dxa"/>
          </w:tcPr>
          <w:p w:rsidR="00065E95" w:rsidRPr="00F80387" w:rsidRDefault="00065E95" w:rsidP="004937F7">
            <w:pPr>
              <w:pStyle w:val="Table-AnnualReport"/>
            </w:pPr>
          </w:p>
        </w:tc>
        <w:tc>
          <w:tcPr>
            <w:tcW w:w="1275" w:type="dxa"/>
          </w:tcPr>
          <w:p w:rsidR="00065E95" w:rsidRPr="00F80387" w:rsidRDefault="00065E95" w:rsidP="004937F7">
            <w:pPr>
              <w:pStyle w:val="Table-AnnualReport"/>
              <w:jc w:val="right"/>
            </w:pPr>
            <w:r w:rsidRPr="00F80387">
              <w:t>4 436</w:t>
            </w:r>
          </w:p>
        </w:tc>
        <w:tc>
          <w:tcPr>
            <w:tcW w:w="1275" w:type="dxa"/>
          </w:tcPr>
          <w:p w:rsidR="00065E95" w:rsidRPr="00F80387" w:rsidRDefault="00065E95" w:rsidP="004937F7">
            <w:pPr>
              <w:pStyle w:val="Table-AnnualReport"/>
              <w:jc w:val="right"/>
            </w:pPr>
            <w:r w:rsidRPr="00F80387">
              <w:t>684</w:t>
            </w:r>
          </w:p>
        </w:tc>
        <w:tc>
          <w:tcPr>
            <w:tcW w:w="1278" w:type="dxa"/>
            <w:shd w:val="clear" w:color="auto" w:fill="auto"/>
          </w:tcPr>
          <w:p w:rsidR="00065E95" w:rsidRPr="00F80387" w:rsidRDefault="00065E95" w:rsidP="004937F7">
            <w:pPr>
              <w:pStyle w:val="Table-AnnualReport"/>
              <w:jc w:val="right"/>
              <w:rPr>
                <w:rFonts w:cs="Arial"/>
                <w:color w:val="000000"/>
              </w:rPr>
            </w:pPr>
            <w:r w:rsidRPr="00F80387">
              <w:rPr>
                <w:rFonts w:cs="Arial"/>
                <w:color w:val="000000"/>
              </w:rPr>
              <w:t>507</w:t>
            </w:r>
          </w:p>
        </w:tc>
        <w:tc>
          <w:tcPr>
            <w:tcW w:w="1278" w:type="dxa"/>
          </w:tcPr>
          <w:p w:rsidR="00065E95" w:rsidRPr="00F80387" w:rsidRDefault="00065E95" w:rsidP="004937F7">
            <w:pPr>
              <w:pStyle w:val="Table-AnnualReport"/>
              <w:jc w:val="right"/>
              <w:rPr>
                <w:rFonts w:cs="Arial"/>
                <w:color w:val="000000"/>
              </w:rPr>
            </w:pPr>
            <w:r w:rsidRPr="00F80387">
              <w:rPr>
                <w:rFonts w:cs="Arial"/>
                <w:color w:val="000000"/>
              </w:rPr>
              <w:t>468</w:t>
            </w:r>
          </w:p>
        </w:tc>
      </w:tr>
      <w:tr w:rsidR="00065E95" w:rsidRPr="00F80387" w:rsidTr="00277671">
        <w:tc>
          <w:tcPr>
            <w:tcW w:w="4253" w:type="dxa"/>
          </w:tcPr>
          <w:p w:rsidR="00065E95" w:rsidRPr="00F80387" w:rsidRDefault="00065E95" w:rsidP="004937F7">
            <w:pPr>
              <w:pStyle w:val="Table-AnnualReport"/>
            </w:pPr>
            <w:bookmarkStart w:id="216" w:name="_Toc303758184"/>
            <w:bookmarkStart w:id="217" w:name="_Toc304279179"/>
            <w:r w:rsidRPr="00F80387">
              <w:t>Fixed-term full-time</w:t>
            </w:r>
            <w:bookmarkEnd w:id="216"/>
            <w:bookmarkEnd w:id="217"/>
          </w:p>
        </w:tc>
        <w:tc>
          <w:tcPr>
            <w:tcW w:w="283" w:type="dxa"/>
          </w:tcPr>
          <w:p w:rsidR="00065E95" w:rsidRPr="00F80387" w:rsidRDefault="00065E95" w:rsidP="004937F7">
            <w:pPr>
              <w:pStyle w:val="Table-AnnualReport"/>
            </w:pPr>
          </w:p>
        </w:tc>
        <w:tc>
          <w:tcPr>
            <w:tcW w:w="1275" w:type="dxa"/>
          </w:tcPr>
          <w:p w:rsidR="00065E95" w:rsidRPr="00F80387" w:rsidRDefault="00065E95" w:rsidP="004937F7">
            <w:pPr>
              <w:pStyle w:val="Table-AnnualReport"/>
              <w:jc w:val="right"/>
            </w:pPr>
            <w:r w:rsidRPr="00F80387">
              <w:t>920</w:t>
            </w:r>
          </w:p>
        </w:tc>
        <w:tc>
          <w:tcPr>
            <w:tcW w:w="1275" w:type="dxa"/>
          </w:tcPr>
          <w:p w:rsidR="00065E95" w:rsidRPr="00F80387" w:rsidRDefault="00065E95" w:rsidP="004937F7">
            <w:pPr>
              <w:pStyle w:val="Table-AnnualReport"/>
              <w:jc w:val="right"/>
            </w:pPr>
            <w:r w:rsidRPr="00F80387">
              <w:t>215</w:t>
            </w:r>
          </w:p>
        </w:tc>
        <w:tc>
          <w:tcPr>
            <w:tcW w:w="1278" w:type="dxa"/>
            <w:shd w:val="clear" w:color="auto" w:fill="auto"/>
          </w:tcPr>
          <w:p w:rsidR="00065E95" w:rsidRPr="00F80387" w:rsidRDefault="00065E95" w:rsidP="004937F7">
            <w:pPr>
              <w:pStyle w:val="Table-AnnualReport"/>
              <w:jc w:val="right"/>
              <w:rPr>
                <w:rFonts w:cs="Arial"/>
                <w:color w:val="000000"/>
              </w:rPr>
            </w:pPr>
            <w:r w:rsidRPr="00F80387">
              <w:rPr>
                <w:rFonts w:cs="Arial"/>
                <w:color w:val="000000"/>
              </w:rPr>
              <w:t>119</w:t>
            </w:r>
          </w:p>
        </w:tc>
        <w:tc>
          <w:tcPr>
            <w:tcW w:w="1278" w:type="dxa"/>
          </w:tcPr>
          <w:p w:rsidR="00065E95" w:rsidRPr="00F80387" w:rsidRDefault="00065E95" w:rsidP="004937F7">
            <w:pPr>
              <w:pStyle w:val="Table-AnnualReport"/>
              <w:jc w:val="right"/>
              <w:rPr>
                <w:rFonts w:cs="Arial"/>
                <w:color w:val="000000"/>
              </w:rPr>
            </w:pPr>
            <w:r w:rsidRPr="00F80387">
              <w:rPr>
                <w:rFonts w:cs="Arial"/>
                <w:color w:val="000000"/>
              </w:rPr>
              <w:t>86</w:t>
            </w:r>
          </w:p>
        </w:tc>
      </w:tr>
      <w:tr w:rsidR="00065E95" w:rsidRPr="00F80387" w:rsidTr="00277671">
        <w:tc>
          <w:tcPr>
            <w:tcW w:w="4253" w:type="dxa"/>
          </w:tcPr>
          <w:p w:rsidR="00065E95" w:rsidRPr="00F80387" w:rsidRDefault="00065E95" w:rsidP="004937F7">
            <w:pPr>
              <w:pStyle w:val="Table-AnnualReport"/>
            </w:pPr>
            <w:bookmarkStart w:id="218" w:name="_Toc303758189"/>
            <w:bookmarkStart w:id="219" w:name="_Toc304279184"/>
            <w:r w:rsidRPr="00F80387">
              <w:t>Fixed-term part-time</w:t>
            </w:r>
            <w:bookmarkEnd w:id="218"/>
            <w:bookmarkEnd w:id="219"/>
          </w:p>
        </w:tc>
        <w:tc>
          <w:tcPr>
            <w:tcW w:w="283" w:type="dxa"/>
          </w:tcPr>
          <w:p w:rsidR="00065E95" w:rsidRPr="00F80387" w:rsidRDefault="00065E95" w:rsidP="004937F7">
            <w:pPr>
              <w:pStyle w:val="Table-AnnualReport"/>
            </w:pPr>
          </w:p>
        </w:tc>
        <w:tc>
          <w:tcPr>
            <w:tcW w:w="1275" w:type="dxa"/>
          </w:tcPr>
          <w:p w:rsidR="00065E95" w:rsidRPr="00F80387" w:rsidRDefault="00065E95" w:rsidP="004937F7">
            <w:pPr>
              <w:pStyle w:val="Table-AnnualReport"/>
              <w:jc w:val="right"/>
            </w:pPr>
            <w:r w:rsidRPr="00F80387">
              <w:t>736</w:t>
            </w:r>
          </w:p>
        </w:tc>
        <w:tc>
          <w:tcPr>
            <w:tcW w:w="1275" w:type="dxa"/>
          </w:tcPr>
          <w:p w:rsidR="00065E95" w:rsidRPr="00F80387" w:rsidRDefault="00065E95" w:rsidP="004937F7">
            <w:pPr>
              <w:pStyle w:val="Table-AnnualReport"/>
              <w:jc w:val="right"/>
            </w:pPr>
            <w:r w:rsidRPr="00F80387">
              <w:t>107</w:t>
            </w:r>
          </w:p>
        </w:tc>
        <w:tc>
          <w:tcPr>
            <w:tcW w:w="1278" w:type="dxa"/>
            <w:shd w:val="clear" w:color="auto" w:fill="auto"/>
          </w:tcPr>
          <w:p w:rsidR="00065E95" w:rsidRPr="00F80387" w:rsidRDefault="00065E95" w:rsidP="004937F7">
            <w:pPr>
              <w:pStyle w:val="Table-AnnualReport"/>
              <w:jc w:val="right"/>
              <w:rPr>
                <w:rFonts w:cs="Arial"/>
                <w:color w:val="000000"/>
              </w:rPr>
            </w:pPr>
            <w:r w:rsidRPr="00F80387">
              <w:rPr>
                <w:rFonts w:cs="Arial"/>
                <w:color w:val="000000"/>
              </w:rPr>
              <w:t>59</w:t>
            </w:r>
          </w:p>
        </w:tc>
        <w:tc>
          <w:tcPr>
            <w:tcW w:w="1278" w:type="dxa"/>
          </w:tcPr>
          <w:p w:rsidR="00065E95" w:rsidRPr="00F80387" w:rsidRDefault="00065E95" w:rsidP="004937F7">
            <w:pPr>
              <w:pStyle w:val="Table-AnnualReport"/>
              <w:jc w:val="right"/>
              <w:rPr>
                <w:rFonts w:cs="Arial"/>
                <w:color w:val="000000"/>
              </w:rPr>
            </w:pPr>
            <w:r w:rsidRPr="00F80387">
              <w:rPr>
                <w:rFonts w:cs="Arial"/>
                <w:color w:val="000000"/>
              </w:rPr>
              <w:t>33</w:t>
            </w:r>
          </w:p>
        </w:tc>
      </w:tr>
      <w:tr w:rsidR="00065E95" w:rsidRPr="00F80387" w:rsidTr="00277671">
        <w:tc>
          <w:tcPr>
            <w:tcW w:w="4253" w:type="dxa"/>
          </w:tcPr>
          <w:p w:rsidR="00065E95" w:rsidRPr="00F80387" w:rsidRDefault="00065E95" w:rsidP="004937F7">
            <w:pPr>
              <w:pStyle w:val="Table-AnnualReport"/>
            </w:pPr>
            <w:bookmarkStart w:id="220" w:name="_Toc303758194"/>
            <w:bookmarkStart w:id="221" w:name="_Toc304279189"/>
            <w:r w:rsidRPr="00F80387">
              <w:t>Part 6</w:t>
            </w:r>
            <w:r w:rsidRPr="00F80387">
              <w:rPr>
                <w:rFonts w:cs="Arial"/>
                <w:vertAlign w:val="superscript"/>
              </w:rPr>
              <w:t>1</w:t>
            </w:r>
            <w:bookmarkEnd w:id="220"/>
            <w:bookmarkEnd w:id="221"/>
          </w:p>
        </w:tc>
        <w:tc>
          <w:tcPr>
            <w:tcW w:w="283" w:type="dxa"/>
          </w:tcPr>
          <w:p w:rsidR="00065E95" w:rsidRPr="00F80387" w:rsidRDefault="00065E95" w:rsidP="004937F7">
            <w:pPr>
              <w:pStyle w:val="Table-AnnualReport"/>
            </w:pPr>
          </w:p>
        </w:tc>
        <w:tc>
          <w:tcPr>
            <w:tcW w:w="1275" w:type="dxa"/>
          </w:tcPr>
          <w:p w:rsidR="00065E95" w:rsidRPr="00F80387" w:rsidRDefault="00065E95" w:rsidP="004937F7">
            <w:pPr>
              <w:pStyle w:val="Table-AnnualReport"/>
              <w:jc w:val="right"/>
            </w:pPr>
            <w:r w:rsidRPr="00F80387">
              <w:t>55</w:t>
            </w:r>
          </w:p>
        </w:tc>
        <w:tc>
          <w:tcPr>
            <w:tcW w:w="1275" w:type="dxa"/>
          </w:tcPr>
          <w:p w:rsidR="00065E95" w:rsidRPr="00F80387" w:rsidRDefault="00065E95" w:rsidP="004937F7">
            <w:pPr>
              <w:pStyle w:val="Table-AnnualReport"/>
              <w:jc w:val="right"/>
            </w:pPr>
            <w:r w:rsidRPr="00F80387">
              <w:t>33</w:t>
            </w:r>
          </w:p>
        </w:tc>
        <w:tc>
          <w:tcPr>
            <w:tcW w:w="1278" w:type="dxa"/>
            <w:shd w:val="clear" w:color="auto" w:fill="auto"/>
          </w:tcPr>
          <w:p w:rsidR="00065E95" w:rsidRPr="00F80387" w:rsidRDefault="00065E95" w:rsidP="004937F7">
            <w:pPr>
              <w:pStyle w:val="Table-AnnualReport"/>
              <w:jc w:val="right"/>
            </w:pPr>
            <w:r w:rsidRPr="00F80387">
              <w:t>27</w:t>
            </w:r>
          </w:p>
        </w:tc>
        <w:tc>
          <w:tcPr>
            <w:tcW w:w="1278" w:type="dxa"/>
          </w:tcPr>
          <w:p w:rsidR="00065E95" w:rsidRPr="00F80387" w:rsidRDefault="00065E95" w:rsidP="004937F7">
            <w:pPr>
              <w:pStyle w:val="Table-AnnualReport"/>
              <w:jc w:val="right"/>
              <w:rPr>
                <w:rFonts w:cs="Arial"/>
                <w:color w:val="000000"/>
              </w:rPr>
            </w:pPr>
            <w:r w:rsidRPr="00F80387">
              <w:rPr>
                <w:rFonts w:cs="Arial"/>
                <w:color w:val="000000"/>
              </w:rPr>
              <w:t>23</w:t>
            </w:r>
          </w:p>
        </w:tc>
      </w:tr>
      <w:tr w:rsidR="00065E95" w:rsidRPr="00F80387" w:rsidTr="004937F7">
        <w:tc>
          <w:tcPr>
            <w:tcW w:w="4253" w:type="dxa"/>
            <w:tcBorders>
              <w:bottom w:val="single" w:sz="2" w:space="0" w:color="808080"/>
            </w:tcBorders>
          </w:tcPr>
          <w:p w:rsidR="00065E95" w:rsidRPr="00F80387" w:rsidRDefault="00065E95" w:rsidP="004937F7">
            <w:pPr>
              <w:pStyle w:val="Table-AnnualReport"/>
            </w:pPr>
            <w:bookmarkStart w:id="222" w:name="_Toc303758199"/>
            <w:bookmarkStart w:id="223" w:name="_Toc304279194"/>
            <w:r w:rsidRPr="00F80387">
              <w:t>Casual</w:t>
            </w:r>
            <w:bookmarkEnd w:id="222"/>
            <w:bookmarkEnd w:id="223"/>
          </w:p>
        </w:tc>
        <w:tc>
          <w:tcPr>
            <w:tcW w:w="283" w:type="dxa"/>
            <w:tcBorders>
              <w:bottom w:val="single" w:sz="2" w:space="0" w:color="808080"/>
            </w:tcBorders>
          </w:tcPr>
          <w:p w:rsidR="00065E95" w:rsidRPr="00F80387" w:rsidRDefault="00065E95" w:rsidP="004937F7">
            <w:pPr>
              <w:pStyle w:val="Table-AnnualReport"/>
            </w:pPr>
          </w:p>
        </w:tc>
        <w:tc>
          <w:tcPr>
            <w:tcW w:w="1275" w:type="dxa"/>
            <w:tcBorders>
              <w:bottom w:val="single" w:sz="2" w:space="0" w:color="808080"/>
            </w:tcBorders>
          </w:tcPr>
          <w:p w:rsidR="00065E95" w:rsidRPr="00F80387" w:rsidRDefault="00065E95" w:rsidP="004937F7">
            <w:pPr>
              <w:pStyle w:val="Table-AnnualReport"/>
              <w:jc w:val="right"/>
            </w:pPr>
            <w:r w:rsidRPr="00F80387">
              <w:t>961</w:t>
            </w:r>
          </w:p>
        </w:tc>
        <w:tc>
          <w:tcPr>
            <w:tcW w:w="1275" w:type="dxa"/>
            <w:tcBorders>
              <w:bottom w:val="single" w:sz="2" w:space="0" w:color="808080"/>
            </w:tcBorders>
          </w:tcPr>
          <w:p w:rsidR="00065E95" w:rsidRPr="00F80387" w:rsidRDefault="00065E95" w:rsidP="004937F7">
            <w:pPr>
              <w:pStyle w:val="Table-AnnualReport"/>
              <w:jc w:val="right"/>
            </w:pPr>
            <w:r w:rsidRPr="00F80387">
              <w:t>178</w:t>
            </w:r>
          </w:p>
        </w:tc>
        <w:tc>
          <w:tcPr>
            <w:tcW w:w="1278" w:type="dxa"/>
            <w:tcBorders>
              <w:bottom w:val="single" w:sz="2" w:space="0" w:color="808080"/>
            </w:tcBorders>
            <w:shd w:val="clear" w:color="auto" w:fill="auto"/>
          </w:tcPr>
          <w:p w:rsidR="00065E95" w:rsidRPr="00F80387" w:rsidRDefault="00065E95" w:rsidP="004937F7">
            <w:pPr>
              <w:pStyle w:val="Table-AnnualReport"/>
              <w:jc w:val="right"/>
            </w:pPr>
            <w:r w:rsidRPr="00F80387">
              <w:t>51</w:t>
            </w:r>
          </w:p>
        </w:tc>
        <w:tc>
          <w:tcPr>
            <w:tcW w:w="1278" w:type="dxa"/>
            <w:tcBorders>
              <w:bottom w:val="single" w:sz="2" w:space="0" w:color="808080"/>
            </w:tcBorders>
          </w:tcPr>
          <w:p w:rsidR="00065E95" w:rsidRPr="00F80387" w:rsidRDefault="00065E95" w:rsidP="004937F7">
            <w:pPr>
              <w:pStyle w:val="Table-AnnualReport"/>
              <w:jc w:val="right"/>
              <w:rPr>
                <w:rFonts w:cs="Arial"/>
                <w:color w:val="000000"/>
              </w:rPr>
            </w:pPr>
            <w:r w:rsidRPr="00F80387">
              <w:rPr>
                <w:rFonts w:cs="Arial"/>
                <w:color w:val="000000"/>
              </w:rPr>
              <w:t>39</w:t>
            </w:r>
          </w:p>
        </w:tc>
      </w:tr>
      <w:tr w:rsidR="00065E95" w:rsidRPr="00F80387" w:rsidTr="004937F7">
        <w:tc>
          <w:tcPr>
            <w:tcW w:w="4253" w:type="dxa"/>
            <w:tcBorders>
              <w:bottom w:val="single" w:sz="4" w:space="0" w:color="808080"/>
            </w:tcBorders>
          </w:tcPr>
          <w:p w:rsidR="00065E95" w:rsidRPr="00F80387" w:rsidRDefault="00065E95" w:rsidP="004937F7">
            <w:pPr>
              <w:pStyle w:val="Table-AnnualReport"/>
              <w:rPr>
                <w:b/>
              </w:rPr>
            </w:pPr>
            <w:bookmarkStart w:id="224" w:name="_Toc303758204"/>
            <w:bookmarkStart w:id="225" w:name="_Toc304279199"/>
            <w:r w:rsidRPr="00F80387">
              <w:rPr>
                <w:b/>
              </w:rPr>
              <w:t>Total</w:t>
            </w:r>
            <w:bookmarkEnd w:id="224"/>
            <w:bookmarkEnd w:id="225"/>
          </w:p>
        </w:tc>
        <w:tc>
          <w:tcPr>
            <w:tcW w:w="283" w:type="dxa"/>
            <w:tcBorders>
              <w:bottom w:val="single" w:sz="4" w:space="0" w:color="808080"/>
            </w:tcBorders>
          </w:tcPr>
          <w:p w:rsidR="00065E95" w:rsidRPr="00F80387" w:rsidRDefault="00065E95" w:rsidP="004937F7">
            <w:pPr>
              <w:pStyle w:val="Table-AnnualReport"/>
              <w:jc w:val="right"/>
              <w:rPr>
                <w:b/>
              </w:rPr>
            </w:pPr>
          </w:p>
        </w:tc>
        <w:tc>
          <w:tcPr>
            <w:tcW w:w="1275" w:type="dxa"/>
            <w:tcBorders>
              <w:bottom w:val="single" w:sz="4" w:space="0" w:color="808080"/>
            </w:tcBorders>
          </w:tcPr>
          <w:p w:rsidR="00065E95" w:rsidRPr="00F80387" w:rsidRDefault="00065E95" w:rsidP="00482AA0">
            <w:pPr>
              <w:pStyle w:val="Table-AnnualReport"/>
              <w:jc w:val="right"/>
              <w:rPr>
                <w:b/>
              </w:rPr>
            </w:pPr>
            <w:r w:rsidRPr="00F80387">
              <w:rPr>
                <w:b/>
              </w:rPr>
              <w:t>11</w:t>
            </w:r>
            <w:r w:rsidR="00482AA0" w:rsidRPr="00F80387">
              <w:rPr>
                <w:b/>
              </w:rPr>
              <w:t> </w:t>
            </w:r>
            <w:r w:rsidRPr="00F80387">
              <w:rPr>
                <w:b/>
              </w:rPr>
              <w:t>501</w:t>
            </w:r>
          </w:p>
        </w:tc>
        <w:tc>
          <w:tcPr>
            <w:tcW w:w="1275" w:type="dxa"/>
            <w:tcBorders>
              <w:bottom w:val="single" w:sz="4" w:space="0" w:color="808080"/>
            </w:tcBorders>
          </w:tcPr>
          <w:p w:rsidR="00065E95" w:rsidRPr="00F80387" w:rsidRDefault="00065E95" w:rsidP="004937F7">
            <w:pPr>
              <w:pStyle w:val="Table-AnnualReport"/>
              <w:jc w:val="right"/>
              <w:rPr>
                <w:b/>
              </w:rPr>
            </w:pPr>
            <w:r w:rsidRPr="00F80387">
              <w:rPr>
                <w:b/>
              </w:rPr>
              <w:t>2 970</w:t>
            </w:r>
          </w:p>
        </w:tc>
        <w:tc>
          <w:tcPr>
            <w:tcW w:w="1278" w:type="dxa"/>
            <w:tcBorders>
              <w:bottom w:val="single" w:sz="4" w:space="0" w:color="808080"/>
            </w:tcBorders>
            <w:shd w:val="clear" w:color="auto" w:fill="auto"/>
          </w:tcPr>
          <w:p w:rsidR="00065E95" w:rsidRPr="00F80387" w:rsidRDefault="00065E95" w:rsidP="004937F7">
            <w:pPr>
              <w:pStyle w:val="Table-AnnualReport"/>
              <w:jc w:val="right"/>
              <w:rPr>
                <w:b/>
              </w:rPr>
            </w:pPr>
            <w:r w:rsidRPr="00F80387">
              <w:rPr>
                <w:b/>
              </w:rPr>
              <w:t>2 079</w:t>
            </w:r>
          </w:p>
        </w:tc>
        <w:tc>
          <w:tcPr>
            <w:tcW w:w="1278" w:type="dxa"/>
            <w:tcBorders>
              <w:bottom w:val="single" w:sz="4" w:space="0" w:color="808080"/>
            </w:tcBorders>
          </w:tcPr>
          <w:p w:rsidR="00065E95" w:rsidRPr="00F80387" w:rsidRDefault="00065E95" w:rsidP="004937F7">
            <w:pPr>
              <w:pStyle w:val="Table-AnnualReport"/>
              <w:jc w:val="right"/>
              <w:rPr>
                <w:rFonts w:cs="Arial"/>
                <w:b/>
                <w:color w:val="000000"/>
              </w:rPr>
            </w:pPr>
            <w:r w:rsidRPr="00F80387">
              <w:rPr>
                <w:rFonts w:cs="Arial"/>
                <w:b/>
                <w:color w:val="000000"/>
              </w:rPr>
              <w:t>1 842</w:t>
            </w:r>
          </w:p>
        </w:tc>
      </w:tr>
    </w:tbl>
    <w:p w:rsidR="003541C9" w:rsidRPr="00484EB1" w:rsidRDefault="008874FF" w:rsidP="008874FF">
      <w:pPr>
        <w:spacing w:before="60" w:after="60" w:line="240" w:lineRule="auto"/>
        <w:rPr>
          <w:sz w:val="18"/>
          <w:szCs w:val="18"/>
        </w:rPr>
      </w:pPr>
      <w:r w:rsidRPr="00484EB1">
        <w:rPr>
          <w:sz w:val="18"/>
          <w:szCs w:val="18"/>
        </w:rPr>
        <w:t xml:space="preserve">Note: </w:t>
      </w:r>
    </w:p>
    <w:p w:rsidR="00065E95" w:rsidRPr="00484EB1" w:rsidRDefault="003541C9" w:rsidP="008874FF">
      <w:pPr>
        <w:spacing w:before="60" w:after="60" w:line="240" w:lineRule="auto"/>
        <w:rPr>
          <w:sz w:val="18"/>
          <w:szCs w:val="18"/>
        </w:rPr>
      </w:pPr>
      <w:r w:rsidRPr="00484EB1">
        <w:rPr>
          <w:sz w:val="18"/>
          <w:szCs w:val="18"/>
        </w:rPr>
        <w:t>1</w:t>
      </w:r>
      <w:r w:rsidRPr="00484EB1">
        <w:rPr>
          <w:sz w:val="18"/>
          <w:szCs w:val="18"/>
        </w:rPr>
        <w:tab/>
      </w:r>
      <w:r w:rsidR="00065E95" w:rsidRPr="00484EB1">
        <w:rPr>
          <w:sz w:val="18"/>
          <w:szCs w:val="18"/>
        </w:rPr>
        <w:t xml:space="preserve">Head of Agency, </w:t>
      </w:r>
      <w:r w:rsidR="00D268D9" w:rsidRPr="00484EB1">
        <w:rPr>
          <w:sz w:val="18"/>
          <w:szCs w:val="18"/>
        </w:rPr>
        <w:t>h</w:t>
      </w:r>
      <w:r w:rsidR="00065E95" w:rsidRPr="00484EB1">
        <w:rPr>
          <w:sz w:val="18"/>
          <w:szCs w:val="18"/>
        </w:rPr>
        <w:t xml:space="preserve">olders of Prescribed Offices and Senior Executives and </w:t>
      </w:r>
      <w:r w:rsidR="00D268D9" w:rsidRPr="00484EB1">
        <w:rPr>
          <w:sz w:val="18"/>
          <w:szCs w:val="18"/>
        </w:rPr>
        <w:t>e</w:t>
      </w:r>
      <w:r w:rsidR="00065E95" w:rsidRPr="00484EB1">
        <w:rPr>
          <w:sz w:val="18"/>
          <w:szCs w:val="18"/>
        </w:rPr>
        <w:t>quivalents.</w:t>
      </w:r>
    </w:p>
    <w:p w:rsidR="0094599C" w:rsidRDefault="0094599C">
      <w:pPr>
        <w:tabs>
          <w:tab w:val="clear" w:pos="567"/>
        </w:tabs>
        <w:spacing w:after="200" w:line="276" w:lineRule="auto"/>
      </w:pPr>
      <w:r>
        <w:br w:type="page"/>
      </w:r>
    </w:p>
    <w:p w:rsidR="0094599C" w:rsidRPr="001D436C" w:rsidRDefault="0094599C" w:rsidP="0094599C">
      <w:pPr>
        <w:pStyle w:val="Heading4"/>
      </w:pPr>
      <w:r w:rsidRPr="001D436C">
        <w:lastRenderedPageBreak/>
        <w:t>Total Number of Paid Employees by Award 2014-15</w:t>
      </w:r>
    </w:p>
    <w:tbl>
      <w:tblPr>
        <w:tblW w:w="0" w:type="auto"/>
        <w:tblInd w:w="108" w:type="dxa"/>
        <w:tblBorders>
          <w:top w:val="single" w:sz="2" w:space="0" w:color="808080"/>
          <w:insideH w:val="single" w:sz="2" w:space="0" w:color="808080"/>
        </w:tblBorders>
        <w:tblLook w:val="04A0" w:firstRow="1" w:lastRow="0" w:firstColumn="1" w:lastColumn="0" w:noHBand="0" w:noVBand="1"/>
      </w:tblPr>
      <w:tblGrid>
        <w:gridCol w:w="1607"/>
        <w:gridCol w:w="2884"/>
        <w:gridCol w:w="2247"/>
        <w:gridCol w:w="2001"/>
        <w:gridCol w:w="1007"/>
      </w:tblGrid>
      <w:tr w:rsidR="0094599C" w:rsidRPr="00857F4E" w:rsidTr="00B960B2">
        <w:tc>
          <w:tcPr>
            <w:tcW w:w="0" w:type="auto"/>
            <w:shd w:val="clear" w:color="auto" w:fill="auto"/>
          </w:tcPr>
          <w:p w:rsidR="0094599C" w:rsidRPr="00857F4E" w:rsidRDefault="0094599C" w:rsidP="00B960B2">
            <w:pPr>
              <w:pStyle w:val="Table-AnnualReport"/>
              <w:jc w:val="right"/>
              <w:rPr>
                <w:b/>
                <w:sz w:val="22"/>
                <w:szCs w:val="22"/>
              </w:rPr>
            </w:pPr>
          </w:p>
        </w:tc>
        <w:tc>
          <w:tcPr>
            <w:tcW w:w="0" w:type="auto"/>
            <w:shd w:val="clear" w:color="auto" w:fill="auto"/>
            <w:vAlign w:val="center"/>
          </w:tcPr>
          <w:p w:rsidR="0094599C" w:rsidRPr="00857F4E" w:rsidRDefault="0094599C" w:rsidP="00B960B2">
            <w:pPr>
              <w:pStyle w:val="Table-AnnualReport"/>
              <w:jc w:val="right"/>
              <w:rPr>
                <w:b/>
                <w:sz w:val="22"/>
                <w:szCs w:val="22"/>
              </w:rPr>
            </w:pPr>
            <w:r w:rsidRPr="00857F4E">
              <w:rPr>
                <w:b/>
                <w:sz w:val="22"/>
                <w:szCs w:val="22"/>
              </w:rPr>
              <w:t>Award</w:t>
            </w:r>
          </w:p>
        </w:tc>
        <w:tc>
          <w:tcPr>
            <w:tcW w:w="0" w:type="auto"/>
            <w:shd w:val="clear" w:color="auto" w:fill="auto"/>
            <w:vAlign w:val="center"/>
          </w:tcPr>
          <w:p w:rsidR="0094599C" w:rsidRPr="00857F4E" w:rsidRDefault="0094599C" w:rsidP="00B960B2">
            <w:pPr>
              <w:pStyle w:val="Table-AnnualReport"/>
              <w:jc w:val="right"/>
              <w:rPr>
                <w:b/>
                <w:sz w:val="22"/>
                <w:szCs w:val="22"/>
              </w:rPr>
            </w:pPr>
            <w:r w:rsidRPr="00857F4E">
              <w:rPr>
                <w:b/>
                <w:sz w:val="22"/>
                <w:szCs w:val="22"/>
              </w:rPr>
              <w:t>Departmental</w:t>
            </w:r>
            <w:r w:rsidRPr="00857F4E">
              <w:rPr>
                <w:rFonts w:cs="Arial"/>
                <w:b/>
                <w:sz w:val="22"/>
                <w:szCs w:val="22"/>
                <w:vertAlign w:val="superscript"/>
              </w:rPr>
              <w:t>1</w:t>
            </w:r>
          </w:p>
        </w:tc>
        <w:tc>
          <w:tcPr>
            <w:tcW w:w="0" w:type="auto"/>
            <w:shd w:val="clear" w:color="auto" w:fill="auto"/>
          </w:tcPr>
          <w:p w:rsidR="0094599C" w:rsidRPr="00857F4E" w:rsidRDefault="0094599C" w:rsidP="00B960B2">
            <w:pPr>
              <w:pStyle w:val="Table-AnnualReport"/>
              <w:jc w:val="right"/>
              <w:rPr>
                <w:b/>
                <w:sz w:val="22"/>
                <w:szCs w:val="22"/>
              </w:rPr>
            </w:pPr>
            <w:r w:rsidRPr="00857F4E">
              <w:rPr>
                <w:b/>
                <w:sz w:val="22"/>
                <w:szCs w:val="22"/>
              </w:rPr>
              <w:t>Operational</w:t>
            </w:r>
            <w:r w:rsidRPr="00857F4E">
              <w:rPr>
                <w:rFonts w:cs="Arial"/>
                <w:b/>
                <w:sz w:val="22"/>
                <w:szCs w:val="22"/>
                <w:vertAlign w:val="superscript"/>
              </w:rPr>
              <w:t>2</w:t>
            </w:r>
          </w:p>
        </w:tc>
        <w:tc>
          <w:tcPr>
            <w:tcW w:w="0" w:type="auto"/>
            <w:shd w:val="clear" w:color="auto" w:fill="auto"/>
            <w:vAlign w:val="center"/>
          </w:tcPr>
          <w:p w:rsidR="0094599C" w:rsidRPr="00857F4E" w:rsidRDefault="0094599C" w:rsidP="00B960B2">
            <w:pPr>
              <w:pStyle w:val="Table-AnnualReport"/>
              <w:jc w:val="right"/>
              <w:rPr>
                <w:b/>
                <w:sz w:val="22"/>
                <w:szCs w:val="22"/>
              </w:rPr>
            </w:pPr>
            <w:r w:rsidRPr="00857F4E">
              <w:rPr>
                <w:b/>
                <w:sz w:val="22"/>
                <w:szCs w:val="22"/>
              </w:rPr>
              <w:t>Total</w:t>
            </w:r>
          </w:p>
        </w:tc>
      </w:tr>
      <w:tr w:rsidR="0094599C" w:rsidRPr="00F80387" w:rsidTr="00B960B2">
        <w:tc>
          <w:tcPr>
            <w:tcW w:w="0" w:type="auto"/>
            <w:vAlign w:val="center"/>
          </w:tcPr>
          <w:p w:rsidR="0094599C" w:rsidRPr="00F80387" w:rsidRDefault="0094599C" w:rsidP="00B960B2">
            <w:pPr>
              <w:pStyle w:val="Table-AnnualReport"/>
            </w:pPr>
            <w:r w:rsidRPr="00F80387">
              <w:t>Health Services</w:t>
            </w:r>
          </w:p>
        </w:tc>
        <w:tc>
          <w:tcPr>
            <w:tcW w:w="0" w:type="auto"/>
            <w:vAlign w:val="center"/>
          </w:tcPr>
          <w:p w:rsidR="0094599C" w:rsidRPr="00F80387" w:rsidRDefault="0094599C" w:rsidP="00B960B2">
            <w:pPr>
              <w:pStyle w:val="Table-AnnualReport"/>
              <w:jc w:val="right"/>
            </w:pPr>
            <w:r w:rsidRPr="00F80387">
              <w:t>Allied Health Professional</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8</w:t>
            </w:r>
          </w:p>
        </w:tc>
        <w:tc>
          <w:tcPr>
            <w:tcW w:w="0" w:type="auto"/>
            <w:shd w:val="clear" w:color="auto" w:fill="auto"/>
          </w:tcPr>
          <w:p w:rsidR="0094599C" w:rsidRPr="00F80387" w:rsidRDefault="0094599C" w:rsidP="00B960B2">
            <w:pPr>
              <w:pStyle w:val="Table-AnnualReport"/>
              <w:ind w:left="85" w:right="272"/>
              <w:jc w:val="right"/>
              <w:rPr>
                <w:rFonts w:cs="Arial"/>
                <w:color w:val="000000"/>
              </w:rPr>
            </w:pPr>
            <w:r w:rsidRPr="00F80387">
              <w:rPr>
                <w:rFonts w:cs="Arial"/>
                <w:color w:val="000000"/>
              </w:rPr>
              <w:t>58</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66</w:t>
            </w:r>
          </w:p>
        </w:tc>
      </w:tr>
      <w:tr w:rsidR="0094599C" w:rsidRPr="00F80387" w:rsidTr="00B960B2">
        <w:tc>
          <w:tcPr>
            <w:tcW w:w="0" w:type="auto"/>
            <w:vAlign w:val="center"/>
          </w:tcPr>
          <w:p w:rsidR="0094599C" w:rsidRPr="00F80387" w:rsidRDefault="0094599C" w:rsidP="00B960B2">
            <w:pPr>
              <w:pStyle w:val="Table-AnnualReport"/>
            </w:pPr>
          </w:p>
        </w:tc>
        <w:tc>
          <w:tcPr>
            <w:tcW w:w="0" w:type="auto"/>
            <w:vAlign w:val="center"/>
          </w:tcPr>
          <w:p w:rsidR="0094599C" w:rsidRPr="00F80387" w:rsidRDefault="0094599C" w:rsidP="00B960B2">
            <w:pPr>
              <w:pStyle w:val="Table-AnnualReport"/>
              <w:jc w:val="right"/>
            </w:pPr>
            <w:r w:rsidRPr="00F80387">
              <w:t>Ambulance Tasmania Award</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 </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325</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325</w:t>
            </w:r>
          </w:p>
        </w:tc>
      </w:tr>
      <w:tr w:rsidR="0094599C" w:rsidRPr="00F80387" w:rsidTr="00B960B2">
        <w:tc>
          <w:tcPr>
            <w:tcW w:w="0" w:type="auto"/>
            <w:vAlign w:val="center"/>
          </w:tcPr>
          <w:p w:rsidR="0094599C" w:rsidRPr="00F80387" w:rsidRDefault="0094599C" w:rsidP="00B960B2">
            <w:pPr>
              <w:pStyle w:val="Table-AnnualReport"/>
            </w:pPr>
          </w:p>
        </w:tc>
        <w:tc>
          <w:tcPr>
            <w:tcW w:w="0" w:type="auto"/>
            <w:vAlign w:val="center"/>
          </w:tcPr>
          <w:p w:rsidR="0094599C" w:rsidRPr="00F80387" w:rsidRDefault="0094599C" w:rsidP="00B960B2">
            <w:pPr>
              <w:pStyle w:val="Table-AnnualReport"/>
              <w:jc w:val="right"/>
            </w:pPr>
            <w:r w:rsidRPr="00F80387">
              <w:t>Health and Human Services Award</w:t>
            </w:r>
            <w:r w:rsidRPr="00F80387">
              <w:rPr>
                <w:rFonts w:cs="Arial"/>
                <w:vertAlign w:val="superscript"/>
              </w:rPr>
              <w:t>3</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216</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362</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578</w:t>
            </w:r>
          </w:p>
        </w:tc>
      </w:tr>
      <w:tr w:rsidR="0094599C" w:rsidRPr="00F80387" w:rsidTr="00B960B2">
        <w:tc>
          <w:tcPr>
            <w:tcW w:w="0" w:type="auto"/>
            <w:vAlign w:val="center"/>
          </w:tcPr>
          <w:p w:rsidR="0094599C" w:rsidRPr="00F80387" w:rsidRDefault="0094599C" w:rsidP="00B960B2">
            <w:pPr>
              <w:pStyle w:val="Table-AnnualReport"/>
            </w:pPr>
          </w:p>
        </w:tc>
        <w:tc>
          <w:tcPr>
            <w:tcW w:w="0" w:type="auto"/>
            <w:vAlign w:val="center"/>
          </w:tcPr>
          <w:p w:rsidR="0094599C" w:rsidRPr="00F80387" w:rsidRDefault="0094599C" w:rsidP="00B960B2">
            <w:pPr>
              <w:pStyle w:val="Table-AnnualReport"/>
              <w:jc w:val="right"/>
            </w:pPr>
            <w:r w:rsidRPr="00F80387">
              <w:t>Medical Practitioners Award</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5</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8</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13</w:t>
            </w:r>
          </w:p>
        </w:tc>
      </w:tr>
      <w:tr w:rsidR="0094599C" w:rsidRPr="00F80387" w:rsidTr="00B960B2">
        <w:tc>
          <w:tcPr>
            <w:tcW w:w="0" w:type="auto"/>
            <w:vAlign w:val="center"/>
          </w:tcPr>
          <w:p w:rsidR="0094599C" w:rsidRPr="00F80387" w:rsidRDefault="0094599C" w:rsidP="00B960B2">
            <w:pPr>
              <w:pStyle w:val="Table-AnnualReport"/>
            </w:pPr>
          </w:p>
        </w:tc>
        <w:tc>
          <w:tcPr>
            <w:tcW w:w="0" w:type="auto"/>
            <w:vAlign w:val="center"/>
          </w:tcPr>
          <w:p w:rsidR="0094599C" w:rsidRPr="00F80387" w:rsidRDefault="0094599C" w:rsidP="00B960B2">
            <w:pPr>
              <w:pStyle w:val="Table-AnnualReport"/>
              <w:jc w:val="right"/>
            </w:pPr>
            <w:r w:rsidRPr="00F80387">
              <w:t>No Award</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1</w:t>
            </w:r>
          </w:p>
        </w:tc>
        <w:tc>
          <w:tcPr>
            <w:tcW w:w="0" w:type="auto"/>
            <w:shd w:val="clear" w:color="auto" w:fill="auto"/>
          </w:tcPr>
          <w:p w:rsidR="0094599C" w:rsidRPr="00F80387" w:rsidRDefault="0094599C" w:rsidP="00B960B2">
            <w:pPr>
              <w:pStyle w:val="Table-AnnualReport"/>
              <w:ind w:right="272"/>
              <w:jc w:val="right"/>
              <w:rPr>
                <w:rFonts w:cs="Arial"/>
                <w:color w:val="000000"/>
              </w:rPr>
            </w:pPr>
            <w:r>
              <w:rPr>
                <w:rFonts w:cs="Arial"/>
                <w:color w:val="000000"/>
              </w:rPr>
              <w:t>-</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1</w:t>
            </w:r>
          </w:p>
        </w:tc>
      </w:tr>
      <w:tr w:rsidR="0094599C" w:rsidRPr="00F80387" w:rsidTr="00B960B2">
        <w:tc>
          <w:tcPr>
            <w:tcW w:w="0" w:type="auto"/>
            <w:vAlign w:val="center"/>
          </w:tcPr>
          <w:p w:rsidR="0094599C" w:rsidRPr="00F80387" w:rsidRDefault="0094599C" w:rsidP="00B960B2">
            <w:pPr>
              <w:pStyle w:val="Table-AnnualReport"/>
            </w:pPr>
          </w:p>
        </w:tc>
        <w:tc>
          <w:tcPr>
            <w:tcW w:w="0" w:type="auto"/>
            <w:vAlign w:val="center"/>
          </w:tcPr>
          <w:p w:rsidR="0094599C" w:rsidRPr="00F80387" w:rsidRDefault="0094599C" w:rsidP="00B960B2">
            <w:pPr>
              <w:pStyle w:val="Table-AnnualReport"/>
              <w:jc w:val="right"/>
            </w:pPr>
            <w:r w:rsidRPr="00F80387">
              <w:t>Nurses Award</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12</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12</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24</w:t>
            </w:r>
          </w:p>
        </w:tc>
      </w:tr>
      <w:tr w:rsidR="0094599C" w:rsidRPr="00F80387" w:rsidTr="00B960B2">
        <w:tc>
          <w:tcPr>
            <w:tcW w:w="0" w:type="auto"/>
            <w:vAlign w:val="center"/>
          </w:tcPr>
          <w:p w:rsidR="0094599C" w:rsidRPr="00F80387" w:rsidRDefault="0094599C" w:rsidP="00B960B2">
            <w:pPr>
              <w:pStyle w:val="Table-AnnualReport"/>
            </w:pPr>
          </w:p>
        </w:tc>
        <w:tc>
          <w:tcPr>
            <w:tcW w:w="0" w:type="auto"/>
            <w:vAlign w:val="center"/>
          </w:tcPr>
          <w:p w:rsidR="0094599C" w:rsidRPr="00F80387" w:rsidRDefault="0094599C" w:rsidP="00B960B2">
            <w:pPr>
              <w:pStyle w:val="Table-AnnualReport"/>
              <w:jc w:val="right"/>
            </w:pPr>
            <w:r w:rsidRPr="00F80387">
              <w:t>Senior Executive Service</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9</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4</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13</w:t>
            </w:r>
          </w:p>
        </w:tc>
      </w:tr>
      <w:tr w:rsidR="0094599C" w:rsidRPr="00F80387" w:rsidTr="00B960B2">
        <w:tc>
          <w:tcPr>
            <w:tcW w:w="0" w:type="auto"/>
            <w:vAlign w:val="center"/>
          </w:tcPr>
          <w:p w:rsidR="0094599C" w:rsidRPr="00F80387" w:rsidRDefault="0094599C" w:rsidP="00B960B2">
            <w:pPr>
              <w:pStyle w:val="Table-AnnualReport"/>
              <w:rPr>
                <w:b/>
              </w:rPr>
            </w:pPr>
          </w:p>
        </w:tc>
        <w:tc>
          <w:tcPr>
            <w:tcW w:w="0" w:type="auto"/>
            <w:vAlign w:val="center"/>
          </w:tcPr>
          <w:p w:rsidR="0094599C" w:rsidRPr="00F80387" w:rsidRDefault="0094599C" w:rsidP="00B960B2">
            <w:pPr>
              <w:pStyle w:val="Table-AnnualReport"/>
              <w:jc w:val="right"/>
              <w:rPr>
                <w:b/>
              </w:rPr>
            </w:pPr>
            <w:r w:rsidRPr="00F80387">
              <w:t>Visiting Medical Officer</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 </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10</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10</w:t>
            </w:r>
          </w:p>
        </w:tc>
      </w:tr>
      <w:tr w:rsidR="0094599C" w:rsidRPr="00F80387" w:rsidTr="00B960B2">
        <w:tc>
          <w:tcPr>
            <w:tcW w:w="0" w:type="auto"/>
            <w:gridSpan w:val="2"/>
            <w:vAlign w:val="center"/>
          </w:tcPr>
          <w:p w:rsidR="0094599C" w:rsidRPr="00F80387" w:rsidRDefault="0094599C" w:rsidP="00B960B2">
            <w:pPr>
              <w:pStyle w:val="Table-AnnualReport"/>
              <w:rPr>
                <w:b/>
              </w:rPr>
            </w:pPr>
            <w:r w:rsidRPr="00F80387">
              <w:rPr>
                <w:b/>
              </w:rPr>
              <w:t>Health Services Total</w:t>
            </w:r>
          </w:p>
        </w:tc>
        <w:tc>
          <w:tcPr>
            <w:tcW w:w="0" w:type="auto"/>
            <w:shd w:val="clear" w:color="auto" w:fill="auto"/>
            <w:vAlign w:val="bottom"/>
          </w:tcPr>
          <w:p w:rsidR="0094599C" w:rsidRPr="00F80387" w:rsidRDefault="0094599C" w:rsidP="00B960B2">
            <w:pPr>
              <w:pStyle w:val="Table-AnnualReport"/>
              <w:jc w:val="right"/>
              <w:rPr>
                <w:rFonts w:cs="Gill Sans MT"/>
                <w:b/>
                <w:color w:val="000000"/>
                <w:lang w:eastAsia="en-AU"/>
              </w:rPr>
            </w:pPr>
            <w:r w:rsidRPr="00F80387">
              <w:rPr>
                <w:rFonts w:cs="Gill Sans MT"/>
                <w:b/>
                <w:color w:val="000000"/>
                <w:lang w:eastAsia="en-AU"/>
              </w:rPr>
              <w:t>251</w:t>
            </w:r>
          </w:p>
        </w:tc>
        <w:tc>
          <w:tcPr>
            <w:tcW w:w="0" w:type="auto"/>
            <w:shd w:val="clear" w:color="auto" w:fill="auto"/>
          </w:tcPr>
          <w:p w:rsidR="0094599C" w:rsidRPr="00F80387" w:rsidRDefault="0094599C" w:rsidP="00B960B2">
            <w:pPr>
              <w:pStyle w:val="Table-AnnualReport"/>
              <w:ind w:right="272"/>
              <w:jc w:val="right"/>
              <w:rPr>
                <w:rFonts w:cs="Arial"/>
                <w:b/>
                <w:color w:val="000000"/>
              </w:rPr>
            </w:pPr>
            <w:r w:rsidRPr="00F80387">
              <w:rPr>
                <w:rFonts w:cs="Arial"/>
                <w:b/>
                <w:color w:val="000000"/>
              </w:rPr>
              <w:t>779</w:t>
            </w:r>
          </w:p>
        </w:tc>
        <w:tc>
          <w:tcPr>
            <w:tcW w:w="0" w:type="auto"/>
            <w:shd w:val="clear" w:color="auto" w:fill="auto"/>
          </w:tcPr>
          <w:p w:rsidR="0094599C" w:rsidRPr="00F80387" w:rsidRDefault="0094599C" w:rsidP="00B960B2">
            <w:pPr>
              <w:pStyle w:val="Table-AnnualReport"/>
              <w:jc w:val="right"/>
              <w:rPr>
                <w:rFonts w:cs="Arial"/>
                <w:b/>
                <w:color w:val="000000"/>
              </w:rPr>
            </w:pPr>
            <w:r w:rsidRPr="00F80387">
              <w:rPr>
                <w:rFonts w:cs="Arial"/>
                <w:b/>
                <w:color w:val="000000"/>
              </w:rPr>
              <w:t>1 030</w:t>
            </w:r>
          </w:p>
        </w:tc>
      </w:tr>
      <w:tr w:rsidR="0094599C" w:rsidRPr="00F80387" w:rsidTr="00B960B2">
        <w:tc>
          <w:tcPr>
            <w:tcW w:w="0" w:type="auto"/>
            <w:vAlign w:val="center"/>
          </w:tcPr>
          <w:p w:rsidR="0094599C" w:rsidRPr="00F80387" w:rsidRDefault="0094599C" w:rsidP="00B960B2">
            <w:pPr>
              <w:pStyle w:val="Table-AnnualReport"/>
            </w:pPr>
            <w:r w:rsidRPr="00F80387">
              <w:t>Human Services</w:t>
            </w:r>
          </w:p>
        </w:tc>
        <w:tc>
          <w:tcPr>
            <w:tcW w:w="0" w:type="auto"/>
            <w:vAlign w:val="center"/>
          </w:tcPr>
          <w:p w:rsidR="0094599C" w:rsidRPr="00F80387" w:rsidRDefault="0094599C" w:rsidP="00B960B2">
            <w:pPr>
              <w:pStyle w:val="Table-AnnualReport"/>
              <w:jc w:val="right"/>
            </w:pPr>
            <w:r w:rsidRPr="00F80387">
              <w:t>Allied Health Professional</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1</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284</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285</w:t>
            </w:r>
          </w:p>
        </w:tc>
      </w:tr>
      <w:tr w:rsidR="0094599C" w:rsidRPr="00F80387" w:rsidTr="00B960B2">
        <w:tc>
          <w:tcPr>
            <w:tcW w:w="0" w:type="auto"/>
            <w:vAlign w:val="center"/>
          </w:tcPr>
          <w:p w:rsidR="0094599C" w:rsidRPr="00F80387" w:rsidRDefault="0094599C" w:rsidP="00B960B2">
            <w:pPr>
              <w:pStyle w:val="Table-AnnualReport"/>
              <w:rPr>
                <w:b/>
              </w:rPr>
            </w:pPr>
          </w:p>
        </w:tc>
        <w:tc>
          <w:tcPr>
            <w:tcW w:w="0" w:type="auto"/>
            <w:vAlign w:val="center"/>
          </w:tcPr>
          <w:p w:rsidR="0094599C" w:rsidRPr="00F80387" w:rsidRDefault="0094599C" w:rsidP="00B960B2">
            <w:pPr>
              <w:pStyle w:val="Table-AnnualReport"/>
              <w:jc w:val="right"/>
            </w:pPr>
            <w:r w:rsidRPr="00F80387">
              <w:t>Health and Human Services Award</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2</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401</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403</w:t>
            </w:r>
          </w:p>
        </w:tc>
      </w:tr>
      <w:tr w:rsidR="0094599C" w:rsidRPr="00F80387" w:rsidTr="00B960B2">
        <w:tc>
          <w:tcPr>
            <w:tcW w:w="0" w:type="auto"/>
            <w:vAlign w:val="center"/>
          </w:tcPr>
          <w:p w:rsidR="0094599C" w:rsidRPr="00F80387" w:rsidRDefault="0094599C" w:rsidP="00B960B2">
            <w:pPr>
              <w:pStyle w:val="Table-AnnualReport"/>
              <w:rPr>
                <w:b/>
              </w:rPr>
            </w:pPr>
          </w:p>
        </w:tc>
        <w:tc>
          <w:tcPr>
            <w:tcW w:w="0" w:type="auto"/>
            <w:vAlign w:val="center"/>
          </w:tcPr>
          <w:p w:rsidR="0094599C" w:rsidRPr="00F80387" w:rsidRDefault="0094599C" w:rsidP="00B960B2">
            <w:pPr>
              <w:pStyle w:val="Table-AnnualReport"/>
              <w:jc w:val="right"/>
            </w:pPr>
            <w:r w:rsidRPr="00F80387">
              <w:t>Nurses Award</w:t>
            </w:r>
          </w:p>
        </w:tc>
        <w:tc>
          <w:tcPr>
            <w:tcW w:w="0" w:type="auto"/>
            <w:shd w:val="clear" w:color="auto" w:fill="auto"/>
          </w:tcPr>
          <w:p w:rsidR="0094599C" w:rsidRPr="00F80387" w:rsidRDefault="0094599C" w:rsidP="00B960B2">
            <w:pPr>
              <w:pStyle w:val="Table-AnnualReport"/>
              <w:jc w:val="right"/>
              <w:rPr>
                <w:rFonts w:cs="Arial"/>
                <w:color w:val="000000"/>
              </w:rPr>
            </w:pPr>
            <w:r>
              <w:rPr>
                <w:rFonts w:cs="Arial"/>
                <w:color w:val="000000"/>
              </w:rPr>
              <w:t>-</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115</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115</w:t>
            </w:r>
          </w:p>
        </w:tc>
      </w:tr>
      <w:tr w:rsidR="0094599C" w:rsidRPr="00F80387" w:rsidTr="00B960B2">
        <w:tc>
          <w:tcPr>
            <w:tcW w:w="0" w:type="auto"/>
            <w:vAlign w:val="center"/>
          </w:tcPr>
          <w:p w:rsidR="0094599C" w:rsidRPr="00F80387" w:rsidRDefault="0094599C" w:rsidP="00B960B2">
            <w:pPr>
              <w:pStyle w:val="Table-AnnualReport"/>
              <w:rPr>
                <w:b/>
              </w:rPr>
            </w:pPr>
          </w:p>
        </w:tc>
        <w:tc>
          <w:tcPr>
            <w:tcW w:w="0" w:type="auto"/>
            <w:vAlign w:val="center"/>
          </w:tcPr>
          <w:p w:rsidR="0094599C" w:rsidRPr="00F80387" w:rsidRDefault="0094599C" w:rsidP="00B960B2">
            <w:pPr>
              <w:pStyle w:val="Table-AnnualReport"/>
              <w:jc w:val="right"/>
            </w:pPr>
            <w:r w:rsidRPr="00F80387">
              <w:t>Senior Executive Service</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1</w:t>
            </w:r>
          </w:p>
        </w:tc>
        <w:tc>
          <w:tcPr>
            <w:tcW w:w="0" w:type="auto"/>
            <w:shd w:val="clear" w:color="auto" w:fill="auto"/>
          </w:tcPr>
          <w:p w:rsidR="0094599C" w:rsidRPr="00F80387" w:rsidRDefault="0094599C" w:rsidP="00B960B2">
            <w:pPr>
              <w:pStyle w:val="Table-AnnualReport"/>
              <w:ind w:right="272"/>
              <w:jc w:val="right"/>
              <w:rPr>
                <w:rFonts w:cs="Arial"/>
                <w:color w:val="000000"/>
              </w:rPr>
            </w:pPr>
            <w:r w:rsidRPr="00F80387">
              <w:rPr>
                <w:rFonts w:cs="Arial"/>
                <w:color w:val="000000"/>
              </w:rPr>
              <w:t>8</w:t>
            </w:r>
          </w:p>
        </w:tc>
        <w:tc>
          <w:tcPr>
            <w:tcW w:w="0" w:type="auto"/>
            <w:shd w:val="clear" w:color="auto" w:fill="auto"/>
          </w:tcPr>
          <w:p w:rsidR="0094599C" w:rsidRPr="00F80387" w:rsidRDefault="0094599C" w:rsidP="00B960B2">
            <w:pPr>
              <w:pStyle w:val="Table-AnnualReport"/>
              <w:jc w:val="right"/>
              <w:rPr>
                <w:rFonts w:cs="Arial"/>
                <w:color w:val="000000"/>
              </w:rPr>
            </w:pPr>
            <w:r w:rsidRPr="00F80387">
              <w:rPr>
                <w:rFonts w:cs="Arial"/>
                <w:color w:val="000000"/>
              </w:rPr>
              <w:t>9</w:t>
            </w:r>
          </w:p>
        </w:tc>
      </w:tr>
      <w:tr w:rsidR="0094599C" w:rsidRPr="00F80387" w:rsidTr="00B960B2">
        <w:tc>
          <w:tcPr>
            <w:tcW w:w="0" w:type="auto"/>
            <w:gridSpan w:val="2"/>
            <w:vAlign w:val="center"/>
          </w:tcPr>
          <w:p w:rsidR="0094599C" w:rsidRPr="00F80387" w:rsidRDefault="0094599C" w:rsidP="00B960B2">
            <w:pPr>
              <w:pStyle w:val="Table-AnnualReport"/>
              <w:rPr>
                <w:b/>
              </w:rPr>
            </w:pPr>
            <w:r w:rsidRPr="00F80387">
              <w:rPr>
                <w:b/>
              </w:rPr>
              <w:t>Human Services Total</w:t>
            </w:r>
          </w:p>
        </w:tc>
        <w:tc>
          <w:tcPr>
            <w:tcW w:w="0" w:type="auto"/>
            <w:shd w:val="clear" w:color="auto" w:fill="auto"/>
          </w:tcPr>
          <w:p w:rsidR="0094599C" w:rsidRPr="00F80387" w:rsidRDefault="0094599C" w:rsidP="00B960B2">
            <w:pPr>
              <w:pStyle w:val="Table-AnnualReport"/>
              <w:jc w:val="right"/>
              <w:rPr>
                <w:rFonts w:cs="Gill Sans MT"/>
                <w:b/>
                <w:color w:val="000000"/>
                <w:lang w:eastAsia="en-AU"/>
              </w:rPr>
            </w:pPr>
            <w:r w:rsidRPr="00F80387">
              <w:rPr>
                <w:rFonts w:cs="Gill Sans MT"/>
                <w:b/>
                <w:color w:val="000000"/>
                <w:lang w:eastAsia="en-AU"/>
              </w:rPr>
              <w:t>4</w:t>
            </w:r>
          </w:p>
        </w:tc>
        <w:tc>
          <w:tcPr>
            <w:tcW w:w="0" w:type="auto"/>
            <w:shd w:val="clear" w:color="auto" w:fill="auto"/>
          </w:tcPr>
          <w:p w:rsidR="0094599C" w:rsidRPr="00F80387" w:rsidRDefault="0094599C" w:rsidP="00B960B2">
            <w:pPr>
              <w:pStyle w:val="Table-AnnualReport"/>
              <w:ind w:right="272"/>
              <w:jc w:val="right"/>
              <w:rPr>
                <w:rFonts w:cs="Arial"/>
                <w:b/>
                <w:color w:val="000000"/>
              </w:rPr>
            </w:pPr>
            <w:r w:rsidRPr="00F80387">
              <w:rPr>
                <w:rFonts w:cs="Arial"/>
                <w:b/>
                <w:color w:val="000000"/>
              </w:rPr>
              <w:t>808</w:t>
            </w:r>
          </w:p>
        </w:tc>
        <w:tc>
          <w:tcPr>
            <w:tcW w:w="0" w:type="auto"/>
            <w:shd w:val="clear" w:color="auto" w:fill="auto"/>
          </w:tcPr>
          <w:p w:rsidR="0094599C" w:rsidRPr="00F80387" w:rsidRDefault="0094599C" w:rsidP="00B960B2">
            <w:pPr>
              <w:pStyle w:val="Table-AnnualReport"/>
              <w:jc w:val="right"/>
              <w:rPr>
                <w:rFonts w:cs="Arial"/>
                <w:b/>
                <w:color w:val="000000"/>
              </w:rPr>
            </w:pPr>
            <w:r w:rsidRPr="00F80387">
              <w:rPr>
                <w:rFonts w:cs="Arial"/>
                <w:b/>
                <w:color w:val="000000"/>
              </w:rPr>
              <w:t>812</w:t>
            </w:r>
          </w:p>
        </w:tc>
      </w:tr>
      <w:tr w:rsidR="0094599C" w:rsidRPr="00F80387" w:rsidTr="00B960B2">
        <w:tc>
          <w:tcPr>
            <w:tcW w:w="0" w:type="auto"/>
            <w:vAlign w:val="center"/>
          </w:tcPr>
          <w:p w:rsidR="0094599C" w:rsidRPr="00F80387" w:rsidRDefault="0094599C" w:rsidP="00B960B2">
            <w:pPr>
              <w:pStyle w:val="Table-AnnualReport"/>
              <w:rPr>
                <w:b/>
              </w:rPr>
            </w:pPr>
            <w:r w:rsidRPr="00F80387">
              <w:rPr>
                <w:b/>
              </w:rPr>
              <w:t>Total</w:t>
            </w:r>
          </w:p>
        </w:tc>
        <w:tc>
          <w:tcPr>
            <w:tcW w:w="0" w:type="auto"/>
            <w:vAlign w:val="center"/>
          </w:tcPr>
          <w:p w:rsidR="0094599C" w:rsidRPr="00F80387" w:rsidRDefault="0094599C" w:rsidP="00B960B2">
            <w:pPr>
              <w:pStyle w:val="Table-AnnualReport"/>
              <w:rPr>
                <w:b/>
              </w:rPr>
            </w:pPr>
          </w:p>
        </w:tc>
        <w:tc>
          <w:tcPr>
            <w:tcW w:w="0" w:type="auto"/>
            <w:shd w:val="clear" w:color="auto" w:fill="auto"/>
          </w:tcPr>
          <w:p w:rsidR="0094599C" w:rsidRPr="00F80387" w:rsidRDefault="0094599C" w:rsidP="00B960B2">
            <w:pPr>
              <w:pStyle w:val="Table-AnnualReport"/>
              <w:jc w:val="right"/>
              <w:rPr>
                <w:rFonts w:cs="Arial"/>
                <w:b/>
                <w:color w:val="000000"/>
              </w:rPr>
            </w:pPr>
            <w:r w:rsidRPr="00F80387">
              <w:rPr>
                <w:rFonts w:cs="Arial"/>
                <w:b/>
                <w:color w:val="000000"/>
              </w:rPr>
              <w:t>255</w:t>
            </w:r>
          </w:p>
        </w:tc>
        <w:tc>
          <w:tcPr>
            <w:tcW w:w="0" w:type="auto"/>
            <w:shd w:val="clear" w:color="auto" w:fill="auto"/>
          </w:tcPr>
          <w:p w:rsidR="0094599C" w:rsidRPr="00F80387" w:rsidRDefault="0094599C" w:rsidP="00B960B2">
            <w:pPr>
              <w:pStyle w:val="Table-AnnualReport"/>
              <w:ind w:right="272"/>
              <w:jc w:val="right"/>
              <w:rPr>
                <w:rFonts w:cs="Arial"/>
                <w:b/>
                <w:color w:val="000000"/>
              </w:rPr>
            </w:pPr>
            <w:r w:rsidRPr="00F80387">
              <w:rPr>
                <w:rFonts w:cs="Arial"/>
                <w:b/>
                <w:color w:val="000000"/>
              </w:rPr>
              <w:t>1 587</w:t>
            </w:r>
          </w:p>
        </w:tc>
        <w:tc>
          <w:tcPr>
            <w:tcW w:w="0" w:type="auto"/>
            <w:shd w:val="clear" w:color="auto" w:fill="auto"/>
          </w:tcPr>
          <w:p w:rsidR="0094599C" w:rsidRPr="00F80387" w:rsidRDefault="0094599C" w:rsidP="00B960B2">
            <w:pPr>
              <w:pStyle w:val="Table-AnnualReport"/>
              <w:jc w:val="right"/>
              <w:rPr>
                <w:rFonts w:cs="Arial"/>
                <w:b/>
                <w:color w:val="000000"/>
              </w:rPr>
            </w:pPr>
            <w:r w:rsidRPr="00F80387">
              <w:rPr>
                <w:rFonts w:cs="Arial"/>
                <w:b/>
                <w:color w:val="000000"/>
              </w:rPr>
              <w:t>1 842</w:t>
            </w:r>
          </w:p>
        </w:tc>
      </w:tr>
      <w:tr w:rsidR="0094599C" w:rsidRPr="003541C9" w:rsidTr="00B960B2">
        <w:tc>
          <w:tcPr>
            <w:tcW w:w="0" w:type="auto"/>
            <w:gridSpan w:val="5"/>
            <w:vAlign w:val="center"/>
          </w:tcPr>
          <w:p w:rsidR="0094599C" w:rsidRPr="003541C9" w:rsidRDefault="0094599C" w:rsidP="00B960B2">
            <w:pPr>
              <w:spacing w:after="120" w:line="280" w:lineRule="atLeast"/>
              <w:rPr>
                <w:rFonts w:eastAsia="Calibri"/>
                <w:sz w:val="18"/>
                <w:szCs w:val="18"/>
              </w:rPr>
            </w:pPr>
            <w:r w:rsidRPr="003541C9">
              <w:rPr>
                <w:rFonts w:eastAsia="Calibri"/>
                <w:sz w:val="18"/>
                <w:szCs w:val="18"/>
              </w:rPr>
              <w:t>Notes:</w:t>
            </w:r>
          </w:p>
          <w:p w:rsidR="0094599C" w:rsidRPr="003541C9" w:rsidRDefault="0094599C" w:rsidP="00B960B2">
            <w:pPr>
              <w:pStyle w:val="ListParagraph"/>
              <w:keepLines/>
              <w:widowControl/>
              <w:numPr>
                <w:ilvl w:val="0"/>
                <w:numId w:val="8"/>
              </w:numPr>
              <w:ind w:left="567" w:hanging="567"/>
              <w:rPr>
                <w:sz w:val="18"/>
                <w:szCs w:val="18"/>
              </w:rPr>
            </w:pPr>
            <w:r w:rsidRPr="003541C9">
              <w:rPr>
                <w:rFonts w:eastAsia="Calibri"/>
                <w:sz w:val="18"/>
                <w:szCs w:val="18"/>
                <w:lang w:bidi="ar-SA"/>
              </w:rPr>
              <w:t>Departmental areas are responsible for the provision of support for policy, planning, funding performance monitoring and improvements across the service groups; and interface with government. DHHS Departmental Groups comprise Strategic Control, Workforc</w:t>
            </w:r>
            <w:r>
              <w:rPr>
                <w:rFonts w:eastAsia="Calibri"/>
                <w:sz w:val="18"/>
                <w:szCs w:val="18"/>
                <w:lang w:bidi="ar-SA"/>
              </w:rPr>
              <w:t xml:space="preserve">e and Regulation, </w:t>
            </w:r>
            <w:r w:rsidRPr="003541C9">
              <w:rPr>
                <w:rFonts w:eastAsia="Calibri"/>
                <w:sz w:val="18"/>
                <w:szCs w:val="18"/>
                <w:lang w:bidi="ar-SA"/>
              </w:rPr>
              <w:t>System Purchasing and Performance</w:t>
            </w:r>
            <w:r>
              <w:rPr>
                <w:rFonts w:eastAsia="Calibri"/>
                <w:sz w:val="18"/>
                <w:szCs w:val="18"/>
                <w:lang w:bidi="ar-SA"/>
              </w:rPr>
              <w:t>, and the Office of the Secretary</w:t>
            </w:r>
            <w:r w:rsidRPr="003541C9">
              <w:rPr>
                <w:rFonts w:eastAsia="Calibri"/>
                <w:sz w:val="18"/>
                <w:szCs w:val="18"/>
                <w:lang w:bidi="ar-SA"/>
              </w:rPr>
              <w:t>.</w:t>
            </w:r>
          </w:p>
          <w:p w:rsidR="0094599C" w:rsidRPr="003541C9" w:rsidRDefault="0094599C" w:rsidP="00B960B2">
            <w:pPr>
              <w:pStyle w:val="ListParagraph"/>
              <w:keepLines/>
              <w:widowControl/>
              <w:numPr>
                <w:ilvl w:val="0"/>
                <w:numId w:val="8"/>
              </w:numPr>
              <w:ind w:left="567" w:hanging="567"/>
              <w:rPr>
                <w:sz w:val="18"/>
                <w:szCs w:val="18"/>
              </w:rPr>
            </w:pPr>
            <w:r w:rsidRPr="003541C9">
              <w:rPr>
                <w:rFonts w:eastAsia="Calibri"/>
                <w:sz w:val="18"/>
                <w:szCs w:val="18"/>
                <w:lang w:bidi="ar-SA"/>
              </w:rPr>
              <w:t>Operational areas deliver services to the public.  DHHS Service Groups include Ambulance Tasmania, Children and Youth Services, Disability, Housing and Community Services and Public Health Services</w:t>
            </w:r>
            <w:r>
              <w:rPr>
                <w:rFonts w:eastAsia="Calibri"/>
                <w:sz w:val="18"/>
                <w:szCs w:val="18"/>
                <w:lang w:bidi="ar-SA"/>
              </w:rPr>
              <w:t>.</w:t>
            </w:r>
          </w:p>
          <w:p w:rsidR="0094599C" w:rsidRPr="003541C9" w:rsidRDefault="0094599C" w:rsidP="00B960B2">
            <w:pPr>
              <w:pStyle w:val="ListParagraph"/>
              <w:keepLines/>
              <w:widowControl/>
              <w:numPr>
                <w:ilvl w:val="0"/>
                <w:numId w:val="8"/>
              </w:numPr>
              <w:ind w:left="567" w:hanging="567"/>
              <w:rPr>
                <w:sz w:val="18"/>
                <w:szCs w:val="18"/>
              </w:rPr>
            </w:pPr>
            <w:r w:rsidRPr="003541C9">
              <w:rPr>
                <w:rFonts w:eastAsia="Calibri"/>
                <w:sz w:val="18"/>
                <w:szCs w:val="18"/>
                <w:lang w:bidi="ar-SA"/>
              </w:rPr>
              <w:t>This includes Shared Services that support DHHS and the THOs.</w:t>
            </w:r>
          </w:p>
        </w:tc>
      </w:tr>
    </w:tbl>
    <w:p w:rsidR="00482AA0" w:rsidRPr="00F80387" w:rsidRDefault="00482AA0" w:rsidP="00B166D8"/>
    <w:p w:rsidR="00065E95" w:rsidRPr="00F80387" w:rsidRDefault="00065E95" w:rsidP="00F80387">
      <w:pPr>
        <w:pStyle w:val="Heading4"/>
      </w:pPr>
      <w:r w:rsidRPr="00F80387">
        <w:t>Total Number Paid Employees by Gender</w:t>
      </w:r>
    </w:p>
    <w:tbl>
      <w:tblPr>
        <w:tblW w:w="9636"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Pr>
      <w:tblGrid>
        <w:gridCol w:w="4253"/>
        <w:gridCol w:w="283"/>
        <w:gridCol w:w="1275"/>
        <w:gridCol w:w="1275"/>
        <w:gridCol w:w="1275"/>
        <w:gridCol w:w="1275"/>
      </w:tblGrid>
      <w:tr w:rsidR="00065E95" w:rsidRPr="00F80387" w:rsidTr="00277671">
        <w:tc>
          <w:tcPr>
            <w:tcW w:w="4253" w:type="dxa"/>
            <w:shd w:val="clear" w:color="auto" w:fill="auto"/>
          </w:tcPr>
          <w:p w:rsidR="00065E95" w:rsidRPr="00F80387" w:rsidRDefault="00065E95" w:rsidP="00B166D8">
            <w:pPr>
              <w:keepNext/>
              <w:spacing w:before="60" w:after="60" w:line="240" w:lineRule="auto"/>
              <w:outlineLvl w:val="0"/>
              <w:rPr>
                <w:b/>
                <w:bCs/>
                <w:kern w:val="32"/>
                <w:sz w:val="18"/>
                <w:szCs w:val="18"/>
              </w:rPr>
            </w:pPr>
          </w:p>
        </w:tc>
        <w:tc>
          <w:tcPr>
            <w:tcW w:w="283" w:type="dxa"/>
            <w:shd w:val="clear" w:color="auto" w:fill="auto"/>
            <w:vAlign w:val="center"/>
          </w:tcPr>
          <w:p w:rsidR="00065E95" w:rsidRPr="00F80387" w:rsidRDefault="00065E95" w:rsidP="00B166D8">
            <w:pPr>
              <w:keepNext/>
              <w:spacing w:before="60" w:after="60" w:line="240" w:lineRule="auto"/>
              <w:jc w:val="right"/>
              <w:outlineLvl w:val="0"/>
              <w:rPr>
                <w:b/>
                <w:bCs/>
                <w:kern w:val="32"/>
                <w:sz w:val="18"/>
                <w:szCs w:val="18"/>
              </w:rPr>
            </w:pPr>
          </w:p>
        </w:tc>
        <w:tc>
          <w:tcPr>
            <w:tcW w:w="1275" w:type="dxa"/>
            <w:shd w:val="clear" w:color="auto" w:fill="auto"/>
          </w:tcPr>
          <w:p w:rsidR="00065E95" w:rsidRPr="000F7A1D" w:rsidRDefault="00065E95" w:rsidP="000F7A1D">
            <w:pPr>
              <w:jc w:val="right"/>
              <w:rPr>
                <w:b/>
                <w:kern w:val="32"/>
                <w:sz w:val="18"/>
                <w:szCs w:val="18"/>
              </w:rPr>
            </w:pPr>
            <w:r w:rsidRPr="000F7A1D">
              <w:rPr>
                <w:b/>
                <w:kern w:val="32"/>
                <w:sz w:val="18"/>
                <w:szCs w:val="18"/>
              </w:rPr>
              <w:t>2011-12</w:t>
            </w:r>
          </w:p>
        </w:tc>
        <w:tc>
          <w:tcPr>
            <w:tcW w:w="1275" w:type="dxa"/>
            <w:shd w:val="clear" w:color="auto" w:fill="auto"/>
            <w:vAlign w:val="center"/>
          </w:tcPr>
          <w:p w:rsidR="00065E95" w:rsidRPr="000F7A1D" w:rsidRDefault="00065E95" w:rsidP="000F7A1D">
            <w:pPr>
              <w:jc w:val="right"/>
              <w:rPr>
                <w:b/>
                <w:kern w:val="32"/>
                <w:sz w:val="18"/>
                <w:szCs w:val="18"/>
              </w:rPr>
            </w:pPr>
            <w:r w:rsidRPr="000F7A1D">
              <w:rPr>
                <w:b/>
                <w:kern w:val="32"/>
                <w:sz w:val="18"/>
                <w:szCs w:val="18"/>
              </w:rPr>
              <w:t>2012-13</w:t>
            </w:r>
          </w:p>
        </w:tc>
        <w:tc>
          <w:tcPr>
            <w:tcW w:w="1275" w:type="dxa"/>
            <w:shd w:val="clear" w:color="auto" w:fill="auto"/>
          </w:tcPr>
          <w:p w:rsidR="00065E95" w:rsidRPr="000F7A1D" w:rsidRDefault="00065E95" w:rsidP="000F7A1D">
            <w:pPr>
              <w:jc w:val="right"/>
              <w:rPr>
                <w:b/>
                <w:kern w:val="32"/>
                <w:sz w:val="18"/>
                <w:szCs w:val="18"/>
              </w:rPr>
            </w:pPr>
            <w:r w:rsidRPr="000F7A1D">
              <w:rPr>
                <w:b/>
                <w:kern w:val="32"/>
                <w:sz w:val="18"/>
                <w:szCs w:val="18"/>
              </w:rPr>
              <w:t>2013-14</w:t>
            </w:r>
          </w:p>
        </w:tc>
        <w:tc>
          <w:tcPr>
            <w:tcW w:w="1275" w:type="dxa"/>
          </w:tcPr>
          <w:p w:rsidR="00065E95" w:rsidRPr="000F7A1D" w:rsidRDefault="00065E95" w:rsidP="000F7A1D">
            <w:pPr>
              <w:jc w:val="right"/>
              <w:rPr>
                <w:b/>
                <w:kern w:val="32"/>
                <w:sz w:val="18"/>
                <w:szCs w:val="18"/>
              </w:rPr>
            </w:pPr>
            <w:r w:rsidRPr="000F7A1D">
              <w:rPr>
                <w:b/>
                <w:kern w:val="32"/>
                <w:sz w:val="18"/>
                <w:szCs w:val="18"/>
              </w:rPr>
              <w:t>2014-15</w:t>
            </w:r>
          </w:p>
        </w:tc>
      </w:tr>
      <w:tr w:rsidR="00065E95" w:rsidRPr="00F80387" w:rsidTr="00277671">
        <w:tc>
          <w:tcPr>
            <w:tcW w:w="4253" w:type="dxa"/>
            <w:vAlign w:val="center"/>
          </w:tcPr>
          <w:p w:rsidR="00065E95" w:rsidRPr="00F80387" w:rsidRDefault="00065E95" w:rsidP="00482AA0">
            <w:pPr>
              <w:pStyle w:val="Table-AnnualReport"/>
            </w:pPr>
            <w:r w:rsidRPr="00F80387">
              <w:t>Female</w:t>
            </w:r>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8 579</w:t>
            </w:r>
          </w:p>
        </w:tc>
        <w:tc>
          <w:tcPr>
            <w:tcW w:w="1275" w:type="dxa"/>
            <w:vAlign w:val="center"/>
          </w:tcPr>
          <w:p w:rsidR="00065E95" w:rsidRPr="00F80387" w:rsidRDefault="00065E95" w:rsidP="00482AA0">
            <w:pPr>
              <w:pStyle w:val="Table-AnnualReport"/>
              <w:jc w:val="right"/>
            </w:pPr>
            <w:r w:rsidRPr="00F80387">
              <w:t>1 924</w:t>
            </w:r>
          </w:p>
        </w:tc>
        <w:tc>
          <w:tcPr>
            <w:tcW w:w="1275" w:type="dxa"/>
          </w:tcPr>
          <w:p w:rsidR="00065E95" w:rsidRPr="00F80387" w:rsidRDefault="00065E95" w:rsidP="00482AA0">
            <w:pPr>
              <w:pStyle w:val="Table-AnnualReport"/>
              <w:jc w:val="right"/>
            </w:pPr>
            <w:r w:rsidRPr="00F80387">
              <w:t>1</w:t>
            </w:r>
            <w:r w:rsidR="003541C9">
              <w:t> </w:t>
            </w:r>
            <w:r w:rsidRPr="00F80387">
              <w:t>344</w:t>
            </w:r>
          </w:p>
        </w:tc>
        <w:tc>
          <w:tcPr>
            <w:tcW w:w="1275" w:type="dxa"/>
          </w:tcPr>
          <w:p w:rsidR="00065E95" w:rsidRPr="00F80387" w:rsidRDefault="00065E95" w:rsidP="00482AA0">
            <w:pPr>
              <w:pStyle w:val="Table-AnnualReport"/>
              <w:jc w:val="right"/>
            </w:pPr>
            <w:r w:rsidRPr="00F80387">
              <w:t>1</w:t>
            </w:r>
            <w:r w:rsidR="003541C9">
              <w:t> </w:t>
            </w:r>
            <w:r w:rsidRPr="00F80387">
              <w:t>187</w:t>
            </w:r>
          </w:p>
        </w:tc>
      </w:tr>
      <w:tr w:rsidR="00065E95" w:rsidRPr="00F80387" w:rsidTr="00277671">
        <w:tc>
          <w:tcPr>
            <w:tcW w:w="4253" w:type="dxa"/>
            <w:vAlign w:val="center"/>
          </w:tcPr>
          <w:p w:rsidR="00065E95" w:rsidRPr="00F80387" w:rsidRDefault="00065E95" w:rsidP="00482AA0">
            <w:pPr>
              <w:pStyle w:val="Table-AnnualReport"/>
            </w:pPr>
            <w:r w:rsidRPr="00F80387">
              <w:t>Male</w:t>
            </w:r>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2 922</w:t>
            </w:r>
          </w:p>
        </w:tc>
        <w:tc>
          <w:tcPr>
            <w:tcW w:w="1275" w:type="dxa"/>
            <w:vAlign w:val="center"/>
          </w:tcPr>
          <w:p w:rsidR="00065E95" w:rsidRPr="00F80387" w:rsidRDefault="00065E95" w:rsidP="00482AA0">
            <w:pPr>
              <w:pStyle w:val="Table-AnnualReport"/>
              <w:jc w:val="right"/>
            </w:pPr>
            <w:r w:rsidRPr="00F80387">
              <w:t>1 046</w:t>
            </w:r>
          </w:p>
        </w:tc>
        <w:tc>
          <w:tcPr>
            <w:tcW w:w="1275" w:type="dxa"/>
          </w:tcPr>
          <w:p w:rsidR="00065E95" w:rsidRPr="00F80387" w:rsidRDefault="00065E95" w:rsidP="00482AA0">
            <w:pPr>
              <w:pStyle w:val="Table-AnnualReport"/>
              <w:jc w:val="right"/>
            </w:pPr>
            <w:r w:rsidRPr="00F80387">
              <w:t>735</w:t>
            </w:r>
          </w:p>
        </w:tc>
        <w:tc>
          <w:tcPr>
            <w:tcW w:w="1275" w:type="dxa"/>
          </w:tcPr>
          <w:p w:rsidR="00065E95" w:rsidRPr="00F80387" w:rsidRDefault="00065E95" w:rsidP="00482AA0">
            <w:pPr>
              <w:pStyle w:val="Table-AnnualReport"/>
              <w:jc w:val="right"/>
            </w:pPr>
            <w:r w:rsidRPr="00F80387">
              <w:t>655</w:t>
            </w:r>
          </w:p>
        </w:tc>
      </w:tr>
      <w:tr w:rsidR="00065E95" w:rsidRPr="00F80387" w:rsidTr="00277671">
        <w:tc>
          <w:tcPr>
            <w:tcW w:w="4253" w:type="dxa"/>
            <w:vAlign w:val="center"/>
          </w:tcPr>
          <w:p w:rsidR="00065E95" w:rsidRPr="00F80387" w:rsidRDefault="00065E95" w:rsidP="00482AA0">
            <w:pPr>
              <w:pStyle w:val="Table-AnnualReport"/>
              <w:rPr>
                <w:b/>
              </w:rPr>
            </w:pPr>
            <w:r w:rsidRPr="00F80387">
              <w:rPr>
                <w:b/>
              </w:rPr>
              <w:t>Total</w:t>
            </w:r>
          </w:p>
        </w:tc>
        <w:tc>
          <w:tcPr>
            <w:tcW w:w="283" w:type="dxa"/>
            <w:vAlign w:val="center"/>
          </w:tcPr>
          <w:p w:rsidR="00065E95" w:rsidRPr="00F80387" w:rsidRDefault="00065E95" w:rsidP="00482AA0">
            <w:pPr>
              <w:pStyle w:val="Table-AnnualReport"/>
              <w:rPr>
                <w:b/>
              </w:rPr>
            </w:pPr>
          </w:p>
        </w:tc>
        <w:tc>
          <w:tcPr>
            <w:tcW w:w="1275" w:type="dxa"/>
          </w:tcPr>
          <w:p w:rsidR="00065E95" w:rsidRPr="00F80387" w:rsidRDefault="00065E95" w:rsidP="00482AA0">
            <w:pPr>
              <w:pStyle w:val="Table-AnnualReport"/>
              <w:jc w:val="right"/>
              <w:rPr>
                <w:b/>
              </w:rPr>
            </w:pPr>
            <w:r w:rsidRPr="00F80387">
              <w:rPr>
                <w:b/>
              </w:rPr>
              <w:t>11 501</w:t>
            </w:r>
          </w:p>
        </w:tc>
        <w:tc>
          <w:tcPr>
            <w:tcW w:w="1275" w:type="dxa"/>
            <w:vAlign w:val="center"/>
          </w:tcPr>
          <w:p w:rsidR="00065E95" w:rsidRPr="00F80387" w:rsidRDefault="00065E95" w:rsidP="00482AA0">
            <w:pPr>
              <w:pStyle w:val="Table-AnnualReport"/>
              <w:jc w:val="right"/>
              <w:rPr>
                <w:b/>
              </w:rPr>
            </w:pPr>
            <w:r w:rsidRPr="00F80387">
              <w:rPr>
                <w:b/>
              </w:rPr>
              <w:t>2 970</w:t>
            </w:r>
          </w:p>
        </w:tc>
        <w:tc>
          <w:tcPr>
            <w:tcW w:w="1275" w:type="dxa"/>
          </w:tcPr>
          <w:p w:rsidR="00065E95" w:rsidRPr="00F80387" w:rsidRDefault="00065E95" w:rsidP="00482AA0">
            <w:pPr>
              <w:pStyle w:val="Table-AnnualReport"/>
              <w:jc w:val="right"/>
              <w:rPr>
                <w:b/>
              </w:rPr>
            </w:pPr>
            <w:r w:rsidRPr="00F80387">
              <w:rPr>
                <w:b/>
              </w:rPr>
              <w:t>2</w:t>
            </w:r>
            <w:r w:rsidR="001C4341">
              <w:rPr>
                <w:b/>
              </w:rPr>
              <w:t> </w:t>
            </w:r>
            <w:r w:rsidRPr="00F80387">
              <w:rPr>
                <w:b/>
              </w:rPr>
              <w:t>079</w:t>
            </w:r>
          </w:p>
        </w:tc>
        <w:tc>
          <w:tcPr>
            <w:tcW w:w="1275" w:type="dxa"/>
          </w:tcPr>
          <w:p w:rsidR="00065E95" w:rsidRPr="00F80387" w:rsidRDefault="00065E95" w:rsidP="00482AA0">
            <w:pPr>
              <w:pStyle w:val="Table-AnnualReport"/>
              <w:jc w:val="right"/>
              <w:rPr>
                <w:b/>
              </w:rPr>
            </w:pPr>
            <w:r w:rsidRPr="00F80387">
              <w:rPr>
                <w:b/>
              </w:rPr>
              <w:t>1 842</w:t>
            </w:r>
          </w:p>
        </w:tc>
      </w:tr>
    </w:tbl>
    <w:p w:rsidR="00065E95" w:rsidRPr="00F80387" w:rsidRDefault="00065E95" w:rsidP="00B166D8"/>
    <w:p w:rsidR="00065E95" w:rsidRPr="00F80387" w:rsidRDefault="00065E95" w:rsidP="00F80387">
      <w:pPr>
        <w:pStyle w:val="Heading4"/>
      </w:pPr>
      <w:r w:rsidRPr="00F80387">
        <w:t>Total Number Paid Employees by Gender by Portfolio</w:t>
      </w:r>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Pr>
      <w:tblGrid>
        <w:gridCol w:w="4253"/>
        <w:gridCol w:w="283"/>
        <w:gridCol w:w="2552"/>
        <w:gridCol w:w="2551"/>
      </w:tblGrid>
      <w:tr w:rsidR="00065E95" w:rsidRPr="00F80387" w:rsidTr="00482AA0">
        <w:tc>
          <w:tcPr>
            <w:tcW w:w="4253" w:type="dxa"/>
            <w:shd w:val="clear" w:color="auto" w:fill="auto"/>
          </w:tcPr>
          <w:p w:rsidR="00065E95" w:rsidRPr="00F80387" w:rsidRDefault="00065E95" w:rsidP="00B166D8">
            <w:pPr>
              <w:keepNext/>
              <w:spacing w:before="60" w:after="60" w:line="240" w:lineRule="auto"/>
              <w:outlineLvl w:val="0"/>
              <w:rPr>
                <w:b/>
                <w:bCs/>
                <w:kern w:val="32"/>
                <w:sz w:val="18"/>
                <w:szCs w:val="18"/>
              </w:rPr>
            </w:pPr>
          </w:p>
        </w:tc>
        <w:tc>
          <w:tcPr>
            <w:tcW w:w="283" w:type="dxa"/>
            <w:shd w:val="clear" w:color="auto" w:fill="auto"/>
            <w:vAlign w:val="center"/>
          </w:tcPr>
          <w:p w:rsidR="00065E95" w:rsidRPr="00F80387" w:rsidRDefault="00065E95" w:rsidP="00B166D8">
            <w:pPr>
              <w:keepNext/>
              <w:spacing w:before="60" w:after="60" w:line="240" w:lineRule="auto"/>
              <w:jc w:val="right"/>
              <w:outlineLvl w:val="0"/>
              <w:rPr>
                <w:b/>
                <w:bCs/>
                <w:kern w:val="32"/>
                <w:sz w:val="18"/>
                <w:szCs w:val="18"/>
              </w:rPr>
            </w:pPr>
          </w:p>
        </w:tc>
        <w:tc>
          <w:tcPr>
            <w:tcW w:w="2552" w:type="dxa"/>
            <w:shd w:val="clear" w:color="auto" w:fill="auto"/>
            <w:vAlign w:val="center"/>
          </w:tcPr>
          <w:p w:rsidR="00065E95" w:rsidRPr="000F7A1D" w:rsidRDefault="00065E95" w:rsidP="000F7A1D">
            <w:pPr>
              <w:jc w:val="right"/>
              <w:rPr>
                <w:b/>
                <w:kern w:val="32"/>
                <w:sz w:val="18"/>
                <w:szCs w:val="18"/>
              </w:rPr>
            </w:pPr>
            <w:r w:rsidRPr="000F7A1D">
              <w:rPr>
                <w:b/>
                <w:kern w:val="32"/>
                <w:sz w:val="18"/>
                <w:szCs w:val="18"/>
              </w:rPr>
              <w:t>Health</w:t>
            </w:r>
          </w:p>
        </w:tc>
        <w:tc>
          <w:tcPr>
            <w:tcW w:w="2551" w:type="dxa"/>
            <w:shd w:val="clear" w:color="auto" w:fill="auto"/>
          </w:tcPr>
          <w:p w:rsidR="00065E95" w:rsidRPr="000F7A1D" w:rsidRDefault="00065E95" w:rsidP="000F7A1D">
            <w:pPr>
              <w:jc w:val="right"/>
              <w:rPr>
                <w:b/>
                <w:kern w:val="32"/>
                <w:sz w:val="18"/>
                <w:szCs w:val="18"/>
              </w:rPr>
            </w:pPr>
            <w:r w:rsidRPr="000F7A1D">
              <w:rPr>
                <w:b/>
                <w:kern w:val="32"/>
                <w:sz w:val="18"/>
                <w:szCs w:val="18"/>
              </w:rPr>
              <w:t>Human Services</w:t>
            </w:r>
          </w:p>
        </w:tc>
      </w:tr>
      <w:tr w:rsidR="00065E95" w:rsidRPr="00F80387" w:rsidTr="00482AA0">
        <w:tc>
          <w:tcPr>
            <w:tcW w:w="4253" w:type="dxa"/>
            <w:vAlign w:val="center"/>
          </w:tcPr>
          <w:p w:rsidR="00065E95" w:rsidRPr="00F80387" w:rsidRDefault="00065E95" w:rsidP="00482AA0">
            <w:pPr>
              <w:pStyle w:val="Table-AnnualReport"/>
            </w:pPr>
            <w:r w:rsidRPr="00F80387">
              <w:t>Female</w:t>
            </w:r>
          </w:p>
        </w:tc>
        <w:tc>
          <w:tcPr>
            <w:tcW w:w="283" w:type="dxa"/>
            <w:vAlign w:val="center"/>
          </w:tcPr>
          <w:p w:rsidR="00065E95" w:rsidRPr="00F80387" w:rsidRDefault="00065E95" w:rsidP="00482AA0">
            <w:pPr>
              <w:pStyle w:val="Table-AnnualReport"/>
            </w:pPr>
          </w:p>
        </w:tc>
        <w:tc>
          <w:tcPr>
            <w:tcW w:w="2552" w:type="dxa"/>
          </w:tcPr>
          <w:p w:rsidR="00065E95" w:rsidRPr="00F80387" w:rsidRDefault="00065E95" w:rsidP="00482AA0">
            <w:pPr>
              <w:pStyle w:val="Table-AnnualReport"/>
              <w:jc w:val="right"/>
              <w:rPr>
                <w:rFonts w:cs="Arial"/>
                <w:color w:val="000000"/>
              </w:rPr>
            </w:pPr>
            <w:r w:rsidRPr="00F80387">
              <w:rPr>
                <w:rFonts w:cs="Arial"/>
                <w:color w:val="000000"/>
              </w:rPr>
              <w:t>557</w:t>
            </w:r>
          </w:p>
        </w:tc>
        <w:tc>
          <w:tcPr>
            <w:tcW w:w="2551" w:type="dxa"/>
          </w:tcPr>
          <w:p w:rsidR="00065E95" w:rsidRPr="00F80387" w:rsidRDefault="00065E95" w:rsidP="00482AA0">
            <w:pPr>
              <w:pStyle w:val="Table-AnnualReport"/>
              <w:jc w:val="right"/>
              <w:rPr>
                <w:rFonts w:cs="Arial"/>
                <w:color w:val="000000"/>
              </w:rPr>
            </w:pPr>
            <w:r w:rsidRPr="00F80387">
              <w:rPr>
                <w:rFonts w:cs="Arial"/>
                <w:color w:val="000000"/>
              </w:rPr>
              <w:t>630</w:t>
            </w:r>
          </w:p>
        </w:tc>
      </w:tr>
      <w:tr w:rsidR="00065E95" w:rsidRPr="00F80387" w:rsidTr="00482AA0">
        <w:tc>
          <w:tcPr>
            <w:tcW w:w="4253" w:type="dxa"/>
            <w:vAlign w:val="center"/>
          </w:tcPr>
          <w:p w:rsidR="00065E95" w:rsidRPr="00F80387" w:rsidRDefault="00065E95" w:rsidP="00482AA0">
            <w:pPr>
              <w:pStyle w:val="Table-AnnualReport"/>
            </w:pPr>
            <w:r w:rsidRPr="00F80387">
              <w:t>Male</w:t>
            </w:r>
          </w:p>
        </w:tc>
        <w:tc>
          <w:tcPr>
            <w:tcW w:w="283" w:type="dxa"/>
            <w:vAlign w:val="center"/>
          </w:tcPr>
          <w:p w:rsidR="00065E95" w:rsidRPr="00F80387" w:rsidRDefault="00065E95" w:rsidP="00482AA0">
            <w:pPr>
              <w:pStyle w:val="Table-AnnualReport"/>
            </w:pPr>
          </w:p>
        </w:tc>
        <w:tc>
          <w:tcPr>
            <w:tcW w:w="2552" w:type="dxa"/>
          </w:tcPr>
          <w:p w:rsidR="00065E95" w:rsidRPr="00F80387" w:rsidRDefault="00065E95" w:rsidP="00482AA0">
            <w:pPr>
              <w:pStyle w:val="Table-AnnualReport"/>
              <w:jc w:val="right"/>
              <w:rPr>
                <w:rFonts w:cs="Arial"/>
                <w:color w:val="000000"/>
              </w:rPr>
            </w:pPr>
            <w:r w:rsidRPr="00F80387">
              <w:rPr>
                <w:rFonts w:cs="Arial"/>
                <w:color w:val="000000"/>
              </w:rPr>
              <w:t>473</w:t>
            </w:r>
          </w:p>
        </w:tc>
        <w:tc>
          <w:tcPr>
            <w:tcW w:w="2551" w:type="dxa"/>
          </w:tcPr>
          <w:p w:rsidR="00065E95" w:rsidRPr="00F80387" w:rsidRDefault="00065E95" w:rsidP="00482AA0">
            <w:pPr>
              <w:pStyle w:val="Table-AnnualReport"/>
              <w:jc w:val="right"/>
              <w:rPr>
                <w:rFonts w:cs="Arial"/>
                <w:color w:val="000000"/>
              </w:rPr>
            </w:pPr>
            <w:r w:rsidRPr="00F80387">
              <w:rPr>
                <w:rFonts w:cs="Arial"/>
                <w:color w:val="000000"/>
              </w:rPr>
              <w:t>182</w:t>
            </w:r>
          </w:p>
        </w:tc>
      </w:tr>
      <w:tr w:rsidR="00065E95" w:rsidRPr="00F80387" w:rsidTr="00482AA0">
        <w:tc>
          <w:tcPr>
            <w:tcW w:w="4253" w:type="dxa"/>
            <w:vAlign w:val="center"/>
          </w:tcPr>
          <w:p w:rsidR="00065E95" w:rsidRPr="00F80387" w:rsidRDefault="00065E95" w:rsidP="00482AA0">
            <w:pPr>
              <w:pStyle w:val="Table-AnnualReport"/>
              <w:rPr>
                <w:b/>
              </w:rPr>
            </w:pPr>
            <w:r w:rsidRPr="00F80387">
              <w:rPr>
                <w:b/>
              </w:rPr>
              <w:t>Total</w:t>
            </w:r>
          </w:p>
        </w:tc>
        <w:tc>
          <w:tcPr>
            <w:tcW w:w="283" w:type="dxa"/>
            <w:vAlign w:val="center"/>
          </w:tcPr>
          <w:p w:rsidR="00065E95" w:rsidRPr="00F80387" w:rsidRDefault="00065E95" w:rsidP="00482AA0">
            <w:pPr>
              <w:pStyle w:val="Table-AnnualReport"/>
              <w:rPr>
                <w:b/>
              </w:rPr>
            </w:pPr>
          </w:p>
        </w:tc>
        <w:tc>
          <w:tcPr>
            <w:tcW w:w="2552" w:type="dxa"/>
          </w:tcPr>
          <w:p w:rsidR="00065E95" w:rsidRPr="00F80387" w:rsidRDefault="00065E95" w:rsidP="00482AA0">
            <w:pPr>
              <w:pStyle w:val="Table-AnnualReport"/>
              <w:jc w:val="right"/>
              <w:rPr>
                <w:rFonts w:cs="Arial"/>
                <w:b/>
                <w:color w:val="000000"/>
              </w:rPr>
            </w:pPr>
            <w:r w:rsidRPr="00F80387">
              <w:rPr>
                <w:rFonts w:cs="Arial"/>
                <w:b/>
                <w:color w:val="000000"/>
              </w:rPr>
              <w:t>1</w:t>
            </w:r>
            <w:r w:rsidR="00BB032E" w:rsidRPr="00F80387">
              <w:rPr>
                <w:rFonts w:cs="Arial"/>
                <w:b/>
                <w:color w:val="000000"/>
              </w:rPr>
              <w:t xml:space="preserve"> </w:t>
            </w:r>
            <w:r w:rsidRPr="00F80387">
              <w:rPr>
                <w:rFonts w:cs="Arial"/>
                <w:b/>
                <w:color w:val="000000"/>
              </w:rPr>
              <w:t>030</w:t>
            </w:r>
          </w:p>
        </w:tc>
        <w:tc>
          <w:tcPr>
            <w:tcW w:w="2551" w:type="dxa"/>
          </w:tcPr>
          <w:p w:rsidR="00065E95" w:rsidRPr="00F80387" w:rsidRDefault="00065E95" w:rsidP="00482AA0">
            <w:pPr>
              <w:pStyle w:val="Table-AnnualReport"/>
              <w:jc w:val="right"/>
              <w:rPr>
                <w:rFonts w:cs="Arial"/>
                <w:b/>
                <w:color w:val="000000"/>
              </w:rPr>
            </w:pPr>
            <w:r w:rsidRPr="00F80387">
              <w:rPr>
                <w:rFonts w:cs="Arial"/>
                <w:b/>
                <w:color w:val="000000"/>
              </w:rPr>
              <w:t>812</w:t>
            </w:r>
          </w:p>
        </w:tc>
      </w:tr>
    </w:tbl>
    <w:p w:rsidR="00857F4E" w:rsidRDefault="00857F4E" w:rsidP="00B166D8"/>
    <w:p w:rsidR="00857F4E" w:rsidRDefault="00857F4E">
      <w:pPr>
        <w:tabs>
          <w:tab w:val="clear" w:pos="567"/>
        </w:tabs>
        <w:spacing w:after="200" w:line="276" w:lineRule="auto"/>
      </w:pPr>
      <w:r>
        <w:br w:type="page"/>
      </w:r>
    </w:p>
    <w:p w:rsidR="00065E95" w:rsidRPr="00F80387" w:rsidRDefault="00065E95" w:rsidP="001C4341">
      <w:pPr>
        <w:pStyle w:val="Heading4"/>
      </w:pPr>
      <w:r w:rsidRPr="00F80387">
        <w:lastRenderedPageBreak/>
        <w:t>Total Number Paid by Salary Bands (Total Earnings) – Salary for Award Classification</w:t>
      </w:r>
    </w:p>
    <w:tbl>
      <w:tblPr>
        <w:tblW w:w="9636"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Pr>
      <w:tblGrid>
        <w:gridCol w:w="4253"/>
        <w:gridCol w:w="283"/>
        <w:gridCol w:w="1275"/>
        <w:gridCol w:w="1275"/>
        <w:gridCol w:w="1275"/>
        <w:gridCol w:w="1275"/>
      </w:tblGrid>
      <w:tr w:rsidR="00065E95" w:rsidRPr="00F80387" w:rsidTr="00277671">
        <w:tc>
          <w:tcPr>
            <w:tcW w:w="4253" w:type="dxa"/>
            <w:shd w:val="clear" w:color="auto" w:fill="auto"/>
          </w:tcPr>
          <w:p w:rsidR="00065E95" w:rsidRPr="00F80387" w:rsidRDefault="00065E95" w:rsidP="00B166D8">
            <w:pPr>
              <w:keepNext/>
              <w:spacing w:before="60" w:after="60" w:line="240" w:lineRule="auto"/>
              <w:outlineLvl w:val="0"/>
              <w:rPr>
                <w:b/>
                <w:bCs/>
                <w:kern w:val="32"/>
                <w:sz w:val="18"/>
                <w:szCs w:val="18"/>
              </w:rPr>
            </w:pPr>
          </w:p>
        </w:tc>
        <w:tc>
          <w:tcPr>
            <w:tcW w:w="283" w:type="dxa"/>
            <w:shd w:val="clear" w:color="auto" w:fill="auto"/>
            <w:vAlign w:val="center"/>
          </w:tcPr>
          <w:p w:rsidR="00065E95" w:rsidRPr="00F80387" w:rsidRDefault="00065E95" w:rsidP="00B166D8">
            <w:pPr>
              <w:keepNext/>
              <w:spacing w:before="60" w:after="60" w:line="240" w:lineRule="auto"/>
              <w:jc w:val="right"/>
              <w:outlineLvl w:val="0"/>
              <w:rPr>
                <w:b/>
                <w:bCs/>
                <w:kern w:val="32"/>
                <w:sz w:val="18"/>
                <w:szCs w:val="18"/>
              </w:rPr>
            </w:pPr>
          </w:p>
        </w:tc>
        <w:tc>
          <w:tcPr>
            <w:tcW w:w="1275" w:type="dxa"/>
            <w:shd w:val="clear" w:color="auto" w:fill="auto"/>
          </w:tcPr>
          <w:p w:rsidR="00065E95" w:rsidRPr="000F7A1D" w:rsidRDefault="00065E95" w:rsidP="000F7A1D">
            <w:pPr>
              <w:jc w:val="right"/>
              <w:rPr>
                <w:b/>
                <w:kern w:val="32"/>
                <w:sz w:val="18"/>
                <w:szCs w:val="18"/>
              </w:rPr>
            </w:pPr>
            <w:r w:rsidRPr="000F7A1D">
              <w:rPr>
                <w:b/>
                <w:kern w:val="32"/>
                <w:sz w:val="18"/>
                <w:szCs w:val="18"/>
              </w:rPr>
              <w:t>2011-12</w:t>
            </w:r>
          </w:p>
        </w:tc>
        <w:tc>
          <w:tcPr>
            <w:tcW w:w="1275" w:type="dxa"/>
            <w:shd w:val="clear" w:color="auto" w:fill="auto"/>
            <w:vAlign w:val="center"/>
          </w:tcPr>
          <w:p w:rsidR="00065E95" w:rsidRPr="000F7A1D" w:rsidRDefault="00065E95" w:rsidP="000F7A1D">
            <w:pPr>
              <w:jc w:val="right"/>
              <w:rPr>
                <w:b/>
                <w:kern w:val="32"/>
                <w:sz w:val="18"/>
                <w:szCs w:val="18"/>
              </w:rPr>
            </w:pPr>
            <w:r w:rsidRPr="000F7A1D">
              <w:rPr>
                <w:b/>
                <w:kern w:val="32"/>
                <w:sz w:val="18"/>
                <w:szCs w:val="18"/>
              </w:rPr>
              <w:t>2012-13</w:t>
            </w:r>
          </w:p>
        </w:tc>
        <w:tc>
          <w:tcPr>
            <w:tcW w:w="1275" w:type="dxa"/>
            <w:shd w:val="clear" w:color="auto" w:fill="auto"/>
          </w:tcPr>
          <w:p w:rsidR="00065E95" w:rsidRPr="000F7A1D" w:rsidRDefault="00065E95" w:rsidP="000F7A1D">
            <w:pPr>
              <w:jc w:val="right"/>
              <w:rPr>
                <w:b/>
                <w:kern w:val="32"/>
                <w:sz w:val="18"/>
                <w:szCs w:val="18"/>
              </w:rPr>
            </w:pPr>
            <w:r w:rsidRPr="000F7A1D">
              <w:rPr>
                <w:b/>
                <w:kern w:val="32"/>
                <w:sz w:val="18"/>
                <w:szCs w:val="18"/>
              </w:rPr>
              <w:t>2013-14</w:t>
            </w:r>
          </w:p>
        </w:tc>
        <w:tc>
          <w:tcPr>
            <w:tcW w:w="1275" w:type="dxa"/>
          </w:tcPr>
          <w:p w:rsidR="00065E95" w:rsidRPr="000F7A1D" w:rsidRDefault="00065E95" w:rsidP="000F7A1D">
            <w:pPr>
              <w:jc w:val="right"/>
              <w:rPr>
                <w:b/>
                <w:kern w:val="32"/>
                <w:sz w:val="18"/>
                <w:szCs w:val="18"/>
              </w:rPr>
            </w:pPr>
            <w:r w:rsidRPr="000F7A1D">
              <w:rPr>
                <w:b/>
                <w:kern w:val="32"/>
                <w:sz w:val="18"/>
                <w:szCs w:val="18"/>
              </w:rPr>
              <w:t>2014-15</w:t>
            </w:r>
          </w:p>
        </w:tc>
      </w:tr>
      <w:tr w:rsidR="00065E95" w:rsidRPr="00F80387" w:rsidTr="00277671">
        <w:tc>
          <w:tcPr>
            <w:tcW w:w="4253" w:type="dxa"/>
            <w:vAlign w:val="center"/>
          </w:tcPr>
          <w:p w:rsidR="00065E95" w:rsidRPr="00F80387" w:rsidRDefault="00065E95" w:rsidP="00482AA0">
            <w:pPr>
              <w:pStyle w:val="Table-AnnualReport"/>
            </w:pPr>
            <w:bookmarkStart w:id="226" w:name="_Toc304279209"/>
            <w:r w:rsidRPr="00F80387">
              <w:t>0-19 000</w:t>
            </w:r>
            <w:bookmarkEnd w:id="226"/>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0</w:t>
            </w:r>
          </w:p>
        </w:tc>
        <w:tc>
          <w:tcPr>
            <w:tcW w:w="1275" w:type="dxa"/>
            <w:vAlign w:val="center"/>
          </w:tcPr>
          <w:p w:rsidR="00065E95" w:rsidRPr="00F80387" w:rsidRDefault="00065E95" w:rsidP="00482AA0">
            <w:pPr>
              <w:pStyle w:val="Table-AnnualReport"/>
              <w:jc w:val="right"/>
            </w:pPr>
            <w:r w:rsidRPr="00F80387">
              <w:t>0</w:t>
            </w:r>
          </w:p>
        </w:tc>
        <w:tc>
          <w:tcPr>
            <w:tcW w:w="1275" w:type="dxa"/>
            <w:shd w:val="clear" w:color="auto" w:fill="auto"/>
            <w:vAlign w:val="center"/>
          </w:tcPr>
          <w:p w:rsidR="00065E95" w:rsidRPr="00F80387" w:rsidRDefault="00065E95" w:rsidP="00482AA0">
            <w:pPr>
              <w:pStyle w:val="Table-AnnualReport"/>
              <w:jc w:val="right"/>
            </w:pPr>
            <w:r w:rsidRPr="00F80387">
              <w:t>0</w:t>
            </w:r>
          </w:p>
        </w:tc>
        <w:tc>
          <w:tcPr>
            <w:tcW w:w="1275" w:type="dxa"/>
          </w:tcPr>
          <w:p w:rsidR="00065E95" w:rsidRPr="00F80387" w:rsidRDefault="00C22E54" w:rsidP="00482AA0">
            <w:pPr>
              <w:pStyle w:val="Table-AnnualReport"/>
              <w:jc w:val="right"/>
            </w:pPr>
            <w:r>
              <w:t>0</w:t>
            </w:r>
          </w:p>
        </w:tc>
      </w:tr>
      <w:tr w:rsidR="00065E95" w:rsidRPr="00F80387" w:rsidTr="00277671">
        <w:tc>
          <w:tcPr>
            <w:tcW w:w="4253" w:type="dxa"/>
            <w:vAlign w:val="center"/>
          </w:tcPr>
          <w:p w:rsidR="00065E95" w:rsidRPr="00F80387" w:rsidRDefault="00065E95" w:rsidP="00482AA0">
            <w:pPr>
              <w:pStyle w:val="Table-AnnualReport"/>
            </w:pPr>
            <w:bookmarkStart w:id="227" w:name="_Toc304279214"/>
            <w:r w:rsidRPr="00F80387">
              <w:t>19  001-23 000</w:t>
            </w:r>
            <w:bookmarkEnd w:id="227"/>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9</w:t>
            </w:r>
          </w:p>
        </w:tc>
        <w:tc>
          <w:tcPr>
            <w:tcW w:w="1275" w:type="dxa"/>
            <w:vAlign w:val="center"/>
          </w:tcPr>
          <w:p w:rsidR="00065E95" w:rsidRPr="00F80387" w:rsidRDefault="00065E95" w:rsidP="00482AA0">
            <w:pPr>
              <w:pStyle w:val="Table-AnnualReport"/>
              <w:jc w:val="right"/>
            </w:pPr>
            <w:r w:rsidRPr="00F80387">
              <w:t>11</w:t>
            </w:r>
          </w:p>
        </w:tc>
        <w:tc>
          <w:tcPr>
            <w:tcW w:w="1275" w:type="dxa"/>
            <w:shd w:val="clear" w:color="auto" w:fill="auto"/>
            <w:vAlign w:val="center"/>
          </w:tcPr>
          <w:p w:rsidR="00065E95" w:rsidRPr="00F80387" w:rsidRDefault="00065E95" w:rsidP="00482AA0">
            <w:pPr>
              <w:pStyle w:val="Table-AnnualReport"/>
              <w:jc w:val="right"/>
            </w:pPr>
            <w:r w:rsidRPr="00F80387">
              <w:t>0</w:t>
            </w:r>
          </w:p>
        </w:tc>
        <w:tc>
          <w:tcPr>
            <w:tcW w:w="1275" w:type="dxa"/>
          </w:tcPr>
          <w:p w:rsidR="00065E95" w:rsidRPr="00F80387" w:rsidRDefault="00C22E54" w:rsidP="00482AA0">
            <w:pPr>
              <w:pStyle w:val="Table-AnnualReport"/>
              <w:jc w:val="right"/>
            </w:pPr>
            <w:r>
              <w:t>0</w:t>
            </w:r>
          </w:p>
        </w:tc>
      </w:tr>
      <w:tr w:rsidR="00065E95" w:rsidRPr="00F80387" w:rsidTr="00277671">
        <w:tc>
          <w:tcPr>
            <w:tcW w:w="4253" w:type="dxa"/>
            <w:vAlign w:val="center"/>
          </w:tcPr>
          <w:p w:rsidR="00065E95" w:rsidRPr="00F80387" w:rsidRDefault="00065E95" w:rsidP="00482AA0">
            <w:pPr>
              <w:pStyle w:val="Table-AnnualReport"/>
            </w:pPr>
            <w:bookmarkStart w:id="228" w:name="_Toc304279219"/>
            <w:r w:rsidRPr="00F80387">
              <w:t>23 001-27 000</w:t>
            </w:r>
            <w:bookmarkEnd w:id="228"/>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0</w:t>
            </w:r>
          </w:p>
        </w:tc>
        <w:tc>
          <w:tcPr>
            <w:tcW w:w="1275" w:type="dxa"/>
            <w:vAlign w:val="center"/>
          </w:tcPr>
          <w:p w:rsidR="00065E95" w:rsidRPr="00F80387" w:rsidRDefault="00065E95" w:rsidP="00482AA0">
            <w:pPr>
              <w:pStyle w:val="Table-AnnualReport"/>
              <w:jc w:val="right"/>
            </w:pPr>
            <w:r w:rsidRPr="00F80387">
              <w:t>0</w:t>
            </w:r>
          </w:p>
        </w:tc>
        <w:tc>
          <w:tcPr>
            <w:tcW w:w="1275" w:type="dxa"/>
            <w:shd w:val="clear" w:color="auto" w:fill="auto"/>
            <w:vAlign w:val="center"/>
          </w:tcPr>
          <w:p w:rsidR="00065E95" w:rsidRPr="00F80387" w:rsidRDefault="00065E95" w:rsidP="00482AA0">
            <w:pPr>
              <w:pStyle w:val="Table-AnnualReport"/>
              <w:jc w:val="right"/>
            </w:pPr>
            <w:r w:rsidRPr="00F80387">
              <w:t>0</w:t>
            </w:r>
          </w:p>
        </w:tc>
        <w:tc>
          <w:tcPr>
            <w:tcW w:w="1275" w:type="dxa"/>
          </w:tcPr>
          <w:p w:rsidR="00065E95" w:rsidRPr="00F80387" w:rsidRDefault="00C22E54" w:rsidP="00482AA0">
            <w:pPr>
              <w:pStyle w:val="Table-AnnualReport"/>
              <w:jc w:val="right"/>
            </w:pPr>
            <w:r>
              <w:t>0</w:t>
            </w:r>
          </w:p>
        </w:tc>
      </w:tr>
      <w:tr w:rsidR="00065E95" w:rsidRPr="00F80387" w:rsidTr="00277671">
        <w:tc>
          <w:tcPr>
            <w:tcW w:w="4253" w:type="dxa"/>
            <w:vAlign w:val="center"/>
          </w:tcPr>
          <w:p w:rsidR="00065E95" w:rsidRPr="00F80387" w:rsidRDefault="00065E95" w:rsidP="00482AA0">
            <w:pPr>
              <w:pStyle w:val="Table-AnnualReport"/>
            </w:pPr>
            <w:bookmarkStart w:id="229" w:name="_Toc304279224"/>
            <w:r w:rsidRPr="00F80387">
              <w:t>27 001-31 000</w:t>
            </w:r>
            <w:bookmarkEnd w:id="229"/>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5</w:t>
            </w:r>
          </w:p>
        </w:tc>
        <w:tc>
          <w:tcPr>
            <w:tcW w:w="1275" w:type="dxa"/>
            <w:vAlign w:val="center"/>
          </w:tcPr>
          <w:p w:rsidR="00065E95" w:rsidRPr="00F80387" w:rsidRDefault="00065E95" w:rsidP="00482AA0">
            <w:pPr>
              <w:pStyle w:val="Table-AnnualReport"/>
              <w:jc w:val="right"/>
            </w:pPr>
            <w:r w:rsidRPr="00F80387">
              <w:t>0</w:t>
            </w:r>
          </w:p>
        </w:tc>
        <w:tc>
          <w:tcPr>
            <w:tcW w:w="1275" w:type="dxa"/>
            <w:shd w:val="clear" w:color="auto" w:fill="auto"/>
            <w:vAlign w:val="center"/>
          </w:tcPr>
          <w:p w:rsidR="00065E95" w:rsidRPr="00F80387" w:rsidRDefault="00065E95" w:rsidP="00482AA0">
            <w:pPr>
              <w:pStyle w:val="Table-AnnualReport"/>
              <w:jc w:val="right"/>
            </w:pPr>
            <w:r w:rsidRPr="00F80387">
              <w:t>0</w:t>
            </w:r>
          </w:p>
        </w:tc>
        <w:tc>
          <w:tcPr>
            <w:tcW w:w="1275" w:type="dxa"/>
          </w:tcPr>
          <w:p w:rsidR="00065E95" w:rsidRPr="00F80387" w:rsidRDefault="00C22E54" w:rsidP="00482AA0">
            <w:pPr>
              <w:pStyle w:val="Table-AnnualReport"/>
              <w:jc w:val="right"/>
            </w:pPr>
            <w:r>
              <w:t>0</w:t>
            </w:r>
          </w:p>
        </w:tc>
      </w:tr>
      <w:tr w:rsidR="00065E95" w:rsidRPr="00F80387" w:rsidTr="00277671">
        <w:tc>
          <w:tcPr>
            <w:tcW w:w="4253" w:type="dxa"/>
            <w:vAlign w:val="center"/>
          </w:tcPr>
          <w:p w:rsidR="00065E95" w:rsidRPr="00F80387" w:rsidRDefault="00065E95" w:rsidP="00482AA0">
            <w:pPr>
              <w:pStyle w:val="Table-AnnualReport"/>
            </w:pPr>
            <w:bookmarkStart w:id="230" w:name="_Toc304279229"/>
            <w:r w:rsidRPr="00F80387">
              <w:t>31 001-35 000</w:t>
            </w:r>
            <w:bookmarkEnd w:id="230"/>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0</w:t>
            </w:r>
          </w:p>
        </w:tc>
        <w:tc>
          <w:tcPr>
            <w:tcW w:w="1275" w:type="dxa"/>
            <w:vAlign w:val="center"/>
          </w:tcPr>
          <w:p w:rsidR="00065E95" w:rsidRPr="00F80387" w:rsidRDefault="00065E95" w:rsidP="00482AA0">
            <w:pPr>
              <w:pStyle w:val="Table-AnnualReport"/>
              <w:jc w:val="right"/>
            </w:pPr>
            <w:r w:rsidRPr="00F80387">
              <w:t>0</w:t>
            </w:r>
          </w:p>
        </w:tc>
        <w:tc>
          <w:tcPr>
            <w:tcW w:w="1275" w:type="dxa"/>
            <w:shd w:val="clear" w:color="auto" w:fill="auto"/>
            <w:vAlign w:val="center"/>
          </w:tcPr>
          <w:p w:rsidR="00065E95" w:rsidRPr="00F80387" w:rsidRDefault="00065E95" w:rsidP="00482AA0">
            <w:pPr>
              <w:pStyle w:val="Table-AnnualReport"/>
              <w:jc w:val="right"/>
            </w:pPr>
            <w:r w:rsidRPr="00F80387">
              <w:t>0</w:t>
            </w:r>
          </w:p>
        </w:tc>
        <w:tc>
          <w:tcPr>
            <w:tcW w:w="1275" w:type="dxa"/>
          </w:tcPr>
          <w:p w:rsidR="00065E95" w:rsidRPr="00F80387" w:rsidRDefault="00C22E54" w:rsidP="00482AA0">
            <w:pPr>
              <w:pStyle w:val="Table-AnnualReport"/>
              <w:jc w:val="right"/>
            </w:pPr>
            <w:r>
              <w:t>0</w:t>
            </w:r>
          </w:p>
        </w:tc>
      </w:tr>
      <w:tr w:rsidR="00065E95" w:rsidRPr="00F80387" w:rsidTr="00277671">
        <w:tc>
          <w:tcPr>
            <w:tcW w:w="4253" w:type="dxa"/>
            <w:vAlign w:val="center"/>
          </w:tcPr>
          <w:p w:rsidR="00065E95" w:rsidRPr="00F80387" w:rsidRDefault="00065E95" w:rsidP="00482AA0">
            <w:pPr>
              <w:pStyle w:val="Table-AnnualReport"/>
            </w:pPr>
            <w:bookmarkStart w:id="231" w:name="_Toc304279234"/>
            <w:r w:rsidRPr="00F80387">
              <w:t>35 001-40 000</w:t>
            </w:r>
            <w:bookmarkEnd w:id="231"/>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72</w:t>
            </w:r>
          </w:p>
        </w:tc>
        <w:tc>
          <w:tcPr>
            <w:tcW w:w="1275" w:type="dxa"/>
            <w:vAlign w:val="center"/>
          </w:tcPr>
          <w:p w:rsidR="00065E95" w:rsidRPr="00F80387" w:rsidRDefault="00065E95" w:rsidP="00482AA0">
            <w:pPr>
              <w:pStyle w:val="Table-AnnualReport"/>
              <w:jc w:val="right"/>
            </w:pPr>
            <w:r w:rsidRPr="00F80387">
              <w:t>0</w:t>
            </w:r>
          </w:p>
        </w:tc>
        <w:tc>
          <w:tcPr>
            <w:tcW w:w="1275" w:type="dxa"/>
            <w:shd w:val="clear" w:color="auto" w:fill="auto"/>
            <w:vAlign w:val="center"/>
          </w:tcPr>
          <w:p w:rsidR="00065E95" w:rsidRPr="00F80387" w:rsidRDefault="00065E95" w:rsidP="00482AA0">
            <w:pPr>
              <w:pStyle w:val="Table-AnnualReport"/>
              <w:jc w:val="right"/>
            </w:pPr>
            <w:r w:rsidRPr="00F80387">
              <w:t>0</w:t>
            </w:r>
          </w:p>
        </w:tc>
        <w:tc>
          <w:tcPr>
            <w:tcW w:w="1275" w:type="dxa"/>
          </w:tcPr>
          <w:p w:rsidR="00065E95" w:rsidRPr="00F80387" w:rsidRDefault="00C22E54" w:rsidP="00482AA0">
            <w:pPr>
              <w:pStyle w:val="Table-AnnualReport"/>
              <w:jc w:val="right"/>
            </w:pPr>
            <w:r>
              <w:t>0</w:t>
            </w:r>
          </w:p>
        </w:tc>
      </w:tr>
      <w:tr w:rsidR="00065E95" w:rsidRPr="00F80387" w:rsidTr="00277671">
        <w:tc>
          <w:tcPr>
            <w:tcW w:w="4253" w:type="dxa"/>
            <w:vAlign w:val="center"/>
          </w:tcPr>
          <w:p w:rsidR="00065E95" w:rsidRPr="00F80387" w:rsidRDefault="00065E95" w:rsidP="00482AA0">
            <w:pPr>
              <w:pStyle w:val="Table-AnnualReport"/>
            </w:pPr>
            <w:bookmarkStart w:id="232" w:name="_Toc304279239"/>
            <w:r w:rsidRPr="00F80387">
              <w:t>40 001-45 000</w:t>
            </w:r>
            <w:bookmarkEnd w:id="232"/>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w:t>
            </w:r>
            <w:r w:rsidR="00482AA0" w:rsidRPr="00F80387">
              <w:t xml:space="preserve"> </w:t>
            </w:r>
            <w:r w:rsidRPr="00F80387">
              <w:t>104</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57</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w:t>
            </w:r>
          </w:p>
        </w:tc>
      </w:tr>
      <w:tr w:rsidR="00065E95" w:rsidRPr="00F80387" w:rsidTr="00277671">
        <w:tc>
          <w:tcPr>
            <w:tcW w:w="4253" w:type="dxa"/>
            <w:vAlign w:val="center"/>
          </w:tcPr>
          <w:p w:rsidR="00065E95" w:rsidRPr="00F80387" w:rsidRDefault="00065E95" w:rsidP="00482AA0">
            <w:pPr>
              <w:pStyle w:val="Table-AnnualReport"/>
            </w:pPr>
            <w:bookmarkStart w:id="233" w:name="_Toc304279244"/>
            <w:r w:rsidRPr="00F80387">
              <w:t>45 001-50 000</w:t>
            </w:r>
            <w:bookmarkEnd w:id="233"/>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w:t>
            </w:r>
            <w:r w:rsidR="00482AA0" w:rsidRPr="00F80387">
              <w:t xml:space="preserve"> </w:t>
            </w:r>
            <w:r w:rsidRPr="00F80387">
              <w:t>048</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173</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64</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27</w:t>
            </w:r>
          </w:p>
        </w:tc>
      </w:tr>
      <w:tr w:rsidR="00065E95" w:rsidRPr="00F80387" w:rsidTr="00277671">
        <w:tc>
          <w:tcPr>
            <w:tcW w:w="4253" w:type="dxa"/>
            <w:vAlign w:val="center"/>
          </w:tcPr>
          <w:p w:rsidR="00065E95" w:rsidRPr="00F80387" w:rsidRDefault="00065E95" w:rsidP="00482AA0">
            <w:pPr>
              <w:pStyle w:val="Table-AnnualReport"/>
            </w:pPr>
            <w:bookmarkStart w:id="234" w:name="_Toc304279249"/>
            <w:r w:rsidRPr="00F80387">
              <w:t>50 001-55 000</w:t>
            </w:r>
            <w:bookmarkEnd w:id="234"/>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w:t>
            </w:r>
            <w:r w:rsidR="00482AA0" w:rsidRPr="00F80387">
              <w:t xml:space="preserve"> </w:t>
            </w:r>
            <w:r w:rsidRPr="00F80387">
              <w:t>412</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226</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183</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142</w:t>
            </w:r>
          </w:p>
        </w:tc>
      </w:tr>
      <w:tr w:rsidR="00065E95" w:rsidRPr="00F80387" w:rsidTr="00277671">
        <w:tc>
          <w:tcPr>
            <w:tcW w:w="4253" w:type="dxa"/>
            <w:vAlign w:val="center"/>
          </w:tcPr>
          <w:p w:rsidR="00065E95" w:rsidRPr="00F80387" w:rsidRDefault="00065E95" w:rsidP="00482AA0">
            <w:pPr>
              <w:pStyle w:val="Table-AnnualReport"/>
            </w:pPr>
            <w:bookmarkStart w:id="235" w:name="_Toc304279254"/>
            <w:r w:rsidRPr="00F80387">
              <w:t>55 001-60 000</w:t>
            </w:r>
            <w:bookmarkEnd w:id="235"/>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952</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327</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185</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50</w:t>
            </w:r>
          </w:p>
        </w:tc>
      </w:tr>
      <w:tr w:rsidR="00065E95" w:rsidRPr="00F80387" w:rsidTr="00277671">
        <w:tc>
          <w:tcPr>
            <w:tcW w:w="4253" w:type="dxa"/>
            <w:vAlign w:val="center"/>
          </w:tcPr>
          <w:p w:rsidR="00065E95" w:rsidRPr="00F80387" w:rsidRDefault="00065E95" w:rsidP="00482AA0">
            <w:pPr>
              <w:pStyle w:val="Table-AnnualReport"/>
            </w:pPr>
            <w:bookmarkStart w:id="236" w:name="_Toc304279259"/>
            <w:r w:rsidRPr="00F80387">
              <w:t>60 001-65 000</w:t>
            </w:r>
            <w:bookmarkEnd w:id="236"/>
            <w:r w:rsidRPr="00F80387">
              <w:t xml:space="preserve"> </w:t>
            </w:r>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694</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167</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79</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150</w:t>
            </w:r>
          </w:p>
        </w:tc>
      </w:tr>
      <w:tr w:rsidR="00065E95" w:rsidRPr="00F80387" w:rsidTr="00277671">
        <w:tc>
          <w:tcPr>
            <w:tcW w:w="4253" w:type="dxa"/>
            <w:vAlign w:val="center"/>
          </w:tcPr>
          <w:p w:rsidR="00065E95" w:rsidRPr="00F80387" w:rsidRDefault="00065E95" w:rsidP="00482AA0">
            <w:pPr>
              <w:pStyle w:val="Table-AnnualReport"/>
            </w:pPr>
            <w:bookmarkStart w:id="237" w:name="_Toc304279264"/>
            <w:r w:rsidRPr="00F80387">
              <w:t>65 001-70 000</w:t>
            </w:r>
            <w:bookmarkEnd w:id="237"/>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w:t>
            </w:r>
            <w:r w:rsidR="00482AA0" w:rsidRPr="00F80387">
              <w:t xml:space="preserve"> </w:t>
            </w:r>
            <w:r w:rsidRPr="00F80387">
              <w:t>816</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227</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132</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116</w:t>
            </w:r>
          </w:p>
        </w:tc>
      </w:tr>
      <w:tr w:rsidR="00065E95" w:rsidRPr="00F80387" w:rsidTr="00277671">
        <w:tc>
          <w:tcPr>
            <w:tcW w:w="4253" w:type="dxa"/>
            <w:vAlign w:val="center"/>
          </w:tcPr>
          <w:p w:rsidR="00065E95" w:rsidRPr="00F80387" w:rsidRDefault="00065E95" w:rsidP="00482AA0">
            <w:pPr>
              <w:pStyle w:val="Table-AnnualReport"/>
            </w:pPr>
            <w:bookmarkStart w:id="238" w:name="_Toc304279269"/>
            <w:r w:rsidRPr="00F80387">
              <w:t>70 001-75 000</w:t>
            </w:r>
            <w:bookmarkEnd w:id="238"/>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w:t>
            </w:r>
            <w:r w:rsidR="00482AA0" w:rsidRPr="00F80387">
              <w:t xml:space="preserve"> </w:t>
            </w:r>
            <w:r w:rsidRPr="00F80387">
              <w:t>268</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362</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245</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182</w:t>
            </w:r>
          </w:p>
        </w:tc>
      </w:tr>
      <w:tr w:rsidR="00065E95" w:rsidRPr="00F80387" w:rsidTr="00277671">
        <w:tc>
          <w:tcPr>
            <w:tcW w:w="4253" w:type="dxa"/>
            <w:vAlign w:val="center"/>
          </w:tcPr>
          <w:p w:rsidR="00065E95" w:rsidRPr="00F80387" w:rsidRDefault="00065E95" w:rsidP="00482AA0">
            <w:pPr>
              <w:pStyle w:val="Table-AnnualReport"/>
            </w:pPr>
            <w:bookmarkStart w:id="239" w:name="_Toc304279274"/>
            <w:r w:rsidRPr="00F80387">
              <w:t>75 001-80 000</w:t>
            </w:r>
            <w:bookmarkEnd w:id="239"/>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503</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388</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241</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252</w:t>
            </w:r>
          </w:p>
        </w:tc>
      </w:tr>
      <w:tr w:rsidR="00065E95" w:rsidRPr="00F80387" w:rsidTr="00277671">
        <w:tc>
          <w:tcPr>
            <w:tcW w:w="4253" w:type="dxa"/>
            <w:vAlign w:val="center"/>
          </w:tcPr>
          <w:p w:rsidR="00065E95" w:rsidRPr="00F80387" w:rsidRDefault="00065E95" w:rsidP="00482AA0">
            <w:pPr>
              <w:pStyle w:val="Table-AnnualReport"/>
            </w:pPr>
            <w:bookmarkStart w:id="240" w:name="_Toc304279279"/>
            <w:r w:rsidRPr="00F80387">
              <w:t>80 001-85 000</w:t>
            </w:r>
            <w:bookmarkEnd w:id="240"/>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739</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165</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179</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170</w:t>
            </w:r>
          </w:p>
        </w:tc>
      </w:tr>
      <w:tr w:rsidR="00065E95" w:rsidRPr="00F80387" w:rsidTr="00277671">
        <w:tc>
          <w:tcPr>
            <w:tcW w:w="4253" w:type="dxa"/>
            <w:vAlign w:val="center"/>
          </w:tcPr>
          <w:p w:rsidR="00065E95" w:rsidRPr="00F80387" w:rsidRDefault="00065E95" w:rsidP="00482AA0">
            <w:pPr>
              <w:pStyle w:val="Table-AnnualReport"/>
            </w:pPr>
            <w:bookmarkStart w:id="241" w:name="_Toc304279284"/>
            <w:r w:rsidRPr="00F80387">
              <w:t>85 001-90 000</w:t>
            </w:r>
            <w:bookmarkEnd w:id="241"/>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541</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261</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221</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128</w:t>
            </w:r>
          </w:p>
        </w:tc>
      </w:tr>
      <w:tr w:rsidR="00065E95" w:rsidRPr="00F80387" w:rsidTr="00277671">
        <w:tc>
          <w:tcPr>
            <w:tcW w:w="4253" w:type="dxa"/>
            <w:vAlign w:val="center"/>
          </w:tcPr>
          <w:p w:rsidR="00065E95" w:rsidRPr="00F80387" w:rsidRDefault="00065E95" w:rsidP="00482AA0">
            <w:pPr>
              <w:pStyle w:val="Table-AnnualReport"/>
            </w:pPr>
            <w:bookmarkStart w:id="242" w:name="_Toc304279289"/>
            <w:r w:rsidRPr="00F80387">
              <w:t>90 001-95 000</w:t>
            </w:r>
            <w:bookmarkEnd w:id="242"/>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265</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210</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169</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240</w:t>
            </w:r>
          </w:p>
        </w:tc>
      </w:tr>
      <w:tr w:rsidR="00065E95" w:rsidRPr="00F80387" w:rsidTr="00277671">
        <w:tc>
          <w:tcPr>
            <w:tcW w:w="4253" w:type="dxa"/>
            <w:vAlign w:val="center"/>
          </w:tcPr>
          <w:p w:rsidR="00065E95" w:rsidRPr="00F80387" w:rsidRDefault="00065E95" w:rsidP="00482AA0">
            <w:pPr>
              <w:pStyle w:val="Table-AnnualReport"/>
            </w:pPr>
            <w:bookmarkStart w:id="243" w:name="_Toc304279294"/>
            <w:r w:rsidRPr="00F80387">
              <w:t>95 001-100 000</w:t>
            </w:r>
            <w:bookmarkEnd w:id="243"/>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208</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150</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80</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57</w:t>
            </w:r>
          </w:p>
        </w:tc>
      </w:tr>
      <w:tr w:rsidR="00065E95" w:rsidRPr="00F80387" w:rsidTr="00277671">
        <w:tc>
          <w:tcPr>
            <w:tcW w:w="4253" w:type="dxa"/>
            <w:vAlign w:val="center"/>
          </w:tcPr>
          <w:p w:rsidR="00065E95" w:rsidRPr="00F80387" w:rsidRDefault="00065E95" w:rsidP="00482AA0">
            <w:pPr>
              <w:pStyle w:val="Table-AnnualReport"/>
            </w:pPr>
            <w:bookmarkStart w:id="244" w:name="_Toc304279299"/>
            <w:r w:rsidRPr="00F80387">
              <w:t>100 000 plus</w:t>
            </w:r>
            <w:bookmarkEnd w:id="244"/>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865</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246</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299</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327</w:t>
            </w:r>
          </w:p>
        </w:tc>
      </w:tr>
      <w:tr w:rsidR="00065E95" w:rsidRPr="00F80387" w:rsidTr="00277671">
        <w:tc>
          <w:tcPr>
            <w:tcW w:w="4253" w:type="dxa"/>
            <w:vAlign w:val="center"/>
          </w:tcPr>
          <w:p w:rsidR="00065E95" w:rsidRPr="00F80387" w:rsidRDefault="00065E95" w:rsidP="00482AA0">
            <w:pPr>
              <w:pStyle w:val="Table-AnnualReport"/>
              <w:rPr>
                <w:b/>
              </w:rPr>
            </w:pPr>
            <w:bookmarkStart w:id="245" w:name="_Toc304279304"/>
            <w:r w:rsidRPr="00F80387">
              <w:rPr>
                <w:b/>
              </w:rPr>
              <w:t>Total</w:t>
            </w:r>
            <w:bookmarkEnd w:id="245"/>
          </w:p>
        </w:tc>
        <w:tc>
          <w:tcPr>
            <w:tcW w:w="283" w:type="dxa"/>
            <w:vAlign w:val="center"/>
          </w:tcPr>
          <w:p w:rsidR="00065E95" w:rsidRPr="00F80387" w:rsidRDefault="00065E95" w:rsidP="00482AA0">
            <w:pPr>
              <w:pStyle w:val="Table-AnnualReport"/>
              <w:rPr>
                <w:b/>
              </w:rPr>
            </w:pPr>
          </w:p>
        </w:tc>
        <w:tc>
          <w:tcPr>
            <w:tcW w:w="1275" w:type="dxa"/>
          </w:tcPr>
          <w:p w:rsidR="00065E95" w:rsidRPr="00F80387" w:rsidRDefault="00065E95" w:rsidP="00482AA0">
            <w:pPr>
              <w:pStyle w:val="Table-AnnualReport"/>
              <w:jc w:val="right"/>
              <w:rPr>
                <w:b/>
              </w:rPr>
            </w:pPr>
            <w:r w:rsidRPr="00F80387">
              <w:rPr>
                <w:b/>
              </w:rPr>
              <w:t>11 501</w:t>
            </w:r>
          </w:p>
        </w:tc>
        <w:tc>
          <w:tcPr>
            <w:tcW w:w="1275" w:type="dxa"/>
            <w:vAlign w:val="center"/>
          </w:tcPr>
          <w:p w:rsidR="00065E95" w:rsidRPr="00F80387" w:rsidRDefault="00065E95" w:rsidP="00482AA0">
            <w:pPr>
              <w:pStyle w:val="Table-AnnualReport"/>
              <w:jc w:val="right"/>
              <w:rPr>
                <w:b/>
              </w:rPr>
            </w:pPr>
            <w:r w:rsidRPr="00F80387">
              <w:rPr>
                <w:b/>
              </w:rPr>
              <w:t>2 970</w:t>
            </w:r>
          </w:p>
        </w:tc>
        <w:tc>
          <w:tcPr>
            <w:tcW w:w="1275" w:type="dxa"/>
            <w:shd w:val="clear" w:color="auto" w:fill="auto"/>
            <w:vAlign w:val="center"/>
          </w:tcPr>
          <w:p w:rsidR="00065E95" w:rsidRPr="00F80387" w:rsidRDefault="00065E95" w:rsidP="00482AA0">
            <w:pPr>
              <w:pStyle w:val="Table-AnnualReport"/>
              <w:jc w:val="right"/>
              <w:rPr>
                <w:b/>
              </w:rPr>
            </w:pPr>
            <w:r w:rsidRPr="00F80387">
              <w:rPr>
                <w:b/>
              </w:rPr>
              <w:t>2 079</w:t>
            </w:r>
          </w:p>
        </w:tc>
        <w:tc>
          <w:tcPr>
            <w:tcW w:w="1275" w:type="dxa"/>
          </w:tcPr>
          <w:p w:rsidR="00065E95" w:rsidRPr="00F80387" w:rsidRDefault="00065E95" w:rsidP="00482AA0">
            <w:pPr>
              <w:pStyle w:val="Table-AnnualReport"/>
              <w:jc w:val="right"/>
              <w:rPr>
                <w:rFonts w:cs="Arial"/>
                <w:b/>
                <w:color w:val="000000"/>
              </w:rPr>
            </w:pPr>
            <w:r w:rsidRPr="00F80387">
              <w:rPr>
                <w:rFonts w:cs="Arial"/>
                <w:b/>
                <w:color w:val="000000"/>
              </w:rPr>
              <w:t>1 842</w:t>
            </w:r>
          </w:p>
        </w:tc>
      </w:tr>
    </w:tbl>
    <w:p w:rsidR="00065E95" w:rsidRPr="00F80387" w:rsidRDefault="00065E95" w:rsidP="00065E95"/>
    <w:p w:rsidR="00065E95" w:rsidRPr="001C4341" w:rsidRDefault="00065E95" w:rsidP="001C4341">
      <w:pPr>
        <w:pStyle w:val="Heading4"/>
      </w:pPr>
      <w:r w:rsidRPr="001C4341">
        <w:t>Total Number of Paid Employees by Age Profile</w:t>
      </w:r>
    </w:p>
    <w:tbl>
      <w:tblPr>
        <w:tblW w:w="9636"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Pr>
      <w:tblGrid>
        <w:gridCol w:w="4253"/>
        <w:gridCol w:w="283"/>
        <w:gridCol w:w="1275"/>
        <w:gridCol w:w="1275"/>
        <w:gridCol w:w="1275"/>
        <w:gridCol w:w="1275"/>
      </w:tblGrid>
      <w:tr w:rsidR="00065E95" w:rsidRPr="00F80387" w:rsidTr="00277671">
        <w:tc>
          <w:tcPr>
            <w:tcW w:w="4253" w:type="dxa"/>
            <w:shd w:val="clear" w:color="auto" w:fill="auto"/>
          </w:tcPr>
          <w:p w:rsidR="00065E95" w:rsidRPr="00F80387" w:rsidRDefault="00065E95" w:rsidP="00482AA0">
            <w:pPr>
              <w:pStyle w:val="Table-AnnualReport"/>
              <w:rPr>
                <w:b/>
              </w:rPr>
            </w:pPr>
          </w:p>
        </w:tc>
        <w:tc>
          <w:tcPr>
            <w:tcW w:w="283" w:type="dxa"/>
            <w:shd w:val="clear" w:color="auto" w:fill="auto"/>
            <w:vAlign w:val="center"/>
          </w:tcPr>
          <w:p w:rsidR="00065E95" w:rsidRPr="00F80387" w:rsidRDefault="00065E95" w:rsidP="00482AA0">
            <w:pPr>
              <w:pStyle w:val="Table-AnnualReport"/>
              <w:rPr>
                <w:b/>
              </w:rPr>
            </w:pPr>
          </w:p>
        </w:tc>
        <w:tc>
          <w:tcPr>
            <w:tcW w:w="1275" w:type="dxa"/>
            <w:shd w:val="clear" w:color="auto" w:fill="auto"/>
          </w:tcPr>
          <w:p w:rsidR="00065E95" w:rsidRPr="00F80387" w:rsidRDefault="00065E95" w:rsidP="00482AA0">
            <w:pPr>
              <w:pStyle w:val="Table-AnnualReport"/>
              <w:jc w:val="right"/>
              <w:rPr>
                <w:b/>
              </w:rPr>
            </w:pPr>
            <w:r w:rsidRPr="00F80387">
              <w:rPr>
                <w:b/>
              </w:rPr>
              <w:t>2011-12</w:t>
            </w:r>
          </w:p>
        </w:tc>
        <w:tc>
          <w:tcPr>
            <w:tcW w:w="1275" w:type="dxa"/>
            <w:shd w:val="clear" w:color="auto" w:fill="auto"/>
            <w:vAlign w:val="center"/>
          </w:tcPr>
          <w:p w:rsidR="00065E95" w:rsidRPr="00F80387" w:rsidRDefault="00065E95" w:rsidP="00482AA0">
            <w:pPr>
              <w:pStyle w:val="Table-AnnualReport"/>
              <w:jc w:val="right"/>
              <w:rPr>
                <w:b/>
              </w:rPr>
            </w:pPr>
            <w:r w:rsidRPr="00F80387">
              <w:rPr>
                <w:b/>
              </w:rPr>
              <w:t>2012-13</w:t>
            </w:r>
          </w:p>
        </w:tc>
        <w:tc>
          <w:tcPr>
            <w:tcW w:w="1275" w:type="dxa"/>
            <w:shd w:val="clear" w:color="auto" w:fill="auto"/>
          </w:tcPr>
          <w:p w:rsidR="00065E95" w:rsidRPr="00F80387" w:rsidRDefault="00065E95" w:rsidP="00482AA0">
            <w:pPr>
              <w:pStyle w:val="Table-AnnualReport"/>
              <w:jc w:val="right"/>
              <w:rPr>
                <w:b/>
              </w:rPr>
            </w:pPr>
            <w:r w:rsidRPr="00F80387">
              <w:rPr>
                <w:b/>
              </w:rPr>
              <w:t>2013-14</w:t>
            </w:r>
          </w:p>
        </w:tc>
        <w:tc>
          <w:tcPr>
            <w:tcW w:w="1275" w:type="dxa"/>
          </w:tcPr>
          <w:p w:rsidR="00065E95" w:rsidRPr="00F80387" w:rsidRDefault="00065E95" w:rsidP="00482AA0">
            <w:pPr>
              <w:pStyle w:val="Table-AnnualReport"/>
              <w:jc w:val="right"/>
              <w:rPr>
                <w:b/>
              </w:rPr>
            </w:pPr>
            <w:r w:rsidRPr="00F80387">
              <w:rPr>
                <w:b/>
              </w:rPr>
              <w:t>2014-15</w:t>
            </w:r>
          </w:p>
        </w:tc>
      </w:tr>
      <w:tr w:rsidR="00065E95" w:rsidRPr="00F80387" w:rsidTr="00277671">
        <w:tc>
          <w:tcPr>
            <w:tcW w:w="4253" w:type="dxa"/>
            <w:vAlign w:val="center"/>
          </w:tcPr>
          <w:p w:rsidR="00065E95" w:rsidRPr="00F80387" w:rsidRDefault="00065E95" w:rsidP="00482AA0">
            <w:pPr>
              <w:pStyle w:val="Table-AnnualReport"/>
            </w:pPr>
            <w:bookmarkStart w:id="246" w:name="_Toc303758339"/>
            <w:bookmarkStart w:id="247" w:name="_Toc304279334"/>
            <w:r w:rsidRPr="00F80387">
              <w:t>15-19 years</w:t>
            </w:r>
            <w:bookmarkEnd w:id="246"/>
            <w:bookmarkEnd w:id="247"/>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23</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1</w:t>
            </w:r>
          </w:p>
        </w:tc>
        <w:tc>
          <w:tcPr>
            <w:tcW w:w="1275" w:type="dxa"/>
          </w:tcPr>
          <w:p w:rsidR="00065E95" w:rsidRPr="00F80387" w:rsidRDefault="00C22E54" w:rsidP="00482AA0">
            <w:pPr>
              <w:pStyle w:val="Table-AnnualReport"/>
              <w:jc w:val="right"/>
              <w:rPr>
                <w:rFonts w:cs="Arial"/>
                <w:color w:val="000000"/>
              </w:rPr>
            </w:pPr>
            <w:r>
              <w:rPr>
                <w:rFonts w:cs="Arial"/>
                <w:color w:val="000000"/>
              </w:rPr>
              <w:t>0</w:t>
            </w:r>
          </w:p>
        </w:tc>
      </w:tr>
      <w:tr w:rsidR="00065E95" w:rsidRPr="00F80387" w:rsidTr="00277671">
        <w:tc>
          <w:tcPr>
            <w:tcW w:w="4253" w:type="dxa"/>
            <w:vAlign w:val="center"/>
          </w:tcPr>
          <w:p w:rsidR="00065E95" w:rsidRPr="00F80387" w:rsidRDefault="00065E95" w:rsidP="00482AA0">
            <w:pPr>
              <w:pStyle w:val="Table-AnnualReport"/>
            </w:pPr>
            <w:bookmarkStart w:id="248" w:name="_Toc303758344"/>
            <w:bookmarkStart w:id="249" w:name="_Toc304279339"/>
            <w:r w:rsidRPr="00F80387">
              <w:t>20-24 years</w:t>
            </w:r>
            <w:bookmarkEnd w:id="248"/>
            <w:bookmarkEnd w:id="249"/>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461</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69</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53</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33</w:t>
            </w:r>
          </w:p>
        </w:tc>
      </w:tr>
      <w:tr w:rsidR="00065E95" w:rsidRPr="00F80387" w:rsidTr="00277671">
        <w:tc>
          <w:tcPr>
            <w:tcW w:w="4253" w:type="dxa"/>
            <w:vAlign w:val="center"/>
          </w:tcPr>
          <w:p w:rsidR="00065E95" w:rsidRPr="00F80387" w:rsidRDefault="00065E95" w:rsidP="00482AA0">
            <w:pPr>
              <w:pStyle w:val="Table-AnnualReport"/>
            </w:pPr>
            <w:bookmarkStart w:id="250" w:name="_Toc303758349"/>
            <w:bookmarkStart w:id="251" w:name="_Toc304279344"/>
            <w:r w:rsidRPr="00F80387">
              <w:t>25-29 years</w:t>
            </w:r>
            <w:bookmarkEnd w:id="250"/>
            <w:bookmarkEnd w:id="251"/>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977</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196</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147</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114</w:t>
            </w:r>
          </w:p>
        </w:tc>
      </w:tr>
      <w:tr w:rsidR="00065E95" w:rsidRPr="00F80387" w:rsidTr="00277671">
        <w:tc>
          <w:tcPr>
            <w:tcW w:w="4253" w:type="dxa"/>
            <w:vAlign w:val="center"/>
          </w:tcPr>
          <w:p w:rsidR="00065E95" w:rsidRPr="00F80387" w:rsidRDefault="00065E95" w:rsidP="00482AA0">
            <w:pPr>
              <w:pStyle w:val="Table-AnnualReport"/>
            </w:pPr>
            <w:bookmarkStart w:id="252" w:name="_Toc303758354"/>
            <w:bookmarkStart w:id="253" w:name="_Toc304279349"/>
            <w:r w:rsidRPr="00F80387">
              <w:t>30-34 years</w:t>
            </w:r>
            <w:bookmarkEnd w:id="252"/>
            <w:bookmarkEnd w:id="253"/>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1 052</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304</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269</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214</w:t>
            </w:r>
          </w:p>
        </w:tc>
      </w:tr>
      <w:tr w:rsidR="00065E95" w:rsidRPr="00F80387" w:rsidTr="00277671">
        <w:tc>
          <w:tcPr>
            <w:tcW w:w="4253" w:type="dxa"/>
            <w:vAlign w:val="center"/>
          </w:tcPr>
          <w:p w:rsidR="00065E95" w:rsidRPr="00F80387" w:rsidRDefault="00065E95" w:rsidP="00482AA0">
            <w:pPr>
              <w:pStyle w:val="Table-AnnualReport"/>
            </w:pPr>
            <w:bookmarkStart w:id="254" w:name="_Toc303758359"/>
            <w:bookmarkStart w:id="255" w:name="_Toc304279354"/>
            <w:r w:rsidRPr="00F80387">
              <w:t>35-39 years</w:t>
            </w:r>
            <w:bookmarkEnd w:id="254"/>
            <w:bookmarkEnd w:id="255"/>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1 076</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299</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237</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244</w:t>
            </w:r>
          </w:p>
        </w:tc>
      </w:tr>
      <w:tr w:rsidR="00065E95" w:rsidRPr="00F80387" w:rsidTr="00277671">
        <w:tc>
          <w:tcPr>
            <w:tcW w:w="4253" w:type="dxa"/>
            <w:vAlign w:val="center"/>
          </w:tcPr>
          <w:p w:rsidR="00065E95" w:rsidRPr="00F80387" w:rsidRDefault="00065E95" w:rsidP="00482AA0">
            <w:pPr>
              <w:pStyle w:val="Table-AnnualReport"/>
            </w:pPr>
            <w:bookmarkStart w:id="256" w:name="_Toc303758364"/>
            <w:bookmarkStart w:id="257" w:name="_Toc304279359"/>
            <w:r w:rsidRPr="00F80387">
              <w:t>40-44 years</w:t>
            </w:r>
            <w:bookmarkEnd w:id="256"/>
            <w:bookmarkEnd w:id="257"/>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1 507</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388</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287</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249</w:t>
            </w:r>
          </w:p>
        </w:tc>
      </w:tr>
      <w:tr w:rsidR="00065E95" w:rsidRPr="00F80387" w:rsidTr="00277671">
        <w:tc>
          <w:tcPr>
            <w:tcW w:w="4253" w:type="dxa"/>
            <w:vAlign w:val="center"/>
          </w:tcPr>
          <w:p w:rsidR="00065E95" w:rsidRPr="00F80387" w:rsidRDefault="00065E95" w:rsidP="00482AA0">
            <w:pPr>
              <w:pStyle w:val="Table-AnnualReport"/>
            </w:pPr>
            <w:bookmarkStart w:id="258" w:name="_Toc303758369"/>
            <w:bookmarkStart w:id="259" w:name="_Toc304279364"/>
            <w:r w:rsidRPr="00F80387">
              <w:t>45-49 years</w:t>
            </w:r>
            <w:bookmarkEnd w:id="258"/>
            <w:bookmarkEnd w:id="259"/>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1 759</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436</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303</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261</w:t>
            </w:r>
          </w:p>
        </w:tc>
      </w:tr>
      <w:tr w:rsidR="00065E95" w:rsidRPr="00F80387" w:rsidTr="00277671">
        <w:tc>
          <w:tcPr>
            <w:tcW w:w="4253" w:type="dxa"/>
            <w:vAlign w:val="center"/>
          </w:tcPr>
          <w:p w:rsidR="00065E95" w:rsidRPr="00F80387" w:rsidRDefault="00065E95" w:rsidP="00482AA0">
            <w:pPr>
              <w:pStyle w:val="Table-AnnualReport"/>
            </w:pPr>
            <w:bookmarkStart w:id="260" w:name="_Toc303758374"/>
            <w:bookmarkStart w:id="261" w:name="_Toc304279369"/>
            <w:r w:rsidRPr="00F80387">
              <w:t>50-54 years</w:t>
            </w:r>
            <w:bookmarkEnd w:id="260"/>
            <w:bookmarkEnd w:id="261"/>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1 951</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521</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310</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299</w:t>
            </w:r>
          </w:p>
        </w:tc>
      </w:tr>
      <w:tr w:rsidR="00065E95" w:rsidRPr="00F80387" w:rsidTr="00277671">
        <w:tc>
          <w:tcPr>
            <w:tcW w:w="4253" w:type="dxa"/>
            <w:vAlign w:val="center"/>
          </w:tcPr>
          <w:p w:rsidR="00065E95" w:rsidRPr="00F80387" w:rsidRDefault="00065E95" w:rsidP="00482AA0">
            <w:pPr>
              <w:pStyle w:val="Table-AnnualReport"/>
            </w:pPr>
            <w:bookmarkStart w:id="262" w:name="_Toc303758379"/>
            <w:bookmarkStart w:id="263" w:name="_Toc304279374"/>
            <w:r w:rsidRPr="00F80387">
              <w:t>55-59 years</w:t>
            </w:r>
            <w:bookmarkEnd w:id="262"/>
            <w:bookmarkEnd w:id="263"/>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1 604</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420</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272</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239</w:t>
            </w:r>
          </w:p>
        </w:tc>
      </w:tr>
      <w:tr w:rsidR="00065E95" w:rsidRPr="00F80387" w:rsidTr="00277671">
        <w:tc>
          <w:tcPr>
            <w:tcW w:w="4253" w:type="dxa"/>
            <w:vAlign w:val="center"/>
          </w:tcPr>
          <w:p w:rsidR="00065E95" w:rsidRPr="00F80387" w:rsidRDefault="00065E95" w:rsidP="00482AA0">
            <w:pPr>
              <w:pStyle w:val="Table-AnnualReport"/>
            </w:pPr>
            <w:bookmarkStart w:id="264" w:name="_Toc303758384"/>
            <w:bookmarkStart w:id="265" w:name="_Toc304279379"/>
            <w:r w:rsidRPr="00F80387">
              <w:t>60+ years</w:t>
            </w:r>
            <w:bookmarkEnd w:id="264"/>
            <w:bookmarkEnd w:id="265"/>
          </w:p>
        </w:tc>
        <w:tc>
          <w:tcPr>
            <w:tcW w:w="283" w:type="dxa"/>
            <w:vAlign w:val="center"/>
          </w:tcPr>
          <w:p w:rsidR="00065E95" w:rsidRPr="00F80387" w:rsidRDefault="00065E95" w:rsidP="00482AA0">
            <w:pPr>
              <w:pStyle w:val="Table-AnnualReport"/>
            </w:pPr>
          </w:p>
        </w:tc>
        <w:tc>
          <w:tcPr>
            <w:tcW w:w="1275" w:type="dxa"/>
          </w:tcPr>
          <w:p w:rsidR="00065E95" w:rsidRPr="00F80387" w:rsidRDefault="00065E95" w:rsidP="00482AA0">
            <w:pPr>
              <w:pStyle w:val="Table-AnnualReport"/>
              <w:jc w:val="right"/>
            </w:pPr>
            <w:r w:rsidRPr="00F80387">
              <w:t>1 091</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335</w:t>
            </w:r>
          </w:p>
        </w:tc>
        <w:tc>
          <w:tcPr>
            <w:tcW w:w="1275" w:type="dxa"/>
            <w:shd w:val="clear" w:color="auto" w:fill="auto"/>
          </w:tcPr>
          <w:p w:rsidR="00065E95" w:rsidRPr="00F80387" w:rsidRDefault="00065E95" w:rsidP="00482AA0">
            <w:pPr>
              <w:pStyle w:val="Table-AnnualReport"/>
              <w:jc w:val="right"/>
              <w:rPr>
                <w:rFonts w:cs="Arial"/>
                <w:color w:val="000000"/>
              </w:rPr>
            </w:pPr>
            <w:r w:rsidRPr="00F80387">
              <w:rPr>
                <w:rFonts w:cs="Arial"/>
                <w:color w:val="000000"/>
              </w:rPr>
              <w:t>200</w:t>
            </w:r>
          </w:p>
        </w:tc>
        <w:tc>
          <w:tcPr>
            <w:tcW w:w="1275" w:type="dxa"/>
          </w:tcPr>
          <w:p w:rsidR="00065E95" w:rsidRPr="00F80387" w:rsidRDefault="00065E95" w:rsidP="00482AA0">
            <w:pPr>
              <w:pStyle w:val="Table-AnnualReport"/>
              <w:jc w:val="right"/>
              <w:rPr>
                <w:rFonts w:cs="Arial"/>
                <w:color w:val="000000"/>
              </w:rPr>
            </w:pPr>
            <w:r w:rsidRPr="00F80387">
              <w:rPr>
                <w:rFonts w:cs="Arial"/>
                <w:color w:val="000000"/>
              </w:rPr>
              <w:t>189</w:t>
            </w:r>
          </w:p>
        </w:tc>
      </w:tr>
      <w:tr w:rsidR="00065E95" w:rsidRPr="00F80387" w:rsidTr="00277671">
        <w:tc>
          <w:tcPr>
            <w:tcW w:w="4253" w:type="dxa"/>
            <w:vAlign w:val="center"/>
          </w:tcPr>
          <w:p w:rsidR="00065E95" w:rsidRPr="00F80387" w:rsidRDefault="00065E95" w:rsidP="00482AA0">
            <w:pPr>
              <w:pStyle w:val="Table-AnnualReport"/>
              <w:rPr>
                <w:b/>
              </w:rPr>
            </w:pPr>
            <w:bookmarkStart w:id="266" w:name="_Toc303758389"/>
            <w:bookmarkStart w:id="267" w:name="_Toc304279384"/>
            <w:r w:rsidRPr="00F80387">
              <w:rPr>
                <w:b/>
              </w:rPr>
              <w:t>Total</w:t>
            </w:r>
            <w:bookmarkEnd w:id="266"/>
            <w:bookmarkEnd w:id="267"/>
          </w:p>
        </w:tc>
        <w:tc>
          <w:tcPr>
            <w:tcW w:w="283" w:type="dxa"/>
            <w:vAlign w:val="center"/>
          </w:tcPr>
          <w:p w:rsidR="00065E95" w:rsidRPr="00F80387" w:rsidRDefault="00065E95" w:rsidP="00482AA0">
            <w:pPr>
              <w:pStyle w:val="Table-AnnualReport"/>
              <w:rPr>
                <w:b/>
              </w:rPr>
            </w:pPr>
          </w:p>
        </w:tc>
        <w:tc>
          <w:tcPr>
            <w:tcW w:w="1275" w:type="dxa"/>
          </w:tcPr>
          <w:p w:rsidR="00065E95" w:rsidRPr="00F80387" w:rsidRDefault="00065E95" w:rsidP="00482AA0">
            <w:pPr>
              <w:pStyle w:val="Table-AnnualReport"/>
              <w:jc w:val="right"/>
              <w:rPr>
                <w:b/>
              </w:rPr>
            </w:pPr>
            <w:r w:rsidRPr="00F80387">
              <w:rPr>
                <w:b/>
              </w:rPr>
              <w:t>11 501</w:t>
            </w:r>
          </w:p>
        </w:tc>
        <w:tc>
          <w:tcPr>
            <w:tcW w:w="1275" w:type="dxa"/>
          </w:tcPr>
          <w:p w:rsidR="00065E95" w:rsidRPr="00F80387" w:rsidRDefault="00065E95" w:rsidP="00482AA0">
            <w:pPr>
              <w:pStyle w:val="Table-AnnualReport"/>
              <w:jc w:val="right"/>
              <w:rPr>
                <w:rFonts w:cs="Arial"/>
                <w:b/>
                <w:color w:val="000000"/>
              </w:rPr>
            </w:pPr>
            <w:r w:rsidRPr="00F80387">
              <w:rPr>
                <w:rFonts w:cs="Arial"/>
                <w:b/>
                <w:color w:val="000000"/>
              </w:rPr>
              <w:t>2 970</w:t>
            </w:r>
          </w:p>
        </w:tc>
        <w:tc>
          <w:tcPr>
            <w:tcW w:w="1275" w:type="dxa"/>
            <w:shd w:val="clear" w:color="auto" w:fill="auto"/>
          </w:tcPr>
          <w:p w:rsidR="00065E95" w:rsidRPr="00F80387" w:rsidRDefault="00065E95" w:rsidP="00482AA0">
            <w:pPr>
              <w:pStyle w:val="Table-AnnualReport"/>
              <w:jc w:val="right"/>
              <w:rPr>
                <w:rFonts w:cs="Arial"/>
                <w:b/>
                <w:color w:val="000000"/>
              </w:rPr>
            </w:pPr>
            <w:r w:rsidRPr="00F80387">
              <w:rPr>
                <w:rFonts w:cs="Arial"/>
                <w:b/>
                <w:color w:val="000000"/>
              </w:rPr>
              <w:t>2</w:t>
            </w:r>
            <w:r w:rsidR="00BB032E" w:rsidRPr="00F80387">
              <w:rPr>
                <w:rFonts w:cs="Arial"/>
                <w:b/>
                <w:color w:val="000000"/>
              </w:rPr>
              <w:t xml:space="preserve"> </w:t>
            </w:r>
            <w:r w:rsidRPr="00F80387">
              <w:rPr>
                <w:rFonts w:cs="Arial"/>
                <w:b/>
                <w:color w:val="000000"/>
              </w:rPr>
              <w:t>079</w:t>
            </w:r>
          </w:p>
        </w:tc>
        <w:tc>
          <w:tcPr>
            <w:tcW w:w="1275" w:type="dxa"/>
          </w:tcPr>
          <w:p w:rsidR="00065E95" w:rsidRPr="00F80387" w:rsidRDefault="00065E95" w:rsidP="00482AA0">
            <w:pPr>
              <w:pStyle w:val="Table-AnnualReport"/>
              <w:jc w:val="right"/>
              <w:rPr>
                <w:rFonts w:cs="Arial"/>
                <w:b/>
                <w:color w:val="000000"/>
              </w:rPr>
            </w:pPr>
            <w:r w:rsidRPr="00F80387">
              <w:rPr>
                <w:rFonts w:cs="Arial"/>
                <w:b/>
                <w:color w:val="000000"/>
              </w:rPr>
              <w:t>1</w:t>
            </w:r>
            <w:r w:rsidR="00BB032E" w:rsidRPr="00F80387">
              <w:rPr>
                <w:rFonts w:cs="Arial"/>
                <w:b/>
                <w:color w:val="000000"/>
              </w:rPr>
              <w:t xml:space="preserve"> </w:t>
            </w:r>
            <w:r w:rsidRPr="00F80387">
              <w:rPr>
                <w:rFonts w:cs="Arial"/>
                <w:b/>
                <w:color w:val="000000"/>
              </w:rPr>
              <w:t>842</w:t>
            </w:r>
          </w:p>
        </w:tc>
      </w:tr>
    </w:tbl>
    <w:p w:rsidR="00065E95" w:rsidRPr="00F80387" w:rsidRDefault="00065E95" w:rsidP="00065E95"/>
    <w:p w:rsidR="00065E95" w:rsidRPr="008874FF" w:rsidRDefault="00065E95" w:rsidP="008874FF">
      <w:pPr>
        <w:pStyle w:val="Heading2"/>
      </w:pPr>
      <w:r w:rsidRPr="008874FF">
        <w:lastRenderedPageBreak/>
        <w:t>Indicators of Organisational Health</w:t>
      </w:r>
    </w:p>
    <w:p w:rsidR="00065E95" w:rsidRPr="00F80387" w:rsidRDefault="00065E95" w:rsidP="00F80387">
      <w:pPr>
        <w:pStyle w:val="Heading4"/>
      </w:pPr>
      <w:r w:rsidRPr="00F80387">
        <w:t>Leave</w:t>
      </w:r>
    </w:p>
    <w:tbl>
      <w:tblPr>
        <w:tblW w:w="8671" w:type="dxa"/>
        <w:tblInd w:w="108" w:type="dxa"/>
        <w:tblBorders>
          <w:top w:val="single" w:sz="2" w:space="0" w:color="808080"/>
          <w:insideH w:val="single" w:sz="2" w:space="0" w:color="808080"/>
        </w:tblBorders>
        <w:tblLook w:val="04A0" w:firstRow="1" w:lastRow="0" w:firstColumn="1" w:lastColumn="0" w:noHBand="0" w:noVBand="1"/>
      </w:tblPr>
      <w:tblGrid>
        <w:gridCol w:w="3708"/>
        <w:gridCol w:w="510"/>
        <w:gridCol w:w="948"/>
        <w:gridCol w:w="1179"/>
        <w:gridCol w:w="1161"/>
        <w:gridCol w:w="1165"/>
      </w:tblGrid>
      <w:tr w:rsidR="00065E95" w:rsidRPr="00F80387" w:rsidTr="008874FF">
        <w:tc>
          <w:tcPr>
            <w:tcW w:w="3708" w:type="dxa"/>
            <w:shd w:val="clear" w:color="auto" w:fill="auto"/>
            <w:vAlign w:val="bottom"/>
          </w:tcPr>
          <w:p w:rsidR="00065E95" w:rsidRPr="00F80387" w:rsidRDefault="00065E95" w:rsidP="008874FF">
            <w:pPr>
              <w:keepNext/>
              <w:spacing w:before="60" w:after="60" w:line="240" w:lineRule="auto"/>
              <w:jc w:val="right"/>
              <w:outlineLvl w:val="0"/>
              <w:rPr>
                <w:b/>
                <w:bCs/>
                <w:kern w:val="32"/>
                <w:sz w:val="18"/>
                <w:szCs w:val="18"/>
              </w:rPr>
            </w:pPr>
          </w:p>
        </w:tc>
        <w:tc>
          <w:tcPr>
            <w:tcW w:w="510" w:type="dxa"/>
            <w:shd w:val="clear" w:color="auto" w:fill="auto"/>
            <w:vAlign w:val="bottom"/>
          </w:tcPr>
          <w:p w:rsidR="00065E95" w:rsidRPr="00F80387" w:rsidRDefault="00065E95" w:rsidP="008874FF">
            <w:pPr>
              <w:keepNext/>
              <w:spacing w:before="60" w:after="60" w:line="240" w:lineRule="auto"/>
              <w:jc w:val="right"/>
              <w:outlineLvl w:val="0"/>
              <w:rPr>
                <w:b/>
                <w:bCs/>
                <w:kern w:val="32"/>
                <w:sz w:val="18"/>
                <w:szCs w:val="18"/>
              </w:rPr>
            </w:pPr>
          </w:p>
        </w:tc>
        <w:tc>
          <w:tcPr>
            <w:tcW w:w="948" w:type="dxa"/>
            <w:shd w:val="clear" w:color="auto" w:fill="auto"/>
            <w:vAlign w:val="bottom"/>
          </w:tcPr>
          <w:p w:rsidR="00065E95" w:rsidRPr="000F7A1D" w:rsidRDefault="00065E95" w:rsidP="008874FF">
            <w:pPr>
              <w:jc w:val="right"/>
              <w:rPr>
                <w:b/>
                <w:kern w:val="32"/>
                <w:sz w:val="18"/>
                <w:szCs w:val="18"/>
              </w:rPr>
            </w:pPr>
            <w:r w:rsidRPr="000F7A1D">
              <w:rPr>
                <w:b/>
                <w:kern w:val="32"/>
                <w:sz w:val="18"/>
                <w:szCs w:val="18"/>
              </w:rPr>
              <w:t>2011-12</w:t>
            </w:r>
          </w:p>
        </w:tc>
        <w:tc>
          <w:tcPr>
            <w:tcW w:w="1179" w:type="dxa"/>
            <w:shd w:val="clear" w:color="auto" w:fill="auto"/>
            <w:vAlign w:val="bottom"/>
          </w:tcPr>
          <w:p w:rsidR="00065E95" w:rsidRPr="000F7A1D" w:rsidRDefault="00065E95" w:rsidP="008874FF">
            <w:pPr>
              <w:jc w:val="right"/>
              <w:rPr>
                <w:b/>
                <w:kern w:val="32"/>
                <w:sz w:val="18"/>
                <w:szCs w:val="18"/>
              </w:rPr>
            </w:pPr>
            <w:r w:rsidRPr="000F7A1D">
              <w:rPr>
                <w:b/>
                <w:kern w:val="32"/>
                <w:sz w:val="18"/>
                <w:szCs w:val="18"/>
              </w:rPr>
              <w:t>2012-13</w:t>
            </w:r>
          </w:p>
        </w:tc>
        <w:tc>
          <w:tcPr>
            <w:tcW w:w="1161" w:type="dxa"/>
            <w:shd w:val="clear" w:color="auto" w:fill="auto"/>
            <w:vAlign w:val="bottom"/>
          </w:tcPr>
          <w:p w:rsidR="00065E95" w:rsidRPr="000F7A1D" w:rsidRDefault="00065E95" w:rsidP="008874FF">
            <w:pPr>
              <w:jc w:val="right"/>
              <w:rPr>
                <w:b/>
                <w:kern w:val="32"/>
                <w:sz w:val="18"/>
                <w:szCs w:val="18"/>
              </w:rPr>
            </w:pPr>
            <w:r w:rsidRPr="000F7A1D">
              <w:rPr>
                <w:b/>
                <w:kern w:val="32"/>
                <w:sz w:val="18"/>
                <w:szCs w:val="18"/>
              </w:rPr>
              <w:t>2013-14</w:t>
            </w:r>
          </w:p>
        </w:tc>
        <w:tc>
          <w:tcPr>
            <w:tcW w:w="1165" w:type="dxa"/>
            <w:shd w:val="clear" w:color="auto" w:fill="auto"/>
            <w:vAlign w:val="bottom"/>
          </w:tcPr>
          <w:p w:rsidR="00065E95" w:rsidRPr="000F7A1D" w:rsidRDefault="00065E95" w:rsidP="008874FF">
            <w:pPr>
              <w:jc w:val="right"/>
              <w:rPr>
                <w:b/>
                <w:kern w:val="32"/>
                <w:sz w:val="18"/>
                <w:szCs w:val="18"/>
              </w:rPr>
            </w:pPr>
            <w:r w:rsidRPr="000F7A1D">
              <w:rPr>
                <w:b/>
                <w:kern w:val="32"/>
                <w:sz w:val="18"/>
                <w:szCs w:val="18"/>
              </w:rPr>
              <w:t>2014-15</w:t>
            </w:r>
          </w:p>
        </w:tc>
      </w:tr>
      <w:tr w:rsidR="00065E95" w:rsidRPr="00F80387" w:rsidTr="00277671">
        <w:tc>
          <w:tcPr>
            <w:tcW w:w="3708" w:type="dxa"/>
            <w:shd w:val="clear" w:color="auto" w:fill="auto"/>
            <w:vAlign w:val="center"/>
          </w:tcPr>
          <w:p w:rsidR="00065E95" w:rsidRPr="00F80387" w:rsidRDefault="00065E95" w:rsidP="00482AA0">
            <w:pPr>
              <w:pStyle w:val="Table-AnnualReport"/>
              <w:rPr>
                <w:b/>
              </w:rPr>
            </w:pPr>
            <w:r w:rsidRPr="00F80387">
              <w:rPr>
                <w:b/>
              </w:rPr>
              <w:t>Annual Leave</w:t>
            </w:r>
          </w:p>
        </w:tc>
        <w:tc>
          <w:tcPr>
            <w:tcW w:w="510" w:type="dxa"/>
            <w:shd w:val="clear" w:color="auto" w:fill="auto"/>
            <w:vAlign w:val="center"/>
          </w:tcPr>
          <w:p w:rsidR="00065E95" w:rsidRPr="00F80387" w:rsidRDefault="00065E95" w:rsidP="00482AA0">
            <w:pPr>
              <w:pStyle w:val="Table-AnnualReport"/>
              <w:rPr>
                <w:b/>
              </w:rPr>
            </w:pPr>
          </w:p>
        </w:tc>
        <w:tc>
          <w:tcPr>
            <w:tcW w:w="948" w:type="dxa"/>
            <w:shd w:val="clear" w:color="auto" w:fill="auto"/>
            <w:vAlign w:val="center"/>
          </w:tcPr>
          <w:p w:rsidR="00065E95" w:rsidRPr="00F80387" w:rsidRDefault="00065E95" w:rsidP="00482AA0">
            <w:pPr>
              <w:pStyle w:val="Table-AnnualReport"/>
              <w:jc w:val="right"/>
              <w:rPr>
                <w:b/>
              </w:rPr>
            </w:pPr>
          </w:p>
        </w:tc>
        <w:tc>
          <w:tcPr>
            <w:tcW w:w="1179" w:type="dxa"/>
            <w:shd w:val="clear" w:color="auto" w:fill="auto"/>
            <w:vAlign w:val="center"/>
          </w:tcPr>
          <w:p w:rsidR="00065E95" w:rsidRPr="00F80387" w:rsidRDefault="00065E95" w:rsidP="00482AA0">
            <w:pPr>
              <w:pStyle w:val="Table-AnnualReport"/>
              <w:jc w:val="right"/>
              <w:rPr>
                <w:b/>
              </w:rPr>
            </w:pPr>
          </w:p>
        </w:tc>
        <w:tc>
          <w:tcPr>
            <w:tcW w:w="1161" w:type="dxa"/>
            <w:shd w:val="clear" w:color="auto" w:fill="auto"/>
            <w:vAlign w:val="center"/>
          </w:tcPr>
          <w:p w:rsidR="00065E95" w:rsidRPr="00F80387" w:rsidRDefault="00065E95" w:rsidP="00482AA0">
            <w:pPr>
              <w:pStyle w:val="Table-AnnualReport"/>
              <w:jc w:val="right"/>
              <w:rPr>
                <w:b/>
              </w:rPr>
            </w:pPr>
          </w:p>
        </w:tc>
        <w:tc>
          <w:tcPr>
            <w:tcW w:w="1165" w:type="dxa"/>
            <w:shd w:val="clear" w:color="auto" w:fill="auto"/>
            <w:vAlign w:val="center"/>
          </w:tcPr>
          <w:p w:rsidR="00065E95" w:rsidRPr="00F80387" w:rsidRDefault="00065E95" w:rsidP="00482AA0">
            <w:pPr>
              <w:pStyle w:val="Table-AnnualReport"/>
              <w:jc w:val="right"/>
              <w:rPr>
                <w:b/>
              </w:rPr>
            </w:pPr>
          </w:p>
        </w:tc>
      </w:tr>
      <w:tr w:rsidR="00065E95" w:rsidRPr="00F80387" w:rsidTr="00277671">
        <w:tc>
          <w:tcPr>
            <w:tcW w:w="3708" w:type="dxa"/>
            <w:shd w:val="clear" w:color="auto" w:fill="auto"/>
            <w:vAlign w:val="center"/>
          </w:tcPr>
          <w:p w:rsidR="00065E95" w:rsidRPr="00F80387" w:rsidRDefault="00065E95" w:rsidP="00482AA0">
            <w:pPr>
              <w:pStyle w:val="Table-AnnualReport"/>
            </w:pPr>
            <w:r w:rsidRPr="00F80387">
              <w:t>Average number of days used per paid FTE</w:t>
            </w:r>
          </w:p>
        </w:tc>
        <w:tc>
          <w:tcPr>
            <w:tcW w:w="510" w:type="dxa"/>
            <w:shd w:val="clear" w:color="auto" w:fill="auto"/>
            <w:vAlign w:val="center"/>
          </w:tcPr>
          <w:p w:rsidR="00065E95" w:rsidRPr="00F80387" w:rsidRDefault="00065E95" w:rsidP="00482AA0">
            <w:pPr>
              <w:pStyle w:val="Table-AnnualReport"/>
            </w:pPr>
          </w:p>
        </w:tc>
        <w:tc>
          <w:tcPr>
            <w:tcW w:w="948" w:type="dxa"/>
            <w:shd w:val="clear" w:color="auto" w:fill="auto"/>
            <w:vAlign w:val="center"/>
          </w:tcPr>
          <w:p w:rsidR="00065E95" w:rsidRPr="00F80387" w:rsidRDefault="00065E95" w:rsidP="00482AA0">
            <w:pPr>
              <w:pStyle w:val="Table-AnnualReport"/>
              <w:jc w:val="right"/>
            </w:pPr>
            <w:r w:rsidRPr="00F80387">
              <w:t>21.9</w:t>
            </w:r>
          </w:p>
        </w:tc>
        <w:tc>
          <w:tcPr>
            <w:tcW w:w="1179" w:type="dxa"/>
            <w:shd w:val="clear" w:color="auto" w:fill="auto"/>
            <w:vAlign w:val="center"/>
          </w:tcPr>
          <w:p w:rsidR="00065E95" w:rsidRPr="00F80387" w:rsidRDefault="00065E95" w:rsidP="00482AA0">
            <w:pPr>
              <w:pStyle w:val="Table-AnnualReport"/>
              <w:jc w:val="right"/>
            </w:pPr>
            <w:r w:rsidRPr="00F80387">
              <w:t>21.2</w:t>
            </w:r>
          </w:p>
        </w:tc>
        <w:tc>
          <w:tcPr>
            <w:tcW w:w="1161" w:type="dxa"/>
            <w:shd w:val="clear" w:color="auto" w:fill="auto"/>
            <w:vAlign w:val="center"/>
          </w:tcPr>
          <w:p w:rsidR="00065E95" w:rsidRPr="00F80387" w:rsidRDefault="00065E95" w:rsidP="00482AA0">
            <w:pPr>
              <w:pStyle w:val="Table-AnnualReport"/>
              <w:jc w:val="right"/>
            </w:pPr>
            <w:r w:rsidRPr="00F80387">
              <w:t>22.5</w:t>
            </w:r>
          </w:p>
        </w:tc>
        <w:tc>
          <w:tcPr>
            <w:tcW w:w="1165" w:type="dxa"/>
            <w:shd w:val="clear" w:color="auto" w:fill="auto"/>
            <w:vAlign w:val="center"/>
          </w:tcPr>
          <w:p w:rsidR="00065E95" w:rsidRPr="00F80387" w:rsidRDefault="00065E95" w:rsidP="00482AA0">
            <w:pPr>
              <w:pStyle w:val="Table-AnnualReport"/>
              <w:jc w:val="right"/>
            </w:pPr>
            <w:r w:rsidRPr="00F80387">
              <w:t>22.5</w:t>
            </w:r>
          </w:p>
        </w:tc>
      </w:tr>
      <w:tr w:rsidR="003541C9" w:rsidRPr="00F80387" w:rsidTr="00433B2E">
        <w:tc>
          <w:tcPr>
            <w:tcW w:w="5166" w:type="dxa"/>
            <w:gridSpan w:val="3"/>
            <w:shd w:val="clear" w:color="auto" w:fill="auto"/>
            <w:vAlign w:val="center"/>
          </w:tcPr>
          <w:p w:rsidR="003541C9" w:rsidRPr="00F80387" w:rsidRDefault="003541C9" w:rsidP="009337D6">
            <w:pPr>
              <w:pStyle w:val="Table-AnnualReport"/>
            </w:pPr>
            <w:r w:rsidRPr="00F80387">
              <w:t>Number of FTEs with entitlements equal to the two year limit</w:t>
            </w:r>
            <w:r w:rsidR="009337D6">
              <w:t xml:space="preserve">       </w:t>
            </w:r>
            <w:r w:rsidRPr="00F80387">
              <w:t>2.7</w:t>
            </w:r>
          </w:p>
        </w:tc>
        <w:tc>
          <w:tcPr>
            <w:tcW w:w="1179" w:type="dxa"/>
            <w:shd w:val="clear" w:color="auto" w:fill="auto"/>
            <w:vAlign w:val="center"/>
          </w:tcPr>
          <w:p w:rsidR="003541C9" w:rsidRPr="00F80387" w:rsidRDefault="003541C9" w:rsidP="00482AA0">
            <w:pPr>
              <w:pStyle w:val="Table-AnnualReport"/>
              <w:jc w:val="right"/>
            </w:pPr>
            <w:r w:rsidRPr="00F80387">
              <w:t>0</w:t>
            </w:r>
          </w:p>
        </w:tc>
        <w:tc>
          <w:tcPr>
            <w:tcW w:w="1161" w:type="dxa"/>
            <w:shd w:val="clear" w:color="auto" w:fill="auto"/>
            <w:vAlign w:val="center"/>
          </w:tcPr>
          <w:p w:rsidR="003541C9" w:rsidRPr="00F80387" w:rsidRDefault="003541C9" w:rsidP="00482AA0">
            <w:pPr>
              <w:pStyle w:val="Table-AnnualReport"/>
              <w:jc w:val="right"/>
            </w:pPr>
            <w:r w:rsidRPr="00F80387">
              <w:t>0</w:t>
            </w:r>
          </w:p>
        </w:tc>
        <w:tc>
          <w:tcPr>
            <w:tcW w:w="1165" w:type="dxa"/>
            <w:shd w:val="clear" w:color="auto" w:fill="auto"/>
            <w:vAlign w:val="center"/>
          </w:tcPr>
          <w:p w:rsidR="003541C9" w:rsidRPr="00F80387" w:rsidRDefault="003541C9" w:rsidP="00482AA0">
            <w:pPr>
              <w:pStyle w:val="Table-AnnualReport"/>
              <w:jc w:val="right"/>
            </w:pPr>
            <w:r w:rsidRPr="00F80387">
              <w:t>0</w:t>
            </w:r>
          </w:p>
        </w:tc>
      </w:tr>
      <w:tr w:rsidR="00065E95" w:rsidRPr="00F80387" w:rsidTr="00277671">
        <w:tc>
          <w:tcPr>
            <w:tcW w:w="3708" w:type="dxa"/>
            <w:shd w:val="clear" w:color="auto" w:fill="auto"/>
            <w:vAlign w:val="center"/>
          </w:tcPr>
          <w:p w:rsidR="00065E95" w:rsidRPr="00F80387" w:rsidRDefault="00065E95" w:rsidP="00482AA0">
            <w:pPr>
              <w:pStyle w:val="Table-AnnualReport"/>
            </w:pPr>
            <w:r w:rsidRPr="00F80387">
              <w:t>Number of FTEs in excess of two year limit</w:t>
            </w:r>
          </w:p>
        </w:tc>
        <w:tc>
          <w:tcPr>
            <w:tcW w:w="510" w:type="dxa"/>
            <w:shd w:val="clear" w:color="auto" w:fill="auto"/>
            <w:vAlign w:val="center"/>
          </w:tcPr>
          <w:p w:rsidR="00065E95" w:rsidRPr="00F80387" w:rsidRDefault="00065E95" w:rsidP="00482AA0">
            <w:pPr>
              <w:pStyle w:val="Table-AnnualReport"/>
            </w:pPr>
          </w:p>
        </w:tc>
        <w:tc>
          <w:tcPr>
            <w:tcW w:w="948" w:type="dxa"/>
            <w:shd w:val="clear" w:color="auto" w:fill="auto"/>
            <w:vAlign w:val="center"/>
          </w:tcPr>
          <w:p w:rsidR="00065E95" w:rsidRPr="00F80387" w:rsidRDefault="00065E95" w:rsidP="00482AA0">
            <w:pPr>
              <w:pStyle w:val="Table-AnnualReport"/>
              <w:jc w:val="right"/>
            </w:pPr>
            <w:r w:rsidRPr="00F80387">
              <w:t>608.72</w:t>
            </w:r>
          </w:p>
        </w:tc>
        <w:tc>
          <w:tcPr>
            <w:tcW w:w="1179" w:type="dxa"/>
            <w:shd w:val="clear" w:color="auto" w:fill="auto"/>
            <w:vAlign w:val="center"/>
          </w:tcPr>
          <w:p w:rsidR="00065E95" w:rsidRPr="00F80387" w:rsidRDefault="00065E95" w:rsidP="00482AA0">
            <w:pPr>
              <w:pStyle w:val="Table-AnnualReport"/>
              <w:jc w:val="right"/>
            </w:pPr>
            <w:r w:rsidRPr="00F80387">
              <w:t>131.1</w:t>
            </w:r>
          </w:p>
        </w:tc>
        <w:tc>
          <w:tcPr>
            <w:tcW w:w="1161" w:type="dxa"/>
            <w:shd w:val="clear" w:color="auto" w:fill="auto"/>
            <w:vAlign w:val="center"/>
          </w:tcPr>
          <w:p w:rsidR="00065E95" w:rsidRPr="00F80387" w:rsidRDefault="00065E95" w:rsidP="00482AA0">
            <w:pPr>
              <w:pStyle w:val="Table-AnnualReport"/>
              <w:jc w:val="right"/>
            </w:pPr>
            <w:r w:rsidRPr="00F80387">
              <w:t>60.2</w:t>
            </w:r>
          </w:p>
        </w:tc>
        <w:tc>
          <w:tcPr>
            <w:tcW w:w="1165" w:type="dxa"/>
            <w:shd w:val="clear" w:color="auto" w:fill="auto"/>
            <w:vAlign w:val="center"/>
          </w:tcPr>
          <w:p w:rsidR="00065E95" w:rsidRPr="00F80387" w:rsidRDefault="00065E95" w:rsidP="00482AA0">
            <w:pPr>
              <w:pStyle w:val="Table-AnnualReport"/>
              <w:jc w:val="right"/>
            </w:pPr>
            <w:r w:rsidRPr="00F80387">
              <w:t>45.2</w:t>
            </w:r>
          </w:p>
        </w:tc>
      </w:tr>
      <w:tr w:rsidR="00065E95" w:rsidRPr="00F80387" w:rsidTr="00277671">
        <w:tc>
          <w:tcPr>
            <w:tcW w:w="8671" w:type="dxa"/>
            <w:gridSpan w:val="6"/>
            <w:shd w:val="clear" w:color="auto" w:fill="auto"/>
            <w:vAlign w:val="center"/>
          </w:tcPr>
          <w:p w:rsidR="00065E95" w:rsidRPr="00F80387" w:rsidRDefault="00065E95" w:rsidP="0094599C">
            <w:pPr>
              <w:pStyle w:val="Table-AnnualReport"/>
              <w:rPr>
                <w:b/>
              </w:rPr>
            </w:pPr>
            <w:r w:rsidRPr="00F80387">
              <w:rPr>
                <w:b/>
                <w:bCs/>
              </w:rPr>
              <w:t>Long Service Leave (includes Maternity Leave)</w:t>
            </w:r>
          </w:p>
        </w:tc>
      </w:tr>
      <w:tr w:rsidR="00065E95" w:rsidRPr="00F80387" w:rsidTr="00277671">
        <w:tc>
          <w:tcPr>
            <w:tcW w:w="3708" w:type="dxa"/>
            <w:shd w:val="clear" w:color="auto" w:fill="auto"/>
            <w:vAlign w:val="center"/>
          </w:tcPr>
          <w:p w:rsidR="00065E95" w:rsidRPr="00F80387" w:rsidRDefault="00065E95" w:rsidP="00482AA0">
            <w:pPr>
              <w:pStyle w:val="Table-AnnualReport"/>
            </w:pPr>
            <w:r w:rsidRPr="00F80387">
              <w:t>Average number of days used per paid FTE</w:t>
            </w:r>
          </w:p>
        </w:tc>
        <w:tc>
          <w:tcPr>
            <w:tcW w:w="510" w:type="dxa"/>
            <w:shd w:val="clear" w:color="auto" w:fill="auto"/>
            <w:vAlign w:val="center"/>
          </w:tcPr>
          <w:p w:rsidR="00065E95" w:rsidRPr="00F80387" w:rsidRDefault="00065E95" w:rsidP="00482AA0">
            <w:pPr>
              <w:pStyle w:val="Table-AnnualReport"/>
            </w:pPr>
          </w:p>
        </w:tc>
        <w:tc>
          <w:tcPr>
            <w:tcW w:w="948" w:type="dxa"/>
            <w:shd w:val="clear" w:color="auto" w:fill="auto"/>
            <w:vAlign w:val="center"/>
          </w:tcPr>
          <w:p w:rsidR="00065E95" w:rsidRPr="00F80387" w:rsidRDefault="00065E95" w:rsidP="00482AA0">
            <w:pPr>
              <w:pStyle w:val="Table-AnnualReport"/>
              <w:jc w:val="right"/>
            </w:pPr>
            <w:r w:rsidRPr="00F80387">
              <w:t>3.01</w:t>
            </w:r>
          </w:p>
        </w:tc>
        <w:tc>
          <w:tcPr>
            <w:tcW w:w="1179" w:type="dxa"/>
            <w:shd w:val="clear" w:color="auto" w:fill="auto"/>
            <w:vAlign w:val="center"/>
          </w:tcPr>
          <w:p w:rsidR="00065E95" w:rsidRPr="00F80387" w:rsidRDefault="00065E95" w:rsidP="00482AA0">
            <w:pPr>
              <w:pStyle w:val="Table-AnnualReport"/>
              <w:jc w:val="right"/>
            </w:pPr>
            <w:r w:rsidRPr="00F80387">
              <w:t>3.4</w:t>
            </w:r>
          </w:p>
        </w:tc>
        <w:tc>
          <w:tcPr>
            <w:tcW w:w="1161" w:type="dxa"/>
            <w:shd w:val="clear" w:color="auto" w:fill="auto"/>
            <w:vAlign w:val="center"/>
          </w:tcPr>
          <w:p w:rsidR="00065E95" w:rsidRPr="00F80387" w:rsidRDefault="00065E95" w:rsidP="00482AA0">
            <w:pPr>
              <w:pStyle w:val="Table-AnnualReport"/>
              <w:jc w:val="right"/>
            </w:pPr>
            <w:r w:rsidRPr="00F80387">
              <w:t>3.4</w:t>
            </w:r>
          </w:p>
        </w:tc>
        <w:tc>
          <w:tcPr>
            <w:tcW w:w="1165" w:type="dxa"/>
            <w:shd w:val="clear" w:color="auto" w:fill="auto"/>
          </w:tcPr>
          <w:p w:rsidR="00065E95" w:rsidRPr="00F80387" w:rsidRDefault="00065E95" w:rsidP="00482AA0">
            <w:pPr>
              <w:pStyle w:val="Table-AnnualReport"/>
              <w:jc w:val="right"/>
            </w:pPr>
            <w:r w:rsidRPr="00F80387">
              <w:t>3.7</w:t>
            </w:r>
          </w:p>
        </w:tc>
      </w:tr>
      <w:tr w:rsidR="00065E95" w:rsidRPr="00F80387" w:rsidTr="00277671">
        <w:tc>
          <w:tcPr>
            <w:tcW w:w="8671" w:type="dxa"/>
            <w:gridSpan w:val="6"/>
            <w:shd w:val="clear" w:color="auto" w:fill="auto"/>
            <w:vAlign w:val="center"/>
          </w:tcPr>
          <w:p w:rsidR="00065E95" w:rsidRPr="00F80387" w:rsidRDefault="00065E95" w:rsidP="00482AA0">
            <w:pPr>
              <w:pStyle w:val="Table-AnnualReport"/>
              <w:rPr>
                <w:b/>
              </w:rPr>
            </w:pPr>
            <w:r w:rsidRPr="00F80387">
              <w:rPr>
                <w:b/>
                <w:bCs/>
              </w:rPr>
              <w:t>Personal Leave Days (includes sick, carers and family leave)</w:t>
            </w:r>
          </w:p>
        </w:tc>
      </w:tr>
      <w:tr w:rsidR="00065E95" w:rsidRPr="00F80387" w:rsidTr="00277671">
        <w:tc>
          <w:tcPr>
            <w:tcW w:w="3708" w:type="dxa"/>
            <w:shd w:val="clear" w:color="auto" w:fill="auto"/>
            <w:vAlign w:val="center"/>
          </w:tcPr>
          <w:p w:rsidR="00065E95" w:rsidRPr="00F80387" w:rsidRDefault="00065E95" w:rsidP="00482AA0">
            <w:pPr>
              <w:pStyle w:val="Table-AnnualReport"/>
            </w:pPr>
            <w:bookmarkStart w:id="268" w:name="_Toc303758687"/>
            <w:bookmarkStart w:id="269" w:name="_Toc304279682"/>
            <w:r w:rsidRPr="00F80387">
              <w:t>Personal leave days per average paid FTE</w:t>
            </w:r>
            <w:bookmarkEnd w:id="268"/>
            <w:bookmarkEnd w:id="269"/>
          </w:p>
        </w:tc>
        <w:tc>
          <w:tcPr>
            <w:tcW w:w="510" w:type="dxa"/>
            <w:shd w:val="clear" w:color="auto" w:fill="auto"/>
            <w:vAlign w:val="center"/>
          </w:tcPr>
          <w:p w:rsidR="00065E95" w:rsidRPr="00F80387" w:rsidRDefault="00065E95" w:rsidP="00482AA0">
            <w:pPr>
              <w:pStyle w:val="Table-AnnualReport"/>
            </w:pPr>
          </w:p>
        </w:tc>
        <w:tc>
          <w:tcPr>
            <w:tcW w:w="948" w:type="dxa"/>
            <w:shd w:val="clear" w:color="auto" w:fill="auto"/>
            <w:vAlign w:val="center"/>
          </w:tcPr>
          <w:p w:rsidR="00065E95" w:rsidRPr="00F80387" w:rsidRDefault="00065E95" w:rsidP="00482AA0">
            <w:pPr>
              <w:pStyle w:val="Table-AnnualReport"/>
              <w:jc w:val="right"/>
            </w:pPr>
            <w:r w:rsidRPr="00F80387">
              <w:t>11.2</w:t>
            </w:r>
          </w:p>
        </w:tc>
        <w:tc>
          <w:tcPr>
            <w:tcW w:w="1179" w:type="dxa"/>
            <w:shd w:val="clear" w:color="auto" w:fill="auto"/>
            <w:vAlign w:val="center"/>
          </w:tcPr>
          <w:p w:rsidR="00065E95" w:rsidRPr="00F80387" w:rsidRDefault="00065E95" w:rsidP="00482AA0">
            <w:pPr>
              <w:pStyle w:val="Table-AnnualReport"/>
              <w:jc w:val="right"/>
            </w:pPr>
            <w:r w:rsidRPr="00F80387">
              <w:t>12.2</w:t>
            </w:r>
          </w:p>
        </w:tc>
        <w:tc>
          <w:tcPr>
            <w:tcW w:w="1161" w:type="dxa"/>
            <w:shd w:val="clear" w:color="auto" w:fill="auto"/>
            <w:vAlign w:val="center"/>
          </w:tcPr>
          <w:p w:rsidR="00065E95" w:rsidRPr="00F80387" w:rsidRDefault="00065E95" w:rsidP="00482AA0">
            <w:pPr>
              <w:pStyle w:val="Table-AnnualReport"/>
              <w:jc w:val="right"/>
            </w:pPr>
            <w:r w:rsidRPr="00F80387">
              <w:t>12.4</w:t>
            </w:r>
          </w:p>
        </w:tc>
        <w:tc>
          <w:tcPr>
            <w:tcW w:w="1165" w:type="dxa"/>
            <w:shd w:val="clear" w:color="auto" w:fill="auto"/>
          </w:tcPr>
          <w:p w:rsidR="00065E95" w:rsidRPr="00F80387" w:rsidRDefault="00065E95" w:rsidP="00482AA0">
            <w:pPr>
              <w:pStyle w:val="Table-AnnualReport"/>
              <w:jc w:val="right"/>
            </w:pPr>
            <w:r w:rsidRPr="00F80387">
              <w:t>14.1</w:t>
            </w:r>
          </w:p>
        </w:tc>
      </w:tr>
      <w:tr w:rsidR="00065E95" w:rsidRPr="00F80387" w:rsidTr="00277671">
        <w:tc>
          <w:tcPr>
            <w:tcW w:w="8671" w:type="dxa"/>
            <w:gridSpan w:val="6"/>
            <w:shd w:val="clear" w:color="auto" w:fill="auto"/>
            <w:vAlign w:val="center"/>
          </w:tcPr>
          <w:p w:rsidR="00065E95" w:rsidRPr="00F80387" w:rsidRDefault="00065E95" w:rsidP="00482AA0">
            <w:pPr>
              <w:pStyle w:val="Table-AnnualReport"/>
              <w:rPr>
                <w:b/>
              </w:rPr>
            </w:pPr>
            <w:r w:rsidRPr="00F80387">
              <w:rPr>
                <w:b/>
                <w:bCs/>
              </w:rPr>
              <w:t>Overtime Hours (includes callback and overtime hours)</w:t>
            </w:r>
          </w:p>
        </w:tc>
      </w:tr>
      <w:tr w:rsidR="00065E95" w:rsidRPr="00F80387" w:rsidTr="00277671">
        <w:tc>
          <w:tcPr>
            <w:tcW w:w="4218" w:type="dxa"/>
            <w:gridSpan w:val="2"/>
            <w:shd w:val="clear" w:color="auto" w:fill="auto"/>
            <w:vAlign w:val="center"/>
          </w:tcPr>
          <w:p w:rsidR="00065E95" w:rsidRPr="00F80387" w:rsidRDefault="00065E95" w:rsidP="00482AA0">
            <w:pPr>
              <w:pStyle w:val="Table-AnnualReport"/>
            </w:pPr>
            <w:r w:rsidRPr="00F80387">
              <w:t>Overtime/callback paid hours per average paid FTE</w:t>
            </w:r>
          </w:p>
        </w:tc>
        <w:tc>
          <w:tcPr>
            <w:tcW w:w="948" w:type="dxa"/>
            <w:shd w:val="clear" w:color="auto" w:fill="auto"/>
            <w:vAlign w:val="center"/>
          </w:tcPr>
          <w:p w:rsidR="00065E95" w:rsidRPr="00F80387" w:rsidRDefault="00065E95" w:rsidP="00482AA0">
            <w:pPr>
              <w:pStyle w:val="Table-AnnualReport"/>
              <w:jc w:val="right"/>
            </w:pPr>
            <w:r w:rsidRPr="00F80387">
              <w:t>51.9</w:t>
            </w:r>
          </w:p>
        </w:tc>
        <w:tc>
          <w:tcPr>
            <w:tcW w:w="1179" w:type="dxa"/>
            <w:shd w:val="clear" w:color="auto" w:fill="auto"/>
            <w:vAlign w:val="center"/>
          </w:tcPr>
          <w:p w:rsidR="00065E95" w:rsidRPr="00F80387" w:rsidRDefault="00065E95" w:rsidP="00482AA0">
            <w:pPr>
              <w:pStyle w:val="Table-AnnualReport"/>
              <w:jc w:val="right"/>
            </w:pPr>
            <w:r w:rsidRPr="00F80387">
              <w:t>45.6</w:t>
            </w:r>
          </w:p>
        </w:tc>
        <w:tc>
          <w:tcPr>
            <w:tcW w:w="1161" w:type="dxa"/>
            <w:shd w:val="clear" w:color="auto" w:fill="auto"/>
            <w:vAlign w:val="center"/>
          </w:tcPr>
          <w:p w:rsidR="00065E95" w:rsidRPr="00F80387" w:rsidRDefault="00065E95" w:rsidP="00482AA0">
            <w:pPr>
              <w:pStyle w:val="Table-AnnualReport"/>
              <w:jc w:val="right"/>
            </w:pPr>
            <w:r w:rsidRPr="00F80387">
              <w:t>44.6</w:t>
            </w:r>
          </w:p>
        </w:tc>
        <w:tc>
          <w:tcPr>
            <w:tcW w:w="1165" w:type="dxa"/>
            <w:shd w:val="clear" w:color="auto" w:fill="auto"/>
          </w:tcPr>
          <w:p w:rsidR="00065E95" w:rsidRPr="00F80387" w:rsidRDefault="00065E95" w:rsidP="0094599C">
            <w:pPr>
              <w:pStyle w:val="Table-AnnualReport"/>
              <w:jc w:val="right"/>
            </w:pPr>
            <w:r w:rsidRPr="00F80387">
              <w:t>4</w:t>
            </w:r>
            <w:r w:rsidR="0094599C">
              <w:t>0.8</w:t>
            </w:r>
          </w:p>
        </w:tc>
      </w:tr>
      <w:tr w:rsidR="0094599C" w:rsidRPr="00F80387" w:rsidTr="00B960B2">
        <w:tc>
          <w:tcPr>
            <w:tcW w:w="6345" w:type="dxa"/>
            <w:gridSpan w:val="4"/>
            <w:shd w:val="clear" w:color="auto" w:fill="auto"/>
            <w:vAlign w:val="center"/>
          </w:tcPr>
          <w:p w:rsidR="0094599C" w:rsidRPr="00F80387" w:rsidRDefault="0094599C" w:rsidP="0094599C">
            <w:pPr>
              <w:pStyle w:val="Table-AnnualReport"/>
              <w:rPr>
                <w:b/>
              </w:rPr>
            </w:pPr>
            <w:r w:rsidRPr="00F80387">
              <w:rPr>
                <w:b/>
                <w:bCs/>
              </w:rPr>
              <w:t>Turnover Rate</w:t>
            </w:r>
            <w:r>
              <w:rPr>
                <w:b/>
                <w:bCs/>
              </w:rPr>
              <w:t xml:space="preserve"> </w:t>
            </w:r>
            <w:r w:rsidRPr="0094599C">
              <w:rPr>
                <w:b/>
                <w:bCs/>
              </w:rPr>
              <w:t>(</w:t>
            </w:r>
            <w:r w:rsidRPr="0094599C">
              <w:rPr>
                <w:b/>
              </w:rPr>
              <w:t>rate at which people were leaving DHHS as at 30 June)</w:t>
            </w:r>
          </w:p>
        </w:tc>
        <w:tc>
          <w:tcPr>
            <w:tcW w:w="1161" w:type="dxa"/>
            <w:shd w:val="clear" w:color="auto" w:fill="auto"/>
            <w:vAlign w:val="center"/>
          </w:tcPr>
          <w:p w:rsidR="0094599C" w:rsidRPr="00F80387" w:rsidRDefault="0094599C" w:rsidP="00482AA0">
            <w:pPr>
              <w:pStyle w:val="Table-AnnualReport"/>
              <w:jc w:val="right"/>
              <w:rPr>
                <w:b/>
              </w:rPr>
            </w:pPr>
          </w:p>
        </w:tc>
        <w:tc>
          <w:tcPr>
            <w:tcW w:w="1165" w:type="dxa"/>
            <w:shd w:val="clear" w:color="auto" w:fill="auto"/>
            <w:vAlign w:val="center"/>
          </w:tcPr>
          <w:p w:rsidR="0094599C" w:rsidRPr="00F80387" w:rsidRDefault="0094599C" w:rsidP="00482AA0">
            <w:pPr>
              <w:pStyle w:val="Table-AnnualReport"/>
              <w:jc w:val="right"/>
              <w:rPr>
                <w:b/>
              </w:rPr>
            </w:pPr>
          </w:p>
        </w:tc>
      </w:tr>
      <w:tr w:rsidR="00065E95" w:rsidRPr="00F80387" w:rsidTr="00277671">
        <w:tc>
          <w:tcPr>
            <w:tcW w:w="5166" w:type="dxa"/>
            <w:gridSpan w:val="3"/>
            <w:shd w:val="clear" w:color="auto" w:fill="auto"/>
          </w:tcPr>
          <w:p w:rsidR="00065E95" w:rsidRPr="00F80387" w:rsidRDefault="00065E95" w:rsidP="003541C9">
            <w:pPr>
              <w:pStyle w:val="Table-AnnualReport"/>
              <w:tabs>
                <w:tab w:val="left" w:pos="4712"/>
              </w:tabs>
            </w:pPr>
            <w:r w:rsidRPr="00F80387">
              <w:t xml:space="preserve">Total number of separations (FTEs) divided </w:t>
            </w:r>
            <w:r w:rsidR="00482AA0" w:rsidRPr="00F80387">
              <w:t xml:space="preserve">by the </w:t>
            </w:r>
            <w:r w:rsidR="003541C9">
              <w:t>average paid FTE</w:t>
            </w:r>
            <w:r w:rsidR="00482AA0" w:rsidRPr="00F80387">
              <w:t xml:space="preserve">  </w:t>
            </w:r>
            <w:r w:rsidR="003541C9">
              <w:tab/>
              <w:t xml:space="preserve">                                                                               1</w:t>
            </w:r>
            <w:r w:rsidRPr="00F80387">
              <w:t>2.1%</w:t>
            </w:r>
          </w:p>
        </w:tc>
        <w:tc>
          <w:tcPr>
            <w:tcW w:w="1179" w:type="dxa"/>
            <w:shd w:val="clear" w:color="auto" w:fill="auto"/>
            <w:vAlign w:val="bottom"/>
          </w:tcPr>
          <w:p w:rsidR="00065E95" w:rsidRPr="00F80387" w:rsidRDefault="00065E95" w:rsidP="00BB032E">
            <w:pPr>
              <w:pStyle w:val="Table-AnnualReport"/>
              <w:jc w:val="right"/>
            </w:pPr>
            <w:r w:rsidRPr="00F80387">
              <w:t>9.6%</w:t>
            </w:r>
          </w:p>
        </w:tc>
        <w:tc>
          <w:tcPr>
            <w:tcW w:w="1161" w:type="dxa"/>
            <w:shd w:val="clear" w:color="auto" w:fill="auto"/>
            <w:vAlign w:val="bottom"/>
          </w:tcPr>
          <w:p w:rsidR="00065E95" w:rsidRPr="00F80387" w:rsidRDefault="00065E95" w:rsidP="00BB032E">
            <w:pPr>
              <w:pStyle w:val="Table-AnnualReport"/>
              <w:jc w:val="right"/>
            </w:pPr>
            <w:r w:rsidRPr="00F80387">
              <w:t>9.6%</w:t>
            </w:r>
          </w:p>
        </w:tc>
        <w:tc>
          <w:tcPr>
            <w:tcW w:w="1165" w:type="dxa"/>
            <w:shd w:val="clear" w:color="auto" w:fill="auto"/>
            <w:vAlign w:val="center"/>
          </w:tcPr>
          <w:p w:rsidR="00065E95" w:rsidRPr="00F80387" w:rsidRDefault="00065E95" w:rsidP="00BB032E">
            <w:pPr>
              <w:pStyle w:val="Table-AnnualReport"/>
              <w:jc w:val="right"/>
            </w:pPr>
            <w:r w:rsidRPr="00F80387">
              <w:br/>
              <w:t>14.8%</w:t>
            </w:r>
            <w:r w:rsidRPr="00F80387">
              <w:rPr>
                <w:rFonts w:cs="Arial"/>
                <w:vertAlign w:val="superscript"/>
              </w:rPr>
              <w:t>1</w:t>
            </w:r>
          </w:p>
        </w:tc>
      </w:tr>
      <w:tr w:rsidR="00065E95" w:rsidRPr="00F80387" w:rsidTr="00277671">
        <w:tc>
          <w:tcPr>
            <w:tcW w:w="8671" w:type="dxa"/>
            <w:gridSpan w:val="6"/>
            <w:shd w:val="clear" w:color="auto" w:fill="auto"/>
            <w:vAlign w:val="center"/>
          </w:tcPr>
          <w:p w:rsidR="00484EB1" w:rsidRPr="00484EB1" w:rsidRDefault="00484EB1" w:rsidP="00484EB1">
            <w:pPr>
              <w:spacing w:before="60" w:after="60" w:line="240" w:lineRule="auto"/>
              <w:rPr>
                <w:sz w:val="18"/>
                <w:szCs w:val="18"/>
              </w:rPr>
            </w:pPr>
            <w:r w:rsidRPr="00484EB1">
              <w:rPr>
                <w:sz w:val="18"/>
                <w:szCs w:val="18"/>
              </w:rPr>
              <w:t xml:space="preserve">Note: </w:t>
            </w:r>
          </w:p>
          <w:p w:rsidR="00484EB1" w:rsidRPr="00484EB1" w:rsidRDefault="00484EB1" w:rsidP="00484EB1">
            <w:pPr>
              <w:spacing w:before="60" w:after="60" w:line="240" w:lineRule="auto"/>
              <w:rPr>
                <w:sz w:val="18"/>
                <w:szCs w:val="18"/>
              </w:rPr>
            </w:pPr>
            <w:r w:rsidRPr="00484EB1">
              <w:rPr>
                <w:sz w:val="18"/>
                <w:szCs w:val="18"/>
              </w:rPr>
              <w:t>1</w:t>
            </w:r>
            <w:r w:rsidRPr="00484EB1">
              <w:rPr>
                <w:sz w:val="18"/>
                <w:szCs w:val="18"/>
              </w:rPr>
              <w:tab/>
            </w:r>
            <w:r>
              <w:rPr>
                <w:sz w:val="18"/>
                <w:szCs w:val="18"/>
              </w:rPr>
              <w:t>The turnover rate is the rate at which people were leaving DHS as at 30 June 2015.</w:t>
            </w:r>
          </w:p>
          <w:p w:rsidR="00065E95" w:rsidRPr="00F80387" w:rsidRDefault="00065E95" w:rsidP="00277671">
            <w:pPr>
              <w:pStyle w:val="ListParagraph"/>
              <w:keepLines/>
              <w:spacing w:before="60" w:line="240" w:lineRule="auto"/>
              <w:ind w:left="567"/>
              <w:rPr>
                <w:szCs w:val="20"/>
              </w:rPr>
            </w:pPr>
          </w:p>
        </w:tc>
      </w:tr>
    </w:tbl>
    <w:p w:rsidR="00482AA0" w:rsidRPr="00F80387" w:rsidRDefault="00482AA0" w:rsidP="00F80387">
      <w:pPr>
        <w:pStyle w:val="Heading2"/>
        <w:sectPr w:rsidR="00482AA0" w:rsidRPr="00F80387" w:rsidSect="00D60752">
          <w:type w:val="continuous"/>
          <w:pgSz w:w="11906" w:h="16838" w:code="9"/>
          <w:pgMar w:top="907" w:right="1134" w:bottom="720" w:left="1134" w:header="709" w:footer="709" w:gutter="0"/>
          <w:cols w:space="708"/>
          <w:docGrid w:linePitch="360"/>
        </w:sectPr>
      </w:pPr>
    </w:p>
    <w:p w:rsidR="003541C9" w:rsidRPr="008874FF" w:rsidRDefault="003541C9" w:rsidP="003541C9">
      <w:pPr>
        <w:pStyle w:val="Heading2"/>
      </w:pPr>
      <w:r w:rsidRPr="008874FF">
        <w:lastRenderedPageBreak/>
        <w:t>Workplace Health and Safety</w:t>
      </w:r>
    </w:p>
    <w:p w:rsidR="003541C9" w:rsidRPr="00F80387" w:rsidRDefault="003541C9" w:rsidP="003541C9">
      <w:pPr>
        <w:keepNext/>
        <w:keepLines/>
      </w:pPr>
      <w:r w:rsidRPr="00F80387">
        <w:t xml:space="preserve">The </w:t>
      </w:r>
      <w:r w:rsidR="00AC141D">
        <w:t>DHHS</w:t>
      </w:r>
      <w:r w:rsidRPr="00F80387">
        <w:t xml:space="preserve"> is committed to a range of employee health and safety strategies. The focus in the past year has been on continual improvement of the Department’s work health and safety environment, which has seen a number of important initiatives achieved. Work has included:</w:t>
      </w:r>
    </w:p>
    <w:p w:rsidR="003541C9" w:rsidRPr="00F80387" w:rsidRDefault="003541C9" w:rsidP="003541C9">
      <w:pPr>
        <w:keepNext/>
        <w:keepLines/>
        <w:widowControl w:val="0"/>
        <w:numPr>
          <w:ilvl w:val="0"/>
          <w:numId w:val="34"/>
        </w:numPr>
        <w:tabs>
          <w:tab w:val="clear" w:pos="567"/>
        </w:tabs>
        <w:ind w:left="567" w:hanging="567"/>
      </w:pPr>
      <w:r w:rsidRPr="00F80387">
        <w:t xml:space="preserve">the </w:t>
      </w:r>
      <w:r w:rsidRPr="00F80387">
        <w:rPr>
          <w:rFonts w:cs="Tahoma"/>
          <w:bCs/>
          <w:kern w:val="36"/>
        </w:rPr>
        <w:t>creation of the Safety, Health and Wellbeing team, with the merger of Safety and Injury Management, as a result of the DHHS Review</w:t>
      </w:r>
    </w:p>
    <w:p w:rsidR="003541C9" w:rsidRPr="00F80387" w:rsidRDefault="003541C9" w:rsidP="003541C9">
      <w:pPr>
        <w:keepNext/>
        <w:keepLines/>
        <w:widowControl w:val="0"/>
        <w:numPr>
          <w:ilvl w:val="0"/>
          <w:numId w:val="34"/>
        </w:numPr>
        <w:tabs>
          <w:tab w:val="clear" w:pos="567"/>
        </w:tabs>
        <w:ind w:left="567" w:hanging="567"/>
      </w:pPr>
      <w:r w:rsidRPr="00F80387">
        <w:t>the ongoing training for all staff and specific Manager training focussed on work health and safety roles and responsibilities, identification and management of hazards, incident investigation and the role of the manager in workers compensation and injury management, and</w:t>
      </w:r>
    </w:p>
    <w:p w:rsidR="003541C9" w:rsidRPr="00F80387" w:rsidRDefault="003541C9" w:rsidP="003541C9">
      <w:pPr>
        <w:keepLines/>
        <w:widowControl w:val="0"/>
        <w:numPr>
          <w:ilvl w:val="0"/>
          <w:numId w:val="34"/>
        </w:numPr>
        <w:tabs>
          <w:tab w:val="clear" w:pos="567"/>
        </w:tabs>
        <w:ind w:left="567" w:hanging="567"/>
      </w:pPr>
      <w:proofErr w:type="gramStart"/>
      <w:r w:rsidRPr="00F80387">
        <w:t>the</w:t>
      </w:r>
      <w:proofErr w:type="gramEnd"/>
      <w:r w:rsidRPr="00F80387">
        <w:t xml:space="preserve"> development, review and updating of policies and procedures relating to workplace safety and injury management. </w:t>
      </w:r>
    </w:p>
    <w:p w:rsidR="003541C9" w:rsidRDefault="003541C9" w:rsidP="003541C9">
      <w:r>
        <w:br w:type="column"/>
      </w:r>
    </w:p>
    <w:p w:rsidR="003541C9" w:rsidRDefault="003541C9" w:rsidP="003541C9"/>
    <w:p w:rsidR="003541C9" w:rsidRDefault="003541C9" w:rsidP="003541C9">
      <w:pPr>
        <w:spacing w:after="200"/>
      </w:pPr>
    </w:p>
    <w:p w:rsidR="003541C9" w:rsidRPr="00F80387" w:rsidRDefault="003541C9" w:rsidP="003541C9">
      <w:r w:rsidRPr="00F80387">
        <w:t>The Department received a total of 130 workers compensation claims during 2014-15, compared to 125 claims in 2013-14. The major areas of injury were 61 manual handling claims (compared to 50 in 2013-14), 10 claims for falls (compared to 11 in 2013-14) and eight as a result of aggressive behaviour (compared to five in 2013</w:t>
      </w:r>
      <w:r w:rsidRPr="00F80387">
        <w:noBreakHyphen/>
        <w:t xml:space="preserve">14). </w:t>
      </w:r>
    </w:p>
    <w:p w:rsidR="003541C9" w:rsidRPr="00F80387" w:rsidRDefault="003541C9" w:rsidP="003541C9">
      <w:r w:rsidRPr="00F80387">
        <w:t xml:space="preserve">The cost of all claim payments for 2014-15 was $4.18 million, a decrease of </w:t>
      </w:r>
      <w:r w:rsidR="00162F28">
        <w:t>approximately $680 000</w:t>
      </w:r>
      <w:r w:rsidRPr="00F80387">
        <w:t xml:space="preserve"> from 2013-14 when the costs were $4.86 million. </w:t>
      </w:r>
    </w:p>
    <w:p w:rsidR="003541C9" w:rsidRPr="00F80387" w:rsidRDefault="003541C9" w:rsidP="003541C9">
      <w:r w:rsidRPr="00F80387">
        <w:t xml:space="preserve">Details for the </w:t>
      </w:r>
      <w:r>
        <w:t xml:space="preserve">THOs </w:t>
      </w:r>
      <w:r w:rsidRPr="00F80387">
        <w:t xml:space="preserve">are published in a separate Annual Report for each </w:t>
      </w:r>
      <w:r>
        <w:t>THO</w:t>
      </w:r>
      <w:r w:rsidRPr="00F80387">
        <w:t>.</w:t>
      </w:r>
    </w:p>
    <w:p w:rsidR="00482AA0" w:rsidRPr="00F80387" w:rsidRDefault="00482AA0" w:rsidP="00F80387">
      <w:pPr>
        <w:pStyle w:val="Heading2"/>
        <w:sectPr w:rsidR="00482AA0" w:rsidRPr="00F80387" w:rsidSect="00482AA0">
          <w:type w:val="continuous"/>
          <w:pgSz w:w="11906" w:h="16838" w:code="9"/>
          <w:pgMar w:top="907" w:right="1134" w:bottom="720" w:left="1134" w:header="709" w:footer="709" w:gutter="0"/>
          <w:cols w:num="2" w:space="708"/>
          <w:docGrid w:linePitch="360"/>
        </w:sectPr>
      </w:pPr>
    </w:p>
    <w:p w:rsidR="00A54386" w:rsidRDefault="00A54386" w:rsidP="000F7A1D">
      <w:pPr>
        <w:pStyle w:val="Heading1"/>
        <w:sectPr w:rsidR="00A54386" w:rsidSect="00482AA0">
          <w:type w:val="continuous"/>
          <w:pgSz w:w="11906" w:h="16838" w:code="9"/>
          <w:pgMar w:top="907" w:right="1134" w:bottom="720" w:left="1134" w:header="709" w:footer="709" w:gutter="0"/>
          <w:cols w:num="2" w:space="708"/>
          <w:docGrid w:linePitch="360"/>
        </w:sectPr>
      </w:pPr>
    </w:p>
    <w:p w:rsidR="00277671" w:rsidRPr="00F80387" w:rsidRDefault="0041611F" w:rsidP="000F7A1D">
      <w:pPr>
        <w:pStyle w:val="Heading1"/>
      </w:pPr>
      <w:bookmarkStart w:id="270" w:name="_Toc432517298"/>
      <w:r w:rsidRPr="00F80387">
        <w:lastRenderedPageBreak/>
        <w:t>Community Engagement</w:t>
      </w:r>
      <w:bookmarkEnd w:id="270"/>
    </w:p>
    <w:p w:rsidR="001812FB" w:rsidRDefault="001812FB" w:rsidP="003C2F14">
      <w:pPr>
        <w:sectPr w:rsidR="001812FB" w:rsidSect="00BD1A43">
          <w:pgSz w:w="11906" w:h="16838" w:code="9"/>
          <w:pgMar w:top="907" w:right="1134" w:bottom="720" w:left="1134" w:header="709" w:footer="709" w:gutter="0"/>
          <w:cols w:space="708"/>
          <w:docGrid w:linePitch="360"/>
        </w:sectPr>
      </w:pPr>
    </w:p>
    <w:p w:rsidR="003C2F14" w:rsidRPr="00F80387" w:rsidRDefault="003C2F14" w:rsidP="003C2F14">
      <w:r w:rsidRPr="00F80387">
        <w:lastRenderedPageBreak/>
        <w:t xml:space="preserve">The Department understands the importance of </w:t>
      </w:r>
      <w:r w:rsidR="00BB032E" w:rsidRPr="00F80387">
        <w:t>communicating</w:t>
      </w:r>
      <w:r w:rsidRPr="00F80387">
        <w:t xml:space="preserve"> </w:t>
      </w:r>
      <w:r w:rsidR="00BB032E" w:rsidRPr="00F80387">
        <w:t xml:space="preserve">with </w:t>
      </w:r>
      <w:r w:rsidR="009160CB">
        <w:t xml:space="preserve">its </w:t>
      </w:r>
      <w:r w:rsidR="00BB032E" w:rsidRPr="00F80387">
        <w:t>stakeholders</w:t>
      </w:r>
      <w:r w:rsidRPr="00F80387">
        <w:t xml:space="preserve">. </w:t>
      </w:r>
    </w:p>
    <w:p w:rsidR="00BB032E" w:rsidRPr="00F80387" w:rsidRDefault="001F0745" w:rsidP="003C2F14">
      <w:r w:rsidRPr="00F80387">
        <w:t xml:space="preserve">A significant change in the way DHHS </w:t>
      </w:r>
      <w:r w:rsidR="003C2F14" w:rsidRPr="00F80387">
        <w:t xml:space="preserve">releases information to the </w:t>
      </w:r>
      <w:r w:rsidR="00BB032E" w:rsidRPr="00F80387">
        <w:t>community came in</w:t>
      </w:r>
      <w:r w:rsidRPr="00F80387">
        <w:t xml:space="preserve">to </w:t>
      </w:r>
      <w:r w:rsidR="00C73107">
        <w:t xml:space="preserve">effect </w:t>
      </w:r>
      <w:r w:rsidRPr="00F80387">
        <w:t xml:space="preserve">in June </w:t>
      </w:r>
      <w:r w:rsidR="003C2F14" w:rsidRPr="00F80387">
        <w:t>2015</w:t>
      </w:r>
      <w:r w:rsidRPr="00F80387">
        <w:t>, with the Premier’s announcement that many Right to Information decisions (made by all Departments</w:t>
      </w:r>
      <w:r w:rsidR="003C2F14" w:rsidRPr="00F80387">
        <w:t>,</w:t>
      </w:r>
      <w:r w:rsidRPr="00F80387">
        <w:t xml:space="preserve"> in accordance with the </w:t>
      </w:r>
      <w:r w:rsidRPr="00F80387">
        <w:rPr>
          <w:i/>
        </w:rPr>
        <w:t>Right to Information Act 2009</w:t>
      </w:r>
      <w:r w:rsidRPr="00F80387">
        <w:t>)</w:t>
      </w:r>
      <w:r w:rsidRPr="00F80387">
        <w:rPr>
          <w:i/>
        </w:rPr>
        <w:t xml:space="preserve">, </w:t>
      </w:r>
      <w:r w:rsidRPr="00F80387">
        <w:t>will be published on the decision making Department</w:t>
      </w:r>
      <w:r w:rsidR="00BB032E" w:rsidRPr="00F80387">
        <w:t>’</w:t>
      </w:r>
      <w:r w:rsidRPr="00F80387">
        <w:t xml:space="preserve">s website. </w:t>
      </w:r>
    </w:p>
    <w:p w:rsidR="0041611F" w:rsidRPr="00F80387" w:rsidRDefault="001F0745" w:rsidP="003C2F14">
      <w:r w:rsidRPr="00F80387">
        <w:t xml:space="preserve">This move aims to further </w:t>
      </w:r>
      <w:r w:rsidR="009160CB">
        <w:t xml:space="preserve">improve </w:t>
      </w:r>
      <w:r w:rsidRPr="00F80387">
        <w:t xml:space="preserve">transparency and openness in the way </w:t>
      </w:r>
      <w:r w:rsidR="00ED5DCA">
        <w:t>d</w:t>
      </w:r>
      <w:r w:rsidRPr="00F80387">
        <w:t xml:space="preserve">ata </w:t>
      </w:r>
      <w:r w:rsidR="00ED5DCA">
        <w:t xml:space="preserve">is released </w:t>
      </w:r>
      <w:r w:rsidRPr="00F80387">
        <w:t>to the public. This change does not apply to personal information</w:t>
      </w:r>
      <w:r w:rsidR="003C2F14" w:rsidRPr="00F80387">
        <w:t xml:space="preserve">, but will see the release of data, reports and other information of public interest on the Department’s website. </w:t>
      </w:r>
      <w:r w:rsidR="009160CB">
        <w:t>This will provide a</w:t>
      </w:r>
      <w:r w:rsidR="00BB032E" w:rsidRPr="00F80387">
        <w:t xml:space="preserve"> </w:t>
      </w:r>
      <w:r w:rsidR="003C2F14" w:rsidRPr="00F80387">
        <w:t>clearer insight into what we do, and how we operate</w:t>
      </w:r>
      <w:r w:rsidRPr="00F80387">
        <w:t xml:space="preserve">. </w:t>
      </w:r>
    </w:p>
    <w:p w:rsidR="003C2F14" w:rsidRPr="00F80387" w:rsidRDefault="003C2F14" w:rsidP="003C2F14">
      <w:r w:rsidRPr="00F80387">
        <w:t>A significant program of consultation also took place a</w:t>
      </w:r>
      <w:r w:rsidR="002A6B63" w:rsidRPr="00F80387">
        <w:t>s part of the Disability Framework for Action 2013-17</w:t>
      </w:r>
      <w:r w:rsidRPr="00F80387">
        <w:t xml:space="preserve"> in 2014-15. The </w:t>
      </w:r>
      <w:r w:rsidR="002A6B63" w:rsidRPr="00F80387">
        <w:t xml:space="preserve">Department consulted extensively with disability community groups, organisations representing people with disability and industry experts to gain insight and advice </w:t>
      </w:r>
      <w:r w:rsidRPr="00F80387">
        <w:t xml:space="preserve">as </w:t>
      </w:r>
      <w:r w:rsidR="002A6B63" w:rsidRPr="00F80387">
        <w:t xml:space="preserve">to how we can improve the lives of people living with disability as a healthcare </w:t>
      </w:r>
      <w:r w:rsidR="00BB032E" w:rsidRPr="00F80387">
        <w:t>service provider and employer.</w:t>
      </w:r>
    </w:p>
    <w:p w:rsidR="002A6B63" w:rsidRPr="00F80387" w:rsidRDefault="002A6B63" w:rsidP="003C2F14">
      <w:r w:rsidRPr="00F80387">
        <w:lastRenderedPageBreak/>
        <w:t xml:space="preserve">This </w:t>
      </w:r>
      <w:r w:rsidR="00AD1B86" w:rsidRPr="00F80387">
        <w:t xml:space="preserve">consultation has </w:t>
      </w:r>
      <w:proofErr w:type="spellStart"/>
      <w:r w:rsidR="00AD1B86" w:rsidRPr="00F80387">
        <w:t>lead</w:t>
      </w:r>
      <w:proofErr w:type="spellEnd"/>
      <w:r w:rsidR="00AD1B86" w:rsidRPr="00F80387">
        <w:t xml:space="preserve"> to the identification of gaps, and actions we can take forward to make real and positive change for people living with disability. Some of this work is underway, and some will be progressed in the next financial year and ongoing.</w:t>
      </w:r>
    </w:p>
    <w:p w:rsidR="004E30A3" w:rsidRPr="004E30A3" w:rsidRDefault="004E30A3" w:rsidP="004E30A3">
      <w:pPr>
        <w:rPr>
          <w:lang w:eastAsia="en-AU"/>
        </w:rPr>
      </w:pPr>
      <w:r w:rsidRPr="004E30A3">
        <w:rPr>
          <w:lang w:eastAsia="en-AU"/>
        </w:rPr>
        <w:t xml:space="preserve">Another significant program of community engagement took place throughout the development of the </w:t>
      </w:r>
      <w:r w:rsidR="007965E7" w:rsidRPr="007965E7">
        <w:rPr>
          <w:i/>
          <w:lang w:eastAsia="en-AU"/>
        </w:rPr>
        <w:t>White Paper on</w:t>
      </w:r>
      <w:r w:rsidR="007965E7">
        <w:rPr>
          <w:lang w:eastAsia="en-AU"/>
        </w:rPr>
        <w:t xml:space="preserve"> </w:t>
      </w:r>
      <w:r w:rsidRPr="004E30A3">
        <w:rPr>
          <w:i/>
          <w:lang w:eastAsia="en-AU"/>
        </w:rPr>
        <w:t xml:space="preserve">Delivering Safe and Sustainable Clinical Services. </w:t>
      </w:r>
      <w:r w:rsidR="00903E91">
        <w:rPr>
          <w:lang w:eastAsia="en-AU"/>
        </w:rPr>
        <w:t xml:space="preserve">This entailed a </w:t>
      </w:r>
      <w:r w:rsidRPr="004E30A3">
        <w:rPr>
          <w:lang w:eastAsia="en-AU"/>
        </w:rPr>
        <w:t>program of clinical, consumer, c</w:t>
      </w:r>
      <w:r w:rsidR="00903E91">
        <w:rPr>
          <w:lang w:eastAsia="en-AU"/>
        </w:rPr>
        <w:t xml:space="preserve">ommunity and staff consultation, with wide stakeholder engagement considered to be a key element for the </w:t>
      </w:r>
      <w:r w:rsidRPr="004E30A3">
        <w:rPr>
          <w:lang w:eastAsia="en-AU"/>
        </w:rPr>
        <w:t>success of the reform program.</w:t>
      </w:r>
    </w:p>
    <w:p w:rsidR="004E30A3" w:rsidRPr="004E30A3" w:rsidRDefault="004E30A3" w:rsidP="004E30A3">
      <w:pPr>
        <w:rPr>
          <w:lang w:eastAsia="en-AU"/>
        </w:rPr>
      </w:pPr>
      <w:r>
        <w:t xml:space="preserve">The process </w:t>
      </w:r>
      <w:r w:rsidRPr="004E30A3">
        <w:t>be</w:t>
      </w:r>
      <w:r w:rsidR="00AC141D">
        <w:t>gan by consulting more than 170 </w:t>
      </w:r>
      <w:r w:rsidRPr="004E30A3">
        <w:t>nurses, doctors</w:t>
      </w:r>
      <w:r>
        <w:t xml:space="preserve"> and other key stakeholders, followed </w:t>
      </w:r>
      <w:r w:rsidRPr="004E30A3">
        <w:t xml:space="preserve">by discussions with more than 200 members of the community who attended </w:t>
      </w:r>
      <w:r w:rsidR="00903E91">
        <w:t xml:space="preserve">two rounds of </w:t>
      </w:r>
      <w:r w:rsidRPr="004E30A3">
        <w:t xml:space="preserve">public forums around the State to take part in consultations and </w:t>
      </w:r>
      <w:r>
        <w:t xml:space="preserve">to </w:t>
      </w:r>
      <w:r w:rsidRPr="004E30A3">
        <w:t xml:space="preserve">provide </w:t>
      </w:r>
      <w:r>
        <w:t xml:space="preserve">written </w:t>
      </w:r>
      <w:r w:rsidRPr="004E30A3">
        <w:t>feedback</w:t>
      </w:r>
      <w:r w:rsidR="00903E91">
        <w:t xml:space="preserve">. To give an idea of the scale of this consultation program, </w:t>
      </w:r>
      <w:r w:rsidRPr="004E30A3">
        <w:t xml:space="preserve">approximately </w:t>
      </w:r>
      <w:r w:rsidR="00433B2E">
        <w:t>280</w:t>
      </w:r>
      <w:r w:rsidR="00903E91">
        <w:t xml:space="preserve"> </w:t>
      </w:r>
      <w:r w:rsidRPr="004E30A3">
        <w:t xml:space="preserve">responses </w:t>
      </w:r>
      <w:r w:rsidR="00903E91">
        <w:t>were r</w:t>
      </w:r>
      <w:r w:rsidR="00C73107">
        <w:t>eceived in response to our call </w:t>
      </w:r>
      <w:r w:rsidR="00903E91">
        <w:t>fo</w:t>
      </w:r>
      <w:r w:rsidR="00C73107">
        <w:t>r </w:t>
      </w:r>
      <w:r w:rsidR="00903E91">
        <w:t xml:space="preserve">written submissions responding to the Green Paper, </w:t>
      </w:r>
      <w:r w:rsidR="00C73107">
        <w:t>and exposure draft of the White </w:t>
      </w:r>
      <w:r w:rsidR="00903E91">
        <w:t>Paper</w:t>
      </w:r>
      <w:r w:rsidRPr="004E30A3">
        <w:t>.</w:t>
      </w:r>
    </w:p>
    <w:p w:rsidR="001812FB" w:rsidRDefault="001812FB" w:rsidP="00903E91">
      <w:pPr>
        <w:pStyle w:val="Heading3"/>
        <w:spacing w:before="0" w:after="0"/>
        <w:sectPr w:rsidR="001812FB" w:rsidSect="001812FB">
          <w:type w:val="continuous"/>
          <w:pgSz w:w="11906" w:h="16838" w:code="9"/>
          <w:pgMar w:top="907" w:right="1134" w:bottom="720" w:left="1134" w:header="709" w:footer="709" w:gutter="0"/>
          <w:cols w:num="2" w:space="708"/>
          <w:docGrid w:linePitch="360"/>
        </w:sectPr>
      </w:pPr>
    </w:p>
    <w:p w:rsidR="0041611F" w:rsidRPr="00AC141D" w:rsidRDefault="00A54386" w:rsidP="00AC141D">
      <w:pPr>
        <w:pStyle w:val="Heading3"/>
      </w:pPr>
      <w:r>
        <w:lastRenderedPageBreak/>
        <w:br w:type="column"/>
      </w:r>
      <w:r w:rsidR="0041611F" w:rsidRPr="00AC141D">
        <w:lastRenderedPageBreak/>
        <w:t>Publications</w:t>
      </w:r>
    </w:p>
    <w:p w:rsidR="00C73107" w:rsidRDefault="00C73107" w:rsidP="003C2F14">
      <w:pPr>
        <w:sectPr w:rsidR="00C73107" w:rsidSect="001812FB">
          <w:type w:val="continuous"/>
          <w:pgSz w:w="11906" w:h="16838" w:code="9"/>
          <w:pgMar w:top="907" w:right="1134" w:bottom="720" w:left="1134" w:header="709" w:footer="709" w:gutter="0"/>
          <w:cols w:space="708"/>
          <w:docGrid w:linePitch="360"/>
        </w:sectPr>
      </w:pPr>
    </w:p>
    <w:p w:rsidR="003C2F14" w:rsidRPr="00F80387" w:rsidRDefault="003C2F14" w:rsidP="003C2F14">
      <w:r w:rsidRPr="00F80387">
        <w:lastRenderedPageBreak/>
        <w:t>A number of significant publications, aimed at furthering stakeholder engagement around major reform efforts for our State, have been released in the past financial y</w:t>
      </w:r>
      <w:r w:rsidR="00BB032E" w:rsidRPr="00F80387">
        <w:t>ear. The Rethink Mental Health P</w:t>
      </w:r>
      <w:r w:rsidRPr="00F80387">
        <w:t>roject, the One State, One Health System</w:t>
      </w:r>
      <w:r w:rsidR="00BB032E" w:rsidRPr="00F80387">
        <w:t>,</w:t>
      </w:r>
      <w:r w:rsidRPr="00F80387">
        <w:t xml:space="preserve"> Better Outcomes </w:t>
      </w:r>
      <w:r w:rsidR="00BB032E" w:rsidRPr="00F80387">
        <w:t>P</w:t>
      </w:r>
      <w:r w:rsidRPr="00F80387">
        <w:t xml:space="preserve">roject and the Joined Up Human Services </w:t>
      </w:r>
      <w:r w:rsidR="00BB032E" w:rsidRPr="00F80387">
        <w:t>P</w:t>
      </w:r>
      <w:r w:rsidRPr="00F80387">
        <w:t>roject all released discussion papers in line with their respective consultative approaches in 2014-15.</w:t>
      </w:r>
    </w:p>
    <w:p w:rsidR="00BB032E" w:rsidRPr="00F80387" w:rsidRDefault="00BB032E" w:rsidP="00BB032E">
      <w:r w:rsidRPr="00F80387">
        <w:t xml:space="preserve">The Department hosts a central resource page on its website titled </w:t>
      </w:r>
      <w:r w:rsidRPr="00F80387">
        <w:rPr>
          <w:i/>
        </w:rPr>
        <w:t xml:space="preserve">Our Plans and Strategies </w:t>
      </w:r>
      <w:r w:rsidRPr="00F80387">
        <w:t>which lists the plans and strategies DHHS is currently deploying to ensure we are finding new, innovative ways for Tasmanians to receive the best care</w:t>
      </w:r>
      <w:r w:rsidR="00AC141D">
        <w:t xml:space="preserve"> and support</w:t>
      </w:r>
      <w:r w:rsidRPr="00F80387">
        <w:t xml:space="preserve">. This page is available at: </w:t>
      </w:r>
      <w:hyperlink r:id="rId35" w:history="1">
        <w:r w:rsidRPr="00F80387">
          <w:rPr>
            <w:rStyle w:val="Hyperlink"/>
          </w:rPr>
          <w:t>http://www.dhhs.tas.gov.au/about_the_department/our_plans_and_strategies</w:t>
        </w:r>
      </w:hyperlink>
      <w:r w:rsidRPr="00F80387">
        <w:t>.</w:t>
      </w:r>
    </w:p>
    <w:p w:rsidR="008B725A" w:rsidRPr="00F80387" w:rsidRDefault="00AC141D" w:rsidP="003C2F14">
      <w:r>
        <w:rPr>
          <w:rFonts w:cs="Arial"/>
          <w:color w:val="222222"/>
          <w:shd w:val="clear" w:color="auto" w:fill="FFFFFF"/>
        </w:rPr>
        <w:br w:type="column"/>
      </w:r>
      <w:r w:rsidR="008B725A" w:rsidRPr="00F80387">
        <w:rPr>
          <w:rFonts w:cs="Arial"/>
          <w:color w:val="222222"/>
          <w:shd w:val="clear" w:color="auto" w:fill="FFFFFF"/>
        </w:rPr>
        <w:lastRenderedPageBreak/>
        <w:t xml:space="preserve">DHHS Library Services support the information and research needs of employees statewide. </w:t>
      </w:r>
      <w:r w:rsidR="00ED5DCA">
        <w:rPr>
          <w:rFonts w:cs="Arial"/>
          <w:color w:val="222222"/>
          <w:shd w:val="clear" w:color="auto" w:fill="FFFFFF"/>
        </w:rPr>
        <w:t>It</w:t>
      </w:r>
      <w:r w:rsidR="008B725A" w:rsidRPr="00F80387">
        <w:rPr>
          <w:rFonts w:cs="Arial"/>
          <w:color w:val="222222"/>
          <w:shd w:val="clear" w:color="auto" w:fill="FFFFFF"/>
        </w:rPr>
        <w:t xml:space="preserve"> </w:t>
      </w:r>
      <w:proofErr w:type="gramStart"/>
      <w:r w:rsidR="008B725A" w:rsidRPr="00F80387">
        <w:rPr>
          <w:rFonts w:cs="Arial"/>
          <w:color w:val="222222"/>
          <w:shd w:val="clear" w:color="auto" w:fill="FFFFFF"/>
        </w:rPr>
        <w:t>comprise</w:t>
      </w:r>
      <w:proofErr w:type="gramEnd"/>
      <w:r w:rsidR="008B725A" w:rsidRPr="00F80387">
        <w:rPr>
          <w:rFonts w:cs="Arial"/>
          <w:color w:val="222222"/>
          <w:shd w:val="clear" w:color="auto" w:fill="FFFFFF"/>
        </w:rPr>
        <w:t xml:space="preserve"> four libraries </w:t>
      </w:r>
      <w:r w:rsidR="00BB032E" w:rsidRPr="00F80387">
        <w:rPr>
          <w:rFonts w:cs="Arial"/>
          <w:color w:val="222222"/>
          <w:shd w:val="clear" w:color="auto" w:fill="FFFFFF"/>
        </w:rPr>
        <w:t xml:space="preserve">–the </w:t>
      </w:r>
      <w:r w:rsidR="008B725A" w:rsidRPr="00F80387">
        <w:rPr>
          <w:rFonts w:cs="Arial"/>
          <w:color w:val="222222"/>
          <w:shd w:val="clear" w:color="auto" w:fill="FFFFFF"/>
        </w:rPr>
        <w:t xml:space="preserve">Ambulance Tasmania Library and Wingfield Library in the south, and </w:t>
      </w:r>
      <w:proofErr w:type="spellStart"/>
      <w:r w:rsidR="008B725A" w:rsidRPr="00F80387">
        <w:rPr>
          <w:rFonts w:cs="Arial"/>
          <w:color w:val="222222"/>
          <w:shd w:val="clear" w:color="auto" w:fill="FFFFFF"/>
        </w:rPr>
        <w:t>Buttfield</w:t>
      </w:r>
      <w:proofErr w:type="spellEnd"/>
      <w:r w:rsidR="008B725A" w:rsidRPr="00F80387">
        <w:rPr>
          <w:rFonts w:cs="Arial"/>
          <w:color w:val="222222"/>
          <w:shd w:val="clear" w:color="auto" w:fill="FFFFFF"/>
        </w:rPr>
        <w:t xml:space="preserve"> Library and Ramsay Library in the north. Further</w:t>
      </w:r>
      <w:r w:rsidR="00C73107">
        <w:rPr>
          <w:rFonts w:cs="Arial"/>
          <w:color w:val="222222"/>
          <w:shd w:val="clear" w:color="auto" w:fill="FFFFFF"/>
        </w:rPr>
        <w:t>,</w:t>
      </w:r>
      <w:r w:rsidR="008B725A" w:rsidRPr="00F80387">
        <w:rPr>
          <w:rFonts w:cs="Arial"/>
          <w:color w:val="222222"/>
          <w:shd w:val="clear" w:color="auto" w:fill="FFFFFF"/>
        </w:rPr>
        <w:t xml:space="preserve"> t</w:t>
      </w:r>
      <w:r w:rsidR="008B725A" w:rsidRPr="00F80387">
        <w:t xml:space="preserve">he Department’s Electronic Portal for Online Clinical Help </w:t>
      </w:r>
      <w:r w:rsidR="008B725A" w:rsidRPr="00F80387">
        <w:rPr>
          <w:color w:val="000000"/>
        </w:rPr>
        <w:t xml:space="preserve">allows users to search electronically for quality health information across multiple or individual resources simply and quickly.  Library Services also periodically compiles and disseminates information on </w:t>
      </w:r>
      <w:r w:rsidR="008B725A" w:rsidRPr="00F80387">
        <w:t xml:space="preserve">academic research and publications authored by DHHS staff via the ‘Who’s in Print’ newsletter. </w:t>
      </w:r>
    </w:p>
    <w:p w:rsidR="003C2F14" w:rsidRPr="00F80387" w:rsidRDefault="003C2F14" w:rsidP="003C2F14">
      <w:r w:rsidRPr="00F80387">
        <w:t xml:space="preserve">The Department produces a range of internal publications, </w:t>
      </w:r>
      <w:r w:rsidR="001C4341">
        <w:t xml:space="preserve">available </w:t>
      </w:r>
      <w:r w:rsidRPr="00F80387">
        <w:t>via email and the intranet, which keep staff informed and up to date on issues important to t</w:t>
      </w:r>
      <w:r w:rsidR="001C4341">
        <w:t>heir workplace such as the DHHS </w:t>
      </w:r>
      <w:r w:rsidRPr="00F80387">
        <w:t>Review.</w:t>
      </w:r>
    </w:p>
    <w:p w:rsidR="00C73107" w:rsidRDefault="003C2F14" w:rsidP="003C2F14">
      <w:pPr>
        <w:sectPr w:rsidR="00C73107" w:rsidSect="00C73107">
          <w:type w:val="continuous"/>
          <w:pgSz w:w="11906" w:h="16838" w:code="9"/>
          <w:pgMar w:top="907" w:right="1134" w:bottom="720" w:left="1134" w:header="709" w:footer="709" w:gutter="0"/>
          <w:cols w:num="2" w:space="708"/>
          <w:docGrid w:linePitch="360"/>
        </w:sectPr>
      </w:pPr>
      <w:r w:rsidRPr="00F80387">
        <w:t>A list of key h</w:t>
      </w:r>
      <w:r w:rsidR="00BB032E" w:rsidRPr="00F80387">
        <w:t>igh level publications for 2014</w:t>
      </w:r>
      <w:r w:rsidR="00BB032E" w:rsidRPr="00F80387">
        <w:noBreakHyphen/>
      </w:r>
      <w:r w:rsidRPr="00F80387">
        <w:t>15 follows.</w:t>
      </w:r>
    </w:p>
    <w:tbl>
      <w:tblPr>
        <w:tblW w:w="9781" w:type="dxa"/>
        <w:tblInd w:w="108" w:type="dxa"/>
        <w:tblBorders>
          <w:top w:val="single" w:sz="2" w:space="0" w:color="808080"/>
          <w:bottom w:val="single" w:sz="2" w:space="0" w:color="808080"/>
          <w:insideH w:val="single" w:sz="2" w:space="0" w:color="808080"/>
        </w:tblBorders>
        <w:tblLayout w:type="fixed"/>
        <w:tblLook w:val="0000" w:firstRow="0" w:lastRow="0" w:firstColumn="0" w:lastColumn="0" w:noHBand="0" w:noVBand="0"/>
      </w:tblPr>
      <w:tblGrid>
        <w:gridCol w:w="8364"/>
        <w:gridCol w:w="1417"/>
      </w:tblGrid>
      <w:tr w:rsidR="008C0B27" w:rsidRPr="00F80387" w:rsidTr="0000577F">
        <w:trPr>
          <w:trHeight w:val="340"/>
        </w:trPr>
        <w:tc>
          <w:tcPr>
            <w:tcW w:w="8364" w:type="dxa"/>
            <w:tcBorders>
              <w:top w:val="nil"/>
              <w:bottom w:val="single" w:sz="4" w:space="0" w:color="808080" w:themeColor="background1" w:themeShade="80"/>
            </w:tcBorders>
            <w:shd w:val="clear" w:color="auto" w:fill="auto"/>
            <w:vAlign w:val="center"/>
          </w:tcPr>
          <w:p w:rsidR="008C0B27" w:rsidRPr="00F80387" w:rsidRDefault="008C0B27" w:rsidP="001C4341">
            <w:pPr>
              <w:pStyle w:val="Heading4"/>
            </w:pPr>
            <w:r w:rsidRPr="00F80387">
              <w:lastRenderedPageBreak/>
              <w:t>Title</w:t>
            </w:r>
          </w:p>
        </w:tc>
        <w:tc>
          <w:tcPr>
            <w:tcW w:w="1417" w:type="dxa"/>
            <w:tcBorders>
              <w:top w:val="nil"/>
              <w:bottom w:val="single" w:sz="4" w:space="0" w:color="808080" w:themeColor="background1" w:themeShade="80"/>
            </w:tcBorders>
            <w:shd w:val="clear" w:color="auto" w:fill="auto"/>
            <w:vAlign w:val="center"/>
          </w:tcPr>
          <w:p w:rsidR="008C0B27" w:rsidRPr="00F80387" w:rsidRDefault="008C0B27" w:rsidP="00F8119A">
            <w:pPr>
              <w:pStyle w:val="Heading4"/>
              <w:jc w:val="right"/>
            </w:pPr>
            <w:r w:rsidRPr="00F80387">
              <w:t>Year</w:t>
            </w:r>
          </w:p>
        </w:tc>
      </w:tr>
      <w:tr w:rsidR="008C0B27" w:rsidRPr="00F80387" w:rsidTr="0000577F">
        <w:trPr>
          <w:trHeight w:val="340"/>
        </w:trPr>
        <w:tc>
          <w:tcPr>
            <w:tcW w:w="8364" w:type="dxa"/>
            <w:tcBorders>
              <w:top w:val="single" w:sz="4" w:space="0" w:color="808080" w:themeColor="background1" w:themeShade="80"/>
            </w:tcBorders>
          </w:tcPr>
          <w:p w:rsidR="008C0B27" w:rsidRPr="00F80387" w:rsidRDefault="008C0B27" w:rsidP="00BB032E">
            <w:pPr>
              <w:pStyle w:val="Table-AnnualReport"/>
              <w:rPr>
                <w:sz w:val="20"/>
                <w:szCs w:val="20"/>
              </w:rPr>
            </w:pPr>
            <w:r w:rsidRPr="00F80387">
              <w:rPr>
                <w:sz w:val="20"/>
                <w:szCs w:val="20"/>
              </w:rPr>
              <w:t xml:space="preserve">Council of Obstetric and Paediatric Mortality </w:t>
            </w:r>
            <w:r w:rsidR="00266CFD" w:rsidRPr="00F80387">
              <w:rPr>
                <w:sz w:val="20"/>
                <w:szCs w:val="20"/>
              </w:rPr>
              <w:t>and Morbidity Annual Report 2014</w:t>
            </w:r>
          </w:p>
        </w:tc>
        <w:tc>
          <w:tcPr>
            <w:tcW w:w="1417" w:type="dxa"/>
            <w:tcBorders>
              <w:top w:val="single" w:sz="4" w:space="0" w:color="808080" w:themeColor="background1" w:themeShade="80"/>
            </w:tcBorders>
            <w:vAlign w:val="center"/>
          </w:tcPr>
          <w:p w:rsidR="008C0B27" w:rsidRPr="00F80387" w:rsidRDefault="00266CFD" w:rsidP="00BB032E">
            <w:pPr>
              <w:pStyle w:val="Table-AnnualReport"/>
              <w:jc w:val="right"/>
              <w:rPr>
                <w:sz w:val="20"/>
                <w:szCs w:val="20"/>
              </w:rPr>
            </w:pPr>
            <w:r w:rsidRPr="00F80387">
              <w:rPr>
                <w:sz w:val="20"/>
                <w:szCs w:val="20"/>
              </w:rPr>
              <w:t>2014</w:t>
            </w:r>
          </w:p>
        </w:tc>
      </w:tr>
      <w:tr w:rsidR="008C0B27" w:rsidRPr="00F80387" w:rsidTr="008C0B27">
        <w:trPr>
          <w:trHeight w:val="340"/>
        </w:trPr>
        <w:tc>
          <w:tcPr>
            <w:tcW w:w="8364" w:type="dxa"/>
            <w:vAlign w:val="center"/>
          </w:tcPr>
          <w:p w:rsidR="008C0B27" w:rsidRPr="00F80387" w:rsidRDefault="00BB032E" w:rsidP="00BB032E">
            <w:pPr>
              <w:pStyle w:val="Table-AnnualReport"/>
              <w:rPr>
                <w:sz w:val="20"/>
                <w:szCs w:val="20"/>
              </w:rPr>
            </w:pPr>
            <w:r w:rsidRPr="00F80387">
              <w:rPr>
                <w:sz w:val="20"/>
                <w:szCs w:val="20"/>
              </w:rPr>
              <w:t>DHHS Annual Report 2013-</w:t>
            </w:r>
            <w:r w:rsidR="008C0B27" w:rsidRPr="00F80387">
              <w:rPr>
                <w:sz w:val="20"/>
                <w:szCs w:val="20"/>
              </w:rPr>
              <w:t>14</w:t>
            </w:r>
          </w:p>
        </w:tc>
        <w:tc>
          <w:tcPr>
            <w:tcW w:w="1417" w:type="dxa"/>
            <w:vAlign w:val="center"/>
          </w:tcPr>
          <w:p w:rsidR="008C0B27" w:rsidRPr="00F80387" w:rsidRDefault="00266CFD" w:rsidP="00BB032E">
            <w:pPr>
              <w:pStyle w:val="Table-AnnualReport"/>
              <w:jc w:val="right"/>
              <w:rPr>
                <w:sz w:val="20"/>
                <w:szCs w:val="20"/>
              </w:rPr>
            </w:pPr>
            <w:r w:rsidRPr="00F80387">
              <w:rPr>
                <w:sz w:val="20"/>
                <w:szCs w:val="20"/>
              </w:rPr>
              <w:t>2014</w:t>
            </w:r>
          </w:p>
        </w:tc>
      </w:tr>
      <w:tr w:rsidR="008C0B27" w:rsidRPr="00F80387" w:rsidTr="008C0B27">
        <w:trPr>
          <w:trHeight w:val="340"/>
        </w:trPr>
        <w:tc>
          <w:tcPr>
            <w:tcW w:w="8364" w:type="dxa"/>
            <w:vAlign w:val="center"/>
          </w:tcPr>
          <w:p w:rsidR="008C0B27" w:rsidRPr="00F80387" w:rsidRDefault="00A6550B" w:rsidP="00BB032E">
            <w:pPr>
              <w:pStyle w:val="Table-AnnualReport"/>
              <w:rPr>
                <w:sz w:val="20"/>
                <w:szCs w:val="20"/>
              </w:rPr>
            </w:pPr>
            <w:r w:rsidRPr="00F80387">
              <w:rPr>
                <w:sz w:val="20"/>
                <w:szCs w:val="20"/>
              </w:rPr>
              <w:t>Joined Up Services Forums – Stakeholder Feedback Report</w:t>
            </w:r>
          </w:p>
        </w:tc>
        <w:tc>
          <w:tcPr>
            <w:tcW w:w="1417" w:type="dxa"/>
            <w:vAlign w:val="center"/>
          </w:tcPr>
          <w:p w:rsidR="008C0B27" w:rsidRPr="00F80387" w:rsidRDefault="00A6550B" w:rsidP="00BB032E">
            <w:pPr>
              <w:pStyle w:val="Table-AnnualReport"/>
              <w:jc w:val="right"/>
              <w:rPr>
                <w:sz w:val="20"/>
                <w:szCs w:val="20"/>
              </w:rPr>
            </w:pPr>
            <w:r w:rsidRPr="00F80387">
              <w:rPr>
                <w:sz w:val="20"/>
                <w:szCs w:val="20"/>
              </w:rPr>
              <w:t>2014</w:t>
            </w:r>
          </w:p>
        </w:tc>
      </w:tr>
      <w:tr w:rsidR="00C73107" w:rsidRPr="00F80387" w:rsidTr="00433B2E">
        <w:trPr>
          <w:trHeight w:val="340"/>
        </w:trPr>
        <w:tc>
          <w:tcPr>
            <w:tcW w:w="9781" w:type="dxa"/>
            <w:gridSpan w:val="2"/>
            <w:vAlign w:val="center"/>
          </w:tcPr>
          <w:p w:rsidR="00C73107" w:rsidRPr="00F80387" w:rsidRDefault="00C73107" w:rsidP="00C73107">
            <w:pPr>
              <w:pStyle w:val="Table-AnnualReport"/>
              <w:rPr>
                <w:sz w:val="20"/>
                <w:szCs w:val="20"/>
              </w:rPr>
            </w:pPr>
            <w:r w:rsidRPr="00F80387">
              <w:rPr>
                <w:sz w:val="20"/>
                <w:szCs w:val="20"/>
                <w:shd w:val="clear" w:color="auto" w:fill="FBFAF7"/>
              </w:rPr>
              <w:t>One State One Health System Better Outcomes - Delivering Safe and Sustainable Clinical Services in Tasmania</w:t>
            </w:r>
          </w:p>
        </w:tc>
      </w:tr>
      <w:tr w:rsidR="009A090D" w:rsidRPr="00F80387" w:rsidTr="008C0B27">
        <w:trPr>
          <w:trHeight w:val="340"/>
        </w:trPr>
        <w:tc>
          <w:tcPr>
            <w:tcW w:w="8364" w:type="dxa"/>
            <w:vAlign w:val="center"/>
          </w:tcPr>
          <w:p w:rsidR="009A090D" w:rsidRPr="00F80387" w:rsidRDefault="00BB032E" w:rsidP="00BB032E">
            <w:pPr>
              <w:pStyle w:val="Table-AnnualReport"/>
              <w:rPr>
                <w:sz w:val="20"/>
                <w:szCs w:val="20"/>
                <w:shd w:val="clear" w:color="auto" w:fill="FBFAF7"/>
              </w:rPr>
            </w:pPr>
            <w:r w:rsidRPr="00F80387">
              <w:rPr>
                <w:sz w:val="20"/>
                <w:szCs w:val="20"/>
                <w:shd w:val="clear" w:color="auto" w:fill="FBFAF7"/>
              </w:rPr>
              <w:tab/>
            </w:r>
            <w:r w:rsidR="009A090D" w:rsidRPr="00F80387">
              <w:rPr>
                <w:sz w:val="20"/>
                <w:szCs w:val="20"/>
                <w:shd w:val="clear" w:color="auto" w:fill="FBFAF7"/>
              </w:rPr>
              <w:t>Rebuilding Tasmania’s Health System Issues Paper</w:t>
            </w:r>
          </w:p>
        </w:tc>
        <w:tc>
          <w:tcPr>
            <w:tcW w:w="1417" w:type="dxa"/>
            <w:vAlign w:val="center"/>
          </w:tcPr>
          <w:p w:rsidR="009A090D" w:rsidRPr="00F80387" w:rsidRDefault="009A090D" w:rsidP="00BB032E">
            <w:pPr>
              <w:pStyle w:val="Table-AnnualReport"/>
              <w:jc w:val="right"/>
              <w:rPr>
                <w:sz w:val="20"/>
                <w:szCs w:val="20"/>
              </w:rPr>
            </w:pPr>
            <w:r w:rsidRPr="00F80387">
              <w:rPr>
                <w:sz w:val="20"/>
                <w:szCs w:val="20"/>
              </w:rPr>
              <w:t>2014</w:t>
            </w:r>
          </w:p>
        </w:tc>
      </w:tr>
      <w:tr w:rsidR="008C0B27" w:rsidRPr="00F80387" w:rsidTr="008C0B27">
        <w:trPr>
          <w:trHeight w:val="340"/>
        </w:trPr>
        <w:tc>
          <w:tcPr>
            <w:tcW w:w="8364" w:type="dxa"/>
            <w:vAlign w:val="center"/>
          </w:tcPr>
          <w:p w:rsidR="008C0B27" w:rsidRPr="00F80387" w:rsidRDefault="00BB032E" w:rsidP="00BB032E">
            <w:pPr>
              <w:pStyle w:val="Table-AnnualReport"/>
              <w:rPr>
                <w:sz w:val="20"/>
                <w:szCs w:val="20"/>
              </w:rPr>
            </w:pPr>
            <w:r w:rsidRPr="00F80387">
              <w:rPr>
                <w:sz w:val="20"/>
                <w:szCs w:val="20"/>
                <w:shd w:val="clear" w:color="auto" w:fill="FBFAF7"/>
              </w:rPr>
              <w:tab/>
            </w:r>
            <w:r w:rsidR="00D20B53" w:rsidRPr="00F80387">
              <w:rPr>
                <w:sz w:val="20"/>
                <w:szCs w:val="20"/>
                <w:shd w:val="clear" w:color="auto" w:fill="FBFAF7"/>
              </w:rPr>
              <w:t xml:space="preserve">Green Paper </w:t>
            </w:r>
          </w:p>
        </w:tc>
        <w:tc>
          <w:tcPr>
            <w:tcW w:w="1417" w:type="dxa"/>
            <w:vAlign w:val="center"/>
          </w:tcPr>
          <w:p w:rsidR="008C0B27" w:rsidRPr="00F80387" w:rsidRDefault="00D20B53" w:rsidP="00BB032E">
            <w:pPr>
              <w:pStyle w:val="Table-AnnualReport"/>
              <w:jc w:val="right"/>
              <w:rPr>
                <w:sz w:val="20"/>
                <w:szCs w:val="20"/>
              </w:rPr>
            </w:pPr>
            <w:r w:rsidRPr="00F80387">
              <w:rPr>
                <w:sz w:val="20"/>
                <w:szCs w:val="20"/>
              </w:rPr>
              <w:t>2014</w:t>
            </w:r>
          </w:p>
        </w:tc>
      </w:tr>
      <w:tr w:rsidR="009A090D" w:rsidRPr="00F80387" w:rsidTr="008C0B27">
        <w:trPr>
          <w:trHeight w:val="340"/>
        </w:trPr>
        <w:tc>
          <w:tcPr>
            <w:tcW w:w="8364" w:type="dxa"/>
            <w:vAlign w:val="center"/>
          </w:tcPr>
          <w:p w:rsidR="009A090D" w:rsidRPr="00F80387" w:rsidRDefault="00BB032E" w:rsidP="00BB032E">
            <w:pPr>
              <w:pStyle w:val="Table-AnnualReport"/>
              <w:rPr>
                <w:sz w:val="20"/>
                <w:szCs w:val="20"/>
              </w:rPr>
            </w:pPr>
            <w:r w:rsidRPr="00F80387">
              <w:rPr>
                <w:sz w:val="20"/>
                <w:szCs w:val="20"/>
              </w:rPr>
              <w:tab/>
            </w:r>
            <w:r w:rsidR="009A090D" w:rsidRPr="00F80387">
              <w:rPr>
                <w:sz w:val="20"/>
                <w:szCs w:val="20"/>
              </w:rPr>
              <w:t xml:space="preserve">Exposure Draft of the White Paper </w:t>
            </w:r>
          </w:p>
        </w:tc>
        <w:tc>
          <w:tcPr>
            <w:tcW w:w="1417" w:type="dxa"/>
            <w:vAlign w:val="center"/>
          </w:tcPr>
          <w:p w:rsidR="009A090D" w:rsidRPr="00F80387" w:rsidRDefault="009A090D" w:rsidP="00BB032E">
            <w:pPr>
              <w:pStyle w:val="Table-AnnualReport"/>
              <w:jc w:val="right"/>
              <w:rPr>
                <w:sz w:val="20"/>
                <w:szCs w:val="20"/>
              </w:rPr>
            </w:pPr>
            <w:r w:rsidRPr="00F80387">
              <w:rPr>
                <w:sz w:val="20"/>
                <w:szCs w:val="20"/>
              </w:rPr>
              <w:t>2015</w:t>
            </w:r>
          </w:p>
        </w:tc>
      </w:tr>
      <w:tr w:rsidR="008C0B27" w:rsidRPr="00F80387" w:rsidTr="008C0B27">
        <w:trPr>
          <w:trHeight w:val="340"/>
        </w:trPr>
        <w:tc>
          <w:tcPr>
            <w:tcW w:w="8364" w:type="dxa"/>
            <w:vAlign w:val="center"/>
          </w:tcPr>
          <w:p w:rsidR="008C0B27" w:rsidRPr="00F80387" w:rsidRDefault="00BB032E" w:rsidP="00BB032E">
            <w:pPr>
              <w:pStyle w:val="Table-AnnualReport"/>
              <w:rPr>
                <w:sz w:val="20"/>
                <w:szCs w:val="20"/>
              </w:rPr>
            </w:pPr>
            <w:r w:rsidRPr="00F80387">
              <w:rPr>
                <w:sz w:val="20"/>
                <w:szCs w:val="20"/>
              </w:rPr>
              <w:tab/>
              <w:t>Patient Transport Services Paper</w:t>
            </w:r>
          </w:p>
        </w:tc>
        <w:tc>
          <w:tcPr>
            <w:tcW w:w="1417" w:type="dxa"/>
            <w:vAlign w:val="center"/>
          </w:tcPr>
          <w:p w:rsidR="008C0B27" w:rsidRPr="00F80387" w:rsidRDefault="00D20B53" w:rsidP="00BB032E">
            <w:pPr>
              <w:pStyle w:val="Table-AnnualReport"/>
              <w:jc w:val="right"/>
              <w:rPr>
                <w:sz w:val="20"/>
                <w:szCs w:val="20"/>
              </w:rPr>
            </w:pPr>
            <w:r w:rsidRPr="00F80387">
              <w:rPr>
                <w:sz w:val="20"/>
                <w:szCs w:val="20"/>
              </w:rPr>
              <w:t>2015</w:t>
            </w:r>
          </w:p>
        </w:tc>
      </w:tr>
      <w:tr w:rsidR="00D20B53" w:rsidRPr="00F80387" w:rsidTr="008C0B27">
        <w:trPr>
          <w:trHeight w:val="340"/>
        </w:trPr>
        <w:tc>
          <w:tcPr>
            <w:tcW w:w="8364" w:type="dxa"/>
            <w:vAlign w:val="center"/>
          </w:tcPr>
          <w:p w:rsidR="00D20B53" w:rsidRPr="00F80387" w:rsidRDefault="00BB032E" w:rsidP="007965E7">
            <w:pPr>
              <w:pStyle w:val="Table-AnnualReport"/>
              <w:rPr>
                <w:sz w:val="20"/>
                <w:szCs w:val="20"/>
              </w:rPr>
            </w:pPr>
            <w:r w:rsidRPr="00F80387">
              <w:rPr>
                <w:sz w:val="20"/>
                <w:szCs w:val="20"/>
              </w:rPr>
              <w:tab/>
            </w:r>
            <w:r w:rsidR="007965E7">
              <w:rPr>
                <w:sz w:val="20"/>
                <w:szCs w:val="20"/>
              </w:rPr>
              <w:t xml:space="preserve">White Paper on </w:t>
            </w:r>
            <w:r w:rsidR="00C73107">
              <w:rPr>
                <w:sz w:val="20"/>
                <w:szCs w:val="20"/>
              </w:rPr>
              <w:t>Delivering Safe an</w:t>
            </w:r>
            <w:r w:rsidR="007965E7">
              <w:rPr>
                <w:sz w:val="20"/>
                <w:szCs w:val="20"/>
              </w:rPr>
              <w:t>d Sustainable Clinical Services</w:t>
            </w:r>
          </w:p>
        </w:tc>
        <w:tc>
          <w:tcPr>
            <w:tcW w:w="1417" w:type="dxa"/>
            <w:vAlign w:val="center"/>
          </w:tcPr>
          <w:p w:rsidR="00D20B53" w:rsidRPr="00F80387" w:rsidRDefault="00D20B53" w:rsidP="00BB032E">
            <w:pPr>
              <w:pStyle w:val="Table-AnnualReport"/>
              <w:jc w:val="right"/>
              <w:rPr>
                <w:sz w:val="20"/>
                <w:szCs w:val="20"/>
              </w:rPr>
            </w:pPr>
            <w:r w:rsidRPr="00F80387">
              <w:rPr>
                <w:sz w:val="20"/>
                <w:szCs w:val="20"/>
              </w:rPr>
              <w:t>2015</w:t>
            </w:r>
          </w:p>
        </w:tc>
      </w:tr>
      <w:tr w:rsidR="008C0B27" w:rsidRPr="00F80387" w:rsidTr="008C0B27">
        <w:trPr>
          <w:trHeight w:val="340"/>
        </w:trPr>
        <w:tc>
          <w:tcPr>
            <w:tcW w:w="8364" w:type="dxa"/>
            <w:vAlign w:val="center"/>
          </w:tcPr>
          <w:p w:rsidR="008C0B27" w:rsidRPr="00F80387" w:rsidRDefault="008C0B27" w:rsidP="00BB032E">
            <w:pPr>
              <w:pStyle w:val="Table-AnnualReport"/>
              <w:rPr>
                <w:sz w:val="20"/>
                <w:szCs w:val="20"/>
              </w:rPr>
            </w:pPr>
            <w:r w:rsidRPr="00F80387">
              <w:rPr>
                <w:sz w:val="20"/>
                <w:szCs w:val="20"/>
              </w:rPr>
              <w:t>S</w:t>
            </w:r>
            <w:r w:rsidR="00D20B53" w:rsidRPr="00F80387">
              <w:rPr>
                <w:sz w:val="20"/>
                <w:szCs w:val="20"/>
              </w:rPr>
              <w:t>ervice Agreement 2014</w:t>
            </w:r>
            <w:r w:rsidRPr="00F80387">
              <w:rPr>
                <w:sz w:val="20"/>
                <w:szCs w:val="20"/>
              </w:rPr>
              <w:t>-1</w:t>
            </w:r>
            <w:r w:rsidR="00D20B53" w:rsidRPr="00F80387">
              <w:rPr>
                <w:sz w:val="20"/>
                <w:szCs w:val="20"/>
              </w:rPr>
              <w:t>5</w:t>
            </w:r>
            <w:r w:rsidRPr="00F80387">
              <w:rPr>
                <w:sz w:val="20"/>
                <w:szCs w:val="20"/>
              </w:rPr>
              <w:t xml:space="preserve"> Tasmanian Health Organisation </w:t>
            </w:r>
            <w:r w:rsidR="00C73107">
              <w:rPr>
                <w:sz w:val="20"/>
                <w:szCs w:val="20"/>
              </w:rPr>
              <w:t>–</w:t>
            </w:r>
            <w:r w:rsidRPr="00F80387">
              <w:rPr>
                <w:sz w:val="20"/>
                <w:szCs w:val="20"/>
              </w:rPr>
              <w:t xml:space="preserve"> North</w:t>
            </w:r>
            <w:r w:rsidR="00C73107">
              <w:rPr>
                <w:sz w:val="20"/>
                <w:szCs w:val="20"/>
              </w:rPr>
              <w:t xml:space="preserve"> </w:t>
            </w:r>
          </w:p>
        </w:tc>
        <w:tc>
          <w:tcPr>
            <w:tcW w:w="1417" w:type="dxa"/>
            <w:vAlign w:val="center"/>
          </w:tcPr>
          <w:p w:rsidR="008C0B27" w:rsidRPr="00F80387" w:rsidRDefault="008C0B27" w:rsidP="00BB032E">
            <w:pPr>
              <w:pStyle w:val="Table-AnnualReport"/>
              <w:jc w:val="right"/>
              <w:rPr>
                <w:sz w:val="20"/>
                <w:szCs w:val="20"/>
              </w:rPr>
            </w:pPr>
            <w:r w:rsidRPr="00F80387">
              <w:rPr>
                <w:sz w:val="20"/>
                <w:szCs w:val="20"/>
              </w:rPr>
              <w:t>201</w:t>
            </w:r>
            <w:r w:rsidR="00CB14E9" w:rsidRPr="00F80387">
              <w:rPr>
                <w:sz w:val="20"/>
                <w:szCs w:val="20"/>
              </w:rPr>
              <w:t>4</w:t>
            </w:r>
            <w:r w:rsidRPr="00F80387">
              <w:rPr>
                <w:sz w:val="20"/>
                <w:szCs w:val="20"/>
              </w:rPr>
              <w:t>-1</w:t>
            </w:r>
            <w:r w:rsidR="00CB14E9" w:rsidRPr="00F80387">
              <w:rPr>
                <w:sz w:val="20"/>
                <w:szCs w:val="20"/>
              </w:rPr>
              <w:t>5</w:t>
            </w:r>
          </w:p>
        </w:tc>
      </w:tr>
      <w:tr w:rsidR="008C0B27" w:rsidRPr="00F80387" w:rsidTr="008C0B27">
        <w:trPr>
          <w:trHeight w:val="340"/>
        </w:trPr>
        <w:tc>
          <w:tcPr>
            <w:tcW w:w="8364" w:type="dxa"/>
            <w:vAlign w:val="center"/>
          </w:tcPr>
          <w:p w:rsidR="008C0B27" w:rsidRPr="00F80387" w:rsidRDefault="008C0B27" w:rsidP="00BB032E">
            <w:pPr>
              <w:pStyle w:val="Table-AnnualReport"/>
              <w:rPr>
                <w:sz w:val="20"/>
                <w:szCs w:val="20"/>
              </w:rPr>
            </w:pPr>
            <w:r w:rsidRPr="00F80387">
              <w:rPr>
                <w:sz w:val="20"/>
                <w:szCs w:val="20"/>
              </w:rPr>
              <w:t>Service Agreement 201</w:t>
            </w:r>
            <w:r w:rsidR="00D20B53" w:rsidRPr="00F80387">
              <w:rPr>
                <w:sz w:val="20"/>
                <w:szCs w:val="20"/>
              </w:rPr>
              <w:t>4</w:t>
            </w:r>
            <w:r w:rsidRPr="00F80387">
              <w:rPr>
                <w:sz w:val="20"/>
                <w:szCs w:val="20"/>
              </w:rPr>
              <w:t>-1</w:t>
            </w:r>
            <w:r w:rsidR="00D20B53" w:rsidRPr="00F80387">
              <w:rPr>
                <w:sz w:val="20"/>
                <w:szCs w:val="20"/>
              </w:rPr>
              <w:t>5</w:t>
            </w:r>
            <w:r w:rsidRPr="00F80387">
              <w:rPr>
                <w:sz w:val="20"/>
                <w:szCs w:val="20"/>
              </w:rPr>
              <w:t xml:space="preserve"> Tasmanian Health Organisation – North West</w:t>
            </w:r>
          </w:p>
        </w:tc>
        <w:tc>
          <w:tcPr>
            <w:tcW w:w="1417" w:type="dxa"/>
            <w:vAlign w:val="center"/>
          </w:tcPr>
          <w:p w:rsidR="008C0B27" w:rsidRPr="00F80387" w:rsidRDefault="00CB14E9" w:rsidP="00BB032E">
            <w:pPr>
              <w:pStyle w:val="Table-AnnualReport"/>
              <w:jc w:val="right"/>
              <w:rPr>
                <w:sz w:val="20"/>
                <w:szCs w:val="20"/>
              </w:rPr>
            </w:pPr>
            <w:r w:rsidRPr="00F80387">
              <w:rPr>
                <w:sz w:val="20"/>
                <w:szCs w:val="20"/>
              </w:rPr>
              <w:t>2014</w:t>
            </w:r>
            <w:r w:rsidR="008C0B27" w:rsidRPr="00F80387">
              <w:rPr>
                <w:sz w:val="20"/>
                <w:szCs w:val="20"/>
              </w:rPr>
              <w:t>-1</w:t>
            </w:r>
            <w:r w:rsidRPr="00F80387">
              <w:rPr>
                <w:sz w:val="20"/>
                <w:szCs w:val="20"/>
              </w:rPr>
              <w:t>5</w:t>
            </w:r>
          </w:p>
        </w:tc>
      </w:tr>
      <w:tr w:rsidR="008C0B27" w:rsidRPr="00F80387" w:rsidTr="008C0B27">
        <w:trPr>
          <w:trHeight w:val="340"/>
        </w:trPr>
        <w:tc>
          <w:tcPr>
            <w:tcW w:w="8364" w:type="dxa"/>
            <w:vAlign w:val="center"/>
          </w:tcPr>
          <w:p w:rsidR="008C0B27" w:rsidRPr="00F80387" w:rsidRDefault="00D20B53" w:rsidP="00BB032E">
            <w:pPr>
              <w:pStyle w:val="Table-AnnualReport"/>
              <w:rPr>
                <w:sz w:val="20"/>
                <w:szCs w:val="20"/>
              </w:rPr>
            </w:pPr>
            <w:r w:rsidRPr="00F80387">
              <w:rPr>
                <w:sz w:val="20"/>
                <w:szCs w:val="20"/>
              </w:rPr>
              <w:t>Service Agreement 2014</w:t>
            </w:r>
            <w:r w:rsidR="008C0B27" w:rsidRPr="00F80387">
              <w:rPr>
                <w:sz w:val="20"/>
                <w:szCs w:val="20"/>
              </w:rPr>
              <w:t>-1</w:t>
            </w:r>
            <w:r w:rsidRPr="00F80387">
              <w:rPr>
                <w:sz w:val="20"/>
                <w:szCs w:val="20"/>
              </w:rPr>
              <w:t>5</w:t>
            </w:r>
            <w:r w:rsidR="008C0B27" w:rsidRPr="00F80387">
              <w:rPr>
                <w:sz w:val="20"/>
                <w:szCs w:val="20"/>
              </w:rPr>
              <w:t xml:space="preserve"> Tasmanian Health Organisation </w:t>
            </w:r>
            <w:r w:rsidR="00C73107">
              <w:rPr>
                <w:sz w:val="20"/>
                <w:szCs w:val="20"/>
              </w:rPr>
              <w:t>–</w:t>
            </w:r>
            <w:r w:rsidR="008C0B27" w:rsidRPr="00F80387">
              <w:rPr>
                <w:sz w:val="20"/>
                <w:szCs w:val="20"/>
              </w:rPr>
              <w:t xml:space="preserve"> South</w:t>
            </w:r>
            <w:r w:rsidR="00C73107">
              <w:rPr>
                <w:sz w:val="20"/>
                <w:szCs w:val="20"/>
              </w:rPr>
              <w:t xml:space="preserve"> </w:t>
            </w:r>
          </w:p>
        </w:tc>
        <w:tc>
          <w:tcPr>
            <w:tcW w:w="1417" w:type="dxa"/>
            <w:vAlign w:val="center"/>
          </w:tcPr>
          <w:p w:rsidR="008C0B27" w:rsidRPr="00F80387" w:rsidRDefault="00CB14E9" w:rsidP="00BB032E">
            <w:pPr>
              <w:pStyle w:val="Table-AnnualReport"/>
              <w:jc w:val="right"/>
              <w:rPr>
                <w:sz w:val="20"/>
                <w:szCs w:val="20"/>
              </w:rPr>
            </w:pPr>
            <w:r w:rsidRPr="00F80387">
              <w:rPr>
                <w:sz w:val="20"/>
                <w:szCs w:val="20"/>
              </w:rPr>
              <w:t>2014</w:t>
            </w:r>
            <w:r w:rsidR="008C0B27" w:rsidRPr="00F80387">
              <w:rPr>
                <w:sz w:val="20"/>
                <w:szCs w:val="20"/>
              </w:rPr>
              <w:t>-1</w:t>
            </w:r>
            <w:r w:rsidRPr="00F80387">
              <w:rPr>
                <w:sz w:val="20"/>
                <w:szCs w:val="20"/>
              </w:rPr>
              <w:t>5</w:t>
            </w:r>
          </w:p>
        </w:tc>
      </w:tr>
      <w:tr w:rsidR="008C0B27" w:rsidRPr="00F80387" w:rsidTr="008C0B27">
        <w:trPr>
          <w:trHeight w:val="340"/>
        </w:trPr>
        <w:tc>
          <w:tcPr>
            <w:tcW w:w="8364" w:type="dxa"/>
            <w:vAlign w:val="center"/>
          </w:tcPr>
          <w:p w:rsidR="008C0B27" w:rsidRPr="00F80387" w:rsidRDefault="008C0B27" w:rsidP="00BB032E">
            <w:pPr>
              <w:pStyle w:val="Table-AnnualReport"/>
              <w:rPr>
                <w:sz w:val="20"/>
                <w:szCs w:val="20"/>
              </w:rPr>
            </w:pPr>
            <w:r w:rsidRPr="00F80387">
              <w:rPr>
                <w:sz w:val="20"/>
                <w:szCs w:val="20"/>
                <w:lang w:eastAsia="en-AU"/>
              </w:rPr>
              <w:t>Service Agreement Performance Framework</w:t>
            </w:r>
            <w:r w:rsidR="00D20B53" w:rsidRPr="00F80387">
              <w:rPr>
                <w:sz w:val="20"/>
                <w:szCs w:val="20"/>
                <w:lang w:eastAsia="en-AU"/>
              </w:rPr>
              <w:t xml:space="preserve"> 2014-15</w:t>
            </w:r>
          </w:p>
        </w:tc>
        <w:tc>
          <w:tcPr>
            <w:tcW w:w="1417" w:type="dxa"/>
            <w:vAlign w:val="center"/>
          </w:tcPr>
          <w:p w:rsidR="008C0B27" w:rsidRPr="00F80387" w:rsidRDefault="00CB14E9" w:rsidP="00BB032E">
            <w:pPr>
              <w:pStyle w:val="Table-AnnualReport"/>
              <w:jc w:val="right"/>
              <w:rPr>
                <w:sz w:val="20"/>
                <w:szCs w:val="20"/>
              </w:rPr>
            </w:pPr>
            <w:r w:rsidRPr="00F80387">
              <w:rPr>
                <w:sz w:val="20"/>
                <w:szCs w:val="20"/>
              </w:rPr>
              <w:t>2014</w:t>
            </w:r>
            <w:r w:rsidR="008C0B27" w:rsidRPr="00F80387">
              <w:rPr>
                <w:sz w:val="20"/>
                <w:szCs w:val="20"/>
              </w:rPr>
              <w:t>-1</w:t>
            </w:r>
            <w:r w:rsidRPr="00F80387">
              <w:rPr>
                <w:sz w:val="20"/>
                <w:szCs w:val="20"/>
              </w:rPr>
              <w:t>5</w:t>
            </w:r>
          </w:p>
        </w:tc>
      </w:tr>
      <w:tr w:rsidR="008C0B27" w:rsidRPr="00F80387" w:rsidTr="008C0B27">
        <w:trPr>
          <w:trHeight w:val="340"/>
        </w:trPr>
        <w:tc>
          <w:tcPr>
            <w:tcW w:w="8364" w:type="dxa"/>
            <w:vAlign w:val="center"/>
          </w:tcPr>
          <w:p w:rsidR="008C0B27" w:rsidRPr="00F80387" w:rsidRDefault="008C0B27" w:rsidP="00BB032E">
            <w:pPr>
              <w:pStyle w:val="Table-AnnualReport"/>
              <w:rPr>
                <w:sz w:val="20"/>
                <w:szCs w:val="20"/>
              </w:rPr>
            </w:pPr>
            <w:r w:rsidRPr="00F80387">
              <w:rPr>
                <w:sz w:val="20"/>
                <w:szCs w:val="20"/>
              </w:rPr>
              <w:t>Rethink Mental Health Tasmania – Discussion Paper, and subsequent Review Report – Stakeholder Feedback</w:t>
            </w:r>
          </w:p>
        </w:tc>
        <w:tc>
          <w:tcPr>
            <w:tcW w:w="1417" w:type="dxa"/>
            <w:vAlign w:val="center"/>
          </w:tcPr>
          <w:p w:rsidR="008C0B27" w:rsidRPr="00F80387" w:rsidRDefault="008C0B27" w:rsidP="00BB032E">
            <w:pPr>
              <w:pStyle w:val="Table-AnnualReport"/>
              <w:jc w:val="right"/>
              <w:rPr>
                <w:sz w:val="20"/>
                <w:szCs w:val="20"/>
              </w:rPr>
            </w:pPr>
            <w:r w:rsidRPr="00F80387">
              <w:rPr>
                <w:sz w:val="20"/>
                <w:szCs w:val="20"/>
              </w:rPr>
              <w:t>2014 and 2015</w:t>
            </w:r>
          </w:p>
        </w:tc>
      </w:tr>
      <w:tr w:rsidR="008C0B27" w:rsidRPr="00484EB1" w:rsidTr="008C0B27">
        <w:trPr>
          <w:trHeight w:val="340"/>
        </w:trPr>
        <w:tc>
          <w:tcPr>
            <w:tcW w:w="8364" w:type="dxa"/>
            <w:vAlign w:val="center"/>
          </w:tcPr>
          <w:p w:rsidR="00CA04BF" w:rsidRPr="00484EB1" w:rsidRDefault="008C0B27" w:rsidP="00484EB1">
            <w:pPr>
              <w:pStyle w:val="Table-AnnualReport"/>
              <w:spacing w:before="60" w:line="240" w:lineRule="auto"/>
              <w:rPr>
                <w:sz w:val="20"/>
                <w:szCs w:val="20"/>
                <w:vertAlign w:val="superscript"/>
              </w:rPr>
            </w:pPr>
            <w:r w:rsidRPr="00484EB1">
              <w:rPr>
                <w:sz w:val="20"/>
                <w:szCs w:val="20"/>
              </w:rPr>
              <w:t>Your Health and Human Services: Progress Chart (September, December 2014</w:t>
            </w:r>
            <w:r w:rsidR="00CA04BF" w:rsidRPr="00484EB1">
              <w:rPr>
                <w:sz w:val="20"/>
                <w:szCs w:val="20"/>
              </w:rPr>
              <w:t>)</w:t>
            </w:r>
            <w:r w:rsidR="00CA04BF" w:rsidRPr="00484EB1">
              <w:rPr>
                <w:sz w:val="20"/>
                <w:szCs w:val="20"/>
                <w:vertAlign w:val="superscript"/>
              </w:rPr>
              <w:t>1</w:t>
            </w:r>
          </w:p>
        </w:tc>
        <w:tc>
          <w:tcPr>
            <w:tcW w:w="1417" w:type="dxa"/>
            <w:vAlign w:val="center"/>
          </w:tcPr>
          <w:p w:rsidR="00CA04BF" w:rsidRPr="00484EB1" w:rsidRDefault="008C0B27" w:rsidP="00484EB1">
            <w:pPr>
              <w:pStyle w:val="Table-AnnualReport"/>
              <w:spacing w:before="60" w:line="240" w:lineRule="auto"/>
              <w:jc w:val="right"/>
              <w:rPr>
                <w:sz w:val="20"/>
                <w:szCs w:val="20"/>
              </w:rPr>
            </w:pPr>
            <w:r w:rsidRPr="00484EB1">
              <w:rPr>
                <w:sz w:val="20"/>
                <w:szCs w:val="20"/>
              </w:rPr>
              <w:t>2014-15</w:t>
            </w:r>
          </w:p>
        </w:tc>
      </w:tr>
      <w:tr w:rsidR="00484EB1" w:rsidRPr="00484EB1" w:rsidTr="008C0B27">
        <w:trPr>
          <w:trHeight w:val="340"/>
        </w:trPr>
        <w:tc>
          <w:tcPr>
            <w:tcW w:w="8364" w:type="dxa"/>
            <w:vAlign w:val="center"/>
          </w:tcPr>
          <w:p w:rsidR="00484EB1" w:rsidRPr="00484EB1" w:rsidRDefault="00484EB1" w:rsidP="00484EB1">
            <w:pPr>
              <w:pStyle w:val="Table-AnnualReport"/>
              <w:spacing w:before="60" w:line="240" w:lineRule="auto"/>
              <w:ind w:left="601"/>
              <w:rPr>
                <w:sz w:val="20"/>
                <w:szCs w:val="20"/>
              </w:rPr>
            </w:pPr>
            <w:r w:rsidRPr="00484EB1">
              <w:rPr>
                <w:sz w:val="20"/>
                <w:szCs w:val="20"/>
              </w:rPr>
              <w:t>Your Health Progress Chart – March, June 2015</w:t>
            </w:r>
          </w:p>
        </w:tc>
        <w:tc>
          <w:tcPr>
            <w:tcW w:w="1417" w:type="dxa"/>
            <w:vAlign w:val="center"/>
          </w:tcPr>
          <w:p w:rsidR="00484EB1" w:rsidRPr="00484EB1" w:rsidRDefault="00484EB1" w:rsidP="00484EB1">
            <w:pPr>
              <w:pStyle w:val="Table-AnnualReport"/>
              <w:spacing w:before="60" w:line="240" w:lineRule="auto"/>
              <w:jc w:val="right"/>
              <w:rPr>
                <w:sz w:val="20"/>
                <w:szCs w:val="20"/>
              </w:rPr>
            </w:pPr>
            <w:r w:rsidRPr="00484EB1">
              <w:rPr>
                <w:sz w:val="20"/>
                <w:szCs w:val="20"/>
              </w:rPr>
              <w:t>2015</w:t>
            </w:r>
          </w:p>
        </w:tc>
      </w:tr>
      <w:tr w:rsidR="00484EB1" w:rsidRPr="00484EB1" w:rsidTr="008C0B27">
        <w:trPr>
          <w:trHeight w:val="340"/>
        </w:trPr>
        <w:tc>
          <w:tcPr>
            <w:tcW w:w="8364" w:type="dxa"/>
            <w:vAlign w:val="center"/>
          </w:tcPr>
          <w:p w:rsidR="00484EB1" w:rsidRPr="00484EB1" w:rsidRDefault="00484EB1" w:rsidP="00484EB1">
            <w:pPr>
              <w:pStyle w:val="Table-AnnualReport"/>
              <w:spacing w:before="60" w:line="240" w:lineRule="auto"/>
              <w:ind w:left="601"/>
              <w:rPr>
                <w:sz w:val="20"/>
                <w:szCs w:val="20"/>
              </w:rPr>
            </w:pPr>
            <w:r w:rsidRPr="00484EB1">
              <w:rPr>
                <w:sz w:val="20"/>
                <w:szCs w:val="20"/>
              </w:rPr>
              <w:t>Your Human Services Progress Chart – March, June 2015</w:t>
            </w:r>
          </w:p>
        </w:tc>
        <w:tc>
          <w:tcPr>
            <w:tcW w:w="1417" w:type="dxa"/>
            <w:vAlign w:val="center"/>
          </w:tcPr>
          <w:p w:rsidR="00484EB1" w:rsidRPr="00484EB1" w:rsidRDefault="00484EB1" w:rsidP="009160CB">
            <w:pPr>
              <w:pStyle w:val="Table-AnnualReport"/>
              <w:spacing w:before="60" w:line="240" w:lineRule="auto"/>
              <w:jc w:val="right"/>
              <w:rPr>
                <w:sz w:val="20"/>
                <w:szCs w:val="20"/>
              </w:rPr>
            </w:pPr>
            <w:r w:rsidRPr="00484EB1">
              <w:rPr>
                <w:sz w:val="20"/>
                <w:szCs w:val="20"/>
              </w:rPr>
              <w:t>2015</w:t>
            </w:r>
          </w:p>
        </w:tc>
      </w:tr>
    </w:tbl>
    <w:p w:rsidR="008C0B27" w:rsidRPr="00CA04BF" w:rsidRDefault="009337D6" w:rsidP="008C0B27">
      <w:pPr>
        <w:rPr>
          <w:sz w:val="18"/>
          <w:szCs w:val="18"/>
        </w:rPr>
      </w:pPr>
      <w:r>
        <w:rPr>
          <w:sz w:val="18"/>
          <w:szCs w:val="18"/>
        </w:rPr>
        <w:t>Note</w:t>
      </w:r>
      <w:proofErr w:type="gramStart"/>
      <w:r w:rsidR="00CA04BF" w:rsidRPr="00CA04BF">
        <w:rPr>
          <w:sz w:val="18"/>
          <w:szCs w:val="18"/>
        </w:rPr>
        <w:t>:</w:t>
      </w:r>
      <w:proofErr w:type="gramEnd"/>
      <w:r w:rsidR="00CA04BF" w:rsidRPr="00CA04BF">
        <w:rPr>
          <w:sz w:val="18"/>
          <w:szCs w:val="18"/>
        </w:rPr>
        <w:br/>
        <w:t xml:space="preserve">1 </w:t>
      </w:r>
      <w:r w:rsidR="00CA04BF">
        <w:rPr>
          <w:sz w:val="18"/>
          <w:szCs w:val="18"/>
        </w:rPr>
        <w:tab/>
      </w:r>
      <w:r w:rsidR="00484EB1">
        <w:rPr>
          <w:sz w:val="18"/>
          <w:szCs w:val="18"/>
        </w:rPr>
        <w:t>T</w:t>
      </w:r>
      <w:r w:rsidR="00CA04BF">
        <w:rPr>
          <w:sz w:val="18"/>
          <w:szCs w:val="18"/>
        </w:rPr>
        <w:t>he Your Health and Human Services Progress Chart was split into its two distinct portfolios in March 2015.</w:t>
      </w:r>
    </w:p>
    <w:p w:rsidR="00C73107" w:rsidRDefault="00C73107" w:rsidP="0041611F">
      <w:pPr>
        <w:sectPr w:rsidR="00C73107" w:rsidSect="00C73107">
          <w:type w:val="continuous"/>
          <w:pgSz w:w="11906" w:h="16838" w:code="9"/>
          <w:pgMar w:top="907" w:right="1134" w:bottom="720" w:left="1134" w:header="709" w:footer="709" w:gutter="0"/>
          <w:cols w:space="708"/>
          <w:docGrid w:linePitch="360"/>
        </w:sectPr>
      </w:pPr>
    </w:p>
    <w:p w:rsidR="0041611F" w:rsidRPr="00AC141D" w:rsidRDefault="0041611F" w:rsidP="00AC141D">
      <w:pPr>
        <w:pStyle w:val="Heading1"/>
      </w:pPr>
      <w:bookmarkStart w:id="271" w:name="_Toc432517299"/>
      <w:r w:rsidRPr="00AC141D">
        <w:lastRenderedPageBreak/>
        <w:t>Disability Framework for Action</w:t>
      </w:r>
      <w:bookmarkEnd w:id="271"/>
    </w:p>
    <w:p w:rsidR="00AC15A0" w:rsidRPr="00F80387" w:rsidRDefault="00AC15A0" w:rsidP="00AC15A0">
      <w:pPr>
        <w:sectPr w:rsidR="00AC15A0" w:rsidRPr="00F80387" w:rsidSect="00BD1A43">
          <w:pgSz w:w="11906" w:h="16838" w:code="9"/>
          <w:pgMar w:top="907" w:right="1134" w:bottom="720" w:left="1134" w:header="709" w:footer="709" w:gutter="0"/>
          <w:cols w:space="708"/>
          <w:docGrid w:linePitch="360"/>
        </w:sectPr>
      </w:pPr>
    </w:p>
    <w:p w:rsidR="00AC15A0" w:rsidRPr="00F80387" w:rsidRDefault="00AC15A0" w:rsidP="00AC15A0">
      <w:r w:rsidRPr="00F80387">
        <w:lastRenderedPageBreak/>
        <w:t>Tasmania’s approach to the</w:t>
      </w:r>
      <w:r w:rsidRPr="00F80387">
        <w:rPr>
          <w:i/>
        </w:rPr>
        <w:t xml:space="preserve"> National Disability Strategy 2010-202</w:t>
      </w:r>
      <w:r w:rsidR="00857F4E">
        <w:rPr>
          <w:i/>
        </w:rPr>
        <w:t>0</w:t>
      </w:r>
      <w:r w:rsidRPr="00F80387">
        <w:rPr>
          <w:i/>
        </w:rPr>
        <w:t xml:space="preserve"> </w:t>
      </w:r>
      <w:r w:rsidRPr="00F80387">
        <w:t xml:space="preserve">has been to develop and implement a framework which aims to embed the rights of people living with disability into the structures and processes of all State Government agencies. This framework is known as the </w:t>
      </w:r>
      <w:r w:rsidR="00BE509B">
        <w:rPr>
          <w:i/>
        </w:rPr>
        <w:t>Disability </w:t>
      </w:r>
      <w:r w:rsidRPr="00F80387">
        <w:rPr>
          <w:i/>
        </w:rPr>
        <w:t>Framework for Action 2013–2017</w:t>
      </w:r>
      <w:r w:rsidRPr="00F80387">
        <w:t>.</w:t>
      </w:r>
    </w:p>
    <w:p w:rsidR="00AC15A0" w:rsidRPr="00F80387" w:rsidRDefault="00AC15A0" w:rsidP="00AC15A0">
      <w:r w:rsidRPr="00F80387">
        <w:t xml:space="preserve">In accordance with the </w:t>
      </w:r>
      <w:r w:rsidRPr="00F80387">
        <w:rPr>
          <w:i/>
        </w:rPr>
        <w:t>Disability Framework for Action 2013–</w:t>
      </w:r>
      <w:r w:rsidRPr="00F80387">
        <w:t xml:space="preserve">2017, the Department and </w:t>
      </w:r>
      <w:r w:rsidR="009160CB">
        <w:t>THOs</w:t>
      </w:r>
      <w:r w:rsidRPr="00F80387">
        <w:t xml:space="preserve"> developed the </w:t>
      </w:r>
      <w:r w:rsidRPr="00F80387">
        <w:rPr>
          <w:i/>
        </w:rPr>
        <w:t>Disability Action Plan 2013</w:t>
      </w:r>
      <w:r w:rsidRPr="00F80387">
        <w:rPr>
          <w:i/>
        </w:rPr>
        <w:noBreakHyphen/>
        <w:t>2017</w:t>
      </w:r>
      <w:r w:rsidRPr="00F80387">
        <w:t xml:space="preserve">.  The Plan outlines initiatives which will help improve the lives of Tasmanians living with disability. </w:t>
      </w:r>
    </w:p>
    <w:p w:rsidR="00AC15A0" w:rsidRPr="00F80387" w:rsidRDefault="00AC15A0" w:rsidP="00AC15A0">
      <w:r w:rsidRPr="00F80387">
        <w:t>In 2013-14</w:t>
      </w:r>
      <w:r w:rsidR="00BE509B">
        <w:t>,</w:t>
      </w:r>
      <w:r w:rsidRPr="00F80387">
        <w:t xml:space="preserve"> all actions identified for completion during the reporting period were accomplished.  In 2014-15</w:t>
      </w:r>
      <w:r w:rsidR="00BE509B">
        <w:t>,</w:t>
      </w:r>
      <w:r w:rsidRPr="00F80387">
        <w:t xml:space="preserve"> further progress has been made with almost all actions either completed or underway.</w:t>
      </w:r>
    </w:p>
    <w:p w:rsidR="00AC15A0" w:rsidRPr="00F80387" w:rsidRDefault="00AC15A0" w:rsidP="00AC15A0">
      <w:r w:rsidRPr="00F80387">
        <w:br w:type="column"/>
      </w:r>
      <w:r w:rsidRPr="00F80387">
        <w:lastRenderedPageBreak/>
        <w:t>Key achievements over the last 12 months include:</w:t>
      </w:r>
    </w:p>
    <w:p w:rsidR="00AC15A0" w:rsidRPr="00F80387" w:rsidRDefault="00AC15A0" w:rsidP="00AC15A0">
      <w:pPr>
        <w:numPr>
          <w:ilvl w:val="0"/>
          <w:numId w:val="7"/>
        </w:numPr>
        <w:ind w:left="567" w:hanging="567"/>
      </w:pPr>
      <w:r w:rsidRPr="00F80387">
        <w:t>reaching over the agreed target rate of participants entering the National Disability Insurance Scheme (NDIS)</w:t>
      </w:r>
    </w:p>
    <w:p w:rsidR="00AC15A0" w:rsidRPr="00F80387" w:rsidRDefault="00AC15A0" w:rsidP="00AC15A0">
      <w:pPr>
        <w:numPr>
          <w:ilvl w:val="0"/>
          <w:numId w:val="7"/>
        </w:numPr>
        <w:ind w:left="567" w:hanging="567"/>
      </w:pPr>
      <w:r w:rsidRPr="00F80387">
        <w:t>addressing accessibility issues by prioritising committed funds to improve access to buildings and spaces, and</w:t>
      </w:r>
    </w:p>
    <w:p w:rsidR="00AC15A0" w:rsidRPr="00F80387" w:rsidRDefault="00AC15A0" w:rsidP="00AC15A0">
      <w:pPr>
        <w:numPr>
          <w:ilvl w:val="0"/>
          <w:numId w:val="7"/>
        </w:numPr>
        <w:ind w:left="567" w:hanging="567"/>
      </w:pPr>
      <w:proofErr w:type="gramStart"/>
      <w:r w:rsidRPr="00F80387">
        <w:t>developing</w:t>
      </w:r>
      <w:proofErr w:type="gramEnd"/>
      <w:r w:rsidRPr="00F80387">
        <w:t xml:space="preserve"> a DVD as an employee training resource for healthcare professionals to improve the quality</w:t>
      </w:r>
      <w:r w:rsidR="001F0FE5" w:rsidRPr="00F80387">
        <w:t xml:space="preserve"> </w:t>
      </w:r>
      <w:r w:rsidR="00295394">
        <w:t xml:space="preserve">of </w:t>
      </w:r>
      <w:r w:rsidRPr="00F80387">
        <w:t>care people living with disability receive</w:t>
      </w:r>
      <w:r w:rsidR="00295394">
        <w:t>.</w:t>
      </w:r>
      <w:r w:rsidRPr="00F80387">
        <w:t xml:space="preserve"> </w:t>
      </w:r>
    </w:p>
    <w:p w:rsidR="00AC15A0" w:rsidRPr="00F80387" w:rsidRDefault="00AC15A0" w:rsidP="00AC15A0">
      <w:r w:rsidRPr="00F80387">
        <w:t xml:space="preserve">The </w:t>
      </w:r>
      <w:r w:rsidR="009160CB">
        <w:t xml:space="preserve">DHHS and </w:t>
      </w:r>
      <w:r w:rsidRPr="00F80387">
        <w:t xml:space="preserve">the </w:t>
      </w:r>
      <w:r w:rsidR="009160CB">
        <w:t xml:space="preserve">THS </w:t>
      </w:r>
      <w:r w:rsidRPr="00F80387">
        <w:t xml:space="preserve">will continue to work together over the </w:t>
      </w:r>
      <w:r w:rsidR="001F0FE5" w:rsidRPr="00F80387">
        <w:t>coming</w:t>
      </w:r>
      <w:r w:rsidRPr="00F80387">
        <w:t xml:space="preserve">12 months to ensure the Actions set out in the </w:t>
      </w:r>
      <w:r w:rsidR="009160CB">
        <w:rPr>
          <w:i/>
        </w:rPr>
        <w:t>Disability Action Plan 2013</w:t>
      </w:r>
      <w:r w:rsidR="009160CB">
        <w:rPr>
          <w:i/>
        </w:rPr>
        <w:noBreakHyphen/>
      </w:r>
      <w:r w:rsidRPr="00BE509B">
        <w:rPr>
          <w:i/>
        </w:rPr>
        <w:t>2017</w:t>
      </w:r>
      <w:r w:rsidRPr="00F80387">
        <w:t xml:space="preserve"> </w:t>
      </w:r>
      <w:r w:rsidR="001F0FE5" w:rsidRPr="00F80387">
        <w:t xml:space="preserve">are </w:t>
      </w:r>
      <w:r w:rsidRPr="00F80387">
        <w:t>met.</w:t>
      </w:r>
    </w:p>
    <w:p w:rsidR="00AC15A0" w:rsidRPr="00F80387" w:rsidRDefault="00AC15A0" w:rsidP="00AC15A0">
      <w:pPr>
        <w:sectPr w:rsidR="00AC15A0" w:rsidRPr="00F80387" w:rsidSect="00AC15A0">
          <w:type w:val="continuous"/>
          <w:pgSz w:w="11906" w:h="16838" w:code="9"/>
          <w:pgMar w:top="907" w:right="1134" w:bottom="720" w:left="1134" w:header="709" w:footer="709" w:gutter="0"/>
          <w:cols w:num="2" w:space="708"/>
          <w:docGrid w:linePitch="360"/>
        </w:sectPr>
      </w:pPr>
    </w:p>
    <w:p w:rsidR="0041611F" w:rsidRPr="0088467F" w:rsidRDefault="00BD1A43" w:rsidP="0088467F">
      <w:pPr>
        <w:pStyle w:val="Heading1"/>
      </w:pPr>
      <w:bookmarkStart w:id="272" w:name="_Toc432517300"/>
      <w:r w:rsidRPr="0088467F">
        <w:lastRenderedPageBreak/>
        <w:t>DHHS in 2014-15</w:t>
      </w:r>
      <w:bookmarkEnd w:id="272"/>
    </w:p>
    <w:p w:rsidR="001F0FE5" w:rsidRPr="00F80387" w:rsidRDefault="001F0FE5" w:rsidP="00BD1A43">
      <w:pPr>
        <w:sectPr w:rsidR="001F0FE5" w:rsidRPr="00F80387" w:rsidSect="00BD1A43">
          <w:pgSz w:w="11906" w:h="16838" w:code="9"/>
          <w:pgMar w:top="907" w:right="1134" w:bottom="720" w:left="1134" w:header="709" w:footer="709" w:gutter="0"/>
          <w:cols w:space="708"/>
          <w:docGrid w:linePitch="360"/>
        </w:sectPr>
      </w:pPr>
    </w:p>
    <w:p w:rsidR="00BE509B" w:rsidRDefault="001F0FE5" w:rsidP="00BD1A43">
      <w:r w:rsidRPr="00F80387">
        <w:lastRenderedPageBreak/>
        <w:t xml:space="preserve">The Department is </w:t>
      </w:r>
      <w:r w:rsidR="00857F4E">
        <w:t xml:space="preserve">tasked </w:t>
      </w:r>
      <w:r w:rsidRPr="00F80387">
        <w:t xml:space="preserve">with the vital responsibility of ensuring services that maintain and enhance the health and wellbeing of all Tasmanians </w:t>
      </w:r>
      <w:proofErr w:type="gramStart"/>
      <w:r w:rsidRPr="00F80387">
        <w:t>are</w:t>
      </w:r>
      <w:proofErr w:type="gramEnd"/>
      <w:r w:rsidRPr="00F80387">
        <w:t xml:space="preserve"> delivered in a quality and consistent manner across the State. </w:t>
      </w:r>
    </w:p>
    <w:p w:rsidR="00BD1A43" w:rsidRPr="00F80387" w:rsidRDefault="001F0FE5" w:rsidP="00BD1A43">
      <w:r w:rsidRPr="00F80387">
        <w:lastRenderedPageBreak/>
        <w:t>All our staff</w:t>
      </w:r>
      <w:r w:rsidR="009160CB">
        <w:t xml:space="preserve"> </w:t>
      </w:r>
      <w:proofErr w:type="gramStart"/>
      <w:r w:rsidRPr="00F80387">
        <w:t>continue</w:t>
      </w:r>
      <w:proofErr w:type="gramEnd"/>
      <w:r w:rsidRPr="00F80387">
        <w:t xml:space="preserve"> to strive for excellence in these obligations.</w:t>
      </w:r>
    </w:p>
    <w:p w:rsidR="001F0FE5" w:rsidRPr="00F80387" w:rsidRDefault="001F0FE5" w:rsidP="00BD1A43">
      <w:pPr>
        <w:sectPr w:rsidR="001F0FE5" w:rsidRPr="00F80387" w:rsidSect="001F0FE5">
          <w:type w:val="continuous"/>
          <w:pgSz w:w="11906" w:h="16838" w:code="9"/>
          <w:pgMar w:top="907" w:right="1134" w:bottom="720" w:left="1134" w:header="709" w:footer="709" w:gutter="0"/>
          <w:cols w:num="2" w:space="708"/>
          <w:docGrid w:linePitch="360"/>
        </w:sectPr>
      </w:pPr>
    </w:p>
    <w:p w:rsidR="00BD1A43" w:rsidRPr="0088467F" w:rsidRDefault="00BD1A43" w:rsidP="0088467F">
      <w:pPr>
        <w:pStyle w:val="Heading2"/>
      </w:pPr>
      <w:r w:rsidRPr="0088467F">
        <w:lastRenderedPageBreak/>
        <w:t>Ambulance Tasmania</w:t>
      </w:r>
    </w:p>
    <w:tbl>
      <w:tblPr>
        <w:tblW w:w="9674" w:type="dxa"/>
        <w:tblInd w:w="108" w:type="dxa"/>
        <w:tblBorders>
          <w:top w:val="single" w:sz="2" w:space="0" w:color="A6A6A6"/>
          <w:bottom w:val="single" w:sz="2" w:space="0" w:color="A6A6A6"/>
          <w:insideH w:val="single" w:sz="2" w:space="0" w:color="A6A6A6"/>
        </w:tblBorders>
        <w:tblLook w:val="04A0" w:firstRow="1" w:lastRow="0" w:firstColumn="1" w:lastColumn="0" w:noHBand="0" w:noVBand="1"/>
      </w:tblPr>
      <w:tblGrid>
        <w:gridCol w:w="3402"/>
        <w:gridCol w:w="1701"/>
        <w:gridCol w:w="1134"/>
        <w:gridCol w:w="1134"/>
        <w:gridCol w:w="1134"/>
        <w:gridCol w:w="1169"/>
      </w:tblGrid>
      <w:tr w:rsidR="00BD1A43" w:rsidRPr="000F4E38" w:rsidTr="00277671">
        <w:tc>
          <w:tcPr>
            <w:tcW w:w="3402" w:type="dxa"/>
            <w:vAlign w:val="center"/>
          </w:tcPr>
          <w:p w:rsidR="00BD1A43" w:rsidRPr="000F4E38" w:rsidRDefault="00BD1A43" w:rsidP="00277671">
            <w:pPr>
              <w:spacing w:before="60" w:after="60" w:line="240" w:lineRule="auto"/>
              <w:rPr>
                <w:b/>
                <w:sz w:val="18"/>
                <w:szCs w:val="18"/>
              </w:rPr>
            </w:pPr>
            <w:r w:rsidRPr="000F4E38">
              <w:rPr>
                <w:b/>
                <w:sz w:val="18"/>
                <w:szCs w:val="18"/>
              </w:rPr>
              <w:t>Performance Measure</w:t>
            </w:r>
          </w:p>
        </w:tc>
        <w:tc>
          <w:tcPr>
            <w:tcW w:w="1701" w:type="dxa"/>
          </w:tcPr>
          <w:p w:rsidR="00BD1A43" w:rsidRPr="000F4E38" w:rsidRDefault="00BD1A43" w:rsidP="00277671">
            <w:pPr>
              <w:spacing w:before="60" w:after="60" w:line="240" w:lineRule="auto"/>
              <w:jc w:val="right"/>
              <w:rPr>
                <w:b/>
                <w:sz w:val="18"/>
                <w:szCs w:val="18"/>
              </w:rPr>
            </w:pPr>
            <w:r w:rsidRPr="000F4E38">
              <w:rPr>
                <w:b/>
                <w:sz w:val="18"/>
                <w:szCs w:val="18"/>
              </w:rPr>
              <w:t>Unit of Measure</w:t>
            </w:r>
          </w:p>
        </w:tc>
        <w:tc>
          <w:tcPr>
            <w:tcW w:w="1134" w:type="dxa"/>
          </w:tcPr>
          <w:p w:rsidR="00BD1A43" w:rsidRPr="000F4E38" w:rsidRDefault="00BD1A43" w:rsidP="00277671">
            <w:pPr>
              <w:tabs>
                <w:tab w:val="clear" w:pos="567"/>
              </w:tabs>
              <w:spacing w:before="60" w:after="60" w:line="240" w:lineRule="auto"/>
              <w:jc w:val="right"/>
              <w:rPr>
                <w:b/>
                <w:sz w:val="18"/>
                <w:szCs w:val="18"/>
              </w:rPr>
            </w:pPr>
            <w:r w:rsidRPr="000F4E38">
              <w:rPr>
                <w:b/>
                <w:sz w:val="18"/>
                <w:szCs w:val="18"/>
              </w:rPr>
              <w:t xml:space="preserve">2011-12 </w:t>
            </w:r>
            <w:r w:rsidRPr="000F4E38">
              <w:rPr>
                <w:b/>
                <w:sz w:val="18"/>
                <w:szCs w:val="18"/>
              </w:rPr>
              <w:br/>
              <w:t>Actual</w:t>
            </w:r>
          </w:p>
        </w:tc>
        <w:tc>
          <w:tcPr>
            <w:tcW w:w="1134" w:type="dxa"/>
          </w:tcPr>
          <w:p w:rsidR="00BD1A43" w:rsidRPr="000F4E38" w:rsidRDefault="00BD1A43" w:rsidP="00277671">
            <w:pPr>
              <w:spacing w:before="60" w:after="60" w:line="240" w:lineRule="auto"/>
              <w:jc w:val="right"/>
              <w:rPr>
                <w:b/>
                <w:sz w:val="18"/>
                <w:szCs w:val="18"/>
              </w:rPr>
            </w:pPr>
            <w:r w:rsidRPr="000F4E38">
              <w:rPr>
                <w:b/>
                <w:sz w:val="18"/>
                <w:szCs w:val="18"/>
              </w:rPr>
              <w:t xml:space="preserve">2012-13 </w:t>
            </w:r>
            <w:r w:rsidRPr="000F4E38">
              <w:rPr>
                <w:b/>
                <w:sz w:val="18"/>
                <w:szCs w:val="18"/>
              </w:rPr>
              <w:br/>
              <w:t>Actual</w:t>
            </w:r>
          </w:p>
        </w:tc>
        <w:tc>
          <w:tcPr>
            <w:tcW w:w="1134" w:type="dxa"/>
          </w:tcPr>
          <w:p w:rsidR="00BD1A43" w:rsidRPr="000F4E38" w:rsidRDefault="00BD1A43" w:rsidP="00277671">
            <w:pPr>
              <w:spacing w:before="60" w:after="60" w:line="240" w:lineRule="auto"/>
              <w:jc w:val="right"/>
              <w:rPr>
                <w:b/>
                <w:sz w:val="18"/>
                <w:szCs w:val="18"/>
              </w:rPr>
            </w:pPr>
            <w:r w:rsidRPr="000F4E38">
              <w:rPr>
                <w:b/>
                <w:sz w:val="18"/>
                <w:szCs w:val="18"/>
              </w:rPr>
              <w:t xml:space="preserve">2013-14 </w:t>
            </w:r>
            <w:r w:rsidRPr="000F4E38">
              <w:rPr>
                <w:b/>
                <w:sz w:val="18"/>
                <w:szCs w:val="18"/>
              </w:rPr>
              <w:br/>
              <w:t>Actual</w:t>
            </w:r>
          </w:p>
        </w:tc>
        <w:tc>
          <w:tcPr>
            <w:tcW w:w="1169" w:type="dxa"/>
          </w:tcPr>
          <w:p w:rsidR="00BD1A43" w:rsidRPr="000F4E38" w:rsidRDefault="00BD1A43" w:rsidP="001F0FE5">
            <w:pPr>
              <w:spacing w:before="60" w:after="60" w:line="240" w:lineRule="auto"/>
              <w:jc w:val="right"/>
              <w:rPr>
                <w:b/>
                <w:sz w:val="18"/>
                <w:szCs w:val="18"/>
              </w:rPr>
            </w:pPr>
            <w:r w:rsidRPr="000F4E38">
              <w:rPr>
                <w:b/>
                <w:sz w:val="18"/>
                <w:szCs w:val="18"/>
              </w:rPr>
              <w:t>2014-15</w:t>
            </w:r>
            <w:r w:rsidR="001F0FE5" w:rsidRPr="000F4E38">
              <w:rPr>
                <w:b/>
                <w:sz w:val="18"/>
                <w:szCs w:val="18"/>
              </w:rPr>
              <w:t xml:space="preserve"> </w:t>
            </w:r>
            <w:r w:rsidRPr="000F4E38">
              <w:rPr>
                <w:b/>
                <w:sz w:val="18"/>
                <w:szCs w:val="18"/>
              </w:rPr>
              <w:t>Actual</w:t>
            </w:r>
          </w:p>
        </w:tc>
      </w:tr>
      <w:tr w:rsidR="00BD1A43" w:rsidRPr="00F80387" w:rsidTr="00277671">
        <w:tc>
          <w:tcPr>
            <w:tcW w:w="3402" w:type="dxa"/>
          </w:tcPr>
          <w:p w:rsidR="00BD1A43" w:rsidRPr="00F80387" w:rsidRDefault="00BD1A43" w:rsidP="00964617">
            <w:pPr>
              <w:pStyle w:val="Table-AnnualReport"/>
            </w:pPr>
            <w:r w:rsidRPr="00F80387">
              <w:t>Total Ambulance Responses</w:t>
            </w:r>
            <w:r w:rsidRPr="00F80387">
              <w:rPr>
                <w:vertAlign w:val="superscript"/>
              </w:rPr>
              <w:t>1</w:t>
            </w:r>
          </w:p>
        </w:tc>
        <w:tc>
          <w:tcPr>
            <w:tcW w:w="1701" w:type="dxa"/>
            <w:vAlign w:val="center"/>
          </w:tcPr>
          <w:p w:rsidR="00BD1A43" w:rsidRPr="00F80387" w:rsidRDefault="00BD1A43" w:rsidP="00964617">
            <w:pPr>
              <w:pStyle w:val="Table-AnnualReport"/>
              <w:jc w:val="right"/>
            </w:pPr>
            <w:r w:rsidRPr="00F80387">
              <w:t>Number</w:t>
            </w:r>
          </w:p>
        </w:tc>
        <w:tc>
          <w:tcPr>
            <w:tcW w:w="1134" w:type="dxa"/>
            <w:vAlign w:val="center"/>
          </w:tcPr>
          <w:p w:rsidR="00BD1A43" w:rsidRPr="00F80387" w:rsidRDefault="00BD1A43" w:rsidP="00964617">
            <w:pPr>
              <w:pStyle w:val="Table-AnnualReport"/>
              <w:jc w:val="right"/>
              <w:rPr>
                <w:highlight w:val="yellow"/>
              </w:rPr>
            </w:pPr>
            <w:r w:rsidRPr="00F80387">
              <w:t>71 925</w:t>
            </w:r>
          </w:p>
        </w:tc>
        <w:tc>
          <w:tcPr>
            <w:tcW w:w="1134" w:type="dxa"/>
            <w:vAlign w:val="center"/>
          </w:tcPr>
          <w:p w:rsidR="00BD1A43" w:rsidRPr="00F80387" w:rsidRDefault="00BD1A43" w:rsidP="00964617">
            <w:pPr>
              <w:pStyle w:val="Table-AnnualReport"/>
              <w:jc w:val="right"/>
            </w:pPr>
            <w:r w:rsidRPr="00F80387">
              <w:t>76 377</w:t>
            </w:r>
          </w:p>
        </w:tc>
        <w:tc>
          <w:tcPr>
            <w:tcW w:w="1134" w:type="dxa"/>
            <w:vAlign w:val="center"/>
          </w:tcPr>
          <w:p w:rsidR="00BD1A43" w:rsidRPr="00F80387" w:rsidRDefault="00BD1A43" w:rsidP="00964617">
            <w:pPr>
              <w:pStyle w:val="Table-AnnualReport"/>
              <w:jc w:val="right"/>
            </w:pPr>
            <w:r w:rsidRPr="00F80387">
              <w:t>78 911</w:t>
            </w:r>
          </w:p>
        </w:tc>
        <w:tc>
          <w:tcPr>
            <w:tcW w:w="1169" w:type="dxa"/>
            <w:vAlign w:val="center"/>
          </w:tcPr>
          <w:p w:rsidR="00BD1A43" w:rsidRPr="00F80387" w:rsidRDefault="00BD1A43" w:rsidP="00964617">
            <w:pPr>
              <w:pStyle w:val="Table-AnnualReport"/>
              <w:jc w:val="right"/>
            </w:pPr>
            <w:r w:rsidRPr="00F80387">
              <w:t>78 743</w:t>
            </w:r>
          </w:p>
        </w:tc>
      </w:tr>
      <w:tr w:rsidR="00BD1A43" w:rsidRPr="00F80387" w:rsidTr="00277671">
        <w:tc>
          <w:tcPr>
            <w:tcW w:w="3402" w:type="dxa"/>
          </w:tcPr>
          <w:p w:rsidR="00BD1A43" w:rsidRPr="00F80387" w:rsidRDefault="00BD1A43" w:rsidP="00964617">
            <w:pPr>
              <w:pStyle w:val="Table-AnnualReport"/>
            </w:pPr>
            <w:r w:rsidRPr="00F80387">
              <w:t>Emergency Ambulance Responses</w:t>
            </w:r>
            <w:r w:rsidRPr="00F80387">
              <w:rPr>
                <w:vertAlign w:val="superscript"/>
              </w:rPr>
              <w:t>2</w:t>
            </w:r>
          </w:p>
        </w:tc>
        <w:tc>
          <w:tcPr>
            <w:tcW w:w="1701" w:type="dxa"/>
            <w:vAlign w:val="center"/>
          </w:tcPr>
          <w:p w:rsidR="00BD1A43" w:rsidRPr="00F80387" w:rsidRDefault="00BD1A43" w:rsidP="00964617">
            <w:pPr>
              <w:pStyle w:val="Table-AnnualReport"/>
              <w:jc w:val="right"/>
            </w:pPr>
            <w:r w:rsidRPr="00F80387">
              <w:t>Number</w:t>
            </w:r>
          </w:p>
        </w:tc>
        <w:tc>
          <w:tcPr>
            <w:tcW w:w="1134" w:type="dxa"/>
            <w:vAlign w:val="center"/>
          </w:tcPr>
          <w:p w:rsidR="00BD1A43" w:rsidRPr="00F80387" w:rsidRDefault="00BD1A43" w:rsidP="00964617">
            <w:pPr>
              <w:pStyle w:val="Table-AnnualReport"/>
              <w:jc w:val="right"/>
              <w:rPr>
                <w:highlight w:val="yellow"/>
              </w:rPr>
            </w:pPr>
            <w:r w:rsidRPr="00F80387">
              <w:t>42 034</w:t>
            </w:r>
          </w:p>
        </w:tc>
        <w:tc>
          <w:tcPr>
            <w:tcW w:w="1134" w:type="dxa"/>
            <w:vAlign w:val="center"/>
          </w:tcPr>
          <w:p w:rsidR="00BD1A43" w:rsidRPr="00F80387" w:rsidRDefault="00BD1A43" w:rsidP="00964617">
            <w:pPr>
              <w:pStyle w:val="Table-AnnualReport"/>
              <w:jc w:val="right"/>
            </w:pPr>
            <w:r w:rsidRPr="00F80387">
              <w:t>47 315</w:t>
            </w:r>
          </w:p>
        </w:tc>
        <w:tc>
          <w:tcPr>
            <w:tcW w:w="1134" w:type="dxa"/>
            <w:vAlign w:val="center"/>
          </w:tcPr>
          <w:p w:rsidR="00BD1A43" w:rsidRPr="00F80387" w:rsidRDefault="00BD1A43" w:rsidP="00964617">
            <w:pPr>
              <w:pStyle w:val="Table-AnnualReport"/>
              <w:jc w:val="right"/>
            </w:pPr>
            <w:r w:rsidRPr="00F80387">
              <w:t>48 607</w:t>
            </w:r>
          </w:p>
        </w:tc>
        <w:tc>
          <w:tcPr>
            <w:tcW w:w="1169" w:type="dxa"/>
            <w:vAlign w:val="center"/>
          </w:tcPr>
          <w:p w:rsidR="00BD1A43" w:rsidRPr="00F80387" w:rsidRDefault="00BD1A43" w:rsidP="00964617">
            <w:pPr>
              <w:pStyle w:val="Table-AnnualReport"/>
              <w:jc w:val="right"/>
            </w:pPr>
            <w:r w:rsidRPr="00F80387">
              <w:t>47 795</w:t>
            </w:r>
          </w:p>
        </w:tc>
      </w:tr>
      <w:tr w:rsidR="00BD1A43" w:rsidRPr="00F80387" w:rsidTr="00277671">
        <w:tc>
          <w:tcPr>
            <w:tcW w:w="3402" w:type="dxa"/>
          </w:tcPr>
          <w:p w:rsidR="00BD1A43" w:rsidRPr="00F80387" w:rsidRDefault="00BD1A43" w:rsidP="00964617">
            <w:pPr>
              <w:pStyle w:val="Table-AnnualReport"/>
            </w:pPr>
            <w:r w:rsidRPr="00F80387">
              <w:t>Satisfaction with Ambulance Services</w:t>
            </w:r>
          </w:p>
        </w:tc>
        <w:tc>
          <w:tcPr>
            <w:tcW w:w="1701" w:type="dxa"/>
            <w:vAlign w:val="center"/>
          </w:tcPr>
          <w:p w:rsidR="00BD1A43" w:rsidRPr="00F80387" w:rsidRDefault="00BD1A43" w:rsidP="00964617">
            <w:pPr>
              <w:pStyle w:val="Table-AnnualReport"/>
              <w:jc w:val="right"/>
            </w:pPr>
            <w:r w:rsidRPr="00F80387">
              <w:t>%</w:t>
            </w:r>
          </w:p>
        </w:tc>
        <w:tc>
          <w:tcPr>
            <w:tcW w:w="1134" w:type="dxa"/>
            <w:vAlign w:val="center"/>
          </w:tcPr>
          <w:p w:rsidR="00BD1A43" w:rsidRPr="00F80387" w:rsidRDefault="00BD1A43" w:rsidP="00964617">
            <w:pPr>
              <w:pStyle w:val="Table-AnnualReport"/>
              <w:jc w:val="right"/>
            </w:pPr>
            <w:r w:rsidRPr="00F80387">
              <w:t>98.0</w:t>
            </w:r>
          </w:p>
        </w:tc>
        <w:tc>
          <w:tcPr>
            <w:tcW w:w="1134" w:type="dxa"/>
            <w:vAlign w:val="center"/>
          </w:tcPr>
          <w:p w:rsidR="00BD1A43" w:rsidRPr="00F80387" w:rsidRDefault="00BD1A43" w:rsidP="00964617">
            <w:pPr>
              <w:pStyle w:val="Table-AnnualReport"/>
              <w:jc w:val="right"/>
            </w:pPr>
            <w:r w:rsidRPr="00F80387">
              <w:t>98.0</w:t>
            </w:r>
          </w:p>
        </w:tc>
        <w:tc>
          <w:tcPr>
            <w:tcW w:w="1134" w:type="dxa"/>
            <w:vAlign w:val="center"/>
          </w:tcPr>
          <w:p w:rsidR="00BD1A43" w:rsidRPr="00F80387" w:rsidRDefault="00BD1A43" w:rsidP="00964617">
            <w:pPr>
              <w:pStyle w:val="Table-AnnualReport"/>
              <w:jc w:val="right"/>
            </w:pPr>
            <w:r w:rsidRPr="00F80387">
              <w:t>98.0</w:t>
            </w:r>
          </w:p>
        </w:tc>
        <w:tc>
          <w:tcPr>
            <w:tcW w:w="1169" w:type="dxa"/>
            <w:vAlign w:val="center"/>
          </w:tcPr>
          <w:p w:rsidR="00BD1A43" w:rsidRPr="00F80387" w:rsidRDefault="00BD1A43" w:rsidP="00964617">
            <w:pPr>
              <w:pStyle w:val="Table-AnnualReport"/>
              <w:jc w:val="right"/>
            </w:pPr>
            <w:r w:rsidRPr="00F80387">
              <w:t>99.0</w:t>
            </w:r>
          </w:p>
        </w:tc>
      </w:tr>
      <w:tr w:rsidR="00BD1A43" w:rsidRPr="00F80387" w:rsidTr="00277671">
        <w:tc>
          <w:tcPr>
            <w:tcW w:w="3402" w:type="dxa"/>
          </w:tcPr>
          <w:p w:rsidR="00BD1A43" w:rsidRPr="00F80387" w:rsidRDefault="00BD1A43" w:rsidP="0088467F">
            <w:pPr>
              <w:pStyle w:val="Table-AnnualReport"/>
            </w:pPr>
            <w:r w:rsidRPr="00F80387">
              <w:t>Emergency Response Times (</w:t>
            </w:r>
            <w:r w:rsidR="0088467F">
              <w:t>s</w:t>
            </w:r>
            <w:r w:rsidRPr="00F80387">
              <w:t>tatewide)</w:t>
            </w:r>
            <w:r w:rsidRPr="00F80387">
              <w:rPr>
                <w:vertAlign w:val="superscript"/>
              </w:rPr>
              <w:t>3</w:t>
            </w:r>
          </w:p>
        </w:tc>
        <w:tc>
          <w:tcPr>
            <w:tcW w:w="1701" w:type="dxa"/>
            <w:vAlign w:val="center"/>
          </w:tcPr>
          <w:p w:rsidR="00BD1A43" w:rsidRPr="00F80387" w:rsidRDefault="00BD1A43" w:rsidP="00964617">
            <w:pPr>
              <w:pStyle w:val="Table-AnnualReport"/>
              <w:jc w:val="right"/>
            </w:pPr>
            <w:r w:rsidRPr="00F80387">
              <w:t>Mins</w:t>
            </w:r>
          </w:p>
        </w:tc>
        <w:tc>
          <w:tcPr>
            <w:tcW w:w="1134" w:type="dxa"/>
            <w:vAlign w:val="center"/>
          </w:tcPr>
          <w:p w:rsidR="00BD1A43" w:rsidRPr="00F80387" w:rsidRDefault="00BD1A43" w:rsidP="00964617">
            <w:pPr>
              <w:pStyle w:val="Table-AnnualReport"/>
              <w:jc w:val="right"/>
            </w:pPr>
            <w:r w:rsidRPr="00F80387">
              <w:t>11.2</w:t>
            </w:r>
          </w:p>
        </w:tc>
        <w:tc>
          <w:tcPr>
            <w:tcW w:w="1134" w:type="dxa"/>
            <w:vAlign w:val="center"/>
          </w:tcPr>
          <w:p w:rsidR="00BD1A43" w:rsidRPr="00F80387" w:rsidRDefault="00BD1A43" w:rsidP="00964617">
            <w:pPr>
              <w:pStyle w:val="Table-AnnualReport"/>
              <w:jc w:val="right"/>
            </w:pPr>
            <w:r w:rsidRPr="00F80387">
              <w:t>11.0</w:t>
            </w:r>
          </w:p>
        </w:tc>
        <w:tc>
          <w:tcPr>
            <w:tcW w:w="1134" w:type="dxa"/>
            <w:vAlign w:val="center"/>
          </w:tcPr>
          <w:p w:rsidR="00BD1A43" w:rsidRPr="00F80387" w:rsidRDefault="00BD1A43" w:rsidP="00964617">
            <w:pPr>
              <w:pStyle w:val="Table-AnnualReport"/>
              <w:jc w:val="right"/>
            </w:pPr>
            <w:r w:rsidRPr="00F80387">
              <w:t>11.4</w:t>
            </w:r>
          </w:p>
        </w:tc>
        <w:tc>
          <w:tcPr>
            <w:tcW w:w="1169" w:type="dxa"/>
            <w:vAlign w:val="center"/>
          </w:tcPr>
          <w:p w:rsidR="00BD1A43" w:rsidRPr="00F80387" w:rsidRDefault="00BD1A43" w:rsidP="00964617">
            <w:pPr>
              <w:pStyle w:val="Table-AnnualReport"/>
              <w:jc w:val="right"/>
            </w:pPr>
            <w:r w:rsidRPr="00F80387">
              <w:t>11.6</w:t>
            </w:r>
          </w:p>
        </w:tc>
      </w:tr>
      <w:tr w:rsidR="00BD1A43" w:rsidRPr="00F80387" w:rsidTr="00277671">
        <w:tc>
          <w:tcPr>
            <w:tcW w:w="3402" w:type="dxa"/>
          </w:tcPr>
          <w:p w:rsidR="00BD1A43" w:rsidRPr="00F80387" w:rsidRDefault="00BD1A43" w:rsidP="00964617">
            <w:pPr>
              <w:pStyle w:val="Table-AnnualReport"/>
            </w:pPr>
            <w:r w:rsidRPr="00F80387">
              <w:t>Emergency Response Times (Burnie)</w:t>
            </w:r>
            <w:r w:rsidRPr="00F80387">
              <w:rPr>
                <w:vertAlign w:val="superscript"/>
              </w:rPr>
              <w:t>3</w:t>
            </w:r>
          </w:p>
        </w:tc>
        <w:tc>
          <w:tcPr>
            <w:tcW w:w="1701" w:type="dxa"/>
            <w:vAlign w:val="center"/>
          </w:tcPr>
          <w:p w:rsidR="00BD1A43" w:rsidRPr="00F80387" w:rsidRDefault="00BD1A43" w:rsidP="00964617">
            <w:pPr>
              <w:pStyle w:val="Table-AnnualReport"/>
              <w:jc w:val="right"/>
            </w:pPr>
            <w:r w:rsidRPr="00F80387">
              <w:t>Mins</w:t>
            </w:r>
          </w:p>
        </w:tc>
        <w:tc>
          <w:tcPr>
            <w:tcW w:w="1134" w:type="dxa"/>
            <w:vAlign w:val="center"/>
          </w:tcPr>
          <w:p w:rsidR="00BD1A43" w:rsidRPr="00F80387" w:rsidRDefault="00BD1A43" w:rsidP="00964617">
            <w:pPr>
              <w:pStyle w:val="Table-AnnualReport"/>
              <w:jc w:val="right"/>
              <w:rPr>
                <w:highlight w:val="yellow"/>
              </w:rPr>
            </w:pPr>
            <w:r w:rsidRPr="00F80387">
              <w:t>9.3</w:t>
            </w:r>
          </w:p>
        </w:tc>
        <w:tc>
          <w:tcPr>
            <w:tcW w:w="1134" w:type="dxa"/>
            <w:vAlign w:val="center"/>
          </w:tcPr>
          <w:p w:rsidR="00BD1A43" w:rsidRPr="00F80387" w:rsidRDefault="00BD1A43" w:rsidP="00964617">
            <w:pPr>
              <w:pStyle w:val="Table-AnnualReport"/>
              <w:jc w:val="right"/>
            </w:pPr>
            <w:r w:rsidRPr="00F80387">
              <w:t>9.1</w:t>
            </w:r>
          </w:p>
        </w:tc>
        <w:tc>
          <w:tcPr>
            <w:tcW w:w="1134" w:type="dxa"/>
            <w:vAlign w:val="center"/>
          </w:tcPr>
          <w:p w:rsidR="00BD1A43" w:rsidRPr="00F80387" w:rsidRDefault="00BD1A43" w:rsidP="00964617">
            <w:pPr>
              <w:pStyle w:val="Table-AnnualReport"/>
              <w:jc w:val="right"/>
            </w:pPr>
            <w:r w:rsidRPr="00F80387">
              <w:t>9.5</w:t>
            </w:r>
          </w:p>
        </w:tc>
        <w:tc>
          <w:tcPr>
            <w:tcW w:w="1169" w:type="dxa"/>
            <w:vAlign w:val="center"/>
          </w:tcPr>
          <w:p w:rsidR="00BD1A43" w:rsidRPr="00F80387" w:rsidRDefault="00BD1A43" w:rsidP="00964617">
            <w:pPr>
              <w:pStyle w:val="Table-AnnualReport"/>
              <w:jc w:val="right"/>
            </w:pPr>
            <w:r w:rsidRPr="00F80387">
              <w:t>9.3</w:t>
            </w:r>
          </w:p>
        </w:tc>
      </w:tr>
      <w:tr w:rsidR="00BD1A43" w:rsidRPr="00F80387" w:rsidTr="00277671">
        <w:tc>
          <w:tcPr>
            <w:tcW w:w="3402" w:type="dxa"/>
          </w:tcPr>
          <w:p w:rsidR="00BD1A43" w:rsidRPr="00F80387" w:rsidRDefault="00BD1A43" w:rsidP="00964617">
            <w:pPr>
              <w:pStyle w:val="Table-AnnualReport"/>
            </w:pPr>
            <w:r w:rsidRPr="00F80387">
              <w:t>Emergency Response Times (Devonport)</w:t>
            </w:r>
            <w:r w:rsidRPr="00F80387">
              <w:rPr>
                <w:vertAlign w:val="superscript"/>
              </w:rPr>
              <w:t>3</w:t>
            </w:r>
          </w:p>
        </w:tc>
        <w:tc>
          <w:tcPr>
            <w:tcW w:w="1701" w:type="dxa"/>
            <w:vAlign w:val="center"/>
          </w:tcPr>
          <w:p w:rsidR="00BD1A43" w:rsidRPr="00F80387" w:rsidRDefault="00BD1A43" w:rsidP="00964617">
            <w:pPr>
              <w:pStyle w:val="Table-AnnualReport"/>
              <w:jc w:val="right"/>
            </w:pPr>
            <w:r w:rsidRPr="00F80387">
              <w:t>Mins</w:t>
            </w:r>
          </w:p>
        </w:tc>
        <w:tc>
          <w:tcPr>
            <w:tcW w:w="1134" w:type="dxa"/>
            <w:vAlign w:val="center"/>
          </w:tcPr>
          <w:p w:rsidR="00BD1A43" w:rsidRPr="00F80387" w:rsidRDefault="00BD1A43" w:rsidP="00964617">
            <w:pPr>
              <w:pStyle w:val="Table-AnnualReport"/>
              <w:jc w:val="right"/>
            </w:pPr>
            <w:r w:rsidRPr="00F80387">
              <w:t>9.3</w:t>
            </w:r>
          </w:p>
        </w:tc>
        <w:tc>
          <w:tcPr>
            <w:tcW w:w="1134" w:type="dxa"/>
            <w:vAlign w:val="center"/>
          </w:tcPr>
          <w:p w:rsidR="00BD1A43" w:rsidRPr="00F80387" w:rsidRDefault="00BD1A43" w:rsidP="00964617">
            <w:pPr>
              <w:pStyle w:val="Table-AnnualReport"/>
              <w:jc w:val="right"/>
            </w:pPr>
            <w:r w:rsidRPr="00F80387">
              <w:t>8.9</w:t>
            </w:r>
          </w:p>
        </w:tc>
        <w:tc>
          <w:tcPr>
            <w:tcW w:w="1134" w:type="dxa"/>
            <w:vAlign w:val="center"/>
          </w:tcPr>
          <w:p w:rsidR="00BD1A43" w:rsidRPr="00F80387" w:rsidRDefault="00BD1A43" w:rsidP="00964617">
            <w:pPr>
              <w:pStyle w:val="Table-AnnualReport"/>
              <w:jc w:val="right"/>
            </w:pPr>
            <w:r w:rsidRPr="00F80387">
              <w:t>9.6</w:t>
            </w:r>
          </w:p>
        </w:tc>
        <w:tc>
          <w:tcPr>
            <w:tcW w:w="1169" w:type="dxa"/>
            <w:vAlign w:val="center"/>
          </w:tcPr>
          <w:p w:rsidR="00BD1A43" w:rsidRPr="00F80387" w:rsidRDefault="00BD1A43" w:rsidP="00964617">
            <w:pPr>
              <w:pStyle w:val="Table-AnnualReport"/>
              <w:jc w:val="right"/>
            </w:pPr>
            <w:r w:rsidRPr="00F80387">
              <w:t>9.5</w:t>
            </w:r>
          </w:p>
        </w:tc>
      </w:tr>
      <w:tr w:rsidR="00BD1A43" w:rsidRPr="00F80387" w:rsidTr="00277671">
        <w:tc>
          <w:tcPr>
            <w:tcW w:w="3402" w:type="dxa"/>
          </w:tcPr>
          <w:p w:rsidR="00BD1A43" w:rsidRPr="00F80387" w:rsidRDefault="00BD1A43" w:rsidP="00964617">
            <w:pPr>
              <w:pStyle w:val="Table-AnnualReport"/>
            </w:pPr>
            <w:r w:rsidRPr="00F80387">
              <w:t>Emergency Response Times (Hobart)</w:t>
            </w:r>
            <w:r w:rsidRPr="00F80387">
              <w:rPr>
                <w:vertAlign w:val="superscript"/>
              </w:rPr>
              <w:t xml:space="preserve"> 3</w:t>
            </w:r>
          </w:p>
        </w:tc>
        <w:tc>
          <w:tcPr>
            <w:tcW w:w="1701" w:type="dxa"/>
            <w:vAlign w:val="center"/>
          </w:tcPr>
          <w:p w:rsidR="00BD1A43" w:rsidRPr="00F80387" w:rsidRDefault="00BD1A43" w:rsidP="00964617">
            <w:pPr>
              <w:pStyle w:val="Table-AnnualReport"/>
              <w:jc w:val="right"/>
            </w:pPr>
            <w:r w:rsidRPr="00F80387">
              <w:t>Mins</w:t>
            </w:r>
          </w:p>
        </w:tc>
        <w:tc>
          <w:tcPr>
            <w:tcW w:w="1134" w:type="dxa"/>
            <w:vAlign w:val="center"/>
          </w:tcPr>
          <w:p w:rsidR="00BD1A43" w:rsidRPr="00F80387" w:rsidRDefault="00BD1A43" w:rsidP="00964617">
            <w:pPr>
              <w:pStyle w:val="Table-AnnualReport"/>
              <w:jc w:val="right"/>
            </w:pPr>
            <w:r w:rsidRPr="00F80387">
              <w:t>10.3</w:t>
            </w:r>
          </w:p>
        </w:tc>
        <w:tc>
          <w:tcPr>
            <w:tcW w:w="1134" w:type="dxa"/>
            <w:vAlign w:val="center"/>
          </w:tcPr>
          <w:p w:rsidR="00BD1A43" w:rsidRPr="00F80387" w:rsidRDefault="00BD1A43" w:rsidP="00964617">
            <w:pPr>
              <w:pStyle w:val="Table-AnnualReport"/>
              <w:jc w:val="right"/>
            </w:pPr>
            <w:r w:rsidRPr="00F80387">
              <w:t>10.1</w:t>
            </w:r>
          </w:p>
        </w:tc>
        <w:tc>
          <w:tcPr>
            <w:tcW w:w="1134" w:type="dxa"/>
            <w:vAlign w:val="center"/>
          </w:tcPr>
          <w:p w:rsidR="00BD1A43" w:rsidRPr="00F80387" w:rsidRDefault="00BD1A43" w:rsidP="00964617">
            <w:pPr>
              <w:pStyle w:val="Table-AnnualReport"/>
              <w:jc w:val="right"/>
            </w:pPr>
            <w:r w:rsidRPr="00F80387">
              <w:t>10.4</w:t>
            </w:r>
          </w:p>
        </w:tc>
        <w:tc>
          <w:tcPr>
            <w:tcW w:w="1169" w:type="dxa"/>
            <w:vAlign w:val="center"/>
          </w:tcPr>
          <w:p w:rsidR="00BD1A43" w:rsidRPr="00F80387" w:rsidRDefault="00BD1A43" w:rsidP="00964617">
            <w:pPr>
              <w:pStyle w:val="Table-AnnualReport"/>
              <w:jc w:val="right"/>
            </w:pPr>
            <w:r w:rsidRPr="00F80387">
              <w:t>10.8</w:t>
            </w:r>
          </w:p>
        </w:tc>
      </w:tr>
      <w:tr w:rsidR="00BD1A43" w:rsidRPr="00F80387" w:rsidTr="00277671">
        <w:tc>
          <w:tcPr>
            <w:tcW w:w="3402" w:type="dxa"/>
          </w:tcPr>
          <w:p w:rsidR="00BD1A43" w:rsidRPr="00F80387" w:rsidRDefault="00BD1A43" w:rsidP="00964617">
            <w:pPr>
              <w:pStyle w:val="Table-AnnualReport"/>
            </w:pPr>
            <w:r w:rsidRPr="00F80387">
              <w:t>Emergency Response Times (Launceston)</w:t>
            </w:r>
            <w:r w:rsidRPr="00F80387">
              <w:rPr>
                <w:vertAlign w:val="superscript"/>
              </w:rPr>
              <w:t xml:space="preserve"> 3</w:t>
            </w:r>
          </w:p>
        </w:tc>
        <w:tc>
          <w:tcPr>
            <w:tcW w:w="1701" w:type="dxa"/>
            <w:vAlign w:val="center"/>
          </w:tcPr>
          <w:p w:rsidR="00BD1A43" w:rsidRPr="00F80387" w:rsidRDefault="00BD1A43" w:rsidP="00964617">
            <w:pPr>
              <w:pStyle w:val="Table-AnnualReport"/>
              <w:jc w:val="right"/>
            </w:pPr>
            <w:r w:rsidRPr="00F80387">
              <w:t>Mins</w:t>
            </w:r>
          </w:p>
        </w:tc>
        <w:tc>
          <w:tcPr>
            <w:tcW w:w="1134" w:type="dxa"/>
            <w:vAlign w:val="center"/>
          </w:tcPr>
          <w:p w:rsidR="00BD1A43" w:rsidRPr="00F80387" w:rsidRDefault="00BD1A43" w:rsidP="00964617">
            <w:pPr>
              <w:pStyle w:val="Table-AnnualReport"/>
              <w:jc w:val="right"/>
            </w:pPr>
            <w:r w:rsidRPr="00F80387">
              <w:t>9.7</w:t>
            </w:r>
          </w:p>
        </w:tc>
        <w:tc>
          <w:tcPr>
            <w:tcW w:w="1134" w:type="dxa"/>
            <w:vAlign w:val="center"/>
          </w:tcPr>
          <w:p w:rsidR="00BD1A43" w:rsidRPr="00F80387" w:rsidRDefault="00BD1A43" w:rsidP="00964617">
            <w:pPr>
              <w:pStyle w:val="Table-AnnualReport"/>
              <w:jc w:val="right"/>
            </w:pPr>
            <w:r w:rsidRPr="00F80387">
              <w:t>9.7</w:t>
            </w:r>
          </w:p>
        </w:tc>
        <w:tc>
          <w:tcPr>
            <w:tcW w:w="1134" w:type="dxa"/>
            <w:vAlign w:val="center"/>
          </w:tcPr>
          <w:p w:rsidR="00BD1A43" w:rsidRPr="00F80387" w:rsidRDefault="00BD1A43" w:rsidP="00964617">
            <w:pPr>
              <w:pStyle w:val="Table-AnnualReport"/>
              <w:jc w:val="right"/>
            </w:pPr>
            <w:r w:rsidRPr="00F80387">
              <w:t>10.1</w:t>
            </w:r>
          </w:p>
        </w:tc>
        <w:tc>
          <w:tcPr>
            <w:tcW w:w="1169" w:type="dxa"/>
            <w:vAlign w:val="center"/>
          </w:tcPr>
          <w:p w:rsidR="00BD1A43" w:rsidRPr="00F80387" w:rsidRDefault="00BD1A43" w:rsidP="00964617">
            <w:pPr>
              <w:pStyle w:val="Table-AnnualReport"/>
              <w:jc w:val="right"/>
            </w:pPr>
            <w:r w:rsidRPr="00F80387">
              <w:t>10.3</w:t>
            </w:r>
          </w:p>
        </w:tc>
      </w:tr>
      <w:tr w:rsidR="00BD1A43" w:rsidRPr="00F80387" w:rsidTr="00277671">
        <w:tc>
          <w:tcPr>
            <w:tcW w:w="3402" w:type="dxa"/>
            <w:tcBorders>
              <w:bottom w:val="single" w:sz="2" w:space="0" w:color="A6A6A6"/>
            </w:tcBorders>
          </w:tcPr>
          <w:p w:rsidR="00BD1A43" w:rsidRPr="00F80387" w:rsidRDefault="00BD1A43" w:rsidP="00964617">
            <w:pPr>
              <w:pStyle w:val="Table-AnnualReport"/>
            </w:pPr>
            <w:r w:rsidRPr="00F80387">
              <w:t xml:space="preserve">Ambulance </w:t>
            </w:r>
            <w:r w:rsidR="00964617">
              <w:t>s</w:t>
            </w:r>
            <w:r w:rsidRPr="00F80387">
              <w:t>ervices expenditure per person</w:t>
            </w:r>
            <w:r w:rsidRPr="00F80387">
              <w:rPr>
                <w:vertAlign w:val="superscript"/>
              </w:rPr>
              <w:t>4</w:t>
            </w:r>
          </w:p>
        </w:tc>
        <w:tc>
          <w:tcPr>
            <w:tcW w:w="1701" w:type="dxa"/>
            <w:tcBorders>
              <w:bottom w:val="single" w:sz="2" w:space="0" w:color="A6A6A6"/>
            </w:tcBorders>
            <w:vAlign w:val="center"/>
          </w:tcPr>
          <w:p w:rsidR="00BD1A43" w:rsidRPr="00F80387" w:rsidRDefault="00BD1A43" w:rsidP="00964617">
            <w:pPr>
              <w:pStyle w:val="Table-AnnualReport"/>
              <w:jc w:val="right"/>
            </w:pPr>
            <w:r w:rsidRPr="00F80387">
              <w:t>$</w:t>
            </w:r>
          </w:p>
        </w:tc>
        <w:tc>
          <w:tcPr>
            <w:tcW w:w="1134" w:type="dxa"/>
            <w:tcBorders>
              <w:bottom w:val="single" w:sz="2" w:space="0" w:color="A6A6A6"/>
            </w:tcBorders>
            <w:vAlign w:val="center"/>
          </w:tcPr>
          <w:p w:rsidR="00BD1A43" w:rsidRPr="00F80387" w:rsidRDefault="00BD1A43" w:rsidP="00964617">
            <w:pPr>
              <w:pStyle w:val="Table-AnnualReport"/>
              <w:jc w:val="right"/>
            </w:pPr>
            <w:r w:rsidRPr="00F80387">
              <w:t>1</w:t>
            </w:r>
            <w:r w:rsidR="00ED5DCA">
              <w:t xml:space="preserve"> </w:t>
            </w:r>
            <w:r w:rsidRPr="00F80387">
              <w:t>15.19</w:t>
            </w:r>
          </w:p>
        </w:tc>
        <w:tc>
          <w:tcPr>
            <w:tcW w:w="1134" w:type="dxa"/>
            <w:tcBorders>
              <w:bottom w:val="single" w:sz="2" w:space="0" w:color="A6A6A6"/>
            </w:tcBorders>
            <w:vAlign w:val="center"/>
          </w:tcPr>
          <w:p w:rsidR="00BD1A43" w:rsidRPr="00F80387" w:rsidRDefault="00BD1A43" w:rsidP="00964617">
            <w:pPr>
              <w:pStyle w:val="Table-AnnualReport"/>
              <w:jc w:val="right"/>
            </w:pPr>
            <w:r w:rsidRPr="00F80387">
              <w:t>1</w:t>
            </w:r>
            <w:r w:rsidR="00ED5DCA">
              <w:t xml:space="preserve"> </w:t>
            </w:r>
            <w:r w:rsidRPr="00F80387">
              <w:t>19.80</w:t>
            </w:r>
          </w:p>
        </w:tc>
        <w:tc>
          <w:tcPr>
            <w:tcW w:w="1134" w:type="dxa"/>
            <w:tcBorders>
              <w:bottom w:val="single" w:sz="2" w:space="0" w:color="A6A6A6"/>
            </w:tcBorders>
            <w:vAlign w:val="center"/>
          </w:tcPr>
          <w:p w:rsidR="00BD1A43" w:rsidRPr="00F80387" w:rsidRDefault="00BD1A43" w:rsidP="00964617">
            <w:pPr>
              <w:pStyle w:val="Table-AnnualReport"/>
              <w:jc w:val="right"/>
            </w:pPr>
            <w:r w:rsidRPr="00F80387">
              <w:t>1</w:t>
            </w:r>
            <w:r w:rsidR="00ED5DCA">
              <w:t xml:space="preserve"> </w:t>
            </w:r>
            <w:r w:rsidRPr="00F80387">
              <w:t>27.60</w:t>
            </w:r>
          </w:p>
        </w:tc>
        <w:tc>
          <w:tcPr>
            <w:tcW w:w="1169" w:type="dxa"/>
            <w:tcBorders>
              <w:bottom w:val="single" w:sz="2" w:space="0" w:color="A6A6A6"/>
            </w:tcBorders>
            <w:vAlign w:val="center"/>
          </w:tcPr>
          <w:p w:rsidR="00BD1A43" w:rsidRPr="00F80387" w:rsidRDefault="00BD1A43" w:rsidP="00964617">
            <w:pPr>
              <w:pStyle w:val="Table-AnnualReport"/>
              <w:jc w:val="right"/>
            </w:pPr>
            <w:r w:rsidRPr="00F80387">
              <w:t>N/A</w:t>
            </w:r>
            <w:r w:rsidRPr="00F80387">
              <w:rPr>
                <w:vertAlign w:val="superscript"/>
              </w:rPr>
              <w:t>5</w:t>
            </w:r>
          </w:p>
        </w:tc>
      </w:tr>
      <w:tr w:rsidR="00BD1A43" w:rsidRPr="00F80387" w:rsidTr="00277671">
        <w:tc>
          <w:tcPr>
            <w:tcW w:w="9674" w:type="dxa"/>
            <w:gridSpan w:val="6"/>
            <w:tcBorders>
              <w:bottom w:val="nil"/>
            </w:tcBorders>
          </w:tcPr>
          <w:p w:rsidR="00BD1A43" w:rsidRPr="00F80387" w:rsidRDefault="00BD1A43" w:rsidP="00277671">
            <w:pPr>
              <w:widowControl w:val="0"/>
              <w:tabs>
                <w:tab w:val="clear" w:pos="567"/>
              </w:tabs>
              <w:spacing w:before="120" w:after="120" w:line="240" w:lineRule="auto"/>
              <w:rPr>
                <w:sz w:val="18"/>
                <w:szCs w:val="18"/>
                <w:lang w:bidi="en-US"/>
              </w:rPr>
            </w:pPr>
            <w:r w:rsidRPr="00F80387">
              <w:rPr>
                <w:sz w:val="18"/>
                <w:szCs w:val="18"/>
                <w:lang w:bidi="en-US"/>
              </w:rPr>
              <w:t>Notes:</w:t>
            </w:r>
          </w:p>
          <w:p w:rsidR="00BD1A43" w:rsidRPr="00F80387" w:rsidRDefault="00BD1A43" w:rsidP="001F0FE5">
            <w:pPr>
              <w:pStyle w:val="ListParagraph"/>
              <w:numPr>
                <w:ilvl w:val="0"/>
                <w:numId w:val="35"/>
              </w:numPr>
              <w:ind w:left="601" w:hanging="601"/>
              <w:rPr>
                <w:sz w:val="18"/>
                <w:szCs w:val="18"/>
              </w:rPr>
            </w:pPr>
            <w:r w:rsidRPr="00F80387">
              <w:rPr>
                <w:sz w:val="18"/>
                <w:szCs w:val="18"/>
              </w:rPr>
              <w:t>In 2012, the Ambulance Service refined its caseload and response time reporting to exclude vehicle movements that did not involve patients (i</w:t>
            </w:r>
            <w:r w:rsidR="001F0FE5" w:rsidRPr="00F80387">
              <w:rPr>
                <w:sz w:val="18"/>
                <w:szCs w:val="18"/>
              </w:rPr>
              <w:t>.</w:t>
            </w:r>
            <w:r w:rsidRPr="00F80387">
              <w:rPr>
                <w:sz w:val="18"/>
                <w:szCs w:val="18"/>
              </w:rPr>
              <w:t>e</w:t>
            </w:r>
            <w:r w:rsidR="001F0FE5" w:rsidRPr="00F80387">
              <w:rPr>
                <w:sz w:val="18"/>
                <w:szCs w:val="18"/>
              </w:rPr>
              <w:t>.</w:t>
            </w:r>
            <w:r w:rsidRPr="00F80387">
              <w:rPr>
                <w:sz w:val="18"/>
                <w:szCs w:val="18"/>
              </w:rPr>
              <w:t xml:space="preserve"> driving between stations or to repairs), to provide a more accurate reflection of actual patient related ambulance responses. To enable comparison across years, all demand and response time figures reported in this table have been calculated using the latest data refinements; they may vary from previously published figures.</w:t>
            </w:r>
          </w:p>
          <w:p w:rsidR="00BD1A43" w:rsidRPr="00F80387" w:rsidRDefault="00BD1A43" w:rsidP="001F0FE5">
            <w:pPr>
              <w:pStyle w:val="ListParagraph"/>
              <w:numPr>
                <w:ilvl w:val="0"/>
                <w:numId w:val="35"/>
              </w:numPr>
              <w:ind w:left="601" w:hanging="601"/>
              <w:rPr>
                <w:sz w:val="18"/>
                <w:szCs w:val="18"/>
              </w:rPr>
            </w:pPr>
            <w:r w:rsidRPr="00F80387">
              <w:rPr>
                <w:sz w:val="18"/>
                <w:szCs w:val="18"/>
              </w:rPr>
              <w:t>The number of vehicles dispatched (responses) is one measure of the workload</w:t>
            </w:r>
            <w:r w:rsidR="00295394">
              <w:rPr>
                <w:sz w:val="18"/>
                <w:szCs w:val="18"/>
              </w:rPr>
              <w:t>,</w:t>
            </w:r>
            <w:r w:rsidRPr="00F80387">
              <w:rPr>
                <w:sz w:val="18"/>
                <w:szCs w:val="18"/>
              </w:rPr>
              <w:t xml:space="preserve"> and an indicator of the actual demand for</w:t>
            </w:r>
            <w:r w:rsidR="00295394">
              <w:rPr>
                <w:sz w:val="18"/>
                <w:szCs w:val="18"/>
              </w:rPr>
              <w:t>,</w:t>
            </w:r>
            <w:r w:rsidRPr="00F80387">
              <w:rPr>
                <w:sz w:val="18"/>
                <w:szCs w:val="18"/>
              </w:rPr>
              <w:t xml:space="preserve"> ambulance services in Tasmania. It includes emergency, urgent and non-urgent responses, but excludes cases managed by Ambulance Tasmania's Heath Transport Service (i</w:t>
            </w:r>
            <w:r w:rsidR="001F0FE5" w:rsidRPr="00F80387">
              <w:rPr>
                <w:sz w:val="18"/>
                <w:szCs w:val="18"/>
              </w:rPr>
              <w:t>.</w:t>
            </w:r>
            <w:r w:rsidRPr="00F80387">
              <w:rPr>
                <w:sz w:val="18"/>
                <w:szCs w:val="18"/>
              </w:rPr>
              <w:t>e</w:t>
            </w:r>
            <w:r w:rsidR="001F0FE5" w:rsidRPr="00F80387">
              <w:rPr>
                <w:sz w:val="18"/>
                <w:szCs w:val="18"/>
              </w:rPr>
              <w:t>.</w:t>
            </w:r>
            <w:r w:rsidRPr="00F80387">
              <w:rPr>
                <w:sz w:val="18"/>
                <w:szCs w:val="18"/>
              </w:rPr>
              <w:t xml:space="preserve"> scheduled bookings for Non-Emergency Patient Transport Services). </w:t>
            </w:r>
          </w:p>
          <w:p w:rsidR="00BD1A43" w:rsidRPr="00F80387" w:rsidRDefault="00BD1A43" w:rsidP="001F0FE5">
            <w:pPr>
              <w:pStyle w:val="ListParagraph"/>
              <w:numPr>
                <w:ilvl w:val="0"/>
                <w:numId w:val="35"/>
              </w:numPr>
              <w:ind w:left="601" w:hanging="601"/>
              <w:rPr>
                <w:sz w:val="18"/>
                <w:szCs w:val="18"/>
              </w:rPr>
            </w:pPr>
            <w:r w:rsidRPr="00F80387">
              <w:rPr>
                <w:sz w:val="18"/>
                <w:szCs w:val="18"/>
              </w:rPr>
              <w:t xml:space="preserve">The ambulance </w:t>
            </w:r>
            <w:r w:rsidR="00964617">
              <w:rPr>
                <w:sz w:val="18"/>
                <w:szCs w:val="18"/>
              </w:rPr>
              <w:t>E</w:t>
            </w:r>
            <w:r w:rsidRPr="00F80387">
              <w:rPr>
                <w:sz w:val="18"/>
                <w:szCs w:val="18"/>
              </w:rPr>
              <w:t xml:space="preserve">mergency </w:t>
            </w:r>
            <w:r w:rsidR="00964617">
              <w:rPr>
                <w:sz w:val="18"/>
                <w:szCs w:val="18"/>
              </w:rPr>
              <w:t>R</w:t>
            </w:r>
            <w:r w:rsidRPr="00F80387">
              <w:rPr>
                <w:sz w:val="18"/>
                <w:szCs w:val="18"/>
              </w:rPr>
              <w:t xml:space="preserve">esponse </w:t>
            </w:r>
            <w:r w:rsidR="00964617">
              <w:rPr>
                <w:sz w:val="18"/>
                <w:szCs w:val="18"/>
              </w:rPr>
              <w:t>T</w:t>
            </w:r>
            <w:r w:rsidRPr="00F80387">
              <w:rPr>
                <w:sz w:val="18"/>
                <w:szCs w:val="18"/>
              </w:rPr>
              <w:t xml:space="preserve">ime is the difference in time between an emergency 000 call being received at the State Communications Centre and the first vehicle arriving at the location to treat the patient. The Median Emergency Response Time is the middle time value when all the response times are ordered from the shortest to the longest. It can be broadly interpreted as the time </w:t>
            </w:r>
            <w:r w:rsidR="001F0FE5" w:rsidRPr="00F80387">
              <w:rPr>
                <w:sz w:val="18"/>
                <w:szCs w:val="18"/>
              </w:rPr>
              <w:t xml:space="preserve">within </w:t>
            </w:r>
            <w:r w:rsidRPr="00F80387">
              <w:rPr>
                <w:sz w:val="18"/>
                <w:szCs w:val="18"/>
              </w:rPr>
              <w:t xml:space="preserve">which approximately 50 per cent of the first responding ambulance resources arrive at the scene of an emergency. </w:t>
            </w:r>
          </w:p>
          <w:p w:rsidR="00BD1A43" w:rsidRPr="00F80387" w:rsidRDefault="00BE509B" w:rsidP="001F0FE5">
            <w:pPr>
              <w:pStyle w:val="ListParagraph"/>
              <w:numPr>
                <w:ilvl w:val="0"/>
                <w:numId w:val="35"/>
              </w:numPr>
              <w:ind w:left="601" w:hanging="601"/>
              <w:rPr>
                <w:sz w:val="18"/>
                <w:szCs w:val="18"/>
              </w:rPr>
            </w:pPr>
            <w:r>
              <w:rPr>
                <w:sz w:val="18"/>
                <w:szCs w:val="18"/>
              </w:rPr>
              <w:t>Historical rates for Ambulance S</w:t>
            </w:r>
            <w:r w:rsidR="00BD1A43" w:rsidRPr="00F80387">
              <w:rPr>
                <w:sz w:val="18"/>
                <w:szCs w:val="18"/>
              </w:rPr>
              <w:t>ervices expenditure per person may</w:t>
            </w:r>
            <w:r w:rsidR="00964617">
              <w:rPr>
                <w:sz w:val="18"/>
                <w:szCs w:val="18"/>
              </w:rPr>
              <w:t xml:space="preserve"> differ from those in previous R</w:t>
            </w:r>
            <w:r w:rsidR="00BD1A43" w:rsidRPr="00F80387">
              <w:rPr>
                <w:sz w:val="18"/>
                <w:szCs w:val="18"/>
              </w:rPr>
              <w:t>eports, as historical data ha</w:t>
            </w:r>
            <w:r w:rsidR="001F0FE5" w:rsidRPr="00F80387">
              <w:rPr>
                <w:sz w:val="18"/>
                <w:szCs w:val="18"/>
              </w:rPr>
              <w:t>s been adjusted to 2013-</w:t>
            </w:r>
            <w:r w:rsidR="00BD1A43" w:rsidRPr="00F80387">
              <w:rPr>
                <w:sz w:val="18"/>
                <w:szCs w:val="18"/>
              </w:rPr>
              <w:t>14 dollars using the General Government Final Consumption Expenditure chain price deflator (as calculated by the Productivity Commission and reported in the Report on Government Services).</w:t>
            </w:r>
          </w:p>
          <w:p w:rsidR="00BD1A43" w:rsidRPr="00F80387" w:rsidRDefault="00BD1A43" w:rsidP="001F0FE5">
            <w:pPr>
              <w:pStyle w:val="ListParagraph"/>
              <w:numPr>
                <w:ilvl w:val="0"/>
                <w:numId w:val="35"/>
              </w:numPr>
              <w:ind w:left="601" w:hanging="601"/>
            </w:pPr>
            <w:r w:rsidRPr="00F80387">
              <w:rPr>
                <w:sz w:val="18"/>
                <w:szCs w:val="18"/>
              </w:rPr>
              <w:t>This figure will be available in the Prod</w:t>
            </w:r>
            <w:r w:rsidR="001F0FE5" w:rsidRPr="00F80387">
              <w:rPr>
                <w:sz w:val="18"/>
                <w:szCs w:val="18"/>
              </w:rPr>
              <w:t>uctivity Commission’s</w:t>
            </w:r>
            <w:r w:rsidRPr="00F80387">
              <w:rPr>
                <w:sz w:val="18"/>
                <w:szCs w:val="18"/>
              </w:rPr>
              <w:t xml:space="preserve"> Report on Government Services published in January 2016.</w:t>
            </w:r>
            <w:r w:rsidRPr="00F80387">
              <w:t xml:space="preserve"> </w:t>
            </w:r>
          </w:p>
        </w:tc>
      </w:tr>
    </w:tbl>
    <w:p w:rsidR="00BD1A43" w:rsidRPr="00F80387" w:rsidRDefault="00BD1A43" w:rsidP="00BD1A43">
      <w:pPr>
        <w:pStyle w:val="Responselevel1"/>
        <w:numPr>
          <w:ilvl w:val="0"/>
          <w:numId w:val="0"/>
        </w:numPr>
        <w:rPr>
          <w:sz w:val="22"/>
          <w:szCs w:val="22"/>
        </w:rPr>
        <w:sectPr w:rsidR="00BD1A43" w:rsidRPr="00F80387" w:rsidSect="001F0FE5">
          <w:type w:val="continuous"/>
          <w:pgSz w:w="11906" w:h="16838" w:code="9"/>
          <w:pgMar w:top="907" w:right="1134" w:bottom="720" w:left="1134" w:header="709" w:footer="709" w:gutter="0"/>
          <w:cols w:space="708"/>
          <w:docGrid w:linePitch="360"/>
        </w:sectPr>
      </w:pPr>
    </w:p>
    <w:p w:rsidR="004C2198" w:rsidRDefault="00BD1A43" w:rsidP="00513C8F">
      <w:r w:rsidRPr="00F80387">
        <w:lastRenderedPageBreak/>
        <w:t>The demand</w:t>
      </w:r>
      <w:r w:rsidR="00B166D8" w:rsidRPr="00F80387">
        <w:t xml:space="preserve"> for Ambulance Services in 2014</w:t>
      </w:r>
      <w:r w:rsidR="00B166D8" w:rsidRPr="00F80387">
        <w:noBreakHyphen/>
      </w:r>
      <w:r w:rsidRPr="00F80387">
        <w:t xml:space="preserve">15 was 78 743 responses, a decrease of 168 ambulance responses or </w:t>
      </w:r>
      <w:r w:rsidR="009160CB">
        <w:t>0</w:t>
      </w:r>
      <w:r w:rsidRPr="00F80387">
        <w:t>.2 per cent on the previous year.  However</w:t>
      </w:r>
      <w:r w:rsidR="00513C8F" w:rsidRPr="00F80387">
        <w:t>,</w:t>
      </w:r>
      <w:r w:rsidRPr="00F80387">
        <w:t xml:space="preserve"> it should be noted that the number of ambulance incidents increased by 1</w:t>
      </w:r>
      <w:r w:rsidR="00513C8F" w:rsidRPr="00F80387">
        <w:t> </w:t>
      </w:r>
      <w:r w:rsidR="009160CB">
        <w:t xml:space="preserve">111 or </w:t>
      </w:r>
      <w:r w:rsidRPr="00F80387">
        <w:t>1.7</w:t>
      </w:r>
      <w:r w:rsidR="00513C8F" w:rsidRPr="00F80387">
        <w:t xml:space="preserve"> per cent</w:t>
      </w:r>
      <w:r w:rsidRPr="00F80387">
        <w:t xml:space="preserve"> on the previous year.  The main reason for the difference in the two measures is that the quick responding First Intervention Vehicle (FIV) trial of a single paramedic in a sedan concluded with the wit</w:t>
      </w:r>
      <w:r w:rsidR="00513C8F" w:rsidRPr="00F80387">
        <w:t xml:space="preserve">hdrawal of </w:t>
      </w:r>
      <w:r w:rsidR="0088467F">
        <w:t xml:space="preserve">Australian Government </w:t>
      </w:r>
      <w:r w:rsidR="00513C8F" w:rsidRPr="00F80387">
        <w:t>funding</w:t>
      </w:r>
      <w:r w:rsidRPr="00F80387">
        <w:t xml:space="preserve">. </w:t>
      </w:r>
    </w:p>
    <w:p w:rsidR="00BD1A43" w:rsidRPr="00810559" w:rsidRDefault="00810559" w:rsidP="00513C8F">
      <w:r w:rsidRPr="00810559">
        <w:t xml:space="preserve">The cessation of </w:t>
      </w:r>
      <w:r w:rsidR="0088467F">
        <w:t xml:space="preserve">this </w:t>
      </w:r>
      <w:r w:rsidRPr="00810559">
        <w:t xml:space="preserve">funding for the </w:t>
      </w:r>
      <w:r w:rsidR="00964617">
        <w:t xml:space="preserve">FIV </w:t>
      </w:r>
      <w:r w:rsidRPr="00810559">
        <w:t>meant that this performance improvement initiative was no longer available to first respond to m</w:t>
      </w:r>
      <w:r w:rsidR="004C2198">
        <w:t>edical emergencies.</w:t>
      </w:r>
      <w:r w:rsidRPr="00810559">
        <w:t xml:space="preserve"> As a result an increase in the time to provide care by the </w:t>
      </w:r>
      <w:r w:rsidR="004C2198">
        <w:t>s</w:t>
      </w:r>
      <w:r w:rsidRPr="00810559">
        <w:t>ervice was noted due to ambulance vehicles travelling from f</w:t>
      </w:r>
      <w:r w:rsidR="004C2198">
        <w:t>u</w:t>
      </w:r>
      <w:r w:rsidRPr="00810559">
        <w:t>rther away to attend 000 calls</w:t>
      </w:r>
      <w:r w:rsidR="00BD1A43" w:rsidRPr="00810559">
        <w:t xml:space="preserve">. </w:t>
      </w:r>
    </w:p>
    <w:p w:rsidR="00BD1A43" w:rsidRPr="00F80387" w:rsidRDefault="00BD1A43" w:rsidP="00513C8F">
      <w:r w:rsidRPr="00F80387">
        <w:t>Increasing ambulance activity is largely due to the ageing Tasmanian population and an increase in the number of people with chronic conditions who are cared for at home and require transport to hospital for acute episodes.  This increasing trend is likely to continue.</w:t>
      </w:r>
    </w:p>
    <w:p w:rsidR="00BD1A43" w:rsidRPr="00F80387" w:rsidRDefault="00BD1A43" w:rsidP="00513C8F">
      <w:r w:rsidRPr="00F80387">
        <w:br w:type="column"/>
      </w:r>
      <w:r w:rsidRPr="00F80387">
        <w:lastRenderedPageBreak/>
        <w:t xml:space="preserve">The 2014-15 median emergency response </w:t>
      </w:r>
      <w:proofErr w:type="gramStart"/>
      <w:r w:rsidRPr="00F80387">
        <w:t>time</w:t>
      </w:r>
      <w:proofErr w:type="gramEnd"/>
      <w:r w:rsidRPr="00F80387">
        <w:t xml:space="preserve"> for Tasmania is 11.6 minutes.  Approximately 50 per cent of all Tasmanian emergency calls were responded to within that timeframe.  </w:t>
      </w:r>
    </w:p>
    <w:p w:rsidR="00BD1A43" w:rsidRPr="00F80387" w:rsidRDefault="00BD1A43" w:rsidP="00513C8F">
      <w:r w:rsidRPr="00F80387">
        <w:t>The increase in demand for services can explain the decline in median emergency response times.</w:t>
      </w:r>
    </w:p>
    <w:p w:rsidR="00BD1A43" w:rsidRPr="00F80387" w:rsidRDefault="00BD1A43" w:rsidP="00513C8F">
      <w:r w:rsidRPr="00F80387">
        <w:t xml:space="preserve">Ambulance response times in Tasmania are affected by the wide dispersal of the population. Tasmania has the greatest proportion of people living in rural areas of all </w:t>
      </w:r>
      <w:r w:rsidR="00513C8F" w:rsidRPr="00F80387">
        <w:t>s</w:t>
      </w:r>
      <w:r w:rsidRPr="00F80387">
        <w:t xml:space="preserve">tates and </w:t>
      </w:r>
      <w:r w:rsidR="00513C8F" w:rsidRPr="00F80387">
        <w:t>t</w:t>
      </w:r>
      <w:r w:rsidRPr="00F80387">
        <w:t xml:space="preserve">erritories.  </w:t>
      </w:r>
    </w:p>
    <w:p w:rsidR="00BD1A43" w:rsidRPr="00F80387" w:rsidRDefault="00BD1A43" w:rsidP="00513C8F">
      <w:r w:rsidRPr="00F80387">
        <w:t>Strategies to reduce the impact of demand are a focal point of Ambulance Tasmania operations.  These include public education campaigns, community announcements, and improvements in technology</w:t>
      </w:r>
      <w:r w:rsidR="00513C8F" w:rsidRPr="00F80387">
        <w:t>.</w:t>
      </w:r>
    </w:p>
    <w:p w:rsidR="00BD1A43" w:rsidRDefault="00BD1A43" w:rsidP="00BD1A43"/>
    <w:p w:rsidR="00A26A86" w:rsidRPr="00F80387" w:rsidRDefault="00A26A86" w:rsidP="00BD1A43">
      <w:pPr>
        <w:sectPr w:rsidR="00A26A86" w:rsidRPr="00F80387" w:rsidSect="00BD1A43">
          <w:pgSz w:w="11906" w:h="16838" w:code="9"/>
          <w:pgMar w:top="907" w:right="1134" w:bottom="720" w:left="1134" w:header="709" w:footer="709" w:gutter="0"/>
          <w:cols w:num="2" w:space="708"/>
          <w:docGrid w:linePitch="360"/>
        </w:sectPr>
      </w:pPr>
    </w:p>
    <w:p w:rsidR="00BD1A43" w:rsidRPr="00F80387" w:rsidRDefault="00BD1A43" w:rsidP="00F80387">
      <w:pPr>
        <w:pStyle w:val="Heading2"/>
      </w:pPr>
      <w:r w:rsidRPr="00F80387">
        <w:lastRenderedPageBreak/>
        <w:t>Public Health</w:t>
      </w:r>
      <w:r w:rsidR="00513C8F" w:rsidRPr="00F80387">
        <w:t xml:space="preserve"> Services</w:t>
      </w:r>
    </w:p>
    <w:tbl>
      <w:tblPr>
        <w:tblW w:w="9639" w:type="dxa"/>
        <w:tblInd w:w="108" w:type="dxa"/>
        <w:tblBorders>
          <w:top w:val="single" w:sz="2" w:space="0" w:color="A6A6A6"/>
          <w:bottom w:val="single" w:sz="2" w:space="0" w:color="A6A6A6"/>
          <w:insideH w:val="single" w:sz="2" w:space="0" w:color="A6A6A6"/>
        </w:tblBorders>
        <w:tblLook w:val="04A0" w:firstRow="1" w:lastRow="0" w:firstColumn="1" w:lastColumn="0" w:noHBand="0" w:noVBand="1"/>
      </w:tblPr>
      <w:tblGrid>
        <w:gridCol w:w="2920"/>
        <w:gridCol w:w="1195"/>
        <w:gridCol w:w="1414"/>
        <w:gridCol w:w="1417"/>
        <w:gridCol w:w="1418"/>
        <w:gridCol w:w="1275"/>
      </w:tblGrid>
      <w:tr w:rsidR="00BD1A43" w:rsidRPr="000F4E38" w:rsidTr="00277671">
        <w:tc>
          <w:tcPr>
            <w:tcW w:w="2920" w:type="dxa"/>
            <w:vAlign w:val="center"/>
          </w:tcPr>
          <w:p w:rsidR="00BD1A43" w:rsidRPr="000F4E38" w:rsidRDefault="00BD1A43" w:rsidP="00277671">
            <w:pPr>
              <w:spacing w:before="60" w:after="60" w:line="240" w:lineRule="auto"/>
              <w:rPr>
                <w:b/>
                <w:sz w:val="18"/>
                <w:szCs w:val="18"/>
              </w:rPr>
            </w:pPr>
            <w:r w:rsidRPr="000F4E38">
              <w:rPr>
                <w:b/>
                <w:sz w:val="18"/>
                <w:szCs w:val="18"/>
              </w:rPr>
              <w:t>Performance Measure</w:t>
            </w:r>
          </w:p>
        </w:tc>
        <w:tc>
          <w:tcPr>
            <w:tcW w:w="1195" w:type="dxa"/>
          </w:tcPr>
          <w:p w:rsidR="00BD1A43" w:rsidRPr="000F4E38" w:rsidRDefault="00BD1A43" w:rsidP="00277671">
            <w:pPr>
              <w:spacing w:before="60" w:after="60" w:line="240" w:lineRule="auto"/>
              <w:jc w:val="right"/>
              <w:rPr>
                <w:b/>
                <w:sz w:val="18"/>
                <w:szCs w:val="18"/>
              </w:rPr>
            </w:pPr>
            <w:r w:rsidRPr="000F4E38">
              <w:rPr>
                <w:b/>
                <w:sz w:val="18"/>
                <w:szCs w:val="18"/>
              </w:rPr>
              <w:t>Unit of Measure</w:t>
            </w:r>
          </w:p>
        </w:tc>
        <w:tc>
          <w:tcPr>
            <w:tcW w:w="1414" w:type="dxa"/>
          </w:tcPr>
          <w:p w:rsidR="00BD1A43" w:rsidRPr="000F4E38" w:rsidRDefault="00BD1A43" w:rsidP="00277671">
            <w:pPr>
              <w:spacing w:before="60" w:after="60" w:line="240" w:lineRule="auto"/>
              <w:jc w:val="right"/>
              <w:rPr>
                <w:b/>
                <w:sz w:val="18"/>
                <w:szCs w:val="18"/>
              </w:rPr>
            </w:pPr>
            <w:r w:rsidRPr="000F4E38">
              <w:rPr>
                <w:b/>
                <w:sz w:val="18"/>
                <w:szCs w:val="18"/>
              </w:rPr>
              <w:t>2011-12</w:t>
            </w:r>
          </w:p>
          <w:p w:rsidR="00BD1A43" w:rsidRPr="000F4E38" w:rsidRDefault="00BD1A43" w:rsidP="00277671">
            <w:pPr>
              <w:spacing w:before="60" w:after="60" w:line="240" w:lineRule="auto"/>
              <w:jc w:val="right"/>
              <w:rPr>
                <w:b/>
                <w:sz w:val="18"/>
                <w:szCs w:val="18"/>
              </w:rPr>
            </w:pPr>
            <w:r w:rsidRPr="000F4E38">
              <w:rPr>
                <w:b/>
                <w:sz w:val="18"/>
                <w:szCs w:val="18"/>
              </w:rPr>
              <w:t>Actual</w:t>
            </w:r>
          </w:p>
        </w:tc>
        <w:tc>
          <w:tcPr>
            <w:tcW w:w="1417" w:type="dxa"/>
          </w:tcPr>
          <w:p w:rsidR="00BD1A43" w:rsidRPr="000F4E38" w:rsidRDefault="00BD1A43" w:rsidP="00277671">
            <w:pPr>
              <w:spacing w:before="60" w:after="60" w:line="240" w:lineRule="auto"/>
              <w:jc w:val="right"/>
              <w:rPr>
                <w:b/>
                <w:sz w:val="18"/>
                <w:szCs w:val="18"/>
              </w:rPr>
            </w:pPr>
            <w:r w:rsidRPr="000F4E38">
              <w:rPr>
                <w:b/>
                <w:sz w:val="18"/>
                <w:szCs w:val="18"/>
              </w:rPr>
              <w:t>2012-13</w:t>
            </w:r>
          </w:p>
          <w:p w:rsidR="00BD1A43" w:rsidRPr="000F4E38" w:rsidRDefault="00BD1A43" w:rsidP="00277671">
            <w:pPr>
              <w:spacing w:before="60" w:after="60" w:line="240" w:lineRule="auto"/>
              <w:jc w:val="right"/>
              <w:rPr>
                <w:b/>
                <w:sz w:val="18"/>
                <w:szCs w:val="18"/>
              </w:rPr>
            </w:pPr>
            <w:r w:rsidRPr="000F4E38">
              <w:rPr>
                <w:b/>
                <w:sz w:val="18"/>
                <w:szCs w:val="18"/>
              </w:rPr>
              <w:t>Actual</w:t>
            </w:r>
          </w:p>
        </w:tc>
        <w:tc>
          <w:tcPr>
            <w:tcW w:w="1418" w:type="dxa"/>
          </w:tcPr>
          <w:p w:rsidR="00BD1A43" w:rsidRPr="000F4E38" w:rsidRDefault="00BD1A43" w:rsidP="00277671">
            <w:pPr>
              <w:spacing w:before="60" w:after="60" w:line="240" w:lineRule="auto"/>
              <w:jc w:val="right"/>
              <w:rPr>
                <w:b/>
                <w:sz w:val="18"/>
                <w:szCs w:val="18"/>
              </w:rPr>
            </w:pPr>
            <w:r w:rsidRPr="000F4E38">
              <w:rPr>
                <w:b/>
                <w:sz w:val="18"/>
                <w:szCs w:val="18"/>
              </w:rPr>
              <w:t>2013-14</w:t>
            </w:r>
          </w:p>
          <w:p w:rsidR="00BD1A43" w:rsidRPr="000F4E38" w:rsidRDefault="00BD1A43" w:rsidP="00277671">
            <w:pPr>
              <w:spacing w:before="60" w:after="60" w:line="240" w:lineRule="auto"/>
              <w:jc w:val="right"/>
              <w:rPr>
                <w:b/>
                <w:sz w:val="18"/>
                <w:szCs w:val="18"/>
              </w:rPr>
            </w:pPr>
            <w:r w:rsidRPr="000F4E38">
              <w:rPr>
                <w:b/>
                <w:sz w:val="18"/>
                <w:szCs w:val="18"/>
              </w:rPr>
              <w:t>Actual</w:t>
            </w:r>
          </w:p>
        </w:tc>
        <w:tc>
          <w:tcPr>
            <w:tcW w:w="1275" w:type="dxa"/>
          </w:tcPr>
          <w:p w:rsidR="00BD1A43" w:rsidRPr="000F4E38" w:rsidRDefault="00BD1A43" w:rsidP="00277671">
            <w:pPr>
              <w:spacing w:before="60" w:after="60" w:line="240" w:lineRule="auto"/>
              <w:jc w:val="right"/>
              <w:rPr>
                <w:b/>
                <w:sz w:val="18"/>
                <w:szCs w:val="18"/>
              </w:rPr>
            </w:pPr>
            <w:r w:rsidRPr="000F4E38">
              <w:rPr>
                <w:b/>
                <w:sz w:val="18"/>
                <w:szCs w:val="18"/>
              </w:rPr>
              <w:t>2014-15</w:t>
            </w:r>
          </w:p>
          <w:p w:rsidR="00BD1A43" w:rsidRPr="000F4E38" w:rsidRDefault="00BD1A43" w:rsidP="00277671">
            <w:pPr>
              <w:spacing w:before="60" w:after="60" w:line="240" w:lineRule="auto"/>
              <w:jc w:val="right"/>
              <w:rPr>
                <w:b/>
                <w:sz w:val="18"/>
                <w:szCs w:val="18"/>
              </w:rPr>
            </w:pPr>
            <w:r w:rsidRPr="000F4E38">
              <w:rPr>
                <w:b/>
                <w:sz w:val="18"/>
                <w:szCs w:val="18"/>
              </w:rPr>
              <w:t>Actual</w:t>
            </w:r>
          </w:p>
        </w:tc>
      </w:tr>
      <w:tr w:rsidR="00BD1A43" w:rsidRPr="00F80387" w:rsidTr="00277671">
        <w:tc>
          <w:tcPr>
            <w:tcW w:w="2920" w:type="dxa"/>
            <w:vAlign w:val="center"/>
          </w:tcPr>
          <w:p w:rsidR="00BD1A43" w:rsidRPr="00F80387" w:rsidRDefault="00BD1A43" w:rsidP="00513C8F">
            <w:pPr>
              <w:pStyle w:val="Table-AnnualReport"/>
              <w:rPr>
                <w:b/>
              </w:rPr>
            </w:pPr>
            <w:r w:rsidRPr="00F80387">
              <w:rPr>
                <w:b/>
              </w:rPr>
              <w:t>Vaccines</w:t>
            </w:r>
          </w:p>
        </w:tc>
        <w:tc>
          <w:tcPr>
            <w:tcW w:w="1195" w:type="dxa"/>
            <w:vAlign w:val="center"/>
          </w:tcPr>
          <w:p w:rsidR="00BD1A43" w:rsidRPr="00F80387" w:rsidRDefault="00BD1A43" w:rsidP="00513C8F">
            <w:pPr>
              <w:pStyle w:val="Table-AnnualReport"/>
              <w:jc w:val="right"/>
              <w:rPr>
                <w:b/>
              </w:rPr>
            </w:pPr>
          </w:p>
        </w:tc>
        <w:tc>
          <w:tcPr>
            <w:tcW w:w="1414" w:type="dxa"/>
            <w:vAlign w:val="center"/>
          </w:tcPr>
          <w:p w:rsidR="00BD1A43" w:rsidRPr="00F80387" w:rsidRDefault="00BD1A43" w:rsidP="00513C8F">
            <w:pPr>
              <w:pStyle w:val="Table-AnnualReport"/>
              <w:jc w:val="right"/>
              <w:rPr>
                <w:b/>
              </w:rPr>
            </w:pPr>
          </w:p>
        </w:tc>
        <w:tc>
          <w:tcPr>
            <w:tcW w:w="1417" w:type="dxa"/>
            <w:vAlign w:val="center"/>
          </w:tcPr>
          <w:p w:rsidR="00BD1A43" w:rsidRPr="00F80387" w:rsidRDefault="00BD1A43" w:rsidP="00513C8F">
            <w:pPr>
              <w:pStyle w:val="Table-AnnualReport"/>
              <w:jc w:val="right"/>
              <w:rPr>
                <w:b/>
              </w:rPr>
            </w:pPr>
          </w:p>
        </w:tc>
        <w:tc>
          <w:tcPr>
            <w:tcW w:w="1418" w:type="dxa"/>
            <w:vAlign w:val="center"/>
          </w:tcPr>
          <w:p w:rsidR="00BD1A43" w:rsidRPr="00F80387" w:rsidRDefault="00BD1A43" w:rsidP="00513C8F">
            <w:pPr>
              <w:pStyle w:val="Table-AnnualReport"/>
              <w:jc w:val="right"/>
              <w:rPr>
                <w:b/>
              </w:rPr>
            </w:pPr>
          </w:p>
        </w:tc>
        <w:tc>
          <w:tcPr>
            <w:tcW w:w="1275" w:type="dxa"/>
            <w:vAlign w:val="center"/>
          </w:tcPr>
          <w:p w:rsidR="00BD1A43" w:rsidRPr="00F80387" w:rsidRDefault="00BD1A43" w:rsidP="00513C8F">
            <w:pPr>
              <w:pStyle w:val="Table-AnnualReport"/>
              <w:jc w:val="right"/>
              <w:rPr>
                <w:b/>
              </w:rPr>
            </w:pPr>
          </w:p>
        </w:tc>
      </w:tr>
      <w:tr w:rsidR="00BD1A43" w:rsidRPr="00F80387" w:rsidTr="00277671">
        <w:tc>
          <w:tcPr>
            <w:tcW w:w="2920" w:type="dxa"/>
            <w:vAlign w:val="center"/>
          </w:tcPr>
          <w:p w:rsidR="00BD1A43" w:rsidRPr="00F80387" w:rsidRDefault="00BD1A43" w:rsidP="00513C8F">
            <w:pPr>
              <w:pStyle w:val="Table-AnnualReport"/>
            </w:pPr>
            <w:r w:rsidRPr="00F80387">
              <w:t xml:space="preserve">Vaccine coverage in children aged </w:t>
            </w:r>
            <w:r w:rsidRPr="00F80387">
              <w:br/>
              <w:t>12-15 months</w:t>
            </w:r>
          </w:p>
        </w:tc>
        <w:tc>
          <w:tcPr>
            <w:tcW w:w="1195" w:type="dxa"/>
            <w:vAlign w:val="center"/>
          </w:tcPr>
          <w:p w:rsidR="00BD1A43" w:rsidRPr="00F80387" w:rsidRDefault="00BD1A43" w:rsidP="00513C8F">
            <w:pPr>
              <w:pStyle w:val="Table-AnnualReport"/>
              <w:jc w:val="right"/>
            </w:pPr>
            <w:r w:rsidRPr="00F80387">
              <w:t>%</w:t>
            </w:r>
          </w:p>
        </w:tc>
        <w:tc>
          <w:tcPr>
            <w:tcW w:w="1414" w:type="dxa"/>
            <w:vAlign w:val="center"/>
          </w:tcPr>
          <w:p w:rsidR="00BD1A43" w:rsidRPr="00F80387" w:rsidRDefault="00BD1A43" w:rsidP="00513C8F">
            <w:pPr>
              <w:pStyle w:val="Table-AnnualReport"/>
              <w:jc w:val="right"/>
            </w:pPr>
            <w:r w:rsidRPr="00F80387">
              <w:t>93.0</w:t>
            </w:r>
          </w:p>
        </w:tc>
        <w:tc>
          <w:tcPr>
            <w:tcW w:w="1417" w:type="dxa"/>
            <w:vAlign w:val="center"/>
          </w:tcPr>
          <w:p w:rsidR="00BD1A43" w:rsidRPr="00F80387" w:rsidRDefault="00BD1A43" w:rsidP="00513C8F">
            <w:pPr>
              <w:pStyle w:val="Table-AnnualReport"/>
              <w:jc w:val="right"/>
            </w:pPr>
            <w:r w:rsidRPr="00F80387">
              <w:t>92.7</w:t>
            </w:r>
          </w:p>
        </w:tc>
        <w:tc>
          <w:tcPr>
            <w:tcW w:w="1418" w:type="dxa"/>
            <w:vAlign w:val="center"/>
          </w:tcPr>
          <w:p w:rsidR="00BD1A43" w:rsidRPr="00F80387" w:rsidRDefault="00BD1A43" w:rsidP="00513C8F">
            <w:pPr>
              <w:pStyle w:val="Table-AnnualReport"/>
              <w:jc w:val="right"/>
            </w:pPr>
            <w:r w:rsidRPr="00F80387">
              <w:t>89.8</w:t>
            </w:r>
          </w:p>
        </w:tc>
        <w:tc>
          <w:tcPr>
            <w:tcW w:w="1275" w:type="dxa"/>
            <w:vAlign w:val="center"/>
          </w:tcPr>
          <w:p w:rsidR="00BD1A43" w:rsidRPr="00F80387" w:rsidRDefault="00BD1A43" w:rsidP="00513C8F">
            <w:pPr>
              <w:pStyle w:val="Table-AnnualReport"/>
              <w:jc w:val="right"/>
            </w:pPr>
            <w:r w:rsidRPr="00F80387">
              <w:t>90.4</w:t>
            </w:r>
          </w:p>
        </w:tc>
      </w:tr>
      <w:tr w:rsidR="00BD1A43" w:rsidRPr="00F80387" w:rsidTr="00277671">
        <w:tc>
          <w:tcPr>
            <w:tcW w:w="2920" w:type="dxa"/>
            <w:vAlign w:val="center"/>
          </w:tcPr>
          <w:p w:rsidR="00BD1A43" w:rsidRPr="00F80387" w:rsidRDefault="00BD1A43" w:rsidP="00513C8F">
            <w:pPr>
              <w:pStyle w:val="Table-AnnualReport"/>
            </w:pPr>
            <w:r w:rsidRPr="00F80387">
              <w:t xml:space="preserve">Vaccine coverage in children aged </w:t>
            </w:r>
            <w:r w:rsidRPr="00F80387">
              <w:br/>
              <w:t>24-27 months</w:t>
            </w:r>
          </w:p>
        </w:tc>
        <w:tc>
          <w:tcPr>
            <w:tcW w:w="1195" w:type="dxa"/>
            <w:vAlign w:val="center"/>
          </w:tcPr>
          <w:p w:rsidR="00BD1A43" w:rsidRPr="00F80387" w:rsidRDefault="00BD1A43" w:rsidP="00513C8F">
            <w:pPr>
              <w:pStyle w:val="Table-AnnualReport"/>
              <w:jc w:val="right"/>
            </w:pPr>
            <w:r w:rsidRPr="00F80387">
              <w:t>%</w:t>
            </w:r>
          </w:p>
        </w:tc>
        <w:tc>
          <w:tcPr>
            <w:tcW w:w="1414" w:type="dxa"/>
            <w:vAlign w:val="center"/>
          </w:tcPr>
          <w:p w:rsidR="00BD1A43" w:rsidRPr="00F80387" w:rsidRDefault="00BD1A43" w:rsidP="00513C8F">
            <w:pPr>
              <w:pStyle w:val="Table-AnnualReport"/>
              <w:jc w:val="right"/>
            </w:pPr>
            <w:r w:rsidRPr="00F80387">
              <w:t>93.6</w:t>
            </w:r>
          </w:p>
        </w:tc>
        <w:tc>
          <w:tcPr>
            <w:tcW w:w="1417" w:type="dxa"/>
            <w:vAlign w:val="center"/>
          </w:tcPr>
          <w:p w:rsidR="00BD1A43" w:rsidRPr="00F80387" w:rsidRDefault="00BD1A43" w:rsidP="00513C8F">
            <w:pPr>
              <w:pStyle w:val="Table-AnnualReport"/>
              <w:jc w:val="right"/>
            </w:pPr>
            <w:r w:rsidRPr="00F80387">
              <w:t>94.0</w:t>
            </w:r>
          </w:p>
        </w:tc>
        <w:tc>
          <w:tcPr>
            <w:tcW w:w="1418" w:type="dxa"/>
            <w:vAlign w:val="center"/>
          </w:tcPr>
          <w:p w:rsidR="00BD1A43" w:rsidRPr="00F80387" w:rsidRDefault="00BD1A43" w:rsidP="00513C8F">
            <w:pPr>
              <w:pStyle w:val="Table-AnnualReport"/>
              <w:jc w:val="right"/>
            </w:pPr>
            <w:r w:rsidRPr="00F80387">
              <w:t>93.5</w:t>
            </w:r>
          </w:p>
        </w:tc>
        <w:tc>
          <w:tcPr>
            <w:tcW w:w="1275" w:type="dxa"/>
            <w:vAlign w:val="center"/>
          </w:tcPr>
          <w:p w:rsidR="00BD1A43" w:rsidRPr="00F80387" w:rsidRDefault="00BD1A43" w:rsidP="00513C8F">
            <w:pPr>
              <w:pStyle w:val="Table-AnnualReport"/>
              <w:jc w:val="right"/>
            </w:pPr>
            <w:r w:rsidRPr="00F80387">
              <w:t>88.7</w:t>
            </w:r>
          </w:p>
        </w:tc>
      </w:tr>
      <w:tr w:rsidR="00BD1A43" w:rsidRPr="00F80387" w:rsidTr="00277671">
        <w:tc>
          <w:tcPr>
            <w:tcW w:w="2920" w:type="dxa"/>
            <w:vAlign w:val="center"/>
          </w:tcPr>
          <w:p w:rsidR="00BD1A43" w:rsidRPr="00F80387" w:rsidRDefault="00BD1A43" w:rsidP="00513C8F">
            <w:pPr>
              <w:pStyle w:val="Table-AnnualReport"/>
              <w:rPr>
                <w:b/>
              </w:rPr>
            </w:pPr>
            <w:r w:rsidRPr="00F80387">
              <w:rPr>
                <w:b/>
              </w:rPr>
              <w:t>Cancer Screening</w:t>
            </w:r>
          </w:p>
        </w:tc>
        <w:tc>
          <w:tcPr>
            <w:tcW w:w="1195" w:type="dxa"/>
            <w:vAlign w:val="center"/>
          </w:tcPr>
          <w:p w:rsidR="00BD1A43" w:rsidRPr="00F80387" w:rsidRDefault="00BD1A43" w:rsidP="00513C8F">
            <w:pPr>
              <w:pStyle w:val="Table-AnnualReport"/>
              <w:jc w:val="right"/>
              <w:rPr>
                <w:b/>
              </w:rPr>
            </w:pPr>
          </w:p>
        </w:tc>
        <w:tc>
          <w:tcPr>
            <w:tcW w:w="1414" w:type="dxa"/>
            <w:vAlign w:val="center"/>
          </w:tcPr>
          <w:p w:rsidR="00BD1A43" w:rsidRPr="00F80387" w:rsidRDefault="00BD1A43" w:rsidP="00513C8F">
            <w:pPr>
              <w:pStyle w:val="Table-AnnualReport"/>
              <w:jc w:val="right"/>
              <w:rPr>
                <w:b/>
              </w:rPr>
            </w:pPr>
          </w:p>
        </w:tc>
        <w:tc>
          <w:tcPr>
            <w:tcW w:w="1417" w:type="dxa"/>
            <w:vAlign w:val="center"/>
          </w:tcPr>
          <w:p w:rsidR="00BD1A43" w:rsidRPr="00F80387" w:rsidRDefault="00BD1A43" w:rsidP="00513C8F">
            <w:pPr>
              <w:pStyle w:val="Table-AnnualReport"/>
              <w:jc w:val="right"/>
              <w:rPr>
                <w:b/>
              </w:rPr>
            </w:pPr>
          </w:p>
        </w:tc>
        <w:tc>
          <w:tcPr>
            <w:tcW w:w="1418" w:type="dxa"/>
            <w:vAlign w:val="center"/>
          </w:tcPr>
          <w:p w:rsidR="00BD1A43" w:rsidRPr="00F80387" w:rsidRDefault="00BD1A43" w:rsidP="00513C8F">
            <w:pPr>
              <w:pStyle w:val="Table-AnnualReport"/>
              <w:jc w:val="right"/>
              <w:rPr>
                <w:b/>
              </w:rPr>
            </w:pPr>
          </w:p>
        </w:tc>
        <w:tc>
          <w:tcPr>
            <w:tcW w:w="1275" w:type="dxa"/>
            <w:vAlign w:val="center"/>
          </w:tcPr>
          <w:p w:rsidR="00BD1A43" w:rsidRPr="00F80387" w:rsidRDefault="00BD1A43" w:rsidP="00513C8F">
            <w:pPr>
              <w:pStyle w:val="Table-AnnualReport"/>
              <w:jc w:val="right"/>
              <w:rPr>
                <w:b/>
              </w:rPr>
            </w:pPr>
          </w:p>
        </w:tc>
      </w:tr>
      <w:tr w:rsidR="00BD1A43" w:rsidRPr="00F80387" w:rsidTr="00277671">
        <w:tc>
          <w:tcPr>
            <w:tcW w:w="2920" w:type="dxa"/>
            <w:vAlign w:val="center"/>
          </w:tcPr>
          <w:p w:rsidR="00BD1A43" w:rsidRPr="00F80387" w:rsidRDefault="00BD1A43" w:rsidP="00513C8F">
            <w:pPr>
              <w:pStyle w:val="Table-AnnualReport"/>
            </w:pPr>
            <w:r w:rsidRPr="00F80387">
              <w:t>Eligible women screened for breast cancer</w:t>
            </w:r>
          </w:p>
        </w:tc>
        <w:tc>
          <w:tcPr>
            <w:tcW w:w="1195" w:type="dxa"/>
            <w:vAlign w:val="center"/>
          </w:tcPr>
          <w:p w:rsidR="00BD1A43" w:rsidRPr="00F80387" w:rsidRDefault="00BD1A43" w:rsidP="00513C8F">
            <w:pPr>
              <w:pStyle w:val="Table-AnnualReport"/>
              <w:jc w:val="right"/>
            </w:pPr>
            <w:r w:rsidRPr="00F80387">
              <w:t>Number</w:t>
            </w:r>
          </w:p>
        </w:tc>
        <w:tc>
          <w:tcPr>
            <w:tcW w:w="1414" w:type="dxa"/>
            <w:vAlign w:val="center"/>
          </w:tcPr>
          <w:p w:rsidR="00BD1A43" w:rsidRPr="00F80387" w:rsidRDefault="00BD1A43" w:rsidP="00513C8F">
            <w:pPr>
              <w:pStyle w:val="Table-AnnualReport"/>
              <w:jc w:val="right"/>
            </w:pPr>
            <w:r w:rsidRPr="00F80387">
              <w:t>27 069</w:t>
            </w:r>
          </w:p>
        </w:tc>
        <w:tc>
          <w:tcPr>
            <w:tcW w:w="1417" w:type="dxa"/>
            <w:vAlign w:val="center"/>
          </w:tcPr>
          <w:p w:rsidR="00BD1A43" w:rsidRPr="00F80387" w:rsidRDefault="00BD1A43" w:rsidP="00513C8F">
            <w:pPr>
              <w:pStyle w:val="Table-AnnualReport"/>
              <w:jc w:val="right"/>
            </w:pPr>
            <w:r w:rsidRPr="00F80387">
              <w:t>28 074</w:t>
            </w:r>
          </w:p>
        </w:tc>
        <w:tc>
          <w:tcPr>
            <w:tcW w:w="1418" w:type="dxa"/>
            <w:vAlign w:val="center"/>
          </w:tcPr>
          <w:p w:rsidR="00BD1A43" w:rsidRPr="00F80387" w:rsidRDefault="00BD1A43" w:rsidP="00513C8F">
            <w:pPr>
              <w:pStyle w:val="Table-AnnualReport"/>
              <w:jc w:val="right"/>
            </w:pPr>
            <w:r w:rsidRPr="00F80387">
              <w:t>29 236</w:t>
            </w:r>
          </w:p>
        </w:tc>
        <w:tc>
          <w:tcPr>
            <w:tcW w:w="1275" w:type="dxa"/>
            <w:vAlign w:val="center"/>
          </w:tcPr>
          <w:p w:rsidR="00BD1A43" w:rsidRPr="00F80387" w:rsidRDefault="00BD1A43" w:rsidP="00513C8F">
            <w:pPr>
              <w:pStyle w:val="Table-AnnualReport"/>
              <w:jc w:val="right"/>
            </w:pPr>
            <w:r w:rsidRPr="00F80387">
              <w:t>30 265</w:t>
            </w:r>
          </w:p>
        </w:tc>
      </w:tr>
      <w:tr w:rsidR="00BD1A43" w:rsidRPr="00F80387" w:rsidTr="00277671">
        <w:tc>
          <w:tcPr>
            <w:tcW w:w="2920" w:type="dxa"/>
            <w:tcBorders>
              <w:bottom w:val="single" w:sz="2" w:space="0" w:color="A6A6A6"/>
            </w:tcBorders>
            <w:vAlign w:val="center"/>
          </w:tcPr>
          <w:p w:rsidR="00BD1A43" w:rsidRPr="00F80387" w:rsidRDefault="00BD1A43" w:rsidP="00513C8F">
            <w:pPr>
              <w:pStyle w:val="Table-AnnualReport"/>
            </w:pPr>
            <w:r w:rsidRPr="00F80387">
              <w:t>BreastScreen - percentage of clients assessed within 28 days of screening</w:t>
            </w:r>
          </w:p>
        </w:tc>
        <w:tc>
          <w:tcPr>
            <w:tcW w:w="1195" w:type="dxa"/>
            <w:tcBorders>
              <w:bottom w:val="single" w:sz="2" w:space="0" w:color="A6A6A6"/>
            </w:tcBorders>
            <w:vAlign w:val="center"/>
          </w:tcPr>
          <w:p w:rsidR="00BD1A43" w:rsidRPr="00F80387" w:rsidRDefault="00BD1A43" w:rsidP="00513C8F">
            <w:pPr>
              <w:pStyle w:val="Table-AnnualReport"/>
              <w:jc w:val="right"/>
            </w:pPr>
            <w:r w:rsidRPr="00F80387">
              <w:t>%</w:t>
            </w:r>
          </w:p>
        </w:tc>
        <w:tc>
          <w:tcPr>
            <w:tcW w:w="1414" w:type="dxa"/>
            <w:tcBorders>
              <w:bottom w:val="single" w:sz="2" w:space="0" w:color="A6A6A6"/>
            </w:tcBorders>
            <w:vAlign w:val="center"/>
          </w:tcPr>
          <w:p w:rsidR="00BD1A43" w:rsidRPr="00964617" w:rsidRDefault="00BD1A43" w:rsidP="00513C8F">
            <w:pPr>
              <w:pStyle w:val="Table-AnnualReport"/>
              <w:jc w:val="right"/>
              <w:rPr>
                <w:vertAlign w:val="superscript"/>
              </w:rPr>
            </w:pPr>
            <w:r w:rsidRPr="00F80387">
              <w:t>92.5</w:t>
            </w:r>
            <w:r w:rsidR="00964617">
              <w:rPr>
                <w:vertAlign w:val="superscript"/>
              </w:rPr>
              <w:t>1</w:t>
            </w:r>
          </w:p>
        </w:tc>
        <w:tc>
          <w:tcPr>
            <w:tcW w:w="1417" w:type="dxa"/>
            <w:tcBorders>
              <w:bottom w:val="single" w:sz="2" w:space="0" w:color="A6A6A6"/>
            </w:tcBorders>
            <w:vAlign w:val="center"/>
          </w:tcPr>
          <w:p w:rsidR="00BD1A43" w:rsidRPr="00F80387" w:rsidRDefault="00BD1A43" w:rsidP="00513C8F">
            <w:pPr>
              <w:pStyle w:val="Table-AnnualReport"/>
              <w:jc w:val="right"/>
            </w:pPr>
            <w:r w:rsidRPr="00F80387">
              <w:t>92.9</w:t>
            </w:r>
          </w:p>
        </w:tc>
        <w:tc>
          <w:tcPr>
            <w:tcW w:w="1418" w:type="dxa"/>
            <w:tcBorders>
              <w:bottom w:val="single" w:sz="2" w:space="0" w:color="A6A6A6"/>
            </w:tcBorders>
            <w:vAlign w:val="center"/>
          </w:tcPr>
          <w:p w:rsidR="00BD1A43" w:rsidRPr="00F80387" w:rsidRDefault="00BD1A43" w:rsidP="00513C8F">
            <w:pPr>
              <w:pStyle w:val="Table-AnnualReport"/>
              <w:jc w:val="right"/>
            </w:pPr>
            <w:r w:rsidRPr="00F80387">
              <w:t>94.2</w:t>
            </w:r>
          </w:p>
        </w:tc>
        <w:tc>
          <w:tcPr>
            <w:tcW w:w="1275" w:type="dxa"/>
            <w:tcBorders>
              <w:bottom w:val="single" w:sz="2" w:space="0" w:color="A6A6A6"/>
            </w:tcBorders>
            <w:vAlign w:val="center"/>
          </w:tcPr>
          <w:p w:rsidR="00BD1A43" w:rsidRPr="00F80387" w:rsidRDefault="00BD1A43" w:rsidP="00513C8F">
            <w:pPr>
              <w:pStyle w:val="Table-AnnualReport"/>
              <w:jc w:val="right"/>
            </w:pPr>
            <w:r w:rsidRPr="00F80387">
              <w:t>90.3</w:t>
            </w:r>
          </w:p>
        </w:tc>
      </w:tr>
      <w:tr w:rsidR="00513C8F" w:rsidRPr="00964617" w:rsidTr="00513C8F">
        <w:tc>
          <w:tcPr>
            <w:tcW w:w="9639" w:type="dxa"/>
            <w:gridSpan w:val="6"/>
            <w:tcBorders>
              <w:bottom w:val="nil"/>
            </w:tcBorders>
            <w:vAlign w:val="center"/>
          </w:tcPr>
          <w:p w:rsidR="00513C8F" w:rsidRPr="00964617" w:rsidRDefault="00513C8F" w:rsidP="00DD219F">
            <w:pPr>
              <w:widowControl w:val="0"/>
              <w:tabs>
                <w:tab w:val="clear" w:pos="567"/>
              </w:tabs>
              <w:spacing w:before="120" w:after="120" w:line="240" w:lineRule="auto"/>
              <w:rPr>
                <w:sz w:val="18"/>
                <w:szCs w:val="18"/>
                <w:lang w:bidi="en-US"/>
              </w:rPr>
            </w:pPr>
            <w:r w:rsidRPr="00964617">
              <w:rPr>
                <w:sz w:val="18"/>
                <w:szCs w:val="18"/>
                <w:lang w:bidi="en-US"/>
              </w:rPr>
              <w:t>Note:</w:t>
            </w:r>
          </w:p>
          <w:p w:rsidR="001D0B41" w:rsidRPr="00964617" w:rsidRDefault="00513C8F" w:rsidP="00857F4E">
            <w:pPr>
              <w:pStyle w:val="ListNumber2"/>
              <w:keepLines/>
              <w:widowControl w:val="0"/>
              <w:numPr>
                <w:ilvl w:val="0"/>
                <w:numId w:val="36"/>
              </w:numPr>
              <w:tabs>
                <w:tab w:val="clear" w:pos="567"/>
              </w:tabs>
              <w:spacing w:before="120" w:after="120" w:line="240" w:lineRule="auto"/>
              <w:ind w:left="567" w:hanging="567"/>
              <w:rPr>
                <w:sz w:val="18"/>
                <w:szCs w:val="18"/>
                <w:lang w:bidi="en-US"/>
              </w:rPr>
            </w:pPr>
            <w:r w:rsidRPr="00BE509B">
              <w:rPr>
                <w:sz w:val="18"/>
                <w:szCs w:val="18"/>
                <w:lang w:bidi="en-US"/>
              </w:rPr>
              <w:t>The percentage of clients assessed within 28 days has been amended to correctly reflect the outcome reported by BreastScreen.</w:t>
            </w:r>
            <w:r w:rsidR="00B15B39" w:rsidRPr="00BE509B">
              <w:rPr>
                <w:sz w:val="18"/>
                <w:szCs w:val="18"/>
                <w:lang w:bidi="en-US"/>
              </w:rPr>
              <w:t xml:space="preserve"> </w:t>
            </w:r>
          </w:p>
        </w:tc>
      </w:tr>
    </w:tbl>
    <w:p w:rsidR="00BD1A43" w:rsidRPr="00F80387" w:rsidRDefault="00BD1A43" w:rsidP="00BD1A43">
      <w:pPr>
        <w:sectPr w:rsidR="00BD1A43" w:rsidRPr="00F80387">
          <w:pgSz w:w="11906" w:h="16838"/>
          <w:pgMar w:top="1440" w:right="1440" w:bottom="1440" w:left="1440" w:header="708" w:footer="708" w:gutter="0"/>
          <w:cols w:space="708"/>
          <w:docGrid w:linePitch="360"/>
        </w:sectPr>
      </w:pPr>
    </w:p>
    <w:p w:rsidR="00BD1A43" w:rsidRPr="00F80387" w:rsidRDefault="00BD1A43" w:rsidP="00BD1A43">
      <w:r w:rsidRPr="00F80387">
        <w:lastRenderedPageBreak/>
        <w:t>Vaccination continues to be accepted as a fundamentally important way to protect Tasmanian children from potentially serious infectious disease.</w:t>
      </w:r>
    </w:p>
    <w:p w:rsidR="00BD1A43" w:rsidRPr="00F80387" w:rsidRDefault="003524B1" w:rsidP="00BD1A43">
      <w:r w:rsidRPr="00F80387">
        <w:t>The r</w:t>
      </w:r>
      <w:r w:rsidR="00BD1A43" w:rsidRPr="00F80387">
        <w:t>eported vacc</w:t>
      </w:r>
      <w:r w:rsidR="00513C8F" w:rsidRPr="00F80387">
        <w:t>ination coverage rate in the 24</w:t>
      </w:r>
      <w:r w:rsidR="00513C8F" w:rsidRPr="00F80387">
        <w:noBreakHyphen/>
      </w:r>
      <w:r w:rsidR="00BD1A43" w:rsidRPr="00F80387">
        <w:t>27 month age cohort is influenced by the change in definition of ‘fully immunised’ with the inclusion of new vaccines.  A drop in coverage is expected and a return to a new increased baseline is likely to occur over two to three years.</w:t>
      </w:r>
    </w:p>
    <w:p w:rsidR="000F4E38" w:rsidRDefault="00BD1A43" w:rsidP="00F10F6B">
      <w:r w:rsidRPr="00F10F6B">
        <w:t xml:space="preserve">Cancer screening programs are integral in the </w:t>
      </w:r>
      <w:r w:rsidR="00070FA1">
        <w:t>preventive</w:t>
      </w:r>
      <w:r w:rsidRPr="00F10F6B">
        <w:t xml:space="preserve"> healthcare pathway. Cancer Screening and Control Services engages with people from all social and cultural backgrounds to improve the health of all Tasmanians through increased awareness of ways to reduce our risks of developing cancer, and the importance of early detection in reducing morbidity and mortality from cancer. </w:t>
      </w:r>
    </w:p>
    <w:p w:rsidR="00BD1A43" w:rsidRPr="00F10F6B" w:rsidRDefault="000F4E38" w:rsidP="00F10F6B">
      <w:r>
        <w:br w:type="column"/>
      </w:r>
      <w:r w:rsidR="00BD1A43" w:rsidRPr="00F10F6B">
        <w:lastRenderedPageBreak/>
        <w:t xml:space="preserve">Cancer Screening and Control Services aims to maximise retention and increase participation in the breast, cervical and bowel cancer screening programs. By managing these factors, and being proactive in cancer prevention and early detection strategies, Tasmanians can enjoy longer and better lives. </w:t>
      </w:r>
    </w:p>
    <w:p w:rsidR="00BD1A43" w:rsidRPr="00F10F6B" w:rsidRDefault="00BD1A43" w:rsidP="00F10F6B">
      <w:r w:rsidRPr="00F10F6B">
        <w:t xml:space="preserve">BreastScreen Tasmania has screened a record number of 30 265 eligible women in 2014-15 financial year, improving the chances of early breast cancer detection and successful treatment for these women. </w:t>
      </w:r>
    </w:p>
    <w:p w:rsidR="00BD1A43" w:rsidRPr="00F80387" w:rsidRDefault="00BD1A43" w:rsidP="00BD1A43">
      <w:pPr>
        <w:rPr>
          <w:iCs/>
          <w:szCs w:val="24"/>
        </w:rPr>
      </w:pPr>
      <w:r w:rsidRPr="00F80387">
        <w:rPr>
          <w:iCs/>
          <w:szCs w:val="24"/>
        </w:rPr>
        <w:t xml:space="preserve">BreastScreen Tasmania continues to meet the BreastScreen Australia target of 90 per cent for the measure </w:t>
      </w:r>
      <w:r w:rsidR="00964617">
        <w:rPr>
          <w:iCs/>
          <w:szCs w:val="24"/>
        </w:rPr>
        <w:t>of client assessments within 28 </w:t>
      </w:r>
      <w:r w:rsidRPr="00F80387">
        <w:rPr>
          <w:iCs/>
          <w:szCs w:val="24"/>
        </w:rPr>
        <w:t>days of screening.</w:t>
      </w:r>
    </w:p>
    <w:p w:rsidR="00BD1A43" w:rsidRPr="00F80387" w:rsidRDefault="00BD1A43" w:rsidP="00BD1A43">
      <w:pPr>
        <w:sectPr w:rsidR="00BD1A43" w:rsidRPr="00F80387" w:rsidSect="00BD1A43">
          <w:type w:val="continuous"/>
          <w:pgSz w:w="11906" w:h="16838"/>
          <w:pgMar w:top="1440" w:right="1440" w:bottom="1440" w:left="1440" w:header="708" w:footer="708" w:gutter="0"/>
          <w:cols w:num="2" w:space="708"/>
          <w:docGrid w:linePitch="360"/>
        </w:sectPr>
      </w:pPr>
    </w:p>
    <w:p w:rsidR="00433B2E" w:rsidRDefault="00433B2E" w:rsidP="00433B2E">
      <w:pPr>
        <w:pStyle w:val="Heading2"/>
        <w:rPr>
          <w:rFonts w:eastAsia="Times New Roman"/>
        </w:rPr>
      </w:pPr>
      <w:r>
        <w:rPr>
          <w:rFonts w:eastAsia="Times New Roman"/>
        </w:rPr>
        <w:lastRenderedPageBreak/>
        <w:t>Disability, Housing and Community Services</w:t>
      </w:r>
    </w:p>
    <w:tbl>
      <w:tblPr>
        <w:tblW w:w="9746" w:type="dxa"/>
        <w:tblInd w:w="108" w:type="dxa"/>
        <w:tblCellMar>
          <w:left w:w="0" w:type="dxa"/>
          <w:right w:w="0" w:type="dxa"/>
        </w:tblCellMar>
        <w:tblLook w:val="04A0" w:firstRow="1" w:lastRow="0" w:firstColumn="1" w:lastColumn="0" w:noHBand="0" w:noVBand="1"/>
      </w:tblPr>
      <w:tblGrid>
        <w:gridCol w:w="2828"/>
        <w:gridCol w:w="30"/>
        <w:gridCol w:w="1004"/>
        <w:gridCol w:w="30"/>
        <w:gridCol w:w="1242"/>
        <w:gridCol w:w="24"/>
        <w:gridCol w:w="1138"/>
        <w:gridCol w:w="20"/>
        <w:gridCol w:w="1153"/>
        <w:gridCol w:w="15"/>
        <w:gridCol w:w="1037"/>
        <w:gridCol w:w="1225"/>
      </w:tblGrid>
      <w:tr w:rsidR="00433B2E" w:rsidTr="00433B2E">
        <w:tc>
          <w:tcPr>
            <w:tcW w:w="2858" w:type="dxa"/>
            <w:gridSpan w:val="2"/>
            <w:tcBorders>
              <w:top w:val="single" w:sz="8" w:space="0" w:color="A6A6A6"/>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rPr>
                <w:b/>
                <w:bCs/>
              </w:rPr>
            </w:pPr>
            <w:r>
              <w:rPr>
                <w:b/>
                <w:bCs/>
              </w:rPr>
              <w:t>Performance Measure</w:t>
            </w:r>
          </w:p>
        </w:tc>
        <w:tc>
          <w:tcPr>
            <w:tcW w:w="1034" w:type="dxa"/>
            <w:gridSpan w:val="2"/>
            <w:tcBorders>
              <w:top w:val="single" w:sz="8" w:space="0" w:color="A6A6A6"/>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Unit of Measure</w:t>
            </w:r>
          </w:p>
        </w:tc>
        <w:tc>
          <w:tcPr>
            <w:tcW w:w="1266" w:type="dxa"/>
            <w:gridSpan w:val="2"/>
            <w:tcBorders>
              <w:top w:val="single" w:sz="8" w:space="0" w:color="A6A6A6"/>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2011-12</w:t>
            </w:r>
            <w:r>
              <w:rPr>
                <w:b/>
                <w:bCs/>
              </w:rPr>
              <w:br/>
              <w:t>Actual</w:t>
            </w:r>
          </w:p>
        </w:tc>
        <w:tc>
          <w:tcPr>
            <w:tcW w:w="1158" w:type="dxa"/>
            <w:gridSpan w:val="2"/>
            <w:tcBorders>
              <w:top w:val="single" w:sz="8" w:space="0" w:color="A6A6A6"/>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 xml:space="preserve">2012-13 </w:t>
            </w:r>
            <w:r>
              <w:rPr>
                <w:b/>
                <w:bCs/>
              </w:rPr>
              <w:br/>
              <w:t>Actual</w:t>
            </w:r>
          </w:p>
        </w:tc>
        <w:tc>
          <w:tcPr>
            <w:tcW w:w="1168" w:type="dxa"/>
            <w:gridSpan w:val="2"/>
            <w:tcBorders>
              <w:top w:val="single" w:sz="8" w:space="0" w:color="A6A6A6"/>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2013-14 Actual</w:t>
            </w:r>
          </w:p>
        </w:tc>
        <w:tc>
          <w:tcPr>
            <w:tcW w:w="1037" w:type="dxa"/>
            <w:tcBorders>
              <w:top w:val="single" w:sz="8" w:space="0" w:color="A6A6A6"/>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2014-15 Actual</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58" w:type="dxa"/>
            <w:gridSpan w:val="2"/>
            <w:tcBorders>
              <w:top w:val="nil"/>
              <w:left w:val="nil"/>
              <w:bottom w:val="single" w:sz="8" w:space="0" w:color="A6A6A6"/>
              <w:right w:val="nil"/>
            </w:tcBorders>
            <w:tcMar>
              <w:top w:w="0" w:type="dxa"/>
              <w:left w:w="108" w:type="dxa"/>
              <w:bottom w:w="0" w:type="dxa"/>
              <w:right w:w="108" w:type="dxa"/>
            </w:tcMar>
            <w:hideMark/>
          </w:tcPr>
          <w:p w:rsidR="00433B2E" w:rsidRDefault="00433B2E">
            <w:pPr>
              <w:pStyle w:val="Table-AnnualReport"/>
              <w:rPr>
                <w:b/>
                <w:bCs/>
              </w:rPr>
            </w:pPr>
            <w:r>
              <w:rPr>
                <w:b/>
                <w:bCs/>
              </w:rPr>
              <w:t>Disability Services</w:t>
            </w:r>
          </w:p>
        </w:tc>
        <w:tc>
          <w:tcPr>
            <w:tcW w:w="1034" w:type="dxa"/>
            <w:gridSpan w:val="2"/>
            <w:tcBorders>
              <w:top w:val="nil"/>
              <w:left w:val="nil"/>
              <w:bottom w:val="single" w:sz="8" w:space="0" w:color="A6A6A6"/>
              <w:right w:val="nil"/>
            </w:tcBorders>
            <w:tcMar>
              <w:top w:w="0" w:type="dxa"/>
              <w:left w:w="108" w:type="dxa"/>
              <w:bottom w:w="0" w:type="dxa"/>
              <w:right w:w="108" w:type="dxa"/>
            </w:tcMar>
          </w:tcPr>
          <w:p w:rsidR="00433B2E" w:rsidRDefault="00433B2E">
            <w:pPr>
              <w:pStyle w:val="Table-AnnualReport"/>
              <w:rPr>
                <w:b/>
                <w:bCs/>
              </w:rPr>
            </w:pPr>
          </w:p>
        </w:tc>
        <w:tc>
          <w:tcPr>
            <w:tcW w:w="1266" w:type="dxa"/>
            <w:gridSpan w:val="2"/>
            <w:tcBorders>
              <w:top w:val="nil"/>
              <w:left w:val="nil"/>
              <w:bottom w:val="single" w:sz="8" w:space="0" w:color="A6A6A6"/>
              <w:right w:val="nil"/>
            </w:tcBorders>
            <w:tcMar>
              <w:top w:w="0" w:type="dxa"/>
              <w:left w:w="108" w:type="dxa"/>
              <w:bottom w:w="0" w:type="dxa"/>
              <w:right w:w="108" w:type="dxa"/>
            </w:tcMar>
          </w:tcPr>
          <w:p w:rsidR="00433B2E" w:rsidRDefault="00433B2E">
            <w:pPr>
              <w:pStyle w:val="Table-AnnualReport"/>
              <w:rPr>
                <w:b/>
                <w:bCs/>
              </w:rPr>
            </w:pPr>
          </w:p>
        </w:tc>
        <w:tc>
          <w:tcPr>
            <w:tcW w:w="1158" w:type="dxa"/>
            <w:gridSpan w:val="2"/>
            <w:tcBorders>
              <w:top w:val="nil"/>
              <w:left w:val="nil"/>
              <w:bottom w:val="single" w:sz="8" w:space="0" w:color="A6A6A6"/>
              <w:right w:val="nil"/>
            </w:tcBorders>
            <w:tcMar>
              <w:top w:w="0" w:type="dxa"/>
              <w:left w:w="108" w:type="dxa"/>
              <w:bottom w:w="0" w:type="dxa"/>
              <w:right w:w="108" w:type="dxa"/>
            </w:tcMar>
          </w:tcPr>
          <w:p w:rsidR="00433B2E" w:rsidRDefault="00433B2E">
            <w:pPr>
              <w:pStyle w:val="Table-AnnualReport"/>
              <w:rPr>
                <w:b/>
                <w:bCs/>
                <w:highlight w:val="yellow"/>
              </w:rPr>
            </w:pPr>
          </w:p>
        </w:tc>
        <w:tc>
          <w:tcPr>
            <w:tcW w:w="1168" w:type="dxa"/>
            <w:gridSpan w:val="2"/>
            <w:tcBorders>
              <w:top w:val="nil"/>
              <w:left w:val="nil"/>
              <w:bottom w:val="single" w:sz="8" w:space="0" w:color="A6A6A6"/>
              <w:right w:val="nil"/>
            </w:tcBorders>
            <w:tcMar>
              <w:top w:w="0" w:type="dxa"/>
              <w:left w:w="108" w:type="dxa"/>
              <w:bottom w:w="0" w:type="dxa"/>
              <w:right w:w="108" w:type="dxa"/>
            </w:tcMar>
          </w:tcPr>
          <w:p w:rsidR="00433B2E" w:rsidRDefault="00433B2E">
            <w:pPr>
              <w:pStyle w:val="Table-AnnualReport"/>
              <w:rPr>
                <w:b/>
                <w:bCs/>
                <w:highlight w:val="yellow"/>
              </w:rPr>
            </w:pPr>
          </w:p>
        </w:tc>
        <w:tc>
          <w:tcPr>
            <w:tcW w:w="1037" w:type="dxa"/>
            <w:tcBorders>
              <w:top w:val="nil"/>
              <w:left w:val="nil"/>
              <w:bottom w:val="single" w:sz="8" w:space="0" w:color="A6A6A6"/>
              <w:right w:val="nil"/>
            </w:tcBorders>
            <w:tcMar>
              <w:top w:w="0" w:type="dxa"/>
              <w:left w:w="108" w:type="dxa"/>
              <w:bottom w:w="0" w:type="dxa"/>
              <w:right w:w="108" w:type="dxa"/>
            </w:tcMar>
          </w:tcPr>
          <w:p w:rsidR="00433B2E" w:rsidRDefault="00433B2E">
            <w:pPr>
              <w:pStyle w:val="Table-AnnualReport"/>
              <w:rPr>
                <w:b/>
                <w:bCs/>
              </w:rPr>
            </w:pP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5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Accommodation support clients</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Number</w:t>
            </w:r>
          </w:p>
        </w:tc>
        <w:tc>
          <w:tcPr>
            <w:tcW w:w="1266"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1 301</w:t>
            </w:r>
          </w:p>
        </w:tc>
        <w:tc>
          <w:tcPr>
            <w:tcW w:w="115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1 326</w:t>
            </w:r>
            <w:r>
              <w:rPr>
                <w:vertAlign w:val="superscript"/>
              </w:rPr>
              <w:t>1</w:t>
            </w:r>
          </w:p>
        </w:tc>
        <w:tc>
          <w:tcPr>
            <w:tcW w:w="116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1 346</w:t>
            </w:r>
          </w:p>
        </w:tc>
        <w:tc>
          <w:tcPr>
            <w:tcW w:w="1037" w:type="dxa"/>
            <w:tcBorders>
              <w:top w:val="nil"/>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pPr>
            <w:r>
              <w:t>1</w:t>
            </w:r>
            <w:r w:rsidR="00ED5DCA">
              <w:t xml:space="preserve"> </w:t>
            </w:r>
            <w:r>
              <w:t>222</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5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Community access clients</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Number</w:t>
            </w:r>
          </w:p>
        </w:tc>
        <w:tc>
          <w:tcPr>
            <w:tcW w:w="1266"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1 533</w:t>
            </w:r>
          </w:p>
        </w:tc>
        <w:tc>
          <w:tcPr>
            <w:tcW w:w="115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1 567</w:t>
            </w:r>
            <w:r>
              <w:rPr>
                <w:vertAlign w:val="superscript"/>
              </w:rPr>
              <w:t>1</w:t>
            </w:r>
          </w:p>
        </w:tc>
        <w:tc>
          <w:tcPr>
            <w:tcW w:w="116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1 419</w:t>
            </w:r>
          </w:p>
        </w:tc>
        <w:tc>
          <w:tcPr>
            <w:tcW w:w="1037" w:type="dxa"/>
            <w:tcBorders>
              <w:top w:val="nil"/>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pPr>
            <w:r>
              <w:t>1</w:t>
            </w:r>
            <w:r w:rsidR="00ED5DCA">
              <w:t xml:space="preserve"> </w:t>
            </w:r>
            <w:r>
              <w:t>074</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5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Supported accommodation waiting list</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Number</w:t>
            </w:r>
          </w:p>
        </w:tc>
        <w:tc>
          <w:tcPr>
            <w:tcW w:w="1266"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rPr>
                <w:vertAlign w:val="superscript"/>
              </w:rPr>
            </w:pPr>
            <w:r>
              <w:t>75</w:t>
            </w:r>
          </w:p>
        </w:tc>
        <w:tc>
          <w:tcPr>
            <w:tcW w:w="115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rPr>
                <w:vertAlign w:val="superscript"/>
              </w:rPr>
            </w:pPr>
            <w:r>
              <w:t>142</w:t>
            </w:r>
            <w:r>
              <w:rPr>
                <w:vertAlign w:val="superscript"/>
              </w:rPr>
              <w:t>1</w:t>
            </w:r>
          </w:p>
        </w:tc>
        <w:tc>
          <w:tcPr>
            <w:tcW w:w="116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rPr>
                <w:vertAlign w:val="superscript"/>
              </w:rPr>
            </w:pPr>
            <w:r>
              <w:t>111</w:t>
            </w:r>
          </w:p>
        </w:tc>
        <w:tc>
          <w:tcPr>
            <w:tcW w:w="1037"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93</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5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Community access waiting list</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Number</w:t>
            </w:r>
          </w:p>
        </w:tc>
        <w:tc>
          <w:tcPr>
            <w:tcW w:w="1266"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rPr>
                <w:vertAlign w:val="superscript"/>
              </w:rPr>
            </w:pPr>
            <w:r>
              <w:t>109</w:t>
            </w:r>
          </w:p>
        </w:tc>
        <w:tc>
          <w:tcPr>
            <w:tcW w:w="115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rPr>
                <w:vertAlign w:val="superscript"/>
              </w:rPr>
            </w:pPr>
            <w:r>
              <w:t>176</w:t>
            </w:r>
            <w:r>
              <w:rPr>
                <w:vertAlign w:val="superscript"/>
              </w:rPr>
              <w:t>1</w:t>
            </w:r>
          </w:p>
        </w:tc>
        <w:tc>
          <w:tcPr>
            <w:tcW w:w="1168"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rPr>
                <w:vertAlign w:val="superscript"/>
              </w:rPr>
            </w:pPr>
            <w:r>
              <w:t>82</w:t>
            </w:r>
          </w:p>
        </w:tc>
        <w:tc>
          <w:tcPr>
            <w:tcW w:w="1037"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76</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58" w:type="dxa"/>
            <w:gridSpan w:val="2"/>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rPr>
                <w:b/>
                <w:bCs/>
                <w:sz w:val="12"/>
                <w:szCs w:val="12"/>
              </w:rPr>
            </w:pP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rPr>
                <w:b/>
                <w:bCs/>
                <w:sz w:val="12"/>
                <w:szCs w:val="12"/>
              </w:rPr>
            </w:pPr>
          </w:p>
        </w:tc>
        <w:tc>
          <w:tcPr>
            <w:tcW w:w="1266" w:type="dxa"/>
            <w:gridSpan w:val="2"/>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jc w:val="right"/>
              <w:rPr>
                <w:b/>
                <w:bCs/>
                <w:sz w:val="12"/>
                <w:szCs w:val="12"/>
              </w:rPr>
            </w:pPr>
          </w:p>
        </w:tc>
        <w:tc>
          <w:tcPr>
            <w:tcW w:w="1158" w:type="dxa"/>
            <w:gridSpan w:val="2"/>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jc w:val="right"/>
              <w:rPr>
                <w:b/>
                <w:bCs/>
                <w:sz w:val="12"/>
                <w:szCs w:val="12"/>
              </w:rPr>
            </w:pPr>
          </w:p>
        </w:tc>
        <w:tc>
          <w:tcPr>
            <w:tcW w:w="1168" w:type="dxa"/>
            <w:gridSpan w:val="2"/>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jc w:val="right"/>
              <w:rPr>
                <w:b/>
                <w:bCs/>
                <w:sz w:val="12"/>
                <w:szCs w:val="12"/>
              </w:rPr>
            </w:pPr>
          </w:p>
        </w:tc>
        <w:tc>
          <w:tcPr>
            <w:tcW w:w="1037" w:type="dxa"/>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jc w:val="right"/>
              <w:rPr>
                <w:b/>
                <w:bCs/>
                <w:sz w:val="12"/>
                <w:szCs w:val="12"/>
              </w:rPr>
            </w:pP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28"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rPr>
                <w:b/>
                <w:bCs/>
              </w:rPr>
            </w:pPr>
            <w:r>
              <w:rPr>
                <w:b/>
                <w:bCs/>
              </w:rPr>
              <w:t>Performance Measure</w:t>
            </w:r>
          </w:p>
        </w:tc>
        <w:tc>
          <w:tcPr>
            <w:tcW w:w="1034" w:type="dxa"/>
            <w:gridSpan w:val="2"/>
            <w:tcBorders>
              <w:top w:val="nil"/>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Unit of Measure</w:t>
            </w:r>
          </w:p>
        </w:tc>
        <w:tc>
          <w:tcPr>
            <w:tcW w:w="1272" w:type="dxa"/>
            <w:gridSpan w:val="2"/>
            <w:tcBorders>
              <w:top w:val="nil"/>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2011-12</w:t>
            </w:r>
            <w:r>
              <w:rPr>
                <w:b/>
                <w:bCs/>
              </w:rPr>
              <w:br/>
              <w:t>Actual</w:t>
            </w:r>
          </w:p>
        </w:tc>
        <w:tc>
          <w:tcPr>
            <w:tcW w:w="1162" w:type="dxa"/>
            <w:gridSpan w:val="2"/>
            <w:tcBorders>
              <w:top w:val="nil"/>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 xml:space="preserve">2012-13 </w:t>
            </w:r>
            <w:r>
              <w:rPr>
                <w:b/>
                <w:bCs/>
              </w:rPr>
              <w:br/>
              <w:t>Actual</w:t>
            </w:r>
          </w:p>
        </w:tc>
        <w:tc>
          <w:tcPr>
            <w:tcW w:w="1173" w:type="dxa"/>
            <w:gridSpan w:val="2"/>
            <w:tcBorders>
              <w:top w:val="nil"/>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2013-14 Actual</w:t>
            </w:r>
          </w:p>
        </w:tc>
        <w:tc>
          <w:tcPr>
            <w:tcW w:w="1052" w:type="dxa"/>
            <w:gridSpan w:val="2"/>
            <w:tcBorders>
              <w:top w:val="nil"/>
              <w:left w:val="nil"/>
              <w:bottom w:val="single" w:sz="8" w:space="0" w:color="A6A6A6"/>
              <w:right w:val="nil"/>
            </w:tcBorders>
            <w:tcMar>
              <w:top w:w="0" w:type="dxa"/>
              <w:left w:w="108" w:type="dxa"/>
              <w:bottom w:w="0" w:type="dxa"/>
              <w:right w:w="108" w:type="dxa"/>
            </w:tcMar>
            <w:hideMark/>
          </w:tcPr>
          <w:p w:rsidR="00433B2E" w:rsidRDefault="00433B2E">
            <w:pPr>
              <w:pStyle w:val="Table-AnnualReport"/>
              <w:jc w:val="right"/>
              <w:rPr>
                <w:b/>
                <w:bCs/>
              </w:rPr>
            </w:pPr>
            <w:r>
              <w:rPr>
                <w:b/>
                <w:bCs/>
              </w:rPr>
              <w:t>2014-15 Actual</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28"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rPr>
                <w:b/>
                <w:bCs/>
              </w:rPr>
            </w:pPr>
            <w:r>
              <w:rPr>
                <w:b/>
                <w:bCs/>
              </w:rPr>
              <w:t>Housing Tasmania</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rPr>
                <w:b/>
                <w:bCs/>
              </w:rPr>
            </w:pPr>
          </w:p>
        </w:tc>
        <w:tc>
          <w:tcPr>
            <w:tcW w:w="1272" w:type="dxa"/>
            <w:gridSpan w:val="2"/>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rPr>
                <w:b/>
                <w:bCs/>
              </w:rPr>
            </w:pPr>
          </w:p>
        </w:tc>
        <w:tc>
          <w:tcPr>
            <w:tcW w:w="1162" w:type="dxa"/>
            <w:gridSpan w:val="2"/>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rPr>
                <w:b/>
                <w:bCs/>
              </w:rPr>
            </w:pPr>
          </w:p>
        </w:tc>
        <w:tc>
          <w:tcPr>
            <w:tcW w:w="1173" w:type="dxa"/>
            <w:gridSpan w:val="2"/>
            <w:tcBorders>
              <w:top w:val="nil"/>
              <w:left w:val="nil"/>
              <w:bottom w:val="single" w:sz="8" w:space="0" w:color="A6A6A6"/>
              <w:right w:val="nil"/>
            </w:tcBorders>
            <w:tcMar>
              <w:top w:w="0" w:type="dxa"/>
              <w:left w:w="108" w:type="dxa"/>
              <w:bottom w:w="0" w:type="dxa"/>
              <w:right w:w="108" w:type="dxa"/>
            </w:tcMar>
            <w:vAlign w:val="center"/>
          </w:tcPr>
          <w:p w:rsidR="00433B2E" w:rsidRDefault="00433B2E">
            <w:pPr>
              <w:pStyle w:val="Table-AnnualReport"/>
              <w:rPr>
                <w:b/>
                <w:bCs/>
              </w:rPr>
            </w:pPr>
          </w:p>
        </w:tc>
        <w:tc>
          <w:tcPr>
            <w:tcW w:w="1052" w:type="dxa"/>
            <w:gridSpan w:val="2"/>
            <w:tcBorders>
              <w:top w:val="nil"/>
              <w:left w:val="nil"/>
              <w:bottom w:val="single" w:sz="8" w:space="0" w:color="A6A6A6"/>
              <w:right w:val="nil"/>
            </w:tcBorders>
            <w:tcMar>
              <w:top w:w="0" w:type="dxa"/>
              <w:left w:w="108" w:type="dxa"/>
              <w:bottom w:w="0" w:type="dxa"/>
              <w:right w:w="108" w:type="dxa"/>
            </w:tcMar>
          </w:tcPr>
          <w:p w:rsidR="00433B2E" w:rsidRDefault="00433B2E">
            <w:pPr>
              <w:pStyle w:val="Table-AnnualReport"/>
              <w:rPr>
                <w:b/>
                <w:bCs/>
              </w:rPr>
            </w:pP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28"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Public housing occupancy rate</w:t>
            </w:r>
            <w:r>
              <w:rPr>
                <w:vertAlign w:val="superscript"/>
              </w:rPr>
              <w:t>1</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w:t>
            </w:r>
          </w:p>
        </w:tc>
        <w:tc>
          <w:tcPr>
            <w:tcW w:w="127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97.3</w:t>
            </w:r>
          </w:p>
        </w:tc>
        <w:tc>
          <w:tcPr>
            <w:tcW w:w="116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97.1</w:t>
            </w:r>
          </w:p>
        </w:tc>
        <w:tc>
          <w:tcPr>
            <w:tcW w:w="1173"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98.1</w:t>
            </w:r>
          </w:p>
        </w:tc>
        <w:tc>
          <w:tcPr>
            <w:tcW w:w="105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98.5</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28"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Applicants housed</w:t>
            </w:r>
            <w:r>
              <w:rPr>
                <w:vertAlign w:val="superscript"/>
              </w:rPr>
              <w:t>2</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Number</w:t>
            </w:r>
          </w:p>
        </w:tc>
        <w:tc>
          <w:tcPr>
            <w:tcW w:w="127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1 031</w:t>
            </w:r>
          </w:p>
        </w:tc>
        <w:tc>
          <w:tcPr>
            <w:tcW w:w="116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1 011</w:t>
            </w:r>
          </w:p>
        </w:tc>
        <w:tc>
          <w:tcPr>
            <w:tcW w:w="1173"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1 066</w:t>
            </w:r>
          </w:p>
        </w:tc>
        <w:tc>
          <w:tcPr>
            <w:tcW w:w="105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1 085</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28"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New allocations to those in the greatest need</w:t>
            </w:r>
            <w:r>
              <w:rPr>
                <w:vertAlign w:val="superscript"/>
              </w:rPr>
              <w:t>1,3</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w:t>
            </w:r>
          </w:p>
        </w:tc>
        <w:tc>
          <w:tcPr>
            <w:tcW w:w="127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94.9</w:t>
            </w:r>
          </w:p>
        </w:tc>
        <w:tc>
          <w:tcPr>
            <w:tcW w:w="116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89.3</w:t>
            </w:r>
          </w:p>
        </w:tc>
        <w:tc>
          <w:tcPr>
            <w:tcW w:w="1173"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85.3</w:t>
            </w:r>
          </w:p>
        </w:tc>
        <w:tc>
          <w:tcPr>
            <w:tcW w:w="105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83.9</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28"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Households assisted through Private Rental Assistance</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Number</w:t>
            </w:r>
          </w:p>
        </w:tc>
        <w:tc>
          <w:tcPr>
            <w:tcW w:w="127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4 162</w:t>
            </w:r>
          </w:p>
        </w:tc>
        <w:tc>
          <w:tcPr>
            <w:tcW w:w="116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4 128</w:t>
            </w:r>
          </w:p>
        </w:tc>
        <w:tc>
          <w:tcPr>
            <w:tcW w:w="1173"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4 100</w:t>
            </w:r>
          </w:p>
        </w:tc>
        <w:tc>
          <w:tcPr>
            <w:tcW w:w="105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3 666</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28"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Applicants on the wait list</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Number</w:t>
            </w:r>
          </w:p>
        </w:tc>
        <w:tc>
          <w:tcPr>
            <w:tcW w:w="127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2 675</w:t>
            </w:r>
          </w:p>
        </w:tc>
        <w:tc>
          <w:tcPr>
            <w:tcW w:w="116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2 310</w:t>
            </w:r>
          </w:p>
        </w:tc>
        <w:tc>
          <w:tcPr>
            <w:tcW w:w="1173"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2 465</w:t>
            </w:r>
          </w:p>
        </w:tc>
        <w:tc>
          <w:tcPr>
            <w:tcW w:w="105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2 771</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28"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Average wait time for people who are housed</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Weeks</w:t>
            </w:r>
          </w:p>
        </w:tc>
        <w:tc>
          <w:tcPr>
            <w:tcW w:w="127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45.6</w:t>
            </w:r>
          </w:p>
        </w:tc>
        <w:tc>
          <w:tcPr>
            <w:tcW w:w="116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37.9</w:t>
            </w:r>
          </w:p>
        </w:tc>
        <w:tc>
          <w:tcPr>
            <w:tcW w:w="1173"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35.7</w:t>
            </w:r>
          </w:p>
        </w:tc>
        <w:tc>
          <w:tcPr>
            <w:tcW w:w="105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42.2</w:t>
            </w:r>
          </w:p>
        </w:tc>
        <w:tc>
          <w:tcPr>
            <w:tcW w:w="1225" w:type="dxa"/>
            <w:vAlign w:val="center"/>
            <w:hideMark/>
          </w:tcPr>
          <w:p w:rsidR="00433B2E" w:rsidRDefault="00433B2E">
            <w:pPr>
              <w:rPr>
                <w:rFonts w:ascii="Calibri" w:eastAsiaTheme="minorHAnsi" w:hAnsi="Calibri" w:cs="Calibri"/>
              </w:rPr>
            </w:pPr>
            <w:r>
              <w:t> </w:t>
            </w:r>
          </w:p>
        </w:tc>
      </w:tr>
      <w:tr w:rsidR="00433B2E" w:rsidTr="00433B2E">
        <w:tc>
          <w:tcPr>
            <w:tcW w:w="2828" w:type="dxa"/>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pPr>
            <w:r>
              <w:t>Average time to house Category 1 applicants</w:t>
            </w:r>
            <w:r>
              <w:rPr>
                <w:vertAlign w:val="superscript"/>
              </w:rPr>
              <w:t>3</w:t>
            </w:r>
          </w:p>
        </w:tc>
        <w:tc>
          <w:tcPr>
            <w:tcW w:w="1034"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rsidP="00035A1C">
            <w:pPr>
              <w:pStyle w:val="Table-AnnualReport"/>
              <w:jc w:val="right"/>
            </w:pPr>
            <w:r>
              <w:t>Weeks</w:t>
            </w:r>
          </w:p>
        </w:tc>
        <w:tc>
          <w:tcPr>
            <w:tcW w:w="127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17.9</w:t>
            </w:r>
          </w:p>
        </w:tc>
        <w:tc>
          <w:tcPr>
            <w:tcW w:w="116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16.2</w:t>
            </w:r>
          </w:p>
        </w:tc>
        <w:tc>
          <w:tcPr>
            <w:tcW w:w="1173"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20.7</w:t>
            </w:r>
          </w:p>
        </w:tc>
        <w:tc>
          <w:tcPr>
            <w:tcW w:w="1052" w:type="dxa"/>
            <w:gridSpan w:val="2"/>
            <w:tcBorders>
              <w:top w:val="nil"/>
              <w:left w:val="nil"/>
              <w:bottom w:val="single" w:sz="8" w:space="0" w:color="A6A6A6"/>
              <w:right w:val="nil"/>
            </w:tcBorders>
            <w:tcMar>
              <w:top w:w="0" w:type="dxa"/>
              <w:left w:w="108" w:type="dxa"/>
              <w:bottom w:w="0" w:type="dxa"/>
              <w:right w:w="108" w:type="dxa"/>
            </w:tcMar>
            <w:vAlign w:val="center"/>
            <w:hideMark/>
          </w:tcPr>
          <w:p w:rsidR="00433B2E" w:rsidRDefault="00433B2E">
            <w:pPr>
              <w:pStyle w:val="Table-AnnualReport"/>
              <w:jc w:val="right"/>
            </w:pPr>
            <w:r>
              <w:t>22.4</w:t>
            </w:r>
          </w:p>
        </w:tc>
        <w:tc>
          <w:tcPr>
            <w:tcW w:w="1225" w:type="dxa"/>
            <w:vAlign w:val="center"/>
            <w:hideMark/>
          </w:tcPr>
          <w:p w:rsidR="00433B2E" w:rsidRDefault="00433B2E">
            <w:pPr>
              <w:rPr>
                <w:rFonts w:ascii="Calibri" w:eastAsiaTheme="minorHAnsi" w:hAnsi="Calibri" w:cs="Calibri"/>
              </w:rPr>
            </w:pPr>
            <w:r>
              <w:t> </w:t>
            </w:r>
          </w:p>
        </w:tc>
      </w:tr>
      <w:tr w:rsidR="00433B2E" w:rsidTr="00BE7188">
        <w:tc>
          <w:tcPr>
            <w:tcW w:w="2828" w:type="dxa"/>
            <w:tcBorders>
              <w:top w:val="nil"/>
              <w:left w:val="nil"/>
              <w:bottom w:val="single" w:sz="8" w:space="0" w:color="808080"/>
              <w:right w:val="nil"/>
            </w:tcBorders>
            <w:tcMar>
              <w:top w:w="0" w:type="dxa"/>
              <w:left w:w="108" w:type="dxa"/>
              <w:bottom w:w="0" w:type="dxa"/>
              <w:right w:w="108" w:type="dxa"/>
            </w:tcMar>
            <w:vAlign w:val="center"/>
            <w:hideMark/>
          </w:tcPr>
          <w:p w:rsidR="00433B2E" w:rsidRDefault="00433B2E">
            <w:pPr>
              <w:pStyle w:val="Table-AnnualReport"/>
            </w:pPr>
            <w:r>
              <w:t>Net recurrent cost per dwelling</w:t>
            </w:r>
            <w:r>
              <w:rPr>
                <w:vertAlign w:val="superscript"/>
              </w:rPr>
              <w:t>1,4</w:t>
            </w:r>
          </w:p>
        </w:tc>
        <w:tc>
          <w:tcPr>
            <w:tcW w:w="1034" w:type="dxa"/>
            <w:gridSpan w:val="2"/>
            <w:tcBorders>
              <w:top w:val="nil"/>
              <w:left w:val="nil"/>
              <w:bottom w:val="single" w:sz="8" w:space="0" w:color="808080"/>
              <w:right w:val="nil"/>
            </w:tcBorders>
            <w:tcMar>
              <w:top w:w="0" w:type="dxa"/>
              <w:left w:w="108" w:type="dxa"/>
              <w:bottom w:w="0" w:type="dxa"/>
              <w:right w:w="108" w:type="dxa"/>
            </w:tcMar>
            <w:vAlign w:val="center"/>
            <w:hideMark/>
          </w:tcPr>
          <w:p w:rsidR="00433B2E" w:rsidRDefault="00433B2E" w:rsidP="00035A1C">
            <w:pPr>
              <w:pStyle w:val="Table-AnnualReport"/>
              <w:jc w:val="right"/>
            </w:pPr>
            <w:r>
              <w:t>$</w:t>
            </w:r>
          </w:p>
        </w:tc>
        <w:tc>
          <w:tcPr>
            <w:tcW w:w="1272" w:type="dxa"/>
            <w:gridSpan w:val="2"/>
            <w:tcBorders>
              <w:top w:val="nil"/>
              <w:left w:val="nil"/>
              <w:bottom w:val="single" w:sz="8" w:space="0" w:color="808080"/>
              <w:right w:val="nil"/>
            </w:tcBorders>
            <w:tcMar>
              <w:top w:w="0" w:type="dxa"/>
              <w:left w:w="108" w:type="dxa"/>
              <w:bottom w:w="0" w:type="dxa"/>
              <w:right w:w="108" w:type="dxa"/>
            </w:tcMar>
            <w:vAlign w:val="center"/>
            <w:hideMark/>
          </w:tcPr>
          <w:p w:rsidR="00433B2E" w:rsidRDefault="00433B2E">
            <w:pPr>
              <w:pStyle w:val="Table-AnnualReport"/>
              <w:jc w:val="right"/>
            </w:pPr>
            <w:r>
              <w:t>8 413</w:t>
            </w:r>
          </w:p>
        </w:tc>
        <w:tc>
          <w:tcPr>
            <w:tcW w:w="1162" w:type="dxa"/>
            <w:gridSpan w:val="2"/>
            <w:tcBorders>
              <w:top w:val="nil"/>
              <w:left w:val="nil"/>
              <w:bottom w:val="single" w:sz="8" w:space="0" w:color="808080"/>
              <w:right w:val="nil"/>
            </w:tcBorders>
            <w:tcMar>
              <w:top w:w="0" w:type="dxa"/>
              <w:left w:w="108" w:type="dxa"/>
              <w:bottom w:w="0" w:type="dxa"/>
              <w:right w:w="108" w:type="dxa"/>
            </w:tcMar>
            <w:vAlign w:val="center"/>
            <w:hideMark/>
          </w:tcPr>
          <w:p w:rsidR="00433B2E" w:rsidRDefault="00433B2E">
            <w:pPr>
              <w:pStyle w:val="Table-AnnualReport"/>
              <w:jc w:val="right"/>
            </w:pPr>
            <w:r>
              <w:t>8 015</w:t>
            </w:r>
          </w:p>
        </w:tc>
        <w:tc>
          <w:tcPr>
            <w:tcW w:w="1173" w:type="dxa"/>
            <w:gridSpan w:val="2"/>
            <w:tcBorders>
              <w:top w:val="nil"/>
              <w:left w:val="nil"/>
              <w:bottom w:val="single" w:sz="8" w:space="0" w:color="808080"/>
              <w:right w:val="nil"/>
            </w:tcBorders>
            <w:tcMar>
              <w:top w:w="0" w:type="dxa"/>
              <w:left w:w="108" w:type="dxa"/>
              <w:bottom w:w="0" w:type="dxa"/>
              <w:right w:w="108" w:type="dxa"/>
            </w:tcMar>
            <w:vAlign w:val="center"/>
            <w:hideMark/>
          </w:tcPr>
          <w:p w:rsidR="00433B2E" w:rsidRDefault="00433B2E">
            <w:pPr>
              <w:pStyle w:val="Table-AnnualReport"/>
              <w:jc w:val="right"/>
            </w:pPr>
            <w:r>
              <w:t>10 644</w:t>
            </w:r>
          </w:p>
        </w:tc>
        <w:tc>
          <w:tcPr>
            <w:tcW w:w="1052" w:type="dxa"/>
            <w:gridSpan w:val="2"/>
            <w:tcBorders>
              <w:top w:val="nil"/>
              <w:left w:val="nil"/>
              <w:bottom w:val="single" w:sz="8" w:space="0" w:color="808080"/>
              <w:right w:val="nil"/>
            </w:tcBorders>
            <w:tcMar>
              <w:top w:w="0" w:type="dxa"/>
              <w:left w:w="108" w:type="dxa"/>
              <w:bottom w:w="0" w:type="dxa"/>
              <w:right w:w="108" w:type="dxa"/>
            </w:tcMar>
            <w:hideMark/>
          </w:tcPr>
          <w:p w:rsidR="00433B2E" w:rsidRDefault="00433B2E">
            <w:pPr>
              <w:pStyle w:val="Table-AnnualReport"/>
              <w:jc w:val="right"/>
            </w:pPr>
            <w:r>
              <w:t>8 375</w:t>
            </w:r>
          </w:p>
        </w:tc>
        <w:tc>
          <w:tcPr>
            <w:tcW w:w="1225" w:type="dxa"/>
            <w:vAlign w:val="center"/>
            <w:hideMark/>
          </w:tcPr>
          <w:p w:rsidR="00433B2E" w:rsidRDefault="00433B2E">
            <w:pPr>
              <w:rPr>
                <w:rFonts w:ascii="Calibri" w:eastAsiaTheme="minorHAnsi" w:hAnsi="Calibri" w:cs="Calibri"/>
              </w:rPr>
            </w:pPr>
            <w:r>
              <w:t> </w:t>
            </w:r>
          </w:p>
        </w:tc>
      </w:tr>
      <w:tr w:rsidR="00433B2E" w:rsidTr="00BE7188">
        <w:tc>
          <w:tcPr>
            <w:tcW w:w="2828" w:type="dxa"/>
            <w:tcBorders>
              <w:top w:val="single" w:sz="8" w:space="0" w:color="808080"/>
              <w:bottom w:val="single" w:sz="4" w:space="0" w:color="808080"/>
            </w:tcBorders>
            <w:tcMar>
              <w:top w:w="0" w:type="dxa"/>
              <w:left w:w="108" w:type="dxa"/>
              <w:bottom w:w="0" w:type="dxa"/>
              <w:right w:w="108" w:type="dxa"/>
            </w:tcMar>
            <w:vAlign w:val="center"/>
            <w:hideMark/>
          </w:tcPr>
          <w:p w:rsidR="00433B2E" w:rsidRDefault="00433B2E">
            <w:pPr>
              <w:pStyle w:val="Table-AnnualReport"/>
            </w:pPr>
            <w:r>
              <w:t>Turnaround time</w:t>
            </w:r>
            <w:r>
              <w:rPr>
                <w:vertAlign w:val="superscript"/>
              </w:rPr>
              <w:t>5</w:t>
            </w:r>
          </w:p>
        </w:tc>
        <w:tc>
          <w:tcPr>
            <w:tcW w:w="1034" w:type="dxa"/>
            <w:gridSpan w:val="2"/>
            <w:tcBorders>
              <w:top w:val="single" w:sz="8" w:space="0" w:color="808080"/>
              <w:bottom w:val="single" w:sz="4" w:space="0" w:color="808080"/>
            </w:tcBorders>
            <w:tcMar>
              <w:top w:w="0" w:type="dxa"/>
              <w:left w:w="108" w:type="dxa"/>
              <w:bottom w:w="0" w:type="dxa"/>
              <w:right w:w="108" w:type="dxa"/>
            </w:tcMar>
            <w:vAlign w:val="center"/>
            <w:hideMark/>
          </w:tcPr>
          <w:p w:rsidR="00433B2E" w:rsidRDefault="00433B2E" w:rsidP="00035A1C">
            <w:pPr>
              <w:pStyle w:val="Table-AnnualReport"/>
              <w:jc w:val="right"/>
            </w:pPr>
            <w:r>
              <w:t>Days</w:t>
            </w:r>
          </w:p>
        </w:tc>
        <w:tc>
          <w:tcPr>
            <w:tcW w:w="1272" w:type="dxa"/>
            <w:gridSpan w:val="2"/>
            <w:tcBorders>
              <w:top w:val="single" w:sz="8" w:space="0" w:color="808080"/>
              <w:bottom w:val="single" w:sz="4" w:space="0" w:color="808080"/>
            </w:tcBorders>
            <w:tcMar>
              <w:top w:w="0" w:type="dxa"/>
              <w:left w:w="108" w:type="dxa"/>
              <w:bottom w:w="0" w:type="dxa"/>
              <w:right w:w="108" w:type="dxa"/>
            </w:tcMar>
            <w:vAlign w:val="center"/>
            <w:hideMark/>
          </w:tcPr>
          <w:p w:rsidR="00433B2E" w:rsidRDefault="00433B2E">
            <w:pPr>
              <w:pStyle w:val="Table-AnnualReport"/>
              <w:jc w:val="right"/>
            </w:pPr>
            <w:r>
              <w:t>37.0</w:t>
            </w:r>
          </w:p>
        </w:tc>
        <w:tc>
          <w:tcPr>
            <w:tcW w:w="1162" w:type="dxa"/>
            <w:gridSpan w:val="2"/>
            <w:tcBorders>
              <w:top w:val="single" w:sz="8" w:space="0" w:color="808080"/>
              <w:bottom w:val="single" w:sz="4" w:space="0" w:color="808080"/>
            </w:tcBorders>
            <w:tcMar>
              <w:top w:w="0" w:type="dxa"/>
              <w:left w:w="108" w:type="dxa"/>
              <w:bottom w:w="0" w:type="dxa"/>
              <w:right w:w="108" w:type="dxa"/>
            </w:tcMar>
            <w:vAlign w:val="center"/>
            <w:hideMark/>
          </w:tcPr>
          <w:p w:rsidR="00433B2E" w:rsidRDefault="00433B2E">
            <w:pPr>
              <w:pStyle w:val="Table-AnnualReport"/>
              <w:jc w:val="right"/>
            </w:pPr>
            <w:r>
              <w:t>27.9</w:t>
            </w:r>
          </w:p>
        </w:tc>
        <w:tc>
          <w:tcPr>
            <w:tcW w:w="1173" w:type="dxa"/>
            <w:gridSpan w:val="2"/>
            <w:tcBorders>
              <w:top w:val="single" w:sz="8" w:space="0" w:color="808080"/>
              <w:bottom w:val="single" w:sz="4" w:space="0" w:color="808080"/>
            </w:tcBorders>
            <w:tcMar>
              <w:top w:w="0" w:type="dxa"/>
              <w:left w:w="108" w:type="dxa"/>
              <w:bottom w:w="0" w:type="dxa"/>
              <w:right w:w="108" w:type="dxa"/>
            </w:tcMar>
            <w:vAlign w:val="center"/>
            <w:hideMark/>
          </w:tcPr>
          <w:p w:rsidR="00433B2E" w:rsidRDefault="00433B2E">
            <w:pPr>
              <w:pStyle w:val="Table-AnnualReport"/>
              <w:jc w:val="right"/>
            </w:pPr>
            <w:r>
              <w:t>28.9</w:t>
            </w:r>
          </w:p>
        </w:tc>
        <w:tc>
          <w:tcPr>
            <w:tcW w:w="1052" w:type="dxa"/>
            <w:gridSpan w:val="2"/>
            <w:tcBorders>
              <w:top w:val="single" w:sz="8" w:space="0" w:color="808080"/>
              <w:bottom w:val="single" w:sz="4" w:space="0" w:color="808080"/>
            </w:tcBorders>
            <w:tcMar>
              <w:top w:w="0" w:type="dxa"/>
              <w:left w:w="108" w:type="dxa"/>
              <w:bottom w:w="0" w:type="dxa"/>
              <w:right w:w="108" w:type="dxa"/>
            </w:tcMar>
            <w:hideMark/>
          </w:tcPr>
          <w:p w:rsidR="00433B2E" w:rsidRDefault="00433B2E">
            <w:pPr>
              <w:pStyle w:val="Table-AnnualReport"/>
              <w:jc w:val="right"/>
            </w:pPr>
            <w:r>
              <w:t>21.5</w:t>
            </w:r>
          </w:p>
        </w:tc>
        <w:tc>
          <w:tcPr>
            <w:tcW w:w="1225" w:type="dxa"/>
            <w:vAlign w:val="center"/>
            <w:hideMark/>
          </w:tcPr>
          <w:p w:rsidR="00433B2E" w:rsidRDefault="00433B2E">
            <w:pPr>
              <w:rPr>
                <w:rFonts w:ascii="Calibri" w:eastAsiaTheme="minorHAnsi" w:hAnsi="Calibri" w:cs="Calibri"/>
              </w:rPr>
            </w:pPr>
            <w:r>
              <w:t> </w:t>
            </w:r>
          </w:p>
        </w:tc>
      </w:tr>
      <w:tr w:rsidR="00433B2E" w:rsidTr="00BE7188">
        <w:trPr>
          <w:trHeight w:val="374"/>
        </w:trPr>
        <w:tc>
          <w:tcPr>
            <w:tcW w:w="9746" w:type="dxa"/>
            <w:gridSpan w:val="12"/>
            <w:tcMar>
              <w:top w:w="0" w:type="dxa"/>
              <w:left w:w="108" w:type="dxa"/>
              <w:bottom w:w="0" w:type="dxa"/>
              <w:right w:w="108" w:type="dxa"/>
            </w:tcMar>
            <w:vAlign w:val="center"/>
            <w:hideMark/>
          </w:tcPr>
          <w:p w:rsidR="00433B2E" w:rsidRDefault="00433B2E">
            <w:pPr>
              <w:pStyle w:val="Table-AnnualReport"/>
              <w:rPr>
                <w:rFonts w:eastAsiaTheme="minorHAnsi"/>
              </w:rPr>
            </w:pPr>
            <w:r>
              <w:t>Notes:</w:t>
            </w:r>
          </w:p>
          <w:p w:rsidR="00433B2E" w:rsidRPr="00E45090" w:rsidRDefault="00433B2E" w:rsidP="00433B2E">
            <w:pPr>
              <w:pStyle w:val="Table-AnnualReport"/>
              <w:numPr>
                <w:ilvl w:val="0"/>
                <w:numId w:val="42"/>
              </w:numPr>
              <w:ind w:left="601" w:hanging="601"/>
              <w:rPr>
                <w:sz w:val="20"/>
                <w:szCs w:val="20"/>
                <w:lang w:eastAsia="en-AU"/>
              </w:rPr>
            </w:pPr>
            <w:bookmarkStart w:id="273" w:name="_Ref415652561"/>
            <w:proofErr w:type="gramStart"/>
            <w:r w:rsidRPr="00E45090">
              <w:t>data</w:t>
            </w:r>
            <w:proofErr w:type="gramEnd"/>
            <w:r w:rsidRPr="00E45090">
              <w:t xml:space="preserve"> is provided from the </w:t>
            </w:r>
            <w:bookmarkEnd w:id="273"/>
            <w:r w:rsidRPr="00E45090">
              <w:t>Report on Government Services (ROGS) where appropriate. For 2013</w:t>
            </w:r>
            <w:r w:rsidRPr="00E45090">
              <w:noBreakHyphen/>
              <w:t>14, actual data was previously not available from ROGS. This has now been updated to reflect published ROGS data. ROGS data is not yet available for</w:t>
            </w:r>
            <w:r w:rsidR="00400641">
              <w:t xml:space="preserve"> 2014</w:t>
            </w:r>
            <w:r w:rsidR="00400641">
              <w:noBreakHyphen/>
              <w:t xml:space="preserve">15, so internal data </w:t>
            </w:r>
            <w:r w:rsidRPr="00E45090">
              <w:t>has been used.</w:t>
            </w:r>
          </w:p>
          <w:p w:rsidR="00433B2E" w:rsidRPr="00E45090" w:rsidRDefault="00433B2E" w:rsidP="00433B2E">
            <w:pPr>
              <w:pStyle w:val="Table-AnnualReport"/>
              <w:numPr>
                <w:ilvl w:val="0"/>
                <w:numId w:val="42"/>
              </w:numPr>
              <w:ind w:left="601" w:hanging="601"/>
            </w:pPr>
            <w:r w:rsidRPr="00E45090">
              <w:t>This includes applicants housed into public or community housing from the common wait list.</w:t>
            </w:r>
          </w:p>
          <w:p w:rsidR="00433B2E" w:rsidRPr="00E45090" w:rsidRDefault="00433B2E" w:rsidP="00433B2E">
            <w:pPr>
              <w:pStyle w:val="Table-AnnualReport"/>
              <w:numPr>
                <w:ilvl w:val="0"/>
                <w:numId w:val="42"/>
              </w:numPr>
              <w:ind w:left="601" w:hanging="601"/>
            </w:pPr>
            <w:r w:rsidRPr="00E45090">
              <w:t>2014-15 figures are as at 14 June 2015. Housing Tasmania moved to a new Housing Assessment Prioritisation System (HAPS) at 15 June 2015.</w:t>
            </w:r>
          </w:p>
          <w:p w:rsidR="00433B2E" w:rsidRPr="00E45090" w:rsidRDefault="00433B2E" w:rsidP="00433B2E">
            <w:pPr>
              <w:pStyle w:val="Table-AnnualReport"/>
              <w:numPr>
                <w:ilvl w:val="0"/>
                <w:numId w:val="42"/>
              </w:numPr>
              <w:ind w:left="601" w:hanging="601"/>
            </w:pPr>
            <w:r w:rsidRPr="00E45090">
              <w:t xml:space="preserve">This is updated annually to reflect the current year dollar </w:t>
            </w:r>
            <w:proofErr w:type="gramStart"/>
            <w:r w:rsidRPr="00E45090">
              <w:t>value,</w:t>
            </w:r>
            <w:proofErr w:type="gramEnd"/>
            <w:r w:rsidRPr="00E45090">
              <w:t xml:space="preserve"> all figures have been updated to reflect 2013</w:t>
            </w:r>
            <w:r w:rsidRPr="00E45090">
              <w:noBreakHyphen/>
              <w:t>14 dollars. Figures for 2014</w:t>
            </w:r>
            <w:r w:rsidRPr="00E45090">
              <w:noBreakHyphen/>
              <w:t xml:space="preserve">15 are estimates that are subject to </w:t>
            </w:r>
            <w:r w:rsidR="009160CB" w:rsidRPr="00E45090">
              <w:t>aud</w:t>
            </w:r>
            <w:r w:rsidR="009160CB">
              <w:t>i</w:t>
            </w:r>
            <w:r w:rsidR="009160CB" w:rsidRPr="00E45090">
              <w:t>t</w:t>
            </w:r>
            <w:r w:rsidRPr="00E45090">
              <w:t xml:space="preserve"> review and will be finalised in ROGS.</w:t>
            </w:r>
          </w:p>
          <w:p w:rsidR="00433B2E" w:rsidRDefault="00433B2E" w:rsidP="00433B2E">
            <w:pPr>
              <w:pStyle w:val="Table-AnnualReport"/>
              <w:numPr>
                <w:ilvl w:val="0"/>
                <w:numId w:val="42"/>
              </w:numPr>
              <w:ind w:left="601" w:hanging="601"/>
            </w:pPr>
            <w:r w:rsidRPr="00E45090">
              <w:t>A national review of turnaround time is taking place due to discrepancies in jurisdictions’ reporting of ROGS data. Turnaround time data from 2012</w:t>
            </w:r>
            <w:r w:rsidRPr="00E45090">
              <w:noBreakHyphen/>
              <w:t>13 has been updated to reflect Housing Tasmania’s data definitions.</w:t>
            </w:r>
          </w:p>
        </w:tc>
      </w:tr>
    </w:tbl>
    <w:p w:rsidR="001D0B41" w:rsidRPr="00F80387" w:rsidRDefault="001D0B41">
      <w:pPr>
        <w:tabs>
          <w:tab w:val="clear" w:pos="567"/>
        </w:tabs>
        <w:spacing w:after="200" w:line="276" w:lineRule="auto"/>
        <w:rPr>
          <w:rFonts w:eastAsiaTheme="majorEastAsia" w:cstheme="majorBidi"/>
          <w:b/>
          <w:bCs/>
          <w:sz w:val="28"/>
        </w:rPr>
      </w:pPr>
      <w:r w:rsidRPr="00F80387">
        <w:br w:type="page"/>
      </w:r>
    </w:p>
    <w:p w:rsidR="007E04D0" w:rsidRPr="00BE7188" w:rsidRDefault="007E04D0" w:rsidP="00BE7188">
      <w:pPr>
        <w:pStyle w:val="Heading3"/>
      </w:pPr>
      <w:r w:rsidRPr="00BE7188">
        <w:lastRenderedPageBreak/>
        <w:t>Disability Services</w:t>
      </w:r>
    </w:p>
    <w:p w:rsidR="007E04D0" w:rsidRPr="00F80387" w:rsidRDefault="007E04D0" w:rsidP="007E04D0">
      <w:pPr>
        <w:pStyle w:val="BulletedListLevel1"/>
        <w:numPr>
          <w:ilvl w:val="0"/>
          <w:numId w:val="0"/>
        </w:numPr>
        <w:ind w:left="142"/>
        <w:rPr>
          <w:rFonts w:ascii="GillSans Light" w:hAnsi="GillSans Light"/>
          <w:color w:val="000000"/>
          <w:szCs w:val="22"/>
        </w:rPr>
        <w:sectPr w:rsidR="007E04D0" w:rsidRPr="00F80387" w:rsidSect="007E04D0">
          <w:type w:val="continuous"/>
          <w:pgSz w:w="11906" w:h="16838" w:code="9"/>
          <w:pgMar w:top="907" w:right="1134" w:bottom="720" w:left="1418" w:header="709" w:footer="709" w:gutter="0"/>
          <w:cols w:space="708"/>
          <w:docGrid w:linePitch="360"/>
        </w:sectPr>
      </w:pPr>
    </w:p>
    <w:p w:rsidR="00E74887" w:rsidRPr="009279FE" w:rsidRDefault="00E74887" w:rsidP="00E74887">
      <w:r w:rsidRPr="009279FE">
        <w:lastRenderedPageBreak/>
        <w:t>Accommodation support services provide assistance for people with disability within a range of accommodation options, including group homes (supported accommodation) and other settings. The supported accommodation waiting l</w:t>
      </w:r>
      <w:r>
        <w:t>ist decreased by 16 per </w:t>
      </w:r>
      <w:r w:rsidRPr="009279FE">
        <w:t xml:space="preserve">cent from </w:t>
      </w:r>
      <w:r>
        <w:t>111</w:t>
      </w:r>
      <w:r w:rsidRPr="009279FE">
        <w:t xml:space="preserve"> </w:t>
      </w:r>
      <w:r w:rsidR="00BE509B">
        <w:t>in June </w:t>
      </w:r>
      <w:r>
        <w:t xml:space="preserve">2014 </w:t>
      </w:r>
      <w:r w:rsidRPr="009279FE">
        <w:t xml:space="preserve">to </w:t>
      </w:r>
      <w:r>
        <w:t>93</w:t>
      </w:r>
      <w:r w:rsidRPr="009279FE">
        <w:t xml:space="preserve"> </w:t>
      </w:r>
      <w:r>
        <w:t xml:space="preserve">in </w:t>
      </w:r>
      <w:r w:rsidRPr="009279FE">
        <w:t>June</w:t>
      </w:r>
      <w:r>
        <w:t> 2015</w:t>
      </w:r>
      <w:r w:rsidRPr="009279FE">
        <w:t xml:space="preserve">. Supported accommodation waiting list figures are expected to further reduce as </w:t>
      </w:r>
      <w:r>
        <w:t xml:space="preserve">people who utilise </w:t>
      </w:r>
      <w:r w:rsidRPr="009279FE">
        <w:t xml:space="preserve">supported accommodation services are transitioned to the </w:t>
      </w:r>
      <w:r>
        <w:t>N</w:t>
      </w:r>
      <w:r w:rsidRPr="009279FE">
        <w:t>DIS.</w:t>
      </w:r>
    </w:p>
    <w:p w:rsidR="00BE509B" w:rsidRDefault="00E74887" w:rsidP="00E74887">
      <w:r w:rsidRPr="009279FE">
        <w:t xml:space="preserve">Community access services provide activities which promote learning and skill development and enable access, participation and integration in the local community. </w:t>
      </w:r>
    </w:p>
    <w:p w:rsidR="007E04D0" w:rsidRDefault="00E74887" w:rsidP="00E74887">
      <w:r>
        <w:lastRenderedPageBreak/>
        <w:t>The community access waiting list decreased by seven</w:t>
      </w:r>
      <w:r w:rsidR="00C950ED">
        <w:t xml:space="preserve"> per cent from 82 </w:t>
      </w:r>
      <w:r>
        <w:t xml:space="preserve">in June 2014 to 76 in June 2015. </w:t>
      </w:r>
      <w:r w:rsidRPr="009279FE">
        <w:t xml:space="preserve">While an increase in demand for services is </w:t>
      </w:r>
      <w:r>
        <w:t>apparent within</w:t>
      </w:r>
      <w:r w:rsidRPr="009279FE">
        <w:t xml:space="preserve"> national trends, implementation of the NDIS in 2013-14 </w:t>
      </w:r>
      <w:r>
        <w:t xml:space="preserve">and 2014-15 </w:t>
      </w:r>
      <w:r w:rsidRPr="009279FE">
        <w:t>has begun to address the issue</w:t>
      </w:r>
      <w:r>
        <w:t xml:space="preserve"> in Tasmania</w:t>
      </w:r>
      <w:r w:rsidRPr="009279FE">
        <w:t>. This is particularly evident within community access services where, as a result of the transition to the NDIS for pe</w:t>
      </w:r>
      <w:r>
        <w:t>ople within the launch cohort (ages</w:t>
      </w:r>
      <w:r w:rsidRPr="009279FE">
        <w:t xml:space="preserve"> 15 – 24 years), waiting list figures </w:t>
      </w:r>
      <w:r>
        <w:t xml:space="preserve">have </w:t>
      </w:r>
      <w:r w:rsidRPr="009279FE">
        <w:t>reduced by more than 5</w:t>
      </w:r>
      <w:r>
        <w:t>6</w:t>
      </w:r>
      <w:r w:rsidR="00C950ED">
        <w:t> per </w:t>
      </w:r>
      <w:r>
        <w:t>cent</w:t>
      </w:r>
    </w:p>
    <w:p w:rsidR="00BE509B" w:rsidRDefault="00BE509B" w:rsidP="00E74887"/>
    <w:p w:rsidR="005677A3" w:rsidRDefault="005677A3" w:rsidP="00E74887"/>
    <w:p w:rsidR="005677A3" w:rsidRPr="00F80387" w:rsidRDefault="005677A3" w:rsidP="00E74887"/>
    <w:p w:rsidR="001D0B41" w:rsidRPr="00F80387" w:rsidRDefault="001D0B41" w:rsidP="007E04D0">
      <w:pPr>
        <w:ind w:left="142"/>
        <w:sectPr w:rsidR="001D0B41" w:rsidRPr="00F80387" w:rsidSect="00E74887">
          <w:type w:val="continuous"/>
          <w:pgSz w:w="11906" w:h="16838" w:code="9"/>
          <w:pgMar w:top="907" w:right="1134" w:bottom="720" w:left="1418" w:header="709" w:footer="709" w:gutter="0"/>
          <w:cols w:num="2" w:space="708"/>
          <w:docGrid w:linePitch="360"/>
        </w:sectPr>
      </w:pPr>
    </w:p>
    <w:p w:rsidR="007E04D0" w:rsidRPr="00BE7188" w:rsidRDefault="007E04D0" w:rsidP="00BE7188">
      <w:pPr>
        <w:pStyle w:val="Heading3"/>
        <w:ind w:left="142"/>
      </w:pPr>
      <w:r w:rsidRPr="00BE7188">
        <w:lastRenderedPageBreak/>
        <w:t>Housing Tasmania</w:t>
      </w:r>
    </w:p>
    <w:p w:rsidR="007E04D0" w:rsidRPr="00F80387" w:rsidRDefault="007E04D0" w:rsidP="007E04D0">
      <w:pPr>
        <w:keepLines/>
        <w:widowControl w:val="0"/>
        <w:tabs>
          <w:tab w:val="clear" w:pos="567"/>
        </w:tabs>
        <w:ind w:left="142"/>
        <w:outlineLvl w:val="4"/>
        <w:rPr>
          <w:bCs/>
          <w:iCs/>
          <w:lang w:eastAsia="en-AU" w:bidi="en-US"/>
        </w:rPr>
        <w:sectPr w:rsidR="007E04D0" w:rsidRPr="00F80387" w:rsidSect="007E04D0">
          <w:type w:val="continuous"/>
          <w:pgSz w:w="11906" w:h="16838" w:code="9"/>
          <w:pgMar w:top="907" w:right="1134" w:bottom="720" w:left="1276" w:header="709" w:footer="709" w:gutter="0"/>
          <w:cols w:space="708"/>
          <w:docGrid w:linePitch="360"/>
        </w:sectPr>
      </w:pPr>
    </w:p>
    <w:p w:rsidR="007E04D0" w:rsidRPr="00F80387" w:rsidRDefault="007E04D0" w:rsidP="007E04D0">
      <w:pPr>
        <w:pStyle w:val="BulletedListLevel1"/>
        <w:numPr>
          <w:ilvl w:val="0"/>
          <w:numId w:val="0"/>
        </w:numPr>
        <w:ind w:left="142"/>
        <w:rPr>
          <w:rFonts w:ascii="GillSans Light" w:hAnsi="GillSans Light"/>
          <w:szCs w:val="22"/>
        </w:rPr>
      </w:pPr>
      <w:r w:rsidRPr="00F80387">
        <w:rPr>
          <w:rFonts w:ascii="GillSans Light" w:hAnsi="GillSans Light"/>
          <w:szCs w:val="22"/>
        </w:rPr>
        <w:lastRenderedPageBreak/>
        <w:t>There is a range of affordable housing options available to people in housing need. The number of applicants housed in both public housing and non</w:t>
      </w:r>
      <w:r w:rsidRPr="00F80387">
        <w:rPr>
          <w:rFonts w:ascii="GillSans Light" w:hAnsi="GillSans Light"/>
          <w:szCs w:val="22"/>
        </w:rPr>
        <w:noBreakHyphen/>
        <w:t>government housing has increased with 1 085 applicants housed in 2014</w:t>
      </w:r>
      <w:r w:rsidRPr="00F80387">
        <w:rPr>
          <w:rFonts w:ascii="GillSans Light" w:hAnsi="GillSans Light"/>
          <w:szCs w:val="22"/>
        </w:rPr>
        <w:noBreakHyphen/>
        <w:t>15.</w:t>
      </w:r>
    </w:p>
    <w:p w:rsidR="007E04D0" w:rsidRPr="00F80387" w:rsidRDefault="007E04D0" w:rsidP="007E04D0">
      <w:pPr>
        <w:pStyle w:val="BulletedListLevel1"/>
        <w:numPr>
          <w:ilvl w:val="0"/>
          <w:numId w:val="0"/>
        </w:numPr>
        <w:ind w:left="142"/>
        <w:rPr>
          <w:rFonts w:ascii="GillSans Light" w:hAnsi="GillSans Light"/>
          <w:szCs w:val="22"/>
        </w:rPr>
      </w:pPr>
      <w:r w:rsidRPr="00F80387">
        <w:rPr>
          <w:rFonts w:ascii="GillSans Light" w:hAnsi="GillSans Light"/>
          <w:szCs w:val="22"/>
        </w:rPr>
        <w:t>Demand for public housing remains high and turnover is low as people remain in safe, affordable and stable housing. This level of occupancy at 98.5 per cent in 2014</w:t>
      </w:r>
      <w:r w:rsidRPr="00F80387">
        <w:rPr>
          <w:rFonts w:ascii="GillSans Light" w:hAnsi="GillSans Light"/>
          <w:szCs w:val="22"/>
        </w:rPr>
        <w:noBreakHyphen/>
        <w:t>15 is expected to continue.</w:t>
      </w:r>
    </w:p>
    <w:p w:rsidR="007E04D0" w:rsidRPr="00F80387" w:rsidRDefault="007E04D0" w:rsidP="007E04D0">
      <w:pPr>
        <w:pStyle w:val="BulletedListLevel1"/>
        <w:numPr>
          <w:ilvl w:val="0"/>
          <w:numId w:val="0"/>
        </w:numPr>
        <w:ind w:left="142"/>
        <w:rPr>
          <w:rFonts w:ascii="GillSans Light" w:hAnsi="GillSans Light"/>
          <w:szCs w:val="22"/>
        </w:rPr>
      </w:pPr>
      <w:r w:rsidRPr="00F80387">
        <w:rPr>
          <w:rFonts w:ascii="GillSans Light" w:hAnsi="GillSans Light"/>
          <w:szCs w:val="22"/>
        </w:rPr>
        <w:t>The wait list increased in 2014</w:t>
      </w:r>
      <w:r w:rsidRPr="00F80387">
        <w:rPr>
          <w:rFonts w:ascii="GillSans Light" w:hAnsi="GillSans Light"/>
          <w:szCs w:val="22"/>
        </w:rPr>
        <w:noBreakHyphen/>
        <w:t>15.The new housing and homelessness access and support system ‘Housing Connect’ was introduced in October 2013 and may have encouraged more people to seek assistance. It may also be the result of the wait list expanding from public to community housing and applicants having a greater range of housing choices. This has stabilised during the year.</w:t>
      </w:r>
    </w:p>
    <w:p w:rsidR="007E04D0" w:rsidRPr="00F80387" w:rsidRDefault="007E04D0" w:rsidP="007E04D0">
      <w:pPr>
        <w:spacing w:after="200" w:line="276" w:lineRule="auto"/>
      </w:pPr>
      <w:r w:rsidRPr="00F80387">
        <w:br w:type="column"/>
      </w:r>
      <w:r w:rsidRPr="00F80387">
        <w:lastRenderedPageBreak/>
        <w:t>Net recurrent costs per dwelling increased from $8 015 in 2012</w:t>
      </w:r>
      <w:r w:rsidR="00BE509B">
        <w:noBreakHyphen/>
        <w:t>13 to $10 644 in 2013</w:t>
      </w:r>
      <w:r w:rsidR="00BE509B">
        <w:noBreakHyphen/>
        <w:t>14. This </w:t>
      </w:r>
      <w:r w:rsidRPr="00F80387">
        <w:t xml:space="preserve">was a result of the management transfer of Better Housing </w:t>
      </w:r>
      <w:r w:rsidRPr="00F80387">
        <w:rPr>
          <w:i/>
        </w:rPr>
        <w:t xml:space="preserve">Futures </w:t>
      </w:r>
      <w:r w:rsidRPr="00F80387">
        <w:t>dwellings to community housing organisations during the year. Savings associated with the Better Housing </w:t>
      </w:r>
      <w:r w:rsidRPr="00F80387">
        <w:rPr>
          <w:i/>
        </w:rPr>
        <w:t xml:space="preserve">Futures </w:t>
      </w:r>
      <w:r w:rsidRPr="00F80387">
        <w:t>stock transfer initiative are now reflected in 2014</w:t>
      </w:r>
      <w:r w:rsidRPr="00F80387">
        <w:noBreakHyphen/>
        <w:t>15, with costs reducing to around $8 375 per dwelling.</w:t>
      </w:r>
    </w:p>
    <w:p w:rsidR="007E04D0" w:rsidRPr="00F80387" w:rsidRDefault="007E04D0" w:rsidP="007E04D0">
      <w:pPr>
        <w:spacing w:after="200" w:line="276" w:lineRule="auto"/>
      </w:pPr>
      <w:proofErr w:type="gramStart"/>
      <w:r w:rsidRPr="00F80387">
        <w:t>Turnaround times</w:t>
      </w:r>
      <w:proofErr w:type="gramEnd"/>
      <w:r w:rsidRPr="00F80387">
        <w:t xml:space="preserve"> from when </w:t>
      </w:r>
      <w:r w:rsidR="00E74887">
        <w:t xml:space="preserve">a public housing property </w:t>
      </w:r>
      <w:r w:rsidRPr="00F80387">
        <w:t>become</w:t>
      </w:r>
      <w:r w:rsidR="00E74887">
        <w:t>s</w:t>
      </w:r>
      <w:r w:rsidRPr="00F80387">
        <w:t xml:space="preserve"> vacant</w:t>
      </w:r>
      <w:r w:rsidR="00E74887">
        <w:t>,</w:t>
      </w:r>
      <w:r w:rsidRPr="00F80387">
        <w:t xml:space="preserve"> to the time the property </w:t>
      </w:r>
      <w:r w:rsidR="00867A42">
        <w:t>is once again occupied</w:t>
      </w:r>
      <w:r w:rsidR="00E74887">
        <w:t>,</w:t>
      </w:r>
      <w:r w:rsidR="00867A42">
        <w:t xml:space="preserve"> </w:t>
      </w:r>
      <w:r w:rsidRPr="00F80387">
        <w:t xml:space="preserve">has </w:t>
      </w:r>
      <w:r w:rsidR="00DA6D74">
        <w:t>improved</w:t>
      </w:r>
      <w:r w:rsidRPr="00F80387">
        <w:t xml:space="preserve"> from 28.9 days in 2013</w:t>
      </w:r>
      <w:r w:rsidRPr="00F80387">
        <w:noBreakHyphen/>
        <w:t>14 to 21.5 days in 2014</w:t>
      </w:r>
      <w:r w:rsidRPr="00F80387">
        <w:noBreakHyphen/>
        <w:t>15. This reflects efficient service delivery practices. A significant review of this performance indicator is being undertaken nationally to ensure that there is consistent and comparable data across jurisdictions.</w:t>
      </w:r>
    </w:p>
    <w:p w:rsidR="007E04D0" w:rsidRPr="00F80387" w:rsidRDefault="007E04D0" w:rsidP="007E04D0">
      <w:pPr>
        <w:keepLines/>
        <w:widowControl w:val="0"/>
        <w:tabs>
          <w:tab w:val="clear" w:pos="567"/>
        </w:tabs>
        <w:outlineLvl w:val="4"/>
        <w:rPr>
          <w:bCs/>
          <w:iCs/>
          <w:lang w:eastAsia="en-AU" w:bidi="en-US"/>
        </w:rPr>
      </w:pPr>
    </w:p>
    <w:p w:rsidR="00BA2170" w:rsidRPr="00F80387" w:rsidRDefault="00BA2170" w:rsidP="00F80387">
      <w:pPr>
        <w:pStyle w:val="Heading3"/>
        <w:rPr>
          <w:lang w:eastAsia="en-AU" w:bidi="en-US"/>
        </w:rPr>
        <w:sectPr w:rsidR="00BA2170" w:rsidRPr="00F80387" w:rsidSect="007E04D0">
          <w:type w:val="continuous"/>
          <w:pgSz w:w="11906" w:h="16838" w:code="9"/>
          <w:pgMar w:top="907" w:right="1134" w:bottom="720" w:left="1276" w:header="709" w:footer="709" w:gutter="0"/>
          <w:cols w:num="2" w:space="708"/>
          <w:docGrid w:linePitch="360"/>
        </w:sectPr>
      </w:pPr>
    </w:p>
    <w:p w:rsidR="00CC0A28" w:rsidRPr="00F80387" w:rsidRDefault="00CC0A28">
      <w:pPr>
        <w:tabs>
          <w:tab w:val="clear" w:pos="567"/>
        </w:tabs>
        <w:spacing w:after="200" w:line="276" w:lineRule="auto"/>
        <w:rPr>
          <w:rFonts w:eastAsiaTheme="majorEastAsia" w:cstheme="majorBidi"/>
          <w:b/>
          <w:bCs/>
          <w:sz w:val="32"/>
          <w:szCs w:val="26"/>
        </w:rPr>
      </w:pPr>
      <w:r w:rsidRPr="00F80387">
        <w:lastRenderedPageBreak/>
        <w:br w:type="page"/>
      </w:r>
    </w:p>
    <w:p w:rsidR="00BD1A43" w:rsidRPr="00F80387" w:rsidRDefault="00BD1A43" w:rsidP="00F80387">
      <w:pPr>
        <w:pStyle w:val="Heading2"/>
      </w:pPr>
      <w:r w:rsidRPr="00F80387">
        <w:lastRenderedPageBreak/>
        <w:t>Children and Youth Services</w:t>
      </w:r>
    </w:p>
    <w:p w:rsidR="00BD1A43" w:rsidRPr="00F80387" w:rsidRDefault="00BD1A43" w:rsidP="00BD1A43">
      <w:pPr>
        <w:sectPr w:rsidR="00BD1A43" w:rsidRPr="00F80387" w:rsidSect="007E04D0">
          <w:type w:val="continuous"/>
          <w:pgSz w:w="11906" w:h="16838"/>
          <w:pgMar w:top="1440" w:right="1440" w:bottom="1440" w:left="1440" w:header="708" w:footer="708" w:gutter="0"/>
          <w:cols w:space="708"/>
          <w:docGrid w:linePitch="360"/>
        </w:sectPr>
      </w:pPr>
    </w:p>
    <w:tbl>
      <w:tblPr>
        <w:tblW w:w="9498" w:type="dxa"/>
        <w:tblInd w:w="108" w:type="dxa"/>
        <w:tblBorders>
          <w:top w:val="single" w:sz="4" w:space="0" w:color="808080"/>
          <w:bottom w:val="single" w:sz="4" w:space="0" w:color="808080"/>
          <w:insideH w:val="single" w:sz="4" w:space="0" w:color="808080"/>
        </w:tblBorders>
        <w:tblLook w:val="04A0" w:firstRow="1" w:lastRow="0" w:firstColumn="1" w:lastColumn="0" w:noHBand="0" w:noVBand="1"/>
      </w:tblPr>
      <w:tblGrid>
        <w:gridCol w:w="3969"/>
        <w:gridCol w:w="993"/>
        <w:gridCol w:w="1134"/>
        <w:gridCol w:w="1134"/>
        <w:gridCol w:w="1134"/>
        <w:gridCol w:w="1134"/>
      </w:tblGrid>
      <w:tr w:rsidR="00E74887" w:rsidRPr="004B652C" w:rsidTr="0086180A">
        <w:trPr>
          <w:cantSplit/>
          <w:tblHeader/>
        </w:trPr>
        <w:tc>
          <w:tcPr>
            <w:tcW w:w="3969" w:type="dxa"/>
            <w:shd w:val="clear" w:color="auto" w:fill="auto"/>
            <w:vAlign w:val="center"/>
          </w:tcPr>
          <w:p w:rsidR="00E74887" w:rsidRPr="004B652C" w:rsidRDefault="00E74887" w:rsidP="0086180A">
            <w:pPr>
              <w:spacing w:before="60" w:after="60" w:line="240" w:lineRule="auto"/>
              <w:rPr>
                <w:b/>
                <w:sz w:val="18"/>
                <w:szCs w:val="18"/>
              </w:rPr>
            </w:pPr>
            <w:bookmarkStart w:id="274" w:name="_Toc303841995"/>
            <w:bookmarkStart w:id="275" w:name="_Toc303842269"/>
            <w:bookmarkStart w:id="276" w:name="_Toc303842543"/>
            <w:bookmarkStart w:id="277" w:name="_Toc303933871"/>
            <w:r w:rsidRPr="004B652C">
              <w:rPr>
                <w:b/>
                <w:sz w:val="18"/>
                <w:szCs w:val="18"/>
              </w:rPr>
              <w:lastRenderedPageBreak/>
              <w:t>Performance Measure</w:t>
            </w:r>
            <w:bookmarkEnd w:id="274"/>
            <w:bookmarkEnd w:id="275"/>
            <w:bookmarkEnd w:id="276"/>
            <w:bookmarkEnd w:id="277"/>
            <w:r w:rsidRPr="00495DFF">
              <w:rPr>
                <w:sz w:val="18"/>
                <w:szCs w:val="18"/>
                <w:vertAlign w:val="superscript"/>
              </w:rPr>
              <w:t>1</w:t>
            </w:r>
          </w:p>
        </w:tc>
        <w:tc>
          <w:tcPr>
            <w:tcW w:w="993" w:type="dxa"/>
            <w:shd w:val="clear" w:color="auto" w:fill="auto"/>
            <w:vAlign w:val="center"/>
          </w:tcPr>
          <w:p w:rsidR="00E74887" w:rsidRPr="004B652C" w:rsidRDefault="00E74887" w:rsidP="0086180A">
            <w:pPr>
              <w:spacing w:before="60" w:after="60" w:line="240" w:lineRule="auto"/>
              <w:jc w:val="right"/>
              <w:rPr>
                <w:b/>
                <w:sz w:val="18"/>
                <w:szCs w:val="18"/>
              </w:rPr>
            </w:pPr>
            <w:bookmarkStart w:id="278" w:name="_Toc303841996"/>
            <w:bookmarkStart w:id="279" w:name="_Toc303842270"/>
            <w:bookmarkStart w:id="280" w:name="_Toc303842544"/>
            <w:bookmarkStart w:id="281" w:name="_Toc303933872"/>
            <w:r w:rsidRPr="004B652C">
              <w:rPr>
                <w:b/>
                <w:sz w:val="18"/>
                <w:szCs w:val="18"/>
              </w:rPr>
              <w:t>Unit of Measure</w:t>
            </w:r>
            <w:bookmarkEnd w:id="278"/>
            <w:bookmarkEnd w:id="279"/>
            <w:bookmarkEnd w:id="280"/>
            <w:bookmarkEnd w:id="281"/>
          </w:p>
        </w:tc>
        <w:tc>
          <w:tcPr>
            <w:tcW w:w="1134" w:type="dxa"/>
            <w:shd w:val="clear" w:color="auto" w:fill="auto"/>
            <w:vAlign w:val="center"/>
          </w:tcPr>
          <w:p w:rsidR="00E74887" w:rsidRPr="004B652C" w:rsidRDefault="00E74887" w:rsidP="0086180A">
            <w:pPr>
              <w:spacing w:before="60" w:after="60" w:line="240" w:lineRule="auto"/>
              <w:jc w:val="right"/>
              <w:rPr>
                <w:b/>
                <w:sz w:val="18"/>
                <w:szCs w:val="18"/>
              </w:rPr>
            </w:pPr>
            <w:bookmarkStart w:id="282" w:name="_Toc303841999"/>
            <w:bookmarkStart w:id="283" w:name="_Toc303842273"/>
            <w:bookmarkStart w:id="284" w:name="_Toc303842547"/>
            <w:bookmarkStart w:id="285" w:name="_Toc303933875"/>
            <w:r w:rsidRPr="004B652C">
              <w:rPr>
                <w:b/>
                <w:sz w:val="18"/>
                <w:szCs w:val="18"/>
              </w:rPr>
              <w:t xml:space="preserve">2011-12 </w:t>
            </w:r>
            <w:r>
              <w:rPr>
                <w:b/>
                <w:sz w:val="18"/>
                <w:szCs w:val="18"/>
              </w:rPr>
              <w:br/>
            </w:r>
            <w:r w:rsidRPr="004B652C">
              <w:rPr>
                <w:b/>
                <w:sz w:val="18"/>
                <w:szCs w:val="18"/>
              </w:rPr>
              <w:t>Actual</w:t>
            </w:r>
            <w:bookmarkEnd w:id="282"/>
            <w:bookmarkEnd w:id="283"/>
            <w:bookmarkEnd w:id="284"/>
            <w:bookmarkEnd w:id="285"/>
          </w:p>
        </w:tc>
        <w:tc>
          <w:tcPr>
            <w:tcW w:w="1134" w:type="dxa"/>
            <w:shd w:val="clear" w:color="auto" w:fill="auto"/>
            <w:vAlign w:val="center"/>
          </w:tcPr>
          <w:p w:rsidR="00E74887" w:rsidRPr="004B652C" w:rsidRDefault="00E74887" w:rsidP="0086180A">
            <w:pPr>
              <w:spacing w:before="60" w:after="60" w:line="240" w:lineRule="auto"/>
              <w:jc w:val="right"/>
              <w:rPr>
                <w:b/>
                <w:sz w:val="18"/>
                <w:szCs w:val="18"/>
              </w:rPr>
            </w:pPr>
            <w:r>
              <w:rPr>
                <w:b/>
                <w:sz w:val="18"/>
                <w:szCs w:val="18"/>
              </w:rPr>
              <w:t>2012-13</w:t>
            </w:r>
            <w:r w:rsidRPr="004B652C">
              <w:rPr>
                <w:b/>
                <w:sz w:val="18"/>
                <w:szCs w:val="18"/>
              </w:rPr>
              <w:t xml:space="preserve"> </w:t>
            </w:r>
            <w:r>
              <w:rPr>
                <w:b/>
                <w:sz w:val="18"/>
                <w:szCs w:val="18"/>
              </w:rPr>
              <w:br/>
            </w:r>
            <w:r w:rsidRPr="004B652C">
              <w:rPr>
                <w:b/>
                <w:sz w:val="18"/>
                <w:szCs w:val="18"/>
              </w:rPr>
              <w:t>Actual</w:t>
            </w:r>
          </w:p>
        </w:tc>
        <w:tc>
          <w:tcPr>
            <w:tcW w:w="1134" w:type="dxa"/>
            <w:shd w:val="clear" w:color="auto" w:fill="auto"/>
            <w:vAlign w:val="center"/>
          </w:tcPr>
          <w:p w:rsidR="00E74887" w:rsidRPr="004B652C" w:rsidRDefault="00E74887" w:rsidP="0086180A">
            <w:pPr>
              <w:spacing w:before="60" w:after="60" w:line="240" w:lineRule="auto"/>
              <w:jc w:val="right"/>
              <w:rPr>
                <w:b/>
                <w:sz w:val="18"/>
                <w:szCs w:val="18"/>
              </w:rPr>
            </w:pPr>
            <w:bookmarkStart w:id="286" w:name="_Toc303842000"/>
            <w:bookmarkStart w:id="287" w:name="_Toc303842274"/>
            <w:bookmarkStart w:id="288" w:name="_Toc303842548"/>
            <w:bookmarkStart w:id="289" w:name="_Toc303933876"/>
            <w:r w:rsidRPr="004B652C">
              <w:rPr>
                <w:b/>
                <w:sz w:val="18"/>
                <w:szCs w:val="18"/>
              </w:rPr>
              <w:t>2013-14 Actual</w:t>
            </w:r>
            <w:bookmarkEnd w:id="286"/>
            <w:bookmarkEnd w:id="287"/>
            <w:bookmarkEnd w:id="288"/>
            <w:bookmarkEnd w:id="289"/>
          </w:p>
        </w:tc>
        <w:tc>
          <w:tcPr>
            <w:tcW w:w="1134" w:type="dxa"/>
            <w:shd w:val="clear" w:color="auto" w:fill="auto"/>
            <w:vAlign w:val="center"/>
          </w:tcPr>
          <w:p w:rsidR="00E74887" w:rsidRPr="004B652C" w:rsidRDefault="00E74887" w:rsidP="0086180A">
            <w:pPr>
              <w:spacing w:before="60" w:after="60" w:line="240" w:lineRule="auto"/>
              <w:jc w:val="right"/>
              <w:rPr>
                <w:b/>
                <w:sz w:val="18"/>
                <w:szCs w:val="18"/>
              </w:rPr>
            </w:pPr>
            <w:r>
              <w:rPr>
                <w:b/>
                <w:sz w:val="18"/>
                <w:szCs w:val="18"/>
              </w:rPr>
              <w:t xml:space="preserve">2014-15 </w:t>
            </w:r>
            <w:r w:rsidRPr="004B652C">
              <w:rPr>
                <w:b/>
                <w:sz w:val="18"/>
                <w:szCs w:val="18"/>
              </w:rPr>
              <w:t>Actual</w:t>
            </w:r>
          </w:p>
        </w:tc>
      </w:tr>
      <w:tr w:rsidR="00E74887" w:rsidRPr="004B652C" w:rsidTr="0086180A">
        <w:trPr>
          <w:cantSplit/>
          <w:tblHeader/>
        </w:trPr>
        <w:tc>
          <w:tcPr>
            <w:tcW w:w="3969" w:type="dxa"/>
            <w:vAlign w:val="center"/>
          </w:tcPr>
          <w:p w:rsidR="00E74887" w:rsidRPr="004B652C" w:rsidRDefault="00E74887" w:rsidP="0086180A">
            <w:pPr>
              <w:spacing w:before="60" w:after="60" w:line="240" w:lineRule="auto"/>
              <w:rPr>
                <w:b/>
                <w:sz w:val="18"/>
                <w:szCs w:val="18"/>
              </w:rPr>
            </w:pPr>
            <w:r>
              <w:rPr>
                <w:b/>
                <w:sz w:val="18"/>
                <w:szCs w:val="18"/>
              </w:rPr>
              <w:t>Child Health and Parenting Services</w:t>
            </w:r>
          </w:p>
        </w:tc>
        <w:tc>
          <w:tcPr>
            <w:tcW w:w="5529" w:type="dxa"/>
            <w:gridSpan w:val="5"/>
            <w:vAlign w:val="center"/>
          </w:tcPr>
          <w:p w:rsidR="00E74887" w:rsidRPr="004B652C" w:rsidRDefault="00E74887" w:rsidP="0086180A">
            <w:pPr>
              <w:spacing w:before="60" w:after="60" w:line="240" w:lineRule="auto"/>
              <w:jc w:val="right"/>
              <w:rPr>
                <w:sz w:val="18"/>
                <w:szCs w:val="18"/>
              </w:rPr>
            </w:pPr>
          </w:p>
        </w:tc>
      </w:tr>
      <w:tr w:rsidR="00E74887" w:rsidRPr="004B652C" w:rsidTr="0086180A">
        <w:trPr>
          <w:cantSplit/>
          <w:tblHeader/>
        </w:trPr>
        <w:tc>
          <w:tcPr>
            <w:tcW w:w="3969" w:type="dxa"/>
            <w:vAlign w:val="center"/>
          </w:tcPr>
          <w:p w:rsidR="00E74887" w:rsidRPr="00495DFF" w:rsidRDefault="00E74887" w:rsidP="0086180A">
            <w:pPr>
              <w:spacing w:before="60" w:after="60" w:line="240" w:lineRule="auto"/>
              <w:rPr>
                <w:sz w:val="18"/>
                <w:szCs w:val="18"/>
              </w:rPr>
            </w:pPr>
            <w:r w:rsidRPr="00B00BBF">
              <w:rPr>
                <w:sz w:val="18"/>
                <w:szCs w:val="18"/>
              </w:rPr>
              <w:t>Mothers attending the ei</w:t>
            </w:r>
            <w:r>
              <w:rPr>
                <w:sz w:val="18"/>
                <w:szCs w:val="18"/>
              </w:rPr>
              <w:t>ght week Child Health Assessment</w:t>
            </w:r>
          </w:p>
        </w:tc>
        <w:tc>
          <w:tcPr>
            <w:tcW w:w="993" w:type="dxa"/>
            <w:vAlign w:val="center"/>
          </w:tcPr>
          <w:p w:rsidR="00E74887" w:rsidRPr="00495DFF" w:rsidRDefault="00C950ED" w:rsidP="0086180A">
            <w:pPr>
              <w:spacing w:before="60" w:after="60" w:line="240" w:lineRule="auto"/>
              <w:jc w:val="right"/>
              <w:rPr>
                <w:sz w:val="18"/>
                <w:szCs w:val="18"/>
              </w:rPr>
            </w:pPr>
            <w:r>
              <w:rPr>
                <w:sz w:val="18"/>
                <w:szCs w:val="18"/>
              </w:rPr>
              <w:t>%</w:t>
            </w:r>
          </w:p>
        </w:tc>
        <w:tc>
          <w:tcPr>
            <w:tcW w:w="1134" w:type="dxa"/>
            <w:vAlign w:val="center"/>
          </w:tcPr>
          <w:p w:rsidR="00E74887" w:rsidRPr="00495DFF" w:rsidRDefault="00E74887" w:rsidP="0086180A">
            <w:pPr>
              <w:spacing w:before="60" w:after="60" w:line="240" w:lineRule="auto"/>
              <w:jc w:val="right"/>
              <w:rPr>
                <w:sz w:val="18"/>
                <w:szCs w:val="18"/>
              </w:rPr>
            </w:pPr>
            <w:r>
              <w:rPr>
                <w:sz w:val="18"/>
                <w:szCs w:val="18"/>
              </w:rPr>
              <w:t>83.4</w:t>
            </w:r>
          </w:p>
        </w:tc>
        <w:tc>
          <w:tcPr>
            <w:tcW w:w="1134" w:type="dxa"/>
            <w:vAlign w:val="center"/>
          </w:tcPr>
          <w:p w:rsidR="00E74887" w:rsidRPr="00B00BBF" w:rsidRDefault="00E74887" w:rsidP="0086180A">
            <w:pPr>
              <w:spacing w:before="60" w:after="60" w:line="240" w:lineRule="auto"/>
              <w:jc w:val="right"/>
              <w:rPr>
                <w:sz w:val="18"/>
                <w:szCs w:val="18"/>
              </w:rPr>
            </w:pPr>
            <w:r w:rsidRPr="00B00BBF">
              <w:rPr>
                <w:sz w:val="18"/>
                <w:szCs w:val="18"/>
              </w:rPr>
              <w:t>85.0</w:t>
            </w:r>
          </w:p>
        </w:tc>
        <w:tc>
          <w:tcPr>
            <w:tcW w:w="1134" w:type="dxa"/>
            <w:vAlign w:val="center"/>
          </w:tcPr>
          <w:p w:rsidR="00E74887" w:rsidRPr="00B00BBF" w:rsidRDefault="00E74887" w:rsidP="0086180A">
            <w:pPr>
              <w:spacing w:before="60" w:after="60" w:line="240" w:lineRule="auto"/>
              <w:jc w:val="right"/>
              <w:rPr>
                <w:sz w:val="18"/>
                <w:szCs w:val="18"/>
              </w:rPr>
            </w:pPr>
            <w:r w:rsidRPr="00B00BBF">
              <w:rPr>
                <w:sz w:val="18"/>
                <w:szCs w:val="18"/>
              </w:rPr>
              <w:t>87.6</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86.5</w:t>
            </w:r>
          </w:p>
        </w:tc>
      </w:tr>
      <w:tr w:rsidR="00E74887" w:rsidRPr="004B652C" w:rsidTr="0086180A">
        <w:trPr>
          <w:cantSplit/>
          <w:tblHeader/>
        </w:trPr>
        <w:tc>
          <w:tcPr>
            <w:tcW w:w="3969" w:type="dxa"/>
            <w:vAlign w:val="center"/>
          </w:tcPr>
          <w:p w:rsidR="00E74887" w:rsidRPr="00B00BBF" w:rsidRDefault="00E74887" w:rsidP="0086180A">
            <w:pPr>
              <w:spacing w:before="60" w:after="60" w:line="240" w:lineRule="auto"/>
              <w:rPr>
                <w:sz w:val="18"/>
                <w:szCs w:val="18"/>
              </w:rPr>
            </w:pPr>
            <w:r w:rsidRPr="004B652C">
              <w:rPr>
                <w:b/>
                <w:sz w:val="18"/>
                <w:szCs w:val="18"/>
              </w:rPr>
              <w:t>Child</w:t>
            </w:r>
            <w:r>
              <w:rPr>
                <w:b/>
                <w:sz w:val="18"/>
                <w:szCs w:val="18"/>
              </w:rPr>
              <w:t xml:space="preserve"> Protection</w:t>
            </w:r>
            <w:r w:rsidRPr="004B652C">
              <w:rPr>
                <w:b/>
                <w:sz w:val="18"/>
                <w:szCs w:val="18"/>
              </w:rPr>
              <w:t xml:space="preserve"> Services</w:t>
            </w:r>
          </w:p>
        </w:tc>
        <w:tc>
          <w:tcPr>
            <w:tcW w:w="993" w:type="dxa"/>
            <w:vAlign w:val="center"/>
          </w:tcPr>
          <w:p w:rsidR="00E74887" w:rsidRPr="00495DFF" w:rsidRDefault="00E74887" w:rsidP="0086180A">
            <w:pPr>
              <w:spacing w:before="60" w:after="60" w:line="240" w:lineRule="auto"/>
              <w:jc w:val="right"/>
              <w:rPr>
                <w:sz w:val="18"/>
                <w:szCs w:val="18"/>
              </w:rPr>
            </w:pPr>
          </w:p>
        </w:tc>
        <w:tc>
          <w:tcPr>
            <w:tcW w:w="1134" w:type="dxa"/>
            <w:vAlign w:val="center"/>
          </w:tcPr>
          <w:p w:rsidR="00E74887" w:rsidRDefault="00E74887" w:rsidP="0086180A">
            <w:pPr>
              <w:spacing w:before="60" w:after="60" w:line="240" w:lineRule="auto"/>
              <w:jc w:val="right"/>
              <w:rPr>
                <w:sz w:val="18"/>
                <w:szCs w:val="18"/>
              </w:rPr>
            </w:pPr>
          </w:p>
        </w:tc>
        <w:tc>
          <w:tcPr>
            <w:tcW w:w="1134" w:type="dxa"/>
            <w:vAlign w:val="center"/>
          </w:tcPr>
          <w:p w:rsidR="00E74887" w:rsidRPr="00B00BBF" w:rsidRDefault="00E74887" w:rsidP="0086180A">
            <w:pPr>
              <w:spacing w:before="60" w:after="60" w:line="240" w:lineRule="auto"/>
              <w:jc w:val="right"/>
              <w:rPr>
                <w:sz w:val="18"/>
                <w:szCs w:val="18"/>
              </w:rPr>
            </w:pPr>
          </w:p>
        </w:tc>
        <w:tc>
          <w:tcPr>
            <w:tcW w:w="1134" w:type="dxa"/>
            <w:vAlign w:val="center"/>
          </w:tcPr>
          <w:p w:rsidR="00E74887" w:rsidRPr="00B00BBF" w:rsidRDefault="00E74887" w:rsidP="0086180A">
            <w:pPr>
              <w:spacing w:before="60" w:after="60" w:line="240" w:lineRule="auto"/>
              <w:jc w:val="right"/>
              <w:rPr>
                <w:sz w:val="18"/>
                <w:szCs w:val="18"/>
              </w:rPr>
            </w:pPr>
          </w:p>
        </w:tc>
        <w:tc>
          <w:tcPr>
            <w:tcW w:w="1134" w:type="dxa"/>
            <w:vAlign w:val="center"/>
          </w:tcPr>
          <w:p w:rsidR="00E74887" w:rsidRDefault="00E74887" w:rsidP="0086180A">
            <w:pPr>
              <w:spacing w:before="60" w:after="60" w:line="240" w:lineRule="auto"/>
              <w:jc w:val="right"/>
              <w:rPr>
                <w:sz w:val="18"/>
                <w:szCs w:val="18"/>
              </w:rPr>
            </w:pPr>
          </w:p>
        </w:tc>
      </w:tr>
      <w:tr w:rsidR="00E74887" w:rsidRPr="00806C51" w:rsidTr="0086180A">
        <w:trPr>
          <w:cantSplit/>
          <w:tblHeader/>
        </w:trPr>
        <w:tc>
          <w:tcPr>
            <w:tcW w:w="3969" w:type="dxa"/>
            <w:vAlign w:val="center"/>
          </w:tcPr>
          <w:p w:rsidR="00E74887" w:rsidRPr="00806C51" w:rsidRDefault="00E74887" w:rsidP="000D1B07">
            <w:pPr>
              <w:spacing w:before="60" w:after="60" w:line="240" w:lineRule="auto"/>
              <w:rPr>
                <w:sz w:val="18"/>
                <w:szCs w:val="18"/>
              </w:rPr>
            </w:pPr>
            <w:r w:rsidRPr="00806C51">
              <w:rPr>
                <w:sz w:val="18"/>
                <w:szCs w:val="18"/>
              </w:rPr>
              <w:t xml:space="preserve">Children in notifications </w:t>
            </w:r>
            <w:r w:rsidR="00C950ED">
              <w:rPr>
                <w:sz w:val="18"/>
                <w:szCs w:val="18"/>
              </w:rPr>
              <w:t>(per 1 </w:t>
            </w:r>
            <w:r w:rsidRPr="00806C51">
              <w:rPr>
                <w:sz w:val="18"/>
                <w:szCs w:val="18"/>
              </w:rPr>
              <w:t>000 population)</w:t>
            </w:r>
            <w:r w:rsidR="000D1B07">
              <w:rPr>
                <w:sz w:val="18"/>
                <w:szCs w:val="18"/>
                <w:vertAlign w:val="superscript"/>
              </w:rPr>
              <w:t>2</w:t>
            </w:r>
            <w:r>
              <w:rPr>
                <w:sz w:val="18"/>
                <w:szCs w:val="18"/>
                <w:vertAlign w:val="superscript"/>
              </w:rPr>
              <w:t>,</w:t>
            </w:r>
            <w:r w:rsidR="000D1B07">
              <w:rPr>
                <w:sz w:val="18"/>
                <w:szCs w:val="18"/>
                <w:vertAlign w:val="superscript"/>
              </w:rPr>
              <w:t>3</w:t>
            </w:r>
          </w:p>
        </w:tc>
        <w:tc>
          <w:tcPr>
            <w:tcW w:w="993" w:type="dxa"/>
            <w:vAlign w:val="center"/>
          </w:tcPr>
          <w:p w:rsidR="00E74887" w:rsidRPr="00806C51" w:rsidRDefault="00E74887" w:rsidP="0086180A">
            <w:pPr>
              <w:spacing w:before="60" w:after="60" w:line="240" w:lineRule="auto"/>
              <w:jc w:val="right"/>
              <w:rPr>
                <w:sz w:val="18"/>
                <w:szCs w:val="18"/>
              </w:rPr>
            </w:pPr>
            <w:r w:rsidRPr="00806C51">
              <w:rPr>
                <w:sz w:val="18"/>
                <w:szCs w:val="18"/>
              </w:rPr>
              <w:t>Rate</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67.0</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68.5</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71.0</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75.2</w:t>
            </w:r>
          </w:p>
        </w:tc>
      </w:tr>
      <w:tr w:rsidR="00E74887" w:rsidRPr="00806C51" w:rsidTr="0086180A">
        <w:trPr>
          <w:cantSplit/>
          <w:tblHeader/>
        </w:trPr>
        <w:tc>
          <w:tcPr>
            <w:tcW w:w="3969" w:type="dxa"/>
            <w:vAlign w:val="center"/>
          </w:tcPr>
          <w:p w:rsidR="00E74887" w:rsidRPr="00806C51" w:rsidRDefault="00E74887" w:rsidP="0086180A">
            <w:pPr>
              <w:spacing w:before="60" w:after="60" w:line="240" w:lineRule="auto"/>
              <w:rPr>
                <w:sz w:val="18"/>
                <w:szCs w:val="18"/>
              </w:rPr>
            </w:pPr>
            <w:r w:rsidRPr="00B00BBF">
              <w:rPr>
                <w:sz w:val="18"/>
                <w:szCs w:val="18"/>
              </w:rPr>
              <w:t>Average daily children in active transition at Response</w:t>
            </w:r>
            <w:r w:rsidR="000D1B07">
              <w:rPr>
                <w:sz w:val="18"/>
                <w:szCs w:val="18"/>
                <w:vertAlign w:val="superscript"/>
              </w:rPr>
              <w:t>4</w:t>
            </w:r>
          </w:p>
        </w:tc>
        <w:tc>
          <w:tcPr>
            <w:tcW w:w="993" w:type="dxa"/>
            <w:vAlign w:val="center"/>
          </w:tcPr>
          <w:p w:rsidR="00E74887" w:rsidRPr="00806C51" w:rsidRDefault="00E74887" w:rsidP="0086180A">
            <w:pPr>
              <w:spacing w:before="60" w:after="60" w:line="240" w:lineRule="auto"/>
              <w:jc w:val="right"/>
              <w:rPr>
                <w:sz w:val="18"/>
                <w:szCs w:val="18"/>
              </w:rPr>
            </w:pPr>
            <w:r>
              <w:rPr>
                <w:sz w:val="18"/>
                <w:szCs w:val="18"/>
              </w:rPr>
              <w:t>Number</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5.5</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8.9</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24.7</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15.5</w:t>
            </w:r>
          </w:p>
        </w:tc>
      </w:tr>
      <w:tr w:rsidR="00E74887" w:rsidRPr="00806C51" w:rsidTr="0086180A">
        <w:trPr>
          <w:cantSplit/>
          <w:tblHeader/>
        </w:trPr>
        <w:tc>
          <w:tcPr>
            <w:tcW w:w="3969" w:type="dxa"/>
            <w:vAlign w:val="center"/>
          </w:tcPr>
          <w:p w:rsidR="00E74887" w:rsidRPr="00806C51" w:rsidRDefault="00E74887" w:rsidP="000D1B07">
            <w:pPr>
              <w:spacing w:before="60" w:after="60" w:line="240" w:lineRule="auto"/>
              <w:rPr>
                <w:sz w:val="18"/>
                <w:szCs w:val="18"/>
              </w:rPr>
            </w:pPr>
            <w:r w:rsidRPr="00B00BBF">
              <w:rPr>
                <w:sz w:val="18"/>
                <w:szCs w:val="18"/>
              </w:rPr>
              <w:t>Investigation outcome determined within 28 days</w:t>
            </w:r>
            <w:r w:rsidR="000D1B07">
              <w:rPr>
                <w:sz w:val="18"/>
                <w:szCs w:val="18"/>
                <w:vertAlign w:val="superscript"/>
              </w:rPr>
              <w:t>5</w:t>
            </w:r>
            <w:r>
              <w:rPr>
                <w:sz w:val="18"/>
                <w:szCs w:val="18"/>
                <w:vertAlign w:val="superscript"/>
              </w:rPr>
              <w:t>,</w:t>
            </w:r>
            <w:r w:rsidR="000D1B07">
              <w:rPr>
                <w:sz w:val="18"/>
                <w:szCs w:val="18"/>
                <w:vertAlign w:val="superscript"/>
              </w:rPr>
              <w:t>2</w:t>
            </w:r>
          </w:p>
        </w:tc>
        <w:tc>
          <w:tcPr>
            <w:tcW w:w="993" w:type="dxa"/>
            <w:vAlign w:val="center"/>
          </w:tcPr>
          <w:p w:rsidR="00E74887" w:rsidRPr="00806C51" w:rsidRDefault="00E74887" w:rsidP="0086180A">
            <w:pPr>
              <w:spacing w:before="60" w:after="60" w:line="240" w:lineRule="auto"/>
              <w:jc w:val="right"/>
              <w:rPr>
                <w:sz w:val="18"/>
                <w:szCs w:val="18"/>
              </w:rPr>
            </w:pPr>
            <w:r>
              <w:rPr>
                <w:sz w:val="18"/>
                <w:szCs w:val="18"/>
              </w:rPr>
              <w:t>%</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44.9</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48.5</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31.9</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35.4</w:t>
            </w:r>
          </w:p>
        </w:tc>
      </w:tr>
      <w:tr w:rsidR="00E74887" w:rsidRPr="00806C51" w:rsidTr="0086180A">
        <w:trPr>
          <w:cantSplit/>
          <w:tblHeader/>
        </w:trPr>
        <w:tc>
          <w:tcPr>
            <w:tcW w:w="3969" w:type="dxa"/>
            <w:vAlign w:val="center"/>
          </w:tcPr>
          <w:p w:rsidR="00E74887" w:rsidRPr="00806C51" w:rsidRDefault="00E74887" w:rsidP="0086180A">
            <w:pPr>
              <w:spacing w:before="60" w:after="60" w:line="240" w:lineRule="auto"/>
              <w:rPr>
                <w:sz w:val="18"/>
                <w:szCs w:val="18"/>
              </w:rPr>
            </w:pPr>
            <w:r w:rsidRPr="00B00BBF">
              <w:rPr>
                <w:sz w:val="18"/>
                <w:szCs w:val="18"/>
              </w:rPr>
              <w:t>Children who were the subject of a substantiation during the previous year, who were the subject of a subsequent substantiation within 12 months</w:t>
            </w:r>
            <w:r w:rsidR="000D1B07">
              <w:rPr>
                <w:sz w:val="18"/>
                <w:szCs w:val="18"/>
                <w:vertAlign w:val="superscript"/>
              </w:rPr>
              <w:t>2</w:t>
            </w:r>
          </w:p>
        </w:tc>
        <w:tc>
          <w:tcPr>
            <w:tcW w:w="993" w:type="dxa"/>
            <w:vAlign w:val="center"/>
          </w:tcPr>
          <w:p w:rsidR="00E74887" w:rsidRPr="00806C51" w:rsidRDefault="00E74887" w:rsidP="0086180A">
            <w:pPr>
              <w:spacing w:before="60" w:after="60" w:line="240" w:lineRule="auto"/>
              <w:jc w:val="right"/>
              <w:rPr>
                <w:sz w:val="18"/>
                <w:szCs w:val="18"/>
              </w:rPr>
            </w:pPr>
            <w:r w:rsidRPr="00806C51">
              <w:rPr>
                <w:sz w:val="18"/>
                <w:szCs w:val="18"/>
              </w:rPr>
              <w:t>%</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18.6</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17.7</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21.5</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18.5</w:t>
            </w:r>
          </w:p>
        </w:tc>
      </w:tr>
      <w:tr w:rsidR="00E74887" w:rsidRPr="00806C51" w:rsidTr="0086180A">
        <w:trPr>
          <w:cantSplit/>
          <w:tblHeader/>
        </w:trPr>
        <w:tc>
          <w:tcPr>
            <w:tcW w:w="3969" w:type="dxa"/>
            <w:vAlign w:val="center"/>
          </w:tcPr>
          <w:p w:rsidR="00E74887" w:rsidRPr="00B00BBF" w:rsidRDefault="00E74887" w:rsidP="0086180A">
            <w:pPr>
              <w:spacing w:before="60" w:after="60" w:line="240" w:lineRule="auto"/>
              <w:rPr>
                <w:sz w:val="18"/>
                <w:szCs w:val="18"/>
              </w:rPr>
            </w:pPr>
            <w:r w:rsidRPr="00B00BBF">
              <w:rPr>
                <w:sz w:val="18"/>
                <w:szCs w:val="18"/>
              </w:rPr>
              <w:t>Average daily children in out of home care</w:t>
            </w:r>
            <w:r w:rsidR="000D1B07">
              <w:rPr>
                <w:sz w:val="18"/>
                <w:szCs w:val="18"/>
                <w:vertAlign w:val="superscript"/>
              </w:rPr>
              <w:t>6</w:t>
            </w:r>
          </w:p>
        </w:tc>
        <w:tc>
          <w:tcPr>
            <w:tcW w:w="993" w:type="dxa"/>
            <w:vAlign w:val="center"/>
          </w:tcPr>
          <w:p w:rsidR="00E74887" w:rsidRPr="00B00BBF" w:rsidRDefault="00E74887" w:rsidP="0086180A">
            <w:pPr>
              <w:spacing w:before="60" w:after="60" w:line="240" w:lineRule="auto"/>
              <w:jc w:val="right"/>
              <w:rPr>
                <w:sz w:val="18"/>
                <w:szCs w:val="18"/>
              </w:rPr>
            </w:pPr>
            <w:r w:rsidRPr="00B00BBF">
              <w:rPr>
                <w:sz w:val="18"/>
                <w:szCs w:val="18"/>
              </w:rPr>
              <w:t>Number</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1</w:t>
            </w:r>
            <w:r w:rsidR="00EA038B">
              <w:rPr>
                <w:sz w:val="18"/>
                <w:szCs w:val="18"/>
              </w:rPr>
              <w:t> </w:t>
            </w:r>
            <w:r>
              <w:rPr>
                <w:sz w:val="18"/>
                <w:szCs w:val="18"/>
              </w:rPr>
              <w:t>004.1</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1</w:t>
            </w:r>
            <w:r w:rsidR="00EA038B">
              <w:rPr>
                <w:sz w:val="18"/>
                <w:szCs w:val="18"/>
              </w:rPr>
              <w:t> </w:t>
            </w:r>
            <w:r>
              <w:rPr>
                <w:sz w:val="18"/>
                <w:szCs w:val="18"/>
              </w:rPr>
              <w:t>034.0</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1</w:t>
            </w:r>
            <w:r w:rsidR="00EA038B">
              <w:rPr>
                <w:sz w:val="18"/>
                <w:szCs w:val="18"/>
              </w:rPr>
              <w:t> </w:t>
            </w:r>
            <w:r>
              <w:rPr>
                <w:sz w:val="18"/>
                <w:szCs w:val="18"/>
              </w:rPr>
              <w:t>064.9</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1</w:t>
            </w:r>
            <w:r w:rsidR="00EA038B">
              <w:rPr>
                <w:sz w:val="18"/>
                <w:szCs w:val="18"/>
              </w:rPr>
              <w:t> </w:t>
            </w:r>
            <w:r>
              <w:rPr>
                <w:sz w:val="18"/>
                <w:szCs w:val="18"/>
              </w:rPr>
              <w:t>045.1</w:t>
            </w:r>
          </w:p>
        </w:tc>
      </w:tr>
      <w:tr w:rsidR="00E74887" w:rsidRPr="004B652C" w:rsidTr="0086180A">
        <w:trPr>
          <w:cantSplit/>
          <w:tblHeader/>
        </w:trPr>
        <w:tc>
          <w:tcPr>
            <w:tcW w:w="3969" w:type="dxa"/>
            <w:vAlign w:val="center"/>
          </w:tcPr>
          <w:p w:rsidR="00E74887" w:rsidRPr="00B00BBF" w:rsidRDefault="00E74887" w:rsidP="0086180A">
            <w:pPr>
              <w:spacing w:before="60" w:after="60" w:line="240" w:lineRule="auto"/>
              <w:rPr>
                <w:sz w:val="18"/>
                <w:szCs w:val="18"/>
              </w:rPr>
            </w:pPr>
            <w:r w:rsidRPr="00B00BBF">
              <w:rPr>
                <w:sz w:val="18"/>
                <w:szCs w:val="18"/>
              </w:rPr>
              <w:t>Children with approved case and care plans</w:t>
            </w:r>
            <w:r w:rsidR="000D1B07">
              <w:rPr>
                <w:sz w:val="18"/>
                <w:szCs w:val="18"/>
                <w:vertAlign w:val="superscript"/>
              </w:rPr>
              <w:t>7</w:t>
            </w:r>
          </w:p>
        </w:tc>
        <w:tc>
          <w:tcPr>
            <w:tcW w:w="993" w:type="dxa"/>
            <w:vAlign w:val="center"/>
          </w:tcPr>
          <w:p w:rsidR="00E74887" w:rsidRPr="00B00BBF" w:rsidRDefault="00E74887" w:rsidP="0086180A">
            <w:pPr>
              <w:spacing w:before="60" w:after="60" w:line="240" w:lineRule="auto"/>
              <w:jc w:val="right"/>
              <w:rPr>
                <w:sz w:val="18"/>
                <w:szCs w:val="18"/>
              </w:rPr>
            </w:pPr>
            <w:r w:rsidRPr="00B00BBF">
              <w:rPr>
                <w:sz w:val="18"/>
                <w:szCs w:val="18"/>
              </w:rPr>
              <w:t>%</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56.9</w:t>
            </w:r>
          </w:p>
        </w:tc>
        <w:tc>
          <w:tcPr>
            <w:tcW w:w="1134" w:type="dxa"/>
            <w:vAlign w:val="center"/>
          </w:tcPr>
          <w:p w:rsidR="00E74887" w:rsidRPr="00753D57" w:rsidRDefault="00E74887" w:rsidP="0086180A">
            <w:pPr>
              <w:spacing w:before="60" w:after="60" w:line="240" w:lineRule="auto"/>
              <w:jc w:val="right"/>
              <w:rPr>
                <w:sz w:val="18"/>
                <w:szCs w:val="18"/>
                <w:highlight w:val="green"/>
              </w:rPr>
            </w:pPr>
            <w:r w:rsidRPr="00810867">
              <w:rPr>
                <w:sz w:val="18"/>
                <w:szCs w:val="18"/>
              </w:rPr>
              <w:t>77.8</w:t>
            </w:r>
          </w:p>
        </w:tc>
        <w:tc>
          <w:tcPr>
            <w:tcW w:w="1134" w:type="dxa"/>
            <w:vAlign w:val="center"/>
          </w:tcPr>
          <w:p w:rsidR="00E74887" w:rsidRPr="00753D57" w:rsidRDefault="00E74887" w:rsidP="0086180A">
            <w:pPr>
              <w:spacing w:before="60" w:after="60" w:line="240" w:lineRule="auto"/>
              <w:jc w:val="right"/>
              <w:rPr>
                <w:sz w:val="18"/>
                <w:szCs w:val="18"/>
                <w:highlight w:val="green"/>
              </w:rPr>
            </w:pPr>
            <w:r w:rsidRPr="00810867">
              <w:rPr>
                <w:sz w:val="18"/>
                <w:szCs w:val="18"/>
              </w:rPr>
              <w:t>75.9</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68.4</w:t>
            </w:r>
          </w:p>
        </w:tc>
      </w:tr>
      <w:tr w:rsidR="00E74887" w:rsidRPr="004B652C" w:rsidTr="0086180A">
        <w:trPr>
          <w:cantSplit/>
          <w:tblHeader/>
        </w:trPr>
        <w:tc>
          <w:tcPr>
            <w:tcW w:w="3969" w:type="dxa"/>
            <w:vAlign w:val="center"/>
          </w:tcPr>
          <w:p w:rsidR="00E74887" w:rsidRPr="00B00BBF" w:rsidRDefault="00E74887" w:rsidP="0086180A">
            <w:pPr>
              <w:spacing w:before="60" w:after="60" w:line="240" w:lineRule="auto"/>
              <w:rPr>
                <w:sz w:val="18"/>
                <w:szCs w:val="18"/>
              </w:rPr>
            </w:pPr>
            <w:r w:rsidRPr="00B00BBF">
              <w:rPr>
                <w:sz w:val="18"/>
                <w:szCs w:val="18"/>
              </w:rPr>
              <w:t>Foster care households with five or more foster children</w:t>
            </w:r>
            <w:r w:rsidR="00933AB9">
              <w:rPr>
                <w:sz w:val="18"/>
                <w:szCs w:val="18"/>
                <w:vertAlign w:val="superscript"/>
              </w:rPr>
              <w:t>2</w:t>
            </w:r>
          </w:p>
        </w:tc>
        <w:tc>
          <w:tcPr>
            <w:tcW w:w="993" w:type="dxa"/>
            <w:vAlign w:val="center"/>
          </w:tcPr>
          <w:p w:rsidR="00E74887" w:rsidRPr="00B00BBF" w:rsidRDefault="00E74887" w:rsidP="0086180A">
            <w:pPr>
              <w:spacing w:before="60" w:after="60" w:line="240" w:lineRule="auto"/>
              <w:jc w:val="right"/>
              <w:rPr>
                <w:sz w:val="18"/>
                <w:szCs w:val="18"/>
              </w:rPr>
            </w:pPr>
            <w:r w:rsidRPr="00B00BBF">
              <w:rPr>
                <w:sz w:val="18"/>
                <w:szCs w:val="18"/>
              </w:rPr>
              <w:t>%</w:t>
            </w:r>
          </w:p>
        </w:tc>
        <w:tc>
          <w:tcPr>
            <w:tcW w:w="1134" w:type="dxa"/>
            <w:vAlign w:val="center"/>
          </w:tcPr>
          <w:p w:rsidR="00E74887" w:rsidRPr="00495DFF" w:rsidRDefault="00E74887" w:rsidP="0086180A">
            <w:pPr>
              <w:spacing w:before="60" w:after="60" w:line="240" w:lineRule="auto"/>
              <w:jc w:val="right"/>
              <w:rPr>
                <w:sz w:val="18"/>
                <w:szCs w:val="18"/>
              </w:rPr>
            </w:pPr>
            <w:r>
              <w:rPr>
                <w:sz w:val="18"/>
                <w:szCs w:val="18"/>
              </w:rPr>
              <w:t>10.3</w:t>
            </w:r>
          </w:p>
        </w:tc>
        <w:tc>
          <w:tcPr>
            <w:tcW w:w="1134" w:type="dxa"/>
            <w:vAlign w:val="center"/>
          </w:tcPr>
          <w:p w:rsidR="00E74887" w:rsidRPr="00495DFF" w:rsidRDefault="00E74887" w:rsidP="0086180A">
            <w:pPr>
              <w:spacing w:before="60" w:after="60" w:line="240" w:lineRule="auto"/>
              <w:jc w:val="right"/>
              <w:rPr>
                <w:sz w:val="18"/>
                <w:szCs w:val="18"/>
              </w:rPr>
            </w:pPr>
            <w:r>
              <w:rPr>
                <w:sz w:val="18"/>
                <w:szCs w:val="18"/>
              </w:rPr>
              <w:t>7.6</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5.1</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5.5</w:t>
            </w:r>
          </w:p>
        </w:tc>
      </w:tr>
      <w:tr w:rsidR="00E74887" w:rsidRPr="00806C51" w:rsidTr="0086180A">
        <w:trPr>
          <w:cantSplit/>
          <w:tblHeader/>
        </w:trPr>
        <w:tc>
          <w:tcPr>
            <w:tcW w:w="3969" w:type="dxa"/>
            <w:vAlign w:val="center"/>
          </w:tcPr>
          <w:p w:rsidR="00E74887" w:rsidRPr="00B00BBF" w:rsidRDefault="00E74887" w:rsidP="0086180A">
            <w:pPr>
              <w:spacing w:before="60" w:after="60" w:line="240" w:lineRule="auto"/>
              <w:rPr>
                <w:sz w:val="18"/>
                <w:szCs w:val="18"/>
              </w:rPr>
            </w:pPr>
            <w:r w:rsidRPr="00B00BBF">
              <w:rPr>
                <w:sz w:val="18"/>
                <w:szCs w:val="18"/>
              </w:rPr>
              <w:t>Children in out of home care who had 3+ non-respite placements in the last 12 months</w:t>
            </w:r>
          </w:p>
        </w:tc>
        <w:tc>
          <w:tcPr>
            <w:tcW w:w="993" w:type="dxa"/>
            <w:vAlign w:val="center"/>
          </w:tcPr>
          <w:p w:rsidR="00E74887" w:rsidRPr="00B00BBF" w:rsidRDefault="00E74887" w:rsidP="0086180A">
            <w:pPr>
              <w:spacing w:before="60" w:after="60" w:line="240" w:lineRule="auto"/>
              <w:jc w:val="right"/>
              <w:rPr>
                <w:sz w:val="18"/>
                <w:szCs w:val="18"/>
              </w:rPr>
            </w:pPr>
            <w:r w:rsidRPr="00B00BBF">
              <w:rPr>
                <w:sz w:val="18"/>
                <w:szCs w:val="18"/>
              </w:rPr>
              <w:t>%</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7.7</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3.8</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3.2</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4.5</w:t>
            </w:r>
          </w:p>
        </w:tc>
      </w:tr>
      <w:tr w:rsidR="00E74887" w:rsidRPr="004B652C" w:rsidTr="0086180A">
        <w:trPr>
          <w:cantSplit/>
          <w:tblHeader/>
        </w:trPr>
        <w:tc>
          <w:tcPr>
            <w:tcW w:w="3969" w:type="dxa"/>
            <w:vAlign w:val="center"/>
          </w:tcPr>
          <w:p w:rsidR="00E74887" w:rsidRPr="00B00BBF" w:rsidRDefault="00E74887" w:rsidP="0086180A">
            <w:pPr>
              <w:spacing w:before="60" w:after="60" w:line="240" w:lineRule="auto"/>
              <w:rPr>
                <w:sz w:val="18"/>
                <w:szCs w:val="18"/>
              </w:rPr>
            </w:pPr>
            <w:r w:rsidRPr="00B00BBF">
              <w:rPr>
                <w:sz w:val="18"/>
                <w:szCs w:val="18"/>
              </w:rPr>
              <w:t>Children on the children's waiting list for family violence counselling</w:t>
            </w:r>
          </w:p>
        </w:tc>
        <w:tc>
          <w:tcPr>
            <w:tcW w:w="993" w:type="dxa"/>
            <w:vAlign w:val="center"/>
          </w:tcPr>
          <w:p w:rsidR="00E74887" w:rsidRPr="00B00BBF" w:rsidRDefault="00E74887" w:rsidP="0086180A">
            <w:pPr>
              <w:spacing w:before="60" w:after="60" w:line="240" w:lineRule="auto"/>
              <w:jc w:val="right"/>
              <w:rPr>
                <w:sz w:val="18"/>
                <w:szCs w:val="18"/>
              </w:rPr>
            </w:pPr>
            <w:r w:rsidRPr="00B00BBF">
              <w:rPr>
                <w:sz w:val="18"/>
                <w:szCs w:val="18"/>
              </w:rPr>
              <w:t>Number</w:t>
            </w:r>
          </w:p>
        </w:tc>
        <w:tc>
          <w:tcPr>
            <w:tcW w:w="1134" w:type="dxa"/>
            <w:vAlign w:val="center"/>
          </w:tcPr>
          <w:p w:rsidR="00E74887" w:rsidRPr="009F0AB5" w:rsidRDefault="00E74887" w:rsidP="0086180A">
            <w:pPr>
              <w:spacing w:before="60" w:after="60" w:line="240" w:lineRule="auto"/>
              <w:jc w:val="right"/>
              <w:rPr>
                <w:sz w:val="18"/>
                <w:szCs w:val="18"/>
              </w:rPr>
            </w:pPr>
            <w:r w:rsidRPr="009F0AB5">
              <w:rPr>
                <w:sz w:val="18"/>
                <w:szCs w:val="18"/>
              </w:rPr>
              <w:t>82</w:t>
            </w:r>
          </w:p>
        </w:tc>
        <w:tc>
          <w:tcPr>
            <w:tcW w:w="1134" w:type="dxa"/>
            <w:vAlign w:val="center"/>
          </w:tcPr>
          <w:p w:rsidR="00E74887" w:rsidRPr="00806C51" w:rsidRDefault="00E74887" w:rsidP="0086180A">
            <w:pPr>
              <w:spacing w:before="60" w:after="60" w:line="240" w:lineRule="auto"/>
              <w:jc w:val="right"/>
              <w:rPr>
                <w:sz w:val="18"/>
                <w:szCs w:val="18"/>
              </w:rPr>
            </w:pPr>
            <w:r>
              <w:rPr>
                <w:sz w:val="18"/>
                <w:szCs w:val="18"/>
              </w:rPr>
              <w:t>69</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112</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94</w:t>
            </w:r>
          </w:p>
        </w:tc>
      </w:tr>
      <w:tr w:rsidR="00E74887" w:rsidRPr="004B652C" w:rsidTr="0086180A">
        <w:trPr>
          <w:cantSplit/>
          <w:tblHeader/>
        </w:trPr>
        <w:tc>
          <w:tcPr>
            <w:tcW w:w="3969" w:type="dxa"/>
            <w:vAlign w:val="center"/>
          </w:tcPr>
          <w:p w:rsidR="00E74887" w:rsidRPr="004B652C" w:rsidRDefault="00E74887" w:rsidP="0086180A">
            <w:pPr>
              <w:spacing w:before="60" w:after="60" w:line="240" w:lineRule="auto"/>
              <w:rPr>
                <w:b/>
                <w:sz w:val="18"/>
                <w:szCs w:val="18"/>
              </w:rPr>
            </w:pPr>
            <w:r w:rsidRPr="004B652C">
              <w:rPr>
                <w:b/>
                <w:sz w:val="18"/>
                <w:szCs w:val="18"/>
              </w:rPr>
              <w:t>Custodial Youth Justice</w:t>
            </w:r>
          </w:p>
        </w:tc>
        <w:tc>
          <w:tcPr>
            <w:tcW w:w="993" w:type="dxa"/>
            <w:vAlign w:val="center"/>
          </w:tcPr>
          <w:p w:rsidR="00E74887" w:rsidRPr="004B652C" w:rsidRDefault="00E74887" w:rsidP="0086180A">
            <w:pPr>
              <w:spacing w:before="60" w:after="60" w:line="240" w:lineRule="auto"/>
              <w:jc w:val="right"/>
              <w:rPr>
                <w:sz w:val="18"/>
                <w:szCs w:val="18"/>
              </w:rPr>
            </w:pPr>
          </w:p>
        </w:tc>
        <w:tc>
          <w:tcPr>
            <w:tcW w:w="1134" w:type="dxa"/>
            <w:vAlign w:val="center"/>
          </w:tcPr>
          <w:p w:rsidR="00E74887" w:rsidRPr="004B652C" w:rsidDel="00D113DF" w:rsidRDefault="00E74887" w:rsidP="0086180A">
            <w:pPr>
              <w:spacing w:before="60" w:after="60" w:line="240" w:lineRule="auto"/>
              <w:jc w:val="right"/>
              <w:rPr>
                <w:sz w:val="18"/>
                <w:szCs w:val="18"/>
              </w:rPr>
            </w:pPr>
          </w:p>
        </w:tc>
        <w:tc>
          <w:tcPr>
            <w:tcW w:w="1134" w:type="dxa"/>
            <w:vAlign w:val="center"/>
          </w:tcPr>
          <w:p w:rsidR="00E74887" w:rsidRPr="004B652C" w:rsidRDefault="00E74887" w:rsidP="0086180A">
            <w:pPr>
              <w:spacing w:before="60" w:after="60" w:line="240" w:lineRule="auto"/>
              <w:jc w:val="right"/>
              <w:rPr>
                <w:sz w:val="18"/>
                <w:szCs w:val="18"/>
              </w:rPr>
            </w:pPr>
          </w:p>
        </w:tc>
        <w:tc>
          <w:tcPr>
            <w:tcW w:w="1134" w:type="dxa"/>
            <w:vAlign w:val="center"/>
          </w:tcPr>
          <w:p w:rsidR="00E74887" w:rsidRPr="004B652C" w:rsidRDefault="00E74887" w:rsidP="0086180A">
            <w:pPr>
              <w:spacing w:before="60" w:after="60" w:line="240" w:lineRule="auto"/>
              <w:jc w:val="right"/>
              <w:rPr>
                <w:sz w:val="18"/>
                <w:szCs w:val="18"/>
              </w:rPr>
            </w:pPr>
          </w:p>
        </w:tc>
        <w:tc>
          <w:tcPr>
            <w:tcW w:w="1134" w:type="dxa"/>
            <w:vAlign w:val="center"/>
          </w:tcPr>
          <w:p w:rsidR="00E74887" w:rsidRPr="004B652C" w:rsidRDefault="00E74887" w:rsidP="0086180A">
            <w:pPr>
              <w:spacing w:before="60" w:after="60" w:line="240" w:lineRule="auto"/>
              <w:jc w:val="right"/>
              <w:rPr>
                <w:sz w:val="18"/>
                <w:szCs w:val="18"/>
              </w:rPr>
            </w:pPr>
          </w:p>
        </w:tc>
      </w:tr>
      <w:tr w:rsidR="00E74887" w:rsidRPr="004B652C" w:rsidTr="0086180A">
        <w:trPr>
          <w:cantSplit/>
          <w:tblHeader/>
        </w:trPr>
        <w:tc>
          <w:tcPr>
            <w:tcW w:w="3969" w:type="dxa"/>
            <w:vAlign w:val="center"/>
          </w:tcPr>
          <w:p w:rsidR="00E74887" w:rsidRPr="004B652C" w:rsidRDefault="00E74887" w:rsidP="0086180A">
            <w:pPr>
              <w:spacing w:before="60" w:after="60" w:line="240" w:lineRule="auto"/>
              <w:rPr>
                <w:sz w:val="18"/>
                <w:szCs w:val="18"/>
              </w:rPr>
            </w:pPr>
            <w:r w:rsidRPr="004B652C">
              <w:rPr>
                <w:sz w:val="18"/>
                <w:szCs w:val="18"/>
              </w:rPr>
              <w:t xml:space="preserve">Average daily number of young people in </w:t>
            </w:r>
            <w:r>
              <w:rPr>
                <w:sz w:val="18"/>
                <w:szCs w:val="18"/>
              </w:rPr>
              <w:t xml:space="preserve">youth justice </w:t>
            </w:r>
            <w:r w:rsidRPr="004B652C">
              <w:rPr>
                <w:sz w:val="18"/>
                <w:szCs w:val="18"/>
              </w:rPr>
              <w:t>detention</w:t>
            </w:r>
            <w:r w:rsidR="00933AB9">
              <w:rPr>
                <w:sz w:val="18"/>
                <w:szCs w:val="18"/>
                <w:vertAlign w:val="superscript"/>
              </w:rPr>
              <w:t>6</w:t>
            </w:r>
          </w:p>
        </w:tc>
        <w:tc>
          <w:tcPr>
            <w:tcW w:w="993" w:type="dxa"/>
            <w:vAlign w:val="center"/>
          </w:tcPr>
          <w:p w:rsidR="00E74887" w:rsidRPr="004B652C" w:rsidRDefault="00E74887" w:rsidP="0086180A">
            <w:pPr>
              <w:spacing w:before="60" w:after="60" w:line="240" w:lineRule="auto"/>
              <w:jc w:val="right"/>
              <w:rPr>
                <w:sz w:val="18"/>
                <w:szCs w:val="18"/>
              </w:rPr>
            </w:pPr>
            <w:r w:rsidRPr="004B652C">
              <w:rPr>
                <w:sz w:val="18"/>
                <w:szCs w:val="18"/>
              </w:rPr>
              <w:t>Number</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21.4</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18.4</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11.6</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10.6</w:t>
            </w:r>
          </w:p>
        </w:tc>
      </w:tr>
      <w:tr w:rsidR="00E74887" w:rsidRPr="004B652C" w:rsidTr="0086180A">
        <w:trPr>
          <w:cantSplit/>
          <w:tblHeader/>
        </w:trPr>
        <w:tc>
          <w:tcPr>
            <w:tcW w:w="3969" w:type="dxa"/>
            <w:vAlign w:val="center"/>
          </w:tcPr>
          <w:p w:rsidR="00E74887" w:rsidRPr="004B652C" w:rsidRDefault="00E74887" w:rsidP="0086180A">
            <w:pPr>
              <w:spacing w:before="60" w:after="60" w:line="240" w:lineRule="auto"/>
              <w:rPr>
                <w:sz w:val="18"/>
                <w:szCs w:val="18"/>
              </w:rPr>
            </w:pPr>
            <w:r w:rsidRPr="004B652C">
              <w:rPr>
                <w:sz w:val="18"/>
                <w:szCs w:val="18"/>
              </w:rPr>
              <w:t xml:space="preserve">Distinct number of young people in </w:t>
            </w:r>
            <w:r>
              <w:rPr>
                <w:sz w:val="18"/>
                <w:szCs w:val="18"/>
              </w:rPr>
              <w:t xml:space="preserve">youth justice </w:t>
            </w:r>
            <w:r w:rsidRPr="004B652C">
              <w:rPr>
                <w:sz w:val="18"/>
                <w:szCs w:val="18"/>
              </w:rPr>
              <w:t>detention</w:t>
            </w:r>
          </w:p>
        </w:tc>
        <w:tc>
          <w:tcPr>
            <w:tcW w:w="993" w:type="dxa"/>
            <w:vAlign w:val="center"/>
          </w:tcPr>
          <w:p w:rsidR="00E74887" w:rsidRPr="004B652C" w:rsidRDefault="00E74887" w:rsidP="0086180A">
            <w:pPr>
              <w:spacing w:before="60" w:after="60" w:line="240" w:lineRule="auto"/>
              <w:jc w:val="right"/>
              <w:rPr>
                <w:sz w:val="18"/>
                <w:szCs w:val="18"/>
              </w:rPr>
            </w:pPr>
            <w:r w:rsidRPr="004B652C">
              <w:rPr>
                <w:sz w:val="18"/>
                <w:szCs w:val="18"/>
              </w:rPr>
              <w:t>Number</w:t>
            </w:r>
          </w:p>
        </w:tc>
        <w:tc>
          <w:tcPr>
            <w:tcW w:w="1134" w:type="dxa"/>
            <w:vAlign w:val="center"/>
          </w:tcPr>
          <w:p w:rsidR="00E74887" w:rsidRPr="004B652C" w:rsidRDefault="00E74887" w:rsidP="0086180A">
            <w:pPr>
              <w:spacing w:before="60" w:after="60" w:line="240" w:lineRule="auto"/>
              <w:jc w:val="right"/>
              <w:rPr>
                <w:sz w:val="18"/>
                <w:szCs w:val="18"/>
              </w:rPr>
            </w:pPr>
            <w:r w:rsidRPr="004B652C">
              <w:rPr>
                <w:sz w:val="18"/>
                <w:szCs w:val="18"/>
              </w:rPr>
              <w:t>10</w:t>
            </w:r>
            <w:r>
              <w:rPr>
                <w:sz w:val="18"/>
                <w:szCs w:val="18"/>
              </w:rPr>
              <w:t>3</w:t>
            </w:r>
          </w:p>
        </w:tc>
        <w:tc>
          <w:tcPr>
            <w:tcW w:w="1134" w:type="dxa"/>
            <w:vAlign w:val="center"/>
          </w:tcPr>
          <w:p w:rsidR="00E74887" w:rsidRPr="004B652C" w:rsidRDefault="00E74887" w:rsidP="0086180A">
            <w:pPr>
              <w:spacing w:before="60" w:after="60" w:line="240" w:lineRule="auto"/>
              <w:jc w:val="right"/>
              <w:rPr>
                <w:sz w:val="18"/>
                <w:szCs w:val="18"/>
              </w:rPr>
            </w:pPr>
            <w:r w:rsidRPr="004B652C">
              <w:rPr>
                <w:sz w:val="18"/>
                <w:szCs w:val="18"/>
              </w:rPr>
              <w:t>7</w:t>
            </w:r>
            <w:r>
              <w:rPr>
                <w:sz w:val="18"/>
                <w:szCs w:val="18"/>
              </w:rPr>
              <w:t>2</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56</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52</w:t>
            </w:r>
          </w:p>
        </w:tc>
      </w:tr>
      <w:tr w:rsidR="00E74887" w:rsidRPr="004B652C" w:rsidTr="0086180A">
        <w:trPr>
          <w:cantSplit/>
          <w:tblHeader/>
        </w:trPr>
        <w:tc>
          <w:tcPr>
            <w:tcW w:w="3969" w:type="dxa"/>
            <w:vAlign w:val="center"/>
          </w:tcPr>
          <w:p w:rsidR="00E74887" w:rsidRPr="004B652C" w:rsidRDefault="00E74887" w:rsidP="0086180A">
            <w:pPr>
              <w:spacing w:before="60" w:after="60" w:line="240" w:lineRule="auto"/>
              <w:rPr>
                <w:b/>
                <w:sz w:val="18"/>
                <w:szCs w:val="18"/>
              </w:rPr>
            </w:pPr>
            <w:r w:rsidRPr="004B652C">
              <w:rPr>
                <w:b/>
                <w:sz w:val="18"/>
                <w:szCs w:val="18"/>
              </w:rPr>
              <w:t>Community Youth Justice</w:t>
            </w:r>
          </w:p>
        </w:tc>
        <w:tc>
          <w:tcPr>
            <w:tcW w:w="993" w:type="dxa"/>
            <w:vAlign w:val="center"/>
          </w:tcPr>
          <w:p w:rsidR="00E74887" w:rsidRPr="004B652C" w:rsidRDefault="00E74887" w:rsidP="0086180A">
            <w:pPr>
              <w:spacing w:before="60" w:after="60" w:line="240" w:lineRule="auto"/>
              <w:jc w:val="right"/>
              <w:rPr>
                <w:sz w:val="18"/>
                <w:szCs w:val="18"/>
              </w:rPr>
            </w:pPr>
          </w:p>
        </w:tc>
        <w:tc>
          <w:tcPr>
            <w:tcW w:w="1134" w:type="dxa"/>
            <w:vAlign w:val="center"/>
          </w:tcPr>
          <w:p w:rsidR="00E74887" w:rsidRPr="004B652C" w:rsidRDefault="00E74887" w:rsidP="0086180A">
            <w:pPr>
              <w:spacing w:before="60" w:after="60" w:line="240" w:lineRule="auto"/>
              <w:jc w:val="right"/>
              <w:rPr>
                <w:sz w:val="18"/>
                <w:szCs w:val="18"/>
              </w:rPr>
            </w:pPr>
          </w:p>
        </w:tc>
        <w:tc>
          <w:tcPr>
            <w:tcW w:w="1134" w:type="dxa"/>
            <w:vAlign w:val="center"/>
          </w:tcPr>
          <w:p w:rsidR="00E74887" w:rsidRPr="004B652C" w:rsidDel="00D113DF" w:rsidRDefault="00E74887" w:rsidP="0086180A">
            <w:pPr>
              <w:spacing w:before="60" w:after="60" w:line="240" w:lineRule="auto"/>
              <w:jc w:val="right"/>
              <w:rPr>
                <w:sz w:val="18"/>
                <w:szCs w:val="18"/>
              </w:rPr>
            </w:pPr>
          </w:p>
        </w:tc>
        <w:tc>
          <w:tcPr>
            <w:tcW w:w="1134" w:type="dxa"/>
            <w:vAlign w:val="center"/>
          </w:tcPr>
          <w:p w:rsidR="00E74887" w:rsidRPr="004B652C" w:rsidRDefault="00E74887" w:rsidP="0086180A">
            <w:pPr>
              <w:spacing w:before="60" w:after="60" w:line="240" w:lineRule="auto"/>
              <w:jc w:val="right"/>
              <w:rPr>
                <w:sz w:val="18"/>
                <w:szCs w:val="18"/>
              </w:rPr>
            </w:pPr>
          </w:p>
        </w:tc>
        <w:tc>
          <w:tcPr>
            <w:tcW w:w="1134" w:type="dxa"/>
            <w:vAlign w:val="center"/>
          </w:tcPr>
          <w:p w:rsidR="00E74887" w:rsidRPr="004B652C" w:rsidRDefault="00E74887" w:rsidP="0086180A">
            <w:pPr>
              <w:spacing w:before="60" w:after="60" w:line="240" w:lineRule="auto"/>
              <w:jc w:val="right"/>
              <w:rPr>
                <w:sz w:val="18"/>
                <w:szCs w:val="18"/>
              </w:rPr>
            </w:pPr>
          </w:p>
        </w:tc>
      </w:tr>
      <w:tr w:rsidR="00E74887" w:rsidRPr="004B652C" w:rsidTr="0086180A">
        <w:trPr>
          <w:cantSplit/>
          <w:tblHeader/>
        </w:trPr>
        <w:tc>
          <w:tcPr>
            <w:tcW w:w="3969" w:type="dxa"/>
            <w:vAlign w:val="center"/>
          </w:tcPr>
          <w:p w:rsidR="00E74887" w:rsidRPr="004B652C" w:rsidRDefault="00E74887" w:rsidP="0086180A">
            <w:pPr>
              <w:spacing w:before="60" w:after="60" w:line="240" w:lineRule="auto"/>
              <w:rPr>
                <w:sz w:val="18"/>
                <w:szCs w:val="18"/>
              </w:rPr>
            </w:pPr>
            <w:r w:rsidRPr="004B652C">
              <w:rPr>
                <w:sz w:val="18"/>
                <w:szCs w:val="18"/>
              </w:rPr>
              <w:t>Average daily number of Community Youth Justice clients</w:t>
            </w:r>
            <w:r w:rsidR="00933AB9">
              <w:rPr>
                <w:sz w:val="18"/>
                <w:szCs w:val="18"/>
                <w:vertAlign w:val="superscript"/>
              </w:rPr>
              <w:t>6</w:t>
            </w:r>
          </w:p>
        </w:tc>
        <w:tc>
          <w:tcPr>
            <w:tcW w:w="993" w:type="dxa"/>
            <w:vAlign w:val="center"/>
          </w:tcPr>
          <w:p w:rsidR="00E74887" w:rsidRPr="004B652C" w:rsidRDefault="00E74887" w:rsidP="0086180A">
            <w:pPr>
              <w:spacing w:before="60" w:after="60" w:line="240" w:lineRule="auto"/>
              <w:jc w:val="right"/>
              <w:rPr>
                <w:sz w:val="18"/>
                <w:szCs w:val="18"/>
              </w:rPr>
            </w:pPr>
            <w:r w:rsidRPr="004B652C">
              <w:rPr>
                <w:sz w:val="18"/>
                <w:szCs w:val="18"/>
              </w:rPr>
              <w:t>Number</w:t>
            </w:r>
          </w:p>
        </w:tc>
        <w:tc>
          <w:tcPr>
            <w:tcW w:w="1134" w:type="dxa"/>
            <w:vAlign w:val="center"/>
          </w:tcPr>
          <w:p w:rsidR="00E74887" w:rsidRPr="004B652C" w:rsidRDefault="00E74887" w:rsidP="0086180A">
            <w:pPr>
              <w:spacing w:before="60" w:after="60" w:line="240" w:lineRule="auto"/>
              <w:jc w:val="right"/>
              <w:rPr>
                <w:sz w:val="18"/>
                <w:szCs w:val="18"/>
              </w:rPr>
            </w:pPr>
            <w:r w:rsidRPr="004B652C">
              <w:rPr>
                <w:sz w:val="18"/>
                <w:szCs w:val="18"/>
              </w:rPr>
              <w:t>438</w:t>
            </w:r>
            <w:r>
              <w:rPr>
                <w:sz w:val="18"/>
                <w:szCs w:val="18"/>
              </w:rPr>
              <w:t>.0</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389.7</w:t>
            </w:r>
          </w:p>
        </w:tc>
        <w:tc>
          <w:tcPr>
            <w:tcW w:w="1134" w:type="dxa"/>
            <w:vAlign w:val="center"/>
          </w:tcPr>
          <w:p w:rsidR="00E74887" w:rsidRPr="004B652C" w:rsidRDefault="00E74887" w:rsidP="0086180A">
            <w:pPr>
              <w:spacing w:before="60" w:after="60" w:line="240" w:lineRule="auto"/>
              <w:jc w:val="right"/>
              <w:rPr>
                <w:sz w:val="18"/>
                <w:szCs w:val="18"/>
              </w:rPr>
            </w:pPr>
            <w:r w:rsidRPr="004B652C">
              <w:rPr>
                <w:sz w:val="18"/>
                <w:szCs w:val="18"/>
              </w:rPr>
              <w:t>3</w:t>
            </w:r>
            <w:r>
              <w:rPr>
                <w:sz w:val="18"/>
                <w:szCs w:val="18"/>
              </w:rPr>
              <w:t>09.2</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241.7</w:t>
            </w:r>
          </w:p>
        </w:tc>
      </w:tr>
      <w:tr w:rsidR="00E74887" w:rsidRPr="004B652C" w:rsidTr="0086180A">
        <w:trPr>
          <w:cantSplit/>
          <w:tblHeader/>
        </w:trPr>
        <w:tc>
          <w:tcPr>
            <w:tcW w:w="3969" w:type="dxa"/>
            <w:vAlign w:val="center"/>
          </w:tcPr>
          <w:p w:rsidR="00E74887" w:rsidRPr="004B652C" w:rsidRDefault="00E74887" w:rsidP="0086180A">
            <w:pPr>
              <w:spacing w:before="60" w:after="60" w:line="240" w:lineRule="auto"/>
              <w:rPr>
                <w:sz w:val="18"/>
                <w:szCs w:val="18"/>
              </w:rPr>
            </w:pPr>
            <w:r>
              <w:rPr>
                <w:sz w:val="18"/>
                <w:szCs w:val="18"/>
              </w:rPr>
              <w:t xml:space="preserve">Distinct </w:t>
            </w:r>
            <w:r w:rsidRPr="004B652C">
              <w:rPr>
                <w:sz w:val="18"/>
                <w:szCs w:val="18"/>
              </w:rPr>
              <w:t xml:space="preserve">number of </w:t>
            </w:r>
            <w:r>
              <w:rPr>
                <w:sz w:val="18"/>
                <w:szCs w:val="18"/>
              </w:rPr>
              <w:t xml:space="preserve">young people in </w:t>
            </w:r>
            <w:r w:rsidRPr="004B652C">
              <w:rPr>
                <w:sz w:val="18"/>
                <w:szCs w:val="18"/>
              </w:rPr>
              <w:t xml:space="preserve">Community Youth Justice </w:t>
            </w:r>
          </w:p>
        </w:tc>
        <w:tc>
          <w:tcPr>
            <w:tcW w:w="993" w:type="dxa"/>
            <w:vAlign w:val="center"/>
          </w:tcPr>
          <w:p w:rsidR="00E74887" w:rsidRPr="004B652C" w:rsidRDefault="00E74887" w:rsidP="0086180A">
            <w:pPr>
              <w:spacing w:before="60" w:after="60" w:line="240" w:lineRule="auto"/>
              <w:jc w:val="right"/>
              <w:rPr>
                <w:sz w:val="18"/>
                <w:szCs w:val="18"/>
              </w:rPr>
            </w:pPr>
            <w:r w:rsidRPr="004B652C">
              <w:rPr>
                <w:sz w:val="18"/>
                <w:szCs w:val="18"/>
              </w:rPr>
              <w:t>Number</w:t>
            </w:r>
          </w:p>
        </w:tc>
        <w:tc>
          <w:tcPr>
            <w:tcW w:w="1134" w:type="dxa"/>
            <w:vAlign w:val="center"/>
          </w:tcPr>
          <w:p w:rsidR="00E74887" w:rsidRPr="004B652C" w:rsidRDefault="00E74887" w:rsidP="0086180A">
            <w:pPr>
              <w:spacing w:before="60" w:after="60" w:line="240" w:lineRule="auto"/>
              <w:jc w:val="right"/>
              <w:rPr>
                <w:sz w:val="18"/>
                <w:szCs w:val="18"/>
              </w:rPr>
            </w:pPr>
            <w:r w:rsidRPr="004B652C">
              <w:rPr>
                <w:sz w:val="18"/>
                <w:szCs w:val="18"/>
              </w:rPr>
              <w:t>957</w:t>
            </w:r>
          </w:p>
        </w:tc>
        <w:tc>
          <w:tcPr>
            <w:tcW w:w="1134" w:type="dxa"/>
            <w:vAlign w:val="center"/>
          </w:tcPr>
          <w:p w:rsidR="00E74887" w:rsidRPr="004B652C" w:rsidRDefault="00E74887" w:rsidP="0086180A">
            <w:pPr>
              <w:spacing w:before="60" w:after="60" w:line="240" w:lineRule="auto"/>
              <w:jc w:val="right"/>
              <w:rPr>
                <w:sz w:val="18"/>
                <w:szCs w:val="18"/>
              </w:rPr>
            </w:pPr>
            <w:r w:rsidRPr="004B652C">
              <w:rPr>
                <w:sz w:val="18"/>
                <w:szCs w:val="18"/>
              </w:rPr>
              <w:t>811</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643</w:t>
            </w:r>
          </w:p>
        </w:tc>
        <w:tc>
          <w:tcPr>
            <w:tcW w:w="1134" w:type="dxa"/>
            <w:vAlign w:val="center"/>
          </w:tcPr>
          <w:p w:rsidR="00E74887" w:rsidRPr="004B652C" w:rsidRDefault="00E74887" w:rsidP="0086180A">
            <w:pPr>
              <w:spacing w:before="60" w:after="60" w:line="240" w:lineRule="auto"/>
              <w:jc w:val="right"/>
              <w:rPr>
                <w:sz w:val="18"/>
                <w:szCs w:val="18"/>
              </w:rPr>
            </w:pPr>
            <w:r>
              <w:rPr>
                <w:sz w:val="18"/>
                <w:szCs w:val="18"/>
              </w:rPr>
              <w:t>519</w:t>
            </w:r>
          </w:p>
        </w:tc>
      </w:tr>
      <w:tr w:rsidR="00E74887" w:rsidRPr="004B652C" w:rsidTr="00BE7188">
        <w:trPr>
          <w:cantSplit/>
          <w:tblHeader/>
        </w:trPr>
        <w:tc>
          <w:tcPr>
            <w:tcW w:w="3969" w:type="dxa"/>
            <w:tcBorders>
              <w:bottom w:val="single" w:sz="4" w:space="0" w:color="808080"/>
            </w:tcBorders>
            <w:vAlign w:val="center"/>
          </w:tcPr>
          <w:p w:rsidR="00E74887" w:rsidRPr="004B652C" w:rsidRDefault="00E74887" w:rsidP="0086180A">
            <w:pPr>
              <w:spacing w:before="60" w:after="60" w:line="240" w:lineRule="auto"/>
              <w:rPr>
                <w:sz w:val="18"/>
                <w:szCs w:val="18"/>
              </w:rPr>
            </w:pPr>
            <w:r w:rsidRPr="004B652C">
              <w:rPr>
                <w:sz w:val="18"/>
                <w:szCs w:val="18"/>
              </w:rPr>
              <w:t>Community Service Orders completed before the statutory expiry date</w:t>
            </w:r>
          </w:p>
        </w:tc>
        <w:tc>
          <w:tcPr>
            <w:tcW w:w="993"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sidRPr="004B652C">
              <w:rPr>
                <w:sz w:val="18"/>
                <w:szCs w:val="18"/>
              </w:rPr>
              <w:t>%</w:t>
            </w:r>
          </w:p>
        </w:tc>
        <w:tc>
          <w:tcPr>
            <w:tcW w:w="1134"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sidRPr="004B652C">
              <w:rPr>
                <w:sz w:val="18"/>
                <w:szCs w:val="18"/>
              </w:rPr>
              <w:t>88.2</w:t>
            </w:r>
          </w:p>
        </w:tc>
        <w:tc>
          <w:tcPr>
            <w:tcW w:w="1134"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sidRPr="004B652C">
              <w:rPr>
                <w:sz w:val="18"/>
                <w:szCs w:val="18"/>
              </w:rPr>
              <w:t>83.8</w:t>
            </w:r>
          </w:p>
        </w:tc>
        <w:tc>
          <w:tcPr>
            <w:tcW w:w="1134"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Pr>
                <w:sz w:val="18"/>
                <w:szCs w:val="18"/>
              </w:rPr>
              <w:t>92.0</w:t>
            </w:r>
          </w:p>
        </w:tc>
        <w:tc>
          <w:tcPr>
            <w:tcW w:w="1134"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Pr>
                <w:sz w:val="18"/>
                <w:szCs w:val="18"/>
              </w:rPr>
              <w:t>88.5</w:t>
            </w:r>
          </w:p>
        </w:tc>
      </w:tr>
      <w:tr w:rsidR="00E74887" w:rsidRPr="004B652C" w:rsidTr="00BE7188">
        <w:trPr>
          <w:cantSplit/>
          <w:tblHeader/>
        </w:trPr>
        <w:tc>
          <w:tcPr>
            <w:tcW w:w="3969" w:type="dxa"/>
            <w:tcBorders>
              <w:bottom w:val="single" w:sz="4" w:space="0" w:color="808080"/>
            </w:tcBorders>
            <w:vAlign w:val="center"/>
          </w:tcPr>
          <w:p w:rsidR="00E74887" w:rsidRPr="004B652C" w:rsidRDefault="00E74887" w:rsidP="0086180A">
            <w:pPr>
              <w:spacing w:before="60" w:after="60" w:line="240" w:lineRule="auto"/>
              <w:rPr>
                <w:sz w:val="18"/>
                <w:szCs w:val="18"/>
              </w:rPr>
            </w:pPr>
            <w:r w:rsidRPr="004B652C">
              <w:rPr>
                <w:sz w:val="18"/>
                <w:szCs w:val="18"/>
              </w:rPr>
              <w:t xml:space="preserve">Youth Justice Community Conferences held within six weeks of receipt of referral for conference </w:t>
            </w:r>
          </w:p>
        </w:tc>
        <w:tc>
          <w:tcPr>
            <w:tcW w:w="993"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sidRPr="004B652C">
              <w:rPr>
                <w:sz w:val="18"/>
                <w:szCs w:val="18"/>
              </w:rPr>
              <w:t>%</w:t>
            </w:r>
          </w:p>
        </w:tc>
        <w:tc>
          <w:tcPr>
            <w:tcW w:w="1134"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sidRPr="004B652C">
              <w:rPr>
                <w:sz w:val="18"/>
                <w:szCs w:val="18"/>
              </w:rPr>
              <w:t>72.9</w:t>
            </w:r>
          </w:p>
        </w:tc>
        <w:tc>
          <w:tcPr>
            <w:tcW w:w="1134"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Pr>
                <w:sz w:val="18"/>
                <w:szCs w:val="18"/>
              </w:rPr>
              <w:t>86.1</w:t>
            </w:r>
          </w:p>
        </w:tc>
        <w:tc>
          <w:tcPr>
            <w:tcW w:w="1134"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Pr>
                <w:sz w:val="18"/>
                <w:szCs w:val="18"/>
              </w:rPr>
              <w:t>81.7</w:t>
            </w:r>
          </w:p>
        </w:tc>
        <w:tc>
          <w:tcPr>
            <w:tcW w:w="1134" w:type="dxa"/>
            <w:tcBorders>
              <w:bottom w:val="single" w:sz="4" w:space="0" w:color="808080"/>
            </w:tcBorders>
            <w:vAlign w:val="center"/>
          </w:tcPr>
          <w:p w:rsidR="00E74887" w:rsidRPr="004B652C" w:rsidRDefault="00E74887" w:rsidP="0086180A">
            <w:pPr>
              <w:spacing w:before="60" w:after="60" w:line="240" w:lineRule="auto"/>
              <w:jc w:val="right"/>
              <w:rPr>
                <w:sz w:val="18"/>
                <w:szCs w:val="18"/>
              </w:rPr>
            </w:pPr>
            <w:r>
              <w:rPr>
                <w:sz w:val="18"/>
                <w:szCs w:val="18"/>
              </w:rPr>
              <w:t>86.2</w:t>
            </w:r>
          </w:p>
        </w:tc>
      </w:tr>
    </w:tbl>
    <w:p w:rsidR="00A157A3" w:rsidRPr="00F80387" w:rsidRDefault="00A157A3" w:rsidP="00A157A3">
      <w:pPr>
        <w:pStyle w:val="BulletedListLevel1"/>
        <w:numPr>
          <w:ilvl w:val="0"/>
          <w:numId w:val="0"/>
        </w:numPr>
        <w:rPr>
          <w:rFonts w:ascii="GillSans Light" w:hAnsi="GillSans Light"/>
        </w:rPr>
        <w:sectPr w:rsidR="00A157A3" w:rsidRPr="00F80387" w:rsidSect="001D0B41">
          <w:type w:val="continuous"/>
          <w:pgSz w:w="11906" w:h="16838" w:code="9"/>
          <w:pgMar w:top="907" w:right="1134" w:bottom="720" w:left="1276" w:header="709" w:footer="709" w:gutter="0"/>
          <w:cols w:space="708"/>
          <w:docGrid w:linePitch="360"/>
        </w:sectPr>
      </w:pPr>
    </w:p>
    <w:p w:rsidR="00BE7188" w:rsidRPr="0077081E" w:rsidRDefault="00BE7188" w:rsidP="00BE7188">
      <w:pPr>
        <w:pStyle w:val="ListNumber2"/>
        <w:keepLines/>
        <w:widowControl w:val="0"/>
        <w:tabs>
          <w:tab w:val="clear" w:pos="567"/>
          <w:tab w:val="left" w:pos="601"/>
        </w:tabs>
        <w:spacing w:before="120" w:after="120" w:line="240" w:lineRule="auto"/>
        <w:rPr>
          <w:sz w:val="18"/>
          <w:szCs w:val="18"/>
          <w:lang w:bidi="en-US"/>
        </w:rPr>
      </w:pPr>
      <w:r w:rsidRPr="0077081E">
        <w:rPr>
          <w:sz w:val="18"/>
          <w:szCs w:val="18"/>
          <w:lang w:bidi="en-US"/>
        </w:rPr>
        <w:lastRenderedPageBreak/>
        <w:t>Notes:</w:t>
      </w:r>
    </w:p>
    <w:p w:rsidR="00BE7188" w:rsidRPr="00922C8C" w:rsidRDefault="00BE7188" w:rsidP="00BE7188">
      <w:pPr>
        <w:numPr>
          <w:ilvl w:val="0"/>
          <w:numId w:val="46"/>
        </w:numPr>
        <w:tabs>
          <w:tab w:val="clear" w:pos="567"/>
        </w:tabs>
        <w:spacing w:before="120" w:after="120" w:line="240" w:lineRule="auto"/>
        <w:ind w:left="567" w:hanging="567"/>
        <w:rPr>
          <w:sz w:val="18"/>
          <w:szCs w:val="18"/>
          <w:lang w:bidi="en-US"/>
        </w:rPr>
      </w:pPr>
      <w:r>
        <w:rPr>
          <w:sz w:val="18"/>
          <w:szCs w:val="18"/>
          <w:lang w:bidi="en-US"/>
        </w:rPr>
        <w:t xml:space="preserve">Indicators for CYS’ section of the </w:t>
      </w:r>
      <w:r w:rsidRPr="00922C8C">
        <w:rPr>
          <w:sz w:val="18"/>
          <w:szCs w:val="18"/>
          <w:lang w:bidi="en-US"/>
        </w:rPr>
        <w:t>DHHS Annual Report ha</w:t>
      </w:r>
      <w:r>
        <w:rPr>
          <w:sz w:val="18"/>
          <w:szCs w:val="18"/>
          <w:lang w:bidi="en-US"/>
        </w:rPr>
        <w:t>ve</w:t>
      </w:r>
      <w:r w:rsidRPr="00922C8C">
        <w:rPr>
          <w:sz w:val="18"/>
          <w:szCs w:val="18"/>
          <w:lang w:bidi="en-US"/>
        </w:rPr>
        <w:t xml:space="preserve"> been brought into line with the Budget Papers </w:t>
      </w:r>
      <w:r>
        <w:rPr>
          <w:sz w:val="18"/>
          <w:szCs w:val="18"/>
          <w:lang w:bidi="en-US"/>
        </w:rPr>
        <w:t xml:space="preserve">such that </w:t>
      </w:r>
      <w:r w:rsidRPr="00922C8C">
        <w:rPr>
          <w:sz w:val="18"/>
          <w:szCs w:val="18"/>
          <w:lang w:bidi="en-US"/>
        </w:rPr>
        <w:t>both now report the same performance measures</w:t>
      </w:r>
      <w:r>
        <w:rPr>
          <w:sz w:val="18"/>
          <w:szCs w:val="18"/>
          <w:lang w:bidi="en-US"/>
        </w:rPr>
        <w:t>.</w:t>
      </w:r>
    </w:p>
    <w:p w:rsidR="00BE7188" w:rsidRPr="00933AB9" w:rsidRDefault="00BE7188" w:rsidP="00BE7188">
      <w:pPr>
        <w:numPr>
          <w:ilvl w:val="0"/>
          <w:numId w:val="46"/>
        </w:numPr>
        <w:tabs>
          <w:tab w:val="clear" w:pos="567"/>
          <w:tab w:val="left" w:pos="601"/>
        </w:tabs>
        <w:spacing w:before="120" w:after="120" w:line="240" w:lineRule="auto"/>
        <w:ind w:left="601" w:hanging="567"/>
        <w:rPr>
          <w:sz w:val="18"/>
          <w:szCs w:val="18"/>
          <w:lang w:bidi="en-US"/>
        </w:rPr>
      </w:pPr>
      <w:r w:rsidRPr="006C2B00">
        <w:rPr>
          <w:sz w:val="18"/>
          <w:szCs w:val="18"/>
          <w:lang w:bidi="en-US"/>
        </w:rPr>
        <w:t xml:space="preserve">The </w:t>
      </w:r>
      <w:r>
        <w:rPr>
          <w:sz w:val="18"/>
          <w:szCs w:val="18"/>
          <w:lang w:bidi="en-US"/>
        </w:rPr>
        <w:t xml:space="preserve">2014-15 </w:t>
      </w:r>
      <w:r w:rsidRPr="006C2B00">
        <w:rPr>
          <w:sz w:val="18"/>
          <w:szCs w:val="18"/>
          <w:lang w:bidi="en-US"/>
        </w:rPr>
        <w:t>actuals are preliminary</w:t>
      </w:r>
      <w:r>
        <w:rPr>
          <w:sz w:val="18"/>
          <w:szCs w:val="18"/>
          <w:lang w:bidi="en-US"/>
        </w:rPr>
        <w:t xml:space="preserve"> and may differ from </w:t>
      </w:r>
      <w:r w:rsidRPr="006C2B00">
        <w:rPr>
          <w:sz w:val="18"/>
          <w:szCs w:val="18"/>
          <w:lang w:bidi="en-US"/>
        </w:rPr>
        <w:t xml:space="preserve">figures published in </w:t>
      </w:r>
      <w:r>
        <w:rPr>
          <w:sz w:val="18"/>
          <w:szCs w:val="18"/>
          <w:lang w:bidi="en-US"/>
        </w:rPr>
        <w:t>the</w:t>
      </w:r>
      <w:r w:rsidRPr="006C2B00">
        <w:rPr>
          <w:sz w:val="18"/>
          <w:szCs w:val="18"/>
          <w:lang w:bidi="en-US"/>
        </w:rPr>
        <w:t xml:space="preserve"> Report on Government Services 201</w:t>
      </w:r>
      <w:r>
        <w:rPr>
          <w:sz w:val="18"/>
          <w:szCs w:val="18"/>
          <w:lang w:bidi="en-US"/>
        </w:rPr>
        <w:t>6</w:t>
      </w:r>
      <w:r w:rsidRPr="006C2B00">
        <w:rPr>
          <w:sz w:val="18"/>
          <w:szCs w:val="18"/>
          <w:lang w:bidi="en-US"/>
        </w:rPr>
        <w:t xml:space="preserve"> or </w:t>
      </w:r>
      <w:r w:rsidRPr="00933AB9">
        <w:rPr>
          <w:sz w:val="18"/>
          <w:szCs w:val="18"/>
          <w:lang w:bidi="en-US"/>
        </w:rPr>
        <w:t>Child Protection Australia 2014-15.</w:t>
      </w:r>
    </w:p>
    <w:p w:rsidR="00BE7188" w:rsidRPr="00494F7A" w:rsidRDefault="00BE7188" w:rsidP="00BE7188">
      <w:pPr>
        <w:numPr>
          <w:ilvl w:val="0"/>
          <w:numId w:val="46"/>
        </w:numPr>
        <w:tabs>
          <w:tab w:val="clear" w:pos="567"/>
          <w:tab w:val="left" w:pos="601"/>
        </w:tabs>
        <w:spacing w:before="120" w:after="120" w:line="240" w:lineRule="auto"/>
        <w:ind w:left="601" w:hanging="567"/>
        <w:rPr>
          <w:sz w:val="18"/>
          <w:szCs w:val="18"/>
          <w:lang w:bidi="en-US"/>
        </w:rPr>
      </w:pPr>
      <w:r>
        <w:rPr>
          <w:sz w:val="18"/>
          <w:szCs w:val="18"/>
          <w:lang w:bidi="en-US"/>
        </w:rPr>
        <w:t>The population figures used to calculate this measure are taken from the Report on Government Services 2014.</w:t>
      </w:r>
    </w:p>
    <w:p w:rsidR="00BE7188" w:rsidRDefault="00BE7188" w:rsidP="00BE7188">
      <w:pPr>
        <w:numPr>
          <w:ilvl w:val="0"/>
          <w:numId w:val="46"/>
        </w:numPr>
        <w:tabs>
          <w:tab w:val="clear" w:pos="567"/>
          <w:tab w:val="left" w:pos="601"/>
        </w:tabs>
        <w:spacing w:before="120" w:after="120" w:line="240" w:lineRule="auto"/>
        <w:ind w:left="601" w:hanging="567"/>
        <w:rPr>
          <w:sz w:val="18"/>
          <w:szCs w:val="18"/>
          <w:lang w:bidi="en-US"/>
        </w:rPr>
      </w:pPr>
      <w:r w:rsidRPr="00494F7A">
        <w:rPr>
          <w:sz w:val="18"/>
          <w:szCs w:val="18"/>
          <w:lang w:bidi="en-US"/>
        </w:rPr>
        <w:t xml:space="preserve">Children in active transition at Response are provisionally allocated to a team leader while awaiting allocation </w:t>
      </w:r>
      <w:r>
        <w:rPr>
          <w:sz w:val="18"/>
          <w:szCs w:val="18"/>
          <w:lang w:bidi="en-US"/>
        </w:rPr>
        <w:t>to</w:t>
      </w:r>
      <w:r w:rsidRPr="00494F7A">
        <w:rPr>
          <w:sz w:val="18"/>
          <w:szCs w:val="18"/>
          <w:lang w:bidi="en-US"/>
        </w:rPr>
        <w:t xml:space="preserve"> a child protection worker. </w:t>
      </w:r>
    </w:p>
    <w:p w:rsidR="00BE7188" w:rsidRDefault="00BE7188" w:rsidP="00BE7188">
      <w:pPr>
        <w:numPr>
          <w:ilvl w:val="0"/>
          <w:numId w:val="46"/>
        </w:numPr>
        <w:tabs>
          <w:tab w:val="clear" w:pos="567"/>
          <w:tab w:val="left" w:pos="601"/>
        </w:tabs>
        <w:spacing w:before="120" w:after="120" w:line="240" w:lineRule="auto"/>
        <w:ind w:left="601" w:hanging="567"/>
        <w:rPr>
          <w:sz w:val="18"/>
          <w:szCs w:val="18"/>
          <w:lang w:bidi="en-US"/>
        </w:rPr>
      </w:pPr>
      <w:r w:rsidRPr="006C2B00">
        <w:rPr>
          <w:sz w:val="18"/>
          <w:szCs w:val="18"/>
          <w:lang w:bidi="en-US"/>
        </w:rPr>
        <w:t xml:space="preserve">The title of this indicator has been changed to reflect the </w:t>
      </w:r>
      <w:r>
        <w:rPr>
          <w:sz w:val="18"/>
          <w:szCs w:val="18"/>
          <w:lang w:bidi="en-US"/>
        </w:rPr>
        <w:t xml:space="preserve">time to record </w:t>
      </w:r>
      <w:r w:rsidRPr="006C2B00">
        <w:rPr>
          <w:sz w:val="18"/>
          <w:szCs w:val="18"/>
          <w:lang w:bidi="en-US"/>
        </w:rPr>
        <w:t xml:space="preserve">substantiation </w:t>
      </w:r>
      <w:r>
        <w:rPr>
          <w:sz w:val="18"/>
          <w:szCs w:val="18"/>
          <w:lang w:bidi="en-US"/>
        </w:rPr>
        <w:t xml:space="preserve">rather than </w:t>
      </w:r>
      <w:r w:rsidRPr="006C2B00">
        <w:rPr>
          <w:sz w:val="18"/>
          <w:szCs w:val="18"/>
          <w:lang w:bidi="en-US"/>
        </w:rPr>
        <w:t>finalisation</w:t>
      </w:r>
      <w:r>
        <w:rPr>
          <w:sz w:val="18"/>
          <w:szCs w:val="18"/>
          <w:lang w:bidi="en-US"/>
        </w:rPr>
        <w:t xml:space="preserve"> of investigations</w:t>
      </w:r>
      <w:r w:rsidRPr="006C2B00">
        <w:rPr>
          <w:sz w:val="18"/>
          <w:szCs w:val="18"/>
          <w:lang w:bidi="en-US"/>
        </w:rPr>
        <w:t>.</w:t>
      </w:r>
    </w:p>
    <w:p w:rsidR="00BE7188" w:rsidRDefault="00BE7188" w:rsidP="00BE7188">
      <w:pPr>
        <w:numPr>
          <w:ilvl w:val="0"/>
          <w:numId w:val="46"/>
        </w:numPr>
        <w:tabs>
          <w:tab w:val="clear" w:pos="567"/>
          <w:tab w:val="left" w:pos="601"/>
        </w:tabs>
        <w:spacing w:before="120" w:after="120" w:line="240" w:lineRule="auto"/>
        <w:ind w:left="601" w:hanging="567"/>
        <w:rPr>
          <w:sz w:val="18"/>
          <w:szCs w:val="18"/>
          <w:lang w:bidi="en-US"/>
        </w:rPr>
      </w:pPr>
      <w:r w:rsidRPr="00494F7A">
        <w:rPr>
          <w:sz w:val="18"/>
          <w:szCs w:val="18"/>
          <w:lang w:bidi="en-US"/>
        </w:rPr>
        <w:t>The titles of these indicators have been subject to minor changes.</w:t>
      </w:r>
    </w:p>
    <w:p w:rsidR="00BE7188" w:rsidRDefault="00BE7188" w:rsidP="00BE7188">
      <w:pPr>
        <w:numPr>
          <w:ilvl w:val="0"/>
          <w:numId w:val="46"/>
        </w:numPr>
        <w:tabs>
          <w:tab w:val="clear" w:pos="567"/>
          <w:tab w:val="left" w:pos="601"/>
        </w:tabs>
        <w:spacing w:before="120" w:after="120" w:line="240" w:lineRule="auto"/>
        <w:ind w:left="601" w:hanging="567"/>
        <w:rPr>
          <w:sz w:val="18"/>
          <w:szCs w:val="18"/>
          <w:lang w:bidi="en-US"/>
        </w:rPr>
        <w:sectPr w:rsidR="00BE7188" w:rsidSect="00BE7188">
          <w:type w:val="continuous"/>
          <w:pgSz w:w="11906" w:h="16838"/>
          <w:pgMar w:top="1440" w:right="1440" w:bottom="1440" w:left="1440" w:header="708" w:footer="708" w:gutter="0"/>
          <w:cols w:space="708"/>
          <w:docGrid w:linePitch="360"/>
        </w:sectPr>
      </w:pPr>
      <w:r w:rsidRPr="006F1E1F">
        <w:rPr>
          <w:sz w:val="18"/>
          <w:szCs w:val="18"/>
          <w:lang w:bidi="en-US"/>
        </w:rPr>
        <w:lastRenderedPageBreak/>
        <w:t xml:space="preserve">The counting rule for children with approved </w:t>
      </w:r>
      <w:r>
        <w:rPr>
          <w:sz w:val="18"/>
          <w:szCs w:val="18"/>
          <w:lang w:bidi="en-US"/>
        </w:rPr>
        <w:t>case and care plans</w:t>
      </w:r>
      <w:r w:rsidRPr="006F1E1F">
        <w:rPr>
          <w:sz w:val="18"/>
          <w:szCs w:val="18"/>
          <w:lang w:bidi="en-US"/>
        </w:rPr>
        <w:t xml:space="preserve"> changed</w:t>
      </w:r>
      <w:r>
        <w:rPr>
          <w:sz w:val="18"/>
          <w:szCs w:val="18"/>
          <w:lang w:bidi="en-US"/>
        </w:rPr>
        <w:t xml:space="preserve"> during 2014-15 such that c</w:t>
      </w:r>
      <w:r w:rsidRPr="006F1E1F">
        <w:rPr>
          <w:sz w:val="18"/>
          <w:szCs w:val="18"/>
          <w:lang w:bidi="en-US"/>
        </w:rPr>
        <w:t xml:space="preserve">hildren transferred from Response to Case Management are </w:t>
      </w:r>
      <w:r w:rsidRPr="00922C8C">
        <w:rPr>
          <w:sz w:val="18"/>
          <w:szCs w:val="18"/>
          <w:lang w:bidi="en-US"/>
        </w:rPr>
        <w:t xml:space="preserve">now </w:t>
      </w:r>
      <w:r>
        <w:rPr>
          <w:sz w:val="18"/>
          <w:szCs w:val="18"/>
          <w:lang w:bidi="en-US"/>
        </w:rPr>
        <w:t>included as h</w:t>
      </w:r>
      <w:r w:rsidRPr="00922C8C">
        <w:rPr>
          <w:sz w:val="18"/>
          <w:szCs w:val="18"/>
          <w:lang w:bidi="en-US"/>
        </w:rPr>
        <w:t>av</w:t>
      </w:r>
      <w:r>
        <w:rPr>
          <w:sz w:val="18"/>
          <w:szCs w:val="18"/>
          <w:lang w:bidi="en-US"/>
        </w:rPr>
        <w:t>ing</w:t>
      </w:r>
      <w:r w:rsidRPr="00922C8C">
        <w:rPr>
          <w:sz w:val="18"/>
          <w:szCs w:val="18"/>
          <w:lang w:bidi="en-US"/>
        </w:rPr>
        <w:t xml:space="preserve"> an approved case and care plan.</w:t>
      </w:r>
      <w:r>
        <w:rPr>
          <w:sz w:val="18"/>
          <w:szCs w:val="18"/>
          <w:lang w:bidi="en-US"/>
        </w:rPr>
        <w:t xml:space="preserve"> The changed counting rule has resulted in the percentages published in this report being higher than the percentages published in earlier Budget Papers.</w:t>
      </w:r>
    </w:p>
    <w:p w:rsidR="00BE7188" w:rsidRDefault="00BE7188" w:rsidP="00BE7188">
      <w:pPr>
        <w:tabs>
          <w:tab w:val="clear" w:pos="567"/>
          <w:tab w:val="left" w:pos="601"/>
        </w:tabs>
        <w:spacing w:before="120" w:after="120" w:line="240" w:lineRule="auto"/>
        <w:ind w:left="34"/>
        <w:rPr>
          <w:sz w:val="18"/>
          <w:szCs w:val="18"/>
          <w:lang w:bidi="en-US"/>
        </w:rPr>
      </w:pPr>
    </w:p>
    <w:p w:rsidR="00A157A3" w:rsidRDefault="00A157A3" w:rsidP="00B15B39">
      <w:pPr>
        <w:sectPr w:rsidR="00A157A3" w:rsidSect="00BD1A43">
          <w:type w:val="continuous"/>
          <w:pgSz w:w="11906" w:h="16838"/>
          <w:pgMar w:top="1440" w:right="1440" w:bottom="1440" w:left="1440" w:header="708" w:footer="708" w:gutter="0"/>
          <w:cols w:num="2" w:space="708"/>
          <w:docGrid w:linePitch="360"/>
        </w:sectPr>
      </w:pPr>
    </w:p>
    <w:p w:rsidR="00E74887" w:rsidRPr="00C04A8A" w:rsidRDefault="00E74887" w:rsidP="00E74887">
      <w:r w:rsidRPr="00C04A8A">
        <w:lastRenderedPageBreak/>
        <w:t>Child Health and Parenting Services maintained a high level of initial engagement with parents of newborn children</w:t>
      </w:r>
      <w:r w:rsidR="00752C5E">
        <w:t>,</w:t>
      </w:r>
      <w:r w:rsidRPr="00C04A8A">
        <w:t xml:space="preserve"> </w:t>
      </w:r>
      <w:r>
        <w:t>and</w:t>
      </w:r>
      <w:r w:rsidRPr="00C04A8A">
        <w:t xml:space="preserve"> </w:t>
      </w:r>
      <w:r w:rsidRPr="00494F7A">
        <w:t>the proportion of parents attending at eight week</w:t>
      </w:r>
      <w:r w:rsidR="00752C5E">
        <w:t xml:space="preserve">s fell only slightly </w:t>
      </w:r>
      <w:r>
        <w:t>in 2014-15.</w:t>
      </w:r>
    </w:p>
    <w:p w:rsidR="00E74887" w:rsidRDefault="00E74887" w:rsidP="00E74887">
      <w:r w:rsidRPr="00C04A8A">
        <w:t xml:space="preserve">Child Protection Services aims to </w:t>
      </w:r>
      <w:r>
        <w:t>substantiate</w:t>
      </w:r>
      <w:r w:rsidRPr="00C04A8A">
        <w:t xml:space="preserve"> investigations of c</w:t>
      </w:r>
      <w:r>
        <w:t>hild abuse or neglect within 28 </w:t>
      </w:r>
      <w:r w:rsidRPr="00C04A8A">
        <w:t xml:space="preserve">days of receiving a notification. The proportion of investigations </w:t>
      </w:r>
      <w:r>
        <w:t>having an outcome</w:t>
      </w:r>
      <w:r w:rsidRPr="00C04A8A">
        <w:t xml:space="preserve"> </w:t>
      </w:r>
      <w:r>
        <w:t xml:space="preserve">determined </w:t>
      </w:r>
      <w:r w:rsidRPr="00C04A8A">
        <w:t xml:space="preserve">within this timeframe </w:t>
      </w:r>
      <w:r>
        <w:t>improved</w:t>
      </w:r>
      <w:r w:rsidRPr="00C04A8A">
        <w:t xml:space="preserve"> f</w:t>
      </w:r>
      <w:r>
        <w:t>rom 31.9 per cent during 2013-</w:t>
      </w:r>
      <w:r w:rsidRPr="00C04A8A">
        <w:t>1</w:t>
      </w:r>
      <w:r>
        <w:t>4</w:t>
      </w:r>
      <w:r w:rsidRPr="00C04A8A">
        <w:t xml:space="preserve"> to </w:t>
      </w:r>
      <w:r>
        <w:t>35.4</w:t>
      </w:r>
      <w:r w:rsidR="00933AB9">
        <w:t> per </w:t>
      </w:r>
      <w:r w:rsidRPr="00C04A8A">
        <w:t>ce</w:t>
      </w:r>
      <w:r>
        <w:t xml:space="preserve">nt in 2014-15. </w:t>
      </w:r>
    </w:p>
    <w:p w:rsidR="00E74887" w:rsidRPr="00C04A8A" w:rsidRDefault="00E74887" w:rsidP="00E74887">
      <w:r>
        <w:t xml:space="preserve">During 2014-15 </w:t>
      </w:r>
      <w:r w:rsidRPr="00C04A8A">
        <w:t>the</w:t>
      </w:r>
      <w:r>
        <w:t xml:space="preserve"> average daily number of children in active transition at Response was 15.5, in the context of more than 1</w:t>
      </w:r>
      <w:r w:rsidR="00752C5E">
        <w:t> </w:t>
      </w:r>
      <w:r>
        <w:t xml:space="preserve">500 notifications being referred for investigation. </w:t>
      </w:r>
    </w:p>
    <w:p w:rsidR="00E74887" w:rsidRDefault="005206D0" w:rsidP="00E74887">
      <w:r>
        <w:br w:type="column"/>
      </w:r>
      <w:r w:rsidR="00E74887" w:rsidRPr="00C04A8A">
        <w:lastRenderedPageBreak/>
        <w:t>Out</w:t>
      </w:r>
      <w:r w:rsidR="00E74887">
        <w:t xml:space="preserve"> </w:t>
      </w:r>
      <w:r w:rsidR="00E74887" w:rsidRPr="00C04A8A">
        <w:t>of</w:t>
      </w:r>
      <w:r w:rsidR="00E74887">
        <w:t xml:space="preserve"> </w:t>
      </w:r>
      <w:r w:rsidR="00E74887" w:rsidRPr="00C04A8A">
        <w:t xml:space="preserve">Home Care Services provide care for children placed away from their parents for protective or other reasons related to </w:t>
      </w:r>
      <w:r w:rsidR="00E74887">
        <w:t>child safety and well-being</w:t>
      </w:r>
      <w:r w:rsidR="00E74887" w:rsidRPr="00C04A8A">
        <w:t xml:space="preserve">. </w:t>
      </w:r>
    </w:p>
    <w:p w:rsidR="00E74887" w:rsidRPr="00C04A8A" w:rsidRDefault="00E74887" w:rsidP="00E74887">
      <w:r>
        <w:t>During 2014-</w:t>
      </w:r>
      <w:r w:rsidRPr="00C04A8A">
        <w:t>1</w:t>
      </w:r>
      <w:r>
        <w:t>5</w:t>
      </w:r>
      <w:r w:rsidRPr="00C04A8A">
        <w:t xml:space="preserve">, </w:t>
      </w:r>
      <w:r>
        <w:t>4.5</w:t>
      </w:r>
      <w:r w:rsidRPr="00C04A8A">
        <w:t xml:space="preserve"> per cent of children in care had three or more </w:t>
      </w:r>
      <w:r>
        <w:t xml:space="preserve">non-respite </w:t>
      </w:r>
      <w:r w:rsidRPr="00C04A8A">
        <w:t xml:space="preserve">placements in the previous 12 months. Carer availability is a critical factor in improving stability for children in care. </w:t>
      </w:r>
    </w:p>
    <w:p w:rsidR="00E74887" w:rsidRPr="00C04A8A" w:rsidRDefault="00E74887" w:rsidP="00E74887">
      <w:r>
        <w:t xml:space="preserve">A continuing decline in the reported number of </w:t>
      </w:r>
      <w:r w:rsidRPr="00C04A8A">
        <w:t xml:space="preserve">Custodial Youth Justice </w:t>
      </w:r>
      <w:r>
        <w:t xml:space="preserve">clients has been observed in recent years. The average daily number of young people in detention fell again during 2014-15 to 10.6, from 11.6 in 2013-14.  </w:t>
      </w:r>
    </w:p>
    <w:p w:rsidR="00E74887" w:rsidRPr="00C04A8A" w:rsidRDefault="00E74887" w:rsidP="00E74887">
      <w:r>
        <w:t xml:space="preserve">Similarly, the average daily number of people in Community Youth Justice has continued to decrease, falling from 309 in 2013-14 to 242 in 2014-15.  </w:t>
      </w:r>
    </w:p>
    <w:p w:rsidR="00BD1A43" w:rsidRPr="00F80387" w:rsidRDefault="00BD1A43" w:rsidP="00BD1A43">
      <w:pPr>
        <w:pStyle w:val="List2"/>
        <w:widowControl w:val="0"/>
        <w:tabs>
          <w:tab w:val="clear" w:pos="567"/>
          <w:tab w:val="left" w:pos="1134"/>
        </w:tabs>
        <w:ind w:left="0" w:firstLine="0"/>
        <w:rPr>
          <w:szCs w:val="24"/>
          <w:lang w:bidi="en-US"/>
        </w:rPr>
        <w:sectPr w:rsidR="00BD1A43" w:rsidRPr="00F80387" w:rsidSect="00BD1A43">
          <w:type w:val="continuous"/>
          <w:pgSz w:w="11906" w:h="16838"/>
          <w:pgMar w:top="1440" w:right="1440" w:bottom="1440" w:left="1440" w:header="708" w:footer="708" w:gutter="0"/>
          <w:cols w:num="2" w:space="708"/>
          <w:docGrid w:linePitch="360"/>
        </w:sectPr>
      </w:pPr>
    </w:p>
    <w:p w:rsidR="00BD1A43" w:rsidRPr="00F80387" w:rsidRDefault="00BD1A43" w:rsidP="00BD1A43">
      <w:pPr>
        <w:pStyle w:val="List2"/>
        <w:widowControl w:val="0"/>
        <w:tabs>
          <w:tab w:val="clear" w:pos="567"/>
          <w:tab w:val="left" w:pos="1134"/>
        </w:tabs>
        <w:ind w:left="0" w:firstLine="0"/>
        <w:rPr>
          <w:szCs w:val="24"/>
          <w:lang w:bidi="en-US"/>
        </w:rPr>
      </w:pPr>
    </w:p>
    <w:p w:rsidR="000F54B0" w:rsidRPr="00F80387" w:rsidRDefault="000F54B0">
      <w:pPr>
        <w:tabs>
          <w:tab w:val="clear" w:pos="567"/>
        </w:tabs>
        <w:spacing w:after="200" w:line="276" w:lineRule="auto"/>
      </w:pPr>
      <w:r w:rsidRPr="00F80387">
        <w:br w:type="page"/>
      </w:r>
    </w:p>
    <w:p w:rsidR="00BD1A43" w:rsidRPr="00F80387" w:rsidRDefault="000F54B0" w:rsidP="00BE7188">
      <w:pPr>
        <w:pStyle w:val="Heading2"/>
        <w:ind w:left="284"/>
      </w:pPr>
      <w:r w:rsidRPr="00F80387">
        <w:lastRenderedPageBreak/>
        <w:t>Tasmanian Health Organisations</w:t>
      </w:r>
    </w:p>
    <w:p w:rsidR="000F54B0" w:rsidRPr="00F80387" w:rsidRDefault="000F54B0" w:rsidP="00B134C7">
      <w:pPr>
        <w:pStyle w:val="Heading2"/>
        <w:rPr>
          <w:rFonts w:eastAsia="Calibri"/>
        </w:rPr>
        <w:sectPr w:rsidR="000F54B0" w:rsidRPr="00F80387" w:rsidSect="00277671">
          <w:type w:val="continuous"/>
          <w:pgSz w:w="11906" w:h="16838" w:code="9"/>
          <w:pgMar w:top="907" w:right="1134" w:bottom="720" w:left="1134" w:header="709" w:footer="709" w:gutter="0"/>
          <w:cols w:space="708"/>
          <w:docGrid w:linePitch="360"/>
        </w:sectPr>
      </w:pPr>
    </w:p>
    <w:p w:rsidR="000F54B0" w:rsidRPr="00F80387" w:rsidRDefault="000F54B0" w:rsidP="00F80387">
      <w:pPr>
        <w:pStyle w:val="Heading3"/>
      </w:pPr>
      <w:r w:rsidRPr="00F80387">
        <w:lastRenderedPageBreak/>
        <w:t>Service Agreements 2014-15</w:t>
      </w:r>
    </w:p>
    <w:p w:rsidR="000F54B0" w:rsidRPr="00F80387" w:rsidRDefault="000F54B0" w:rsidP="000F54B0">
      <w:pPr>
        <w:tabs>
          <w:tab w:val="clear" w:pos="567"/>
        </w:tabs>
        <w:rPr>
          <w:rFonts w:eastAsia="Calibri"/>
        </w:rPr>
      </w:pPr>
      <w:r w:rsidRPr="00F80387">
        <w:rPr>
          <w:rFonts w:eastAsia="Calibri"/>
        </w:rPr>
        <w:t xml:space="preserve">The </w:t>
      </w:r>
      <w:r w:rsidRPr="00F80387">
        <w:rPr>
          <w:rFonts w:eastAsia="Calibri"/>
          <w:i/>
        </w:rPr>
        <w:t>Tasmanian Health Organisations Act 2011</w:t>
      </w:r>
      <w:r w:rsidRPr="00F80387">
        <w:rPr>
          <w:rFonts w:eastAsia="Calibri"/>
        </w:rPr>
        <w:t xml:space="preserve"> </w:t>
      </w:r>
      <w:r w:rsidR="00952041" w:rsidRPr="00F80387">
        <w:rPr>
          <w:rFonts w:eastAsia="Calibri"/>
        </w:rPr>
        <w:t xml:space="preserve">(the Act) </w:t>
      </w:r>
      <w:r w:rsidRPr="00F80387">
        <w:rPr>
          <w:rFonts w:eastAsia="Calibri"/>
        </w:rPr>
        <w:t xml:space="preserve">requires annual service agreements between the Minister for Health and each of the three THOs to be in place by 30 June for the forthcoming financial year.  </w:t>
      </w:r>
    </w:p>
    <w:p w:rsidR="000F54B0" w:rsidRPr="00F80387" w:rsidRDefault="000F54B0" w:rsidP="000F54B0">
      <w:pPr>
        <w:tabs>
          <w:tab w:val="clear" w:pos="567"/>
        </w:tabs>
      </w:pPr>
      <w:r w:rsidRPr="00F80387">
        <w:t>Service agreements set out the agreed expectations of each THO</w:t>
      </w:r>
      <w:r w:rsidR="00752C5E">
        <w:t>,</w:t>
      </w:r>
      <w:r w:rsidRPr="00F80387">
        <w:t xml:space="preserve"> of which the objectives are to:</w:t>
      </w:r>
    </w:p>
    <w:p w:rsidR="000F54B0" w:rsidRPr="00F80387" w:rsidRDefault="00E51710" w:rsidP="000F54B0">
      <w:pPr>
        <w:numPr>
          <w:ilvl w:val="0"/>
          <w:numId w:val="6"/>
        </w:numPr>
        <w:tabs>
          <w:tab w:val="clear" w:pos="567"/>
        </w:tabs>
        <w:ind w:left="567" w:hanging="567"/>
      </w:pPr>
      <w:r w:rsidRPr="00F80387">
        <w:t>e</w:t>
      </w:r>
      <w:r w:rsidR="000F54B0" w:rsidRPr="00F80387">
        <w:t>nable the THO to deliver a coordinated, high quality health service to the communities it services and to support its teachi</w:t>
      </w:r>
      <w:r w:rsidR="00B40F5B">
        <w:t>ng, training and research roles</w:t>
      </w:r>
    </w:p>
    <w:p w:rsidR="000F54B0" w:rsidRPr="00F80387" w:rsidRDefault="00E51710" w:rsidP="000F54B0">
      <w:pPr>
        <w:numPr>
          <w:ilvl w:val="0"/>
          <w:numId w:val="6"/>
        </w:numPr>
        <w:tabs>
          <w:tab w:val="clear" w:pos="567"/>
        </w:tabs>
        <w:ind w:left="567" w:hanging="567"/>
      </w:pPr>
      <w:r w:rsidRPr="00F80387">
        <w:t>c</w:t>
      </w:r>
      <w:r w:rsidR="000F54B0" w:rsidRPr="00F80387">
        <w:t xml:space="preserve">learly set out the service delivery and performance expectations for </w:t>
      </w:r>
      <w:r w:rsidR="00B40F5B">
        <w:t>the funding provided to the THO</w:t>
      </w:r>
    </w:p>
    <w:p w:rsidR="000F54B0" w:rsidRPr="00F80387" w:rsidRDefault="00E51710" w:rsidP="000F54B0">
      <w:pPr>
        <w:numPr>
          <w:ilvl w:val="0"/>
          <w:numId w:val="6"/>
        </w:numPr>
        <w:tabs>
          <w:tab w:val="clear" w:pos="567"/>
        </w:tabs>
        <w:ind w:left="567" w:hanging="567"/>
      </w:pPr>
      <w:r w:rsidRPr="00F80387">
        <w:t>p</w:t>
      </w:r>
      <w:r w:rsidR="000F54B0" w:rsidRPr="00F80387">
        <w:t>romote accountability to Governmen</w:t>
      </w:r>
      <w:r w:rsidR="00B40F5B">
        <w:t>t and the community</w:t>
      </w:r>
    </w:p>
    <w:p w:rsidR="000F54B0" w:rsidRPr="00F80387" w:rsidRDefault="00E51710" w:rsidP="000F54B0">
      <w:pPr>
        <w:numPr>
          <w:ilvl w:val="0"/>
          <w:numId w:val="6"/>
        </w:numPr>
        <w:tabs>
          <w:tab w:val="clear" w:pos="567"/>
        </w:tabs>
        <w:ind w:left="567" w:hanging="567"/>
      </w:pPr>
      <w:r w:rsidRPr="00F80387">
        <w:t>e</w:t>
      </w:r>
      <w:r w:rsidR="000F54B0" w:rsidRPr="00F80387">
        <w:t>stablish with the THO a performance management and accountability system that assists the achievement of effective and e</w:t>
      </w:r>
      <w:r w:rsidR="00B40F5B">
        <w:t>fficient performance management</w:t>
      </w:r>
    </w:p>
    <w:p w:rsidR="000F54B0" w:rsidRPr="00F80387" w:rsidRDefault="00E51710" w:rsidP="000F54B0">
      <w:pPr>
        <w:numPr>
          <w:ilvl w:val="0"/>
          <w:numId w:val="6"/>
        </w:numPr>
        <w:tabs>
          <w:tab w:val="clear" w:pos="567"/>
        </w:tabs>
        <w:ind w:left="567" w:hanging="567"/>
      </w:pPr>
      <w:r w:rsidRPr="00F80387">
        <w:t>f</w:t>
      </w:r>
      <w:r w:rsidR="000F54B0" w:rsidRPr="00F80387">
        <w:t>acilitate the progressive implementation of a purchasing framework incorporating activity based funded services</w:t>
      </w:r>
      <w:r w:rsidR="00B40F5B">
        <w:t>,</w:t>
      </w:r>
      <w:r w:rsidRPr="00F80387">
        <w:t xml:space="preserve"> and</w:t>
      </w:r>
    </w:p>
    <w:p w:rsidR="000F54B0" w:rsidRPr="00F80387" w:rsidRDefault="00E51710" w:rsidP="000F54B0">
      <w:pPr>
        <w:numPr>
          <w:ilvl w:val="0"/>
          <w:numId w:val="6"/>
        </w:numPr>
        <w:tabs>
          <w:tab w:val="clear" w:pos="567"/>
        </w:tabs>
        <w:ind w:left="567" w:hanging="567"/>
      </w:pPr>
      <w:proofErr w:type="gramStart"/>
      <w:r w:rsidRPr="00F80387">
        <w:t>a</w:t>
      </w:r>
      <w:r w:rsidR="000F54B0" w:rsidRPr="00F80387">
        <w:t>ddress</w:t>
      </w:r>
      <w:proofErr w:type="gramEnd"/>
      <w:r w:rsidR="000F54B0" w:rsidRPr="00F80387">
        <w:t xml:space="preserve"> the requirements of the Na</w:t>
      </w:r>
      <w:r w:rsidR="00BE7188">
        <w:t xml:space="preserve">tional Health Reform Agreement </w:t>
      </w:r>
      <w:r w:rsidR="000F54B0" w:rsidRPr="00F80387">
        <w:t>and the Act in relation to the establishment of service agreements between the Minister for Health and the THO.</w:t>
      </w:r>
    </w:p>
    <w:p w:rsidR="000F54B0" w:rsidRPr="00F80387" w:rsidRDefault="000F54B0" w:rsidP="000F54B0">
      <w:pPr>
        <w:autoSpaceDE w:val="0"/>
        <w:autoSpaceDN w:val="0"/>
        <w:adjustRightInd w:val="0"/>
        <w:spacing w:after="120"/>
        <w:rPr>
          <w:rFonts w:cs="Arial"/>
          <w:lang w:eastAsia="en-AU"/>
        </w:rPr>
      </w:pPr>
      <w:r w:rsidRPr="00F80387">
        <w:rPr>
          <w:rFonts w:cs="Arial"/>
          <w:lang w:eastAsia="en-AU"/>
        </w:rPr>
        <w:t>It is the responsibility of Governing Councils to ensure that THOs deliver the requirements of service agreements.  It is the responsibility of the Department to ensure that THO performance against those requirements is monitored and managed to ensure that where necessary, the performance intervention options available to the Minister under the Act</w:t>
      </w:r>
      <w:r w:rsidRPr="00F80387">
        <w:rPr>
          <w:rFonts w:cs="Arial"/>
          <w:i/>
          <w:lang w:eastAsia="en-AU"/>
        </w:rPr>
        <w:t xml:space="preserve"> </w:t>
      </w:r>
      <w:r w:rsidRPr="00F80387">
        <w:rPr>
          <w:rFonts w:cs="Arial"/>
          <w:lang w:eastAsia="en-AU"/>
        </w:rPr>
        <w:t>are effectively implemented.</w:t>
      </w:r>
    </w:p>
    <w:p w:rsidR="000F54B0" w:rsidRPr="00F80387" w:rsidRDefault="000F54B0" w:rsidP="00F80387">
      <w:pPr>
        <w:pStyle w:val="Heading3"/>
      </w:pPr>
      <w:r w:rsidRPr="00F80387">
        <w:lastRenderedPageBreak/>
        <w:t>Service Agreement Performance Framework</w:t>
      </w:r>
    </w:p>
    <w:p w:rsidR="000F54B0" w:rsidRPr="00F80387" w:rsidRDefault="000F54B0" w:rsidP="000F54B0">
      <w:pPr>
        <w:autoSpaceDE w:val="0"/>
        <w:autoSpaceDN w:val="0"/>
        <w:adjustRightInd w:val="0"/>
        <w:spacing w:after="120"/>
        <w:rPr>
          <w:rFonts w:cs="Arial"/>
          <w:lang w:eastAsia="en-AU"/>
        </w:rPr>
      </w:pPr>
      <w:r w:rsidRPr="00F80387">
        <w:rPr>
          <w:lang w:eastAsia="en-AU"/>
        </w:rPr>
        <w:t xml:space="preserve">The </w:t>
      </w:r>
      <w:r w:rsidRPr="00F80387">
        <w:rPr>
          <w:i/>
          <w:lang w:eastAsia="en-AU"/>
        </w:rPr>
        <w:t>Service Agreement Performance Framework</w:t>
      </w:r>
      <w:r w:rsidRPr="00F80387">
        <w:rPr>
          <w:lang w:eastAsia="en-AU"/>
        </w:rPr>
        <w:t xml:space="preserve"> provides the arrangements for </w:t>
      </w:r>
      <w:r w:rsidRPr="00F80387">
        <w:rPr>
          <w:rFonts w:cs="Arial"/>
          <w:lang w:eastAsia="en-AU"/>
        </w:rPr>
        <w:t xml:space="preserve">monitoring THO performance against the requirements of the service agreements.  The Framework also provides the Department and THOs with a clear delineation of roles, responsibilities and expectations in response to identified </w:t>
      </w:r>
      <w:r w:rsidR="00E51710" w:rsidRPr="00F80387">
        <w:rPr>
          <w:rFonts w:cs="Arial"/>
          <w:lang w:eastAsia="en-AU"/>
        </w:rPr>
        <w:t>s</w:t>
      </w:r>
      <w:r w:rsidRPr="00F80387">
        <w:rPr>
          <w:rFonts w:cs="Arial"/>
          <w:lang w:eastAsia="en-AU"/>
        </w:rPr>
        <w:t xml:space="preserve">ervice </w:t>
      </w:r>
      <w:r w:rsidR="00E51710" w:rsidRPr="00F80387">
        <w:rPr>
          <w:rFonts w:cs="Arial"/>
          <w:lang w:eastAsia="en-AU"/>
        </w:rPr>
        <w:t>a</w:t>
      </w:r>
      <w:r w:rsidRPr="00F80387">
        <w:rPr>
          <w:rFonts w:cs="Arial"/>
          <w:lang w:eastAsia="en-AU"/>
        </w:rPr>
        <w:t xml:space="preserve">greement performance issues. </w:t>
      </w:r>
    </w:p>
    <w:p w:rsidR="000F54B0" w:rsidRPr="00F80387" w:rsidRDefault="000F54B0" w:rsidP="000F54B0">
      <w:r w:rsidRPr="00F80387">
        <w:rPr>
          <w:rFonts w:cs="Arial"/>
          <w:lang w:eastAsia="en-AU"/>
        </w:rPr>
        <w:t xml:space="preserve">The Framework is </w:t>
      </w:r>
      <w:r w:rsidRPr="00F80387">
        <w:rPr>
          <w:rFonts w:eastAsia="Calibri"/>
        </w:rPr>
        <w:t xml:space="preserve">applied throughout the year in the monitoring and management of identified performance issues and </w:t>
      </w:r>
      <w:r w:rsidRPr="00F80387">
        <w:t>responding in accordance with defined processes. Quarterly performance review meetings are held with all three THOs to focus on quarterly performance against the requirements of service agreements and identified and emerging performance issues.</w:t>
      </w:r>
    </w:p>
    <w:p w:rsidR="000F54B0" w:rsidRPr="00F80387" w:rsidRDefault="000F54B0" w:rsidP="000F54B0">
      <w:pPr>
        <w:rPr>
          <w:rFonts w:eastAsia="Calibri"/>
        </w:rPr>
      </w:pPr>
      <w:r w:rsidRPr="00F80387">
        <w:rPr>
          <w:rFonts w:eastAsia="Calibri"/>
        </w:rPr>
        <w:t xml:space="preserve">The </w:t>
      </w:r>
      <w:r w:rsidRPr="00F80387">
        <w:rPr>
          <w:i/>
          <w:lang w:eastAsia="en-AU"/>
        </w:rPr>
        <w:t>Service Agreement Performance Framework</w:t>
      </w:r>
      <w:r w:rsidRPr="00F80387">
        <w:rPr>
          <w:rFonts w:eastAsia="Calibri"/>
        </w:rPr>
        <w:t xml:space="preserve"> update for 2014-15 was issued alongside the 2014-15 </w:t>
      </w:r>
      <w:r w:rsidR="00E51710" w:rsidRPr="00F80387">
        <w:rPr>
          <w:rFonts w:eastAsia="Calibri"/>
        </w:rPr>
        <w:t>s</w:t>
      </w:r>
      <w:r w:rsidRPr="00F80387">
        <w:rPr>
          <w:rFonts w:eastAsia="Calibri"/>
        </w:rPr>
        <w:t xml:space="preserve">ervice </w:t>
      </w:r>
      <w:r w:rsidR="00E51710" w:rsidRPr="00F80387">
        <w:rPr>
          <w:rFonts w:eastAsia="Calibri"/>
        </w:rPr>
        <w:t>a</w:t>
      </w:r>
      <w:r w:rsidRPr="00F80387">
        <w:rPr>
          <w:rFonts w:eastAsia="Calibri"/>
        </w:rPr>
        <w:t>greements.</w:t>
      </w:r>
    </w:p>
    <w:p w:rsidR="000F54B0" w:rsidRPr="00F80387" w:rsidRDefault="000F54B0" w:rsidP="00F80387">
      <w:pPr>
        <w:pStyle w:val="Heading3"/>
      </w:pPr>
      <w:r w:rsidRPr="00F80387">
        <w:t>Performance Escalation</w:t>
      </w:r>
    </w:p>
    <w:p w:rsidR="000F54B0" w:rsidRPr="00F80387" w:rsidRDefault="000F54B0" w:rsidP="000F54B0">
      <w:r w:rsidRPr="00F80387">
        <w:t>In July 2014, a Level 1 (unsatisfactory performance) performance escalation was initiated against THO</w:t>
      </w:r>
      <w:r w:rsidR="00D377CA">
        <w:t xml:space="preserve"> -</w:t>
      </w:r>
      <w:r w:rsidRPr="00F80387">
        <w:t xml:space="preserve"> </w:t>
      </w:r>
      <w:r w:rsidRPr="00035A1C">
        <w:t xml:space="preserve">South by </w:t>
      </w:r>
      <w:r w:rsidR="00EB18B9" w:rsidRPr="00035A1C">
        <w:t>Minister</w:t>
      </w:r>
      <w:r w:rsidRPr="00035A1C">
        <w:t xml:space="preserve">’s direction to the Acting </w:t>
      </w:r>
      <w:r w:rsidR="00D377CA">
        <w:t>Chief Executive Officer (</w:t>
      </w:r>
      <w:r w:rsidRPr="00F80387">
        <w:t>CEO</w:t>
      </w:r>
      <w:r w:rsidR="00D377CA">
        <w:t>)</w:t>
      </w:r>
      <w:r w:rsidRPr="00F80387">
        <w:t xml:space="preserve"> of THO </w:t>
      </w:r>
      <w:r w:rsidR="00D377CA">
        <w:t xml:space="preserve">- </w:t>
      </w:r>
      <w:r w:rsidRPr="00F80387">
        <w:t xml:space="preserve">South. During July 2014, a Level 1 (unsatisfactory performance) performance escalation was also initiated against THO </w:t>
      </w:r>
      <w:r w:rsidR="00D377CA">
        <w:t xml:space="preserve">- </w:t>
      </w:r>
      <w:r w:rsidRPr="00F80387">
        <w:t xml:space="preserve">North West </w:t>
      </w:r>
      <w:r w:rsidR="005677A3">
        <w:t>by</w:t>
      </w:r>
      <w:r w:rsidRPr="00F80387">
        <w:t xml:space="preserve"> the Minister for Health. </w:t>
      </w:r>
    </w:p>
    <w:p w:rsidR="000F54B0" w:rsidRPr="00F80387" w:rsidRDefault="000F54B0" w:rsidP="000F54B0">
      <w:r w:rsidRPr="00F80387">
        <w:t xml:space="preserve">In response to these escalations, THO </w:t>
      </w:r>
      <w:r w:rsidR="00D377CA">
        <w:t xml:space="preserve">- </w:t>
      </w:r>
      <w:r w:rsidRPr="00F80387">
        <w:t xml:space="preserve">South and THO </w:t>
      </w:r>
      <w:r w:rsidR="00D377CA">
        <w:t xml:space="preserve">- </w:t>
      </w:r>
      <w:r w:rsidRPr="00F80387">
        <w:t xml:space="preserve">North West submitted a Financial Recovery Plan and regularly met with </w:t>
      </w:r>
      <w:r w:rsidR="005677A3">
        <w:t xml:space="preserve">the Department </w:t>
      </w:r>
      <w:r w:rsidRPr="00F80387">
        <w:t>through the development and implementation of the Plan.</w:t>
      </w:r>
    </w:p>
    <w:p w:rsidR="00B40F5B" w:rsidRDefault="00B40F5B">
      <w:pPr>
        <w:tabs>
          <w:tab w:val="clear" w:pos="567"/>
        </w:tabs>
        <w:spacing w:after="200" w:line="276" w:lineRule="auto"/>
      </w:pPr>
      <w:r>
        <w:br w:type="page"/>
      </w:r>
    </w:p>
    <w:p w:rsidR="000F54B0" w:rsidRPr="00F80387" w:rsidRDefault="000F54B0" w:rsidP="000F54B0">
      <w:r w:rsidRPr="00F80387">
        <w:lastRenderedPageBreak/>
        <w:t>In Nov</w:t>
      </w:r>
      <w:r w:rsidR="00E51710" w:rsidRPr="00F80387">
        <w:t>ember 2014, after continued non</w:t>
      </w:r>
      <w:r w:rsidR="00E51710" w:rsidRPr="00F80387">
        <w:noBreakHyphen/>
      </w:r>
      <w:r w:rsidRPr="00F80387">
        <w:t xml:space="preserve">performance against the service agreement key performance indicator ‘Variation from budget – full year projected’, both THO </w:t>
      </w:r>
      <w:r w:rsidR="00D377CA">
        <w:t xml:space="preserve">- </w:t>
      </w:r>
      <w:r w:rsidRPr="00F80387">
        <w:t xml:space="preserve">South and THO </w:t>
      </w:r>
      <w:r w:rsidR="00D377CA">
        <w:t xml:space="preserve">- </w:t>
      </w:r>
      <w:r w:rsidRPr="00F80387">
        <w:t xml:space="preserve">North West were escalated to Level 2 (sustained unsatisfactory performance) and a Performance Improvement Team was appointed to help address the issues. </w:t>
      </w:r>
    </w:p>
    <w:p w:rsidR="000F54B0" w:rsidRPr="00F80387" w:rsidRDefault="000F54B0" w:rsidP="000F54B0">
      <w:r w:rsidRPr="00F80387">
        <w:t xml:space="preserve">In September 2014, a Level 1 (unsatisfactory performance) performance escalation was initiated against the THO </w:t>
      </w:r>
      <w:r w:rsidR="00D377CA">
        <w:t xml:space="preserve">- </w:t>
      </w:r>
      <w:r w:rsidRPr="00F80387">
        <w:t>South by Premier’s direction to</w:t>
      </w:r>
      <w:r w:rsidR="00E51710" w:rsidRPr="00F80387">
        <w:t xml:space="preserve"> the</w:t>
      </w:r>
      <w:r w:rsidRPr="00F80387">
        <w:t xml:space="preserve"> Acting CEO of THO </w:t>
      </w:r>
      <w:r w:rsidR="00D377CA">
        <w:t xml:space="preserve">- </w:t>
      </w:r>
      <w:r w:rsidRPr="00F80387">
        <w:t xml:space="preserve">South.  This escalation related to the service agreement key performance indicator of </w:t>
      </w:r>
      <w:r w:rsidR="00E51710" w:rsidRPr="00F80387">
        <w:t>‘</w:t>
      </w:r>
      <w:r w:rsidRPr="00F80387">
        <w:t>Emergency Department - ambulance offload delay</w:t>
      </w:r>
      <w:r w:rsidR="00E51710" w:rsidRPr="00F80387">
        <w:t>’</w:t>
      </w:r>
      <w:r w:rsidRPr="00F80387">
        <w:t>.</w:t>
      </w:r>
    </w:p>
    <w:p w:rsidR="000F54B0" w:rsidRPr="00F80387" w:rsidRDefault="000F54B0" w:rsidP="000F54B0">
      <w:r w:rsidRPr="00F80387">
        <w:t xml:space="preserve">In response to the escalation, THO </w:t>
      </w:r>
      <w:r w:rsidR="00D377CA">
        <w:t xml:space="preserve">- </w:t>
      </w:r>
      <w:r w:rsidRPr="00F80387">
        <w:t>South submitted a Performance Improvement Plan and regularly met with the Department through the development and implementation of the Plan.</w:t>
      </w:r>
    </w:p>
    <w:p w:rsidR="000F54B0" w:rsidRPr="00F80387" w:rsidRDefault="000F54B0" w:rsidP="000F54B0">
      <w:r w:rsidRPr="00F80387">
        <w:t>In October 2014, a Level 1 (unsatisfactory performance) performance escalation was initiated against the THO</w:t>
      </w:r>
      <w:r w:rsidR="00D377CA">
        <w:t xml:space="preserve"> -</w:t>
      </w:r>
      <w:r w:rsidRPr="00F80387">
        <w:t xml:space="preserve"> North by letter to the THO Chair from the DHHS Secretary. This escalation related to the service agreement key performance indicator of </w:t>
      </w:r>
      <w:r w:rsidR="00E51710" w:rsidRPr="00F80387">
        <w:t>‘</w:t>
      </w:r>
      <w:r w:rsidRPr="00F80387">
        <w:t>Variation from budget – full year projected</w:t>
      </w:r>
      <w:r w:rsidR="00E51710" w:rsidRPr="00F80387">
        <w:t>’</w:t>
      </w:r>
      <w:r w:rsidRPr="00F80387">
        <w:t>.</w:t>
      </w:r>
    </w:p>
    <w:p w:rsidR="000F54B0" w:rsidRPr="00F80387" w:rsidRDefault="000F54B0" w:rsidP="000F54B0">
      <w:r w:rsidRPr="00F80387">
        <w:t xml:space="preserve">In response to the escalation, the THO </w:t>
      </w:r>
      <w:r w:rsidR="00D377CA">
        <w:t xml:space="preserve">- </w:t>
      </w:r>
      <w:r w:rsidRPr="00F80387">
        <w:t>North submitted a Financial Recovery Plan and regularly met with the Department through the development and implementation of the Plan.</w:t>
      </w:r>
    </w:p>
    <w:p w:rsidR="000F54B0" w:rsidRPr="00F80387" w:rsidRDefault="000F54B0" w:rsidP="000F54B0">
      <w:r w:rsidRPr="00F80387">
        <w:t>In December 2014, after sustained unsatisfactory performance against this key performance indicator, a Performance Improvement Team was appointed to help address the issues.</w:t>
      </w:r>
    </w:p>
    <w:p w:rsidR="000F54B0" w:rsidRPr="00F80387" w:rsidRDefault="000F54B0" w:rsidP="000F54B0">
      <w:r w:rsidRPr="00F80387">
        <w:t xml:space="preserve">In November 2014, a Level 1 (unsatisfactory performance) performance escalation was initiated against the THO </w:t>
      </w:r>
      <w:r w:rsidR="00D377CA">
        <w:t xml:space="preserve">- </w:t>
      </w:r>
      <w:r w:rsidRPr="00F80387">
        <w:t xml:space="preserve">North by letter to the THO Chair from the DHHS Secretary.  </w:t>
      </w:r>
      <w:r w:rsidR="00B134C7">
        <w:br w:type="column"/>
      </w:r>
      <w:r w:rsidRPr="00F80387">
        <w:lastRenderedPageBreak/>
        <w:t xml:space="preserve">This escalation related to the service agreement key performance indicator of </w:t>
      </w:r>
      <w:r w:rsidR="00E51710" w:rsidRPr="00F80387">
        <w:t>‘</w:t>
      </w:r>
      <w:r w:rsidRPr="00F80387">
        <w:t>Emergency Department – time until most admitted patients (90</w:t>
      </w:r>
      <w:r w:rsidR="00D377CA">
        <w:t xml:space="preserve"> per cent</w:t>
      </w:r>
      <w:r w:rsidRPr="00F80387">
        <w:t>) departed the emergency departmen</w:t>
      </w:r>
      <w:r w:rsidR="00E51710" w:rsidRPr="00F80387">
        <w:t>t’</w:t>
      </w:r>
      <w:r w:rsidRPr="00F80387">
        <w:t>.</w:t>
      </w:r>
    </w:p>
    <w:p w:rsidR="000F54B0" w:rsidRPr="00F80387" w:rsidRDefault="000F54B0" w:rsidP="000F54B0">
      <w:r w:rsidRPr="00F80387">
        <w:t xml:space="preserve">In response to the escalation, THO </w:t>
      </w:r>
      <w:r w:rsidR="00D377CA">
        <w:t xml:space="preserve">- </w:t>
      </w:r>
      <w:r w:rsidRPr="00F80387">
        <w:t>North submitted a Performance Improvement Plan in December 2014 and regularly met with the Department through the development and implementation of the Plan.</w:t>
      </w:r>
    </w:p>
    <w:p w:rsidR="000F54B0" w:rsidRPr="00F80387" w:rsidRDefault="000F54B0" w:rsidP="000F54B0">
      <w:r w:rsidRPr="00F80387">
        <w:t xml:space="preserve">While not subject to a formal performance escalation, in November 2014, </w:t>
      </w:r>
      <w:r w:rsidR="00846925">
        <w:t xml:space="preserve">a senior </w:t>
      </w:r>
      <w:r w:rsidR="00CA7B73">
        <w:br/>
      </w:r>
      <w:r w:rsidR="00846925">
        <w:t>DHHS clinician was appointed to work with THO </w:t>
      </w:r>
      <w:r w:rsidR="00846925">
        <w:noBreakHyphen/>
        <w:t> </w:t>
      </w:r>
      <w:r w:rsidRPr="00F80387">
        <w:t xml:space="preserve">North West to address safety and quality concerns </w:t>
      </w:r>
      <w:r w:rsidR="002F4BD1">
        <w:t>in accordance with</w:t>
      </w:r>
      <w:r w:rsidRPr="00F80387">
        <w:t xml:space="preserve"> Section 67 of the Act. This work continued throughout 2014-15.</w:t>
      </w:r>
    </w:p>
    <w:p w:rsidR="000F54B0" w:rsidRPr="00F80387" w:rsidRDefault="000F54B0" w:rsidP="00F80387">
      <w:pPr>
        <w:pStyle w:val="Heading3"/>
      </w:pPr>
      <w:r w:rsidRPr="00F80387">
        <w:t>T</w:t>
      </w:r>
      <w:r w:rsidRPr="00BE7188">
        <w:t xml:space="preserve">asmanian Health </w:t>
      </w:r>
      <w:r w:rsidR="00952041" w:rsidRPr="00BE7188">
        <w:t>Organisations</w:t>
      </w:r>
      <w:r w:rsidR="00952041" w:rsidRPr="00F80387">
        <w:t xml:space="preserve"> </w:t>
      </w:r>
    </w:p>
    <w:p w:rsidR="000F54B0" w:rsidRPr="00F80387" w:rsidRDefault="000F54B0" w:rsidP="00A41394">
      <w:pPr>
        <w:pStyle w:val="BodyText"/>
        <w:ind w:right="185"/>
        <w:rPr>
          <w:rFonts w:eastAsia="Calibri"/>
        </w:rPr>
      </w:pPr>
      <w:r w:rsidRPr="00F80387">
        <w:rPr>
          <w:rFonts w:eastAsia="Calibri"/>
        </w:rPr>
        <w:t xml:space="preserve">Services delivered by the </w:t>
      </w:r>
      <w:r w:rsidR="00952041" w:rsidRPr="00F80387">
        <w:rPr>
          <w:rFonts w:eastAsia="Calibri"/>
        </w:rPr>
        <w:t>THOs</w:t>
      </w:r>
      <w:r w:rsidRPr="00F80387">
        <w:rPr>
          <w:rFonts w:eastAsia="Calibri"/>
        </w:rPr>
        <w:t xml:space="preserve"> include acute, subacute, rehabilitation, primary health care, palliative care, oral health, mental health and alcohol and drug services. The services provided are flexible enough to target specific needs at the different stages of a patient’s health journey, in order to provide an integrated, holistic and patient-centred approach to health care delivery. </w:t>
      </w:r>
    </w:p>
    <w:p w:rsidR="000F54B0" w:rsidRPr="00F80387" w:rsidRDefault="000F54B0" w:rsidP="00A41394">
      <w:pPr>
        <w:pStyle w:val="BodyText"/>
        <w:ind w:right="185"/>
        <w:rPr>
          <w:rFonts w:eastAsia="Calibri"/>
        </w:rPr>
      </w:pPr>
      <w:r w:rsidRPr="00F80387">
        <w:rPr>
          <w:rFonts w:eastAsia="Calibri"/>
        </w:rPr>
        <w:t xml:space="preserve">The </w:t>
      </w:r>
      <w:r w:rsidR="00952041" w:rsidRPr="00F80387">
        <w:rPr>
          <w:rFonts w:eastAsia="Calibri"/>
        </w:rPr>
        <w:t>THOs</w:t>
      </w:r>
      <w:r w:rsidRPr="00F80387">
        <w:rPr>
          <w:rFonts w:eastAsia="Calibri"/>
        </w:rPr>
        <w:t xml:space="preserve"> operate four major hospitals, each with a specific role in the system:</w:t>
      </w:r>
    </w:p>
    <w:p w:rsidR="000F54B0" w:rsidRPr="00F80387" w:rsidRDefault="000F54B0" w:rsidP="000F54B0">
      <w:pPr>
        <w:numPr>
          <w:ilvl w:val="0"/>
          <w:numId w:val="6"/>
        </w:numPr>
        <w:tabs>
          <w:tab w:val="clear" w:pos="567"/>
        </w:tabs>
        <w:ind w:left="567" w:hanging="567"/>
      </w:pPr>
      <w:r w:rsidRPr="00F80387">
        <w:t xml:space="preserve">the Royal Hobart Hospital is the principal tertiary referral hospital for residents of </w:t>
      </w:r>
      <w:r w:rsidR="007E04D0" w:rsidRPr="00F80387">
        <w:t>s</w:t>
      </w:r>
      <w:r w:rsidRPr="00F80387">
        <w:t>outhern Tasmania and also provides a number of statewide services</w:t>
      </w:r>
    </w:p>
    <w:p w:rsidR="000F54B0" w:rsidRPr="00F80387" w:rsidRDefault="000F54B0" w:rsidP="000F54B0">
      <w:pPr>
        <w:numPr>
          <w:ilvl w:val="0"/>
          <w:numId w:val="6"/>
        </w:numPr>
        <w:tabs>
          <w:tab w:val="clear" w:pos="567"/>
        </w:tabs>
        <w:ind w:left="567" w:hanging="567"/>
      </w:pPr>
      <w:r w:rsidRPr="00F80387">
        <w:t>the Launceston General Hospital is the principal referral hospital for the North and North West of Tasmania and also provides a number of tertiary services for residents of those areas</w:t>
      </w:r>
    </w:p>
    <w:p w:rsidR="000F54B0" w:rsidRPr="00F80387" w:rsidRDefault="000F54B0" w:rsidP="000F54B0">
      <w:pPr>
        <w:numPr>
          <w:ilvl w:val="0"/>
          <w:numId w:val="6"/>
        </w:numPr>
        <w:tabs>
          <w:tab w:val="clear" w:pos="567"/>
        </w:tabs>
        <w:ind w:left="567" w:hanging="567"/>
      </w:pPr>
      <w:r w:rsidRPr="00F80387">
        <w:t>the North West Regional Hospital in Burnie provides acute general hospital services in the North West Region</w:t>
      </w:r>
      <w:r w:rsidR="00B40F5B">
        <w:t>, and</w:t>
      </w:r>
    </w:p>
    <w:p w:rsidR="000F54B0" w:rsidRPr="00F80387" w:rsidRDefault="000F54B0" w:rsidP="000F54B0">
      <w:pPr>
        <w:numPr>
          <w:ilvl w:val="0"/>
          <w:numId w:val="6"/>
        </w:numPr>
        <w:tabs>
          <w:tab w:val="clear" w:pos="567"/>
        </w:tabs>
        <w:ind w:left="567" w:hanging="567"/>
      </w:pPr>
      <w:proofErr w:type="gramStart"/>
      <w:r w:rsidRPr="00F80387">
        <w:lastRenderedPageBreak/>
        <w:t>the</w:t>
      </w:r>
      <w:proofErr w:type="gramEnd"/>
      <w:r w:rsidR="00F45219">
        <w:t xml:space="preserve"> Australian Government owned</w:t>
      </w:r>
      <w:r w:rsidRPr="00F80387">
        <w:t xml:space="preserve"> Mersey Community Hospital at Latrobe provides a mix of general hospital services to the local community.</w:t>
      </w:r>
    </w:p>
    <w:p w:rsidR="000F54B0" w:rsidRPr="00F80387" w:rsidRDefault="000F54B0" w:rsidP="000F54B0">
      <w:r w:rsidRPr="00F80387">
        <w:t xml:space="preserve">Sub-acute inpatient care is provided at the major hospitals and the </w:t>
      </w:r>
      <w:r w:rsidR="00952041" w:rsidRPr="00F80387">
        <w:t xml:space="preserve">THOs’ </w:t>
      </w:r>
      <w:r w:rsidRPr="00F80387">
        <w:t>network of rural hospitals (including multi-purpose services and multi-purpose centres). The rural hospitals also provide some emergency care as well as a wide range of community health services. Some rural facilities also provide residential aged care.</w:t>
      </w:r>
      <w:r w:rsidR="00D377CA">
        <w:t xml:space="preserve"> </w:t>
      </w:r>
      <w:r w:rsidRPr="00F80387">
        <w:t xml:space="preserve">The </w:t>
      </w:r>
      <w:r w:rsidR="00952041" w:rsidRPr="00F80387">
        <w:t>THOs also provide</w:t>
      </w:r>
      <w:r w:rsidRPr="00F80387">
        <w:t xml:space="preserve"> services at the community level including allied health, community nursing (including specialised nursing), home care, palliative care, dementia services, specialised case management services, aids and appliances and health promotion programs. These services are generally provided from community health centres and rural facilities, but can also be provided in patients’ homes, schools and workplaces.</w:t>
      </w:r>
    </w:p>
    <w:p w:rsidR="00952041" w:rsidRPr="00BE7188" w:rsidRDefault="00D377CA" w:rsidP="00BE7188">
      <w:pPr>
        <w:pStyle w:val="Heading3"/>
      </w:pPr>
      <w:r>
        <w:rPr>
          <w:rFonts w:eastAsia="Calibri"/>
        </w:rPr>
        <w:br w:type="column"/>
      </w:r>
      <w:r w:rsidR="00952041" w:rsidRPr="00BE7188">
        <w:lastRenderedPageBreak/>
        <w:t xml:space="preserve">The Tasmanian Health Service </w:t>
      </w:r>
    </w:p>
    <w:p w:rsidR="00A66DE9" w:rsidRDefault="007267F2" w:rsidP="00B40F5B">
      <w:pPr>
        <w:pStyle w:val="BodyText"/>
        <w:ind w:right="187"/>
        <w:rPr>
          <w:rFonts w:eastAsia="Calibri"/>
        </w:rPr>
      </w:pPr>
      <w:r>
        <w:rPr>
          <w:rFonts w:eastAsia="Calibri"/>
        </w:rPr>
        <w:t>C</w:t>
      </w:r>
      <w:r w:rsidRPr="00F80387">
        <w:rPr>
          <w:rFonts w:eastAsia="Calibri"/>
        </w:rPr>
        <w:t>ommencing 1 July 2015</w:t>
      </w:r>
      <w:r>
        <w:rPr>
          <w:rFonts w:eastAsia="Calibri"/>
        </w:rPr>
        <w:t>, t</w:t>
      </w:r>
      <w:r w:rsidR="00952041" w:rsidRPr="00F80387">
        <w:rPr>
          <w:rFonts w:eastAsia="Calibri"/>
        </w:rPr>
        <w:t xml:space="preserve">he </w:t>
      </w:r>
      <w:r w:rsidR="00A66DE9">
        <w:rPr>
          <w:rFonts w:eastAsia="Calibri"/>
        </w:rPr>
        <w:t>THS</w:t>
      </w:r>
      <w:r>
        <w:rPr>
          <w:rFonts w:eastAsia="Calibri"/>
        </w:rPr>
        <w:t xml:space="preserve"> was established by </w:t>
      </w:r>
      <w:r w:rsidR="00952041" w:rsidRPr="00F80387">
        <w:rPr>
          <w:rFonts w:eastAsia="Calibri"/>
        </w:rPr>
        <w:t>the amalgamation of the three THOs into one statewide organisation</w:t>
      </w:r>
      <w:r>
        <w:rPr>
          <w:rFonts w:eastAsia="Calibri"/>
        </w:rPr>
        <w:t>.</w:t>
      </w:r>
      <w:r w:rsidR="00952041" w:rsidRPr="00F80387">
        <w:rPr>
          <w:rFonts w:eastAsia="Calibri"/>
        </w:rPr>
        <w:t xml:space="preserve">  The primary role of the THS </w:t>
      </w:r>
      <w:r>
        <w:rPr>
          <w:rFonts w:eastAsia="Calibri"/>
        </w:rPr>
        <w:t xml:space="preserve">is </w:t>
      </w:r>
      <w:r w:rsidR="00952041" w:rsidRPr="00F80387">
        <w:rPr>
          <w:rFonts w:eastAsia="Calibri"/>
        </w:rPr>
        <w:t xml:space="preserve">to provide and coordinate health services and health support services across Tasmania </w:t>
      </w:r>
      <w:r>
        <w:rPr>
          <w:rFonts w:eastAsia="Calibri"/>
        </w:rPr>
        <w:t xml:space="preserve">through </w:t>
      </w:r>
      <w:r w:rsidR="00952041" w:rsidRPr="00F80387">
        <w:rPr>
          <w:rFonts w:eastAsia="Calibri"/>
        </w:rPr>
        <w:t>a range of inpatient, outpatient, community health, residential aged care and in-home settings.</w:t>
      </w:r>
      <w:r w:rsidR="00A66DE9">
        <w:rPr>
          <w:rFonts w:eastAsia="Calibri"/>
        </w:rPr>
        <w:t xml:space="preserve">  </w:t>
      </w:r>
    </w:p>
    <w:p w:rsidR="00952041" w:rsidRPr="00F80387" w:rsidRDefault="00A66DE9" w:rsidP="00B40F5B">
      <w:pPr>
        <w:pStyle w:val="BodyText"/>
        <w:ind w:right="187"/>
        <w:rPr>
          <w:rFonts w:eastAsia="Calibri"/>
        </w:rPr>
      </w:pPr>
      <w:r>
        <w:rPr>
          <w:rFonts w:eastAsia="Calibri"/>
        </w:rPr>
        <w:t xml:space="preserve">Further information regarding the transition to the THS is discussed in other sections of this Report in connection with the One State, One Health System, </w:t>
      </w:r>
      <w:proofErr w:type="gramStart"/>
      <w:r>
        <w:rPr>
          <w:rFonts w:eastAsia="Calibri"/>
        </w:rPr>
        <w:t>Better</w:t>
      </w:r>
      <w:proofErr w:type="gramEnd"/>
      <w:r>
        <w:rPr>
          <w:rFonts w:eastAsia="Calibri"/>
        </w:rPr>
        <w:t xml:space="preserve"> Outcomes Project.</w:t>
      </w:r>
    </w:p>
    <w:p w:rsidR="00952041" w:rsidRPr="00F80387" w:rsidRDefault="00952041" w:rsidP="00952041">
      <w:pPr>
        <w:tabs>
          <w:tab w:val="clear" w:pos="567"/>
        </w:tabs>
      </w:pPr>
    </w:p>
    <w:p w:rsidR="000F54B0" w:rsidRPr="00F80387" w:rsidRDefault="000F54B0">
      <w:pPr>
        <w:tabs>
          <w:tab w:val="clear" w:pos="567"/>
        </w:tabs>
        <w:spacing w:after="200" w:line="276" w:lineRule="auto"/>
        <w:sectPr w:rsidR="000F54B0" w:rsidRPr="00F80387" w:rsidSect="000F54B0">
          <w:type w:val="continuous"/>
          <w:pgSz w:w="11906" w:h="16838"/>
          <w:pgMar w:top="1440" w:right="1440" w:bottom="1440" w:left="1440" w:header="708" w:footer="708" w:gutter="0"/>
          <w:cols w:num="2" w:space="708"/>
          <w:docGrid w:linePitch="360"/>
        </w:sectPr>
      </w:pPr>
    </w:p>
    <w:p w:rsidR="00E4662E" w:rsidRPr="00BE7188" w:rsidRDefault="00E4662E" w:rsidP="00BE7188">
      <w:pPr>
        <w:pStyle w:val="Heading1"/>
      </w:pPr>
      <w:bookmarkStart w:id="290" w:name="_Toc432517301"/>
      <w:r w:rsidRPr="00BE7188">
        <w:lastRenderedPageBreak/>
        <w:t>DHHS in 2015-16</w:t>
      </w:r>
      <w:bookmarkEnd w:id="290"/>
    </w:p>
    <w:p w:rsidR="00E4662E" w:rsidRDefault="00E4662E" w:rsidP="00B134C7">
      <w:pPr>
        <w:pStyle w:val="Heading1"/>
        <w:sectPr w:rsidR="00E4662E">
          <w:pgSz w:w="11906" w:h="16838"/>
          <w:pgMar w:top="1440" w:right="1440" w:bottom="1440" w:left="1440" w:header="708" w:footer="708" w:gutter="0"/>
          <w:cols w:space="708"/>
          <w:docGrid w:linePitch="360"/>
        </w:sectPr>
      </w:pPr>
    </w:p>
    <w:p w:rsidR="00E4662E" w:rsidRPr="00142B82" w:rsidRDefault="00E4662E" w:rsidP="00E4662E">
      <w:r w:rsidRPr="00142B82">
        <w:lastRenderedPageBreak/>
        <w:t xml:space="preserve">2015-16 will be a year focussed on continuing to implement reforms commenced in 2014-15, as well as targeting better outcomes through the redesign and reform of other areas within the </w:t>
      </w:r>
      <w:r w:rsidR="00814687">
        <w:t>DHHS</w:t>
      </w:r>
      <w:r w:rsidR="00C519C6">
        <w:t>.</w:t>
      </w:r>
    </w:p>
    <w:p w:rsidR="00E4662E" w:rsidRPr="00142B82" w:rsidRDefault="00E4662E" w:rsidP="00BE7188">
      <w:pPr>
        <w:pStyle w:val="Heading4"/>
      </w:pPr>
      <w:r w:rsidRPr="00142B82">
        <w:t>Implementing a redesigned health and human services system</w:t>
      </w:r>
    </w:p>
    <w:p w:rsidR="00E4662E" w:rsidRPr="00142B82" w:rsidRDefault="00E4662E" w:rsidP="00E4662E">
      <w:r w:rsidRPr="00142B82">
        <w:t xml:space="preserve">The DHHS Review, the creation of the </w:t>
      </w:r>
      <w:r w:rsidR="00814687">
        <w:t xml:space="preserve">THS </w:t>
      </w:r>
      <w:r w:rsidRPr="00142B82">
        <w:t xml:space="preserve">and the release of the </w:t>
      </w:r>
      <w:r w:rsidRPr="00814687">
        <w:rPr>
          <w:i/>
        </w:rPr>
        <w:t xml:space="preserve">White Paper on </w:t>
      </w:r>
      <w:r w:rsidR="007965E7">
        <w:rPr>
          <w:i/>
        </w:rPr>
        <w:t xml:space="preserve">Delivering </w:t>
      </w:r>
      <w:r w:rsidRPr="00814687">
        <w:rPr>
          <w:i/>
        </w:rPr>
        <w:t>Safe and Sustainable Clinical Services</w:t>
      </w:r>
      <w:r w:rsidRPr="00142B82">
        <w:t xml:space="preserve"> provide a robust foundation for delivering better outcomes in Tasmanian health system.</w:t>
      </w:r>
    </w:p>
    <w:p w:rsidR="00E4662E" w:rsidRPr="00142B82" w:rsidRDefault="00E4662E" w:rsidP="00E4662E">
      <w:r w:rsidRPr="00142B82">
        <w:t>Through 2015-16, the Department will continue to implement the recommendations of the DHHS Review to deliver a strong and focussed system management capability and to ensure that the public and private health and human service systems in Tasmania deliver value for the Tasmanian community.  Priorities will include continued consolidation of purchasing functions (including monitoring and reporting) across health and human services</w:t>
      </w:r>
      <w:r w:rsidR="00B134C7">
        <w:t>.</w:t>
      </w:r>
    </w:p>
    <w:p w:rsidR="00932C0C" w:rsidRDefault="00E4662E" w:rsidP="00932C0C">
      <w:r w:rsidRPr="00142B82">
        <w:t xml:space="preserve">The creation of the Tasmanian Clinical Service Profile (TCSP) and the Tasmanian Role Delineation Framework (TRDF) provide new tools for DHHS to articulate and deliver on the Government’s expectations regarding the scope, quality and safety of public health services.  Over the coming year, the Department will work closely with the </w:t>
      </w:r>
      <w:r w:rsidR="00814687">
        <w:t xml:space="preserve">THS </w:t>
      </w:r>
      <w:r w:rsidRPr="00142B82">
        <w:t>to progress the implementation of the TCSP, refine the TRDF and ensure that the purchasing of services through the Service Agreement aligns with, and supports, continued reform of Tasmania’s acute health sector.</w:t>
      </w:r>
      <w:r w:rsidR="00C519C6">
        <w:br w:type="column"/>
      </w:r>
      <w:r w:rsidR="00932C0C">
        <w:lastRenderedPageBreak/>
        <w:t xml:space="preserve">In 2015-16 the </w:t>
      </w:r>
      <w:r w:rsidR="00932C0C" w:rsidRPr="00932C0C">
        <w:rPr>
          <w:i/>
        </w:rPr>
        <w:t xml:space="preserve">Health Service Establishments Act 2006 </w:t>
      </w:r>
      <w:r w:rsidR="00932C0C">
        <w:t>(HSE Act) and the Health Service Establishments Regulations 2011 will be reviewed and updated to better reflect contemporary delivery of health care and, to where possible, reduce regulatory requirements while ensuring high levels of service safety and quality are maintained.  This process will also include a review of the Health Service Regulation Management Committee, the body responsible for responding to serious patient safety events, and important departmental policies such as the Health Service Regulation Management Guide and Tasmanian Accreditation Framework.</w:t>
      </w:r>
    </w:p>
    <w:p w:rsidR="00E4662E" w:rsidRPr="00142B82" w:rsidRDefault="00E4662E" w:rsidP="00E4662E">
      <w:r w:rsidRPr="00142B82">
        <w:t xml:space="preserve">The Department </w:t>
      </w:r>
      <w:r w:rsidR="002767F3">
        <w:t xml:space="preserve">currently </w:t>
      </w:r>
      <w:r w:rsidRPr="00142B82">
        <w:t>administers over 230 grants encompas</w:t>
      </w:r>
      <w:r w:rsidR="00B134C7">
        <w:t>sing an investment of over $245 </w:t>
      </w:r>
      <w:r w:rsidRPr="00142B82">
        <w:t xml:space="preserve">million.  </w:t>
      </w:r>
      <w:r w:rsidR="00814687">
        <w:t xml:space="preserve">During </w:t>
      </w:r>
      <w:r w:rsidRPr="00142B82">
        <w:t>2015-16 the Department will continue to work with relevant organisations to ensure that the grants program delivers value for the Tasmanian community and that the services are aligned with the priorities of the Government.  As part of this work, DHHS will continue to develop an outcomes-focussed purchasing framework with streamlined reporting and reduced administrative burden.</w:t>
      </w:r>
    </w:p>
    <w:p w:rsidR="00E4662E" w:rsidRPr="00142B82" w:rsidRDefault="00E4662E" w:rsidP="00BE7188">
      <w:pPr>
        <w:pStyle w:val="Heading4"/>
      </w:pPr>
      <w:r w:rsidRPr="00142B82">
        <w:t>Delivering Better Outcomes through Service Reform</w:t>
      </w:r>
    </w:p>
    <w:p w:rsidR="00BE7188" w:rsidRDefault="00814687" w:rsidP="00814687">
      <w:r>
        <w:t xml:space="preserve">A diverse range of reforms commenced in 2014-15 and will continue to be delivered throughout the coming year. Improving the outcomes of Tasmania’s elective surgery system will continue to be a priority for DHHS in 2015-16.   </w:t>
      </w:r>
    </w:p>
    <w:p w:rsidR="00BE7188" w:rsidRDefault="00BE7188">
      <w:pPr>
        <w:tabs>
          <w:tab w:val="clear" w:pos="567"/>
        </w:tabs>
        <w:spacing w:after="200" w:line="276" w:lineRule="auto"/>
      </w:pPr>
      <w:r>
        <w:br w:type="page"/>
      </w:r>
    </w:p>
    <w:p w:rsidR="00814687" w:rsidRDefault="00814687" w:rsidP="00814687">
      <w:r>
        <w:lastRenderedPageBreak/>
        <w:t xml:space="preserve">DHHS </w:t>
      </w:r>
      <w:r w:rsidR="00F76654">
        <w:t>and THOs are working</w:t>
      </w:r>
      <w:r>
        <w:t xml:space="preserve"> to stabilise the elective surgery system by rebuilding public hospital capacity to manage activity for the long term, while using targeted funding to dramatically reduce the problem of long waits through the use of innovative purchasing strategies in the private and interstate sectors. At the same time we will support the THS to undertake a range of reforms to redesign and reform the way elective surgery is provided to improve timeliness, quality and efficiency.</w:t>
      </w:r>
    </w:p>
    <w:p w:rsidR="00814687" w:rsidRDefault="00814687" w:rsidP="00814687">
      <w:pPr>
        <w:rPr>
          <w:lang w:eastAsia="en-AU"/>
        </w:rPr>
      </w:pPr>
      <w:r>
        <w:rPr>
          <w:lang w:eastAsia="en-AU"/>
        </w:rPr>
        <w:t>The reformed surgical services will, as a result, be firmly placed to sustain the levels of care and performance that Tasmanians will need in the future.</w:t>
      </w:r>
    </w:p>
    <w:p w:rsidR="00B134C7" w:rsidRDefault="00E4662E" w:rsidP="00E4662E">
      <w:r w:rsidRPr="00142B82">
        <w:t xml:space="preserve">The Rethink Mental Health Project, part of the Government’s commitment to a </w:t>
      </w:r>
      <w:r w:rsidRPr="00142B82">
        <w:rPr>
          <w:i/>
        </w:rPr>
        <w:t>Long term plan for mental health</w:t>
      </w:r>
      <w:r w:rsidR="00B134C7">
        <w:rPr>
          <w:i/>
        </w:rPr>
        <w:t>,</w:t>
      </w:r>
      <w:r w:rsidR="00B134C7">
        <w:t xml:space="preserve"> </w:t>
      </w:r>
      <w:r w:rsidR="007E45D0">
        <w:t>has delivered</w:t>
      </w:r>
      <w:r w:rsidR="00B134C7">
        <w:t xml:space="preserve"> its Review </w:t>
      </w:r>
      <w:r w:rsidRPr="00142B82">
        <w:t xml:space="preserve">Report </w:t>
      </w:r>
      <w:r w:rsidR="007E45D0">
        <w:t xml:space="preserve">which allows informed work to </w:t>
      </w:r>
      <w:r w:rsidRPr="00142B82">
        <w:t xml:space="preserve">move forward </w:t>
      </w:r>
      <w:r w:rsidR="007E45D0">
        <w:t xml:space="preserve">on </w:t>
      </w:r>
      <w:r w:rsidRPr="00142B82">
        <w:t xml:space="preserve">the development of the Plan.  </w:t>
      </w:r>
    </w:p>
    <w:p w:rsidR="00E4662E" w:rsidRPr="00142B82" w:rsidRDefault="00B134C7" w:rsidP="00E4662E">
      <w:r w:rsidRPr="00142B82">
        <w:t xml:space="preserve">The </w:t>
      </w:r>
      <w:r>
        <w:t xml:space="preserve">Review </w:t>
      </w:r>
      <w:r w:rsidRPr="00142B82">
        <w:t>Report’s summary of the information provided during the consultation phase highlight</w:t>
      </w:r>
      <w:r w:rsidR="007E45D0">
        <w:t>s</w:t>
      </w:r>
      <w:r w:rsidRPr="00142B82">
        <w:t xml:space="preserve"> key themes and present</w:t>
      </w:r>
      <w:r w:rsidR="007E45D0">
        <w:t>s</w:t>
      </w:r>
      <w:r w:rsidRPr="00142B82">
        <w:t xml:space="preserve"> the views, opinions and perceptions of all </w:t>
      </w:r>
      <w:r>
        <w:t xml:space="preserve">involved. </w:t>
      </w:r>
      <w:r w:rsidRPr="00142B82">
        <w:t xml:space="preserve">The stakeholder feedback compiled in the Review Report will </w:t>
      </w:r>
      <w:r>
        <w:t xml:space="preserve">be vital in </w:t>
      </w:r>
      <w:r w:rsidRPr="00142B82">
        <w:t>inform</w:t>
      </w:r>
      <w:r>
        <w:t>ing</w:t>
      </w:r>
      <w:r w:rsidRPr="00142B82">
        <w:t xml:space="preserve"> the development of the Plan. </w:t>
      </w:r>
    </w:p>
    <w:p w:rsidR="00E4662E" w:rsidRPr="00142B82" w:rsidRDefault="00E4662E" w:rsidP="00E4662E">
      <w:r w:rsidRPr="00142B82">
        <w:t xml:space="preserve">Effort in the second half of 2015 will be directed at the development of the long term </w:t>
      </w:r>
      <w:r w:rsidR="00B134C7">
        <w:t>P</w:t>
      </w:r>
      <w:r w:rsidR="0047241F">
        <w:t>lan</w:t>
      </w:r>
      <w:r w:rsidRPr="00142B82">
        <w:t>. Ultimately this body of work will achieve better outcomes for consumers, their families and carers from existing mental health expenditure and direct resources to frontline services and support.</w:t>
      </w:r>
    </w:p>
    <w:p w:rsidR="00E4662E" w:rsidRPr="00142B82" w:rsidRDefault="00E4662E" w:rsidP="00E4662E">
      <w:r w:rsidRPr="00142B82">
        <w:t xml:space="preserve">Through the Joined </w:t>
      </w:r>
      <w:proofErr w:type="gramStart"/>
      <w:r w:rsidRPr="00142B82">
        <w:t>Up</w:t>
      </w:r>
      <w:proofErr w:type="gramEnd"/>
      <w:r w:rsidRPr="00142B82">
        <w:t xml:space="preserve"> Human Services Project, DHHS will continue to work with the community sector to deliver better outcomes for people that need help.  This </w:t>
      </w:r>
      <w:r w:rsidR="00B134C7">
        <w:t>P</w:t>
      </w:r>
      <w:r w:rsidRPr="00142B82">
        <w:t>roject will provide a foundation for ongoing investment in strategies that improve the integration of services and extend the Government</w:t>
      </w:r>
      <w:r w:rsidR="00B134C7">
        <w:t>’</w:t>
      </w:r>
      <w:r w:rsidRPr="00142B82">
        <w:t>s investment in service coordination for people with complex needs.</w:t>
      </w:r>
    </w:p>
    <w:p w:rsidR="00E4662E" w:rsidRPr="00142B82" w:rsidRDefault="00E4662E" w:rsidP="00E4662E">
      <w:r w:rsidRPr="00142B82">
        <w:lastRenderedPageBreak/>
        <w:t>Children and Youth Services will continue to work on strategies to deliver better outcomes for children at risk and their fam</w:t>
      </w:r>
      <w:r w:rsidR="00B74122">
        <w:t xml:space="preserve">ilies throughout 2015-16.  CYS </w:t>
      </w:r>
      <w:r w:rsidRPr="00142B82">
        <w:t xml:space="preserve">will </w:t>
      </w:r>
      <w:r w:rsidR="00B134C7">
        <w:t xml:space="preserve">also </w:t>
      </w:r>
      <w:r w:rsidRPr="00142B82">
        <w:t>continue to identify other opportunities for improvement and redesign.</w:t>
      </w:r>
    </w:p>
    <w:p w:rsidR="006C01E4" w:rsidRPr="006C01E4" w:rsidRDefault="006C01E4" w:rsidP="006C01E4">
      <w:r w:rsidRPr="006C01E4">
        <w:t xml:space="preserve">During 2015-16 an Affordable Housing Strategy will be launched.  The </w:t>
      </w:r>
      <w:r>
        <w:t>S</w:t>
      </w:r>
      <w:r w:rsidRPr="006C01E4">
        <w:t xml:space="preserve">trategy will provide direction for the next ten years on how Tasmania can improve housing affordability and help those most vulnerable to housing stress and homelessness.  The agreement for the full roll-out of the </w:t>
      </w:r>
      <w:r>
        <w:t xml:space="preserve">NDIS </w:t>
      </w:r>
      <w:r w:rsidRPr="006C01E4">
        <w:t>will also be signed.  This agreement will guide the transition of the NDIS from the trial phase through to the full roll-out in July 2019.</w:t>
      </w:r>
    </w:p>
    <w:p w:rsidR="007E45D0" w:rsidRPr="007E45D0" w:rsidRDefault="007E45D0" w:rsidP="00BE7188">
      <w:pPr>
        <w:pStyle w:val="Heading4"/>
      </w:pPr>
      <w:r w:rsidRPr="007E45D0">
        <w:t>Capital Works</w:t>
      </w:r>
    </w:p>
    <w:p w:rsidR="00E4662E" w:rsidRPr="00142B82" w:rsidRDefault="00E4662E" w:rsidP="00E4662E">
      <w:pPr>
        <w:spacing w:before="120" w:after="120"/>
      </w:pPr>
      <w:r w:rsidRPr="00142B82">
        <w:t xml:space="preserve">Continual improvement is a hallmark of the Tasmanian health system. This includes the redevelopment of health facilities so they can continue to deliver quality, contemporary health services to Tasmanians. The </w:t>
      </w:r>
      <w:r w:rsidR="00981523">
        <w:t xml:space="preserve">Australian and </w:t>
      </w:r>
      <w:r w:rsidRPr="00142B82">
        <w:t xml:space="preserve">Tasmanian </w:t>
      </w:r>
      <w:r w:rsidR="002767F3">
        <w:t>G</w:t>
      </w:r>
      <w:r w:rsidRPr="00142B82">
        <w:t>overnment</w:t>
      </w:r>
      <w:r w:rsidR="00981523">
        <w:t>s</w:t>
      </w:r>
      <w:r w:rsidRPr="00142B82">
        <w:t xml:space="preserve"> </w:t>
      </w:r>
      <w:r w:rsidR="00981523">
        <w:t xml:space="preserve">have </w:t>
      </w:r>
      <w:r w:rsidR="002767F3">
        <w:t xml:space="preserve">committed </w:t>
      </w:r>
      <w:r w:rsidRPr="00142B82">
        <w:t>$657</w:t>
      </w:r>
      <w:r w:rsidR="002767F3">
        <w:t> </w:t>
      </w:r>
      <w:r w:rsidRPr="00142B82">
        <w:t xml:space="preserve">million </w:t>
      </w:r>
      <w:r w:rsidR="002767F3">
        <w:t xml:space="preserve">in funding to </w:t>
      </w:r>
      <w:r w:rsidRPr="00142B82">
        <w:t xml:space="preserve">the Royal Hobart Hospital Redevelopment </w:t>
      </w:r>
      <w:r w:rsidR="002767F3">
        <w:t xml:space="preserve">project </w:t>
      </w:r>
      <w:r w:rsidRPr="00142B82">
        <w:t>which will deliver newly refurbished patient areas within the current hospital and construct a new ten-storey inpatient facility. The inpatient precinct known as K-Block will be home to a new adolescent ward, more operating theatres, a helipad and a new one-stop arrivals and departure area for patients; along with many other new wards and facilities. These works will ensure that the State’s tertiary hospital is a state-of-the-art health facility for generations of Tasmanians to come.</w:t>
      </w:r>
    </w:p>
    <w:p w:rsidR="00E4662E" w:rsidRPr="00142B82" w:rsidRDefault="00E4662E" w:rsidP="00E4662E">
      <w:r w:rsidRPr="00142B82">
        <w:t>More information on the Redevelopment, and other Capital Projects, is available in the Capital Works and Asset Management section in Part 2 of this Annual Report.</w:t>
      </w:r>
    </w:p>
    <w:p w:rsidR="002767F3" w:rsidRDefault="002767F3">
      <w:pPr>
        <w:tabs>
          <w:tab w:val="clear" w:pos="567"/>
        </w:tabs>
        <w:spacing w:after="200" w:line="276" w:lineRule="auto"/>
        <w:rPr>
          <w:b/>
        </w:rPr>
      </w:pPr>
      <w:r>
        <w:rPr>
          <w:b/>
        </w:rPr>
        <w:br w:type="page"/>
      </w:r>
    </w:p>
    <w:p w:rsidR="00E4662E" w:rsidRPr="00142B82" w:rsidRDefault="00E4662E" w:rsidP="00BE7188">
      <w:pPr>
        <w:pStyle w:val="Heading4"/>
      </w:pPr>
      <w:r w:rsidRPr="00142B82">
        <w:lastRenderedPageBreak/>
        <w:t>Improving the Health of all Tasmanians</w:t>
      </w:r>
    </w:p>
    <w:p w:rsidR="00E4662E" w:rsidRPr="00142B82" w:rsidRDefault="00E4662E" w:rsidP="00E4662E">
      <w:r w:rsidRPr="00142B82">
        <w:t>Public health will continue to be a significant priority for DHHS in 2015-16.  Particular priorities include:</w:t>
      </w:r>
    </w:p>
    <w:p w:rsidR="00E4662E" w:rsidRPr="00142B82" w:rsidRDefault="00E4662E" w:rsidP="00E4662E">
      <w:pPr>
        <w:pStyle w:val="ListParagraph"/>
        <w:widowControl/>
        <w:numPr>
          <w:ilvl w:val="0"/>
          <w:numId w:val="43"/>
        </w:numPr>
        <w:ind w:left="567" w:hanging="567"/>
        <w:rPr>
          <w:sz w:val="22"/>
          <w:szCs w:val="22"/>
        </w:rPr>
      </w:pPr>
      <w:r w:rsidRPr="00142B82">
        <w:rPr>
          <w:sz w:val="22"/>
          <w:szCs w:val="22"/>
        </w:rPr>
        <w:t xml:space="preserve">establishing an information portal for local government </w:t>
      </w:r>
      <w:r w:rsidR="00A04751">
        <w:rPr>
          <w:sz w:val="22"/>
          <w:szCs w:val="22"/>
        </w:rPr>
        <w:t>E</w:t>
      </w:r>
      <w:r w:rsidRPr="00142B82">
        <w:rPr>
          <w:sz w:val="22"/>
          <w:szCs w:val="22"/>
        </w:rPr>
        <w:t xml:space="preserve">nvironmental </w:t>
      </w:r>
      <w:r w:rsidR="00A04751">
        <w:rPr>
          <w:sz w:val="22"/>
          <w:szCs w:val="22"/>
        </w:rPr>
        <w:t>Health O</w:t>
      </w:r>
      <w:r w:rsidRPr="00142B82">
        <w:rPr>
          <w:sz w:val="22"/>
          <w:szCs w:val="22"/>
        </w:rPr>
        <w:t>fficers to have real time access to relevant regulatory advice and assistance</w:t>
      </w:r>
    </w:p>
    <w:p w:rsidR="00E4662E" w:rsidRPr="00142B82" w:rsidRDefault="00E4662E" w:rsidP="00E4662E">
      <w:pPr>
        <w:pStyle w:val="ListParagraph"/>
        <w:widowControl/>
        <w:numPr>
          <w:ilvl w:val="0"/>
          <w:numId w:val="43"/>
        </w:numPr>
        <w:ind w:left="567" w:hanging="567"/>
        <w:rPr>
          <w:sz w:val="22"/>
          <w:szCs w:val="22"/>
        </w:rPr>
      </w:pPr>
      <w:r w:rsidRPr="00142B82">
        <w:rPr>
          <w:sz w:val="22"/>
          <w:szCs w:val="22"/>
        </w:rPr>
        <w:t>securing additional prevention and treatment of hepatitis for Tasmanians most at risk</w:t>
      </w:r>
      <w:r w:rsidR="00F76654">
        <w:rPr>
          <w:sz w:val="22"/>
          <w:szCs w:val="22"/>
        </w:rPr>
        <w:t xml:space="preserve"> and</w:t>
      </w:r>
    </w:p>
    <w:p w:rsidR="00E4662E" w:rsidRPr="00142B82" w:rsidRDefault="00E4662E" w:rsidP="00E4662E">
      <w:pPr>
        <w:pStyle w:val="ListParagraph"/>
        <w:widowControl/>
        <w:numPr>
          <w:ilvl w:val="0"/>
          <w:numId w:val="43"/>
        </w:numPr>
        <w:ind w:left="567" w:hanging="567"/>
        <w:rPr>
          <w:rFonts w:eastAsiaTheme="minorHAnsi"/>
          <w:sz w:val="22"/>
          <w:szCs w:val="22"/>
        </w:rPr>
      </w:pPr>
      <w:proofErr w:type="gramStart"/>
      <w:r w:rsidRPr="00142B82">
        <w:rPr>
          <w:sz w:val="22"/>
          <w:szCs w:val="22"/>
        </w:rPr>
        <w:t>publishing</w:t>
      </w:r>
      <w:proofErr w:type="gramEnd"/>
      <w:r w:rsidRPr="00142B82">
        <w:rPr>
          <w:sz w:val="22"/>
          <w:szCs w:val="22"/>
        </w:rPr>
        <w:t xml:space="preserve"> and disseminating a new evidence base for Working in Health Promoting Ways to build the capabilities in health workforce to build health literacy and patient centred care</w:t>
      </w:r>
      <w:r>
        <w:rPr>
          <w:sz w:val="22"/>
          <w:szCs w:val="22"/>
        </w:rPr>
        <w:t>.</w:t>
      </w:r>
    </w:p>
    <w:p w:rsidR="00E4662E" w:rsidRPr="00142B82" w:rsidRDefault="00E4662E" w:rsidP="00E4662E">
      <w:r w:rsidRPr="00142B82">
        <w:t xml:space="preserve">In 2015-16, the Department will also develop an Action Plan to support the Vision for a </w:t>
      </w:r>
      <w:r>
        <w:t xml:space="preserve">Healthy Tasmania Framework. </w:t>
      </w:r>
      <w:r w:rsidRPr="00142B82">
        <w:t xml:space="preserve"> The Health Council of Tasmania will take a lead role in driving community consultation on the Action Plan and will collaborate with the Department to report to the Minister.   </w:t>
      </w:r>
    </w:p>
    <w:p w:rsidR="00E4662E" w:rsidRPr="00142B82" w:rsidRDefault="00E4662E" w:rsidP="00BE7188">
      <w:pPr>
        <w:pStyle w:val="Heading4"/>
      </w:pPr>
      <w:r w:rsidRPr="00142B82">
        <w:t>Working with the Commonwealth, other Government Agencies and other partners</w:t>
      </w:r>
    </w:p>
    <w:p w:rsidR="00E4662E" w:rsidRPr="00142B82" w:rsidRDefault="00E4662E" w:rsidP="00E4662E">
      <w:r w:rsidRPr="00142B82">
        <w:t>The Tasmanian community expects that Governments will work together and with external partner to deliver better outcomes for the community.</w:t>
      </w:r>
    </w:p>
    <w:p w:rsidR="00932CA6" w:rsidRDefault="00932CA6" w:rsidP="00932CA6">
      <w:r>
        <w:t>Tasmania is playing a key role in COAG reforms including working with other states and territories to progress work to reform Australia’s Federation arising from the Leaders’ Retreat in July 2015.  This work includes the consideration of major reforms in the health and housing portfolios.  DHHS is actively participating and contributing to the development of reform directions in these policy areas.</w:t>
      </w:r>
    </w:p>
    <w:p w:rsidR="00932CA6" w:rsidRDefault="00932CA6" w:rsidP="00932CA6">
      <w:pPr>
        <w:rPr>
          <w:color w:val="1F497D"/>
        </w:rPr>
      </w:pPr>
      <w:r>
        <w:t xml:space="preserve">DHHS will continue to manage and operate the Australian Government owned Mersey Community Hospital in accordance with the recently signed Heads of Agreement.  DHHS will also work with the Australian Government </w:t>
      </w:r>
      <w:r>
        <w:lastRenderedPageBreak/>
        <w:t xml:space="preserve">to enable the role of the Mersey as set out in the One State, One Health System, Better Outcome reforms, to be implemented. </w:t>
      </w:r>
    </w:p>
    <w:p w:rsidR="00E4662E" w:rsidRPr="00BE7188" w:rsidRDefault="00E4662E" w:rsidP="00BE7188">
      <w:pPr>
        <w:pStyle w:val="Heading4"/>
      </w:pPr>
      <w:r w:rsidRPr="00BE7188">
        <w:t>Responding to Family Violence</w:t>
      </w:r>
    </w:p>
    <w:p w:rsidR="00E4662E" w:rsidRPr="00142B82" w:rsidRDefault="00E4662E" w:rsidP="00E4662E">
      <w:r w:rsidRPr="00142B82">
        <w:t>The Government will progress its Safe Home, Safe Families</w:t>
      </w:r>
      <w:r w:rsidR="005206D0">
        <w:t xml:space="preserve">: Tasmania’s Family Violence </w:t>
      </w:r>
      <w:r w:rsidRPr="00142B82">
        <w:t xml:space="preserve">Action Plan </w:t>
      </w:r>
      <w:r w:rsidR="005206D0">
        <w:t xml:space="preserve">2015 to 2020 </w:t>
      </w:r>
      <w:r w:rsidRPr="00142B82">
        <w:t>to respond to the issue of family violence in 2015-16 and DHHS has a key role to play. As foreshadowed in the 356 Day Plan, the Government will be rolling out a suite of initiatives aimed at changing attitudes and behaviours that contribute to family violence, to support families affected by violence, and to strengthen our legal responses to family violence.  DHHS will provide a representative to work with other Agencies towards a whole of Government approach, and the Department is looking forward to providing our support and input into this important body of work.</w:t>
      </w:r>
    </w:p>
    <w:p w:rsidR="00E4662E" w:rsidRPr="00142B82" w:rsidRDefault="00E4662E" w:rsidP="00E4662E"/>
    <w:p w:rsidR="00E4662E" w:rsidRPr="00142B82" w:rsidRDefault="00E4662E" w:rsidP="00E4662E"/>
    <w:p w:rsidR="00E4662E" w:rsidRDefault="00E4662E" w:rsidP="00E4662E">
      <w:pPr>
        <w:sectPr w:rsidR="00E4662E" w:rsidSect="000609DA">
          <w:headerReference w:type="even" r:id="rId36"/>
          <w:headerReference w:type="default" r:id="rId37"/>
          <w:type w:val="continuous"/>
          <w:pgSz w:w="11906" w:h="16838"/>
          <w:pgMar w:top="1440" w:right="1440" w:bottom="1440" w:left="1440" w:header="708" w:footer="708" w:gutter="0"/>
          <w:cols w:num="2" w:space="708"/>
          <w:docGrid w:linePitch="360"/>
        </w:sectPr>
      </w:pPr>
    </w:p>
    <w:p w:rsidR="006E067E" w:rsidRPr="00F80387" w:rsidRDefault="006E067E" w:rsidP="00812C64">
      <w:pPr>
        <w:pStyle w:val="Heading1"/>
      </w:pPr>
    </w:p>
    <w:sectPr w:rsidR="006E067E" w:rsidRPr="00F80387" w:rsidSect="000F54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C75" w:rsidRDefault="00EC7C75">
      <w:pPr>
        <w:spacing w:after="0" w:line="240" w:lineRule="auto"/>
      </w:pPr>
      <w:r>
        <w:separator/>
      </w:r>
    </w:p>
  </w:endnote>
  <w:endnote w:type="continuationSeparator" w:id="0">
    <w:p w:rsidR="00EC7C75" w:rsidRDefault="00EC7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Sans Light">
    <w:altName w:val="Gill Sans Light"/>
    <w:panose1 w:val="020B0402020204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C75" w:rsidRPr="00F10F6B" w:rsidRDefault="00EC7C75" w:rsidP="00F10F6B">
    <w:pPr>
      <w:pStyle w:val="Footer"/>
      <w:tabs>
        <w:tab w:val="right" w:pos="9638"/>
      </w:tabs>
      <w:jc w:val="left"/>
    </w:pPr>
    <w:r w:rsidRPr="00F10F6B">
      <w:tab/>
      <w:t xml:space="preserve">DHHS Annual Report 2014-15 – Part 1 </w:t>
    </w:r>
    <w:r>
      <w:t xml:space="preserve">- </w:t>
    </w:r>
    <w:r w:rsidRPr="00F10F6B">
      <w:t>Overview</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01E" w:rsidRDefault="007920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01E" w:rsidRDefault="007920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212" w:rsidRPr="00F10F6B" w:rsidRDefault="0079201E" w:rsidP="00F10F6B">
    <w:pPr>
      <w:pStyle w:val="Footer"/>
      <w:tabs>
        <w:tab w:val="right" w:pos="9638"/>
      </w:tabs>
      <w:jc w:val="left"/>
    </w:pPr>
    <w:bookmarkStart w:id="3" w:name="OLE_LINK8"/>
    <w:bookmarkStart w:id="4" w:name="OLE_LINK9"/>
    <w:r>
      <w:t xml:space="preserve">Page </w:t>
    </w:r>
    <w:r>
      <w:fldChar w:fldCharType="begin"/>
    </w:r>
    <w:r>
      <w:instrText xml:space="preserve"> PAGE   \* MERGEFORMAT </w:instrText>
    </w:r>
    <w:r>
      <w:fldChar w:fldCharType="separate"/>
    </w:r>
    <w:r>
      <w:rPr>
        <w:noProof/>
      </w:rPr>
      <w:t>36</w:t>
    </w:r>
    <w:r>
      <w:fldChar w:fldCharType="end"/>
    </w:r>
    <w:r>
      <w:t xml:space="preserve"> of 247</w:t>
    </w:r>
    <w:bookmarkEnd w:id="3"/>
    <w:bookmarkEnd w:id="4"/>
    <w:r w:rsidR="009A1212" w:rsidRPr="00F10F6B">
      <w:tab/>
    </w:r>
    <w:bookmarkStart w:id="5" w:name="OLE_LINK5"/>
    <w:bookmarkStart w:id="6" w:name="OLE_LINK6"/>
    <w:bookmarkStart w:id="7" w:name="OLE_LINK7"/>
    <w:r w:rsidR="003F0DBA">
      <w:t xml:space="preserve">DHHS Annual Report 2014-15 </w:t>
    </w:r>
    <w:bookmarkStart w:id="8" w:name="OLE_LINK2"/>
    <w:bookmarkStart w:id="9" w:name="OLE_LINK3"/>
    <w:bookmarkStart w:id="10" w:name="OLE_LINK4"/>
    <w:r w:rsidR="003F0DBA">
      <w:t>–</w:t>
    </w:r>
    <w:bookmarkEnd w:id="8"/>
    <w:bookmarkEnd w:id="9"/>
    <w:bookmarkEnd w:id="10"/>
    <w:r w:rsidR="003F0DBA">
      <w:t xml:space="preserve"> Part 1 – Overview</w:t>
    </w:r>
    <w:bookmarkEnd w:id="5"/>
    <w:bookmarkEnd w:id="6"/>
    <w:bookmarkEnd w:id="7"/>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66" w:rsidRDefault="00452C6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66" w:rsidRDefault="003F0DBA" w:rsidP="0079201E">
    <w:pPr>
      <w:pStyle w:val="Footer"/>
      <w:tabs>
        <w:tab w:val="right" w:pos="9639"/>
      </w:tabs>
      <w:jc w:val="left"/>
    </w:pPr>
    <w:r>
      <w:t>DHHS Annual Report 2014-15 – Part 1 – Overview</w:t>
    </w:r>
    <w:r w:rsidR="0079201E">
      <w:tab/>
      <w:t xml:space="preserve">Page </w:t>
    </w:r>
    <w:bookmarkStart w:id="11" w:name="_GoBack"/>
    <w:bookmarkEnd w:id="11"/>
    <w:r w:rsidR="0079201E">
      <w:fldChar w:fldCharType="begin"/>
    </w:r>
    <w:r w:rsidR="0079201E">
      <w:instrText xml:space="preserve"> PAGE   \* MERGEFORMAT </w:instrText>
    </w:r>
    <w:r w:rsidR="0079201E">
      <w:fldChar w:fldCharType="separate"/>
    </w:r>
    <w:r w:rsidR="0079201E">
      <w:rPr>
        <w:noProof/>
      </w:rPr>
      <w:t>9</w:t>
    </w:r>
    <w:r w:rsidR="0079201E">
      <w:fldChar w:fldCharType="end"/>
    </w:r>
    <w:r w:rsidR="0079201E">
      <w:t xml:space="preserve"> of 247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C75" w:rsidRPr="003D4E94" w:rsidRDefault="00EC7C75" w:rsidP="00B960B2">
    <w:pPr>
      <w:pStyle w:val="Footer"/>
      <w:tabs>
        <w:tab w:val="right" w:pos="9638"/>
      </w:tabs>
      <w:jc w:val="left"/>
    </w:pPr>
    <w:r w:rsidRPr="00EF352F">
      <w:t>DHHS Annual Report 2013-14 – Part 1 Overview</w:t>
    </w:r>
    <w:r w:rsidRPr="00EF352F">
      <w:tab/>
    </w:r>
    <w:r w:rsidR="0079201E">
      <w:t xml:space="preserve">Page </w:t>
    </w:r>
    <w:r w:rsidR="0079201E">
      <w:fldChar w:fldCharType="begin"/>
    </w:r>
    <w:r w:rsidR="0079201E">
      <w:instrText xml:space="preserve"> PAGE   \* MERGEFORMAT </w:instrText>
    </w:r>
    <w:r w:rsidR="0079201E">
      <w:fldChar w:fldCharType="separate"/>
    </w:r>
    <w:r w:rsidR="0079201E">
      <w:rPr>
        <w:noProof/>
      </w:rPr>
      <w:t>37</w:t>
    </w:r>
    <w:r w:rsidR="0079201E">
      <w:fldChar w:fldCharType="end"/>
    </w:r>
    <w:r w:rsidR="0079201E">
      <w:t xml:space="preserve"> of 247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C75" w:rsidRDefault="00EC7C75">
      <w:pPr>
        <w:spacing w:after="0" w:line="240" w:lineRule="auto"/>
      </w:pPr>
      <w:r>
        <w:separator/>
      </w:r>
    </w:p>
  </w:footnote>
  <w:footnote w:type="continuationSeparator" w:id="0">
    <w:p w:rsidR="00EC7C75" w:rsidRDefault="00EC7C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01E" w:rsidRDefault="0079201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66" w:rsidRDefault="00452C66" w:rsidP="00AD23BA">
    <w:pPr>
      <w:pStyle w:val="Header"/>
      <w:tabs>
        <w:tab w:val="clear" w:pos="4513"/>
        <w:tab w:val="clear" w:pos="9026"/>
        <w:tab w:val="left" w:pos="2229"/>
      </w:tabs>
      <w:jc w:val="right"/>
    </w:pPr>
    <w:r>
      <w:rPr>
        <w:noProof/>
        <w:lang w:eastAsia="en-AU"/>
      </w:rPr>
      <w:drawing>
        <wp:anchor distT="0" distB="0" distL="114300" distR="114300" simplePos="0" relativeHeight="251684864" behindDoc="1" locked="0" layoutInCell="1" allowOverlap="1" wp14:anchorId="61E01B0D" wp14:editId="6D7ABC74">
          <wp:simplePos x="0" y="0"/>
          <wp:positionH relativeFrom="page">
            <wp:posOffset>7101205</wp:posOffset>
          </wp:positionH>
          <wp:positionV relativeFrom="paragraph">
            <wp:posOffset>-429895</wp:posOffset>
          </wp:positionV>
          <wp:extent cx="449580" cy="10691495"/>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9580" cy="10691495"/>
                  </a:xfrm>
                  <a:prstGeom prst="rect">
                    <a:avLst/>
                  </a:prstGeom>
                </pic:spPr>
              </pic:pic>
            </a:graphicData>
          </a:graphic>
          <wp14:sizeRelH relativeFrom="margin">
            <wp14:pctWidth>0</wp14:pctWidth>
          </wp14:sizeRelH>
          <wp14:sizeRelV relativeFrom="margin">
            <wp14:pctHeight>0</wp14:pctHeight>
          </wp14:sizeRelV>
        </wp:anchor>
      </w:drawing>
    </w:r>
    <w:r w:rsidRPr="00F10F6B">
      <w:t xml:space="preserve"> </w:t>
    </w:r>
    <w:fldSimple w:instr=" STYLEREF  &quot;Heading 1&quot;  \* MERGEFORMAT ">
      <w:r w:rsidR="0079201E">
        <w:rPr>
          <w:noProof/>
        </w:rPr>
        <w:t>DHHS Overview</w:t>
      </w:r>
    </w:fldSimple>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C75" w:rsidRDefault="00035944" w:rsidP="00AD23BA">
    <w:pPr>
      <w:pStyle w:val="Header"/>
      <w:tabs>
        <w:tab w:val="right" w:pos="8505"/>
      </w:tabs>
      <w:jc w:val="right"/>
    </w:pPr>
    <w:r>
      <w:rPr>
        <w:noProof/>
        <w:lang w:eastAsia="en-AU"/>
      </w:rPr>
      <w:drawing>
        <wp:anchor distT="0" distB="0" distL="114300" distR="114300" simplePos="0" relativeHeight="251676672" behindDoc="1" locked="0" layoutInCell="1" allowOverlap="1" wp14:anchorId="62AB2E4C" wp14:editId="5C1BFC24">
          <wp:simplePos x="0" y="0"/>
          <wp:positionH relativeFrom="page">
            <wp:posOffset>7098665</wp:posOffset>
          </wp:positionH>
          <wp:positionV relativeFrom="paragraph">
            <wp:posOffset>-448945</wp:posOffset>
          </wp:positionV>
          <wp:extent cx="449580" cy="10691495"/>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9580" cy="10691495"/>
                  </a:xfrm>
                  <a:prstGeom prst="rect">
                    <a:avLst/>
                  </a:prstGeom>
                </pic:spPr>
              </pic:pic>
            </a:graphicData>
          </a:graphic>
          <wp14:sizeRelH relativeFrom="margin">
            <wp14:pctWidth>0</wp14:pctWidth>
          </wp14:sizeRelH>
          <wp14:sizeRelV relativeFrom="margin">
            <wp14:pctHeight>0</wp14:pctHeight>
          </wp14:sizeRelV>
        </wp:anchor>
      </w:drawing>
    </w:r>
    <w:fldSimple w:instr=" STYLEREF  &quot;Heading 1&quot;  \* MERGEFORMAT ">
      <w:r w:rsidR="0079201E">
        <w:rPr>
          <w:noProof/>
        </w:rPr>
        <w:t>Financial Overview</w:t>
      </w:r>
    </w:fldSimple>
  </w:p>
  <w:p w:rsidR="00AD23BA" w:rsidRPr="00EF352F" w:rsidRDefault="00AD23BA" w:rsidP="00AD23BA">
    <w:pPr>
      <w:pStyle w:val="Header"/>
      <w:tabs>
        <w:tab w:val="right" w:pos="8505"/>
      </w:tabs>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44" w:rsidRPr="00F10F6B" w:rsidRDefault="00035944" w:rsidP="00F10F6B">
    <w:pPr>
      <w:pStyle w:val="Header"/>
      <w:tabs>
        <w:tab w:val="clear" w:pos="4513"/>
        <w:tab w:val="clear" w:pos="9026"/>
        <w:tab w:val="left" w:pos="2229"/>
      </w:tabs>
    </w:pPr>
    <w:r>
      <w:rPr>
        <w:noProof/>
        <w:lang w:eastAsia="en-AU"/>
      </w:rPr>
      <w:drawing>
        <wp:anchor distT="0" distB="0" distL="114300" distR="114300" simplePos="0" relativeHeight="251682816" behindDoc="1" locked="0" layoutInCell="1" allowOverlap="1" wp14:anchorId="02DAEB64" wp14:editId="23851B9F">
          <wp:simplePos x="0" y="0"/>
          <wp:positionH relativeFrom="page">
            <wp:posOffset>8560</wp:posOffset>
          </wp:positionH>
          <wp:positionV relativeFrom="page">
            <wp:posOffset>8255</wp:posOffset>
          </wp:positionV>
          <wp:extent cx="450850" cy="10699115"/>
          <wp:effectExtent l="0" t="0" r="635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4.jpg"/>
                  <pic:cNvPicPr/>
                </pic:nvPicPr>
                <pic:blipFill>
                  <a:blip r:embed="rId1">
                    <a:extLst>
                      <a:ext uri="{28A0092B-C50C-407E-A947-70E740481C1C}">
                        <a14:useLocalDpi xmlns:a14="http://schemas.microsoft.com/office/drawing/2010/main" val="0"/>
                      </a:ext>
                    </a:extLst>
                  </a:blip>
                  <a:stretch>
                    <a:fillRect/>
                  </a:stretch>
                </pic:blipFill>
                <pic:spPr>
                  <a:xfrm>
                    <a:off x="0" y="0"/>
                    <a:ext cx="450850" cy="1069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fldSimple w:instr=" STYLEREF  &quot;Heading 1&quot;  \* MERGEFORMAT ">
      <w:r w:rsidR="0079201E">
        <w:rPr>
          <w:noProof/>
        </w:rPr>
        <w:t>DHHS in 2015-16</w:t>
      </w:r>
    </w:fldSimple>
  </w:p>
  <w:p w:rsidR="00035944" w:rsidRPr="00EF352F" w:rsidRDefault="00035944" w:rsidP="00C47A6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66" w:rsidRPr="00EF352F" w:rsidRDefault="00452C66" w:rsidP="00AD23BA">
    <w:pPr>
      <w:pStyle w:val="Header"/>
      <w:tabs>
        <w:tab w:val="right" w:pos="8505"/>
      </w:tabs>
      <w:jc w:val="right"/>
    </w:pPr>
    <w:r>
      <w:rPr>
        <w:noProof/>
        <w:lang w:eastAsia="en-AU"/>
      </w:rPr>
      <w:drawing>
        <wp:anchor distT="0" distB="0" distL="114300" distR="114300" simplePos="0" relativeHeight="251688960" behindDoc="1" locked="0" layoutInCell="1" allowOverlap="1" wp14:anchorId="1EBC585C" wp14:editId="3A968C80">
          <wp:simplePos x="0" y="0"/>
          <wp:positionH relativeFrom="page">
            <wp:posOffset>7098665</wp:posOffset>
          </wp:positionH>
          <wp:positionV relativeFrom="paragraph">
            <wp:posOffset>-448945</wp:posOffset>
          </wp:positionV>
          <wp:extent cx="449580" cy="10691495"/>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9580" cy="10691495"/>
                  </a:xfrm>
                  <a:prstGeom prst="rect">
                    <a:avLst/>
                  </a:prstGeom>
                </pic:spPr>
              </pic:pic>
            </a:graphicData>
          </a:graphic>
          <wp14:sizeRelH relativeFrom="margin">
            <wp14:pctWidth>0</wp14:pctWidth>
          </wp14:sizeRelH>
          <wp14:sizeRelV relativeFrom="margin">
            <wp14:pctHeight>0</wp14:pctHeight>
          </wp14:sizeRelV>
        </wp:anchor>
      </w:drawing>
    </w:r>
    <w:fldSimple w:instr=" STYLEREF  &quot;Heading 1&quot;  \* MERGEFORMAT ">
      <w:r w:rsidR="0079201E">
        <w:rPr>
          <w:noProof/>
        </w:rPr>
        <w:t>DHHS in 2014-15</w:t>
      </w:r>
    </w:fldSimple>
  </w:p>
  <w:p w:rsidR="00452C66" w:rsidRPr="00EF352F" w:rsidRDefault="00452C66" w:rsidP="00B960B2">
    <w:pPr>
      <w:pStyle w:val="Header"/>
      <w:tabs>
        <w:tab w:val="right" w:pos="8505"/>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5" w:rsidRPr="00F10F6B" w:rsidRDefault="00017915" w:rsidP="00F10F6B">
    <w:pPr>
      <w:pStyle w:val="Header"/>
      <w:tabs>
        <w:tab w:val="clear" w:pos="4513"/>
        <w:tab w:val="clear" w:pos="9026"/>
        <w:tab w:val="left" w:pos="2229"/>
      </w:tabs>
    </w:pPr>
    <w:r>
      <w:rPr>
        <w:noProof/>
        <w:lang w:eastAsia="en-AU"/>
      </w:rPr>
      <w:drawing>
        <wp:anchor distT="0" distB="0" distL="114300" distR="114300" simplePos="0" relativeHeight="251693056" behindDoc="1" locked="0" layoutInCell="1" allowOverlap="1" wp14:anchorId="45DB49B4" wp14:editId="08A76978">
          <wp:simplePos x="0" y="0"/>
          <wp:positionH relativeFrom="page">
            <wp:posOffset>8560</wp:posOffset>
          </wp:positionH>
          <wp:positionV relativeFrom="page">
            <wp:posOffset>8255</wp:posOffset>
          </wp:positionV>
          <wp:extent cx="450850" cy="10699115"/>
          <wp:effectExtent l="0" t="0" r="635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4.jpg"/>
                  <pic:cNvPicPr/>
                </pic:nvPicPr>
                <pic:blipFill>
                  <a:blip r:embed="rId1">
                    <a:extLst>
                      <a:ext uri="{28A0092B-C50C-407E-A947-70E740481C1C}">
                        <a14:useLocalDpi xmlns:a14="http://schemas.microsoft.com/office/drawing/2010/main" val="0"/>
                      </a:ext>
                    </a:extLst>
                  </a:blip>
                  <a:stretch>
                    <a:fillRect/>
                  </a:stretch>
                </pic:blipFill>
                <pic:spPr>
                  <a:xfrm>
                    <a:off x="0" y="0"/>
                    <a:ext cx="450850" cy="1069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t>DHHS in 2015-16</w:t>
    </w:r>
    <w:r>
      <w:fldChar w:fldCharType="begin"/>
    </w:r>
    <w:r>
      <w:instrText xml:space="preserve"> STYLEREF  "Heading 1"  \* MERGEFORMAT </w:instrText>
    </w:r>
    <w:r>
      <w:rPr>
        <w:noProof/>
      </w:rPr>
      <w:fldChar w:fldCharType="end"/>
    </w:r>
  </w:p>
  <w:p w:rsidR="00017915" w:rsidRPr="00EF352F" w:rsidRDefault="00017915" w:rsidP="00C47A6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5" w:rsidRPr="00EF352F" w:rsidRDefault="00017915" w:rsidP="00AD23BA">
    <w:pPr>
      <w:pStyle w:val="Header"/>
      <w:tabs>
        <w:tab w:val="right" w:pos="8505"/>
      </w:tabs>
      <w:jc w:val="right"/>
    </w:pPr>
    <w:r>
      <w:rPr>
        <w:noProof/>
        <w:lang w:eastAsia="en-AU"/>
      </w:rPr>
      <w:drawing>
        <wp:anchor distT="0" distB="0" distL="114300" distR="114300" simplePos="0" relativeHeight="251691008" behindDoc="1" locked="0" layoutInCell="1" allowOverlap="1" wp14:anchorId="26D492BD" wp14:editId="440E141B">
          <wp:simplePos x="0" y="0"/>
          <wp:positionH relativeFrom="page">
            <wp:posOffset>7098665</wp:posOffset>
          </wp:positionH>
          <wp:positionV relativeFrom="paragraph">
            <wp:posOffset>-448945</wp:posOffset>
          </wp:positionV>
          <wp:extent cx="449580" cy="1069149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9580" cy="10691495"/>
                  </a:xfrm>
                  <a:prstGeom prst="rect">
                    <a:avLst/>
                  </a:prstGeom>
                </pic:spPr>
              </pic:pic>
            </a:graphicData>
          </a:graphic>
          <wp14:sizeRelH relativeFrom="margin">
            <wp14:pctWidth>0</wp14:pctWidth>
          </wp14:sizeRelH>
          <wp14:sizeRelV relativeFrom="margin">
            <wp14:pctHeight>0</wp14:pctHeight>
          </wp14:sizeRelV>
        </wp:anchor>
      </w:drawing>
    </w:r>
    <w:r>
      <w:t>DHHS in 2015-16</w:t>
    </w:r>
    <w:r>
      <w:fldChar w:fldCharType="begin"/>
    </w:r>
    <w:r>
      <w:instrText xml:space="preserve"> STYLEREF  "Heading 1"  \* MERGEFORMAT </w:instrText>
    </w:r>
    <w:r>
      <w:rPr>
        <w:noProof/>
      </w:rPr>
      <w:fldChar w:fldCharType="end"/>
    </w:r>
  </w:p>
  <w:p w:rsidR="00017915" w:rsidRPr="00EF352F" w:rsidRDefault="00017915" w:rsidP="00B960B2">
    <w:pPr>
      <w:pStyle w:val="Header"/>
      <w:tabs>
        <w:tab w:val="right" w:pos="850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C75" w:rsidRPr="00F10F6B" w:rsidRDefault="00EC7C75" w:rsidP="00C73107">
    <w:pPr>
      <w:pStyle w:val="Header"/>
      <w:tabs>
        <w:tab w:val="clear" w:pos="4513"/>
        <w:tab w:val="clear" w:pos="9026"/>
        <w:tab w:val="left" w:pos="2229"/>
      </w:tabs>
    </w:pPr>
    <w:r w:rsidRPr="00F10F6B">
      <w:t xml:space="preserve"> </w:t>
    </w:r>
    <w:r>
      <w:fldChar w:fldCharType="begin"/>
    </w:r>
    <w:r>
      <w:instrText xml:space="preserve"> STYLEREF  "Heading 1"  \* MERGEFORMAT </w:instrText>
    </w:r>
    <w:r>
      <w:rPr>
        <w:noProof/>
      </w:rPr>
      <w:fldChar w:fldCharType="end"/>
    </w:r>
    <w:r w:rsidRPr="00F10F6B">
      <w:tab/>
    </w:r>
  </w:p>
  <w:p w:rsidR="00EC7C75" w:rsidRDefault="00EC7C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01E" w:rsidRDefault="007920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44" w:rsidRPr="00F10F6B" w:rsidRDefault="00035944" w:rsidP="00035944">
    <w:pPr>
      <w:pStyle w:val="Header"/>
      <w:tabs>
        <w:tab w:val="clear" w:pos="4513"/>
        <w:tab w:val="clear" w:pos="9026"/>
        <w:tab w:val="left" w:pos="2229"/>
      </w:tabs>
    </w:pPr>
    <w:r>
      <w:fldChar w:fldCharType="begin"/>
    </w:r>
    <w:r>
      <w:instrText xml:space="preserve"> STYLEREF  "Heading 1"  \* MERGEFORMAT </w:instrText>
    </w:r>
    <w:r>
      <w:rPr>
        <w:noProof/>
      </w:rPr>
      <w:fldChar w:fldCharType="end"/>
    </w:r>
  </w:p>
  <w:p w:rsidR="009A1212" w:rsidRDefault="009A12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212" w:rsidRDefault="009A1212" w:rsidP="009A1212">
    <w:pPr>
      <w:pStyle w:val="Header"/>
      <w:tabs>
        <w:tab w:val="clear" w:pos="4513"/>
        <w:tab w:val="clear" w:pos="9026"/>
        <w:tab w:val="left" w:pos="2229"/>
      </w:tabs>
    </w:pPr>
    <w:r w:rsidRPr="00F10F6B">
      <w:t xml:space="preserve"> </w:t>
    </w:r>
    <w:r>
      <w:fldChar w:fldCharType="begin"/>
    </w:r>
    <w:r>
      <w:instrText xml:space="preserve"> STYLEREF  "Heading 1"  \* MERGEFORMAT </w:instrTex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66" w:rsidRDefault="00452C66" w:rsidP="009A1212">
    <w:pPr>
      <w:pStyle w:val="Header"/>
      <w:tabs>
        <w:tab w:val="clear" w:pos="4513"/>
        <w:tab w:val="clear" w:pos="9026"/>
        <w:tab w:val="left" w:pos="2229"/>
      </w:tabs>
    </w:pPr>
    <w:r w:rsidRPr="00F10F6B">
      <w:t xml:space="preserve"> </w:t>
    </w:r>
    <w:r>
      <w:fldChar w:fldCharType="begin"/>
    </w:r>
    <w:r>
      <w:instrText xml:space="preserve"> STYLEREF  "Heading 1"  \* MERGEFORMAT </w:instrTex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44" w:rsidRPr="00F10F6B" w:rsidRDefault="00035944" w:rsidP="00035944">
    <w:pPr>
      <w:pStyle w:val="Header"/>
      <w:tabs>
        <w:tab w:val="clear" w:pos="4513"/>
        <w:tab w:val="clear" w:pos="9026"/>
        <w:tab w:val="left" w:pos="2229"/>
      </w:tabs>
    </w:pPr>
    <w:r>
      <w:fldChar w:fldCharType="begin"/>
    </w:r>
    <w:r>
      <w:instrText xml:space="preserve"> STYLEREF  "Heading 1"  \* MERGEFORMAT </w:instrText>
    </w:r>
    <w:r>
      <w:rPr>
        <w:noProof/>
      </w:rPr>
      <w:fldChar w:fldCharType="end"/>
    </w:r>
  </w:p>
  <w:p w:rsidR="00035944" w:rsidRDefault="00035944">
    <w:pPr>
      <w:pStyle w:val="Header"/>
    </w:pPr>
    <w:r>
      <w:rPr>
        <w:noProof/>
        <w:lang w:eastAsia="en-AU"/>
      </w:rPr>
      <w:drawing>
        <wp:anchor distT="0" distB="0" distL="114300" distR="114300" simplePos="0" relativeHeight="251678720" behindDoc="1" locked="0" layoutInCell="1" allowOverlap="1" wp14:anchorId="7BA9C2A0" wp14:editId="3A9C772D">
          <wp:simplePos x="0" y="0"/>
          <wp:positionH relativeFrom="page">
            <wp:posOffset>-5830</wp:posOffset>
          </wp:positionH>
          <wp:positionV relativeFrom="page">
            <wp:posOffset>-6350</wp:posOffset>
          </wp:positionV>
          <wp:extent cx="450850" cy="10699115"/>
          <wp:effectExtent l="0" t="0" r="635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4.jpg"/>
                  <pic:cNvPicPr/>
                </pic:nvPicPr>
                <pic:blipFill>
                  <a:blip r:embed="rId1">
                    <a:extLst>
                      <a:ext uri="{28A0092B-C50C-407E-A947-70E740481C1C}">
                        <a14:useLocalDpi xmlns:a14="http://schemas.microsoft.com/office/drawing/2010/main" val="0"/>
                      </a:ext>
                    </a:extLst>
                  </a:blip>
                  <a:stretch>
                    <a:fillRect/>
                  </a:stretch>
                </pic:blipFill>
                <pic:spPr>
                  <a:xfrm>
                    <a:off x="0" y="0"/>
                    <a:ext cx="450850" cy="1069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44" w:rsidRDefault="00452C66" w:rsidP="00AD23BA">
    <w:pPr>
      <w:pStyle w:val="Header"/>
      <w:tabs>
        <w:tab w:val="clear" w:pos="4513"/>
        <w:tab w:val="clear" w:pos="9026"/>
        <w:tab w:val="left" w:pos="2229"/>
      </w:tabs>
      <w:spacing w:after="120"/>
      <w:jc w:val="right"/>
    </w:pPr>
    <w:r>
      <w:rPr>
        <w:noProof/>
        <w:lang w:eastAsia="en-AU"/>
      </w:rPr>
      <w:drawing>
        <wp:anchor distT="0" distB="0" distL="114300" distR="114300" simplePos="0" relativeHeight="251686912" behindDoc="1" locked="0" layoutInCell="1" allowOverlap="1" wp14:anchorId="29B07E8B" wp14:editId="72F372D5">
          <wp:simplePos x="0" y="0"/>
          <wp:positionH relativeFrom="page">
            <wp:posOffset>7086714</wp:posOffset>
          </wp:positionH>
          <wp:positionV relativeFrom="paragraph">
            <wp:posOffset>-427355</wp:posOffset>
          </wp:positionV>
          <wp:extent cx="449580" cy="1069149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9580" cy="10691495"/>
                  </a:xfrm>
                  <a:prstGeom prst="rect">
                    <a:avLst/>
                  </a:prstGeom>
                </pic:spPr>
              </pic:pic>
            </a:graphicData>
          </a:graphic>
          <wp14:sizeRelH relativeFrom="margin">
            <wp14:pctWidth>0</wp14:pctWidth>
          </wp14:sizeRelH>
          <wp14:sizeRelV relativeFrom="margin">
            <wp14:pctHeight>0</wp14:pctHeight>
          </wp14:sizeRelV>
        </wp:anchor>
      </w:drawing>
    </w:r>
    <w:fldSimple w:instr=" STYLEREF  &quot;Heading 1&quot;  \* MERGEFORMAT ">
      <w:r w:rsidR="0079201E">
        <w:rPr>
          <w:noProof/>
        </w:rPr>
        <w:t>DHHS Overview</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C75" w:rsidRPr="00F10F6B" w:rsidRDefault="00EC7C75" w:rsidP="00F10F6B">
    <w:pPr>
      <w:pStyle w:val="Header"/>
      <w:tabs>
        <w:tab w:val="clear" w:pos="4513"/>
        <w:tab w:val="clear" w:pos="9026"/>
        <w:tab w:val="left" w:pos="2229"/>
      </w:tabs>
    </w:pPr>
    <w:r>
      <w:rPr>
        <w:noProof/>
        <w:lang w:eastAsia="en-AU"/>
      </w:rPr>
      <w:drawing>
        <wp:anchor distT="0" distB="0" distL="114300" distR="114300" simplePos="0" relativeHeight="251671552" behindDoc="1" locked="0" layoutInCell="1" allowOverlap="1" wp14:anchorId="2E654FD6" wp14:editId="7FB4A22D">
          <wp:simplePos x="0" y="0"/>
          <wp:positionH relativeFrom="page">
            <wp:posOffset>8560</wp:posOffset>
          </wp:positionH>
          <wp:positionV relativeFrom="page">
            <wp:posOffset>8255</wp:posOffset>
          </wp:positionV>
          <wp:extent cx="450850" cy="10699115"/>
          <wp:effectExtent l="0" t="0" r="635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4.jpg"/>
                  <pic:cNvPicPr/>
                </pic:nvPicPr>
                <pic:blipFill>
                  <a:blip r:embed="rId1">
                    <a:extLst>
                      <a:ext uri="{28A0092B-C50C-407E-A947-70E740481C1C}">
                        <a14:useLocalDpi xmlns:a14="http://schemas.microsoft.com/office/drawing/2010/main" val="0"/>
                      </a:ext>
                    </a:extLst>
                  </a:blip>
                  <a:stretch>
                    <a:fillRect/>
                  </a:stretch>
                </pic:blipFill>
                <pic:spPr>
                  <a:xfrm>
                    <a:off x="0" y="0"/>
                    <a:ext cx="450850" cy="1069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bookmarkStart w:id="13" w:name="OLE_LINK1"/>
    <w:r>
      <w:fldChar w:fldCharType="begin"/>
    </w:r>
    <w:r>
      <w:instrText xml:space="preserve"> STYLEREF  "Heading 1"  \* MERGEFORMAT </w:instrText>
    </w:r>
    <w:r>
      <w:fldChar w:fldCharType="separate"/>
    </w:r>
    <w:r w:rsidR="0079201E">
      <w:rPr>
        <w:noProof/>
      </w:rPr>
      <w:t>DHHS Overview</w:t>
    </w:r>
    <w:r>
      <w:rPr>
        <w:noProof/>
      </w:rPr>
      <w:fldChar w:fldCharType="end"/>
    </w:r>
  </w:p>
  <w:bookmarkEnd w:id="13"/>
  <w:p w:rsidR="00EC7C75" w:rsidRPr="00EF352F" w:rsidRDefault="00EC7C75" w:rsidP="00C47A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73C6A44"/>
    <w:lvl w:ilvl="0">
      <w:start w:val="1"/>
      <w:numFmt w:val="decimal"/>
      <w:lvlText w:val="%1"/>
      <w:lvlJc w:val="left"/>
      <w:pPr>
        <w:ind w:left="643" w:hanging="360"/>
      </w:pPr>
      <w:rPr>
        <w:rFonts w:ascii="Gill Sans MT" w:hAnsi="Gill Sans MT" w:hint="default"/>
        <w:sz w:val="16"/>
        <w:szCs w:val="16"/>
      </w:rPr>
    </w:lvl>
  </w:abstractNum>
  <w:abstractNum w:abstractNumId="1">
    <w:nsid w:val="FFFFFF88"/>
    <w:multiLevelType w:val="singleLevel"/>
    <w:tmpl w:val="E6B44DB8"/>
    <w:lvl w:ilvl="0">
      <w:start w:val="1"/>
      <w:numFmt w:val="decimal"/>
      <w:pStyle w:val="ListNumber"/>
      <w:lvlText w:val="%1."/>
      <w:lvlJc w:val="left"/>
      <w:pPr>
        <w:tabs>
          <w:tab w:val="num" w:pos="360"/>
        </w:tabs>
        <w:ind w:left="360" w:hanging="360"/>
      </w:pPr>
    </w:lvl>
  </w:abstractNum>
  <w:abstractNum w:abstractNumId="2">
    <w:nsid w:val="FFFFFF89"/>
    <w:multiLevelType w:val="singleLevel"/>
    <w:tmpl w:val="E446E6A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DC5411"/>
    <w:multiLevelType w:val="hybridMultilevel"/>
    <w:tmpl w:val="90024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059A204B"/>
    <w:multiLevelType w:val="hybridMultilevel"/>
    <w:tmpl w:val="30F8274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CB3D88"/>
    <w:multiLevelType w:val="hybridMultilevel"/>
    <w:tmpl w:val="A2620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97699A"/>
    <w:multiLevelType w:val="hybridMultilevel"/>
    <w:tmpl w:val="21262F78"/>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8B41DA2"/>
    <w:multiLevelType w:val="hybridMultilevel"/>
    <w:tmpl w:val="EB40A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143711"/>
    <w:multiLevelType w:val="hybridMultilevel"/>
    <w:tmpl w:val="408E0466"/>
    <w:lvl w:ilvl="0" w:tplc="462A396A">
      <w:start w:val="1"/>
      <w:numFmt w:val="bullet"/>
      <w:pStyle w:val="Style5"/>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0C79390A"/>
    <w:multiLevelType w:val="hybridMultilevel"/>
    <w:tmpl w:val="9B7ED7E0"/>
    <w:lvl w:ilvl="0" w:tplc="3CF4E1DA">
      <w:start w:val="1"/>
      <w:numFmt w:val="decimal"/>
      <w:lvlText w:val="%1"/>
      <w:lvlJc w:val="left"/>
      <w:pPr>
        <w:ind w:left="720" w:hanging="360"/>
      </w:pPr>
      <w:rPr>
        <w:rFonts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C8870CE"/>
    <w:multiLevelType w:val="multilevel"/>
    <w:tmpl w:val="46BE542C"/>
    <w:lvl w:ilvl="0">
      <w:start w:val="1"/>
      <w:numFmt w:val="decimal"/>
      <w:pStyle w:val="Responselevel1"/>
      <w:lvlText w:val="%1"/>
      <w:lvlJc w:val="left"/>
      <w:pPr>
        <w:tabs>
          <w:tab w:val="num" w:pos="567"/>
        </w:tabs>
        <w:ind w:left="567" w:hanging="567"/>
      </w:pPr>
      <w:rPr>
        <w:rFonts w:ascii="Gill Sans MT" w:eastAsia="Times New Roman" w:hAnsi="Gill Sans MT" w:cs="Times New Roman"/>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Arial" w:hAnsi="Arial"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1">
    <w:nsid w:val="0F073936"/>
    <w:multiLevelType w:val="hybridMultilevel"/>
    <w:tmpl w:val="697A0C3C"/>
    <w:lvl w:ilvl="0" w:tplc="04CAFE68">
      <w:numFmt w:val="bullet"/>
      <w:lvlText w:val="•"/>
      <w:lvlJc w:val="left"/>
      <w:pPr>
        <w:ind w:left="1440" w:hanging="720"/>
      </w:pPr>
      <w:rPr>
        <w:rFonts w:ascii="Calibri" w:eastAsia="Times New Roman" w:hAnsi="Calibri" w:cs="Times New Roman" w:hint="default"/>
      </w:rPr>
    </w:lvl>
    <w:lvl w:ilvl="1" w:tplc="0C090003">
      <w:start w:val="1"/>
      <w:numFmt w:val="bullet"/>
      <w:lvlText w:val="o"/>
      <w:lvlJc w:val="left"/>
      <w:pPr>
        <w:ind w:left="1800" w:hanging="360"/>
      </w:pPr>
      <w:rPr>
        <w:rFonts w:ascii="Courier New" w:hAnsi="Courier New" w:cs="Times New Roman"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Times New Roman"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Times New Roman" w:hint="default"/>
      </w:rPr>
    </w:lvl>
    <w:lvl w:ilvl="8" w:tplc="0C090005">
      <w:start w:val="1"/>
      <w:numFmt w:val="bullet"/>
      <w:lvlText w:val=""/>
      <w:lvlJc w:val="left"/>
      <w:pPr>
        <w:ind w:left="6840" w:hanging="360"/>
      </w:pPr>
      <w:rPr>
        <w:rFonts w:ascii="Wingdings" w:hAnsi="Wingdings" w:hint="default"/>
      </w:rPr>
    </w:lvl>
  </w:abstractNum>
  <w:abstractNum w:abstractNumId="12">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7141FA3"/>
    <w:multiLevelType w:val="hybridMultilevel"/>
    <w:tmpl w:val="BD28555C"/>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BE55534"/>
    <w:multiLevelType w:val="multilevel"/>
    <w:tmpl w:val="2BE2F1E8"/>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5">
    <w:nsid w:val="1C2142EB"/>
    <w:multiLevelType w:val="hybridMultilevel"/>
    <w:tmpl w:val="6360C8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CB50C6D"/>
    <w:multiLevelType w:val="hybridMultilevel"/>
    <w:tmpl w:val="E5BE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3F3040"/>
    <w:multiLevelType w:val="hybridMultilevel"/>
    <w:tmpl w:val="ACA23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4F303F"/>
    <w:multiLevelType w:val="hybridMultilevel"/>
    <w:tmpl w:val="615A2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2CA45CA8"/>
    <w:multiLevelType w:val="hybridMultilevel"/>
    <w:tmpl w:val="377E36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nsid w:val="2DE018D7"/>
    <w:multiLevelType w:val="hybridMultilevel"/>
    <w:tmpl w:val="77E031CC"/>
    <w:lvl w:ilvl="0" w:tplc="D786D098">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E9A7353"/>
    <w:multiLevelType w:val="hybridMultilevel"/>
    <w:tmpl w:val="0436D458"/>
    <w:lvl w:ilvl="0" w:tplc="B20CF6EE">
      <w:start w:val="1"/>
      <w:numFmt w:val="decimal"/>
      <w:lvlText w:val="%1"/>
      <w:lvlJc w:val="left"/>
      <w:pPr>
        <w:ind w:left="862" w:hanging="720"/>
      </w:pPr>
      <w:rPr>
        <w:rFonts w:ascii="GillSans Light" w:hAnsi="GillSans Light" w:hint="default"/>
        <w:b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70910C0"/>
    <w:multiLevelType w:val="hybridMultilevel"/>
    <w:tmpl w:val="83BC6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7C41409"/>
    <w:multiLevelType w:val="hybridMultilevel"/>
    <w:tmpl w:val="C322A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9F4E8F"/>
    <w:multiLevelType w:val="hybridMultilevel"/>
    <w:tmpl w:val="04E04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D6C214A"/>
    <w:multiLevelType w:val="hybridMultilevel"/>
    <w:tmpl w:val="936E5188"/>
    <w:lvl w:ilvl="0" w:tplc="510485B6">
      <w:start w:val="1"/>
      <w:numFmt w:val="bullet"/>
      <w:lvlText w:val="o"/>
      <w:lvlJc w:val="left"/>
      <w:pPr>
        <w:ind w:left="1287" w:hanging="360"/>
      </w:pPr>
      <w:rPr>
        <w:rFonts w:ascii="Courier New" w:hAnsi="Courier New" w:cs="Courier New" w:hint="default"/>
      </w:rPr>
    </w:lvl>
    <w:lvl w:ilvl="1" w:tplc="0C090019" w:tentative="1">
      <w:start w:val="1"/>
      <w:numFmt w:val="bullet"/>
      <w:lvlText w:val="o"/>
      <w:lvlJc w:val="left"/>
      <w:pPr>
        <w:ind w:left="2007" w:hanging="360"/>
      </w:pPr>
      <w:rPr>
        <w:rFonts w:ascii="Courier New" w:hAnsi="Courier New" w:cs="Courier New" w:hint="default"/>
      </w:rPr>
    </w:lvl>
    <w:lvl w:ilvl="2" w:tplc="0C09001B" w:tentative="1">
      <w:start w:val="1"/>
      <w:numFmt w:val="bullet"/>
      <w:lvlText w:val=""/>
      <w:lvlJc w:val="left"/>
      <w:pPr>
        <w:ind w:left="2727" w:hanging="360"/>
      </w:pPr>
      <w:rPr>
        <w:rFonts w:ascii="Wingdings" w:hAnsi="Wingdings" w:hint="default"/>
      </w:rPr>
    </w:lvl>
    <w:lvl w:ilvl="3" w:tplc="0C09000F" w:tentative="1">
      <w:start w:val="1"/>
      <w:numFmt w:val="bullet"/>
      <w:lvlText w:val=""/>
      <w:lvlJc w:val="left"/>
      <w:pPr>
        <w:ind w:left="3447" w:hanging="360"/>
      </w:pPr>
      <w:rPr>
        <w:rFonts w:ascii="Symbol" w:hAnsi="Symbol" w:hint="default"/>
      </w:rPr>
    </w:lvl>
    <w:lvl w:ilvl="4" w:tplc="0C090019" w:tentative="1">
      <w:start w:val="1"/>
      <w:numFmt w:val="bullet"/>
      <w:lvlText w:val="o"/>
      <w:lvlJc w:val="left"/>
      <w:pPr>
        <w:ind w:left="4167" w:hanging="360"/>
      </w:pPr>
      <w:rPr>
        <w:rFonts w:ascii="Courier New" w:hAnsi="Courier New" w:cs="Courier New" w:hint="default"/>
      </w:rPr>
    </w:lvl>
    <w:lvl w:ilvl="5" w:tplc="0C09001B" w:tentative="1">
      <w:start w:val="1"/>
      <w:numFmt w:val="bullet"/>
      <w:lvlText w:val=""/>
      <w:lvlJc w:val="left"/>
      <w:pPr>
        <w:ind w:left="4887" w:hanging="360"/>
      </w:pPr>
      <w:rPr>
        <w:rFonts w:ascii="Wingdings" w:hAnsi="Wingdings" w:hint="default"/>
      </w:rPr>
    </w:lvl>
    <w:lvl w:ilvl="6" w:tplc="0C09000F" w:tentative="1">
      <w:start w:val="1"/>
      <w:numFmt w:val="bullet"/>
      <w:lvlText w:val=""/>
      <w:lvlJc w:val="left"/>
      <w:pPr>
        <w:ind w:left="5607" w:hanging="360"/>
      </w:pPr>
      <w:rPr>
        <w:rFonts w:ascii="Symbol" w:hAnsi="Symbol" w:hint="default"/>
      </w:rPr>
    </w:lvl>
    <w:lvl w:ilvl="7" w:tplc="0C090019" w:tentative="1">
      <w:start w:val="1"/>
      <w:numFmt w:val="bullet"/>
      <w:lvlText w:val="o"/>
      <w:lvlJc w:val="left"/>
      <w:pPr>
        <w:ind w:left="6327" w:hanging="360"/>
      </w:pPr>
      <w:rPr>
        <w:rFonts w:ascii="Courier New" w:hAnsi="Courier New" w:cs="Courier New" w:hint="default"/>
      </w:rPr>
    </w:lvl>
    <w:lvl w:ilvl="8" w:tplc="0C09001B" w:tentative="1">
      <w:start w:val="1"/>
      <w:numFmt w:val="bullet"/>
      <w:lvlText w:val=""/>
      <w:lvlJc w:val="left"/>
      <w:pPr>
        <w:ind w:left="7047" w:hanging="360"/>
      </w:pPr>
      <w:rPr>
        <w:rFonts w:ascii="Wingdings" w:hAnsi="Wingdings" w:hint="default"/>
      </w:rPr>
    </w:lvl>
  </w:abstractNum>
  <w:abstractNum w:abstractNumId="26">
    <w:nsid w:val="431A755A"/>
    <w:multiLevelType w:val="hybridMultilevel"/>
    <w:tmpl w:val="AF0CD90E"/>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39F60C4"/>
    <w:multiLevelType w:val="hybridMultilevel"/>
    <w:tmpl w:val="0ED45B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nsid w:val="46502E71"/>
    <w:multiLevelType w:val="multilevel"/>
    <w:tmpl w:val="E862B1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C96593"/>
    <w:multiLevelType w:val="hybridMultilevel"/>
    <w:tmpl w:val="BD00410E"/>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2FE1F2B"/>
    <w:multiLevelType w:val="hybridMultilevel"/>
    <w:tmpl w:val="DC8C7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605A6D"/>
    <w:multiLevelType w:val="hybridMultilevel"/>
    <w:tmpl w:val="A49C7CAA"/>
    <w:lvl w:ilvl="0" w:tplc="3D00B8EC">
      <w:start w:val="1"/>
      <w:numFmt w:val="decimal"/>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32">
    <w:nsid w:val="6BE27F87"/>
    <w:multiLevelType w:val="hybridMultilevel"/>
    <w:tmpl w:val="9A064228"/>
    <w:lvl w:ilvl="0" w:tplc="C8B45B4A">
      <w:start w:val="2014"/>
      <w:numFmt w:val="bullet"/>
      <w:lvlText w:val="-"/>
      <w:lvlJc w:val="left"/>
      <w:pPr>
        <w:ind w:left="720" w:hanging="360"/>
      </w:pPr>
      <w:rPr>
        <w:rFonts w:ascii="Gill Sans MT" w:eastAsia="Times New Roman"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E602C26"/>
    <w:multiLevelType w:val="hybridMultilevel"/>
    <w:tmpl w:val="DD3E360E"/>
    <w:lvl w:ilvl="0" w:tplc="1932E0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70B656EC"/>
    <w:multiLevelType w:val="multilevel"/>
    <w:tmpl w:val="FEB02F72"/>
    <w:lvl w:ilvl="0">
      <w:start w:val="1"/>
      <w:numFmt w:val="bullet"/>
      <w:pStyle w:val="BulletedListLevel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35">
    <w:nsid w:val="7101082F"/>
    <w:multiLevelType w:val="hybridMultilevel"/>
    <w:tmpl w:val="4C5A7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4B80756"/>
    <w:multiLevelType w:val="hybridMultilevel"/>
    <w:tmpl w:val="BD28555C"/>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6B96F58"/>
    <w:multiLevelType w:val="hybridMultilevel"/>
    <w:tmpl w:val="C046C790"/>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83440A9"/>
    <w:multiLevelType w:val="hybridMultilevel"/>
    <w:tmpl w:val="9B046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8FA5436"/>
    <w:multiLevelType w:val="hybridMultilevel"/>
    <w:tmpl w:val="F774E4A0"/>
    <w:lvl w:ilvl="0" w:tplc="CFFA63E0">
      <w:start w:val="1"/>
      <w:numFmt w:val="decimal"/>
      <w:pStyle w:val="Notes"/>
      <w:lvlText w:val="%1."/>
      <w:lvlJc w:val="left"/>
      <w:pPr>
        <w:tabs>
          <w:tab w:val="num" w:pos="283"/>
        </w:tabs>
        <w:ind w:left="283"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C09373A"/>
    <w:multiLevelType w:val="hybridMultilevel"/>
    <w:tmpl w:val="D44E331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nsid w:val="7ED037E2"/>
    <w:multiLevelType w:val="multilevel"/>
    <w:tmpl w:val="C566636C"/>
    <w:lvl w:ilvl="0">
      <w:start w:val="1"/>
      <w:numFmt w:val="bullet"/>
      <w:lvlText w:val=""/>
      <w:lvlJc w:val="left"/>
      <w:pPr>
        <w:tabs>
          <w:tab w:val="num" w:pos="567"/>
        </w:tabs>
        <w:ind w:left="567" w:hanging="567"/>
      </w:pPr>
      <w:rPr>
        <w:rFonts w:ascii="Symbol" w:hAnsi="Symbol" w:hint="default"/>
        <w:i w:val="0"/>
      </w:rPr>
    </w:lvl>
    <w:lvl w:ilvl="1">
      <w:start w:val="1"/>
      <w:numFmt w:val="bullet"/>
      <w:lvlText w:val=""/>
      <w:lvlJc w:val="left"/>
      <w:pPr>
        <w:tabs>
          <w:tab w:val="num" w:pos="1134"/>
        </w:tabs>
        <w:ind w:left="1134" w:hanging="567"/>
      </w:pPr>
      <w:rPr>
        <w:rFonts w:ascii="Symbol" w:hAnsi="Symbol"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num w:numId="1">
    <w:abstractNumId w:val="12"/>
  </w:num>
  <w:num w:numId="2">
    <w:abstractNumId w:val="12"/>
  </w:num>
  <w:num w:numId="3">
    <w:abstractNumId w:val="37"/>
  </w:num>
  <w:num w:numId="4">
    <w:abstractNumId w:val="10"/>
  </w:num>
  <w:num w:numId="5">
    <w:abstractNumId w:val="13"/>
  </w:num>
  <w:num w:numId="6">
    <w:abstractNumId w:val="24"/>
  </w:num>
  <w:num w:numId="7">
    <w:abstractNumId w:val="30"/>
  </w:num>
  <w:num w:numId="8">
    <w:abstractNumId w:val="21"/>
  </w:num>
  <w:num w:numId="9">
    <w:abstractNumId w:val="9"/>
  </w:num>
  <w:num w:numId="10">
    <w:abstractNumId w:val="40"/>
  </w:num>
  <w:num w:numId="11">
    <w:abstractNumId w:val="14"/>
  </w:num>
  <w:num w:numId="12">
    <w:abstractNumId w:val="41"/>
  </w:num>
  <w:num w:numId="13">
    <w:abstractNumId w:val="20"/>
  </w:num>
  <w:num w:numId="14">
    <w:abstractNumId w:val="2"/>
  </w:num>
  <w:num w:numId="15">
    <w:abstractNumId w:val="28"/>
  </w:num>
  <w:num w:numId="16">
    <w:abstractNumId w:val="8"/>
  </w:num>
  <w:num w:numId="17">
    <w:abstractNumId w:val="25"/>
  </w:num>
  <w:num w:numId="18">
    <w:abstractNumId w:val="35"/>
  </w:num>
  <w:num w:numId="19">
    <w:abstractNumId w:val="6"/>
  </w:num>
  <w:num w:numId="20">
    <w:abstractNumId w:val="31"/>
  </w:num>
  <w:num w:numId="21">
    <w:abstractNumId w:val="1"/>
  </w:num>
  <w:num w:numId="22">
    <w:abstractNumId w:val="15"/>
  </w:num>
  <w:num w:numId="23">
    <w:abstractNumId w:val="4"/>
  </w:num>
  <w:num w:numId="24">
    <w:abstractNumId w:val="23"/>
  </w:num>
  <w:num w:numId="25">
    <w:abstractNumId w:val="38"/>
  </w:num>
  <w:num w:numId="26">
    <w:abstractNumId w:val="11"/>
  </w:num>
  <w:num w:numId="27">
    <w:abstractNumId w:val="18"/>
  </w:num>
  <w:num w:numId="28">
    <w:abstractNumId w:val="8"/>
  </w:num>
  <w:num w:numId="29">
    <w:abstractNumId w:val="3"/>
  </w:num>
  <w:num w:numId="30">
    <w:abstractNumId w:val="19"/>
  </w:num>
  <w:num w:numId="31">
    <w:abstractNumId w:val="27"/>
  </w:num>
  <w:num w:numId="32">
    <w:abstractNumId w:val="3"/>
  </w:num>
  <w:num w:numId="33">
    <w:abstractNumId w:val="5"/>
  </w:num>
  <w:num w:numId="34">
    <w:abstractNumId w:val="16"/>
  </w:num>
  <w:num w:numId="35">
    <w:abstractNumId w:val="29"/>
  </w:num>
  <w:num w:numId="36">
    <w:abstractNumId w:val="0"/>
  </w:num>
  <w:num w:numId="37">
    <w:abstractNumId w:val="32"/>
  </w:num>
  <w:num w:numId="38">
    <w:abstractNumId w:val="39"/>
  </w:num>
  <w:num w:numId="39">
    <w:abstractNumId w:val="26"/>
  </w:num>
  <w:num w:numId="40">
    <w:abstractNumId w:val="17"/>
  </w:num>
  <w:num w:numId="41">
    <w:abstractNumId w:val="34"/>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33"/>
  </w:num>
  <w:num w:numId="45">
    <w:abstractNumId w:val="22"/>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C3"/>
    <w:rsid w:val="00003BB8"/>
    <w:rsid w:val="0000577F"/>
    <w:rsid w:val="00013C89"/>
    <w:rsid w:val="000177BF"/>
    <w:rsid w:val="00017915"/>
    <w:rsid w:val="0002159C"/>
    <w:rsid w:val="00035944"/>
    <w:rsid w:val="00035A1C"/>
    <w:rsid w:val="00041080"/>
    <w:rsid w:val="000609DA"/>
    <w:rsid w:val="00061E2F"/>
    <w:rsid w:val="00065E95"/>
    <w:rsid w:val="00070FA1"/>
    <w:rsid w:val="00074654"/>
    <w:rsid w:val="0007683D"/>
    <w:rsid w:val="000777FB"/>
    <w:rsid w:val="000942FA"/>
    <w:rsid w:val="0009670D"/>
    <w:rsid w:val="000A6E0E"/>
    <w:rsid w:val="000B4190"/>
    <w:rsid w:val="000D1B07"/>
    <w:rsid w:val="000F4E38"/>
    <w:rsid w:val="000F54B0"/>
    <w:rsid w:val="000F7A1D"/>
    <w:rsid w:val="00107045"/>
    <w:rsid w:val="0012106E"/>
    <w:rsid w:val="00147AD0"/>
    <w:rsid w:val="00162F28"/>
    <w:rsid w:val="00175E79"/>
    <w:rsid w:val="00175FB3"/>
    <w:rsid w:val="001812FB"/>
    <w:rsid w:val="001C4341"/>
    <w:rsid w:val="001D0B41"/>
    <w:rsid w:val="001D1E7D"/>
    <w:rsid w:val="001D436C"/>
    <w:rsid w:val="001F0745"/>
    <w:rsid w:val="001F0FE5"/>
    <w:rsid w:val="001F6029"/>
    <w:rsid w:val="001F6052"/>
    <w:rsid w:val="0020675D"/>
    <w:rsid w:val="00213019"/>
    <w:rsid w:val="002200F1"/>
    <w:rsid w:val="00240717"/>
    <w:rsid w:val="0025339A"/>
    <w:rsid w:val="00263B47"/>
    <w:rsid w:val="00266CFD"/>
    <w:rsid w:val="002767F3"/>
    <w:rsid w:val="00277671"/>
    <w:rsid w:val="00295394"/>
    <w:rsid w:val="002A6B63"/>
    <w:rsid w:val="002A765C"/>
    <w:rsid w:val="002B02E4"/>
    <w:rsid w:val="002B177A"/>
    <w:rsid w:val="002B714B"/>
    <w:rsid w:val="002C4FAB"/>
    <w:rsid w:val="002D6AD2"/>
    <w:rsid w:val="002F4BD1"/>
    <w:rsid w:val="003445DC"/>
    <w:rsid w:val="0035226A"/>
    <w:rsid w:val="003524B1"/>
    <w:rsid w:val="003541C9"/>
    <w:rsid w:val="00377863"/>
    <w:rsid w:val="00397489"/>
    <w:rsid w:val="003C2F14"/>
    <w:rsid w:val="003C54D4"/>
    <w:rsid w:val="003C6555"/>
    <w:rsid w:val="003D5696"/>
    <w:rsid w:val="003D76DB"/>
    <w:rsid w:val="003F0DBA"/>
    <w:rsid w:val="003F24F9"/>
    <w:rsid w:val="00400641"/>
    <w:rsid w:val="0041611F"/>
    <w:rsid w:val="00421E3F"/>
    <w:rsid w:val="00433B2E"/>
    <w:rsid w:val="00452C66"/>
    <w:rsid w:val="00457347"/>
    <w:rsid w:val="00462C65"/>
    <w:rsid w:val="0047241F"/>
    <w:rsid w:val="0047490D"/>
    <w:rsid w:val="00482AA0"/>
    <w:rsid w:val="00484EB1"/>
    <w:rsid w:val="0049160C"/>
    <w:rsid w:val="004937F7"/>
    <w:rsid w:val="004B134C"/>
    <w:rsid w:val="004C2198"/>
    <w:rsid w:val="004D2D98"/>
    <w:rsid w:val="004E30A3"/>
    <w:rsid w:val="00513C8F"/>
    <w:rsid w:val="005206D0"/>
    <w:rsid w:val="0053321A"/>
    <w:rsid w:val="0054734B"/>
    <w:rsid w:val="005677A3"/>
    <w:rsid w:val="00590ADE"/>
    <w:rsid w:val="005A09AF"/>
    <w:rsid w:val="005B355A"/>
    <w:rsid w:val="005C188A"/>
    <w:rsid w:val="005D2313"/>
    <w:rsid w:val="006311A2"/>
    <w:rsid w:val="00634578"/>
    <w:rsid w:val="00645297"/>
    <w:rsid w:val="00655802"/>
    <w:rsid w:val="00660002"/>
    <w:rsid w:val="006661D5"/>
    <w:rsid w:val="00691059"/>
    <w:rsid w:val="006C01E4"/>
    <w:rsid w:val="006D4A5F"/>
    <w:rsid w:val="006E067E"/>
    <w:rsid w:val="006F0524"/>
    <w:rsid w:val="00724EFE"/>
    <w:rsid w:val="007267F2"/>
    <w:rsid w:val="00736830"/>
    <w:rsid w:val="007452D6"/>
    <w:rsid w:val="00750FD6"/>
    <w:rsid w:val="00752C5E"/>
    <w:rsid w:val="007546FD"/>
    <w:rsid w:val="00772BFC"/>
    <w:rsid w:val="007803C9"/>
    <w:rsid w:val="0079201E"/>
    <w:rsid w:val="007965E7"/>
    <w:rsid w:val="007D5CF8"/>
    <w:rsid w:val="007E04D0"/>
    <w:rsid w:val="007E1FCE"/>
    <w:rsid w:val="007E45D0"/>
    <w:rsid w:val="007F6024"/>
    <w:rsid w:val="00805071"/>
    <w:rsid w:val="00810559"/>
    <w:rsid w:val="00810882"/>
    <w:rsid w:val="00812C64"/>
    <w:rsid w:val="00814687"/>
    <w:rsid w:val="00822B93"/>
    <w:rsid w:val="00835FFD"/>
    <w:rsid w:val="00844C8B"/>
    <w:rsid w:val="00846925"/>
    <w:rsid w:val="00857F4E"/>
    <w:rsid w:val="0086180A"/>
    <w:rsid w:val="00867A42"/>
    <w:rsid w:val="0088467F"/>
    <w:rsid w:val="00886D37"/>
    <w:rsid w:val="008874FF"/>
    <w:rsid w:val="0089310D"/>
    <w:rsid w:val="008B725A"/>
    <w:rsid w:val="008C0B27"/>
    <w:rsid w:val="008C3CAF"/>
    <w:rsid w:val="008C40C3"/>
    <w:rsid w:val="008D05D2"/>
    <w:rsid w:val="008E68D9"/>
    <w:rsid w:val="008F18AD"/>
    <w:rsid w:val="00900279"/>
    <w:rsid w:val="009013D6"/>
    <w:rsid w:val="00903E91"/>
    <w:rsid w:val="00912F83"/>
    <w:rsid w:val="009160CB"/>
    <w:rsid w:val="00920FF9"/>
    <w:rsid w:val="009235A6"/>
    <w:rsid w:val="0092760A"/>
    <w:rsid w:val="00932C0C"/>
    <w:rsid w:val="00932CA6"/>
    <w:rsid w:val="009337D6"/>
    <w:rsid w:val="00933AB9"/>
    <w:rsid w:val="0094172F"/>
    <w:rsid w:val="0094444B"/>
    <w:rsid w:val="0094599C"/>
    <w:rsid w:val="00951CF7"/>
    <w:rsid w:val="00952041"/>
    <w:rsid w:val="00964617"/>
    <w:rsid w:val="00981523"/>
    <w:rsid w:val="009944F2"/>
    <w:rsid w:val="009A090D"/>
    <w:rsid w:val="009A1212"/>
    <w:rsid w:val="009A75A9"/>
    <w:rsid w:val="009B1D7D"/>
    <w:rsid w:val="009B6891"/>
    <w:rsid w:val="009D7B41"/>
    <w:rsid w:val="009E2428"/>
    <w:rsid w:val="00A04751"/>
    <w:rsid w:val="00A12506"/>
    <w:rsid w:val="00A157A3"/>
    <w:rsid w:val="00A26A86"/>
    <w:rsid w:val="00A36B19"/>
    <w:rsid w:val="00A41394"/>
    <w:rsid w:val="00A4186C"/>
    <w:rsid w:val="00A423CF"/>
    <w:rsid w:val="00A505A2"/>
    <w:rsid w:val="00A54386"/>
    <w:rsid w:val="00A56884"/>
    <w:rsid w:val="00A6550B"/>
    <w:rsid w:val="00A66DE9"/>
    <w:rsid w:val="00A75A83"/>
    <w:rsid w:val="00A816C2"/>
    <w:rsid w:val="00A90575"/>
    <w:rsid w:val="00AC141D"/>
    <w:rsid w:val="00AC15A0"/>
    <w:rsid w:val="00AC7C5B"/>
    <w:rsid w:val="00AD1B86"/>
    <w:rsid w:val="00AD23BA"/>
    <w:rsid w:val="00AD7AEF"/>
    <w:rsid w:val="00AD7F2A"/>
    <w:rsid w:val="00AE5F36"/>
    <w:rsid w:val="00B134C7"/>
    <w:rsid w:val="00B15B39"/>
    <w:rsid w:val="00B166D8"/>
    <w:rsid w:val="00B226B4"/>
    <w:rsid w:val="00B312BB"/>
    <w:rsid w:val="00B40F5B"/>
    <w:rsid w:val="00B51936"/>
    <w:rsid w:val="00B666C7"/>
    <w:rsid w:val="00B70049"/>
    <w:rsid w:val="00B74122"/>
    <w:rsid w:val="00B74341"/>
    <w:rsid w:val="00B7688A"/>
    <w:rsid w:val="00B960B2"/>
    <w:rsid w:val="00BA2170"/>
    <w:rsid w:val="00BB032E"/>
    <w:rsid w:val="00BC7382"/>
    <w:rsid w:val="00BD1A43"/>
    <w:rsid w:val="00BE509B"/>
    <w:rsid w:val="00BE7188"/>
    <w:rsid w:val="00BF2D66"/>
    <w:rsid w:val="00BF749B"/>
    <w:rsid w:val="00C166D8"/>
    <w:rsid w:val="00C22E54"/>
    <w:rsid w:val="00C47A6C"/>
    <w:rsid w:val="00C51582"/>
    <w:rsid w:val="00C5198E"/>
    <w:rsid w:val="00C519C6"/>
    <w:rsid w:val="00C72D5F"/>
    <w:rsid w:val="00C73107"/>
    <w:rsid w:val="00C950ED"/>
    <w:rsid w:val="00CA04BF"/>
    <w:rsid w:val="00CA7B73"/>
    <w:rsid w:val="00CB14E9"/>
    <w:rsid w:val="00CB5DD9"/>
    <w:rsid w:val="00CC0A28"/>
    <w:rsid w:val="00CE41A2"/>
    <w:rsid w:val="00CF0BB6"/>
    <w:rsid w:val="00CF1294"/>
    <w:rsid w:val="00D066CB"/>
    <w:rsid w:val="00D112D7"/>
    <w:rsid w:val="00D12532"/>
    <w:rsid w:val="00D20B53"/>
    <w:rsid w:val="00D268D9"/>
    <w:rsid w:val="00D377CA"/>
    <w:rsid w:val="00D46EC4"/>
    <w:rsid w:val="00D47223"/>
    <w:rsid w:val="00D47CBB"/>
    <w:rsid w:val="00D60752"/>
    <w:rsid w:val="00D6520F"/>
    <w:rsid w:val="00D835BF"/>
    <w:rsid w:val="00D91FC4"/>
    <w:rsid w:val="00DA0F69"/>
    <w:rsid w:val="00DA6C92"/>
    <w:rsid w:val="00DA6D74"/>
    <w:rsid w:val="00DC0E3E"/>
    <w:rsid w:val="00DC72FA"/>
    <w:rsid w:val="00DD14A5"/>
    <w:rsid w:val="00DD219F"/>
    <w:rsid w:val="00E35AAF"/>
    <w:rsid w:val="00E35CDA"/>
    <w:rsid w:val="00E45090"/>
    <w:rsid w:val="00E4662E"/>
    <w:rsid w:val="00E51162"/>
    <w:rsid w:val="00E51710"/>
    <w:rsid w:val="00E5528E"/>
    <w:rsid w:val="00E629FB"/>
    <w:rsid w:val="00E655A7"/>
    <w:rsid w:val="00E668E5"/>
    <w:rsid w:val="00E674EC"/>
    <w:rsid w:val="00E74887"/>
    <w:rsid w:val="00E817AD"/>
    <w:rsid w:val="00EA038B"/>
    <w:rsid w:val="00EA7108"/>
    <w:rsid w:val="00EB18B9"/>
    <w:rsid w:val="00EB2A51"/>
    <w:rsid w:val="00EC7C75"/>
    <w:rsid w:val="00ED49D6"/>
    <w:rsid w:val="00ED5DCA"/>
    <w:rsid w:val="00EF5AB8"/>
    <w:rsid w:val="00F105A2"/>
    <w:rsid w:val="00F10F6B"/>
    <w:rsid w:val="00F15F9F"/>
    <w:rsid w:val="00F45219"/>
    <w:rsid w:val="00F622C9"/>
    <w:rsid w:val="00F7564F"/>
    <w:rsid w:val="00F76654"/>
    <w:rsid w:val="00F80387"/>
    <w:rsid w:val="00F8119A"/>
    <w:rsid w:val="00F930FC"/>
    <w:rsid w:val="00FA5D79"/>
    <w:rsid w:val="00FB155D"/>
    <w:rsid w:val="00FD67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List Bullet 2" w:uiPriority="0"/>
    <w:lsdException w:name="List Number 2"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F2A"/>
    <w:pPr>
      <w:tabs>
        <w:tab w:val="left" w:pos="567"/>
      </w:tabs>
      <w:spacing w:after="140" w:line="300" w:lineRule="atLeast"/>
    </w:pPr>
    <w:rPr>
      <w:rFonts w:ascii="GillSans Light" w:eastAsia="Times New Roman" w:hAnsi="GillSans Light" w:cs="Times New Roman"/>
    </w:rPr>
  </w:style>
  <w:style w:type="paragraph" w:styleId="Heading1">
    <w:name w:val="heading 1"/>
    <w:basedOn w:val="Normal"/>
    <w:next w:val="Normal"/>
    <w:link w:val="Heading1Char"/>
    <w:uiPriority w:val="9"/>
    <w:qFormat/>
    <w:rsid w:val="00F80387"/>
    <w:pPr>
      <w:keepNext/>
      <w:keepLines/>
      <w:spacing w:before="480" w:after="240"/>
      <w:outlineLvl w:val="0"/>
    </w:pPr>
    <w:rPr>
      <w:rFonts w:eastAsiaTheme="majorEastAsia" w:cstheme="majorBidi"/>
      <w:b/>
      <w:bCs/>
      <w:sz w:val="40"/>
      <w:szCs w:val="28"/>
    </w:rPr>
  </w:style>
  <w:style w:type="paragraph" w:styleId="Heading2">
    <w:name w:val="heading 2"/>
    <w:basedOn w:val="Heading1"/>
    <w:next w:val="Normal"/>
    <w:link w:val="Heading2Char"/>
    <w:uiPriority w:val="9"/>
    <w:unhideWhenUsed/>
    <w:qFormat/>
    <w:rsid w:val="00F80387"/>
    <w:pPr>
      <w:outlineLvl w:val="1"/>
    </w:pPr>
  </w:style>
  <w:style w:type="paragraph" w:styleId="Heading3">
    <w:name w:val="heading 3"/>
    <w:basedOn w:val="Normal"/>
    <w:next w:val="Normal"/>
    <w:link w:val="Heading3Char"/>
    <w:uiPriority w:val="9"/>
    <w:unhideWhenUsed/>
    <w:qFormat/>
    <w:rsid w:val="00F80387"/>
    <w:pPr>
      <w:keepNext/>
      <w:keepLines/>
      <w:spacing w:before="200" w:after="12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F8038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8C40C3"/>
    <w:pPr>
      <w:tabs>
        <w:tab w:val="clear" w:pos="567"/>
      </w:tabs>
      <w:spacing w:after="0" w:line="240" w:lineRule="auto"/>
      <w:jc w:val="right"/>
    </w:pPr>
    <w:rPr>
      <w:sz w:val="16"/>
      <w:szCs w:val="16"/>
    </w:rPr>
  </w:style>
  <w:style w:type="character" w:customStyle="1" w:styleId="FooterChar">
    <w:name w:val="Footer Char"/>
    <w:basedOn w:val="DefaultParagraphFont"/>
    <w:link w:val="Footer"/>
    <w:uiPriority w:val="99"/>
    <w:rsid w:val="008C40C3"/>
    <w:rPr>
      <w:rFonts w:ascii="Gill Sans MT" w:eastAsia="Times New Roman" w:hAnsi="Gill Sans MT" w:cs="Times New Roman"/>
      <w:sz w:val="16"/>
      <w:szCs w:val="16"/>
    </w:rPr>
  </w:style>
  <w:style w:type="paragraph" w:customStyle="1" w:styleId="BulletedListLevel1">
    <w:name w:val="Bulleted List Level 1"/>
    <w:link w:val="BulletedListLevel1Char"/>
    <w:rsid w:val="008C40C3"/>
    <w:pPr>
      <w:numPr>
        <w:numId w:val="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8C40C3"/>
    <w:rPr>
      <w:rFonts w:ascii="Gill Sans MT" w:eastAsia="Times New Roman" w:hAnsi="Gill Sans MT" w:cs="Times New Roman"/>
      <w:szCs w:val="24"/>
    </w:rPr>
  </w:style>
  <w:style w:type="paragraph" w:styleId="NormalWeb">
    <w:name w:val="Normal (Web)"/>
    <w:basedOn w:val="Normal"/>
    <w:uiPriority w:val="99"/>
    <w:semiHidden/>
    <w:unhideWhenUsed/>
    <w:rsid w:val="00A90575"/>
    <w:pPr>
      <w:tabs>
        <w:tab w:val="clear" w:pos="567"/>
      </w:tabs>
      <w:spacing w:before="100" w:beforeAutospacing="1" w:after="100" w:afterAutospacing="1" w:line="240" w:lineRule="auto"/>
    </w:pPr>
    <w:rPr>
      <w:rFonts w:ascii="Times New Roman" w:hAnsi="Times New Roman"/>
      <w:szCs w:val="24"/>
      <w:lang w:eastAsia="en-AU"/>
    </w:rPr>
  </w:style>
  <w:style w:type="character" w:styleId="Hyperlink">
    <w:name w:val="Hyperlink"/>
    <w:basedOn w:val="DefaultParagraphFont"/>
    <w:uiPriority w:val="99"/>
    <w:unhideWhenUsed/>
    <w:rsid w:val="00107045"/>
    <w:rPr>
      <w:color w:val="0000FF"/>
      <w:u w:val="single"/>
    </w:rPr>
  </w:style>
  <w:style w:type="paragraph" w:styleId="Header">
    <w:name w:val="header"/>
    <w:basedOn w:val="Normal"/>
    <w:link w:val="HeaderChar"/>
    <w:unhideWhenUsed/>
    <w:rsid w:val="00ED49D6"/>
    <w:pPr>
      <w:tabs>
        <w:tab w:val="clear" w:pos="567"/>
        <w:tab w:val="center" w:pos="4513"/>
        <w:tab w:val="right" w:pos="9026"/>
      </w:tabs>
      <w:spacing w:after="0" w:line="240" w:lineRule="auto"/>
    </w:pPr>
  </w:style>
  <w:style w:type="character" w:customStyle="1" w:styleId="HeaderChar">
    <w:name w:val="Header Char"/>
    <w:basedOn w:val="DefaultParagraphFont"/>
    <w:link w:val="Header"/>
    <w:rsid w:val="00ED49D6"/>
    <w:rPr>
      <w:rFonts w:ascii="Gill Sans MT" w:eastAsia="Times New Roman" w:hAnsi="Gill Sans MT" w:cs="Times New Roman"/>
    </w:rPr>
  </w:style>
  <w:style w:type="character" w:customStyle="1" w:styleId="Heading1Char">
    <w:name w:val="Heading 1 Char"/>
    <w:basedOn w:val="DefaultParagraphFont"/>
    <w:link w:val="Heading1"/>
    <w:uiPriority w:val="9"/>
    <w:rsid w:val="00F80387"/>
    <w:rPr>
      <w:rFonts w:ascii="GillSans Light" w:eastAsiaTheme="majorEastAsia" w:hAnsi="GillSans Light" w:cstheme="majorBidi"/>
      <w:b/>
      <w:bCs/>
      <w:sz w:val="40"/>
      <w:szCs w:val="28"/>
    </w:rPr>
  </w:style>
  <w:style w:type="character" w:customStyle="1" w:styleId="Heading2Char">
    <w:name w:val="Heading 2 Char"/>
    <w:basedOn w:val="DefaultParagraphFont"/>
    <w:link w:val="Heading2"/>
    <w:uiPriority w:val="9"/>
    <w:rsid w:val="00F80387"/>
    <w:rPr>
      <w:rFonts w:ascii="GillSans Light" w:eastAsiaTheme="majorEastAsia" w:hAnsi="GillSans Light" w:cstheme="majorBidi"/>
      <w:b/>
      <w:bCs/>
      <w:sz w:val="40"/>
      <w:szCs w:val="28"/>
    </w:rPr>
  </w:style>
  <w:style w:type="character" w:customStyle="1" w:styleId="Heading3Char">
    <w:name w:val="Heading 3 Char"/>
    <w:basedOn w:val="DefaultParagraphFont"/>
    <w:link w:val="Heading3"/>
    <w:uiPriority w:val="9"/>
    <w:rsid w:val="00F80387"/>
    <w:rPr>
      <w:rFonts w:ascii="GillSans Light" w:eastAsiaTheme="majorEastAsia" w:hAnsi="GillSans Light" w:cstheme="majorBidi"/>
      <w:b/>
      <w:bCs/>
      <w:sz w:val="28"/>
    </w:rPr>
  </w:style>
  <w:style w:type="paragraph" w:customStyle="1" w:styleId="Responselevel1">
    <w:name w:val="Response (level 1)"/>
    <w:basedOn w:val="Normal"/>
    <w:uiPriority w:val="99"/>
    <w:semiHidden/>
    <w:rsid w:val="00BD1A43"/>
    <w:pPr>
      <w:keepLines/>
      <w:numPr>
        <w:numId w:val="4"/>
      </w:numPr>
      <w:spacing w:before="240" w:after="60"/>
    </w:pPr>
    <w:rPr>
      <w:sz w:val="32"/>
      <w:szCs w:val="32"/>
    </w:rPr>
  </w:style>
  <w:style w:type="paragraph" w:styleId="ListNumber2">
    <w:name w:val="List Number 2"/>
    <w:aliases w:val="Numbered Heading 1"/>
    <w:basedOn w:val="Normal"/>
    <w:qFormat/>
    <w:rsid w:val="00BD1A43"/>
  </w:style>
  <w:style w:type="paragraph" w:styleId="List2">
    <w:name w:val="List 2"/>
    <w:basedOn w:val="Normal"/>
    <w:uiPriority w:val="99"/>
    <w:semiHidden/>
    <w:unhideWhenUsed/>
    <w:rsid w:val="00BD1A43"/>
    <w:pPr>
      <w:ind w:left="566" w:hanging="283"/>
      <w:contextualSpacing/>
    </w:pPr>
  </w:style>
  <w:style w:type="paragraph" w:styleId="BodyText">
    <w:name w:val="Body Text"/>
    <w:basedOn w:val="Normal"/>
    <w:link w:val="BodyTextChar"/>
    <w:semiHidden/>
    <w:rsid w:val="000F54B0"/>
  </w:style>
  <w:style w:type="character" w:customStyle="1" w:styleId="BodyTextChar">
    <w:name w:val="Body Text Char"/>
    <w:basedOn w:val="DefaultParagraphFont"/>
    <w:link w:val="BodyText"/>
    <w:semiHidden/>
    <w:rsid w:val="000F54B0"/>
    <w:rPr>
      <w:rFonts w:ascii="Gill Sans MT" w:eastAsia="Times New Roman" w:hAnsi="Gill Sans MT" w:cs="Times New Roman"/>
    </w:rPr>
  </w:style>
  <w:style w:type="paragraph" w:styleId="ListParagraph">
    <w:name w:val="List Paragraph"/>
    <w:aliases w:val="Table"/>
    <w:basedOn w:val="Normal"/>
    <w:uiPriority w:val="34"/>
    <w:qFormat/>
    <w:rsid w:val="004B134C"/>
    <w:pPr>
      <w:widowControl w:val="0"/>
      <w:tabs>
        <w:tab w:val="clear" w:pos="567"/>
      </w:tabs>
      <w:spacing w:after="60" w:line="280" w:lineRule="atLeast"/>
      <w:ind w:left="720"/>
    </w:pPr>
    <w:rPr>
      <w:sz w:val="20"/>
      <w:szCs w:val="24"/>
      <w:lang w:bidi="en-US"/>
    </w:rPr>
  </w:style>
  <w:style w:type="paragraph" w:styleId="BalloonText">
    <w:name w:val="Balloon Text"/>
    <w:basedOn w:val="Normal"/>
    <w:link w:val="BalloonTextChar"/>
    <w:uiPriority w:val="99"/>
    <w:semiHidden/>
    <w:unhideWhenUsed/>
    <w:rsid w:val="00B16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D8"/>
    <w:rPr>
      <w:rFonts w:ascii="Tahoma" w:eastAsia="Times New Roman" w:hAnsi="Tahoma" w:cs="Tahoma"/>
      <w:sz w:val="16"/>
      <w:szCs w:val="16"/>
    </w:rPr>
  </w:style>
  <w:style w:type="character" w:customStyle="1" w:styleId="apple-converted-space">
    <w:name w:val="apple-converted-space"/>
    <w:basedOn w:val="DefaultParagraphFont"/>
    <w:rsid w:val="00397489"/>
  </w:style>
  <w:style w:type="paragraph" w:customStyle="1" w:styleId="BulletedListLevel2">
    <w:name w:val="Bulleted List Level 2"/>
    <w:semiHidden/>
    <w:rsid w:val="00397489"/>
    <w:pPr>
      <w:keepLines/>
      <w:numPr>
        <w:numId w:val="11"/>
      </w:numPr>
      <w:spacing w:after="140" w:line="300" w:lineRule="atLeast"/>
    </w:pPr>
    <w:rPr>
      <w:rFonts w:ascii="Gill Sans MT" w:eastAsia="Times New Roman" w:hAnsi="Gill Sans MT" w:cs="Arial"/>
      <w:snapToGrid w:val="0"/>
      <w:kern w:val="28"/>
      <w:sz w:val="24"/>
      <w:szCs w:val="20"/>
    </w:rPr>
  </w:style>
  <w:style w:type="paragraph" w:styleId="ListBullet2">
    <w:name w:val="List Bullet 2"/>
    <w:basedOn w:val="BulletedListLevel2"/>
    <w:semiHidden/>
    <w:rsid w:val="00397489"/>
  </w:style>
  <w:style w:type="paragraph" w:customStyle="1" w:styleId="TableBulletedList">
    <w:name w:val="Table Bulleted List"/>
    <w:semiHidden/>
    <w:rsid w:val="006311A2"/>
    <w:pPr>
      <w:numPr>
        <w:numId w:val="13"/>
      </w:numPr>
      <w:tabs>
        <w:tab w:val="left" w:pos="406"/>
      </w:tabs>
      <w:spacing w:before="20" w:after="60" w:line="240" w:lineRule="auto"/>
    </w:pPr>
    <w:rPr>
      <w:rFonts w:ascii="Gill Sans MT" w:eastAsia="Times New Roman" w:hAnsi="Gill Sans MT" w:cs="Times New Roman"/>
      <w:sz w:val="24"/>
      <w:szCs w:val="24"/>
    </w:rPr>
  </w:style>
  <w:style w:type="paragraph" w:styleId="ListBullet">
    <w:name w:val="List Bullet"/>
    <w:basedOn w:val="Normal"/>
    <w:uiPriority w:val="99"/>
    <w:semiHidden/>
    <w:unhideWhenUsed/>
    <w:rsid w:val="0007683D"/>
    <w:pPr>
      <w:numPr>
        <w:numId w:val="14"/>
      </w:numPr>
      <w:contextualSpacing/>
    </w:pPr>
  </w:style>
  <w:style w:type="paragraph" w:customStyle="1" w:styleId="Style5">
    <w:name w:val="Style5"/>
    <w:basedOn w:val="Normal"/>
    <w:rsid w:val="00750FD6"/>
    <w:pPr>
      <w:numPr>
        <w:numId w:val="16"/>
      </w:numPr>
      <w:tabs>
        <w:tab w:val="clear" w:pos="567"/>
      </w:tabs>
      <w:jc w:val="both"/>
    </w:pPr>
    <w:rPr>
      <w:rFonts w:ascii="Book Antiqua" w:hAnsi="Book Antiqua"/>
      <w:sz w:val="20"/>
      <w:szCs w:val="24"/>
    </w:rPr>
  </w:style>
  <w:style w:type="paragraph" w:customStyle="1" w:styleId="Pa4">
    <w:name w:val="Pa4"/>
    <w:basedOn w:val="Normal"/>
    <w:next w:val="Normal"/>
    <w:uiPriority w:val="99"/>
    <w:rsid w:val="00750FD6"/>
    <w:pPr>
      <w:tabs>
        <w:tab w:val="clear" w:pos="567"/>
      </w:tabs>
      <w:autoSpaceDE w:val="0"/>
      <w:autoSpaceDN w:val="0"/>
      <w:adjustRightInd w:val="0"/>
      <w:spacing w:after="0" w:line="221" w:lineRule="atLeast"/>
    </w:pPr>
    <w:rPr>
      <w:szCs w:val="24"/>
      <w:lang w:eastAsia="en-AU"/>
    </w:rPr>
  </w:style>
  <w:style w:type="paragraph" w:styleId="ListNumber">
    <w:name w:val="List Number"/>
    <w:basedOn w:val="Normal"/>
    <w:uiPriority w:val="99"/>
    <w:semiHidden/>
    <w:unhideWhenUsed/>
    <w:rsid w:val="0020675D"/>
    <w:pPr>
      <w:numPr>
        <w:numId w:val="21"/>
      </w:numPr>
      <w:contextualSpacing/>
    </w:pPr>
  </w:style>
  <w:style w:type="character" w:customStyle="1" w:styleId="Heading4Char">
    <w:name w:val="Heading 4 Char"/>
    <w:basedOn w:val="DefaultParagraphFont"/>
    <w:link w:val="Heading4"/>
    <w:uiPriority w:val="9"/>
    <w:rsid w:val="00F80387"/>
    <w:rPr>
      <w:rFonts w:ascii="GillSans Light" w:eastAsiaTheme="majorEastAsia" w:hAnsi="GillSans Light" w:cstheme="majorBidi"/>
      <w:b/>
      <w:bCs/>
      <w:iCs/>
    </w:rPr>
  </w:style>
  <w:style w:type="paragraph" w:customStyle="1" w:styleId="Table-AnnualReport">
    <w:name w:val="Table - Annual Report"/>
    <w:basedOn w:val="Normal"/>
    <w:link w:val="Table-AnnualReportChar"/>
    <w:qFormat/>
    <w:rsid w:val="004B134C"/>
    <w:pPr>
      <w:keepNext/>
      <w:spacing w:after="60" w:line="280" w:lineRule="atLeast"/>
    </w:pPr>
    <w:rPr>
      <w:sz w:val="18"/>
      <w:szCs w:val="18"/>
    </w:rPr>
  </w:style>
  <w:style w:type="paragraph" w:customStyle="1" w:styleId="Notes">
    <w:name w:val="Notes"/>
    <w:qFormat/>
    <w:rsid w:val="007E04D0"/>
    <w:pPr>
      <w:numPr>
        <w:numId w:val="38"/>
      </w:numPr>
      <w:spacing w:after="0" w:line="240" w:lineRule="auto"/>
      <w:jc w:val="both"/>
    </w:pPr>
    <w:rPr>
      <w:rFonts w:ascii="Arial" w:eastAsia="Calibri" w:hAnsi="Arial" w:cs="Times New Roman"/>
      <w:sz w:val="18"/>
      <w:szCs w:val="18"/>
    </w:rPr>
  </w:style>
  <w:style w:type="character" w:customStyle="1" w:styleId="Table-AnnualReportChar">
    <w:name w:val="Table - Annual Report Char"/>
    <w:basedOn w:val="DefaultParagraphFont"/>
    <w:link w:val="Table-AnnualReport"/>
    <w:rsid w:val="004B134C"/>
    <w:rPr>
      <w:rFonts w:ascii="Gill Sans MT" w:eastAsia="Times New Roman" w:hAnsi="Gill Sans MT" w:cs="Times New Roman"/>
      <w:sz w:val="18"/>
      <w:szCs w:val="18"/>
    </w:rPr>
  </w:style>
  <w:style w:type="paragraph" w:styleId="TOC1">
    <w:name w:val="toc 1"/>
    <w:basedOn w:val="Normal"/>
    <w:next w:val="Normal"/>
    <w:autoRedefine/>
    <w:uiPriority w:val="39"/>
    <w:unhideWhenUsed/>
    <w:rsid w:val="00F80387"/>
    <w:pPr>
      <w:tabs>
        <w:tab w:val="clear" w:pos="567"/>
      </w:tabs>
      <w:spacing w:after="100"/>
    </w:pPr>
  </w:style>
  <w:style w:type="character" w:styleId="CommentReference">
    <w:name w:val="annotation reference"/>
    <w:basedOn w:val="DefaultParagraphFont"/>
    <w:uiPriority w:val="99"/>
    <w:semiHidden/>
    <w:unhideWhenUsed/>
    <w:rsid w:val="00810559"/>
    <w:rPr>
      <w:sz w:val="16"/>
      <w:szCs w:val="16"/>
    </w:rPr>
  </w:style>
  <w:style w:type="paragraph" w:styleId="CommentText">
    <w:name w:val="annotation text"/>
    <w:basedOn w:val="Normal"/>
    <w:link w:val="CommentTextChar"/>
    <w:uiPriority w:val="99"/>
    <w:semiHidden/>
    <w:unhideWhenUsed/>
    <w:rsid w:val="00810559"/>
    <w:pPr>
      <w:spacing w:line="240" w:lineRule="auto"/>
    </w:pPr>
    <w:rPr>
      <w:sz w:val="20"/>
      <w:szCs w:val="20"/>
    </w:rPr>
  </w:style>
  <w:style w:type="character" w:customStyle="1" w:styleId="CommentTextChar">
    <w:name w:val="Comment Text Char"/>
    <w:basedOn w:val="DefaultParagraphFont"/>
    <w:link w:val="CommentText"/>
    <w:uiPriority w:val="99"/>
    <w:semiHidden/>
    <w:rsid w:val="00810559"/>
    <w:rPr>
      <w:rFonts w:ascii="GillSans Light" w:eastAsia="Times New Roman" w:hAnsi="GillSans Light" w:cs="Times New Roman"/>
      <w:sz w:val="20"/>
      <w:szCs w:val="20"/>
    </w:rPr>
  </w:style>
  <w:style w:type="paragraph" w:styleId="CommentSubject">
    <w:name w:val="annotation subject"/>
    <w:basedOn w:val="CommentText"/>
    <w:next w:val="CommentText"/>
    <w:link w:val="CommentSubjectChar"/>
    <w:uiPriority w:val="99"/>
    <w:semiHidden/>
    <w:unhideWhenUsed/>
    <w:rsid w:val="00810559"/>
    <w:rPr>
      <w:b/>
      <w:bCs/>
    </w:rPr>
  </w:style>
  <w:style w:type="character" w:customStyle="1" w:styleId="CommentSubjectChar">
    <w:name w:val="Comment Subject Char"/>
    <w:basedOn w:val="CommentTextChar"/>
    <w:link w:val="CommentSubject"/>
    <w:uiPriority w:val="99"/>
    <w:semiHidden/>
    <w:rsid w:val="00810559"/>
    <w:rPr>
      <w:rFonts w:ascii="GillSans Light" w:eastAsia="Times New Roman" w:hAnsi="GillSans Light" w:cs="Times New Roman"/>
      <w:b/>
      <w:bCs/>
      <w:sz w:val="20"/>
      <w:szCs w:val="20"/>
    </w:rPr>
  </w:style>
  <w:style w:type="paragraph" w:customStyle="1" w:styleId="Logo">
    <w:name w:val="Logo"/>
    <w:semiHidden/>
    <w:rsid w:val="00933AB9"/>
    <w:pPr>
      <w:spacing w:after="0" w:line="300" w:lineRule="atLeast"/>
      <w:ind w:right="-28"/>
      <w:jc w:val="right"/>
    </w:pPr>
    <w:rPr>
      <w:rFonts w:ascii="Gill Sans MT" w:eastAsia="Times New Roman" w:hAnsi="Gill Sans MT" w:cs="Times New Roman"/>
      <w:sz w:val="20"/>
      <w:szCs w:val="24"/>
    </w:rPr>
  </w:style>
  <w:style w:type="paragraph" w:customStyle="1" w:styleId="Fileno">
    <w:name w:val="File no."/>
    <w:basedOn w:val="Normal"/>
    <w:semiHidden/>
    <w:rsid w:val="00933AB9"/>
    <w:pPr>
      <w:spacing w:after="240" w:line="300" w:lineRule="exact"/>
    </w:pPr>
    <w:rPr>
      <w:rFonts w:ascii="Arial" w:hAnsi="Arial" w:cs="Arial"/>
    </w:rPr>
  </w:style>
  <w:style w:type="paragraph" w:customStyle="1" w:styleId="Sub-branch">
    <w:name w:val="Sub-branch"/>
    <w:basedOn w:val="Normal"/>
    <w:semiHidden/>
    <w:rsid w:val="00933AB9"/>
    <w:pPr>
      <w:spacing w:before="80" w:after="240" w:line="24" w:lineRule="atLeast"/>
    </w:pPr>
    <w:rPr>
      <w:rFonts w:ascii="Gill Sans MT" w:hAnsi="Gill Sans MT"/>
      <w:caps/>
      <w:w w:val="95"/>
      <w:sz w:val="18"/>
      <w:szCs w:val="20"/>
    </w:rPr>
  </w:style>
  <w:style w:type="paragraph" w:customStyle="1" w:styleId="BulletedListLevel3">
    <w:name w:val="Bulleted List Level 3"/>
    <w:semiHidden/>
    <w:rsid w:val="00933AB9"/>
    <w:pPr>
      <w:numPr>
        <w:numId w:val="41"/>
      </w:numPr>
      <w:spacing w:after="140" w:line="300" w:lineRule="atLeast"/>
    </w:pPr>
    <w:rPr>
      <w:rFonts w:ascii="Gill Sans MT" w:eastAsia="Times New Roman" w:hAnsi="Gill Sans MT" w:cs="Arial"/>
      <w:snapToGrid w:val="0"/>
      <w:kern w:val="28"/>
      <w:szCs w:val="20"/>
    </w:rPr>
  </w:style>
  <w:style w:type="paragraph" w:customStyle="1" w:styleId="FileorMTSNo">
    <w:name w:val="File or MTS No."/>
    <w:semiHidden/>
    <w:rsid w:val="00933AB9"/>
    <w:pPr>
      <w:spacing w:after="120" w:line="240" w:lineRule="auto"/>
    </w:pPr>
    <w:rPr>
      <w:rFonts w:ascii="Gill Sans MT" w:eastAsia="Times New Roman" w:hAnsi="Gill Sans MT" w:cs="Times New Roman"/>
      <w:color w:val="000000"/>
      <w:sz w:val="18"/>
      <w:szCs w:val="20"/>
    </w:rPr>
  </w:style>
  <w:style w:type="paragraph" w:styleId="PlainText">
    <w:name w:val="Plain Text"/>
    <w:basedOn w:val="Normal"/>
    <w:link w:val="PlainTextChar"/>
    <w:uiPriority w:val="99"/>
    <w:semiHidden/>
    <w:unhideWhenUsed/>
    <w:rsid w:val="00932C0C"/>
    <w:pPr>
      <w:tabs>
        <w:tab w:val="clear" w:pos="567"/>
      </w:tabs>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932C0C"/>
    <w:rPr>
      <w:rFonts w:ascii="Calibri" w:hAnsi="Calibri"/>
      <w:szCs w:val="21"/>
    </w:rPr>
  </w:style>
  <w:style w:type="paragraph" w:styleId="TOC2">
    <w:name w:val="toc 2"/>
    <w:basedOn w:val="Normal"/>
    <w:next w:val="Normal"/>
    <w:autoRedefine/>
    <w:uiPriority w:val="39"/>
    <w:unhideWhenUsed/>
    <w:rsid w:val="00240717"/>
    <w:pPr>
      <w:tabs>
        <w:tab w:val="clear" w:pos="567"/>
      </w:tabs>
      <w:spacing w:after="100" w:line="276" w:lineRule="auto"/>
      <w:ind w:left="220"/>
    </w:pPr>
    <w:rPr>
      <w:rFonts w:asciiTheme="minorHAnsi" w:eastAsiaTheme="minorEastAsia" w:hAnsiTheme="minorHAnsi" w:cstheme="minorBidi"/>
      <w:lang w:eastAsia="en-AU"/>
    </w:rPr>
  </w:style>
  <w:style w:type="paragraph" w:styleId="TOC3">
    <w:name w:val="toc 3"/>
    <w:basedOn w:val="Normal"/>
    <w:next w:val="Normal"/>
    <w:autoRedefine/>
    <w:uiPriority w:val="39"/>
    <w:unhideWhenUsed/>
    <w:rsid w:val="00240717"/>
    <w:pPr>
      <w:tabs>
        <w:tab w:val="clear" w:pos="567"/>
      </w:tabs>
      <w:spacing w:after="100" w:line="276" w:lineRule="auto"/>
      <w:ind w:left="440"/>
    </w:pPr>
    <w:rPr>
      <w:rFonts w:asciiTheme="minorHAnsi" w:eastAsiaTheme="minorEastAsia" w:hAnsiTheme="minorHAnsi" w:cstheme="minorBidi"/>
      <w:lang w:eastAsia="en-AU"/>
    </w:rPr>
  </w:style>
  <w:style w:type="paragraph" w:styleId="TOC4">
    <w:name w:val="toc 4"/>
    <w:basedOn w:val="Normal"/>
    <w:next w:val="Normal"/>
    <w:autoRedefine/>
    <w:uiPriority w:val="39"/>
    <w:unhideWhenUsed/>
    <w:rsid w:val="00240717"/>
    <w:pPr>
      <w:tabs>
        <w:tab w:val="clear" w:pos="567"/>
      </w:tabs>
      <w:spacing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240717"/>
    <w:pPr>
      <w:tabs>
        <w:tab w:val="clear" w:pos="567"/>
      </w:tabs>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240717"/>
    <w:pPr>
      <w:tabs>
        <w:tab w:val="clear" w:pos="567"/>
      </w:tabs>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240717"/>
    <w:pPr>
      <w:tabs>
        <w:tab w:val="clear" w:pos="567"/>
      </w:tabs>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240717"/>
    <w:pPr>
      <w:tabs>
        <w:tab w:val="clear" w:pos="567"/>
      </w:tabs>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240717"/>
    <w:pPr>
      <w:tabs>
        <w:tab w:val="clear" w:pos="567"/>
      </w:tabs>
      <w:spacing w:after="100" w:line="276" w:lineRule="auto"/>
      <w:ind w:left="1760"/>
    </w:pPr>
    <w:rPr>
      <w:rFonts w:asciiTheme="minorHAnsi" w:eastAsiaTheme="minorEastAsia" w:hAnsiTheme="minorHAnsi" w:cstheme="minorBidi"/>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List Bullet 2" w:uiPriority="0"/>
    <w:lsdException w:name="List Number 2"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F2A"/>
    <w:pPr>
      <w:tabs>
        <w:tab w:val="left" w:pos="567"/>
      </w:tabs>
      <w:spacing w:after="140" w:line="300" w:lineRule="atLeast"/>
    </w:pPr>
    <w:rPr>
      <w:rFonts w:ascii="GillSans Light" w:eastAsia="Times New Roman" w:hAnsi="GillSans Light" w:cs="Times New Roman"/>
    </w:rPr>
  </w:style>
  <w:style w:type="paragraph" w:styleId="Heading1">
    <w:name w:val="heading 1"/>
    <w:basedOn w:val="Normal"/>
    <w:next w:val="Normal"/>
    <w:link w:val="Heading1Char"/>
    <w:uiPriority w:val="9"/>
    <w:qFormat/>
    <w:rsid w:val="00F80387"/>
    <w:pPr>
      <w:keepNext/>
      <w:keepLines/>
      <w:spacing w:before="480" w:after="240"/>
      <w:outlineLvl w:val="0"/>
    </w:pPr>
    <w:rPr>
      <w:rFonts w:eastAsiaTheme="majorEastAsia" w:cstheme="majorBidi"/>
      <w:b/>
      <w:bCs/>
      <w:sz w:val="40"/>
      <w:szCs w:val="28"/>
    </w:rPr>
  </w:style>
  <w:style w:type="paragraph" w:styleId="Heading2">
    <w:name w:val="heading 2"/>
    <w:basedOn w:val="Heading1"/>
    <w:next w:val="Normal"/>
    <w:link w:val="Heading2Char"/>
    <w:uiPriority w:val="9"/>
    <w:unhideWhenUsed/>
    <w:qFormat/>
    <w:rsid w:val="00F80387"/>
    <w:pPr>
      <w:outlineLvl w:val="1"/>
    </w:pPr>
  </w:style>
  <w:style w:type="paragraph" w:styleId="Heading3">
    <w:name w:val="heading 3"/>
    <w:basedOn w:val="Normal"/>
    <w:next w:val="Normal"/>
    <w:link w:val="Heading3Char"/>
    <w:uiPriority w:val="9"/>
    <w:unhideWhenUsed/>
    <w:qFormat/>
    <w:rsid w:val="00F80387"/>
    <w:pPr>
      <w:keepNext/>
      <w:keepLines/>
      <w:spacing w:before="200" w:after="12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F8038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8C40C3"/>
    <w:pPr>
      <w:tabs>
        <w:tab w:val="clear" w:pos="567"/>
      </w:tabs>
      <w:spacing w:after="0" w:line="240" w:lineRule="auto"/>
      <w:jc w:val="right"/>
    </w:pPr>
    <w:rPr>
      <w:sz w:val="16"/>
      <w:szCs w:val="16"/>
    </w:rPr>
  </w:style>
  <w:style w:type="character" w:customStyle="1" w:styleId="FooterChar">
    <w:name w:val="Footer Char"/>
    <w:basedOn w:val="DefaultParagraphFont"/>
    <w:link w:val="Footer"/>
    <w:uiPriority w:val="99"/>
    <w:rsid w:val="008C40C3"/>
    <w:rPr>
      <w:rFonts w:ascii="Gill Sans MT" w:eastAsia="Times New Roman" w:hAnsi="Gill Sans MT" w:cs="Times New Roman"/>
      <w:sz w:val="16"/>
      <w:szCs w:val="16"/>
    </w:rPr>
  </w:style>
  <w:style w:type="paragraph" w:customStyle="1" w:styleId="BulletedListLevel1">
    <w:name w:val="Bulleted List Level 1"/>
    <w:link w:val="BulletedListLevel1Char"/>
    <w:rsid w:val="008C40C3"/>
    <w:pPr>
      <w:numPr>
        <w:numId w:val="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8C40C3"/>
    <w:rPr>
      <w:rFonts w:ascii="Gill Sans MT" w:eastAsia="Times New Roman" w:hAnsi="Gill Sans MT" w:cs="Times New Roman"/>
      <w:szCs w:val="24"/>
    </w:rPr>
  </w:style>
  <w:style w:type="paragraph" w:styleId="NormalWeb">
    <w:name w:val="Normal (Web)"/>
    <w:basedOn w:val="Normal"/>
    <w:uiPriority w:val="99"/>
    <w:semiHidden/>
    <w:unhideWhenUsed/>
    <w:rsid w:val="00A90575"/>
    <w:pPr>
      <w:tabs>
        <w:tab w:val="clear" w:pos="567"/>
      </w:tabs>
      <w:spacing w:before="100" w:beforeAutospacing="1" w:after="100" w:afterAutospacing="1" w:line="240" w:lineRule="auto"/>
    </w:pPr>
    <w:rPr>
      <w:rFonts w:ascii="Times New Roman" w:hAnsi="Times New Roman"/>
      <w:szCs w:val="24"/>
      <w:lang w:eastAsia="en-AU"/>
    </w:rPr>
  </w:style>
  <w:style w:type="character" w:styleId="Hyperlink">
    <w:name w:val="Hyperlink"/>
    <w:basedOn w:val="DefaultParagraphFont"/>
    <w:uiPriority w:val="99"/>
    <w:unhideWhenUsed/>
    <w:rsid w:val="00107045"/>
    <w:rPr>
      <w:color w:val="0000FF"/>
      <w:u w:val="single"/>
    </w:rPr>
  </w:style>
  <w:style w:type="paragraph" w:styleId="Header">
    <w:name w:val="header"/>
    <w:basedOn w:val="Normal"/>
    <w:link w:val="HeaderChar"/>
    <w:unhideWhenUsed/>
    <w:rsid w:val="00ED49D6"/>
    <w:pPr>
      <w:tabs>
        <w:tab w:val="clear" w:pos="567"/>
        <w:tab w:val="center" w:pos="4513"/>
        <w:tab w:val="right" w:pos="9026"/>
      </w:tabs>
      <w:spacing w:after="0" w:line="240" w:lineRule="auto"/>
    </w:pPr>
  </w:style>
  <w:style w:type="character" w:customStyle="1" w:styleId="HeaderChar">
    <w:name w:val="Header Char"/>
    <w:basedOn w:val="DefaultParagraphFont"/>
    <w:link w:val="Header"/>
    <w:rsid w:val="00ED49D6"/>
    <w:rPr>
      <w:rFonts w:ascii="Gill Sans MT" w:eastAsia="Times New Roman" w:hAnsi="Gill Sans MT" w:cs="Times New Roman"/>
    </w:rPr>
  </w:style>
  <w:style w:type="character" w:customStyle="1" w:styleId="Heading1Char">
    <w:name w:val="Heading 1 Char"/>
    <w:basedOn w:val="DefaultParagraphFont"/>
    <w:link w:val="Heading1"/>
    <w:uiPriority w:val="9"/>
    <w:rsid w:val="00F80387"/>
    <w:rPr>
      <w:rFonts w:ascii="GillSans Light" w:eastAsiaTheme="majorEastAsia" w:hAnsi="GillSans Light" w:cstheme="majorBidi"/>
      <w:b/>
      <w:bCs/>
      <w:sz w:val="40"/>
      <w:szCs w:val="28"/>
    </w:rPr>
  </w:style>
  <w:style w:type="character" w:customStyle="1" w:styleId="Heading2Char">
    <w:name w:val="Heading 2 Char"/>
    <w:basedOn w:val="DefaultParagraphFont"/>
    <w:link w:val="Heading2"/>
    <w:uiPriority w:val="9"/>
    <w:rsid w:val="00F80387"/>
    <w:rPr>
      <w:rFonts w:ascii="GillSans Light" w:eastAsiaTheme="majorEastAsia" w:hAnsi="GillSans Light" w:cstheme="majorBidi"/>
      <w:b/>
      <w:bCs/>
      <w:sz w:val="40"/>
      <w:szCs w:val="28"/>
    </w:rPr>
  </w:style>
  <w:style w:type="character" w:customStyle="1" w:styleId="Heading3Char">
    <w:name w:val="Heading 3 Char"/>
    <w:basedOn w:val="DefaultParagraphFont"/>
    <w:link w:val="Heading3"/>
    <w:uiPriority w:val="9"/>
    <w:rsid w:val="00F80387"/>
    <w:rPr>
      <w:rFonts w:ascii="GillSans Light" w:eastAsiaTheme="majorEastAsia" w:hAnsi="GillSans Light" w:cstheme="majorBidi"/>
      <w:b/>
      <w:bCs/>
      <w:sz w:val="28"/>
    </w:rPr>
  </w:style>
  <w:style w:type="paragraph" w:customStyle="1" w:styleId="Responselevel1">
    <w:name w:val="Response (level 1)"/>
    <w:basedOn w:val="Normal"/>
    <w:uiPriority w:val="99"/>
    <w:semiHidden/>
    <w:rsid w:val="00BD1A43"/>
    <w:pPr>
      <w:keepLines/>
      <w:numPr>
        <w:numId w:val="4"/>
      </w:numPr>
      <w:spacing w:before="240" w:after="60"/>
    </w:pPr>
    <w:rPr>
      <w:sz w:val="32"/>
      <w:szCs w:val="32"/>
    </w:rPr>
  </w:style>
  <w:style w:type="paragraph" w:styleId="ListNumber2">
    <w:name w:val="List Number 2"/>
    <w:aliases w:val="Numbered Heading 1"/>
    <w:basedOn w:val="Normal"/>
    <w:qFormat/>
    <w:rsid w:val="00BD1A43"/>
  </w:style>
  <w:style w:type="paragraph" w:styleId="List2">
    <w:name w:val="List 2"/>
    <w:basedOn w:val="Normal"/>
    <w:uiPriority w:val="99"/>
    <w:semiHidden/>
    <w:unhideWhenUsed/>
    <w:rsid w:val="00BD1A43"/>
    <w:pPr>
      <w:ind w:left="566" w:hanging="283"/>
      <w:contextualSpacing/>
    </w:pPr>
  </w:style>
  <w:style w:type="paragraph" w:styleId="BodyText">
    <w:name w:val="Body Text"/>
    <w:basedOn w:val="Normal"/>
    <w:link w:val="BodyTextChar"/>
    <w:semiHidden/>
    <w:rsid w:val="000F54B0"/>
  </w:style>
  <w:style w:type="character" w:customStyle="1" w:styleId="BodyTextChar">
    <w:name w:val="Body Text Char"/>
    <w:basedOn w:val="DefaultParagraphFont"/>
    <w:link w:val="BodyText"/>
    <w:semiHidden/>
    <w:rsid w:val="000F54B0"/>
    <w:rPr>
      <w:rFonts w:ascii="Gill Sans MT" w:eastAsia="Times New Roman" w:hAnsi="Gill Sans MT" w:cs="Times New Roman"/>
    </w:rPr>
  </w:style>
  <w:style w:type="paragraph" w:styleId="ListParagraph">
    <w:name w:val="List Paragraph"/>
    <w:aliases w:val="Table"/>
    <w:basedOn w:val="Normal"/>
    <w:uiPriority w:val="34"/>
    <w:qFormat/>
    <w:rsid w:val="004B134C"/>
    <w:pPr>
      <w:widowControl w:val="0"/>
      <w:tabs>
        <w:tab w:val="clear" w:pos="567"/>
      </w:tabs>
      <w:spacing w:after="60" w:line="280" w:lineRule="atLeast"/>
      <w:ind w:left="720"/>
    </w:pPr>
    <w:rPr>
      <w:sz w:val="20"/>
      <w:szCs w:val="24"/>
      <w:lang w:bidi="en-US"/>
    </w:rPr>
  </w:style>
  <w:style w:type="paragraph" w:styleId="BalloonText">
    <w:name w:val="Balloon Text"/>
    <w:basedOn w:val="Normal"/>
    <w:link w:val="BalloonTextChar"/>
    <w:uiPriority w:val="99"/>
    <w:semiHidden/>
    <w:unhideWhenUsed/>
    <w:rsid w:val="00B16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D8"/>
    <w:rPr>
      <w:rFonts w:ascii="Tahoma" w:eastAsia="Times New Roman" w:hAnsi="Tahoma" w:cs="Tahoma"/>
      <w:sz w:val="16"/>
      <w:szCs w:val="16"/>
    </w:rPr>
  </w:style>
  <w:style w:type="character" w:customStyle="1" w:styleId="apple-converted-space">
    <w:name w:val="apple-converted-space"/>
    <w:basedOn w:val="DefaultParagraphFont"/>
    <w:rsid w:val="00397489"/>
  </w:style>
  <w:style w:type="paragraph" w:customStyle="1" w:styleId="BulletedListLevel2">
    <w:name w:val="Bulleted List Level 2"/>
    <w:semiHidden/>
    <w:rsid w:val="00397489"/>
    <w:pPr>
      <w:keepLines/>
      <w:numPr>
        <w:numId w:val="11"/>
      </w:numPr>
      <w:spacing w:after="140" w:line="300" w:lineRule="atLeast"/>
    </w:pPr>
    <w:rPr>
      <w:rFonts w:ascii="Gill Sans MT" w:eastAsia="Times New Roman" w:hAnsi="Gill Sans MT" w:cs="Arial"/>
      <w:snapToGrid w:val="0"/>
      <w:kern w:val="28"/>
      <w:sz w:val="24"/>
      <w:szCs w:val="20"/>
    </w:rPr>
  </w:style>
  <w:style w:type="paragraph" w:styleId="ListBullet2">
    <w:name w:val="List Bullet 2"/>
    <w:basedOn w:val="BulletedListLevel2"/>
    <w:semiHidden/>
    <w:rsid w:val="00397489"/>
  </w:style>
  <w:style w:type="paragraph" w:customStyle="1" w:styleId="TableBulletedList">
    <w:name w:val="Table Bulleted List"/>
    <w:semiHidden/>
    <w:rsid w:val="006311A2"/>
    <w:pPr>
      <w:numPr>
        <w:numId w:val="13"/>
      </w:numPr>
      <w:tabs>
        <w:tab w:val="left" w:pos="406"/>
      </w:tabs>
      <w:spacing w:before="20" w:after="60" w:line="240" w:lineRule="auto"/>
    </w:pPr>
    <w:rPr>
      <w:rFonts w:ascii="Gill Sans MT" w:eastAsia="Times New Roman" w:hAnsi="Gill Sans MT" w:cs="Times New Roman"/>
      <w:sz w:val="24"/>
      <w:szCs w:val="24"/>
    </w:rPr>
  </w:style>
  <w:style w:type="paragraph" w:styleId="ListBullet">
    <w:name w:val="List Bullet"/>
    <w:basedOn w:val="Normal"/>
    <w:uiPriority w:val="99"/>
    <w:semiHidden/>
    <w:unhideWhenUsed/>
    <w:rsid w:val="0007683D"/>
    <w:pPr>
      <w:numPr>
        <w:numId w:val="14"/>
      </w:numPr>
      <w:contextualSpacing/>
    </w:pPr>
  </w:style>
  <w:style w:type="paragraph" w:customStyle="1" w:styleId="Style5">
    <w:name w:val="Style5"/>
    <w:basedOn w:val="Normal"/>
    <w:rsid w:val="00750FD6"/>
    <w:pPr>
      <w:numPr>
        <w:numId w:val="16"/>
      </w:numPr>
      <w:tabs>
        <w:tab w:val="clear" w:pos="567"/>
      </w:tabs>
      <w:jc w:val="both"/>
    </w:pPr>
    <w:rPr>
      <w:rFonts w:ascii="Book Antiqua" w:hAnsi="Book Antiqua"/>
      <w:sz w:val="20"/>
      <w:szCs w:val="24"/>
    </w:rPr>
  </w:style>
  <w:style w:type="paragraph" w:customStyle="1" w:styleId="Pa4">
    <w:name w:val="Pa4"/>
    <w:basedOn w:val="Normal"/>
    <w:next w:val="Normal"/>
    <w:uiPriority w:val="99"/>
    <w:rsid w:val="00750FD6"/>
    <w:pPr>
      <w:tabs>
        <w:tab w:val="clear" w:pos="567"/>
      </w:tabs>
      <w:autoSpaceDE w:val="0"/>
      <w:autoSpaceDN w:val="0"/>
      <w:adjustRightInd w:val="0"/>
      <w:spacing w:after="0" w:line="221" w:lineRule="atLeast"/>
    </w:pPr>
    <w:rPr>
      <w:szCs w:val="24"/>
      <w:lang w:eastAsia="en-AU"/>
    </w:rPr>
  </w:style>
  <w:style w:type="paragraph" w:styleId="ListNumber">
    <w:name w:val="List Number"/>
    <w:basedOn w:val="Normal"/>
    <w:uiPriority w:val="99"/>
    <w:semiHidden/>
    <w:unhideWhenUsed/>
    <w:rsid w:val="0020675D"/>
    <w:pPr>
      <w:numPr>
        <w:numId w:val="21"/>
      </w:numPr>
      <w:contextualSpacing/>
    </w:pPr>
  </w:style>
  <w:style w:type="character" w:customStyle="1" w:styleId="Heading4Char">
    <w:name w:val="Heading 4 Char"/>
    <w:basedOn w:val="DefaultParagraphFont"/>
    <w:link w:val="Heading4"/>
    <w:uiPriority w:val="9"/>
    <w:rsid w:val="00F80387"/>
    <w:rPr>
      <w:rFonts w:ascii="GillSans Light" w:eastAsiaTheme="majorEastAsia" w:hAnsi="GillSans Light" w:cstheme="majorBidi"/>
      <w:b/>
      <w:bCs/>
      <w:iCs/>
    </w:rPr>
  </w:style>
  <w:style w:type="paragraph" w:customStyle="1" w:styleId="Table-AnnualReport">
    <w:name w:val="Table - Annual Report"/>
    <w:basedOn w:val="Normal"/>
    <w:link w:val="Table-AnnualReportChar"/>
    <w:qFormat/>
    <w:rsid w:val="004B134C"/>
    <w:pPr>
      <w:keepNext/>
      <w:spacing w:after="60" w:line="280" w:lineRule="atLeast"/>
    </w:pPr>
    <w:rPr>
      <w:sz w:val="18"/>
      <w:szCs w:val="18"/>
    </w:rPr>
  </w:style>
  <w:style w:type="paragraph" w:customStyle="1" w:styleId="Notes">
    <w:name w:val="Notes"/>
    <w:qFormat/>
    <w:rsid w:val="007E04D0"/>
    <w:pPr>
      <w:numPr>
        <w:numId w:val="38"/>
      </w:numPr>
      <w:spacing w:after="0" w:line="240" w:lineRule="auto"/>
      <w:jc w:val="both"/>
    </w:pPr>
    <w:rPr>
      <w:rFonts w:ascii="Arial" w:eastAsia="Calibri" w:hAnsi="Arial" w:cs="Times New Roman"/>
      <w:sz w:val="18"/>
      <w:szCs w:val="18"/>
    </w:rPr>
  </w:style>
  <w:style w:type="character" w:customStyle="1" w:styleId="Table-AnnualReportChar">
    <w:name w:val="Table - Annual Report Char"/>
    <w:basedOn w:val="DefaultParagraphFont"/>
    <w:link w:val="Table-AnnualReport"/>
    <w:rsid w:val="004B134C"/>
    <w:rPr>
      <w:rFonts w:ascii="Gill Sans MT" w:eastAsia="Times New Roman" w:hAnsi="Gill Sans MT" w:cs="Times New Roman"/>
      <w:sz w:val="18"/>
      <w:szCs w:val="18"/>
    </w:rPr>
  </w:style>
  <w:style w:type="paragraph" w:styleId="TOC1">
    <w:name w:val="toc 1"/>
    <w:basedOn w:val="Normal"/>
    <w:next w:val="Normal"/>
    <w:autoRedefine/>
    <w:uiPriority w:val="39"/>
    <w:unhideWhenUsed/>
    <w:rsid w:val="00F80387"/>
    <w:pPr>
      <w:tabs>
        <w:tab w:val="clear" w:pos="567"/>
      </w:tabs>
      <w:spacing w:after="100"/>
    </w:pPr>
  </w:style>
  <w:style w:type="character" w:styleId="CommentReference">
    <w:name w:val="annotation reference"/>
    <w:basedOn w:val="DefaultParagraphFont"/>
    <w:uiPriority w:val="99"/>
    <w:semiHidden/>
    <w:unhideWhenUsed/>
    <w:rsid w:val="00810559"/>
    <w:rPr>
      <w:sz w:val="16"/>
      <w:szCs w:val="16"/>
    </w:rPr>
  </w:style>
  <w:style w:type="paragraph" w:styleId="CommentText">
    <w:name w:val="annotation text"/>
    <w:basedOn w:val="Normal"/>
    <w:link w:val="CommentTextChar"/>
    <w:uiPriority w:val="99"/>
    <w:semiHidden/>
    <w:unhideWhenUsed/>
    <w:rsid w:val="00810559"/>
    <w:pPr>
      <w:spacing w:line="240" w:lineRule="auto"/>
    </w:pPr>
    <w:rPr>
      <w:sz w:val="20"/>
      <w:szCs w:val="20"/>
    </w:rPr>
  </w:style>
  <w:style w:type="character" w:customStyle="1" w:styleId="CommentTextChar">
    <w:name w:val="Comment Text Char"/>
    <w:basedOn w:val="DefaultParagraphFont"/>
    <w:link w:val="CommentText"/>
    <w:uiPriority w:val="99"/>
    <w:semiHidden/>
    <w:rsid w:val="00810559"/>
    <w:rPr>
      <w:rFonts w:ascii="GillSans Light" w:eastAsia="Times New Roman" w:hAnsi="GillSans Light" w:cs="Times New Roman"/>
      <w:sz w:val="20"/>
      <w:szCs w:val="20"/>
    </w:rPr>
  </w:style>
  <w:style w:type="paragraph" w:styleId="CommentSubject">
    <w:name w:val="annotation subject"/>
    <w:basedOn w:val="CommentText"/>
    <w:next w:val="CommentText"/>
    <w:link w:val="CommentSubjectChar"/>
    <w:uiPriority w:val="99"/>
    <w:semiHidden/>
    <w:unhideWhenUsed/>
    <w:rsid w:val="00810559"/>
    <w:rPr>
      <w:b/>
      <w:bCs/>
    </w:rPr>
  </w:style>
  <w:style w:type="character" w:customStyle="1" w:styleId="CommentSubjectChar">
    <w:name w:val="Comment Subject Char"/>
    <w:basedOn w:val="CommentTextChar"/>
    <w:link w:val="CommentSubject"/>
    <w:uiPriority w:val="99"/>
    <w:semiHidden/>
    <w:rsid w:val="00810559"/>
    <w:rPr>
      <w:rFonts w:ascii="GillSans Light" w:eastAsia="Times New Roman" w:hAnsi="GillSans Light" w:cs="Times New Roman"/>
      <w:b/>
      <w:bCs/>
      <w:sz w:val="20"/>
      <w:szCs w:val="20"/>
    </w:rPr>
  </w:style>
  <w:style w:type="paragraph" w:customStyle="1" w:styleId="Logo">
    <w:name w:val="Logo"/>
    <w:semiHidden/>
    <w:rsid w:val="00933AB9"/>
    <w:pPr>
      <w:spacing w:after="0" w:line="300" w:lineRule="atLeast"/>
      <w:ind w:right="-28"/>
      <w:jc w:val="right"/>
    </w:pPr>
    <w:rPr>
      <w:rFonts w:ascii="Gill Sans MT" w:eastAsia="Times New Roman" w:hAnsi="Gill Sans MT" w:cs="Times New Roman"/>
      <w:sz w:val="20"/>
      <w:szCs w:val="24"/>
    </w:rPr>
  </w:style>
  <w:style w:type="paragraph" w:customStyle="1" w:styleId="Fileno">
    <w:name w:val="File no."/>
    <w:basedOn w:val="Normal"/>
    <w:semiHidden/>
    <w:rsid w:val="00933AB9"/>
    <w:pPr>
      <w:spacing w:after="240" w:line="300" w:lineRule="exact"/>
    </w:pPr>
    <w:rPr>
      <w:rFonts w:ascii="Arial" w:hAnsi="Arial" w:cs="Arial"/>
    </w:rPr>
  </w:style>
  <w:style w:type="paragraph" w:customStyle="1" w:styleId="Sub-branch">
    <w:name w:val="Sub-branch"/>
    <w:basedOn w:val="Normal"/>
    <w:semiHidden/>
    <w:rsid w:val="00933AB9"/>
    <w:pPr>
      <w:spacing w:before="80" w:after="240" w:line="24" w:lineRule="atLeast"/>
    </w:pPr>
    <w:rPr>
      <w:rFonts w:ascii="Gill Sans MT" w:hAnsi="Gill Sans MT"/>
      <w:caps/>
      <w:w w:val="95"/>
      <w:sz w:val="18"/>
      <w:szCs w:val="20"/>
    </w:rPr>
  </w:style>
  <w:style w:type="paragraph" w:customStyle="1" w:styleId="BulletedListLevel3">
    <w:name w:val="Bulleted List Level 3"/>
    <w:semiHidden/>
    <w:rsid w:val="00933AB9"/>
    <w:pPr>
      <w:numPr>
        <w:numId w:val="41"/>
      </w:numPr>
      <w:spacing w:after="140" w:line="300" w:lineRule="atLeast"/>
    </w:pPr>
    <w:rPr>
      <w:rFonts w:ascii="Gill Sans MT" w:eastAsia="Times New Roman" w:hAnsi="Gill Sans MT" w:cs="Arial"/>
      <w:snapToGrid w:val="0"/>
      <w:kern w:val="28"/>
      <w:szCs w:val="20"/>
    </w:rPr>
  </w:style>
  <w:style w:type="paragraph" w:customStyle="1" w:styleId="FileorMTSNo">
    <w:name w:val="File or MTS No."/>
    <w:semiHidden/>
    <w:rsid w:val="00933AB9"/>
    <w:pPr>
      <w:spacing w:after="120" w:line="240" w:lineRule="auto"/>
    </w:pPr>
    <w:rPr>
      <w:rFonts w:ascii="Gill Sans MT" w:eastAsia="Times New Roman" w:hAnsi="Gill Sans MT" w:cs="Times New Roman"/>
      <w:color w:val="000000"/>
      <w:sz w:val="18"/>
      <w:szCs w:val="20"/>
    </w:rPr>
  </w:style>
  <w:style w:type="paragraph" w:styleId="PlainText">
    <w:name w:val="Plain Text"/>
    <w:basedOn w:val="Normal"/>
    <w:link w:val="PlainTextChar"/>
    <w:uiPriority w:val="99"/>
    <w:semiHidden/>
    <w:unhideWhenUsed/>
    <w:rsid w:val="00932C0C"/>
    <w:pPr>
      <w:tabs>
        <w:tab w:val="clear" w:pos="567"/>
      </w:tabs>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932C0C"/>
    <w:rPr>
      <w:rFonts w:ascii="Calibri" w:hAnsi="Calibri"/>
      <w:szCs w:val="21"/>
    </w:rPr>
  </w:style>
  <w:style w:type="paragraph" w:styleId="TOC2">
    <w:name w:val="toc 2"/>
    <w:basedOn w:val="Normal"/>
    <w:next w:val="Normal"/>
    <w:autoRedefine/>
    <w:uiPriority w:val="39"/>
    <w:unhideWhenUsed/>
    <w:rsid w:val="00240717"/>
    <w:pPr>
      <w:tabs>
        <w:tab w:val="clear" w:pos="567"/>
      </w:tabs>
      <w:spacing w:after="100" w:line="276" w:lineRule="auto"/>
      <w:ind w:left="220"/>
    </w:pPr>
    <w:rPr>
      <w:rFonts w:asciiTheme="minorHAnsi" w:eastAsiaTheme="minorEastAsia" w:hAnsiTheme="minorHAnsi" w:cstheme="minorBidi"/>
      <w:lang w:eastAsia="en-AU"/>
    </w:rPr>
  </w:style>
  <w:style w:type="paragraph" w:styleId="TOC3">
    <w:name w:val="toc 3"/>
    <w:basedOn w:val="Normal"/>
    <w:next w:val="Normal"/>
    <w:autoRedefine/>
    <w:uiPriority w:val="39"/>
    <w:unhideWhenUsed/>
    <w:rsid w:val="00240717"/>
    <w:pPr>
      <w:tabs>
        <w:tab w:val="clear" w:pos="567"/>
      </w:tabs>
      <w:spacing w:after="100" w:line="276" w:lineRule="auto"/>
      <w:ind w:left="440"/>
    </w:pPr>
    <w:rPr>
      <w:rFonts w:asciiTheme="minorHAnsi" w:eastAsiaTheme="minorEastAsia" w:hAnsiTheme="minorHAnsi" w:cstheme="minorBidi"/>
      <w:lang w:eastAsia="en-AU"/>
    </w:rPr>
  </w:style>
  <w:style w:type="paragraph" w:styleId="TOC4">
    <w:name w:val="toc 4"/>
    <w:basedOn w:val="Normal"/>
    <w:next w:val="Normal"/>
    <w:autoRedefine/>
    <w:uiPriority w:val="39"/>
    <w:unhideWhenUsed/>
    <w:rsid w:val="00240717"/>
    <w:pPr>
      <w:tabs>
        <w:tab w:val="clear" w:pos="567"/>
      </w:tabs>
      <w:spacing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240717"/>
    <w:pPr>
      <w:tabs>
        <w:tab w:val="clear" w:pos="567"/>
      </w:tabs>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240717"/>
    <w:pPr>
      <w:tabs>
        <w:tab w:val="clear" w:pos="567"/>
      </w:tabs>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240717"/>
    <w:pPr>
      <w:tabs>
        <w:tab w:val="clear" w:pos="567"/>
      </w:tabs>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240717"/>
    <w:pPr>
      <w:tabs>
        <w:tab w:val="clear" w:pos="567"/>
      </w:tabs>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240717"/>
    <w:pPr>
      <w:tabs>
        <w:tab w:val="clear" w:pos="567"/>
      </w:tabs>
      <w:spacing w:after="100" w:line="276" w:lineRule="auto"/>
      <w:ind w:left="1760"/>
    </w:pPr>
    <w:rPr>
      <w:rFonts w:asciiTheme="minorHAnsi" w:eastAsiaTheme="minorEastAsia" w:hAnsiTheme="minorHAnsi" w:cstheme="minorBid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001">
      <w:bodyDiv w:val="1"/>
      <w:marLeft w:val="0"/>
      <w:marRight w:val="0"/>
      <w:marTop w:val="0"/>
      <w:marBottom w:val="0"/>
      <w:divBdr>
        <w:top w:val="none" w:sz="0" w:space="0" w:color="auto"/>
        <w:left w:val="none" w:sz="0" w:space="0" w:color="auto"/>
        <w:bottom w:val="none" w:sz="0" w:space="0" w:color="auto"/>
        <w:right w:val="none" w:sz="0" w:space="0" w:color="auto"/>
      </w:divBdr>
      <w:divsChild>
        <w:div w:id="1732998211">
          <w:marLeft w:val="0"/>
          <w:marRight w:val="0"/>
          <w:marTop w:val="0"/>
          <w:marBottom w:val="0"/>
          <w:divBdr>
            <w:top w:val="none" w:sz="0" w:space="0" w:color="auto"/>
            <w:left w:val="none" w:sz="0" w:space="0" w:color="auto"/>
            <w:bottom w:val="none" w:sz="0" w:space="0" w:color="auto"/>
            <w:right w:val="none" w:sz="0" w:space="0" w:color="auto"/>
          </w:divBdr>
        </w:div>
      </w:divsChild>
    </w:div>
    <w:div w:id="260113996">
      <w:bodyDiv w:val="1"/>
      <w:marLeft w:val="0"/>
      <w:marRight w:val="0"/>
      <w:marTop w:val="0"/>
      <w:marBottom w:val="0"/>
      <w:divBdr>
        <w:top w:val="none" w:sz="0" w:space="0" w:color="auto"/>
        <w:left w:val="none" w:sz="0" w:space="0" w:color="auto"/>
        <w:bottom w:val="none" w:sz="0" w:space="0" w:color="auto"/>
        <w:right w:val="none" w:sz="0" w:space="0" w:color="auto"/>
      </w:divBdr>
    </w:div>
    <w:div w:id="318659933">
      <w:bodyDiv w:val="1"/>
      <w:marLeft w:val="0"/>
      <w:marRight w:val="0"/>
      <w:marTop w:val="0"/>
      <w:marBottom w:val="0"/>
      <w:divBdr>
        <w:top w:val="none" w:sz="0" w:space="0" w:color="auto"/>
        <w:left w:val="none" w:sz="0" w:space="0" w:color="auto"/>
        <w:bottom w:val="none" w:sz="0" w:space="0" w:color="auto"/>
        <w:right w:val="none" w:sz="0" w:space="0" w:color="auto"/>
      </w:divBdr>
    </w:div>
    <w:div w:id="464978266">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
    <w:div w:id="514657603">
      <w:bodyDiv w:val="1"/>
      <w:marLeft w:val="0"/>
      <w:marRight w:val="0"/>
      <w:marTop w:val="0"/>
      <w:marBottom w:val="0"/>
      <w:divBdr>
        <w:top w:val="none" w:sz="0" w:space="0" w:color="auto"/>
        <w:left w:val="none" w:sz="0" w:space="0" w:color="auto"/>
        <w:bottom w:val="none" w:sz="0" w:space="0" w:color="auto"/>
        <w:right w:val="none" w:sz="0" w:space="0" w:color="auto"/>
      </w:divBdr>
    </w:div>
    <w:div w:id="1200246236">
      <w:bodyDiv w:val="1"/>
      <w:marLeft w:val="0"/>
      <w:marRight w:val="0"/>
      <w:marTop w:val="0"/>
      <w:marBottom w:val="0"/>
      <w:divBdr>
        <w:top w:val="none" w:sz="0" w:space="0" w:color="auto"/>
        <w:left w:val="none" w:sz="0" w:space="0" w:color="auto"/>
        <w:bottom w:val="none" w:sz="0" w:space="0" w:color="auto"/>
        <w:right w:val="none" w:sz="0" w:space="0" w:color="auto"/>
      </w:divBdr>
    </w:div>
    <w:div w:id="1217156927">
      <w:bodyDiv w:val="1"/>
      <w:marLeft w:val="0"/>
      <w:marRight w:val="0"/>
      <w:marTop w:val="0"/>
      <w:marBottom w:val="0"/>
      <w:divBdr>
        <w:top w:val="none" w:sz="0" w:space="0" w:color="auto"/>
        <w:left w:val="none" w:sz="0" w:space="0" w:color="auto"/>
        <w:bottom w:val="none" w:sz="0" w:space="0" w:color="auto"/>
        <w:right w:val="none" w:sz="0" w:space="0" w:color="auto"/>
      </w:divBdr>
    </w:div>
    <w:div w:id="1253511443">
      <w:bodyDiv w:val="1"/>
      <w:marLeft w:val="0"/>
      <w:marRight w:val="0"/>
      <w:marTop w:val="0"/>
      <w:marBottom w:val="0"/>
      <w:divBdr>
        <w:top w:val="none" w:sz="0" w:space="0" w:color="auto"/>
        <w:left w:val="none" w:sz="0" w:space="0" w:color="auto"/>
        <w:bottom w:val="none" w:sz="0" w:space="0" w:color="auto"/>
        <w:right w:val="none" w:sz="0" w:space="0" w:color="auto"/>
      </w:divBdr>
    </w:div>
    <w:div w:id="1643578208">
      <w:bodyDiv w:val="1"/>
      <w:marLeft w:val="0"/>
      <w:marRight w:val="0"/>
      <w:marTop w:val="0"/>
      <w:marBottom w:val="0"/>
      <w:divBdr>
        <w:top w:val="none" w:sz="0" w:space="0" w:color="auto"/>
        <w:left w:val="none" w:sz="0" w:space="0" w:color="auto"/>
        <w:bottom w:val="none" w:sz="0" w:space="0" w:color="auto"/>
        <w:right w:val="none" w:sz="0" w:space="0" w:color="auto"/>
      </w:divBdr>
    </w:div>
    <w:div w:id="1687057348">
      <w:bodyDiv w:val="1"/>
      <w:marLeft w:val="0"/>
      <w:marRight w:val="0"/>
      <w:marTop w:val="0"/>
      <w:marBottom w:val="0"/>
      <w:divBdr>
        <w:top w:val="none" w:sz="0" w:space="0" w:color="auto"/>
        <w:left w:val="none" w:sz="0" w:space="0" w:color="auto"/>
        <w:bottom w:val="none" w:sz="0" w:space="0" w:color="auto"/>
        <w:right w:val="none" w:sz="0" w:space="0" w:color="auto"/>
      </w:divBdr>
    </w:div>
    <w:div w:id="1759212970">
      <w:bodyDiv w:val="1"/>
      <w:marLeft w:val="0"/>
      <w:marRight w:val="0"/>
      <w:marTop w:val="0"/>
      <w:marBottom w:val="0"/>
      <w:divBdr>
        <w:top w:val="none" w:sz="0" w:space="0" w:color="auto"/>
        <w:left w:val="none" w:sz="0" w:space="0" w:color="auto"/>
        <w:bottom w:val="none" w:sz="0" w:space="0" w:color="auto"/>
        <w:right w:val="none" w:sz="0" w:space="0" w:color="auto"/>
      </w:divBdr>
    </w:div>
    <w:div w:id="1822967313">
      <w:bodyDiv w:val="1"/>
      <w:marLeft w:val="0"/>
      <w:marRight w:val="0"/>
      <w:marTop w:val="0"/>
      <w:marBottom w:val="0"/>
      <w:divBdr>
        <w:top w:val="none" w:sz="0" w:space="0" w:color="auto"/>
        <w:left w:val="none" w:sz="0" w:space="0" w:color="auto"/>
        <w:bottom w:val="none" w:sz="0" w:space="0" w:color="auto"/>
        <w:right w:val="none" w:sz="0" w:space="0" w:color="auto"/>
      </w:divBdr>
    </w:div>
    <w:div w:id="1840189083">
      <w:bodyDiv w:val="1"/>
      <w:marLeft w:val="0"/>
      <w:marRight w:val="0"/>
      <w:marTop w:val="0"/>
      <w:marBottom w:val="0"/>
      <w:divBdr>
        <w:top w:val="none" w:sz="0" w:space="0" w:color="auto"/>
        <w:left w:val="none" w:sz="0" w:space="0" w:color="auto"/>
        <w:bottom w:val="none" w:sz="0" w:space="0" w:color="auto"/>
        <w:right w:val="none" w:sz="0" w:space="0" w:color="auto"/>
      </w:divBdr>
    </w:div>
    <w:div w:id="192120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hhs.tas.gov.au" TargetMode="Externa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footer" Target="footer7.xml"/><Relationship Id="rId37"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yperlink" Target="http://www.dhhs.tas.gov.au/privatehealthregulation" TargetMode="Externa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www.dhhs.tas.gov.au/about_the_department/our_plans_and_strategi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51663ED-284B-480F-8E67-3C37FADBF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3502264F.dotm</Template>
  <TotalTime>232</TotalTime>
  <Pages>39</Pages>
  <Words>11619</Words>
  <Characters>66229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77693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Leigh</dc:creator>
  <cp:lastModifiedBy>ejackson</cp:lastModifiedBy>
  <cp:revision>23</cp:revision>
  <cp:lastPrinted>2015-10-22T23:55:00Z</cp:lastPrinted>
  <dcterms:created xsi:type="dcterms:W3CDTF">2015-10-05T05:25:00Z</dcterms:created>
  <dcterms:modified xsi:type="dcterms:W3CDTF">2015-10-27T22:34:00Z</dcterms:modified>
</cp:coreProperties>
</file>