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BCF" w:rsidRDefault="00CA28C9" w:rsidP="006C05B5">
      <w:pPr>
        <w:pStyle w:val="Contentsheading"/>
        <w:spacing w:after="0"/>
      </w:pPr>
      <w:r>
        <w:rPr>
          <w:b w:val="0"/>
          <w:noProof/>
          <w:lang w:eastAsia="en-AU"/>
        </w:rPr>
        <mc:AlternateContent>
          <mc:Choice Requires="wps">
            <w:drawing>
              <wp:anchor distT="0" distB="0" distL="114300" distR="114300" simplePos="0" relativeHeight="251657728" behindDoc="0" locked="1" layoutInCell="1" allowOverlap="1" wp14:anchorId="43990DD8" wp14:editId="61B4FDD2">
                <wp:simplePos x="0" y="0"/>
                <wp:positionH relativeFrom="column">
                  <wp:posOffset>8890</wp:posOffset>
                </wp:positionH>
                <wp:positionV relativeFrom="paragraph">
                  <wp:posOffset>3352165</wp:posOffset>
                </wp:positionV>
                <wp:extent cx="5414645" cy="1638935"/>
                <wp:effectExtent l="0" t="0" r="0" b="0"/>
                <wp:wrapNone/>
                <wp:docPr id="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4645" cy="1638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3038" w:rsidRPr="005D5411" w:rsidRDefault="006B3038" w:rsidP="006C721B">
                            <w:pPr>
                              <w:spacing w:after="200" w:line="276" w:lineRule="auto"/>
                              <w:ind w:left="-142" w:right="-153"/>
                              <w:rPr>
                                <w:rFonts w:ascii="Calibri" w:hAnsi="Calibri"/>
                                <w:color w:val="FFFFFF"/>
                                <w:sz w:val="56"/>
                                <w:szCs w:val="56"/>
                                <w:lang w:eastAsia="en-AU"/>
                              </w:rPr>
                            </w:pPr>
                            <w:bookmarkStart w:id="0" w:name="_GoBack"/>
                            <w:r>
                              <w:rPr>
                                <w:rFonts w:ascii="Calibri" w:hAnsi="Calibri"/>
                                <w:color w:val="FFFFFF"/>
                                <w:sz w:val="56"/>
                                <w:szCs w:val="56"/>
                                <w:lang w:eastAsia="en-AU"/>
                              </w:rPr>
                              <w:t>2017-18</w:t>
                            </w:r>
                            <w:r w:rsidRPr="005D5411">
                              <w:rPr>
                                <w:rFonts w:ascii="Calibri" w:hAnsi="Calibri"/>
                                <w:color w:val="FFFFFF"/>
                                <w:sz w:val="56"/>
                                <w:szCs w:val="56"/>
                                <w:lang w:eastAsia="en-AU"/>
                              </w:rPr>
                              <w:t xml:space="preserve"> Service Agreement between the Minister for Health and the Tasmanian Health Service</w:t>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margin-left:.7pt;margin-top:263.95pt;width:426.35pt;height:129.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" filled="f" stroked="f">
                <v:textbox>
                  <w:txbxContent>
                    <w:p w:rsidR="006B3038" w:rsidRPr="005D5411" w:rsidRDefault="006B3038" w:rsidP="006C721B">
                      <w:pPr>
                        <w:spacing w:after="200" w:line="276" w:lineRule="auto"/>
                        <w:ind w:left="-142" w:right="-153"/>
                        <w:rPr>
                          <w:rFonts w:ascii="Calibri" w:hAnsi="Calibri"/>
                          <w:color w:val="FFFFFF"/>
                          <w:sz w:val="56"/>
                          <w:szCs w:val="56"/>
                          <w:lang w:eastAsia="en-AU"/>
                        </w:rPr>
                      </w:pPr>
                      <w:r>
                        <w:rPr>
                          <w:rFonts w:ascii="Calibri" w:hAnsi="Calibri"/>
                          <w:color w:val="FFFFFF"/>
                          <w:sz w:val="56"/>
                          <w:szCs w:val="56"/>
                          <w:lang w:eastAsia="en-AU"/>
                        </w:rPr>
                        <w:t>2017-18</w:t>
                      </w:r>
                      <w:r w:rsidRPr="005D5411">
                        <w:rPr>
                          <w:rFonts w:ascii="Calibri" w:hAnsi="Calibri"/>
                          <w:color w:val="FFFFFF"/>
                          <w:sz w:val="56"/>
                          <w:szCs w:val="56"/>
                          <w:lang w:eastAsia="en-AU"/>
                        </w:rPr>
                        <w:t xml:space="preserve"> Service Agreement between the Minister for Health and the Tasmanian Health Service</w:t>
                      </w:r>
                    </w:p>
                  </w:txbxContent>
                </v:textbox>
                <w10:anchorlock/>
              </v:shape>
            </w:pict>
          </mc:Fallback>
        </mc:AlternateContent>
      </w:r>
      <w:r>
        <w:rPr>
          <w:noProof/>
          <w:lang w:eastAsia="en-AU"/>
        </w:rPr>
        <mc:AlternateContent>
          <mc:Choice Requires="wps">
            <w:drawing>
              <wp:anchor distT="0" distB="0" distL="114300" distR="114300" simplePos="0" relativeHeight="251658752" behindDoc="1" locked="1" layoutInCell="1" allowOverlap="1" wp14:anchorId="777A3FC5" wp14:editId="27ED6AA5">
                <wp:simplePos x="0" y="0"/>
                <wp:positionH relativeFrom="column">
                  <wp:posOffset>3877310</wp:posOffset>
                </wp:positionH>
                <wp:positionV relativeFrom="paragraph">
                  <wp:posOffset>167640</wp:posOffset>
                </wp:positionV>
                <wp:extent cx="2487295" cy="2363470"/>
                <wp:effectExtent l="0" t="0" r="8255" b="17780"/>
                <wp:wrapNone/>
                <wp:docPr id="4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7295" cy="2363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3038" w:rsidRPr="00EC702D" w:rsidRDefault="006B3038" w:rsidP="007912F0">
                            <w:pPr>
                              <w:ind w:right="-153"/>
                              <w:jc w:val="center"/>
                              <w:rPr>
                                <w:rFonts w:ascii="Calibri" w:hAnsi="Calibri" w:cs="Calibri"/>
                                <w:color w:val="FFFFFF"/>
                                <w:sz w:val="48"/>
                                <w:szCs w:val="48"/>
                              </w:rPr>
                            </w:pPr>
                            <w:r>
                              <w:rPr>
                                <w:rFonts w:ascii="Calibri" w:hAnsi="Calibri" w:cs="Calibri"/>
                                <w:color w:val="FFFFFF"/>
                                <w:sz w:val="48"/>
                                <w:szCs w:val="48"/>
                              </w:rPr>
                              <w:t>June 2017</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margin-left:305.3pt;margin-top:13.2pt;width:195.85pt;height:186.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" filled="f" stroked="f">
                <v:textbox inset="0,0,0,0">
                  <w:txbxContent>
                    <w:p w:rsidR="006B3038" w:rsidRPr="00EC702D" w:rsidRDefault="006B3038" w:rsidP="007912F0">
                      <w:pPr>
                        <w:ind w:right="-153"/>
                        <w:jc w:val="center"/>
                        <w:rPr>
                          <w:rFonts w:ascii="Calibri" w:hAnsi="Calibri" w:cs="Calibri"/>
                          <w:color w:val="FFFFFF"/>
                          <w:sz w:val="48"/>
                          <w:szCs w:val="48"/>
                        </w:rPr>
                      </w:pPr>
                      <w:r>
                        <w:rPr>
                          <w:rFonts w:ascii="Calibri" w:hAnsi="Calibri" w:cs="Calibri"/>
                          <w:color w:val="FFFFFF"/>
                          <w:sz w:val="48"/>
                          <w:szCs w:val="48"/>
                        </w:rPr>
                        <w:t>June 2017</w:t>
                      </w:r>
                    </w:p>
                  </w:txbxContent>
                </v:textbox>
                <w10:anchorlock/>
              </v:shape>
            </w:pict>
          </mc:Fallback>
        </mc:AlternateContent>
      </w:r>
      <w:r>
        <w:rPr>
          <w:b w:val="0"/>
          <w:noProof/>
          <w:lang w:eastAsia="en-AU"/>
        </w:rPr>
        <w:drawing>
          <wp:anchor distT="0" distB="0" distL="114300" distR="114300" simplePos="0" relativeHeight="251656704" behindDoc="1" locked="0" layoutInCell="1" allowOverlap="1" wp14:anchorId="187F515A" wp14:editId="67609B25">
            <wp:simplePos x="0" y="0"/>
            <wp:positionH relativeFrom="page">
              <wp:posOffset>0</wp:posOffset>
            </wp:positionH>
            <wp:positionV relativeFrom="page">
              <wp:posOffset>635</wp:posOffset>
            </wp:positionV>
            <wp:extent cx="7562215" cy="10692765"/>
            <wp:effectExtent l="0" t="0" r="635" b="0"/>
            <wp:wrapNone/>
            <wp:docPr id="19" name="Picture 4" descr="decorative only" title="Cover 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2215" cy="106927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6764" w:rsidRPr="000776D1" w:rsidRDefault="00556764" w:rsidP="00556764">
      <w:pPr>
        <w:rPr>
          <w:b/>
          <w:sz w:val="36"/>
          <w:szCs w:val="36"/>
        </w:rPr>
      </w:pPr>
    </w:p>
    <w:p w:rsidR="00556764" w:rsidRPr="00A612F4" w:rsidRDefault="00CA28C9" w:rsidP="00556764">
      <w:r>
        <w:rPr>
          <w:noProof/>
          <w:lang w:eastAsia="en-AU"/>
        </w:rPr>
        <mc:AlternateContent>
          <mc:Choice Requires="wps">
            <w:drawing>
              <wp:anchor distT="0" distB="0" distL="114300" distR="114300" simplePos="0" relativeHeight="251660800" behindDoc="0" locked="0" layoutInCell="1" allowOverlap="1" wp14:anchorId="50611598" wp14:editId="378637CB">
                <wp:simplePos x="0" y="0"/>
                <wp:positionH relativeFrom="column">
                  <wp:posOffset>-405765</wp:posOffset>
                </wp:positionH>
                <wp:positionV relativeFrom="paragraph">
                  <wp:posOffset>8314690</wp:posOffset>
                </wp:positionV>
                <wp:extent cx="3162300" cy="7620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762000"/>
                        </a:xfrm>
                        <a:prstGeom prst="rect">
                          <a:avLst/>
                        </a:prstGeom>
                        <a:solidFill>
                          <a:srgbClr val="FFFFFF"/>
                        </a:solidFill>
                        <a:ln w="9525">
                          <a:noFill/>
                          <a:miter lim="800000"/>
                          <a:headEnd/>
                          <a:tailEnd/>
                        </a:ln>
                      </wps:spPr>
                      <wps:txbx>
                        <w:txbxContent>
                          <w:p w:rsidR="006B3038" w:rsidRPr="00CA28C9" w:rsidRDefault="006B3038" w:rsidP="00CA28C9">
                            <w:pPr>
                              <w:spacing w:before="120" w:after="120"/>
                              <w:rPr>
                                <w:rFonts w:eastAsiaTheme="minorHAnsi" w:cstheme="minorBidi"/>
                                <w:sz w:val="24"/>
                                <w:szCs w:val="24"/>
                              </w:rPr>
                            </w:pPr>
                            <w:r w:rsidRPr="00CA28C9">
                              <w:rPr>
                                <w:rFonts w:eastAsiaTheme="minorHAnsi" w:cstheme="minorBidi"/>
                                <w:sz w:val="24"/>
                                <w:szCs w:val="24"/>
                              </w:rPr>
                              <w:t>Department of Health and Human Services</w:t>
                            </w:r>
                          </w:p>
                          <w:p w:rsidR="006B3038" w:rsidRDefault="006B303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31.95pt;margin-top:654.7pt;width:249pt;height:60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" stroked="f">
                <v:textbox>
                  <w:txbxContent>
                    <w:p w:rsidR="006B3038" w:rsidRPr="00CA28C9" w:rsidRDefault="006B3038" w:rsidP="00CA28C9">
                      <w:pPr>
                        <w:spacing w:before="120" w:after="120"/>
                        <w:rPr>
                          <w:rFonts w:eastAsiaTheme="minorHAnsi" w:cstheme="minorBidi"/>
                          <w:sz w:val="24"/>
                          <w:szCs w:val="24"/>
                        </w:rPr>
                      </w:pPr>
                      <w:r w:rsidRPr="00CA28C9">
                        <w:rPr>
                          <w:rFonts w:eastAsiaTheme="minorHAnsi" w:cstheme="minorBidi"/>
                          <w:sz w:val="24"/>
                          <w:szCs w:val="24"/>
                        </w:rPr>
                        <w:t>Department of Health and Human Services</w:t>
                      </w:r>
                    </w:p>
                    <w:p w:rsidR="006B3038" w:rsidRDefault="006B3038"/>
                  </w:txbxContent>
                </v:textbox>
              </v:shape>
            </w:pict>
          </mc:Fallback>
        </mc:AlternateContent>
      </w:r>
    </w:p>
    <w:p w:rsidR="00265A90" w:rsidRPr="004B4ACA" w:rsidRDefault="00265A90" w:rsidP="00AB6564">
      <w:pPr>
        <w:pStyle w:val="Contentsheading"/>
        <w:spacing w:after="0"/>
        <w:ind w:right="-1"/>
      </w:pPr>
      <w:r w:rsidRPr="004B4ACA">
        <w:lastRenderedPageBreak/>
        <w:t>Contents</w:t>
      </w:r>
    </w:p>
    <w:bookmarkStart w:id="1" w:name="bmContentsEnd"/>
    <w:bookmarkEnd w:id="1"/>
    <w:p w:rsidR="00DD41D6" w:rsidRDefault="00856D73">
      <w:pPr>
        <w:pStyle w:val="TOC1"/>
        <w:rPr>
          <w:rFonts w:asciiTheme="minorHAnsi" w:eastAsiaTheme="minorEastAsia" w:hAnsiTheme="minorHAnsi" w:cstheme="minorBidi"/>
          <w:b w:val="0"/>
          <w:szCs w:val="22"/>
          <w:lang w:eastAsia="en-AU"/>
        </w:rPr>
      </w:pPr>
      <w:r>
        <w:fldChar w:fldCharType="begin"/>
      </w:r>
      <w:r>
        <w:instrText xml:space="preserve"> TOC \o "1-3" \h \z \u </w:instrText>
      </w:r>
      <w:r>
        <w:fldChar w:fldCharType="separate"/>
      </w:r>
      <w:hyperlink w:anchor="_Toc488068386" w:history="1">
        <w:r w:rsidR="00DD41D6" w:rsidRPr="004D177C">
          <w:rPr>
            <w:rStyle w:val="Hyperlink"/>
          </w:rPr>
          <w:t>Service Commitment</w:t>
        </w:r>
        <w:r w:rsidR="00DD41D6">
          <w:rPr>
            <w:webHidden/>
          </w:rPr>
          <w:tab/>
        </w:r>
        <w:r w:rsidR="00DD41D6">
          <w:rPr>
            <w:webHidden/>
          </w:rPr>
          <w:fldChar w:fldCharType="begin"/>
        </w:r>
        <w:r w:rsidR="00DD41D6">
          <w:rPr>
            <w:webHidden/>
          </w:rPr>
          <w:instrText xml:space="preserve"> PAGEREF _Toc488068386 \h </w:instrText>
        </w:r>
        <w:r w:rsidR="00DD41D6">
          <w:rPr>
            <w:webHidden/>
          </w:rPr>
        </w:r>
        <w:r w:rsidR="00DD41D6">
          <w:rPr>
            <w:webHidden/>
          </w:rPr>
          <w:fldChar w:fldCharType="separate"/>
        </w:r>
        <w:r w:rsidR="00DD41D6">
          <w:rPr>
            <w:webHidden/>
          </w:rPr>
          <w:t>4</w:t>
        </w:r>
        <w:r w:rsidR="00DD41D6">
          <w:rPr>
            <w:webHidden/>
          </w:rPr>
          <w:fldChar w:fldCharType="end"/>
        </w:r>
      </w:hyperlink>
    </w:p>
    <w:p w:rsidR="00DD41D6" w:rsidRDefault="00FD2EB0">
      <w:pPr>
        <w:pStyle w:val="TOC1"/>
        <w:rPr>
          <w:rFonts w:asciiTheme="minorHAnsi" w:eastAsiaTheme="minorEastAsia" w:hAnsiTheme="minorHAnsi" w:cstheme="minorBidi"/>
          <w:b w:val="0"/>
          <w:szCs w:val="22"/>
          <w:lang w:eastAsia="en-AU"/>
        </w:rPr>
      </w:pPr>
      <w:hyperlink w:anchor="_Toc488068387" w:history="1">
        <w:r w:rsidR="00DD41D6" w:rsidRPr="004D177C">
          <w:rPr>
            <w:rStyle w:val="Hyperlink"/>
          </w:rPr>
          <w:t>Service Agreement 2017-18</w:t>
        </w:r>
        <w:r w:rsidR="00DD41D6">
          <w:rPr>
            <w:webHidden/>
          </w:rPr>
          <w:tab/>
        </w:r>
        <w:r w:rsidR="00DD41D6">
          <w:rPr>
            <w:webHidden/>
          </w:rPr>
          <w:fldChar w:fldCharType="begin"/>
        </w:r>
        <w:r w:rsidR="00DD41D6">
          <w:rPr>
            <w:webHidden/>
          </w:rPr>
          <w:instrText xml:space="preserve"> PAGEREF _Toc488068387 \h </w:instrText>
        </w:r>
        <w:r w:rsidR="00DD41D6">
          <w:rPr>
            <w:webHidden/>
          </w:rPr>
        </w:r>
        <w:r w:rsidR="00DD41D6">
          <w:rPr>
            <w:webHidden/>
          </w:rPr>
          <w:fldChar w:fldCharType="separate"/>
        </w:r>
        <w:r w:rsidR="00DD41D6">
          <w:rPr>
            <w:webHidden/>
          </w:rPr>
          <w:t>5</w:t>
        </w:r>
        <w:r w:rsidR="00DD41D6">
          <w:rPr>
            <w:webHidden/>
          </w:rPr>
          <w:fldChar w:fldCharType="end"/>
        </w:r>
      </w:hyperlink>
    </w:p>
    <w:p w:rsidR="00DD41D6" w:rsidRDefault="00FD2EB0">
      <w:pPr>
        <w:pStyle w:val="TOC2"/>
        <w:rPr>
          <w:rFonts w:asciiTheme="minorHAnsi" w:eastAsiaTheme="minorEastAsia" w:hAnsiTheme="minorHAnsi" w:cstheme="minorBidi"/>
          <w:szCs w:val="22"/>
          <w:lang w:eastAsia="en-AU"/>
        </w:rPr>
      </w:pPr>
      <w:hyperlink w:anchor="_Toc488068388" w:history="1">
        <w:r w:rsidR="00DD41D6" w:rsidRPr="004D177C">
          <w:rPr>
            <w:rStyle w:val="Hyperlink"/>
          </w:rPr>
          <w:t>Variation of the Service Agreement</w:t>
        </w:r>
        <w:r w:rsidR="00DD41D6">
          <w:rPr>
            <w:webHidden/>
          </w:rPr>
          <w:tab/>
        </w:r>
        <w:r w:rsidR="00DD41D6">
          <w:rPr>
            <w:webHidden/>
          </w:rPr>
          <w:fldChar w:fldCharType="begin"/>
        </w:r>
        <w:r w:rsidR="00DD41D6">
          <w:rPr>
            <w:webHidden/>
          </w:rPr>
          <w:instrText xml:space="preserve"> PAGEREF _Toc488068388 \h </w:instrText>
        </w:r>
        <w:r w:rsidR="00DD41D6">
          <w:rPr>
            <w:webHidden/>
          </w:rPr>
        </w:r>
        <w:r w:rsidR="00DD41D6">
          <w:rPr>
            <w:webHidden/>
          </w:rPr>
          <w:fldChar w:fldCharType="separate"/>
        </w:r>
        <w:r w:rsidR="00DD41D6">
          <w:rPr>
            <w:webHidden/>
          </w:rPr>
          <w:t>5</w:t>
        </w:r>
        <w:r w:rsidR="00DD41D6">
          <w:rPr>
            <w:webHidden/>
          </w:rPr>
          <w:fldChar w:fldCharType="end"/>
        </w:r>
      </w:hyperlink>
    </w:p>
    <w:p w:rsidR="00DD41D6" w:rsidRDefault="00FD2EB0">
      <w:pPr>
        <w:pStyle w:val="TOC2"/>
        <w:rPr>
          <w:rFonts w:asciiTheme="minorHAnsi" w:eastAsiaTheme="minorEastAsia" w:hAnsiTheme="minorHAnsi" w:cstheme="minorBidi"/>
          <w:szCs w:val="22"/>
          <w:lang w:eastAsia="en-AU"/>
        </w:rPr>
      </w:pPr>
      <w:hyperlink w:anchor="_Toc488068389" w:history="1">
        <w:r w:rsidR="00DD41D6" w:rsidRPr="004D177C">
          <w:rPr>
            <w:rStyle w:val="Hyperlink"/>
          </w:rPr>
          <w:t>Financial Management Standard</w:t>
        </w:r>
        <w:r w:rsidR="00DD41D6">
          <w:rPr>
            <w:webHidden/>
          </w:rPr>
          <w:tab/>
        </w:r>
        <w:r w:rsidR="00DD41D6">
          <w:rPr>
            <w:webHidden/>
          </w:rPr>
          <w:fldChar w:fldCharType="begin"/>
        </w:r>
        <w:r w:rsidR="00DD41D6">
          <w:rPr>
            <w:webHidden/>
          </w:rPr>
          <w:instrText xml:space="preserve"> PAGEREF _Toc488068389 \h </w:instrText>
        </w:r>
        <w:r w:rsidR="00DD41D6">
          <w:rPr>
            <w:webHidden/>
          </w:rPr>
        </w:r>
        <w:r w:rsidR="00DD41D6">
          <w:rPr>
            <w:webHidden/>
          </w:rPr>
          <w:fldChar w:fldCharType="separate"/>
        </w:r>
        <w:r w:rsidR="00DD41D6">
          <w:rPr>
            <w:webHidden/>
          </w:rPr>
          <w:t>5</w:t>
        </w:r>
        <w:r w:rsidR="00DD41D6">
          <w:rPr>
            <w:webHidden/>
          </w:rPr>
          <w:fldChar w:fldCharType="end"/>
        </w:r>
      </w:hyperlink>
    </w:p>
    <w:p w:rsidR="00DD41D6" w:rsidRDefault="00FD2EB0">
      <w:pPr>
        <w:pStyle w:val="TOC2"/>
        <w:rPr>
          <w:rFonts w:asciiTheme="minorHAnsi" w:eastAsiaTheme="minorEastAsia" w:hAnsiTheme="minorHAnsi" w:cstheme="minorBidi"/>
          <w:szCs w:val="22"/>
          <w:lang w:eastAsia="en-AU"/>
        </w:rPr>
      </w:pPr>
      <w:hyperlink w:anchor="_Toc488068390" w:history="1">
        <w:r w:rsidR="00DD41D6" w:rsidRPr="004D177C">
          <w:rPr>
            <w:rStyle w:val="Hyperlink"/>
          </w:rPr>
          <w:t>Safety and Quality</w:t>
        </w:r>
        <w:r w:rsidR="00DD41D6">
          <w:rPr>
            <w:webHidden/>
          </w:rPr>
          <w:tab/>
        </w:r>
        <w:r w:rsidR="00DD41D6">
          <w:rPr>
            <w:webHidden/>
          </w:rPr>
          <w:fldChar w:fldCharType="begin"/>
        </w:r>
        <w:r w:rsidR="00DD41D6">
          <w:rPr>
            <w:webHidden/>
          </w:rPr>
          <w:instrText xml:space="preserve"> PAGEREF _Toc488068390 \h </w:instrText>
        </w:r>
        <w:r w:rsidR="00DD41D6">
          <w:rPr>
            <w:webHidden/>
          </w:rPr>
        </w:r>
        <w:r w:rsidR="00DD41D6">
          <w:rPr>
            <w:webHidden/>
          </w:rPr>
          <w:fldChar w:fldCharType="separate"/>
        </w:r>
        <w:r w:rsidR="00DD41D6">
          <w:rPr>
            <w:webHidden/>
          </w:rPr>
          <w:t>6</w:t>
        </w:r>
        <w:r w:rsidR="00DD41D6">
          <w:rPr>
            <w:webHidden/>
          </w:rPr>
          <w:fldChar w:fldCharType="end"/>
        </w:r>
      </w:hyperlink>
    </w:p>
    <w:p w:rsidR="00DD41D6" w:rsidRDefault="00FD2EB0">
      <w:pPr>
        <w:pStyle w:val="TOC2"/>
        <w:rPr>
          <w:rFonts w:asciiTheme="minorHAnsi" w:eastAsiaTheme="minorEastAsia" w:hAnsiTheme="minorHAnsi" w:cstheme="minorBidi"/>
          <w:szCs w:val="22"/>
          <w:lang w:eastAsia="en-AU"/>
        </w:rPr>
      </w:pPr>
      <w:hyperlink w:anchor="_Toc488068391" w:history="1">
        <w:r w:rsidR="00DD41D6" w:rsidRPr="004D177C">
          <w:rPr>
            <w:rStyle w:val="Hyperlink"/>
          </w:rPr>
          <w:t>Data Provision</w:t>
        </w:r>
        <w:r w:rsidR="00DD41D6">
          <w:rPr>
            <w:webHidden/>
          </w:rPr>
          <w:tab/>
        </w:r>
        <w:r w:rsidR="00DD41D6">
          <w:rPr>
            <w:webHidden/>
          </w:rPr>
          <w:fldChar w:fldCharType="begin"/>
        </w:r>
        <w:r w:rsidR="00DD41D6">
          <w:rPr>
            <w:webHidden/>
          </w:rPr>
          <w:instrText xml:space="preserve"> PAGEREF _Toc488068391 \h </w:instrText>
        </w:r>
        <w:r w:rsidR="00DD41D6">
          <w:rPr>
            <w:webHidden/>
          </w:rPr>
        </w:r>
        <w:r w:rsidR="00DD41D6">
          <w:rPr>
            <w:webHidden/>
          </w:rPr>
          <w:fldChar w:fldCharType="separate"/>
        </w:r>
        <w:r w:rsidR="00DD41D6">
          <w:rPr>
            <w:webHidden/>
          </w:rPr>
          <w:t>6</w:t>
        </w:r>
        <w:r w:rsidR="00DD41D6">
          <w:rPr>
            <w:webHidden/>
          </w:rPr>
          <w:fldChar w:fldCharType="end"/>
        </w:r>
      </w:hyperlink>
    </w:p>
    <w:p w:rsidR="00DD41D6" w:rsidRDefault="00FD2EB0">
      <w:pPr>
        <w:pStyle w:val="TOC2"/>
        <w:rPr>
          <w:rFonts w:asciiTheme="minorHAnsi" w:eastAsiaTheme="minorEastAsia" w:hAnsiTheme="minorHAnsi" w:cstheme="minorBidi"/>
          <w:szCs w:val="22"/>
          <w:lang w:eastAsia="en-AU"/>
        </w:rPr>
      </w:pPr>
      <w:hyperlink w:anchor="_Toc488068392" w:history="1">
        <w:r w:rsidR="00DD41D6" w:rsidRPr="004D177C">
          <w:rPr>
            <w:rStyle w:val="Hyperlink"/>
          </w:rPr>
          <w:t>National and Other Agreements</w:t>
        </w:r>
        <w:r w:rsidR="00DD41D6">
          <w:rPr>
            <w:webHidden/>
          </w:rPr>
          <w:tab/>
        </w:r>
        <w:r w:rsidR="00DD41D6">
          <w:rPr>
            <w:webHidden/>
          </w:rPr>
          <w:fldChar w:fldCharType="begin"/>
        </w:r>
        <w:r w:rsidR="00DD41D6">
          <w:rPr>
            <w:webHidden/>
          </w:rPr>
          <w:instrText xml:space="preserve"> PAGEREF _Toc488068392 \h </w:instrText>
        </w:r>
        <w:r w:rsidR="00DD41D6">
          <w:rPr>
            <w:webHidden/>
          </w:rPr>
        </w:r>
        <w:r w:rsidR="00DD41D6">
          <w:rPr>
            <w:webHidden/>
          </w:rPr>
          <w:fldChar w:fldCharType="separate"/>
        </w:r>
        <w:r w:rsidR="00DD41D6">
          <w:rPr>
            <w:webHidden/>
          </w:rPr>
          <w:t>6</w:t>
        </w:r>
        <w:r w:rsidR="00DD41D6">
          <w:rPr>
            <w:webHidden/>
          </w:rPr>
          <w:fldChar w:fldCharType="end"/>
        </w:r>
      </w:hyperlink>
    </w:p>
    <w:p w:rsidR="00DD41D6" w:rsidRDefault="00FD2EB0">
      <w:pPr>
        <w:pStyle w:val="TOC1"/>
        <w:rPr>
          <w:rFonts w:asciiTheme="minorHAnsi" w:eastAsiaTheme="minorEastAsia" w:hAnsiTheme="minorHAnsi" w:cstheme="minorBidi"/>
          <w:b w:val="0"/>
          <w:szCs w:val="22"/>
          <w:lang w:eastAsia="en-AU"/>
        </w:rPr>
      </w:pPr>
      <w:hyperlink w:anchor="_Toc488068393" w:history="1">
        <w:r w:rsidR="00DD41D6" w:rsidRPr="004D177C">
          <w:rPr>
            <w:rStyle w:val="Hyperlink"/>
          </w:rPr>
          <w:t>Part A: Tasmanian Public Health System - Accountabilities</w:t>
        </w:r>
        <w:r w:rsidR="00DD41D6">
          <w:rPr>
            <w:webHidden/>
          </w:rPr>
          <w:tab/>
        </w:r>
        <w:r w:rsidR="00DD41D6">
          <w:rPr>
            <w:webHidden/>
          </w:rPr>
          <w:fldChar w:fldCharType="begin"/>
        </w:r>
        <w:r w:rsidR="00DD41D6">
          <w:rPr>
            <w:webHidden/>
          </w:rPr>
          <w:instrText xml:space="preserve"> PAGEREF _Toc488068393 \h </w:instrText>
        </w:r>
        <w:r w:rsidR="00DD41D6">
          <w:rPr>
            <w:webHidden/>
          </w:rPr>
        </w:r>
        <w:r w:rsidR="00DD41D6">
          <w:rPr>
            <w:webHidden/>
          </w:rPr>
          <w:fldChar w:fldCharType="separate"/>
        </w:r>
        <w:r w:rsidR="00DD41D6">
          <w:rPr>
            <w:webHidden/>
          </w:rPr>
          <w:t>7</w:t>
        </w:r>
        <w:r w:rsidR="00DD41D6">
          <w:rPr>
            <w:webHidden/>
          </w:rPr>
          <w:fldChar w:fldCharType="end"/>
        </w:r>
      </w:hyperlink>
    </w:p>
    <w:p w:rsidR="00DD41D6" w:rsidRDefault="00FD2EB0">
      <w:pPr>
        <w:pStyle w:val="TOC2"/>
        <w:rPr>
          <w:rFonts w:asciiTheme="minorHAnsi" w:eastAsiaTheme="minorEastAsia" w:hAnsiTheme="minorHAnsi" w:cstheme="minorBidi"/>
          <w:szCs w:val="22"/>
          <w:lang w:eastAsia="en-AU"/>
        </w:rPr>
      </w:pPr>
      <w:hyperlink w:anchor="_Toc488068394" w:history="1">
        <w:r w:rsidR="00DD41D6" w:rsidRPr="004D177C">
          <w:rPr>
            <w:rStyle w:val="Hyperlink"/>
          </w:rPr>
          <w:t>Minister for Health</w:t>
        </w:r>
        <w:r w:rsidR="00DD41D6">
          <w:rPr>
            <w:webHidden/>
          </w:rPr>
          <w:tab/>
        </w:r>
        <w:r w:rsidR="00DD41D6">
          <w:rPr>
            <w:webHidden/>
          </w:rPr>
          <w:fldChar w:fldCharType="begin"/>
        </w:r>
        <w:r w:rsidR="00DD41D6">
          <w:rPr>
            <w:webHidden/>
          </w:rPr>
          <w:instrText xml:space="preserve"> PAGEREF _Toc488068394 \h </w:instrText>
        </w:r>
        <w:r w:rsidR="00DD41D6">
          <w:rPr>
            <w:webHidden/>
          </w:rPr>
        </w:r>
        <w:r w:rsidR="00DD41D6">
          <w:rPr>
            <w:webHidden/>
          </w:rPr>
          <w:fldChar w:fldCharType="separate"/>
        </w:r>
        <w:r w:rsidR="00DD41D6">
          <w:rPr>
            <w:webHidden/>
          </w:rPr>
          <w:t>7</w:t>
        </w:r>
        <w:r w:rsidR="00DD41D6">
          <w:rPr>
            <w:webHidden/>
          </w:rPr>
          <w:fldChar w:fldCharType="end"/>
        </w:r>
      </w:hyperlink>
    </w:p>
    <w:p w:rsidR="00DD41D6" w:rsidRDefault="00FD2EB0">
      <w:pPr>
        <w:pStyle w:val="TOC2"/>
        <w:rPr>
          <w:rFonts w:asciiTheme="minorHAnsi" w:eastAsiaTheme="minorEastAsia" w:hAnsiTheme="minorHAnsi" w:cstheme="minorBidi"/>
          <w:szCs w:val="22"/>
          <w:lang w:eastAsia="en-AU"/>
        </w:rPr>
      </w:pPr>
      <w:hyperlink w:anchor="_Toc488068395" w:history="1">
        <w:r w:rsidR="00DD41D6" w:rsidRPr="004D177C">
          <w:rPr>
            <w:rStyle w:val="Hyperlink"/>
          </w:rPr>
          <w:t>The Department of Health and Human Services</w:t>
        </w:r>
        <w:r w:rsidR="00DD41D6">
          <w:rPr>
            <w:webHidden/>
          </w:rPr>
          <w:tab/>
        </w:r>
        <w:r w:rsidR="00DD41D6">
          <w:rPr>
            <w:webHidden/>
          </w:rPr>
          <w:fldChar w:fldCharType="begin"/>
        </w:r>
        <w:r w:rsidR="00DD41D6">
          <w:rPr>
            <w:webHidden/>
          </w:rPr>
          <w:instrText xml:space="preserve"> PAGEREF _Toc488068395 \h </w:instrText>
        </w:r>
        <w:r w:rsidR="00DD41D6">
          <w:rPr>
            <w:webHidden/>
          </w:rPr>
        </w:r>
        <w:r w:rsidR="00DD41D6">
          <w:rPr>
            <w:webHidden/>
          </w:rPr>
          <w:fldChar w:fldCharType="separate"/>
        </w:r>
        <w:r w:rsidR="00DD41D6">
          <w:rPr>
            <w:webHidden/>
          </w:rPr>
          <w:t>7</w:t>
        </w:r>
        <w:r w:rsidR="00DD41D6">
          <w:rPr>
            <w:webHidden/>
          </w:rPr>
          <w:fldChar w:fldCharType="end"/>
        </w:r>
      </w:hyperlink>
    </w:p>
    <w:p w:rsidR="00DD41D6" w:rsidRDefault="00FD2EB0">
      <w:pPr>
        <w:pStyle w:val="TOC2"/>
        <w:rPr>
          <w:rFonts w:asciiTheme="minorHAnsi" w:eastAsiaTheme="minorEastAsia" w:hAnsiTheme="minorHAnsi" w:cstheme="minorBidi"/>
          <w:szCs w:val="22"/>
          <w:lang w:eastAsia="en-AU"/>
        </w:rPr>
      </w:pPr>
      <w:hyperlink w:anchor="_Toc488068396" w:history="1">
        <w:r w:rsidR="00DD41D6" w:rsidRPr="004D177C">
          <w:rPr>
            <w:rStyle w:val="Hyperlink"/>
          </w:rPr>
          <w:t>The Tasmanian Health Service</w:t>
        </w:r>
        <w:r w:rsidR="00DD41D6">
          <w:rPr>
            <w:webHidden/>
          </w:rPr>
          <w:tab/>
        </w:r>
        <w:r w:rsidR="00DD41D6">
          <w:rPr>
            <w:webHidden/>
          </w:rPr>
          <w:fldChar w:fldCharType="begin"/>
        </w:r>
        <w:r w:rsidR="00DD41D6">
          <w:rPr>
            <w:webHidden/>
          </w:rPr>
          <w:instrText xml:space="preserve"> PAGEREF _Toc488068396 \h </w:instrText>
        </w:r>
        <w:r w:rsidR="00DD41D6">
          <w:rPr>
            <w:webHidden/>
          </w:rPr>
        </w:r>
        <w:r w:rsidR="00DD41D6">
          <w:rPr>
            <w:webHidden/>
          </w:rPr>
          <w:fldChar w:fldCharType="separate"/>
        </w:r>
        <w:r w:rsidR="00DD41D6">
          <w:rPr>
            <w:webHidden/>
          </w:rPr>
          <w:t>8</w:t>
        </w:r>
        <w:r w:rsidR="00DD41D6">
          <w:rPr>
            <w:webHidden/>
          </w:rPr>
          <w:fldChar w:fldCharType="end"/>
        </w:r>
      </w:hyperlink>
    </w:p>
    <w:p w:rsidR="00DD41D6" w:rsidRDefault="00FD2EB0">
      <w:pPr>
        <w:pStyle w:val="TOC1"/>
        <w:rPr>
          <w:rFonts w:asciiTheme="minorHAnsi" w:eastAsiaTheme="minorEastAsia" w:hAnsiTheme="minorHAnsi" w:cstheme="minorBidi"/>
          <w:b w:val="0"/>
          <w:szCs w:val="22"/>
          <w:lang w:eastAsia="en-AU"/>
        </w:rPr>
      </w:pPr>
      <w:hyperlink w:anchor="_Toc488068397" w:history="1">
        <w:r w:rsidR="00DD41D6" w:rsidRPr="004D177C">
          <w:rPr>
            <w:rStyle w:val="Hyperlink"/>
          </w:rPr>
          <w:t>Part B: THS Profile</w:t>
        </w:r>
        <w:r w:rsidR="00DD41D6">
          <w:rPr>
            <w:webHidden/>
          </w:rPr>
          <w:tab/>
        </w:r>
        <w:r w:rsidR="00DD41D6">
          <w:rPr>
            <w:webHidden/>
          </w:rPr>
          <w:fldChar w:fldCharType="begin"/>
        </w:r>
        <w:r w:rsidR="00DD41D6">
          <w:rPr>
            <w:webHidden/>
          </w:rPr>
          <w:instrText xml:space="preserve"> PAGEREF _Toc488068397 \h </w:instrText>
        </w:r>
        <w:r w:rsidR="00DD41D6">
          <w:rPr>
            <w:webHidden/>
          </w:rPr>
        </w:r>
        <w:r w:rsidR="00DD41D6">
          <w:rPr>
            <w:webHidden/>
          </w:rPr>
          <w:fldChar w:fldCharType="separate"/>
        </w:r>
        <w:r w:rsidR="00DD41D6">
          <w:rPr>
            <w:webHidden/>
          </w:rPr>
          <w:t>10</w:t>
        </w:r>
        <w:r w:rsidR="00DD41D6">
          <w:rPr>
            <w:webHidden/>
          </w:rPr>
          <w:fldChar w:fldCharType="end"/>
        </w:r>
      </w:hyperlink>
    </w:p>
    <w:p w:rsidR="00DD41D6" w:rsidRDefault="00FD2EB0">
      <w:pPr>
        <w:pStyle w:val="TOC1"/>
        <w:rPr>
          <w:rFonts w:asciiTheme="minorHAnsi" w:eastAsiaTheme="minorEastAsia" w:hAnsiTheme="minorHAnsi" w:cstheme="minorBidi"/>
          <w:b w:val="0"/>
          <w:szCs w:val="22"/>
          <w:lang w:eastAsia="en-AU"/>
        </w:rPr>
      </w:pPr>
      <w:hyperlink w:anchor="_Toc488068398" w:history="1">
        <w:r w:rsidR="00DD41D6" w:rsidRPr="004D177C">
          <w:rPr>
            <w:rStyle w:val="Hyperlink"/>
          </w:rPr>
          <w:t>Part C: Performance Framework</w:t>
        </w:r>
        <w:r w:rsidR="00DD41D6">
          <w:rPr>
            <w:webHidden/>
          </w:rPr>
          <w:tab/>
        </w:r>
        <w:r w:rsidR="00DD41D6">
          <w:rPr>
            <w:webHidden/>
          </w:rPr>
          <w:fldChar w:fldCharType="begin"/>
        </w:r>
        <w:r w:rsidR="00DD41D6">
          <w:rPr>
            <w:webHidden/>
          </w:rPr>
          <w:instrText xml:space="preserve"> PAGEREF _Toc488068398 \h </w:instrText>
        </w:r>
        <w:r w:rsidR="00DD41D6">
          <w:rPr>
            <w:webHidden/>
          </w:rPr>
        </w:r>
        <w:r w:rsidR="00DD41D6">
          <w:rPr>
            <w:webHidden/>
          </w:rPr>
          <w:fldChar w:fldCharType="separate"/>
        </w:r>
        <w:r w:rsidR="00DD41D6">
          <w:rPr>
            <w:webHidden/>
          </w:rPr>
          <w:t>11</w:t>
        </w:r>
        <w:r w:rsidR="00DD41D6">
          <w:rPr>
            <w:webHidden/>
          </w:rPr>
          <w:fldChar w:fldCharType="end"/>
        </w:r>
      </w:hyperlink>
    </w:p>
    <w:p w:rsidR="00DD41D6" w:rsidRDefault="00FD2EB0">
      <w:pPr>
        <w:pStyle w:val="TOC1"/>
        <w:rPr>
          <w:rFonts w:asciiTheme="minorHAnsi" w:eastAsiaTheme="minorEastAsia" w:hAnsiTheme="minorHAnsi" w:cstheme="minorBidi"/>
          <w:b w:val="0"/>
          <w:szCs w:val="22"/>
          <w:lang w:eastAsia="en-AU"/>
        </w:rPr>
      </w:pPr>
      <w:hyperlink w:anchor="_Toc488068399" w:history="1">
        <w:r w:rsidR="00DD41D6" w:rsidRPr="004D177C">
          <w:rPr>
            <w:rStyle w:val="Hyperlink"/>
          </w:rPr>
          <w:t>Part D: Statement of Purchaser Intent (SoPI)</w:t>
        </w:r>
        <w:r w:rsidR="00DD41D6">
          <w:rPr>
            <w:webHidden/>
          </w:rPr>
          <w:tab/>
        </w:r>
        <w:r w:rsidR="00DD41D6">
          <w:rPr>
            <w:webHidden/>
          </w:rPr>
          <w:fldChar w:fldCharType="begin"/>
        </w:r>
        <w:r w:rsidR="00DD41D6">
          <w:rPr>
            <w:webHidden/>
          </w:rPr>
          <w:instrText xml:space="preserve"> PAGEREF _Toc488068399 \h </w:instrText>
        </w:r>
        <w:r w:rsidR="00DD41D6">
          <w:rPr>
            <w:webHidden/>
          </w:rPr>
        </w:r>
        <w:r w:rsidR="00DD41D6">
          <w:rPr>
            <w:webHidden/>
          </w:rPr>
          <w:fldChar w:fldCharType="separate"/>
        </w:r>
        <w:r w:rsidR="00DD41D6">
          <w:rPr>
            <w:webHidden/>
          </w:rPr>
          <w:t>12</w:t>
        </w:r>
        <w:r w:rsidR="00DD41D6">
          <w:rPr>
            <w:webHidden/>
          </w:rPr>
          <w:fldChar w:fldCharType="end"/>
        </w:r>
      </w:hyperlink>
    </w:p>
    <w:p w:rsidR="00DD41D6" w:rsidRDefault="00FD2EB0">
      <w:pPr>
        <w:pStyle w:val="TOC1"/>
        <w:rPr>
          <w:rFonts w:asciiTheme="minorHAnsi" w:eastAsiaTheme="minorEastAsia" w:hAnsiTheme="minorHAnsi" w:cstheme="minorBidi"/>
          <w:b w:val="0"/>
          <w:szCs w:val="22"/>
          <w:lang w:eastAsia="en-AU"/>
        </w:rPr>
      </w:pPr>
      <w:hyperlink w:anchor="_Toc488068400" w:history="1">
        <w:r w:rsidR="00DD41D6" w:rsidRPr="004D177C">
          <w:rPr>
            <w:rStyle w:val="Hyperlink"/>
          </w:rPr>
          <w:t>Part E: 2017-18 Priorities</w:t>
        </w:r>
        <w:r w:rsidR="00DD41D6">
          <w:rPr>
            <w:webHidden/>
          </w:rPr>
          <w:tab/>
        </w:r>
        <w:r w:rsidR="00DD41D6">
          <w:rPr>
            <w:webHidden/>
          </w:rPr>
          <w:fldChar w:fldCharType="begin"/>
        </w:r>
        <w:r w:rsidR="00DD41D6">
          <w:rPr>
            <w:webHidden/>
          </w:rPr>
          <w:instrText xml:space="preserve"> PAGEREF _Toc488068400 \h </w:instrText>
        </w:r>
        <w:r w:rsidR="00DD41D6">
          <w:rPr>
            <w:webHidden/>
          </w:rPr>
        </w:r>
        <w:r w:rsidR="00DD41D6">
          <w:rPr>
            <w:webHidden/>
          </w:rPr>
          <w:fldChar w:fldCharType="separate"/>
        </w:r>
        <w:r w:rsidR="00DD41D6">
          <w:rPr>
            <w:webHidden/>
          </w:rPr>
          <w:t>13</w:t>
        </w:r>
        <w:r w:rsidR="00DD41D6">
          <w:rPr>
            <w:webHidden/>
          </w:rPr>
          <w:fldChar w:fldCharType="end"/>
        </w:r>
      </w:hyperlink>
    </w:p>
    <w:p w:rsidR="00DD41D6" w:rsidRDefault="00FD2EB0">
      <w:pPr>
        <w:pStyle w:val="TOC2"/>
        <w:rPr>
          <w:rFonts w:asciiTheme="minorHAnsi" w:eastAsiaTheme="minorEastAsia" w:hAnsiTheme="minorHAnsi" w:cstheme="minorBidi"/>
          <w:szCs w:val="22"/>
          <w:lang w:eastAsia="en-AU"/>
        </w:rPr>
      </w:pPr>
      <w:hyperlink w:anchor="_Toc488068401" w:history="1">
        <w:r w:rsidR="00DD41D6" w:rsidRPr="004D177C">
          <w:rPr>
            <w:rStyle w:val="Hyperlink"/>
          </w:rPr>
          <w:t>SoPI Priorities</w:t>
        </w:r>
        <w:r w:rsidR="00DD41D6">
          <w:rPr>
            <w:webHidden/>
          </w:rPr>
          <w:tab/>
        </w:r>
        <w:r w:rsidR="00DD41D6">
          <w:rPr>
            <w:webHidden/>
          </w:rPr>
          <w:fldChar w:fldCharType="begin"/>
        </w:r>
        <w:r w:rsidR="00DD41D6">
          <w:rPr>
            <w:webHidden/>
          </w:rPr>
          <w:instrText xml:space="preserve"> PAGEREF _Toc488068401 \h </w:instrText>
        </w:r>
        <w:r w:rsidR="00DD41D6">
          <w:rPr>
            <w:webHidden/>
          </w:rPr>
        </w:r>
        <w:r w:rsidR="00DD41D6">
          <w:rPr>
            <w:webHidden/>
          </w:rPr>
          <w:fldChar w:fldCharType="separate"/>
        </w:r>
        <w:r w:rsidR="00DD41D6">
          <w:rPr>
            <w:webHidden/>
          </w:rPr>
          <w:t>13</w:t>
        </w:r>
        <w:r w:rsidR="00DD41D6">
          <w:rPr>
            <w:webHidden/>
          </w:rPr>
          <w:fldChar w:fldCharType="end"/>
        </w:r>
      </w:hyperlink>
    </w:p>
    <w:p w:rsidR="00DD41D6" w:rsidRDefault="00FD2EB0">
      <w:pPr>
        <w:pStyle w:val="TOC3"/>
        <w:rPr>
          <w:rFonts w:asciiTheme="minorHAnsi" w:eastAsiaTheme="minorEastAsia" w:hAnsiTheme="minorHAnsi" w:cstheme="minorBidi"/>
          <w:noProof/>
          <w:lang w:eastAsia="en-AU"/>
        </w:rPr>
      </w:pPr>
      <w:hyperlink w:anchor="_Toc488068402" w:history="1">
        <w:r w:rsidR="00DD41D6" w:rsidRPr="004D177C">
          <w:rPr>
            <w:rStyle w:val="Hyperlink"/>
            <w:noProof/>
          </w:rPr>
          <w:t>Chronic Disease</w:t>
        </w:r>
        <w:r w:rsidR="00DD41D6">
          <w:rPr>
            <w:noProof/>
            <w:webHidden/>
          </w:rPr>
          <w:tab/>
        </w:r>
        <w:r w:rsidR="00DD41D6">
          <w:rPr>
            <w:noProof/>
            <w:webHidden/>
          </w:rPr>
          <w:fldChar w:fldCharType="begin"/>
        </w:r>
        <w:r w:rsidR="00DD41D6">
          <w:rPr>
            <w:noProof/>
            <w:webHidden/>
          </w:rPr>
          <w:instrText xml:space="preserve"> PAGEREF _Toc488068402 \h </w:instrText>
        </w:r>
        <w:r w:rsidR="00DD41D6">
          <w:rPr>
            <w:noProof/>
            <w:webHidden/>
          </w:rPr>
        </w:r>
        <w:r w:rsidR="00DD41D6">
          <w:rPr>
            <w:noProof/>
            <w:webHidden/>
          </w:rPr>
          <w:fldChar w:fldCharType="separate"/>
        </w:r>
        <w:r w:rsidR="00DD41D6">
          <w:rPr>
            <w:noProof/>
            <w:webHidden/>
          </w:rPr>
          <w:t>13</w:t>
        </w:r>
        <w:r w:rsidR="00DD41D6">
          <w:rPr>
            <w:noProof/>
            <w:webHidden/>
          </w:rPr>
          <w:fldChar w:fldCharType="end"/>
        </w:r>
      </w:hyperlink>
    </w:p>
    <w:p w:rsidR="00DD41D6" w:rsidRDefault="00FD2EB0">
      <w:pPr>
        <w:pStyle w:val="TOC3"/>
        <w:rPr>
          <w:rFonts w:asciiTheme="minorHAnsi" w:eastAsiaTheme="minorEastAsia" w:hAnsiTheme="minorHAnsi" w:cstheme="minorBidi"/>
          <w:noProof/>
          <w:lang w:eastAsia="en-AU"/>
        </w:rPr>
      </w:pPr>
      <w:hyperlink w:anchor="_Toc488068403" w:history="1">
        <w:r w:rsidR="00DD41D6" w:rsidRPr="004D177C">
          <w:rPr>
            <w:rStyle w:val="Hyperlink"/>
            <w:noProof/>
          </w:rPr>
          <w:t>Elective Surgery</w:t>
        </w:r>
        <w:r w:rsidR="00DD41D6">
          <w:rPr>
            <w:noProof/>
            <w:webHidden/>
          </w:rPr>
          <w:tab/>
        </w:r>
        <w:r w:rsidR="00DD41D6">
          <w:rPr>
            <w:noProof/>
            <w:webHidden/>
          </w:rPr>
          <w:fldChar w:fldCharType="begin"/>
        </w:r>
        <w:r w:rsidR="00DD41D6">
          <w:rPr>
            <w:noProof/>
            <w:webHidden/>
          </w:rPr>
          <w:instrText xml:space="preserve"> PAGEREF _Toc488068403 \h </w:instrText>
        </w:r>
        <w:r w:rsidR="00DD41D6">
          <w:rPr>
            <w:noProof/>
            <w:webHidden/>
          </w:rPr>
        </w:r>
        <w:r w:rsidR="00DD41D6">
          <w:rPr>
            <w:noProof/>
            <w:webHidden/>
          </w:rPr>
          <w:fldChar w:fldCharType="separate"/>
        </w:r>
        <w:r w:rsidR="00DD41D6">
          <w:rPr>
            <w:noProof/>
            <w:webHidden/>
          </w:rPr>
          <w:t>13</w:t>
        </w:r>
        <w:r w:rsidR="00DD41D6">
          <w:rPr>
            <w:noProof/>
            <w:webHidden/>
          </w:rPr>
          <w:fldChar w:fldCharType="end"/>
        </w:r>
      </w:hyperlink>
    </w:p>
    <w:p w:rsidR="00DD41D6" w:rsidRDefault="00FD2EB0">
      <w:pPr>
        <w:pStyle w:val="TOC3"/>
        <w:rPr>
          <w:rFonts w:asciiTheme="minorHAnsi" w:eastAsiaTheme="minorEastAsia" w:hAnsiTheme="minorHAnsi" w:cstheme="minorBidi"/>
          <w:noProof/>
          <w:lang w:eastAsia="en-AU"/>
        </w:rPr>
      </w:pPr>
      <w:hyperlink w:anchor="_Toc488068404" w:history="1">
        <w:r w:rsidR="00DD41D6" w:rsidRPr="004D177C">
          <w:rPr>
            <w:rStyle w:val="Hyperlink"/>
            <w:noProof/>
          </w:rPr>
          <w:t>Additional Government Priorities</w:t>
        </w:r>
        <w:r w:rsidR="00DD41D6">
          <w:rPr>
            <w:noProof/>
            <w:webHidden/>
          </w:rPr>
          <w:tab/>
        </w:r>
        <w:r w:rsidR="00DD41D6">
          <w:rPr>
            <w:noProof/>
            <w:webHidden/>
          </w:rPr>
          <w:fldChar w:fldCharType="begin"/>
        </w:r>
        <w:r w:rsidR="00DD41D6">
          <w:rPr>
            <w:noProof/>
            <w:webHidden/>
          </w:rPr>
          <w:instrText xml:space="preserve"> PAGEREF _Toc488068404 \h </w:instrText>
        </w:r>
        <w:r w:rsidR="00DD41D6">
          <w:rPr>
            <w:noProof/>
            <w:webHidden/>
          </w:rPr>
        </w:r>
        <w:r w:rsidR="00DD41D6">
          <w:rPr>
            <w:noProof/>
            <w:webHidden/>
          </w:rPr>
          <w:fldChar w:fldCharType="separate"/>
        </w:r>
        <w:r w:rsidR="00DD41D6">
          <w:rPr>
            <w:noProof/>
            <w:webHidden/>
          </w:rPr>
          <w:t>14</w:t>
        </w:r>
        <w:r w:rsidR="00DD41D6">
          <w:rPr>
            <w:noProof/>
            <w:webHidden/>
          </w:rPr>
          <w:fldChar w:fldCharType="end"/>
        </w:r>
      </w:hyperlink>
    </w:p>
    <w:p w:rsidR="00DD41D6" w:rsidRDefault="00FD2EB0">
      <w:pPr>
        <w:pStyle w:val="TOC3"/>
        <w:rPr>
          <w:rFonts w:asciiTheme="minorHAnsi" w:eastAsiaTheme="minorEastAsia" w:hAnsiTheme="minorHAnsi" w:cstheme="minorBidi"/>
          <w:noProof/>
          <w:lang w:eastAsia="en-AU"/>
        </w:rPr>
      </w:pPr>
      <w:hyperlink w:anchor="_Toc488068405" w:history="1">
        <w:r w:rsidR="00DD41D6" w:rsidRPr="004D177C">
          <w:rPr>
            <w:rStyle w:val="Hyperlink"/>
            <w:noProof/>
          </w:rPr>
          <w:t>Sector Purchasing</w:t>
        </w:r>
        <w:r w:rsidR="00DD41D6">
          <w:rPr>
            <w:noProof/>
            <w:webHidden/>
          </w:rPr>
          <w:tab/>
        </w:r>
        <w:r w:rsidR="00DD41D6">
          <w:rPr>
            <w:noProof/>
            <w:webHidden/>
          </w:rPr>
          <w:fldChar w:fldCharType="begin"/>
        </w:r>
        <w:r w:rsidR="00DD41D6">
          <w:rPr>
            <w:noProof/>
            <w:webHidden/>
          </w:rPr>
          <w:instrText xml:space="preserve"> PAGEREF _Toc488068405 \h </w:instrText>
        </w:r>
        <w:r w:rsidR="00DD41D6">
          <w:rPr>
            <w:noProof/>
            <w:webHidden/>
          </w:rPr>
        </w:r>
        <w:r w:rsidR="00DD41D6">
          <w:rPr>
            <w:noProof/>
            <w:webHidden/>
          </w:rPr>
          <w:fldChar w:fldCharType="separate"/>
        </w:r>
        <w:r w:rsidR="00DD41D6">
          <w:rPr>
            <w:noProof/>
            <w:webHidden/>
          </w:rPr>
          <w:t>15</w:t>
        </w:r>
        <w:r w:rsidR="00DD41D6">
          <w:rPr>
            <w:noProof/>
            <w:webHidden/>
          </w:rPr>
          <w:fldChar w:fldCharType="end"/>
        </w:r>
      </w:hyperlink>
    </w:p>
    <w:p w:rsidR="00DD41D6" w:rsidRDefault="00FD2EB0">
      <w:pPr>
        <w:pStyle w:val="TOC2"/>
        <w:rPr>
          <w:rFonts w:asciiTheme="minorHAnsi" w:eastAsiaTheme="minorEastAsia" w:hAnsiTheme="minorHAnsi" w:cstheme="minorBidi"/>
          <w:szCs w:val="22"/>
          <w:lang w:eastAsia="en-AU"/>
        </w:rPr>
      </w:pPr>
      <w:hyperlink w:anchor="_Toc488068406" w:history="1">
        <w:r w:rsidR="00DD41D6" w:rsidRPr="004D177C">
          <w:rPr>
            <w:rStyle w:val="Hyperlink"/>
          </w:rPr>
          <w:t>Joint DHHS/THS Priorities</w:t>
        </w:r>
        <w:r w:rsidR="00DD41D6">
          <w:rPr>
            <w:webHidden/>
          </w:rPr>
          <w:tab/>
        </w:r>
        <w:r w:rsidR="00DD41D6">
          <w:rPr>
            <w:webHidden/>
          </w:rPr>
          <w:fldChar w:fldCharType="begin"/>
        </w:r>
        <w:r w:rsidR="00DD41D6">
          <w:rPr>
            <w:webHidden/>
          </w:rPr>
          <w:instrText xml:space="preserve"> PAGEREF _Toc488068406 \h </w:instrText>
        </w:r>
        <w:r w:rsidR="00DD41D6">
          <w:rPr>
            <w:webHidden/>
          </w:rPr>
        </w:r>
        <w:r w:rsidR="00DD41D6">
          <w:rPr>
            <w:webHidden/>
          </w:rPr>
          <w:fldChar w:fldCharType="separate"/>
        </w:r>
        <w:r w:rsidR="00DD41D6">
          <w:rPr>
            <w:webHidden/>
          </w:rPr>
          <w:t>16</w:t>
        </w:r>
        <w:r w:rsidR="00DD41D6">
          <w:rPr>
            <w:webHidden/>
          </w:rPr>
          <w:fldChar w:fldCharType="end"/>
        </w:r>
      </w:hyperlink>
    </w:p>
    <w:p w:rsidR="00DD41D6" w:rsidRDefault="00FD2EB0">
      <w:pPr>
        <w:pStyle w:val="TOC3"/>
        <w:rPr>
          <w:rFonts w:asciiTheme="minorHAnsi" w:eastAsiaTheme="minorEastAsia" w:hAnsiTheme="minorHAnsi" w:cstheme="minorBidi"/>
          <w:noProof/>
          <w:lang w:eastAsia="en-AU"/>
        </w:rPr>
      </w:pPr>
      <w:hyperlink w:anchor="_Toc488068407" w:history="1">
        <w:r w:rsidR="00DD41D6" w:rsidRPr="004D177C">
          <w:rPr>
            <w:rStyle w:val="Hyperlink"/>
            <w:noProof/>
          </w:rPr>
          <w:t>THS cost structures</w:t>
        </w:r>
        <w:r w:rsidR="00DD41D6">
          <w:rPr>
            <w:noProof/>
            <w:webHidden/>
          </w:rPr>
          <w:tab/>
        </w:r>
        <w:r w:rsidR="00DD41D6">
          <w:rPr>
            <w:noProof/>
            <w:webHidden/>
          </w:rPr>
          <w:fldChar w:fldCharType="begin"/>
        </w:r>
        <w:r w:rsidR="00DD41D6">
          <w:rPr>
            <w:noProof/>
            <w:webHidden/>
          </w:rPr>
          <w:instrText xml:space="preserve"> PAGEREF _Toc488068407 \h </w:instrText>
        </w:r>
        <w:r w:rsidR="00DD41D6">
          <w:rPr>
            <w:noProof/>
            <w:webHidden/>
          </w:rPr>
        </w:r>
        <w:r w:rsidR="00DD41D6">
          <w:rPr>
            <w:noProof/>
            <w:webHidden/>
          </w:rPr>
          <w:fldChar w:fldCharType="separate"/>
        </w:r>
        <w:r w:rsidR="00DD41D6">
          <w:rPr>
            <w:noProof/>
            <w:webHidden/>
          </w:rPr>
          <w:t>16</w:t>
        </w:r>
        <w:r w:rsidR="00DD41D6">
          <w:rPr>
            <w:noProof/>
            <w:webHidden/>
          </w:rPr>
          <w:fldChar w:fldCharType="end"/>
        </w:r>
      </w:hyperlink>
    </w:p>
    <w:p w:rsidR="00DD41D6" w:rsidRDefault="00FD2EB0">
      <w:pPr>
        <w:pStyle w:val="TOC3"/>
        <w:rPr>
          <w:rFonts w:asciiTheme="minorHAnsi" w:eastAsiaTheme="minorEastAsia" w:hAnsiTheme="minorHAnsi" w:cstheme="minorBidi"/>
          <w:noProof/>
          <w:lang w:eastAsia="en-AU"/>
        </w:rPr>
      </w:pPr>
      <w:hyperlink w:anchor="_Toc488068408" w:history="1">
        <w:r w:rsidR="00DD41D6" w:rsidRPr="004D177C">
          <w:rPr>
            <w:rStyle w:val="Hyperlink"/>
            <w:noProof/>
          </w:rPr>
          <w:t>Revenue</w:t>
        </w:r>
        <w:r w:rsidR="00DD41D6">
          <w:rPr>
            <w:noProof/>
            <w:webHidden/>
          </w:rPr>
          <w:tab/>
        </w:r>
        <w:r w:rsidR="00DD41D6">
          <w:rPr>
            <w:noProof/>
            <w:webHidden/>
          </w:rPr>
          <w:fldChar w:fldCharType="begin"/>
        </w:r>
        <w:r w:rsidR="00DD41D6">
          <w:rPr>
            <w:noProof/>
            <w:webHidden/>
          </w:rPr>
          <w:instrText xml:space="preserve"> PAGEREF _Toc488068408 \h </w:instrText>
        </w:r>
        <w:r w:rsidR="00DD41D6">
          <w:rPr>
            <w:noProof/>
            <w:webHidden/>
          </w:rPr>
        </w:r>
        <w:r w:rsidR="00DD41D6">
          <w:rPr>
            <w:noProof/>
            <w:webHidden/>
          </w:rPr>
          <w:fldChar w:fldCharType="separate"/>
        </w:r>
        <w:r w:rsidR="00DD41D6">
          <w:rPr>
            <w:noProof/>
            <w:webHidden/>
          </w:rPr>
          <w:t>16</w:t>
        </w:r>
        <w:r w:rsidR="00DD41D6">
          <w:rPr>
            <w:noProof/>
            <w:webHidden/>
          </w:rPr>
          <w:fldChar w:fldCharType="end"/>
        </w:r>
      </w:hyperlink>
    </w:p>
    <w:p w:rsidR="00DD41D6" w:rsidRDefault="00FD2EB0">
      <w:pPr>
        <w:pStyle w:val="TOC3"/>
        <w:rPr>
          <w:rFonts w:asciiTheme="minorHAnsi" w:eastAsiaTheme="minorEastAsia" w:hAnsiTheme="minorHAnsi" w:cstheme="minorBidi"/>
          <w:noProof/>
          <w:lang w:eastAsia="en-AU"/>
        </w:rPr>
      </w:pPr>
      <w:hyperlink w:anchor="_Toc488068409" w:history="1">
        <w:r w:rsidR="00DD41D6" w:rsidRPr="004D177C">
          <w:rPr>
            <w:rStyle w:val="Hyperlink"/>
            <w:noProof/>
          </w:rPr>
          <w:t>Readiness for the National Pricing for Safety and Quality Framework</w:t>
        </w:r>
        <w:r w:rsidR="00DD41D6">
          <w:rPr>
            <w:noProof/>
            <w:webHidden/>
          </w:rPr>
          <w:tab/>
        </w:r>
        <w:r w:rsidR="00DD41D6">
          <w:rPr>
            <w:noProof/>
            <w:webHidden/>
          </w:rPr>
          <w:fldChar w:fldCharType="begin"/>
        </w:r>
        <w:r w:rsidR="00DD41D6">
          <w:rPr>
            <w:noProof/>
            <w:webHidden/>
          </w:rPr>
          <w:instrText xml:space="preserve"> PAGEREF _Toc488068409 \h </w:instrText>
        </w:r>
        <w:r w:rsidR="00DD41D6">
          <w:rPr>
            <w:noProof/>
            <w:webHidden/>
          </w:rPr>
        </w:r>
        <w:r w:rsidR="00DD41D6">
          <w:rPr>
            <w:noProof/>
            <w:webHidden/>
          </w:rPr>
          <w:fldChar w:fldCharType="separate"/>
        </w:r>
        <w:r w:rsidR="00DD41D6">
          <w:rPr>
            <w:noProof/>
            <w:webHidden/>
          </w:rPr>
          <w:t>16</w:t>
        </w:r>
        <w:r w:rsidR="00DD41D6">
          <w:rPr>
            <w:noProof/>
            <w:webHidden/>
          </w:rPr>
          <w:fldChar w:fldCharType="end"/>
        </w:r>
      </w:hyperlink>
    </w:p>
    <w:p w:rsidR="00DD41D6" w:rsidRDefault="00FD2EB0">
      <w:pPr>
        <w:pStyle w:val="TOC3"/>
        <w:rPr>
          <w:rFonts w:asciiTheme="minorHAnsi" w:eastAsiaTheme="minorEastAsia" w:hAnsiTheme="minorHAnsi" w:cstheme="minorBidi"/>
          <w:noProof/>
          <w:lang w:eastAsia="en-AU"/>
        </w:rPr>
      </w:pPr>
      <w:hyperlink w:anchor="_Toc488068410" w:history="1">
        <w:r w:rsidR="00DD41D6" w:rsidRPr="004D177C">
          <w:rPr>
            <w:rStyle w:val="Hyperlink"/>
            <w:noProof/>
          </w:rPr>
          <w:t>Outpatient data review</w:t>
        </w:r>
        <w:r w:rsidR="00DD41D6">
          <w:rPr>
            <w:noProof/>
            <w:webHidden/>
          </w:rPr>
          <w:tab/>
        </w:r>
        <w:r w:rsidR="00DD41D6">
          <w:rPr>
            <w:noProof/>
            <w:webHidden/>
          </w:rPr>
          <w:fldChar w:fldCharType="begin"/>
        </w:r>
        <w:r w:rsidR="00DD41D6">
          <w:rPr>
            <w:noProof/>
            <w:webHidden/>
          </w:rPr>
          <w:instrText xml:space="preserve"> PAGEREF _Toc488068410 \h </w:instrText>
        </w:r>
        <w:r w:rsidR="00DD41D6">
          <w:rPr>
            <w:noProof/>
            <w:webHidden/>
          </w:rPr>
        </w:r>
        <w:r w:rsidR="00DD41D6">
          <w:rPr>
            <w:noProof/>
            <w:webHidden/>
          </w:rPr>
          <w:fldChar w:fldCharType="separate"/>
        </w:r>
        <w:r w:rsidR="00DD41D6">
          <w:rPr>
            <w:noProof/>
            <w:webHidden/>
          </w:rPr>
          <w:t>16</w:t>
        </w:r>
        <w:r w:rsidR="00DD41D6">
          <w:rPr>
            <w:noProof/>
            <w:webHidden/>
          </w:rPr>
          <w:fldChar w:fldCharType="end"/>
        </w:r>
      </w:hyperlink>
    </w:p>
    <w:p w:rsidR="00DD41D6" w:rsidRDefault="00FD2EB0">
      <w:pPr>
        <w:pStyle w:val="TOC1"/>
        <w:rPr>
          <w:rFonts w:asciiTheme="minorHAnsi" w:eastAsiaTheme="minorEastAsia" w:hAnsiTheme="minorHAnsi" w:cstheme="minorBidi"/>
          <w:b w:val="0"/>
          <w:szCs w:val="22"/>
          <w:lang w:eastAsia="en-AU"/>
        </w:rPr>
      </w:pPr>
      <w:hyperlink w:anchor="_Toc488068411" w:history="1">
        <w:r w:rsidR="00DD41D6" w:rsidRPr="004D177C">
          <w:rPr>
            <w:rStyle w:val="Hyperlink"/>
          </w:rPr>
          <w:t>Part F: Key Performance Indicators</w:t>
        </w:r>
        <w:r w:rsidR="00DD41D6">
          <w:rPr>
            <w:webHidden/>
          </w:rPr>
          <w:tab/>
        </w:r>
        <w:r w:rsidR="00DD41D6">
          <w:rPr>
            <w:webHidden/>
          </w:rPr>
          <w:fldChar w:fldCharType="begin"/>
        </w:r>
        <w:r w:rsidR="00DD41D6">
          <w:rPr>
            <w:webHidden/>
          </w:rPr>
          <w:instrText xml:space="preserve"> PAGEREF _Toc488068411 \h </w:instrText>
        </w:r>
        <w:r w:rsidR="00DD41D6">
          <w:rPr>
            <w:webHidden/>
          </w:rPr>
        </w:r>
        <w:r w:rsidR="00DD41D6">
          <w:rPr>
            <w:webHidden/>
          </w:rPr>
          <w:fldChar w:fldCharType="separate"/>
        </w:r>
        <w:r w:rsidR="00DD41D6">
          <w:rPr>
            <w:webHidden/>
          </w:rPr>
          <w:t>17</w:t>
        </w:r>
        <w:r w:rsidR="00DD41D6">
          <w:rPr>
            <w:webHidden/>
          </w:rPr>
          <w:fldChar w:fldCharType="end"/>
        </w:r>
      </w:hyperlink>
    </w:p>
    <w:p w:rsidR="00DD41D6" w:rsidRDefault="00FD2EB0">
      <w:pPr>
        <w:pStyle w:val="TOC1"/>
        <w:rPr>
          <w:rFonts w:asciiTheme="minorHAnsi" w:eastAsiaTheme="minorEastAsia" w:hAnsiTheme="minorHAnsi" w:cstheme="minorBidi"/>
          <w:b w:val="0"/>
          <w:szCs w:val="22"/>
          <w:lang w:eastAsia="en-AU"/>
        </w:rPr>
      </w:pPr>
      <w:hyperlink w:anchor="_Toc488068412" w:history="1">
        <w:r w:rsidR="00DD41D6" w:rsidRPr="004D177C">
          <w:rPr>
            <w:rStyle w:val="Hyperlink"/>
          </w:rPr>
          <w:t>Part G: Funding Allocation and Activity Schedules</w:t>
        </w:r>
        <w:r w:rsidR="00DD41D6">
          <w:rPr>
            <w:webHidden/>
          </w:rPr>
          <w:tab/>
        </w:r>
        <w:r w:rsidR="00DD41D6">
          <w:rPr>
            <w:webHidden/>
          </w:rPr>
          <w:fldChar w:fldCharType="begin"/>
        </w:r>
        <w:r w:rsidR="00DD41D6">
          <w:rPr>
            <w:webHidden/>
          </w:rPr>
          <w:instrText xml:space="preserve"> PAGEREF _Toc488068412 \h </w:instrText>
        </w:r>
        <w:r w:rsidR="00DD41D6">
          <w:rPr>
            <w:webHidden/>
          </w:rPr>
        </w:r>
        <w:r w:rsidR="00DD41D6">
          <w:rPr>
            <w:webHidden/>
          </w:rPr>
          <w:fldChar w:fldCharType="separate"/>
        </w:r>
        <w:r w:rsidR="00DD41D6">
          <w:rPr>
            <w:webHidden/>
          </w:rPr>
          <w:t>20</w:t>
        </w:r>
        <w:r w:rsidR="00DD41D6">
          <w:rPr>
            <w:webHidden/>
          </w:rPr>
          <w:fldChar w:fldCharType="end"/>
        </w:r>
      </w:hyperlink>
    </w:p>
    <w:p w:rsidR="00DD41D6" w:rsidRDefault="00FD2EB0">
      <w:pPr>
        <w:pStyle w:val="TOC2"/>
        <w:rPr>
          <w:rFonts w:asciiTheme="minorHAnsi" w:eastAsiaTheme="minorEastAsia" w:hAnsiTheme="minorHAnsi" w:cstheme="minorBidi"/>
          <w:szCs w:val="22"/>
          <w:lang w:eastAsia="en-AU"/>
        </w:rPr>
      </w:pPr>
      <w:hyperlink w:anchor="_Toc488068413" w:history="1">
        <w:r w:rsidR="00DD41D6" w:rsidRPr="004D177C">
          <w:rPr>
            <w:rStyle w:val="Hyperlink"/>
          </w:rPr>
          <w:t>2017-18 NWAU estimates</w:t>
        </w:r>
        <w:r w:rsidR="00DD41D6">
          <w:rPr>
            <w:webHidden/>
          </w:rPr>
          <w:tab/>
        </w:r>
        <w:r w:rsidR="00DD41D6">
          <w:rPr>
            <w:webHidden/>
          </w:rPr>
          <w:fldChar w:fldCharType="begin"/>
        </w:r>
        <w:r w:rsidR="00DD41D6">
          <w:rPr>
            <w:webHidden/>
          </w:rPr>
          <w:instrText xml:space="preserve"> PAGEREF _Toc488068413 \h </w:instrText>
        </w:r>
        <w:r w:rsidR="00DD41D6">
          <w:rPr>
            <w:webHidden/>
          </w:rPr>
        </w:r>
        <w:r w:rsidR="00DD41D6">
          <w:rPr>
            <w:webHidden/>
          </w:rPr>
          <w:fldChar w:fldCharType="separate"/>
        </w:r>
        <w:r w:rsidR="00DD41D6">
          <w:rPr>
            <w:webHidden/>
          </w:rPr>
          <w:t>25</w:t>
        </w:r>
        <w:r w:rsidR="00DD41D6">
          <w:rPr>
            <w:webHidden/>
          </w:rPr>
          <w:fldChar w:fldCharType="end"/>
        </w:r>
      </w:hyperlink>
    </w:p>
    <w:p w:rsidR="00DD41D6" w:rsidRDefault="00FD2EB0">
      <w:pPr>
        <w:pStyle w:val="TOC1"/>
        <w:rPr>
          <w:rFonts w:asciiTheme="minorHAnsi" w:eastAsiaTheme="minorEastAsia" w:hAnsiTheme="minorHAnsi" w:cstheme="minorBidi"/>
          <w:b w:val="0"/>
          <w:szCs w:val="22"/>
          <w:lang w:eastAsia="en-AU"/>
        </w:rPr>
      </w:pPr>
      <w:hyperlink w:anchor="_Toc488068414" w:history="1">
        <w:r w:rsidR="00DD41D6" w:rsidRPr="004D177C">
          <w:rPr>
            <w:rStyle w:val="Hyperlink"/>
          </w:rPr>
          <w:t>Appendix 1.</w:t>
        </w:r>
        <w:r w:rsidR="00DD41D6">
          <w:rPr>
            <w:webHidden/>
          </w:rPr>
          <w:tab/>
        </w:r>
        <w:r w:rsidR="00DD41D6">
          <w:rPr>
            <w:webHidden/>
          </w:rPr>
          <w:fldChar w:fldCharType="begin"/>
        </w:r>
        <w:r w:rsidR="00DD41D6">
          <w:rPr>
            <w:webHidden/>
          </w:rPr>
          <w:instrText xml:space="preserve"> PAGEREF _Toc488068414 \h </w:instrText>
        </w:r>
        <w:r w:rsidR="00DD41D6">
          <w:rPr>
            <w:webHidden/>
          </w:rPr>
        </w:r>
        <w:r w:rsidR="00DD41D6">
          <w:rPr>
            <w:webHidden/>
          </w:rPr>
          <w:fldChar w:fldCharType="separate"/>
        </w:r>
        <w:r w:rsidR="00DD41D6">
          <w:rPr>
            <w:webHidden/>
          </w:rPr>
          <w:t>26</w:t>
        </w:r>
        <w:r w:rsidR="00DD41D6">
          <w:rPr>
            <w:webHidden/>
          </w:rPr>
          <w:fldChar w:fldCharType="end"/>
        </w:r>
      </w:hyperlink>
    </w:p>
    <w:p w:rsidR="00DD41D6" w:rsidRDefault="00FD2EB0">
      <w:pPr>
        <w:pStyle w:val="TOC2"/>
        <w:rPr>
          <w:rFonts w:asciiTheme="minorHAnsi" w:eastAsiaTheme="minorEastAsia" w:hAnsiTheme="minorHAnsi" w:cstheme="minorBidi"/>
          <w:szCs w:val="22"/>
          <w:lang w:eastAsia="en-AU"/>
        </w:rPr>
      </w:pPr>
      <w:hyperlink w:anchor="_Toc488068415" w:history="1">
        <w:r w:rsidR="00DD41D6" w:rsidRPr="004D177C">
          <w:rPr>
            <w:rStyle w:val="Hyperlink"/>
          </w:rPr>
          <w:t>Mental Health Services</w:t>
        </w:r>
        <w:r w:rsidR="00DD41D6">
          <w:rPr>
            <w:webHidden/>
          </w:rPr>
          <w:tab/>
        </w:r>
        <w:r w:rsidR="00DD41D6">
          <w:rPr>
            <w:webHidden/>
          </w:rPr>
          <w:fldChar w:fldCharType="begin"/>
        </w:r>
        <w:r w:rsidR="00DD41D6">
          <w:rPr>
            <w:webHidden/>
          </w:rPr>
          <w:instrText xml:space="preserve"> PAGEREF _Toc488068415 \h </w:instrText>
        </w:r>
        <w:r w:rsidR="00DD41D6">
          <w:rPr>
            <w:webHidden/>
          </w:rPr>
        </w:r>
        <w:r w:rsidR="00DD41D6">
          <w:rPr>
            <w:webHidden/>
          </w:rPr>
          <w:fldChar w:fldCharType="separate"/>
        </w:r>
        <w:r w:rsidR="00DD41D6">
          <w:rPr>
            <w:webHidden/>
          </w:rPr>
          <w:t>26</w:t>
        </w:r>
        <w:r w:rsidR="00DD41D6">
          <w:rPr>
            <w:webHidden/>
          </w:rPr>
          <w:fldChar w:fldCharType="end"/>
        </w:r>
      </w:hyperlink>
    </w:p>
    <w:p w:rsidR="00DD41D6" w:rsidRDefault="00FD2EB0">
      <w:pPr>
        <w:pStyle w:val="TOC2"/>
        <w:rPr>
          <w:rFonts w:asciiTheme="minorHAnsi" w:eastAsiaTheme="minorEastAsia" w:hAnsiTheme="minorHAnsi" w:cstheme="minorBidi"/>
          <w:szCs w:val="22"/>
          <w:lang w:eastAsia="en-AU"/>
        </w:rPr>
      </w:pPr>
      <w:hyperlink w:anchor="_Toc488068416" w:history="1">
        <w:r w:rsidR="00DD41D6" w:rsidRPr="004D177C">
          <w:rPr>
            <w:rStyle w:val="Hyperlink"/>
          </w:rPr>
          <w:t>Forensic Mental Health Services</w:t>
        </w:r>
        <w:r w:rsidR="00DD41D6">
          <w:rPr>
            <w:webHidden/>
          </w:rPr>
          <w:tab/>
        </w:r>
        <w:r w:rsidR="00DD41D6">
          <w:rPr>
            <w:webHidden/>
          </w:rPr>
          <w:fldChar w:fldCharType="begin"/>
        </w:r>
        <w:r w:rsidR="00DD41D6">
          <w:rPr>
            <w:webHidden/>
          </w:rPr>
          <w:instrText xml:space="preserve"> PAGEREF _Toc488068416 \h </w:instrText>
        </w:r>
        <w:r w:rsidR="00DD41D6">
          <w:rPr>
            <w:webHidden/>
          </w:rPr>
        </w:r>
        <w:r w:rsidR="00DD41D6">
          <w:rPr>
            <w:webHidden/>
          </w:rPr>
          <w:fldChar w:fldCharType="separate"/>
        </w:r>
        <w:r w:rsidR="00DD41D6">
          <w:rPr>
            <w:webHidden/>
          </w:rPr>
          <w:t>27</w:t>
        </w:r>
        <w:r w:rsidR="00DD41D6">
          <w:rPr>
            <w:webHidden/>
          </w:rPr>
          <w:fldChar w:fldCharType="end"/>
        </w:r>
      </w:hyperlink>
    </w:p>
    <w:p w:rsidR="00DD41D6" w:rsidRDefault="00FD2EB0">
      <w:pPr>
        <w:pStyle w:val="TOC2"/>
        <w:rPr>
          <w:rFonts w:asciiTheme="minorHAnsi" w:eastAsiaTheme="minorEastAsia" w:hAnsiTheme="minorHAnsi" w:cstheme="minorBidi"/>
          <w:szCs w:val="22"/>
          <w:lang w:eastAsia="en-AU"/>
        </w:rPr>
      </w:pPr>
      <w:hyperlink w:anchor="_Toc488068417" w:history="1">
        <w:r w:rsidR="00DD41D6" w:rsidRPr="004D177C">
          <w:rPr>
            <w:rStyle w:val="Hyperlink"/>
          </w:rPr>
          <w:t>Alcohol and Drug Services</w:t>
        </w:r>
        <w:r w:rsidR="00DD41D6">
          <w:rPr>
            <w:webHidden/>
          </w:rPr>
          <w:tab/>
        </w:r>
        <w:r w:rsidR="00DD41D6">
          <w:rPr>
            <w:webHidden/>
          </w:rPr>
          <w:fldChar w:fldCharType="begin"/>
        </w:r>
        <w:r w:rsidR="00DD41D6">
          <w:rPr>
            <w:webHidden/>
          </w:rPr>
          <w:instrText xml:space="preserve"> PAGEREF _Toc488068417 \h </w:instrText>
        </w:r>
        <w:r w:rsidR="00DD41D6">
          <w:rPr>
            <w:webHidden/>
          </w:rPr>
        </w:r>
        <w:r w:rsidR="00DD41D6">
          <w:rPr>
            <w:webHidden/>
          </w:rPr>
          <w:fldChar w:fldCharType="separate"/>
        </w:r>
        <w:r w:rsidR="00DD41D6">
          <w:rPr>
            <w:webHidden/>
          </w:rPr>
          <w:t>27</w:t>
        </w:r>
        <w:r w:rsidR="00DD41D6">
          <w:rPr>
            <w:webHidden/>
          </w:rPr>
          <w:fldChar w:fldCharType="end"/>
        </w:r>
      </w:hyperlink>
    </w:p>
    <w:p w:rsidR="00DD41D6" w:rsidRDefault="00FD2EB0">
      <w:pPr>
        <w:pStyle w:val="TOC2"/>
        <w:rPr>
          <w:rFonts w:asciiTheme="minorHAnsi" w:eastAsiaTheme="minorEastAsia" w:hAnsiTheme="minorHAnsi" w:cstheme="minorBidi"/>
          <w:szCs w:val="22"/>
          <w:lang w:eastAsia="en-AU"/>
        </w:rPr>
      </w:pPr>
      <w:hyperlink w:anchor="_Toc488068418" w:history="1">
        <w:r w:rsidR="00DD41D6" w:rsidRPr="004D177C">
          <w:rPr>
            <w:rStyle w:val="Hyperlink"/>
          </w:rPr>
          <w:t>Correctional Primary Health Services</w:t>
        </w:r>
        <w:r w:rsidR="00DD41D6">
          <w:rPr>
            <w:webHidden/>
          </w:rPr>
          <w:tab/>
        </w:r>
        <w:r w:rsidR="00DD41D6">
          <w:rPr>
            <w:webHidden/>
          </w:rPr>
          <w:fldChar w:fldCharType="begin"/>
        </w:r>
        <w:r w:rsidR="00DD41D6">
          <w:rPr>
            <w:webHidden/>
          </w:rPr>
          <w:instrText xml:space="preserve"> PAGEREF _Toc488068418 \h </w:instrText>
        </w:r>
        <w:r w:rsidR="00DD41D6">
          <w:rPr>
            <w:webHidden/>
          </w:rPr>
        </w:r>
        <w:r w:rsidR="00DD41D6">
          <w:rPr>
            <w:webHidden/>
          </w:rPr>
          <w:fldChar w:fldCharType="separate"/>
        </w:r>
        <w:r w:rsidR="00DD41D6">
          <w:rPr>
            <w:webHidden/>
          </w:rPr>
          <w:t>28</w:t>
        </w:r>
        <w:r w:rsidR="00DD41D6">
          <w:rPr>
            <w:webHidden/>
          </w:rPr>
          <w:fldChar w:fldCharType="end"/>
        </w:r>
      </w:hyperlink>
    </w:p>
    <w:p w:rsidR="00DD41D6" w:rsidRDefault="00FD2EB0">
      <w:pPr>
        <w:pStyle w:val="TOC2"/>
        <w:rPr>
          <w:rFonts w:asciiTheme="minorHAnsi" w:eastAsiaTheme="minorEastAsia" w:hAnsiTheme="minorHAnsi" w:cstheme="minorBidi"/>
          <w:szCs w:val="22"/>
          <w:lang w:eastAsia="en-AU"/>
        </w:rPr>
      </w:pPr>
      <w:hyperlink w:anchor="_Toc488068419" w:history="1">
        <w:r w:rsidR="00DD41D6" w:rsidRPr="004D177C">
          <w:rPr>
            <w:rStyle w:val="Hyperlink"/>
          </w:rPr>
          <w:t>Oral Health Services</w:t>
        </w:r>
        <w:r w:rsidR="00DD41D6">
          <w:rPr>
            <w:webHidden/>
          </w:rPr>
          <w:tab/>
        </w:r>
        <w:r w:rsidR="00DD41D6">
          <w:rPr>
            <w:webHidden/>
          </w:rPr>
          <w:fldChar w:fldCharType="begin"/>
        </w:r>
        <w:r w:rsidR="00DD41D6">
          <w:rPr>
            <w:webHidden/>
          </w:rPr>
          <w:instrText xml:space="preserve"> PAGEREF _Toc488068419 \h </w:instrText>
        </w:r>
        <w:r w:rsidR="00DD41D6">
          <w:rPr>
            <w:webHidden/>
          </w:rPr>
        </w:r>
        <w:r w:rsidR="00DD41D6">
          <w:rPr>
            <w:webHidden/>
          </w:rPr>
          <w:fldChar w:fldCharType="separate"/>
        </w:r>
        <w:r w:rsidR="00DD41D6">
          <w:rPr>
            <w:webHidden/>
          </w:rPr>
          <w:t>29</w:t>
        </w:r>
        <w:r w:rsidR="00DD41D6">
          <w:rPr>
            <w:webHidden/>
          </w:rPr>
          <w:fldChar w:fldCharType="end"/>
        </w:r>
      </w:hyperlink>
    </w:p>
    <w:p w:rsidR="00DD41D6" w:rsidRDefault="00FD2EB0">
      <w:pPr>
        <w:pStyle w:val="TOC2"/>
        <w:rPr>
          <w:rFonts w:asciiTheme="minorHAnsi" w:eastAsiaTheme="minorEastAsia" w:hAnsiTheme="minorHAnsi" w:cstheme="minorBidi"/>
          <w:szCs w:val="22"/>
          <w:lang w:eastAsia="en-AU"/>
        </w:rPr>
      </w:pPr>
      <w:hyperlink w:anchor="_Toc488068420" w:history="1">
        <w:r w:rsidR="00DD41D6" w:rsidRPr="004D177C">
          <w:rPr>
            <w:rStyle w:val="Hyperlink"/>
          </w:rPr>
          <w:t>Cancer Screening and Control Services</w:t>
        </w:r>
        <w:r w:rsidR="00DD41D6">
          <w:rPr>
            <w:webHidden/>
          </w:rPr>
          <w:tab/>
        </w:r>
        <w:r w:rsidR="00DD41D6">
          <w:rPr>
            <w:webHidden/>
          </w:rPr>
          <w:fldChar w:fldCharType="begin"/>
        </w:r>
        <w:r w:rsidR="00DD41D6">
          <w:rPr>
            <w:webHidden/>
          </w:rPr>
          <w:instrText xml:space="preserve"> PAGEREF _Toc488068420 \h </w:instrText>
        </w:r>
        <w:r w:rsidR="00DD41D6">
          <w:rPr>
            <w:webHidden/>
          </w:rPr>
        </w:r>
        <w:r w:rsidR="00DD41D6">
          <w:rPr>
            <w:webHidden/>
          </w:rPr>
          <w:fldChar w:fldCharType="separate"/>
        </w:r>
        <w:r w:rsidR="00DD41D6">
          <w:rPr>
            <w:webHidden/>
          </w:rPr>
          <w:t>29</w:t>
        </w:r>
        <w:r w:rsidR="00DD41D6">
          <w:rPr>
            <w:webHidden/>
          </w:rPr>
          <w:fldChar w:fldCharType="end"/>
        </w:r>
      </w:hyperlink>
    </w:p>
    <w:p w:rsidR="00DD41D6" w:rsidRDefault="00FD2EB0">
      <w:pPr>
        <w:pStyle w:val="TOC2"/>
        <w:rPr>
          <w:rFonts w:asciiTheme="minorHAnsi" w:eastAsiaTheme="minorEastAsia" w:hAnsiTheme="minorHAnsi" w:cstheme="minorBidi"/>
          <w:szCs w:val="22"/>
          <w:lang w:eastAsia="en-AU"/>
        </w:rPr>
      </w:pPr>
      <w:hyperlink w:anchor="_Toc488068421" w:history="1">
        <w:r w:rsidR="00DD41D6" w:rsidRPr="004D177C">
          <w:rPr>
            <w:rStyle w:val="Hyperlink"/>
          </w:rPr>
          <w:t>Child Health and Parenting Service</w:t>
        </w:r>
        <w:r w:rsidR="00DD41D6">
          <w:rPr>
            <w:webHidden/>
          </w:rPr>
          <w:tab/>
        </w:r>
        <w:r w:rsidR="00DD41D6">
          <w:rPr>
            <w:webHidden/>
          </w:rPr>
          <w:fldChar w:fldCharType="begin"/>
        </w:r>
        <w:r w:rsidR="00DD41D6">
          <w:rPr>
            <w:webHidden/>
          </w:rPr>
          <w:instrText xml:space="preserve"> PAGEREF _Toc488068421 \h </w:instrText>
        </w:r>
        <w:r w:rsidR="00DD41D6">
          <w:rPr>
            <w:webHidden/>
          </w:rPr>
        </w:r>
        <w:r w:rsidR="00DD41D6">
          <w:rPr>
            <w:webHidden/>
          </w:rPr>
          <w:fldChar w:fldCharType="separate"/>
        </w:r>
        <w:r w:rsidR="00DD41D6">
          <w:rPr>
            <w:webHidden/>
          </w:rPr>
          <w:t>29</w:t>
        </w:r>
        <w:r w:rsidR="00DD41D6">
          <w:rPr>
            <w:webHidden/>
          </w:rPr>
          <w:fldChar w:fldCharType="end"/>
        </w:r>
      </w:hyperlink>
    </w:p>
    <w:p w:rsidR="00DD41D6" w:rsidRDefault="00FD2EB0">
      <w:pPr>
        <w:pStyle w:val="TOC2"/>
        <w:rPr>
          <w:rFonts w:asciiTheme="minorHAnsi" w:eastAsiaTheme="minorEastAsia" w:hAnsiTheme="minorHAnsi" w:cstheme="minorBidi"/>
          <w:szCs w:val="22"/>
          <w:lang w:eastAsia="en-AU"/>
        </w:rPr>
      </w:pPr>
      <w:hyperlink w:anchor="_Toc488068422" w:history="1">
        <w:r w:rsidR="00DD41D6" w:rsidRPr="004D177C">
          <w:rPr>
            <w:rStyle w:val="Hyperlink"/>
          </w:rPr>
          <w:t>Primary Health Services</w:t>
        </w:r>
        <w:r w:rsidR="00DD41D6">
          <w:rPr>
            <w:webHidden/>
          </w:rPr>
          <w:tab/>
        </w:r>
        <w:r w:rsidR="00DD41D6">
          <w:rPr>
            <w:webHidden/>
          </w:rPr>
          <w:fldChar w:fldCharType="begin"/>
        </w:r>
        <w:r w:rsidR="00DD41D6">
          <w:rPr>
            <w:webHidden/>
          </w:rPr>
          <w:instrText xml:space="preserve"> PAGEREF _Toc488068422 \h </w:instrText>
        </w:r>
        <w:r w:rsidR="00DD41D6">
          <w:rPr>
            <w:webHidden/>
          </w:rPr>
        </w:r>
        <w:r w:rsidR="00DD41D6">
          <w:rPr>
            <w:webHidden/>
          </w:rPr>
          <w:fldChar w:fldCharType="separate"/>
        </w:r>
        <w:r w:rsidR="00DD41D6">
          <w:rPr>
            <w:webHidden/>
          </w:rPr>
          <w:t>30</w:t>
        </w:r>
        <w:r w:rsidR="00DD41D6">
          <w:rPr>
            <w:webHidden/>
          </w:rPr>
          <w:fldChar w:fldCharType="end"/>
        </w:r>
      </w:hyperlink>
    </w:p>
    <w:p w:rsidR="00DD41D6" w:rsidRDefault="00FD2EB0">
      <w:pPr>
        <w:pStyle w:val="TOC1"/>
        <w:rPr>
          <w:rFonts w:asciiTheme="minorHAnsi" w:eastAsiaTheme="minorEastAsia" w:hAnsiTheme="minorHAnsi" w:cstheme="minorBidi"/>
          <w:b w:val="0"/>
          <w:szCs w:val="22"/>
          <w:lang w:eastAsia="en-AU"/>
        </w:rPr>
      </w:pPr>
      <w:hyperlink w:anchor="_Toc488068423" w:history="1">
        <w:r w:rsidR="00DD41D6" w:rsidRPr="004D177C">
          <w:rPr>
            <w:rStyle w:val="Hyperlink"/>
          </w:rPr>
          <w:t>Appendix 2 - Tasmanian Funding Model Parameters</w:t>
        </w:r>
        <w:r w:rsidR="00DD41D6">
          <w:rPr>
            <w:webHidden/>
          </w:rPr>
          <w:tab/>
        </w:r>
        <w:r w:rsidR="00DD41D6">
          <w:rPr>
            <w:webHidden/>
          </w:rPr>
          <w:fldChar w:fldCharType="begin"/>
        </w:r>
        <w:r w:rsidR="00DD41D6">
          <w:rPr>
            <w:webHidden/>
          </w:rPr>
          <w:instrText xml:space="preserve"> PAGEREF _Toc488068423 \h </w:instrText>
        </w:r>
        <w:r w:rsidR="00DD41D6">
          <w:rPr>
            <w:webHidden/>
          </w:rPr>
        </w:r>
        <w:r w:rsidR="00DD41D6">
          <w:rPr>
            <w:webHidden/>
          </w:rPr>
          <w:fldChar w:fldCharType="separate"/>
        </w:r>
        <w:r w:rsidR="00DD41D6">
          <w:rPr>
            <w:webHidden/>
          </w:rPr>
          <w:t>33</w:t>
        </w:r>
        <w:r w:rsidR="00DD41D6">
          <w:rPr>
            <w:webHidden/>
          </w:rPr>
          <w:fldChar w:fldCharType="end"/>
        </w:r>
      </w:hyperlink>
    </w:p>
    <w:p w:rsidR="000514D1" w:rsidRDefault="00856D73" w:rsidP="00AB6564">
      <w:pPr>
        <w:spacing w:after="140" w:line="300" w:lineRule="atLeast"/>
        <w:sectPr w:rsidR="000514D1" w:rsidSect="000514D1">
          <w:headerReference w:type="default" r:id="rId10"/>
          <w:footerReference w:type="default" r:id="rId11"/>
          <w:type w:val="continuous"/>
          <w:pgSz w:w="11906" w:h="16838" w:code="9"/>
          <w:pgMar w:top="907" w:right="1134" w:bottom="720" w:left="1134" w:header="709" w:footer="709" w:gutter="0"/>
          <w:pgNumType w:fmt="lowerRoman"/>
          <w:cols w:space="708"/>
          <w:docGrid w:linePitch="360"/>
        </w:sectPr>
      </w:pPr>
      <w:r>
        <w:rPr>
          <w:noProof/>
          <w:szCs w:val="36"/>
        </w:rPr>
        <w:fldChar w:fldCharType="end"/>
      </w:r>
    </w:p>
    <w:p w:rsidR="005C730D" w:rsidRPr="005A72F4" w:rsidRDefault="005C730D" w:rsidP="00AB6564">
      <w:pPr>
        <w:pStyle w:val="Heading1"/>
        <w:spacing w:before="0" w:after="140" w:line="300" w:lineRule="atLeast"/>
      </w:pPr>
      <w:bookmarkStart w:id="2" w:name="_Toc423357971"/>
      <w:bookmarkStart w:id="3" w:name="_Toc488068386"/>
      <w:r w:rsidRPr="00D154CA">
        <w:t>Service Commitment</w:t>
      </w:r>
      <w:bookmarkEnd w:id="2"/>
      <w:bookmarkEnd w:id="3"/>
    </w:p>
    <w:p w:rsidR="00ED3478" w:rsidRPr="00D74076" w:rsidRDefault="00ED3478" w:rsidP="00AB6564">
      <w:pPr>
        <w:tabs>
          <w:tab w:val="left" w:pos="567"/>
        </w:tabs>
        <w:spacing w:after="140" w:line="300" w:lineRule="atLeast"/>
        <w:rPr>
          <w:lang w:eastAsia="en-AU"/>
        </w:rPr>
      </w:pPr>
      <w:r w:rsidRPr="00D74076">
        <w:rPr>
          <w:lang w:eastAsia="en-AU"/>
        </w:rPr>
        <w:t xml:space="preserve">This Agreement is in accordance with the </w:t>
      </w:r>
      <w:r w:rsidRPr="00D74076">
        <w:rPr>
          <w:i/>
          <w:lang w:eastAsia="en-AU"/>
        </w:rPr>
        <w:t>Tasmanian Health Organisations Act</w:t>
      </w:r>
      <w:r w:rsidRPr="00D74076">
        <w:rPr>
          <w:lang w:eastAsia="en-AU"/>
        </w:rPr>
        <w:t xml:space="preserve"> 2011 (the Act).  The content and process for its preparation and agreement is consistent with the requirements outlined in sections 44 and 45 of the Act.</w:t>
      </w:r>
    </w:p>
    <w:p w:rsidR="000804A1" w:rsidRPr="00D74076" w:rsidRDefault="000804A1" w:rsidP="00AB6564">
      <w:pPr>
        <w:tabs>
          <w:tab w:val="left" w:pos="567"/>
        </w:tabs>
        <w:spacing w:after="140" w:line="300" w:lineRule="atLeast"/>
        <w:rPr>
          <w:lang w:eastAsia="en-AU"/>
        </w:rPr>
      </w:pPr>
      <w:r w:rsidRPr="00D74076">
        <w:rPr>
          <w:lang w:eastAsia="en-AU"/>
        </w:rPr>
        <w:t>The parties agree to work in collaboration to achieve the common goal of the establishment of a public sector health system that delivers safe, high quality health services and health support services so as to improve, promote, protect and maintain the health of Tasmanians.</w:t>
      </w:r>
    </w:p>
    <w:p w:rsidR="001F4897" w:rsidRDefault="001F4897" w:rsidP="00AB6564">
      <w:pPr>
        <w:spacing w:after="140" w:line="300" w:lineRule="atLeast"/>
        <w:rPr>
          <w:b/>
          <w:sz w:val="24"/>
          <w:szCs w:val="24"/>
        </w:rPr>
      </w:pPr>
    </w:p>
    <w:p w:rsidR="00794528" w:rsidRDefault="00754CC2" w:rsidP="00794528">
      <w:pPr>
        <w:spacing w:after="140" w:line="300" w:lineRule="atLeast"/>
        <w:rPr>
          <w:b/>
          <w:sz w:val="24"/>
          <w:szCs w:val="24"/>
        </w:rPr>
      </w:pPr>
      <w:r w:rsidRPr="00BB422E">
        <w:rPr>
          <w:b/>
          <w:sz w:val="24"/>
          <w:szCs w:val="24"/>
        </w:rPr>
        <w:t>Signed by</w:t>
      </w:r>
      <w:r w:rsidR="00C512F8" w:rsidRPr="00BB422E">
        <w:rPr>
          <w:b/>
          <w:sz w:val="24"/>
          <w:szCs w:val="24"/>
        </w:rPr>
        <w:t>:</w:t>
      </w:r>
    </w:p>
    <w:p w:rsidR="00794528" w:rsidRPr="007C09FE" w:rsidRDefault="00794528" w:rsidP="00794528">
      <w:pPr>
        <w:spacing w:after="140" w:line="300" w:lineRule="atLeast"/>
        <w:rPr>
          <w:b/>
          <w:sz w:val="72"/>
          <w:szCs w:val="24"/>
        </w:rPr>
      </w:pPr>
    </w:p>
    <w:p w:rsidR="007C09FE" w:rsidRDefault="007C09FE" w:rsidP="00794528">
      <w:pPr>
        <w:spacing w:after="140" w:line="300" w:lineRule="atLeast"/>
        <w:rPr>
          <w:sz w:val="24"/>
          <w:szCs w:val="24"/>
        </w:rPr>
      </w:pPr>
    </w:p>
    <w:tbl>
      <w:tblPr>
        <w:tblW w:w="0" w:type="auto"/>
        <w:tblLook w:val="04A0" w:firstRow="1" w:lastRow="0" w:firstColumn="1" w:lastColumn="0" w:noHBand="0" w:noVBand="1"/>
        <w:tblCaption w:val="Signature Block"/>
        <w:tblDescription w:val="Signature block for the Tasmanian Minister for Health and the Chair of the Governing Council of the THS"/>
      </w:tblPr>
      <w:tblGrid>
        <w:gridCol w:w="4219"/>
        <w:gridCol w:w="425"/>
        <w:gridCol w:w="4598"/>
      </w:tblGrid>
      <w:tr w:rsidR="007C09FE" w:rsidTr="007C09FE">
        <w:tc>
          <w:tcPr>
            <w:tcW w:w="4219" w:type="dxa"/>
            <w:tcBorders>
              <w:top w:val="single" w:sz="4" w:space="0" w:color="auto"/>
            </w:tcBorders>
          </w:tcPr>
          <w:p w:rsidR="007C09FE" w:rsidRDefault="007C09FE" w:rsidP="007C09FE">
            <w:pPr>
              <w:spacing w:after="140" w:line="300" w:lineRule="atLeast"/>
              <w:rPr>
                <w:sz w:val="24"/>
                <w:szCs w:val="24"/>
              </w:rPr>
            </w:pPr>
            <w:r>
              <w:rPr>
                <w:sz w:val="24"/>
                <w:szCs w:val="24"/>
              </w:rPr>
              <w:t>The Honourable Michael Ferguson MP</w:t>
            </w:r>
            <w:r>
              <w:rPr>
                <w:sz w:val="24"/>
                <w:szCs w:val="24"/>
              </w:rPr>
              <w:br/>
              <w:t>Tasmanian Minister for Health</w:t>
            </w:r>
          </w:p>
          <w:p w:rsidR="007C09FE" w:rsidRDefault="007C09FE" w:rsidP="007C09FE">
            <w:pPr>
              <w:spacing w:after="140" w:line="300" w:lineRule="atLeast"/>
              <w:rPr>
                <w:sz w:val="24"/>
                <w:szCs w:val="24"/>
              </w:rPr>
            </w:pPr>
            <w:r>
              <w:rPr>
                <w:sz w:val="24"/>
                <w:szCs w:val="24"/>
              </w:rPr>
              <w:t>Date signed:</w:t>
            </w:r>
          </w:p>
        </w:tc>
        <w:tc>
          <w:tcPr>
            <w:tcW w:w="425" w:type="dxa"/>
          </w:tcPr>
          <w:p w:rsidR="007C09FE" w:rsidRDefault="007C09FE" w:rsidP="00794528">
            <w:pPr>
              <w:spacing w:after="140" w:line="300" w:lineRule="atLeast"/>
              <w:rPr>
                <w:sz w:val="24"/>
                <w:szCs w:val="24"/>
              </w:rPr>
            </w:pPr>
          </w:p>
        </w:tc>
        <w:tc>
          <w:tcPr>
            <w:tcW w:w="4598" w:type="dxa"/>
            <w:tcBorders>
              <w:top w:val="single" w:sz="4" w:space="0" w:color="auto"/>
            </w:tcBorders>
          </w:tcPr>
          <w:p w:rsidR="007C09FE" w:rsidRDefault="007C09FE" w:rsidP="00794528">
            <w:pPr>
              <w:spacing w:after="140" w:line="300" w:lineRule="atLeast"/>
              <w:rPr>
                <w:sz w:val="24"/>
                <w:szCs w:val="24"/>
              </w:rPr>
            </w:pPr>
            <w:r>
              <w:rPr>
                <w:sz w:val="24"/>
                <w:szCs w:val="24"/>
              </w:rPr>
              <w:t>John Ramsay</w:t>
            </w:r>
            <w:r>
              <w:rPr>
                <w:sz w:val="24"/>
                <w:szCs w:val="24"/>
              </w:rPr>
              <w:br/>
              <w:t>Chair of the Governing Council of the THS</w:t>
            </w:r>
          </w:p>
          <w:p w:rsidR="007C09FE" w:rsidRDefault="007C09FE" w:rsidP="00794528">
            <w:pPr>
              <w:spacing w:after="140" w:line="300" w:lineRule="atLeast"/>
              <w:rPr>
                <w:sz w:val="24"/>
                <w:szCs w:val="24"/>
              </w:rPr>
            </w:pPr>
            <w:r>
              <w:rPr>
                <w:sz w:val="24"/>
                <w:szCs w:val="24"/>
              </w:rPr>
              <w:t>Date signed:</w:t>
            </w:r>
          </w:p>
        </w:tc>
      </w:tr>
    </w:tbl>
    <w:p w:rsidR="007C09FE" w:rsidRDefault="007C09FE" w:rsidP="00794528">
      <w:pPr>
        <w:spacing w:after="140" w:line="300" w:lineRule="atLeast"/>
        <w:rPr>
          <w:sz w:val="24"/>
          <w:szCs w:val="24"/>
        </w:rPr>
      </w:pPr>
    </w:p>
    <w:p w:rsidR="005C730D" w:rsidRPr="00B70A71" w:rsidRDefault="00FE0568" w:rsidP="00AB6564">
      <w:pPr>
        <w:pStyle w:val="Heading1"/>
        <w:spacing w:before="0" w:after="140" w:line="300" w:lineRule="atLeast"/>
        <w:rPr>
          <w:b w:val="0"/>
          <w:lang w:val="en-AU"/>
        </w:rPr>
      </w:pPr>
      <w:bookmarkStart w:id="4" w:name="_Toc423357972"/>
      <w:bookmarkStart w:id="5" w:name="_Toc488068387"/>
      <w:r>
        <w:rPr>
          <w:lang w:val="en-AU"/>
        </w:rPr>
        <w:t>Service</w:t>
      </w:r>
      <w:r w:rsidR="00B70A71">
        <w:t xml:space="preserve"> Agreement 201</w:t>
      </w:r>
      <w:r w:rsidR="001700F6">
        <w:rPr>
          <w:lang w:val="en-AU"/>
        </w:rPr>
        <w:t>7</w:t>
      </w:r>
      <w:r w:rsidR="00307708">
        <w:t>-</w:t>
      </w:r>
      <w:r w:rsidR="005C730D" w:rsidRPr="00FD6F69">
        <w:t>1</w:t>
      </w:r>
      <w:bookmarkEnd w:id="4"/>
      <w:r w:rsidR="001700F6">
        <w:rPr>
          <w:lang w:val="en-AU"/>
        </w:rPr>
        <w:t>8</w:t>
      </w:r>
      <w:bookmarkEnd w:id="5"/>
    </w:p>
    <w:p w:rsidR="005C730D" w:rsidRPr="0080216C" w:rsidRDefault="0003268B" w:rsidP="00AB6564">
      <w:pPr>
        <w:spacing w:after="140" w:line="300" w:lineRule="atLeast"/>
      </w:pPr>
      <w:r>
        <w:t>This Agreement</w:t>
      </w:r>
      <w:r w:rsidR="005C730D" w:rsidRPr="0080216C">
        <w:t xml:space="preserve"> is between the Minister for Health (the Minister) and the </w:t>
      </w:r>
      <w:r>
        <w:t>THS Governing Council (THS GC).</w:t>
      </w:r>
      <w:r w:rsidR="00AB6564">
        <w:t xml:space="preserve">  It applies </w:t>
      </w:r>
      <w:r w:rsidR="001700F6">
        <w:t>from 1 July 2017</w:t>
      </w:r>
      <w:r w:rsidR="005C730D" w:rsidRPr="0080216C">
        <w:t xml:space="preserve"> to 30 June 201</w:t>
      </w:r>
      <w:r w:rsidR="001700F6">
        <w:t>8</w:t>
      </w:r>
      <w:r w:rsidR="005C730D" w:rsidRPr="0080216C">
        <w:t>.  It does not override existing laws, agreements</w:t>
      </w:r>
      <w:r w:rsidR="005713EB" w:rsidRPr="0080216C">
        <w:t>,</w:t>
      </w:r>
      <w:r w:rsidR="005C730D" w:rsidRPr="0080216C">
        <w:t xml:space="preserve"> public sector codes, statutes</w:t>
      </w:r>
      <w:r w:rsidR="005713EB" w:rsidRPr="0080216C">
        <w:t>,</w:t>
      </w:r>
      <w:r w:rsidR="005C730D" w:rsidRPr="0080216C">
        <w:t xml:space="preserve"> government policies or contracts.</w:t>
      </w:r>
    </w:p>
    <w:p w:rsidR="005C730D" w:rsidRPr="0080216C" w:rsidRDefault="005C730D" w:rsidP="00AB6564">
      <w:pPr>
        <w:spacing w:after="140" w:line="300" w:lineRule="atLeast"/>
      </w:pPr>
      <w:r w:rsidRPr="0080216C">
        <w:t xml:space="preserve">The evaluation of THS performance against the requirements of </w:t>
      </w:r>
      <w:r w:rsidR="0003268B">
        <w:t>this Agreement</w:t>
      </w:r>
      <w:r w:rsidRPr="0080216C">
        <w:t xml:space="preserve"> will b</w:t>
      </w:r>
      <w:r w:rsidR="00307708">
        <w:t>e undertaken as outlined in the</w:t>
      </w:r>
      <w:r w:rsidRPr="00147DB7">
        <w:t xml:space="preserve"> Performance Framework</w:t>
      </w:r>
      <w:r w:rsidR="00550DED" w:rsidRPr="00147DB7">
        <w:t xml:space="preserve"> </w:t>
      </w:r>
      <w:r w:rsidR="00550DED" w:rsidRPr="00550DED">
        <w:t>(refer Part C of this Agreement</w:t>
      </w:r>
      <w:r w:rsidR="00550DED" w:rsidRPr="00147DB7">
        <w:t>)</w:t>
      </w:r>
      <w:r w:rsidRPr="0080216C">
        <w:t>.</w:t>
      </w:r>
    </w:p>
    <w:p w:rsidR="00233F8E" w:rsidRDefault="005C730D" w:rsidP="00AB6564">
      <w:pPr>
        <w:spacing w:after="140" w:line="300" w:lineRule="atLeast"/>
      </w:pPr>
      <w:r w:rsidRPr="0080216C">
        <w:t xml:space="preserve">The THS </w:t>
      </w:r>
      <w:r w:rsidR="00550DED">
        <w:t xml:space="preserve">GC </w:t>
      </w:r>
      <w:r w:rsidRPr="0080216C">
        <w:t xml:space="preserve">will ensure that structures and processes </w:t>
      </w:r>
      <w:r w:rsidR="00233F8E">
        <w:t>are in place to:</w:t>
      </w:r>
    </w:p>
    <w:p w:rsidR="00233F8E" w:rsidRPr="00B10D60" w:rsidRDefault="005C730D" w:rsidP="00AB6564">
      <w:pPr>
        <w:pStyle w:val="ListParagraph"/>
        <w:numPr>
          <w:ilvl w:val="0"/>
          <w:numId w:val="27"/>
        </w:numPr>
        <w:spacing w:after="140" w:line="300" w:lineRule="atLeast"/>
        <w:ind w:left="357" w:right="0" w:hanging="357"/>
        <w:jc w:val="left"/>
        <w:rPr>
          <w:rFonts w:ascii="Gill Sans MT" w:hAnsi="Gill Sans MT"/>
        </w:rPr>
      </w:pPr>
      <w:r w:rsidRPr="00B10D60">
        <w:rPr>
          <w:rFonts w:ascii="Gill Sans MT" w:hAnsi="Gill Sans MT"/>
        </w:rPr>
        <w:t xml:space="preserve">comply with the requirements of </w:t>
      </w:r>
      <w:r w:rsidR="0003268B">
        <w:rPr>
          <w:rFonts w:ascii="Gill Sans MT" w:hAnsi="Gill Sans MT"/>
        </w:rPr>
        <w:t>this Agreement</w:t>
      </w:r>
      <w:r w:rsidR="00233F8E" w:rsidRPr="00B10D60">
        <w:rPr>
          <w:rFonts w:ascii="Gill Sans MT" w:hAnsi="Gill Sans MT"/>
        </w:rPr>
        <w:t>;</w:t>
      </w:r>
    </w:p>
    <w:p w:rsidR="00233F8E" w:rsidRPr="00B10D60" w:rsidRDefault="005C730D" w:rsidP="00AB6564">
      <w:pPr>
        <w:pStyle w:val="ListParagraph"/>
        <w:numPr>
          <w:ilvl w:val="0"/>
          <w:numId w:val="27"/>
        </w:numPr>
        <w:spacing w:after="140" w:line="300" w:lineRule="atLeast"/>
        <w:ind w:left="357" w:right="0" w:hanging="357"/>
        <w:jc w:val="left"/>
        <w:rPr>
          <w:rFonts w:ascii="Gill Sans MT" w:hAnsi="Gill Sans MT"/>
        </w:rPr>
      </w:pPr>
      <w:r w:rsidRPr="00B10D60">
        <w:rPr>
          <w:rFonts w:ascii="Gill Sans MT" w:hAnsi="Gill Sans MT"/>
        </w:rPr>
        <w:t>fulfil its statutory obligations</w:t>
      </w:r>
      <w:r w:rsidR="00233F8E" w:rsidRPr="00B10D60">
        <w:rPr>
          <w:rFonts w:ascii="Gill Sans MT" w:hAnsi="Gill Sans MT"/>
        </w:rPr>
        <w:t>;</w:t>
      </w:r>
    </w:p>
    <w:p w:rsidR="00233F8E" w:rsidRPr="00B10D60" w:rsidRDefault="005C730D" w:rsidP="00AB6564">
      <w:pPr>
        <w:pStyle w:val="ListParagraph"/>
        <w:numPr>
          <w:ilvl w:val="0"/>
          <w:numId w:val="27"/>
        </w:numPr>
        <w:spacing w:after="140" w:line="300" w:lineRule="atLeast"/>
        <w:ind w:left="357" w:right="0" w:hanging="357"/>
        <w:jc w:val="left"/>
        <w:rPr>
          <w:rFonts w:ascii="Gill Sans MT" w:hAnsi="Gill Sans MT"/>
        </w:rPr>
      </w:pPr>
      <w:r w:rsidRPr="00B10D60">
        <w:rPr>
          <w:rFonts w:ascii="Gill Sans MT" w:hAnsi="Gill Sans MT"/>
        </w:rPr>
        <w:t>ensure good corporate governance (as outlined in the Act)</w:t>
      </w:r>
      <w:r w:rsidR="00233F8E" w:rsidRPr="00B10D60">
        <w:rPr>
          <w:rFonts w:ascii="Gill Sans MT" w:hAnsi="Gill Sans MT"/>
        </w:rPr>
        <w:t>;</w:t>
      </w:r>
      <w:r w:rsidRPr="00B10D60">
        <w:rPr>
          <w:rFonts w:ascii="Gill Sans MT" w:hAnsi="Gill Sans MT"/>
        </w:rPr>
        <w:t xml:space="preserve"> and </w:t>
      </w:r>
    </w:p>
    <w:p w:rsidR="005C730D" w:rsidRPr="00B10D60" w:rsidRDefault="00235CC3" w:rsidP="00AB6564">
      <w:pPr>
        <w:pStyle w:val="ListParagraph"/>
        <w:numPr>
          <w:ilvl w:val="0"/>
          <w:numId w:val="27"/>
        </w:numPr>
        <w:spacing w:after="140" w:line="300" w:lineRule="atLeast"/>
        <w:ind w:left="357" w:right="0" w:hanging="357"/>
        <w:jc w:val="left"/>
        <w:rPr>
          <w:rFonts w:ascii="Gill Sans MT" w:hAnsi="Gill Sans MT"/>
        </w:rPr>
      </w:pPr>
      <w:proofErr w:type="gramStart"/>
      <w:r w:rsidRPr="00B10D60">
        <w:rPr>
          <w:rFonts w:ascii="Gill Sans MT" w:hAnsi="Gill Sans MT"/>
        </w:rPr>
        <w:t>f</w:t>
      </w:r>
      <w:r w:rsidR="00233F8E" w:rsidRPr="00B10D60">
        <w:rPr>
          <w:rFonts w:ascii="Gill Sans MT" w:hAnsi="Gill Sans MT"/>
        </w:rPr>
        <w:t>ollow</w:t>
      </w:r>
      <w:proofErr w:type="gramEnd"/>
      <w:r w:rsidR="00233F8E" w:rsidRPr="00B10D60">
        <w:rPr>
          <w:rFonts w:ascii="Gill Sans MT" w:hAnsi="Gill Sans MT"/>
        </w:rPr>
        <w:t xml:space="preserve"> </w:t>
      </w:r>
      <w:r w:rsidR="005C730D" w:rsidRPr="00B10D60">
        <w:rPr>
          <w:rFonts w:ascii="Gill Sans MT" w:hAnsi="Gill Sans MT"/>
        </w:rPr>
        <w:t xml:space="preserve">operational directives, policy and procedural manuals and technical bulletins as issued by the Department in its role as </w:t>
      </w:r>
      <w:r w:rsidR="0000389D" w:rsidRPr="00B10D60">
        <w:rPr>
          <w:rFonts w:ascii="Gill Sans MT" w:hAnsi="Gill Sans MT"/>
        </w:rPr>
        <w:t>s</w:t>
      </w:r>
      <w:r w:rsidR="005C730D" w:rsidRPr="00B10D60">
        <w:rPr>
          <w:rFonts w:ascii="Gill Sans MT" w:hAnsi="Gill Sans MT"/>
        </w:rPr>
        <w:t xml:space="preserve">ystem </w:t>
      </w:r>
      <w:r w:rsidR="0000389D" w:rsidRPr="00B10D60">
        <w:rPr>
          <w:rFonts w:ascii="Gill Sans MT" w:hAnsi="Gill Sans MT"/>
        </w:rPr>
        <w:t>m</w:t>
      </w:r>
      <w:r w:rsidR="005C730D" w:rsidRPr="00B10D60">
        <w:rPr>
          <w:rFonts w:ascii="Gill Sans MT" w:hAnsi="Gill Sans MT"/>
        </w:rPr>
        <w:t>anager.</w:t>
      </w:r>
    </w:p>
    <w:p w:rsidR="006D77FB" w:rsidRPr="0080216C" w:rsidRDefault="0003268B" w:rsidP="00AB6564">
      <w:pPr>
        <w:spacing w:after="140" w:line="300" w:lineRule="atLeast"/>
      </w:pPr>
      <w:r>
        <w:t>This Agreement</w:t>
      </w:r>
      <w:r w:rsidR="0075713F" w:rsidRPr="0080216C">
        <w:t xml:space="preserve"> consists of:</w:t>
      </w:r>
    </w:p>
    <w:p w:rsidR="000D23C0" w:rsidRPr="00B10D60" w:rsidRDefault="00DF4801" w:rsidP="00AB6564">
      <w:pPr>
        <w:pStyle w:val="ListParagraph"/>
        <w:numPr>
          <w:ilvl w:val="0"/>
          <w:numId w:val="27"/>
        </w:numPr>
        <w:spacing w:after="140" w:line="300" w:lineRule="atLeast"/>
        <w:ind w:left="357" w:right="0" w:hanging="357"/>
        <w:jc w:val="left"/>
        <w:rPr>
          <w:rFonts w:ascii="Gill Sans MT" w:hAnsi="Gill Sans MT"/>
        </w:rPr>
      </w:pPr>
      <w:r>
        <w:rPr>
          <w:rFonts w:ascii="Gill Sans MT" w:hAnsi="Gill Sans MT"/>
        </w:rPr>
        <w:t>Part A Tasmanian Public</w:t>
      </w:r>
      <w:r w:rsidR="000D23C0" w:rsidRPr="00B10D60">
        <w:rPr>
          <w:rFonts w:ascii="Gill Sans MT" w:hAnsi="Gill Sans MT"/>
        </w:rPr>
        <w:t xml:space="preserve"> H</w:t>
      </w:r>
      <w:r w:rsidR="0042269B" w:rsidRPr="00B10D60">
        <w:rPr>
          <w:rFonts w:ascii="Gill Sans MT" w:hAnsi="Gill Sans MT"/>
        </w:rPr>
        <w:t>ealth System – Accountabilities</w:t>
      </w:r>
      <w:r w:rsidR="0003268B">
        <w:rPr>
          <w:rFonts w:ascii="Gill Sans MT" w:hAnsi="Gill Sans MT"/>
        </w:rPr>
        <w:t>.</w:t>
      </w:r>
    </w:p>
    <w:p w:rsidR="001E7282" w:rsidRDefault="001E7282" w:rsidP="00AB6564">
      <w:pPr>
        <w:pStyle w:val="ListParagraph"/>
        <w:numPr>
          <w:ilvl w:val="0"/>
          <w:numId w:val="27"/>
        </w:numPr>
        <w:spacing w:after="140" w:line="300" w:lineRule="atLeast"/>
        <w:ind w:left="357" w:right="0" w:hanging="357"/>
        <w:jc w:val="left"/>
        <w:rPr>
          <w:rFonts w:ascii="Gill Sans MT" w:hAnsi="Gill Sans MT"/>
        </w:rPr>
      </w:pPr>
      <w:r w:rsidRPr="00B10D60">
        <w:rPr>
          <w:rFonts w:ascii="Gill Sans MT" w:hAnsi="Gill Sans MT"/>
        </w:rPr>
        <w:t>Part B</w:t>
      </w:r>
      <w:r w:rsidR="000D23C0" w:rsidRPr="00B10D60">
        <w:rPr>
          <w:rFonts w:ascii="Gill Sans MT" w:hAnsi="Gill Sans MT"/>
        </w:rPr>
        <w:t xml:space="preserve"> </w:t>
      </w:r>
      <w:r w:rsidR="004A1BAD" w:rsidRPr="00B10D60">
        <w:rPr>
          <w:rFonts w:ascii="Gill Sans MT" w:hAnsi="Gill Sans MT"/>
        </w:rPr>
        <w:t>THS</w:t>
      </w:r>
      <w:r w:rsidR="000D23C0" w:rsidRPr="00B10D60">
        <w:rPr>
          <w:rFonts w:ascii="Gill Sans MT" w:hAnsi="Gill Sans MT"/>
        </w:rPr>
        <w:t xml:space="preserve"> Profile</w:t>
      </w:r>
      <w:r w:rsidR="0003268B">
        <w:rPr>
          <w:rFonts w:ascii="Gill Sans MT" w:hAnsi="Gill Sans MT"/>
        </w:rPr>
        <w:t>.</w:t>
      </w:r>
    </w:p>
    <w:p w:rsidR="007A767A" w:rsidRDefault="007A767A" w:rsidP="00AB6564">
      <w:pPr>
        <w:pStyle w:val="ListParagraph"/>
        <w:numPr>
          <w:ilvl w:val="0"/>
          <w:numId w:val="27"/>
        </w:numPr>
        <w:spacing w:after="140" w:line="300" w:lineRule="atLeast"/>
        <w:ind w:left="357" w:right="0" w:hanging="357"/>
        <w:jc w:val="left"/>
        <w:rPr>
          <w:rFonts w:ascii="Gill Sans MT" w:hAnsi="Gill Sans MT"/>
        </w:rPr>
      </w:pPr>
      <w:r>
        <w:rPr>
          <w:rFonts w:ascii="Gill Sans MT" w:hAnsi="Gill Sans MT"/>
        </w:rPr>
        <w:t>Part C Performance Framework</w:t>
      </w:r>
      <w:r w:rsidR="0003268B">
        <w:rPr>
          <w:rFonts w:ascii="Gill Sans MT" w:hAnsi="Gill Sans MT"/>
        </w:rPr>
        <w:t>.</w:t>
      </w:r>
    </w:p>
    <w:p w:rsidR="007A767A" w:rsidRDefault="007A767A" w:rsidP="00AB6564">
      <w:pPr>
        <w:pStyle w:val="ListParagraph"/>
        <w:numPr>
          <w:ilvl w:val="0"/>
          <w:numId w:val="27"/>
        </w:numPr>
        <w:spacing w:after="140" w:line="300" w:lineRule="atLeast"/>
        <w:ind w:left="357" w:right="0" w:hanging="357"/>
        <w:jc w:val="left"/>
        <w:rPr>
          <w:rFonts w:ascii="Gill Sans MT" w:hAnsi="Gill Sans MT"/>
        </w:rPr>
      </w:pPr>
      <w:r>
        <w:rPr>
          <w:rFonts w:ascii="Gill Sans MT" w:hAnsi="Gill Sans MT"/>
        </w:rPr>
        <w:t>Part D Statement of Purchaser Intent</w:t>
      </w:r>
      <w:r w:rsidR="0003268B">
        <w:rPr>
          <w:rFonts w:ascii="Gill Sans MT" w:hAnsi="Gill Sans MT"/>
        </w:rPr>
        <w:t>.</w:t>
      </w:r>
    </w:p>
    <w:p w:rsidR="007A767A" w:rsidRPr="00B10D60" w:rsidRDefault="007A767A" w:rsidP="00AB6564">
      <w:pPr>
        <w:pStyle w:val="ListParagraph"/>
        <w:numPr>
          <w:ilvl w:val="0"/>
          <w:numId w:val="27"/>
        </w:numPr>
        <w:spacing w:after="140" w:line="300" w:lineRule="atLeast"/>
        <w:ind w:left="357" w:right="0" w:hanging="357"/>
        <w:jc w:val="left"/>
        <w:rPr>
          <w:rFonts w:ascii="Gill Sans MT" w:hAnsi="Gill Sans MT"/>
        </w:rPr>
      </w:pPr>
      <w:r>
        <w:rPr>
          <w:rFonts w:ascii="Gill Sans MT" w:hAnsi="Gill Sans MT"/>
        </w:rPr>
        <w:t xml:space="preserve">Part E </w:t>
      </w:r>
      <w:r w:rsidR="0003268B">
        <w:rPr>
          <w:rFonts w:ascii="Gill Sans MT" w:hAnsi="Gill Sans MT"/>
        </w:rPr>
        <w:t>2017-18</w:t>
      </w:r>
      <w:r>
        <w:rPr>
          <w:rFonts w:ascii="Gill Sans MT" w:hAnsi="Gill Sans MT"/>
        </w:rPr>
        <w:t xml:space="preserve"> Priorities</w:t>
      </w:r>
      <w:r w:rsidR="0003268B">
        <w:rPr>
          <w:rFonts w:ascii="Gill Sans MT" w:hAnsi="Gill Sans MT"/>
        </w:rPr>
        <w:t>.</w:t>
      </w:r>
    </w:p>
    <w:p w:rsidR="001E7282" w:rsidRPr="00B10D60" w:rsidRDefault="007A767A" w:rsidP="00AB6564">
      <w:pPr>
        <w:pStyle w:val="ListParagraph"/>
        <w:numPr>
          <w:ilvl w:val="0"/>
          <w:numId w:val="27"/>
        </w:numPr>
        <w:spacing w:after="140" w:line="300" w:lineRule="atLeast"/>
        <w:ind w:left="357" w:right="0" w:hanging="357"/>
        <w:jc w:val="left"/>
        <w:rPr>
          <w:rFonts w:ascii="Gill Sans MT" w:hAnsi="Gill Sans MT"/>
        </w:rPr>
      </w:pPr>
      <w:r>
        <w:rPr>
          <w:rFonts w:ascii="Gill Sans MT" w:hAnsi="Gill Sans MT"/>
        </w:rPr>
        <w:t xml:space="preserve">Part </w:t>
      </w:r>
      <w:proofErr w:type="spellStart"/>
      <w:r>
        <w:rPr>
          <w:rFonts w:ascii="Gill Sans MT" w:hAnsi="Gill Sans MT"/>
        </w:rPr>
        <w:t>F</w:t>
      </w:r>
      <w:proofErr w:type="spellEnd"/>
      <w:r w:rsidR="001E7282" w:rsidRPr="00B10D60">
        <w:rPr>
          <w:rFonts w:ascii="Gill Sans MT" w:hAnsi="Gill Sans MT"/>
        </w:rPr>
        <w:t xml:space="preserve"> </w:t>
      </w:r>
      <w:r w:rsidR="0042269B" w:rsidRPr="00B10D60">
        <w:rPr>
          <w:rFonts w:ascii="Gill Sans MT" w:hAnsi="Gill Sans MT"/>
        </w:rPr>
        <w:t>Key Performance Indicators</w:t>
      </w:r>
      <w:r w:rsidR="0003268B">
        <w:rPr>
          <w:rFonts w:ascii="Gill Sans MT" w:hAnsi="Gill Sans MT"/>
        </w:rPr>
        <w:t>.</w:t>
      </w:r>
    </w:p>
    <w:p w:rsidR="001F4897" w:rsidRPr="001F4897" w:rsidRDefault="007A767A" w:rsidP="00AB6564">
      <w:pPr>
        <w:pStyle w:val="ListParagraph"/>
        <w:numPr>
          <w:ilvl w:val="0"/>
          <w:numId w:val="27"/>
        </w:numPr>
        <w:spacing w:after="140" w:line="300" w:lineRule="atLeast"/>
        <w:ind w:left="357" w:right="0" w:hanging="357"/>
        <w:jc w:val="left"/>
        <w:rPr>
          <w:rFonts w:ascii="Gill Sans MT" w:hAnsi="Gill Sans MT"/>
        </w:rPr>
      </w:pPr>
      <w:r>
        <w:rPr>
          <w:rFonts w:ascii="Gill Sans MT" w:hAnsi="Gill Sans MT"/>
        </w:rPr>
        <w:t>Part G</w:t>
      </w:r>
      <w:r w:rsidR="001E7282" w:rsidRPr="00B10D60">
        <w:rPr>
          <w:rFonts w:ascii="Gill Sans MT" w:hAnsi="Gill Sans MT"/>
        </w:rPr>
        <w:t xml:space="preserve"> </w:t>
      </w:r>
      <w:r w:rsidR="00737D6E" w:rsidRPr="00B10D60">
        <w:rPr>
          <w:rFonts w:ascii="Gill Sans MT" w:hAnsi="Gill Sans MT"/>
        </w:rPr>
        <w:t>Funding Allocation</w:t>
      </w:r>
      <w:r w:rsidR="003F10A3" w:rsidRPr="00B10D60">
        <w:rPr>
          <w:rFonts w:ascii="Gill Sans MT" w:hAnsi="Gill Sans MT"/>
        </w:rPr>
        <w:t xml:space="preserve"> and Activity Schedules</w:t>
      </w:r>
      <w:r w:rsidR="0003268B">
        <w:rPr>
          <w:rFonts w:ascii="Gill Sans MT" w:hAnsi="Gill Sans MT"/>
        </w:rPr>
        <w:t>.</w:t>
      </w:r>
      <w:bookmarkStart w:id="6" w:name="_Toc423357973"/>
    </w:p>
    <w:p w:rsidR="005C730D" w:rsidRPr="002A7387" w:rsidRDefault="005C730D" w:rsidP="00AB6564">
      <w:pPr>
        <w:pStyle w:val="Heading2"/>
        <w:spacing w:before="0" w:after="140" w:line="300" w:lineRule="atLeast"/>
      </w:pPr>
      <w:bookmarkStart w:id="7" w:name="_Toc488068388"/>
      <w:r w:rsidRPr="005C64A1">
        <w:t>Variation of the Service Agreement</w:t>
      </w:r>
      <w:bookmarkEnd w:id="6"/>
      <w:bookmarkEnd w:id="7"/>
    </w:p>
    <w:p w:rsidR="005C730D" w:rsidRPr="0080216C" w:rsidRDefault="005C730D" w:rsidP="00AB6564">
      <w:pPr>
        <w:spacing w:after="140" w:line="300" w:lineRule="atLeast"/>
      </w:pPr>
      <w:r w:rsidRPr="0080216C">
        <w:t xml:space="preserve">As outlined in section 44 of the Act, </w:t>
      </w:r>
      <w:r w:rsidR="0003268B">
        <w:t>this Agreement</w:t>
      </w:r>
      <w:r w:rsidRPr="0080216C">
        <w:t xml:space="preserve"> may at any time, before or during the financial year, be amended by agreement in writing between the Minister and the </w:t>
      </w:r>
      <w:r w:rsidR="0003268B">
        <w:t>THS GC</w:t>
      </w:r>
      <w:r w:rsidRPr="0080216C">
        <w:t xml:space="preserve">, or be amended by notice in writing by the Minister to the </w:t>
      </w:r>
      <w:r w:rsidR="0003268B">
        <w:t>THS GC</w:t>
      </w:r>
      <w:r w:rsidR="00250AA6" w:rsidRPr="0080216C">
        <w:t xml:space="preserve"> </w:t>
      </w:r>
      <w:r w:rsidRPr="0080216C">
        <w:t xml:space="preserve">if the Minister and the </w:t>
      </w:r>
      <w:r w:rsidR="0003268B">
        <w:t>THS GC</w:t>
      </w:r>
      <w:r w:rsidRPr="0080216C">
        <w:t xml:space="preserve"> are unable to agree as to the amendment.</w:t>
      </w:r>
    </w:p>
    <w:p w:rsidR="001F4897" w:rsidRDefault="0003268B" w:rsidP="00AB6564">
      <w:pPr>
        <w:spacing w:after="140" w:line="300" w:lineRule="atLeast"/>
      </w:pPr>
      <w:r>
        <w:t>This Agreement</w:t>
      </w:r>
      <w:r w:rsidR="005C730D" w:rsidRPr="0080216C">
        <w:t xml:space="preserve"> will be jointly reviewed with the THS periodically within the financial year as required, to ensure it accurately reflects the circumstances of the THS and the requirements of the Minister ac</w:t>
      </w:r>
      <w:bookmarkStart w:id="8" w:name="_Toc326226357"/>
      <w:bookmarkStart w:id="9" w:name="_Toc326237261"/>
      <w:bookmarkStart w:id="10" w:name="_Toc351645366"/>
      <w:bookmarkStart w:id="11" w:name="_Toc351991334"/>
      <w:bookmarkStart w:id="12" w:name="_Toc352837883"/>
      <w:bookmarkStart w:id="13" w:name="_Toc354060332"/>
      <w:bookmarkStart w:id="14" w:name="_Toc354060456"/>
      <w:bookmarkStart w:id="15" w:name="_Toc355855793"/>
      <w:bookmarkStart w:id="16" w:name="_Toc423357975"/>
      <w:r w:rsidR="007A767A">
        <w:t>ross the entire financial year.</w:t>
      </w:r>
    </w:p>
    <w:p w:rsidR="0075713F" w:rsidRPr="000A044E" w:rsidRDefault="0075713F" w:rsidP="00AB6564">
      <w:pPr>
        <w:pStyle w:val="Heading2"/>
        <w:spacing w:before="0" w:after="140" w:line="300" w:lineRule="atLeast"/>
      </w:pPr>
      <w:bookmarkStart w:id="17" w:name="_Toc423357977"/>
      <w:bookmarkStart w:id="18" w:name="_Toc488068389"/>
      <w:bookmarkStart w:id="19" w:name="_Toc326226358"/>
      <w:bookmarkStart w:id="20" w:name="_Toc326237262"/>
      <w:bookmarkStart w:id="21" w:name="_Toc351645367"/>
      <w:bookmarkStart w:id="22" w:name="_Toc351991335"/>
      <w:bookmarkStart w:id="23" w:name="_Toc352837884"/>
      <w:bookmarkStart w:id="24" w:name="_Toc354060333"/>
      <w:bookmarkStart w:id="25" w:name="_Toc354060457"/>
      <w:bookmarkStart w:id="26" w:name="_Toc355855794"/>
      <w:bookmarkEnd w:id="8"/>
      <w:bookmarkEnd w:id="9"/>
      <w:bookmarkEnd w:id="10"/>
      <w:bookmarkEnd w:id="11"/>
      <w:bookmarkEnd w:id="12"/>
      <w:bookmarkEnd w:id="13"/>
      <w:bookmarkEnd w:id="14"/>
      <w:bookmarkEnd w:id="15"/>
      <w:bookmarkEnd w:id="16"/>
      <w:r w:rsidRPr="000A044E">
        <w:t>Financial Management Standard</w:t>
      </w:r>
      <w:bookmarkEnd w:id="17"/>
      <w:bookmarkEnd w:id="18"/>
    </w:p>
    <w:p w:rsidR="00D812D3" w:rsidRDefault="0056787C" w:rsidP="00AB6564">
      <w:pPr>
        <w:spacing w:after="140" w:line="300" w:lineRule="atLeast"/>
      </w:pPr>
      <w:r w:rsidRPr="0080216C">
        <w:t xml:space="preserve">In </w:t>
      </w:r>
      <w:r w:rsidR="00D812D3">
        <w:t xml:space="preserve">accordance with Section 11 of the Act, the THS </w:t>
      </w:r>
      <w:r w:rsidR="00550DED">
        <w:t xml:space="preserve">GC </w:t>
      </w:r>
      <w:r w:rsidR="00D812D3">
        <w:t xml:space="preserve">must manage its budget, as outlined in </w:t>
      </w:r>
      <w:r w:rsidR="0003268B">
        <w:t>this Agreement</w:t>
      </w:r>
      <w:r w:rsidR="00D812D3">
        <w:t xml:space="preserve"> to ensure the efficient and economic operation and delivery of health services and use of its resources.  Accordingly, it is critical that the THS </w:t>
      </w:r>
      <w:r w:rsidR="00550DED">
        <w:t xml:space="preserve">GC </w:t>
      </w:r>
      <w:r w:rsidR="00D812D3">
        <w:t>has strong financial management and accountability.</w:t>
      </w:r>
    </w:p>
    <w:p w:rsidR="00D812D3" w:rsidRPr="007445A1" w:rsidRDefault="00D812D3" w:rsidP="00AB6564">
      <w:pPr>
        <w:spacing w:after="140" w:line="300" w:lineRule="atLeast"/>
      </w:pPr>
      <w:r w:rsidRPr="007445A1">
        <w:t xml:space="preserve">The </w:t>
      </w:r>
      <w:r w:rsidR="0003268B">
        <w:t>THS GC</w:t>
      </w:r>
      <w:r w:rsidRPr="007445A1">
        <w:t xml:space="preserve"> must comply with the following financial instruments:</w:t>
      </w:r>
    </w:p>
    <w:p w:rsidR="004F1DC8" w:rsidRPr="00B10D60" w:rsidRDefault="004F1DC8" w:rsidP="00AB6564">
      <w:pPr>
        <w:pStyle w:val="ListParagraph"/>
        <w:numPr>
          <w:ilvl w:val="0"/>
          <w:numId w:val="27"/>
        </w:numPr>
        <w:spacing w:after="140" w:line="300" w:lineRule="atLeast"/>
        <w:ind w:left="357" w:right="0" w:hanging="357"/>
        <w:jc w:val="left"/>
        <w:rPr>
          <w:rFonts w:ascii="Gill Sans MT" w:hAnsi="Gill Sans MT"/>
        </w:rPr>
      </w:pPr>
      <w:r w:rsidRPr="00B10D60">
        <w:rPr>
          <w:rFonts w:ascii="Gill Sans MT" w:hAnsi="Gill Sans MT"/>
          <w:i/>
        </w:rPr>
        <w:t>Public Account Act 1986</w:t>
      </w:r>
      <w:r w:rsidRPr="00B10D60">
        <w:rPr>
          <w:rFonts w:ascii="Gill Sans MT" w:hAnsi="Gill Sans MT"/>
        </w:rPr>
        <w:t>;</w:t>
      </w:r>
    </w:p>
    <w:p w:rsidR="004F1DC8" w:rsidRPr="00B10D60" w:rsidRDefault="004F1DC8" w:rsidP="00AB6564">
      <w:pPr>
        <w:pStyle w:val="ListParagraph"/>
        <w:numPr>
          <w:ilvl w:val="0"/>
          <w:numId w:val="27"/>
        </w:numPr>
        <w:spacing w:after="140" w:line="300" w:lineRule="atLeast"/>
        <w:ind w:left="357" w:right="0" w:hanging="357"/>
        <w:jc w:val="left"/>
        <w:rPr>
          <w:rFonts w:ascii="Gill Sans MT" w:hAnsi="Gill Sans MT"/>
        </w:rPr>
      </w:pPr>
      <w:r w:rsidRPr="00B10D60">
        <w:rPr>
          <w:rFonts w:ascii="Gill Sans MT" w:hAnsi="Gill Sans MT"/>
          <w:i/>
        </w:rPr>
        <w:t>Financial Management and Audit Act 1990</w:t>
      </w:r>
      <w:r w:rsidRPr="00B10D60">
        <w:rPr>
          <w:rFonts w:ascii="Gill Sans MT" w:hAnsi="Gill Sans MT"/>
        </w:rPr>
        <w:t>;</w:t>
      </w:r>
    </w:p>
    <w:p w:rsidR="004F1DC8" w:rsidRPr="007445A1" w:rsidRDefault="004F1DC8" w:rsidP="00AB6564">
      <w:pPr>
        <w:pStyle w:val="ListParagraph"/>
        <w:numPr>
          <w:ilvl w:val="0"/>
          <w:numId w:val="27"/>
        </w:numPr>
        <w:spacing w:after="140" w:line="300" w:lineRule="atLeast"/>
        <w:ind w:left="357" w:right="0" w:hanging="357"/>
        <w:jc w:val="left"/>
        <w:rPr>
          <w:rFonts w:ascii="Gill Sans MT" w:hAnsi="Gill Sans MT"/>
        </w:rPr>
      </w:pPr>
      <w:r w:rsidRPr="007445A1">
        <w:rPr>
          <w:rFonts w:ascii="Gill Sans MT" w:hAnsi="Gill Sans MT"/>
        </w:rPr>
        <w:t>Treasurer’s Instructions; and</w:t>
      </w:r>
    </w:p>
    <w:p w:rsidR="004F1DC8" w:rsidRPr="007445A1" w:rsidRDefault="004F1DC8" w:rsidP="00AB6564">
      <w:pPr>
        <w:pStyle w:val="ListParagraph"/>
        <w:numPr>
          <w:ilvl w:val="0"/>
          <w:numId w:val="27"/>
        </w:numPr>
        <w:spacing w:after="140" w:line="300" w:lineRule="atLeast"/>
        <w:ind w:left="357" w:right="0" w:hanging="357"/>
        <w:jc w:val="left"/>
        <w:rPr>
          <w:rFonts w:ascii="Gill Sans MT" w:hAnsi="Gill Sans MT"/>
        </w:rPr>
      </w:pPr>
      <w:r w:rsidRPr="007445A1">
        <w:rPr>
          <w:rFonts w:ascii="Gill Sans MT" w:hAnsi="Gill Sans MT"/>
        </w:rPr>
        <w:t>Australian Accounting Standards.</w:t>
      </w:r>
    </w:p>
    <w:p w:rsidR="00D812D3" w:rsidRPr="007445A1" w:rsidRDefault="00D812D3" w:rsidP="00AB6564">
      <w:pPr>
        <w:spacing w:after="140" w:line="300" w:lineRule="atLeast"/>
      </w:pPr>
      <w:r w:rsidRPr="007445A1">
        <w:t>To ensure compliance</w:t>
      </w:r>
      <w:r w:rsidR="00550DED">
        <w:t>,</w:t>
      </w:r>
      <w:r w:rsidRPr="007445A1">
        <w:t xml:space="preserve"> the </w:t>
      </w:r>
      <w:r w:rsidR="00550DED">
        <w:t>THS GC</w:t>
      </w:r>
      <w:r w:rsidRPr="007445A1">
        <w:t xml:space="preserve"> should:</w:t>
      </w:r>
    </w:p>
    <w:p w:rsidR="00D812D3" w:rsidRPr="00B10D60" w:rsidRDefault="0003268B" w:rsidP="00AB6564">
      <w:pPr>
        <w:pStyle w:val="ListParagraph"/>
        <w:numPr>
          <w:ilvl w:val="0"/>
          <w:numId w:val="27"/>
        </w:numPr>
        <w:spacing w:after="140" w:line="300" w:lineRule="atLeast"/>
        <w:ind w:left="357" w:right="0" w:hanging="357"/>
        <w:jc w:val="left"/>
        <w:rPr>
          <w:rFonts w:ascii="Gill Sans MT" w:hAnsi="Gill Sans MT"/>
        </w:rPr>
      </w:pPr>
      <w:r>
        <w:rPr>
          <w:rFonts w:ascii="Gill Sans MT" w:hAnsi="Gill Sans MT"/>
        </w:rPr>
        <w:t>c</w:t>
      </w:r>
      <w:r w:rsidR="00D812D3" w:rsidRPr="00B10D60">
        <w:rPr>
          <w:rFonts w:ascii="Gill Sans MT" w:hAnsi="Gill Sans MT"/>
        </w:rPr>
        <w:t xml:space="preserve">learly define the financial objectives of the </w:t>
      </w:r>
      <w:proofErr w:type="spellStart"/>
      <w:r w:rsidR="00D812D3" w:rsidRPr="00B10D60">
        <w:rPr>
          <w:rFonts w:ascii="Gill Sans MT" w:hAnsi="Gill Sans MT"/>
        </w:rPr>
        <w:t>organisation</w:t>
      </w:r>
      <w:proofErr w:type="spellEnd"/>
      <w:r w:rsidR="00D812D3" w:rsidRPr="00B10D60">
        <w:rPr>
          <w:rFonts w:ascii="Gill Sans MT" w:hAnsi="Gill Sans MT"/>
        </w:rPr>
        <w:t xml:space="preserve"> and ensure they are consistent with the Government and responsible Ministers’ expectations;</w:t>
      </w:r>
    </w:p>
    <w:p w:rsidR="00D812D3" w:rsidRPr="00B10D60" w:rsidRDefault="0003268B" w:rsidP="00AB6564">
      <w:pPr>
        <w:pStyle w:val="ListParagraph"/>
        <w:numPr>
          <w:ilvl w:val="0"/>
          <w:numId w:val="27"/>
        </w:numPr>
        <w:spacing w:after="140" w:line="300" w:lineRule="atLeast"/>
        <w:ind w:left="357" w:right="0" w:hanging="357"/>
        <w:jc w:val="left"/>
        <w:rPr>
          <w:rFonts w:ascii="Gill Sans MT" w:hAnsi="Gill Sans MT"/>
        </w:rPr>
      </w:pPr>
      <w:r>
        <w:rPr>
          <w:rFonts w:ascii="Gill Sans MT" w:hAnsi="Gill Sans MT"/>
        </w:rPr>
        <w:t>e</w:t>
      </w:r>
      <w:r w:rsidR="00D812D3" w:rsidRPr="00B10D60">
        <w:rPr>
          <w:rFonts w:ascii="Gill Sans MT" w:hAnsi="Gill Sans MT"/>
        </w:rPr>
        <w:t xml:space="preserve">nsure that the financial objectives are clearly articulated </w:t>
      </w:r>
      <w:r w:rsidR="00550DED">
        <w:rPr>
          <w:rFonts w:ascii="Gill Sans MT" w:hAnsi="Gill Sans MT"/>
        </w:rPr>
        <w:t>within the THS and</w:t>
      </w:r>
      <w:r w:rsidR="00D812D3" w:rsidRPr="00B10D60">
        <w:rPr>
          <w:rFonts w:ascii="Gill Sans MT" w:hAnsi="Gill Sans MT"/>
        </w:rPr>
        <w:t xml:space="preserve"> disseminated throughout the </w:t>
      </w:r>
      <w:proofErr w:type="spellStart"/>
      <w:r w:rsidR="00D812D3" w:rsidRPr="00B10D60">
        <w:rPr>
          <w:rFonts w:ascii="Gill Sans MT" w:hAnsi="Gill Sans MT"/>
        </w:rPr>
        <w:t>organisation</w:t>
      </w:r>
      <w:proofErr w:type="spellEnd"/>
      <w:r w:rsidR="00D812D3" w:rsidRPr="00B10D60">
        <w:rPr>
          <w:rFonts w:ascii="Gill Sans MT" w:hAnsi="Gill Sans MT"/>
        </w:rPr>
        <w:t>;</w:t>
      </w:r>
    </w:p>
    <w:p w:rsidR="00D812D3" w:rsidRPr="00B10D60" w:rsidRDefault="0003268B" w:rsidP="00AB6564">
      <w:pPr>
        <w:pStyle w:val="ListParagraph"/>
        <w:numPr>
          <w:ilvl w:val="0"/>
          <w:numId w:val="27"/>
        </w:numPr>
        <w:spacing w:after="140" w:line="300" w:lineRule="atLeast"/>
        <w:ind w:left="357" w:right="0" w:hanging="357"/>
        <w:jc w:val="left"/>
        <w:rPr>
          <w:rFonts w:ascii="Gill Sans MT" w:hAnsi="Gill Sans MT"/>
        </w:rPr>
      </w:pPr>
      <w:r>
        <w:rPr>
          <w:rFonts w:ascii="Gill Sans MT" w:hAnsi="Gill Sans MT"/>
        </w:rPr>
        <w:t>e</w:t>
      </w:r>
      <w:r w:rsidR="00D812D3" w:rsidRPr="00B10D60">
        <w:rPr>
          <w:rFonts w:ascii="Gill Sans MT" w:hAnsi="Gill Sans MT"/>
        </w:rPr>
        <w:t xml:space="preserve">stablish appropriate oversight committees including </w:t>
      </w:r>
      <w:r w:rsidR="00550DED">
        <w:rPr>
          <w:rFonts w:ascii="Gill Sans MT" w:hAnsi="Gill Sans MT"/>
        </w:rPr>
        <w:t>A</w:t>
      </w:r>
      <w:r w:rsidR="00D812D3" w:rsidRPr="00B10D60">
        <w:rPr>
          <w:rFonts w:ascii="Gill Sans MT" w:hAnsi="Gill Sans MT"/>
        </w:rPr>
        <w:t>udit and Risk and Finance and Performance Committees;</w:t>
      </w:r>
    </w:p>
    <w:p w:rsidR="00D812D3" w:rsidRPr="00B10D60" w:rsidRDefault="0003268B" w:rsidP="00AB6564">
      <w:pPr>
        <w:pStyle w:val="ListParagraph"/>
        <w:numPr>
          <w:ilvl w:val="0"/>
          <w:numId w:val="27"/>
        </w:numPr>
        <w:spacing w:after="140" w:line="300" w:lineRule="atLeast"/>
        <w:ind w:left="357" w:right="0" w:hanging="357"/>
        <w:jc w:val="left"/>
        <w:rPr>
          <w:rFonts w:ascii="Gill Sans MT" w:hAnsi="Gill Sans MT"/>
        </w:rPr>
      </w:pPr>
      <w:r>
        <w:rPr>
          <w:rFonts w:ascii="Gill Sans MT" w:hAnsi="Gill Sans MT"/>
        </w:rPr>
        <w:t>e</w:t>
      </w:r>
      <w:r w:rsidR="00D812D3" w:rsidRPr="00B10D60">
        <w:rPr>
          <w:rFonts w:ascii="Gill Sans MT" w:hAnsi="Gill Sans MT"/>
        </w:rPr>
        <w:t>nsure all financial aspects of the THS are monitored and appropriate actions are taken when issues are identified;</w:t>
      </w:r>
    </w:p>
    <w:p w:rsidR="00D812D3" w:rsidRPr="00B10D60" w:rsidRDefault="0003268B" w:rsidP="00AB6564">
      <w:pPr>
        <w:pStyle w:val="ListParagraph"/>
        <w:numPr>
          <w:ilvl w:val="0"/>
          <w:numId w:val="27"/>
        </w:numPr>
        <w:spacing w:after="140" w:line="300" w:lineRule="atLeast"/>
        <w:ind w:left="357" w:right="0" w:hanging="357"/>
        <w:jc w:val="left"/>
        <w:rPr>
          <w:rFonts w:ascii="Gill Sans MT" w:hAnsi="Gill Sans MT"/>
        </w:rPr>
      </w:pPr>
      <w:r>
        <w:rPr>
          <w:rFonts w:ascii="Gill Sans MT" w:hAnsi="Gill Sans MT"/>
        </w:rPr>
        <w:t>e</w:t>
      </w:r>
      <w:r w:rsidR="00D812D3" w:rsidRPr="00B10D60">
        <w:rPr>
          <w:rFonts w:ascii="Gill Sans MT" w:hAnsi="Gill Sans MT"/>
        </w:rPr>
        <w:t xml:space="preserve">nsure appropriate financial risk management processes exist throughout the </w:t>
      </w:r>
      <w:proofErr w:type="spellStart"/>
      <w:r w:rsidR="00D812D3" w:rsidRPr="00B10D60">
        <w:rPr>
          <w:rFonts w:ascii="Gill Sans MT" w:hAnsi="Gill Sans MT"/>
        </w:rPr>
        <w:t>organisation</w:t>
      </w:r>
      <w:proofErr w:type="spellEnd"/>
      <w:r w:rsidR="00D812D3" w:rsidRPr="00B10D60">
        <w:rPr>
          <w:rFonts w:ascii="Gill Sans MT" w:hAnsi="Gill Sans MT"/>
        </w:rPr>
        <w:t>; and</w:t>
      </w:r>
    </w:p>
    <w:p w:rsidR="001F4897" w:rsidRPr="001F4897" w:rsidRDefault="0003268B" w:rsidP="001F4897">
      <w:pPr>
        <w:pStyle w:val="ListParagraph"/>
        <w:numPr>
          <w:ilvl w:val="0"/>
          <w:numId w:val="27"/>
        </w:numPr>
        <w:spacing w:after="140" w:line="300" w:lineRule="atLeast"/>
        <w:ind w:left="357" w:right="0" w:hanging="357"/>
        <w:jc w:val="left"/>
        <w:rPr>
          <w:rFonts w:ascii="Gill Sans MT" w:hAnsi="Gill Sans MT"/>
        </w:rPr>
      </w:pPr>
      <w:proofErr w:type="gramStart"/>
      <w:r>
        <w:rPr>
          <w:rFonts w:ascii="Gill Sans MT" w:hAnsi="Gill Sans MT"/>
        </w:rPr>
        <w:t>e</w:t>
      </w:r>
      <w:r w:rsidR="00D812D3" w:rsidRPr="00B10D60">
        <w:rPr>
          <w:rFonts w:ascii="Gill Sans MT" w:hAnsi="Gill Sans MT"/>
        </w:rPr>
        <w:t>nsure</w:t>
      </w:r>
      <w:proofErr w:type="gramEnd"/>
      <w:r w:rsidR="00D812D3" w:rsidRPr="00B10D60">
        <w:rPr>
          <w:rFonts w:ascii="Gill Sans MT" w:hAnsi="Gill Sans MT"/>
        </w:rPr>
        <w:t xml:space="preserve"> there is an effective system of internal controls for all financial management system and processes.</w:t>
      </w:r>
    </w:p>
    <w:p w:rsidR="00B227DF" w:rsidRDefault="00B227DF" w:rsidP="00AB6564">
      <w:pPr>
        <w:pStyle w:val="Heading2"/>
        <w:tabs>
          <w:tab w:val="left" w:pos="3002"/>
        </w:tabs>
        <w:spacing w:before="0" w:after="140" w:line="300" w:lineRule="atLeast"/>
        <w:rPr>
          <w:lang w:val="en-AU"/>
        </w:rPr>
      </w:pPr>
      <w:bookmarkStart w:id="27" w:name="_Toc488068390"/>
      <w:bookmarkStart w:id="28" w:name="_Toc423357979"/>
      <w:r>
        <w:rPr>
          <w:lang w:val="en-AU"/>
        </w:rPr>
        <w:t>Safety and Quality</w:t>
      </w:r>
      <w:bookmarkEnd w:id="27"/>
    </w:p>
    <w:p w:rsidR="00B227DF" w:rsidRDefault="00B227DF" w:rsidP="00B227DF">
      <w:pPr>
        <w:spacing w:after="140" w:line="300" w:lineRule="atLeast"/>
      </w:pPr>
      <w:r>
        <w:t xml:space="preserve">It has been proven that safe and quality health care is also cost-effective health </w:t>
      </w:r>
      <w:proofErr w:type="gramStart"/>
      <w:r>
        <w:t>care,</w:t>
      </w:r>
      <w:proofErr w:type="gramEnd"/>
      <w:r>
        <w:t xml:space="preserve"> therefore both the Quality Governance Framework and the Key Performance Indicators detailed in this Service Agreement are based on the same Dimensions of Quality that are known to produce less expensive health care. Learnings and improvements in safety and quality should be shared within and between services to support overall improvement in the health system. </w:t>
      </w:r>
    </w:p>
    <w:p w:rsidR="00B227DF" w:rsidRDefault="00B227DF" w:rsidP="00B227DF">
      <w:pPr>
        <w:spacing w:after="140" w:line="300" w:lineRule="atLeast"/>
      </w:pPr>
      <w:r>
        <w:t>The use of clinical indicators is consistent with the three core principles of the Australian Safety and Quality Framework for Health Care</w:t>
      </w:r>
      <w:r w:rsidR="007E39DF">
        <w:t xml:space="preserve"> </w:t>
      </w:r>
      <w:r>
        <w:t xml:space="preserve">for safe and high quality care: consumer centred, driven by information and organised for safety. Framework requirements show a clear link between clinical indicators and quality of services expected to be delivered by the Tasmanian Public Health System.  If the requirements are not met, there is potential for harm to occur and/or for failure to learn from adverse events and therefore the system manager needs to have continuous oversight and ability to stipulate improvements required in the delivery of health care. </w:t>
      </w:r>
    </w:p>
    <w:p w:rsidR="00055596" w:rsidRPr="004B4ACA" w:rsidRDefault="006B161E" w:rsidP="00AB6564">
      <w:pPr>
        <w:pStyle w:val="Heading2"/>
        <w:tabs>
          <w:tab w:val="left" w:pos="3002"/>
        </w:tabs>
        <w:spacing w:before="0" w:after="140" w:line="300" w:lineRule="atLeast"/>
      </w:pPr>
      <w:bookmarkStart w:id="29" w:name="_Toc488068391"/>
      <w:r w:rsidRPr="00B10D60">
        <w:t>Da</w:t>
      </w:r>
      <w:r w:rsidR="004F2CF6" w:rsidRPr="00B10D60">
        <w:t>ta</w:t>
      </w:r>
      <w:r w:rsidR="00E84EA5" w:rsidRPr="004B4ACA">
        <w:t xml:space="preserve"> Provision</w:t>
      </w:r>
      <w:bookmarkEnd w:id="19"/>
      <w:bookmarkEnd w:id="20"/>
      <w:bookmarkEnd w:id="21"/>
      <w:bookmarkEnd w:id="22"/>
      <w:bookmarkEnd w:id="23"/>
      <w:bookmarkEnd w:id="24"/>
      <w:bookmarkEnd w:id="25"/>
      <w:bookmarkEnd w:id="26"/>
      <w:bookmarkEnd w:id="28"/>
      <w:bookmarkEnd w:id="29"/>
    </w:p>
    <w:p w:rsidR="009151D1" w:rsidRDefault="002065C2" w:rsidP="00AB6564">
      <w:pPr>
        <w:spacing w:after="140" w:line="300" w:lineRule="atLeast"/>
      </w:pPr>
      <w:r w:rsidRPr="002065C2">
        <w:t xml:space="preserve">Since the implementation of Activity Based Funding (ABF) the importance of complete, accurate, timely and transparent health and hospital </w:t>
      </w:r>
      <w:proofErr w:type="spellStart"/>
      <w:r w:rsidRPr="002065C2">
        <w:t>casemix</w:t>
      </w:r>
      <w:proofErr w:type="spellEnd"/>
      <w:r w:rsidRPr="002065C2">
        <w:t xml:space="preserve"> data has become more important than ever in terms of the level of hospital funding, decision making for planning and resource allocation.</w:t>
      </w:r>
    </w:p>
    <w:p w:rsidR="002065C2" w:rsidRDefault="002065C2" w:rsidP="00AB6564">
      <w:pPr>
        <w:spacing w:after="140" w:line="300" w:lineRule="atLeast"/>
      </w:pPr>
      <w:r w:rsidRPr="002065C2">
        <w:t>The Department submits a range of data to national and state bodies, including the Independent Hospital Pricing Authority (IHPA), National Health Funding Body (NHFB), the Australian Institute of Health and Welfare (AIHW), the Department of Veterans Affairs (DVA), National Joint Replacement Register, various National Partnership Agreements and the Australian Bureau of Statistics.</w:t>
      </w:r>
    </w:p>
    <w:p w:rsidR="001F4897" w:rsidRPr="00EE1AF5" w:rsidRDefault="002065C2" w:rsidP="00AB6564">
      <w:pPr>
        <w:spacing w:after="140" w:line="300" w:lineRule="atLeast"/>
      </w:pPr>
      <w:r w:rsidRPr="002065C2">
        <w:t xml:space="preserve">Data reporting to national bodies </w:t>
      </w:r>
      <w:r>
        <w:t>and p</w:t>
      </w:r>
      <w:r w:rsidR="00E84EA5" w:rsidRPr="00EE1AF5">
        <w:t xml:space="preserve">erformance reporting against </w:t>
      </w:r>
      <w:r w:rsidR="001D00C1" w:rsidRPr="00EE1AF5">
        <w:t xml:space="preserve">the </w:t>
      </w:r>
      <w:r w:rsidR="00857D37">
        <w:t>Key Performance Indicators (</w:t>
      </w:r>
      <w:r w:rsidR="001D00C1" w:rsidRPr="00EE1AF5">
        <w:t>KPIs</w:t>
      </w:r>
      <w:r w:rsidR="00857D37">
        <w:t>)</w:t>
      </w:r>
      <w:r w:rsidR="001D00C1" w:rsidRPr="00EE1AF5">
        <w:t xml:space="preserve"> in </w:t>
      </w:r>
      <w:r w:rsidR="00E35E20">
        <w:t>t</w:t>
      </w:r>
      <w:r w:rsidR="0003268B">
        <w:t>his Agreement</w:t>
      </w:r>
      <w:r w:rsidR="001D00C1" w:rsidRPr="00EE1AF5">
        <w:t xml:space="preserve"> </w:t>
      </w:r>
      <w:r w:rsidR="00B70A71" w:rsidRPr="00EE1AF5">
        <w:t>will</w:t>
      </w:r>
      <w:r w:rsidR="001F141C">
        <w:t xml:space="preserve"> require the Department </w:t>
      </w:r>
      <w:r w:rsidR="00E84EA5" w:rsidRPr="00EE1AF5">
        <w:t xml:space="preserve">to </w:t>
      </w:r>
      <w:r>
        <w:t xml:space="preserve">regularly </w:t>
      </w:r>
      <w:r w:rsidR="001F141C">
        <w:t xml:space="preserve">import </w:t>
      </w:r>
      <w:r>
        <w:t>data from hospital systems.</w:t>
      </w:r>
      <w:r w:rsidR="00E84EA5" w:rsidRPr="00EE1AF5">
        <w:t xml:space="preserve"> The TH</w:t>
      </w:r>
      <w:r w:rsidR="00BB422E" w:rsidRPr="00EE1AF5">
        <w:t>S</w:t>
      </w:r>
      <w:r w:rsidR="00E84EA5" w:rsidRPr="00EE1AF5">
        <w:t xml:space="preserve"> is to ensure </w:t>
      </w:r>
      <w:r w:rsidR="00B02E85" w:rsidRPr="00EE1AF5">
        <w:t xml:space="preserve">that </w:t>
      </w:r>
      <w:r w:rsidR="00393A8D" w:rsidRPr="00EE1AF5">
        <w:t xml:space="preserve">such data </w:t>
      </w:r>
      <w:r w:rsidR="00E84EA5" w:rsidRPr="00EE1AF5">
        <w:t xml:space="preserve">is </w:t>
      </w:r>
      <w:r>
        <w:t>recorded</w:t>
      </w:r>
      <w:r w:rsidR="00E84EA5" w:rsidRPr="00EE1AF5">
        <w:t xml:space="preserve"> in accordance with the requirements of each data collection, ensuring data quality and ti</w:t>
      </w:r>
      <w:r w:rsidR="00363680" w:rsidRPr="00EE1AF5">
        <w:t xml:space="preserve">meliness. </w:t>
      </w:r>
    </w:p>
    <w:p w:rsidR="001D085D" w:rsidRDefault="001D085D" w:rsidP="00AB6564">
      <w:pPr>
        <w:pStyle w:val="Heading2"/>
        <w:spacing w:before="0" w:after="140" w:line="300" w:lineRule="atLeast"/>
      </w:pPr>
      <w:bookmarkStart w:id="30" w:name="_Toc488068392"/>
      <w:r>
        <w:t>National and Other Agreements</w:t>
      </w:r>
      <w:bookmarkEnd w:id="30"/>
    </w:p>
    <w:p w:rsidR="001D085D" w:rsidRDefault="001D085D" w:rsidP="00AB6564">
      <w:pPr>
        <w:spacing w:after="140" w:line="300" w:lineRule="atLeast"/>
      </w:pPr>
      <w:r>
        <w:t>The 2017-18 THS funding allocation may</w:t>
      </w:r>
      <w:r w:rsidRPr="004B4ACA">
        <w:t xml:space="preserve"> include revenue provided under a range of National Partnership Agreements (NPAs), Commonwealth Own Purpose Expenditure payments (COPEs) and other agreements.</w:t>
      </w:r>
      <w:r>
        <w:t xml:space="preserve">  </w:t>
      </w:r>
      <w:r w:rsidRPr="004B4ACA">
        <w:t>These agreements may generate their own specific</w:t>
      </w:r>
      <w:r>
        <w:t xml:space="preserve"> program,</w:t>
      </w:r>
      <w:r w:rsidRPr="004B4ACA">
        <w:t xml:space="preserve"> financial and performance reporting requirements</w:t>
      </w:r>
      <w:r w:rsidR="006A6E83">
        <w:t xml:space="preserve"> that, while </w:t>
      </w:r>
      <w:r w:rsidRPr="004B4ACA">
        <w:t xml:space="preserve">not encapsulated in </w:t>
      </w:r>
      <w:r>
        <w:t>this</w:t>
      </w:r>
      <w:r w:rsidRPr="004B4ACA">
        <w:t xml:space="preserve"> Agreement</w:t>
      </w:r>
      <w:r w:rsidR="006A6E83">
        <w:t>, require THS compliance.</w:t>
      </w:r>
    </w:p>
    <w:p w:rsidR="00D25790" w:rsidRDefault="00366844" w:rsidP="00856D73">
      <w:pPr>
        <w:pStyle w:val="Heading1"/>
        <w:spacing w:before="0" w:after="140" w:line="300" w:lineRule="atLeast"/>
        <w:rPr>
          <w:lang w:val="en-AU"/>
        </w:rPr>
      </w:pPr>
      <w:bookmarkStart w:id="31" w:name="_Toc423357981"/>
      <w:bookmarkStart w:id="32" w:name="_Toc488068393"/>
      <w:r>
        <w:t xml:space="preserve">Part </w:t>
      </w:r>
      <w:r>
        <w:rPr>
          <w:lang w:val="en-AU"/>
        </w:rPr>
        <w:t>A</w:t>
      </w:r>
      <w:r w:rsidRPr="004B4ACA">
        <w:t xml:space="preserve">: Tasmanian </w:t>
      </w:r>
      <w:r w:rsidR="00423CF8">
        <w:rPr>
          <w:lang w:val="en-AU"/>
        </w:rPr>
        <w:t xml:space="preserve">Public </w:t>
      </w:r>
      <w:r w:rsidR="00D25790">
        <w:rPr>
          <w:lang w:val="en-AU"/>
        </w:rPr>
        <w:t>Health System - Accountabilities</w:t>
      </w:r>
      <w:bookmarkEnd w:id="31"/>
      <w:bookmarkEnd w:id="32"/>
      <w:r>
        <w:t xml:space="preserve"> </w:t>
      </w:r>
    </w:p>
    <w:p w:rsidR="002242CA" w:rsidRPr="006B31F3" w:rsidRDefault="002242CA" w:rsidP="00856D73">
      <w:pPr>
        <w:spacing w:after="140" w:line="300" w:lineRule="atLeast"/>
      </w:pPr>
      <w:r w:rsidRPr="006B31F3">
        <w:t xml:space="preserve">Tasmania’s health system is comprised of a wide network of public, private and not-for-profit services that collectively seek to deliver positive health outcomes for all Tasmanians. The health system covers the full range of services, from population and allied health services, general practitioners, allied health and community services, and tertiary and community hospitals. </w:t>
      </w:r>
    </w:p>
    <w:p w:rsidR="001F4897" w:rsidRPr="006B31F3" w:rsidRDefault="002242CA" w:rsidP="00856D73">
      <w:pPr>
        <w:spacing w:after="140" w:line="300" w:lineRule="atLeast"/>
      </w:pPr>
      <w:r w:rsidRPr="006B31F3">
        <w:t xml:space="preserve">A significant part of Tasmania’s health system (including services provided under </w:t>
      </w:r>
      <w:r w:rsidR="006A6E83">
        <w:t>t</w:t>
      </w:r>
      <w:r w:rsidR="0003268B">
        <w:t>his Agreement</w:t>
      </w:r>
      <w:r w:rsidRPr="006B31F3">
        <w:t xml:space="preserve">) </w:t>
      </w:r>
      <w:r w:rsidR="00F117F6" w:rsidRPr="006B31F3">
        <w:t>is</w:t>
      </w:r>
      <w:r w:rsidRPr="006B31F3">
        <w:t xml:space="preserve"> delivered under the Act.  For the purposes of </w:t>
      </w:r>
      <w:r w:rsidR="006A6E83">
        <w:t>t</w:t>
      </w:r>
      <w:r w:rsidR="0003268B">
        <w:t>his Agreement</w:t>
      </w:r>
      <w:r w:rsidRPr="006B31F3">
        <w:t>, the high level accountabilities of the Minister, the Department and the THS</w:t>
      </w:r>
      <w:r w:rsidR="00CC460D" w:rsidRPr="006B31F3">
        <w:t xml:space="preserve"> are summarised below.</w:t>
      </w:r>
    </w:p>
    <w:p w:rsidR="00D25790" w:rsidRPr="00B10D60" w:rsidRDefault="00D25790" w:rsidP="00AB6564">
      <w:pPr>
        <w:pStyle w:val="Heading2"/>
        <w:tabs>
          <w:tab w:val="left" w:pos="3002"/>
        </w:tabs>
        <w:spacing w:before="0" w:after="140" w:line="300" w:lineRule="atLeast"/>
      </w:pPr>
      <w:bookmarkStart w:id="33" w:name="_Toc423357982"/>
      <w:bookmarkStart w:id="34" w:name="_Toc488068394"/>
      <w:r w:rsidRPr="00B10D60">
        <w:t>Minister for Health</w:t>
      </w:r>
      <w:bookmarkEnd w:id="33"/>
      <w:bookmarkEnd w:id="34"/>
    </w:p>
    <w:p w:rsidR="00D25790" w:rsidRPr="0080216C" w:rsidRDefault="00D25790" w:rsidP="00AB6564">
      <w:pPr>
        <w:spacing w:after="140" w:line="300" w:lineRule="atLeast"/>
      </w:pPr>
      <w:r w:rsidRPr="0080216C">
        <w:t>The</w:t>
      </w:r>
      <w:r w:rsidRPr="006B31F3">
        <w:t xml:space="preserve"> </w:t>
      </w:r>
      <w:r w:rsidRPr="0080216C">
        <w:t>Mini</w:t>
      </w:r>
      <w:r w:rsidRPr="006B31F3">
        <w:t>s</w:t>
      </w:r>
      <w:r w:rsidRPr="0080216C">
        <w:t>ter is</w:t>
      </w:r>
      <w:r w:rsidRPr="006B31F3">
        <w:t xml:space="preserve"> </w:t>
      </w:r>
      <w:r w:rsidRPr="0080216C">
        <w:t xml:space="preserve">ultimately </w:t>
      </w:r>
      <w:r w:rsidRPr="006B31F3">
        <w:t>acco</w:t>
      </w:r>
      <w:r w:rsidRPr="0080216C">
        <w:t>unt</w:t>
      </w:r>
      <w:r w:rsidRPr="006B31F3">
        <w:t>a</w:t>
      </w:r>
      <w:r w:rsidRPr="0080216C">
        <w:t>ble</w:t>
      </w:r>
      <w:r w:rsidRPr="006B31F3">
        <w:t xml:space="preserve"> </w:t>
      </w:r>
      <w:r w:rsidRPr="0080216C">
        <w:t>for</w:t>
      </w:r>
      <w:r w:rsidRPr="006B31F3">
        <w:t xml:space="preserve"> t</w:t>
      </w:r>
      <w:r w:rsidRPr="0080216C">
        <w:t>he pe</w:t>
      </w:r>
      <w:r w:rsidRPr="006B31F3">
        <w:t>r</w:t>
      </w:r>
      <w:r w:rsidRPr="0080216C">
        <w:t>form</w:t>
      </w:r>
      <w:r w:rsidRPr="006B31F3">
        <w:t>a</w:t>
      </w:r>
      <w:r w:rsidRPr="0080216C">
        <w:t>n</w:t>
      </w:r>
      <w:r w:rsidRPr="006B31F3">
        <w:t>c</w:t>
      </w:r>
      <w:r w:rsidRPr="0080216C">
        <w:t>e</w:t>
      </w:r>
      <w:r w:rsidRPr="006B31F3">
        <w:t xml:space="preserve"> </w:t>
      </w:r>
      <w:r w:rsidRPr="0080216C">
        <w:t>of</w:t>
      </w:r>
      <w:r w:rsidRPr="006B31F3">
        <w:t xml:space="preserve"> </w:t>
      </w:r>
      <w:r w:rsidRPr="0080216C">
        <w:t>t</w:t>
      </w:r>
      <w:r w:rsidRPr="006B31F3">
        <w:t>h</w:t>
      </w:r>
      <w:r w:rsidRPr="0080216C">
        <w:t>e</w:t>
      </w:r>
      <w:r w:rsidRPr="006B31F3">
        <w:t xml:space="preserve"> </w:t>
      </w:r>
      <w:r w:rsidRPr="0080216C">
        <w:t>T</w:t>
      </w:r>
      <w:r w:rsidRPr="006B31F3">
        <w:t>H</w:t>
      </w:r>
      <w:r w:rsidRPr="0080216C">
        <w:t>S in del</w:t>
      </w:r>
      <w:r w:rsidRPr="006B31F3">
        <w:t>iv</w:t>
      </w:r>
      <w:r w:rsidRPr="0080216C">
        <w:t>e</w:t>
      </w:r>
      <w:r w:rsidRPr="006B31F3">
        <w:t>r</w:t>
      </w:r>
      <w:r w:rsidRPr="0080216C">
        <w:t>ing</w:t>
      </w:r>
      <w:r w:rsidRPr="006B31F3">
        <w:t xml:space="preserve"> s</w:t>
      </w:r>
      <w:r w:rsidRPr="0080216C">
        <w:t>e</w:t>
      </w:r>
      <w:r w:rsidRPr="006B31F3">
        <w:t>rv</w:t>
      </w:r>
      <w:r w:rsidRPr="0080216C">
        <w:t>i</w:t>
      </w:r>
      <w:r w:rsidRPr="006B31F3">
        <w:t>c</w:t>
      </w:r>
      <w:r w:rsidRPr="0080216C">
        <w:t>es effi</w:t>
      </w:r>
      <w:r w:rsidRPr="006B31F3">
        <w:t>c</w:t>
      </w:r>
      <w:r w:rsidRPr="0080216C">
        <w:t xml:space="preserve">iently </w:t>
      </w:r>
      <w:r w:rsidR="002242CA" w:rsidRPr="0080216C">
        <w:t xml:space="preserve">and </w:t>
      </w:r>
      <w:r w:rsidRPr="006B31F3">
        <w:t>sa</w:t>
      </w:r>
      <w:r w:rsidRPr="0080216C">
        <w:t>fel</w:t>
      </w:r>
      <w:r w:rsidRPr="006B31F3">
        <w:t>y</w:t>
      </w:r>
      <w:r w:rsidRPr="0080216C">
        <w:t xml:space="preserve">. </w:t>
      </w:r>
      <w:r w:rsidRPr="006B31F3">
        <w:t>T</w:t>
      </w:r>
      <w:r w:rsidRPr="0080216C">
        <w:t xml:space="preserve">he </w:t>
      </w:r>
      <w:r w:rsidRPr="006B31F3">
        <w:t>Ac</w:t>
      </w:r>
      <w:r w:rsidRPr="0080216C">
        <w:t>t</w:t>
      </w:r>
      <w:r w:rsidRPr="006B31F3">
        <w:t xml:space="preserve"> pr</w:t>
      </w:r>
      <w:r w:rsidRPr="0080216C">
        <w:t>ovides</w:t>
      </w:r>
      <w:r w:rsidRPr="006B31F3">
        <w:t xml:space="preserve"> </w:t>
      </w:r>
      <w:r w:rsidRPr="0080216C">
        <w:t>pe</w:t>
      </w:r>
      <w:r w:rsidRPr="006B31F3">
        <w:t>r</w:t>
      </w:r>
      <w:r w:rsidRPr="0080216C">
        <w:t>form</w:t>
      </w:r>
      <w:r w:rsidRPr="006B31F3">
        <w:t>a</w:t>
      </w:r>
      <w:r w:rsidRPr="0080216C">
        <w:t>n</w:t>
      </w:r>
      <w:r w:rsidRPr="006B31F3">
        <w:t>c</w:t>
      </w:r>
      <w:r w:rsidRPr="0080216C">
        <w:t>e</w:t>
      </w:r>
      <w:r w:rsidRPr="006B31F3">
        <w:t xml:space="preserve"> </w:t>
      </w:r>
      <w:r w:rsidRPr="0080216C">
        <w:t>man</w:t>
      </w:r>
      <w:r w:rsidRPr="006B31F3">
        <w:t>ag</w:t>
      </w:r>
      <w:r w:rsidRPr="0080216C">
        <w:t>ement</w:t>
      </w:r>
      <w:r w:rsidRPr="006B31F3">
        <w:t xml:space="preserve"> </w:t>
      </w:r>
      <w:r w:rsidRPr="0080216C">
        <w:t>powe</w:t>
      </w:r>
      <w:r w:rsidRPr="006B31F3">
        <w:t>r</w:t>
      </w:r>
      <w:r w:rsidRPr="0080216C">
        <w:t>s</w:t>
      </w:r>
      <w:r w:rsidRPr="006B31F3">
        <w:t xml:space="preserve"> </w:t>
      </w:r>
      <w:r w:rsidRPr="0080216C">
        <w:t>to</w:t>
      </w:r>
      <w:r w:rsidRPr="006B31F3">
        <w:t xml:space="preserve"> t</w:t>
      </w:r>
      <w:r w:rsidRPr="0080216C">
        <w:t>he</w:t>
      </w:r>
      <w:r w:rsidRPr="006B31F3">
        <w:t xml:space="preserve"> </w:t>
      </w:r>
      <w:r w:rsidRPr="0080216C">
        <w:t>Min</w:t>
      </w:r>
      <w:r w:rsidRPr="006B31F3">
        <w:t>is</w:t>
      </w:r>
      <w:r w:rsidRPr="0080216C">
        <w:t>ter</w:t>
      </w:r>
      <w:r w:rsidRPr="006B31F3">
        <w:t xml:space="preserve"> a</w:t>
      </w:r>
      <w:r w:rsidRPr="0080216C">
        <w:t xml:space="preserve">lone, </w:t>
      </w:r>
      <w:r w:rsidRPr="006B31F3">
        <w:t>rat</w:t>
      </w:r>
      <w:r w:rsidRPr="0080216C">
        <w:t xml:space="preserve">her </w:t>
      </w:r>
      <w:r w:rsidRPr="006B31F3">
        <w:t>t</w:t>
      </w:r>
      <w:r w:rsidRPr="0080216C">
        <w:t>h</w:t>
      </w:r>
      <w:r w:rsidRPr="006B31F3">
        <w:t>a</w:t>
      </w:r>
      <w:r w:rsidRPr="0080216C">
        <w:t>n</w:t>
      </w:r>
      <w:r w:rsidRPr="006B31F3">
        <w:t xml:space="preserve"> </w:t>
      </w:r>
      <w:r w:rsidRPr="0080216C">
        <w:t>the Mini</w:t>
      </w:r>
      <w:r w:rsidRPr="006B31F3">
        <w:t>s</w:t>
      </w:r>
      <w:r w:rsidRPr="0080216C">
        <w:t xml:space="preserve">ter </w:t>
      </w:r>
      <w:r w:rsidRPr="006B31F3">
        <w:t>a</w:t>
      </w:r>
      <w:r w:rsidRPr="0080216C">
        <w:t>nd</w:t>
      </w:r>
      <w:r w:rsidRPr="006B31F3">
        <w:t xml:space="preserve"> </w:t>
      </w:r>
      <w:r w:rsidRPr="0080216C">
        <w:t>T</w:t>
      </w:r>
      <w:r w:rsidRPr="006B31F3">
        <w:t>r</w:t>
      </w:r>
      <w:r w:rsidRPr="0080216C">
        <w:t>e</w:t>
      </w:r>
      <w:r w:rsidRPr="006B31F3">
        <w:t>as</w:t>
      </w:r>
      <w:r w:rsidRPr="0080216C">
        <w:t>u</w:t>
      </w:r>
      <w:r w:rsidRPr="006B31F3">
        <w:t>r</w:t>
      </w:r>
      <w:r w:rsidRPr="0080216C">
        <w:t>e</w:t>
      </w:r>
      <w:r w:rsidRPr="006B31F3">
        <w:t>r</w:t>
      </w:r>
      <w:r w:rsidR="00F30522">
        <w:t>.</w:t>
      </w:r>
      <w:r w:rsidR="002242CA" w:rsidRPr="0080216C">
        <w:t xml:space="preserve">  Ap</w:t>
      </w:r>
      <w:r w:rsidRPr="006B31F3">
        <w:t>ar</w:t>
      </w:r>
      <w:r w:rsidRPr="0080216C">
        <w:t>t</w:t>
      </w:r>
      <w:r w:rsidRPr="006B31F3">
        <w:t xml:space="preserve"> </w:t>
      </w:r>
      <w:r w:rsidRPr="0080216C">
        <w:t>f</w:t>
      </w:r>
      <w:r w:rsidRPr="006B31F3">
        <w:t>r</w:t>
      </w:r>
      <w:r w:rsidRPr="0080216C">
        <w:t>om</w:t>
      </w:r>
      <w:r w:rsidRPr="006B31F3">
        <w:t xml:space="preserve"> </w:t>
      </w:r>
      <w:r w:rsidRPr="0080216C">
        <w:t>the</w:t>
      </w:r>
      <w:r w:rsidRPr="006B31F3">
        <w:t xml:space="preserve"> Minister’s </w:t>
      </w:r>
      <w:r w:rsidRPr="0080216C">
        <w:t>powe</w:t>
      </w:r>
      <w:r w:rsidRPr="006B31F3">
        <w:t>r</w:t>
      </w:r>
      <w:r w:rsidRPr="0080216C">
        <w:t>s wh</w:t>
      </w:r>
      <w:r w:rsidRPr="006B31F3">
        <w:t>ic</w:t>
      </w:r>
      <w:r w:rsidRPr="0080216C">
        <w:t>h</w:t>
      </w:r>
      <w:r w:rsidRPr="006B31F3">
        <w:t xml:space="preserve"> ar</w:t>
      </w:r>
      <w:r w:rsidRPr="0080216C">
        <w:t>e</w:t>
      </w:r>
      <w:r w:rsidRPr="006B31F3">
        <w:t xml:space="preserve"> s</w:t>
      </w:r>
      <w:r w:rsidRPr="0080216C">
        <w:t>h</w:t>
      </w:r>
      <w:r w:rsidRPr="006B31F3">
        <w:t>ar</w:t>
      </w:r>
      <w:r w:rsidRPr="0080216C">
        <w:t>ed</w:t>
      </w:r>
      <w:r w:rsidRPr="006B31F3">
        <w:t xml:space="preserve"> </w:t>
      </w:r>
      <w:r w:rsidRPr="0080216C">
        <w:t>w</w:t>
      </w:r>
      <w:r w:rsidRPr="006B31F3">
        <w:t>i</w:t>
      </w:r>
      <w:r w:rsidRPr="0080216C">
        <w:t>th</w:t>
      </w:r>
      <w:r w:rsidRPr="006B31F3">
        <w:t xml:space="preserve"> </w:t>
      </w:r>
      <w:r w:rsidRPr="0080216C">
        <w:t>the</w:t>
      </w:r>
      <w:r w:rsidRPr="006B31F3">
        <w:t xml:space="preserve"> </w:t>
      </w:r>
      <w:r w:rsidRPr="0080216C">
        <w:t>T</w:t>
      </w:r>
      <w:r w:rsidRPr="006B31F3">
        <w:t>r</w:t>
      </w:r>
      <w:r w:rsidRPr="0080216C">
        <w:t>e</w:t>
      </w:r>
      <w:r w:rsidRPr="006B31F3">
        <w:t>as</w:t>
      </w:r>
      <w:r w:rsidRPr="0080216C">
        <w:t>u</w:t>
      </w:r>
      <w:r w:rsidRPr="006B31F3">
        <w:t>r</w:t>
      </w:r>
      <w:r w:rsidRPr="0080216C">
        <w:t xml:space="preserve">er </w:t>
      </w:r>
      <w:r w:rsidRPr="006B31F3">
        <w:t xml:space="preserve">and the Minister’s power to dissolve the </w:t>
      </w:r>
      <w:r w:rsidR="006A6E83">
        <w:t>THS GC</w:t>
      </w:r>
      <w:r w:rsidRPr="0080216C">
        <w:t>, t</w:t>
      </w:r>
      <w:r w:rsidRPr="006B31F3">
        <w:t>h</w:t>
      </w:r>
      <w:r w:rsidRPr="0080216C">
        <w:t>e D</w:t>
      </w:r>
      <w:r w:rsidRPr="006B31F3">
        <w:t>e</w:t>
      </w:r>
      <w:r w:rsidRPr="0080216C">
        <w:t>p</w:t>
      </w:r>
      <w:r w:rsidRPr="006B31F3">
        <w:t>ar</w:t>
      </w:r>
      <w:r w:rsidRPr="0080216C">
        <w:t>tme</w:t>
      </w:r>
      <w:r w:rsidRPr="006B31F3">
        <w:t>n</w:t>
      </w:r>
      <w:r w:rsidRPr="0080216C">
        <w:t>t</w:t>
      </w:r>
      <w:r w:rsidRPr="006B31F3">
        <w:t xml:space="preserve"> </w:t>
      </w:r>
      <w:r w:rsidRPr="0080216C">
        <w:t>e</w:t>
      </w:r>
      <w:r w:rsidRPr="006B31F3">
        <w:t>x</w:t>
      </w:r>
      <w:r w:rsidRPr="0080216C">
        <w:t>e</w:t>
      </w:r>
      <w:r w:rsidRPr="006B31F3">
        <w:t>rc</w:t>
      </w:r>
      <w:r w:rsidRPr="0080216C">
        <w:t>i</w:t>
      </w:r>
      <w:r w:rsidRPr="006B31F3">
        <w:t>s</w:t>
      </w:r>
      <w:r w:rsidRPr="0080216C">
        <w:t>es the p</w:t>
      </w:r>
      <w:r w:rsidRPr="006B31F3">
        <w:t>o</w:t>
      </w:r>
      <w:r w:rsidRPr="0080216C">
        <w:t>we</w:t>
      </w:r>
      <w:r w:rsidRPr="006B31F3">
        <w:t>r</w:t>
      </w:r>
      <w:r w:rsidRPr="0080216C">
        <w:t>s</w:t>
      </w:r>
      <w:r w:rsidRPr="006B31F3">
        <w:t xml:space="preserve"> </w:t>
      </w:r>
      <w:r w:rsidRPr="0080216C">
        <w:t>of</w:t>
      </w:r>
      <w:r w:rsidRPr="006B31F3">
        <w:t xml:space="preserve"> </w:t>
      </w:r>
      <w:r w:rsidRPr="0080216C">
        <w:t>the Mini</w:t>
      </w:r>
      <w:r w:rsidRPr="006B31F3">
        <w:t>s</w:t>
      </w:r>
      <w:r w:rsidRPr="0080216C">
        <w:t>ter un</w:t>
      </w:r>
      <w:r w:rsidRPr="006B31F3">
        <w:t>d</w:t>
      </w:r>
      <w:r w:rsidRPr="0080216C">
        <w:t>er</w:t>
      </w:r>
      <w:r w:rsidRPr="006B31F3">
        <w:t xml:space="preserve"> a</w:t>
      </w:r>
      <w:r w:rsidRPr="0080216C">
        <w:t>n</w:t>
      </w:r>
      <w:r w:rsidRPr="006B31F3">
        <w:t xml:space="preserve"> </w:t>
      </w:r>
      <w:r w:rsidRPr="0080216C">
        <w:t>in</w:t>
      </w:r>
      <w:r w:rsidRPr="006B31F3">
        <w:t>s</w:t>
      </w:r>
      <w:r w:rsidRPr="0080216C">
        <w:t>t</w:t>
      </w:r>
      <w:r w:rsidRPr="006B31F3">
        <w:t>r</w:t>
      </w:r>
      <w:r w:rsidRPr="0080216C">
        <w:t>um</w:t>
      </w:r>
      <w:r w:rsidRPr="006B31F3">
        <w:t>e</w:t>
      </w:r>
      <w:r w:rsidRPr="0080216C">
        <w:t>nt</w:t>
      </w:r>
      <w:r w:rsidRPr="006B31F3">
        <w:t xml:space="preserve"> </w:t>
      </w:r>
      <w:r w:rsidRPr="0080216C">
        <w:t>of</w:t>
      </w:r>
      <w:r w:rsidRPr="006B31F3">
        <w:t xml:space="preserve"> d</w:t>
      </w:r>
      <w:r w:rsidRPr="0080216C">
        <w:t>el</w:t>
      </w:r>
      <w:r w:rsidRPr="006B31F3">
        <w:t>ega</w:t>
      </w:r>
      <w:r w:rsidRPr="0080216C">
        <w:t>tio</w:t>
      </w:r>
      <w:r w:rsidRPr="006B31F3">
        <w:t>n</w:t>
      </w:r>
      <w:r w:rsidRPr="0080216C">
        <w:t>.</w:t>
      </w:r>
      <w:r w:rsidRPr="006B31F3">
        <w:t xml:space="preserve"> </w:t>
      </w:r>
      <w:r w:rsidR="006A6E83">
        <w:t xml:space="preserve"> </w:t>
      </w:r>
      <w:r w:rsidRPr="0080216C">
        <w:t>T</w:t>
      </w:r>
      <w:r w:rsidRPr="006B31F3">
        <w:t>h</w:t>
      </w:r>
      <w:r w:rsidRPr="0080216C">
        <w:t>e</w:t>
      </w:r>
      <w:r w:rsidRPr="006B31F3">
        <w:t>s</w:t>
      </w:r>
      <w:r w:rsidRPr="0080216C">
        <w:t xml:space="preserve">e </w:t>
      </w:r>
      <w:r w:rsidR="006A6E83">
        <w:t xml:space="preserve">delegated powers </w:t>
      </w:r>
      <w:r w:rsidRPr="006B31F3">
        <w:t>r</w:t>
      </w:r>
      <w:r w:rsidRPr="0080216C">
        <w:t>el</w:t>
      </w:r>
      <w:r w:rsidRPr="006B31F3">
        <w:t>a</w:t>
      </w:r>
      <w:r w:rsidRPr="0080216C">
        <w:t xml:space="preserve">te </w:t>
      </w:r>
      <w:r w:rsidRPr="006B31F3">
        <w:t>t</w:t>
      </w:r>
      <w:r w:rsidRPr="0080216C">
        <w:t>o</w:t>
      </w:r>
      <w:r w:rsidRPr="006B31F3">
        <w:t xml:space="preserve"> </w:t>
      </w:r>
      <w:r w:rsidRPr="0080216C">
        <w:t>the</w:t>
      </w:r>
      <w:r w:rsidRPr="006B31F3">
        <w:t xml:space="preserve"> </w:t>
      </w:r>
      <w:r w:rsidRPr="0080216C">
        <w:t>ope</w:t>
      </w:r>
      <w:r w:rsidRPr="006B31F3">
        <w:t>ra</w:t>
      </w:r>
      <w:r w:rsidRPr="0080216C">
        <w:t>ti</w:t>
      </w:r>
      <w:r w:rsidRPr="006B31F3">
        <w:t>o</w:t>
      </w:r>
      <w:r w:rsidRPr="0080216C">
        <w:t>n</w:t>
      </w:r>
      <w:r w:rsidRPr="006B31F3">
        <w:t>a</w:t>
      </w:r>
      <w:r w:rsidRPr="0080216C">
        <w:t>l</w:t>
      </w:r>
      <w:r w:rsidRPr="006B31F3">
        <w:t xml:space="preserve"> </w:t>
      </w:r>
      <w:r w:rsidRPr="0080216C">
        <w:t>man</w:t>
      </w:r>
      <w:r w:rsidRPr="006B31F3">
        <w:t>ag</w:t>
      </w:r>
      <w:r w:rsidRPr="0080216C">
        <w:t>ement</w:t>
      </w:r>
      <w:r w:rsidRPr="006B31F3">
        <w:t xml:space="preserve"> </w:t>
      </w:r>
      <w:r w:rsidRPr="0080216C">
        <w:t>of the</w:t>
      </w:r>
      <w:r w:rsidRPr="006B31F3">
        <w:t xml:space="preserve"> </w:t>
      </w:r>
      <w:r w:rsidRPr="0080216C">
        <w:t>TH</w:t>
      </w:r>
      <w:r w:rsidRPr="006B31F3">
        <w:t>S</w:t>
      </w:r>
      <w:r w:rsidRPr="0080216C">
        <w:t xml:space="preserve">, </w:t>
      </w:r>
      <w:r w:rsidRPr="006B31F3">
        <w:t>su</w:t>
      </w:r>
      <w:r w:rsidRPr="0080216C">
        <w:t>bje</w:t>
      </w:r>
      <w:r w:rsidRPr="006B31F3">
        <w:t>c</w:t>
      </w:r>
      <w:r w:rsidRPr="0080216C">
        <w:t>t</w:t>
      </w:r>
      <w:r w:rsidRPr="006B31F3">
        <w:t xml:space="preserve"> </w:t>
      </w:r>
      <w:r w:rsidRPr="0080216C">
        <w:t>to</w:t>
      </w:r>
      <w:r w:rsidRPr="006B31F3">
        <w:t xml:space="preserve"> a</w:t>
      </w:r>
      <w:r w:rsidRPr="0080216C">
        <w:t>ny</w:t>
      </w:r>
      <w:r w:rsidRPr="006B31F3">
        <w:t xml:space="preserve"> </w:t>
      </w:r>
      <w:r w:rsidRPr="0080216C">
        <w:t>M</w:t>
      </w:r>
      <w:r w:rsidRPr="006B31F3">
        <w:t>i</w:t>
      </w:r>
      <w:r w:rsidRPr="0080216C">
        <w:t>ni</w:t>
      </w:r>
      <w:r w:rsidRPr="006B31F3">
        <w:t>s</w:t>
      </w:r>
      <w:r w:rsidRPr="0080216C">
        <w:t>te</w:t>
      </w:r>
      <w:r w:rsidRPr="006B31F3">
        <w:t>r</w:t>
      </w:r>
      <w:r w:rsidRPr="0080216C">
        <w:t>i</w:t>
      </w:r>
      <w:r w:rsidRPr="006B31F3">
        <w:t>a</w:t>
      </w:r>
      <w:r w:rsidRPr="0080216C">
        <w:t>l di</w:t>
      </w:r>
      <w:r w:rsidRPr="006B31F3">
        <w:t>r</w:t>
      </w:r>
      <w:r w:rsidRPr="0080216C">
        <w:t>e</w:t>
      </w:r>
      <w:r w:rsidRPr="006B31F3">
        <w:t>c</w:t>
      </w:r>
      <w:r w:rsidRPr="0080216C">
        <w:t>tion</w:t>
      </w:r>
      <w:r w:rsidRPr="006B31F3">
        <w:t xml:space="preserve"> </w:t>
      </w:r>
      <w:r w:rsidR="00327A7B">
        <w:t>through</w:t>
      </w:r>
      <w:r w:rsidRPr="006B31F3">
        <w:t xml:space="preserve"> t</w:t>
      </w:r>
      <w:r w:rsidRPr="0080216C">
        <w:t xml:space="preserve">he </w:t>
      </w:r>
      <w:r w:rsidRPr="006B31F3">
        <w:t>D</w:t>
      </w:r>
      <w:r w:rsidRPr="0080216C">
        <w:t>ep</w:t>
      </w:r>
      <w:r w:rsidRPr="006B31F3">
        <w:t>ar</w:t>
      </w:r>
      <w:r w:rsidRPr="0080216C">
        <w:t>tment.</w:t>
      </w:r>
    </w:p>
    <w:p w:rsidR="001F4897" w:rsidRPr="0080216C" w:rsidRDefault="00D25790" w:rsidP="00AB6564">
      <w:pPr>
        <w:spacing w:after="140" w:line="300" w:lineRule="atLeast"/>
      </w:pPr>
      <w:r w:rsidRPr="0080216C">
        <w:t>The</w:t>
      </w:r>
      <w:r w:rsidRPr="006B31F3">
        <w:t xml:space="preserve"> </w:t>
      </w:r>
      <w:r w:rsidRPr="0080216C">
        <w:t>Mini</w:t>
      </w:r>
      <w:r w:rsidRPr="006B31F3">
        <w:t>s</w:t>
      </w:r>
      <w:r w:rsidRPr="0080216C">
        <w:t>ter h</w:t>
      </w:r>
      <w:r w:rsidRPr="006B31F3">
        <w:t>a</w:t>
      </w:r>
      <w:r w:rsidRPr="0080216C">
        <w:t>s</w:t>
      </w:r>
      <w:r w:rsidRPr="006B31F3">
        <w:t xml:space="preserve"> o</w:t>
      </w:r>
      <w:r w:rsidRPr="0080216C">
        <w:t>ther fu</w:t>
      </w:r>
      <w:r w:rsidRPr="006B31F3">
        <w:t>nc</w:t>
      </w:r>
      <w:r w:rsidRPr="0080216C">
        <w:t xml:space="preserve">tions </w:t>
      </w:r>
      <w:r w:rsidRPr="006B31F3">
        <w:t>a</w:t>
      </w:r>
      <w:r w:rsidRPr="0080216C">
        <w:t>nd</w:t>
      </w:r>
      <w:r w:rsidRPr="006B31F3">
        <w:t xml:space="preserve"> r</w:t>
      </w:r>
      <w:r w:rsidRPr="0080216C">
        <w:t xml:space="preserve">oles </w:t>
      </w:r>
      <w:r w:rsidRPr="006B31F3">
        <w:t>r</w:t>
      </w:r>
      <w:r w:rsidRPr="0080216C">
        <w:t>el</w:t>
      </w:r>
      <w:r w:rsidRPr="006B31F3">
        <w:t>eva</w:t>
      </w:r>
      <w:r w:rsidRPr="0080216C">
        <w:t>nt</w:t>
      </w:r>
      <w:r w:rsidRPr="006B31F3">
        <w:t xml:space="preserve"> t</w:t>
      </w:r>
      <w:r w:rsidRPr="0080216C">
        <w:t>o</w:t>
      </w:r>
      <w:r w:rsidRPr="006B31F3">
        <w:t xml:space="preserve"> </w:t>
      </w:r>
      <w:r w:rsidRPr="0080216C">
        <w:t>the</w:t>
      </w:r>
      <w:r w:rsidRPr="006B31F3">
        <w:t xml:space="preserve"> r</w:t>
      </w:r>
      <w:r w:rsidRPr="0080216C">
        <w:t>e</w:t>
      </w:r>
      <w:r w:rsidRPr="006B31F3">
        <w:t>g</w:t>
      </w:r>
      <w:r w:rsidRPr="0080216C">
        <w:t>ul</w:t>
      </w:r>
      <w:r w:rsidRPr="006B31F3">
        <w:t>a</w:t>
      </w:r>
      <w:r w:rsidRPr="0080216C">
        <w:t>tion</w:t>
      </w:r>
      <w:r w:rsidRPr="006B31F3">
        <w:t xml:space="preserve"> </w:t>
      </w:r>
      <w:r w:rsidRPr="0080216C">
        <w:t>of</w:t>
      </w:r>
      <w:r w:rsidRPr="006B31F3">
        <w:t xml:space="preserve"> t</w:t>
      </w:r>
      <w:r w:rsidRPr="0080216C">
        <w:t>he e</w:t>
      </w:r>
      <w:r w:rsidRPr="006B31F3">
        <w:t>n</w:t>
      </w:r>
      <w:r w:rsidRPr="0080216C">
        <w:t>ti</w:t>
      </w:r>
      <w:r w:rsidRPr="006B31F3">
        <w:t>r</w:t>
      </w:r>
      <w:r w:rsidRPr="0080216C">
        <w:t>e T</w:t>
      </w:r>
      <w:r w:rsidRPr="006B31F3">
        <w:t>as</w:t>
      </w:r>
      <w:r w:rsidRPr="0080216C">
        <w:t>man</w:t>
      </w:r>
      <w:r w:rsidRPr="006B31F3">
        <w:t>ia</w:t>
      </w:r>
      <w:r w:rsidRPr="0080216C">
        <w:t>n</w:t>
      </w:r>
      <w:r w:rsidRPr="006B31F3">
        <w:t xml:space="preserve"> </w:t>
      </w:r>
      <w:r w:rsidRPr="0080216C">
        <w:t>he</w:t>
      </w:r>
      <w:r w:rsidRPr="006B31F3">
        <w:t>a</w:t>
      </w:r>
      <w:r w:rsidRPr="0080216C">
        <w:t xml:space="preserve">lth </w:t>
      </w:r>
      <w:r w:rsidRPr="006B31F3">
        <w:t>sys</w:t>
      </w:r>
      <w:r w:rsidRPr="0080216C">
        <w:t>tem, th</w:t>
      </w:r>
      <w:r w:rsidRPr="006B31F3">
        <w:t>ro</w:t>
      </w:r>
      <w:r w:rsidRPr="0080216C">
        <w:t>u</w:t>
      </w:r>
      <w:r w:rsidRPr="006B31F3">
        <w:t>g</w:t>
      </w:r>
      <w:r w:rsidRPr="0080216C">
        <w:t>h</w:t>
      </w:r>
      <w:r w:rsidRPr="006B31F3">
        <w:t xml:space="preserve"> ad</w:t>
      </w:r>
      <w:r w:rsidRPr="0080216C">
        <w:t>mini</w:t>
      </w:r>
      <w:r w:rsidRPr="006B31F3">
        <w:t>s</w:t>
      </w:r>
      <w:r w:rsidRPr="0080216C">
        <w:t>t</w:t>
      </w:r>
      <w:r w:rsidRPr="006B31F3">
        <w:t>ra</w:t>
      </w:r>
      <w:r w:rsidRPr="0080216C">
        <w:t>tion</w:t>
      </w:r>
      <w:r w:rsidRPr="006B31F3">
        <w:t xml:space="preserve"> </w:t>
      </w:r>
      <w:r w:rsidRPr="0080216C">
        <w:t>of</w:t>
      </w:r>
      <w:r w:rsidRPr="006B31F3">
        <w:t xml:space="preserve"> </w:t>
      </w:r>
      <w:r w:rsidRPr="0080216C">
        <w:t>le</w:t>
      </w:r>
      <w:r w:rsidRPr="006B31F3">
        <w:t>g</w:t>
      </w:r>
      <w:r w:rsidRPr="0080216C">
        <w:t>i</w:t>
      </w:r>
      <w:r w:rsidRPr="006B31F3">
        <w:t>s</w:t>
      </w:r>
      <w:r w:rsidRPr="0080216C">
        <w:t>l</w:t>
      </w:r>
      <w:r w:rsidRPr="006B31F3">
        <w:t>a</w:t>
      </w:r>
      <w:r w:rsidRPr="0080216C">
        <w:t>tion</w:t>
      </w:r>
      <w:r w:rsidRPr="006B31F3">
        <w:t xml:space="preserve"> </w:t>
      </w:r>
      <w:r w:rsidRPr="0080216C">
        <w:t>in</w:t>
      </w:r>
      <w:r w:rsidRPr="006B31F3">
        <w:t xml:space="preserve"> r</w:t>
      </w:r>
      <w:r w:rsidRPr="0080216C">
        <w:t>el</w:t>
      </w:r>
      <w:r w:rsidRPr="006B31F3">
        <w:t>a</w:t>
      </w:r>
      <w:r w:rsidRPr="0080216C">
        <w:t>ti</w:t>
      </w:r>
      <w:r w:rsidRPr="006B31F3">
        <w:t>o</w:t>
      </w:r>
      <w:r w:rsidRPr="0080216C">
        <w:t>n</w:t>
      </w:r>
      <w:r w:rsidRPr="006B31F3">
        <w:t xml:space="preserve"> t</w:t>
      </w:r>
      <w:r w:rsidRPr="0080216C">
        <w:t>o</w:t>
      </w:r>
      <w:r w:rsidRPr="006B31F3">
        <w:t xml:space="preserve"> ar</w:t>
      </w:r>
      <w:r w:rsidRPr="0080216C">
        <w:t>e</w:t>
      </w:r>
      <w:r w:rsidRPr="006B31F3">
        <w:t>a</w:t>
      </w:r>
      <w:r w:rsidRPr="0080216C">
        <w:t xml:space="preserve">s </w:t>
      </w:r>
      <w:r w:rsidRPr="006B31F3">
        <w:t>s</w:t>
      </w:r>
      <w:r w:rsidRPr="0080216C">
        <w:t>u</w:t>
      </w:r>
      <w:r w:rsidRPr="006B31F3">
        <w:t>c</w:t>
      </w:r>
      <w:r w:rsidRPr="0080216C">
        <w:t>h</w:t>
      </w:r>
      <w:r w:rsidRPr="006B31F3">
        <w:t xml:space="preserve"> a</w:t>
      </w:r>
      <w:r w:rsidRPr="0080216C">
        <w:t>s</w:t>
      </w:r>
      <w:r w:rsidRPr="006B31F3">
        <w:t xml:space="preserve"> </w:t>
      </w:r>
      <w:r w:rsidRPr="0080216C">
        <w:t>d</w:t>
      </w:r>
      <w:r w:rsidRPr="006B31F3">
        <w:t>r</w:t>
      </w:r>
      <w:r w:rsidRPr="0080216C">
        <w:t>u</w:t>
      </w:r>
      <w:r w:rsidRPr="006B31F3">
        <w:t>g</w:t>
      </w:r>
      <w:r w:rsidRPr="0080216C">
        <w:t xml:space="preserve">s </w:t>
      </w:r>
      <w:r w:rsidRPr="006B31F3">
        <w:t>an</w:t>
      </w:r>
      <w:r w:rsidRPr="0080216C">
        <w:t>d</w:t>
      </w:r>
      <w:r w:rsidRPr="006B31F3">
        <w:t xml:space="preserve"> </w:t>
      </w:r>
      <w:r w:rsidRPr="0080216C">
        <w:t>poi</w:t>
      </w:r>
      <w:r w:rsidRPr="006B31F3">
        <w:t>so</w:t>
      </w:r>
      <w:r w:rsidRPr="0080216C">
        <w:t xml:space="preserve">ns </w:t>
      </w:r>
      <w:r w:rsidRPr="006B31F3">
        <w:t>r</w:t>
      </w:r>
      <w:r w:rsidRPr="0080216C">
        <w:t>e</w:t>
      </w:r>
      <w:r w:rsidRPr="006B31F3">
        <w:t>g</w:t>
      </w:r>
      <w:r w:rsidRPr="0080216C">
        <w:t>ul</w:t>
      </w:r>
      <w:r w:rsidRPr="006B31F3">
        <w:t>a</w:t>
      </w:r>
      <w:r w:rsidRPr="0080216C">
        <w:t>tion, p</w:t>
      </w:r>
      <w:r w:rsidRPr="006B31F3">
        <w:t>r</w:t>
      </w:r>
      <w:r w:rsidRPr="0080216C">
        <w:t>i</w:t>
      </w:r>
      <w:r w:rsidRPr="006B31F3">
        <w:t>va</w:t>
      </w:r>
      <w:r w:rsidRPr="0080216C">
        <w:t>te hosp</w:t>
      </w:r>
      <w:r w:rsidRPr="006B31F3">
        <w:t>i</w:t>
      </w:r>
      <w:r w:rsidRPr="0080216C">
        <w:t>t</w:t>
      </w:r>
      <w:r w:rsidRPr="006B31F3">
        <w:t>a</w:t>
      </w:r>
      <w:r w:rsidRPr="0080216C">
        <w:t>l</w:t>
      </w:r>
      <w:r w:rsidRPr="006B31F3">
        <w:t xml:space="preserve"> </w:t>
      </w:r>
      <w:r w:rsidRPr="0080216C">
        <w:t>l</w:t>
      </w:r>
      <w:r w:rsidRPr="006B31F3">
        <w:t>ic</w:t>
      </w:r>
      <w:r w:rsidRPr="0080216C">
        <w:t>en</w:t>
      </w:r>
      <w:r w:rsidR="009D6635" w:rsidRPr="006B31F3">
        <w:t>c</w:t>
      </w:r>
      <w:r w:rsidRPr="0080216C">
        <w:t>in</w:t>
      </w:r>
      <w:r w:rsidRPr="006B31F3">
        <w:t>g</w:t>
      </w:r>
      <w:r w:rsidRPr="0080216C">
        <w:t xml:space="preserve">, </w:t>
      </w:r>
      <w:r w:rsidRPr="006B31F3">
        <w:t>ra</w:t>
      </w:r>
      <w:r w:rsidRPr="0080216C">
        <w:t>di</w:t>
      </w:r>
      <w:r w:rsidRPr="006B31F3">
        <w:t>a</w:t>
      </w:r>
      <w:r w:rsidRPr="0080216C">
        <w:t>tion</w:t>
      </w:r>
      <w:r w:rsidRPr="006B31F3">
        <w:t xml:space="preserve"> </w:t>
      </w:r>
      <w:r w:rsidRPr="0080216C">
        <w:t>l</w:t>
      </w:r>
      <w:r w:rsidRPr="006B31F3">
        <w:t>ic</w:t>
      </w:r>
      <w:r w:rsidRPr="0080216C">
        <w:t>en</w:t>
      </w:r>
      <w:r w:rsidR="009D6635" w:rsidRPr="006B31F3">
        <w:t>c</w:t>
      </w:r>
      <w:r w:rsidRPr="0080216C">
        <w:t>in</w:t>
      </w:r>
      <w:r w:rsidRPr="006B31F3">
        <w:t>g</w:t>
      </w:r>
      <w:r w:rsidRPr="0080216C">
        <w:t xml:space="preserve">, </w:t>
      </w:r>
      <w:r w:rsidRPr="006B31F3">
        <w:t>an</w:t>
      </w:r>
      <w:r w:rsidRPr="0080216C">
        <w:t>d</w:t>
      </w:r>
      <w:r w:rsidRPr="006B31F3">
        <w:t xml:space="preserve"> s</w:t>
      </w:r>
      <w:r w:rsidRPr="0080216C">
        <w:t>o</w:t>
      </w:r>
      <w:r w:rsidRPr="006B31F3">
        <w:t xml:space="preserve"> o</w:t>
      </w:r>
      <w:r w:rsidRPr="0080216C">
        <w:t xml:space="preserve">n. </w:t>
      </w:r>
      <w:r w:rsidR="006A6E83">
        <w:t xml:space="preserve"> </w:t>
      </w:r>
      <w:r w:rsidRPr="0080216C">
        <w:t>The</w:t>
      </w:r>
      <w:r w:rsidRPr="006B31F3">
        <w:t>s</w:t>
      </w:r>
      <w:r w:rsidRPr="0080216C">
        <w:t>e</w:t>
      </w:r>
      <w:r w:rsidRPr="006B31F3">
        <w:t xml:space="preserve"> ar</w:t>
      </w:r>
      <w:r w:rsidRPr="0080216C">
        <w:t>e</w:t>
      </w:r>
      <w:r w:rsidRPr="006B31F3">
        <w:t xml:space="preserve"> a</w:t>
      </w:r>
      <w:r w:rsidRPr="0080216C">
        <w:t>l</w:t>
      </w:r>
      <w:r w:rsidRPr="006B31F3">
        <w:t>s</w:t>
      </w:r>
      <w:r w:rsidRPr="0080216C">
        <w:t>o</w:t>
      </w:r>
      <w:r w:rsidRPr="006B31F3">
        <w:t xml:space="preserve"> </w:t>
      </w:r>
      <w:r w:rsidRPr="0080216C">
        <w:t>p</w:t>
      </w:r>
      <w:r w:rsidRPr="006B31F3">
        <w:t>r</w:t>
      </w:r>
      <w:r w:rsidRPr="0080216C">
        <w:t>im</w:t>
      </w:r>
      <w:r w:rsidRPr="006B31F3">
        <w:t>ar</w:t>
      </w:r>
      <w:r w:rsidRPr="0080216C">
        <w:t>i</w:t>
      </w:r>
      <w:r w:rsidRPr="006B31F3">
        <w:t>l</w:t>
      </w:r>
      <w:r w:rsidRPr="0080216C">
        <w:t>y man</w:t>
      </w:r>
      <w:r w:rsidRPr="006B31F3">
        <w:t>ag</w:t>
      </w:r>
      <w:r w:rsidRPr="0080216C">
        <w:t>ed</w:t>
      </w:r>
      <w:r w:rsidRPr="006B31F3">
        <w:t xml:space="preserve"> </w:t>
      </w:r>
      <w:r w:rsidRPr="0080216C">
        <w:t>by</w:t>
      </w:r>
      <w:r w:rsidRPr="006B31F3">
        <w:t xml:space="preserve"> </w:t>
      </w:r>
      <w:r w:rsidRPr="0080216C">
        <w:t xml:space="preserve">the </w:t>
      </w:r>
      <w:r w:rsidRPr="006B31F3">
        <w:t>Department on the Minister’s behalf.</w:t>
      </w:r>
    </w:p>
    <w:p w:rsidR="00D25790" w:rsidRPr="00B10D60" w:rsidRDefault="00D25790" w:rsidP="00AB6564">
      <w:pPr>
        <w:pStyle w:val="Heading2"/>
        <w:tabs>
          <w:tab w:val="left" w:pos="3002"/>
        </w:tabs>
        <w:spacing w:before="0" w:after="140" w:line="300" w:lineRule="atLeast"/>
      </w:pPr>
      <w:bookmarkStart w:id="35" w:name="_Toc423357983"/>
      <w:bookmarkStart w:id="36" w:name="_Toc488068395"/>
      <w:r w:rsidRPr="00B10D60">
        <w:t>The Department of Health and Human Services</w:t>
      </w:r>
      <w:bookmarkEnd w:id="35"/>
      <w:bookmarkEnd w:id="36"/>
    </w:p>
    <w:p w:rsidR="00D25790" w:rsidRPr="0080216C" w:rsidRDefault="00D25790" w:rsidP="00AB6564">
      <w:pPr>
        <w:spacing w:after="140" w:line="300" w:lineRule="atLeast"/>
      </w:pPr>
      <w:r w:rsidRPr="0080216C">
        <w:t>The</w:t>
      </w:r>
      <w:r w:rsidRPr="006B31F3">
        <w:t xml:space="preserve"> S</w:t>
      </w:r>
      <w:r w:rsidRPr="0080216C">
        <w:t>e</w:t>
      </w:r>
      <w:r w:rsidRPr="006B31F3">
        <w:t>cr</w:t>
      </w:r>
      <w:r w:rsidRPr="0080216C">
        <w:t>et</w:t>
      </w:r>
      <w:r w:rsidRPr="006B31F3">
        <w:t>ar</w:t>
      </w:r>
      <w:r w:rsidRPr="0080216C">
        <w:t>y of</w:t>
      </w:r>
      <w:r w:rsidRPr="006B31F3">
        <w:t xml:space="preserve"> </w:t>
      </w:r>
      <w:r w:rsidRPr="0080216C">
        <w:t>the</w:t>
      </w:r>
      <w:r w:rsidRPr="006B31F3">
        <w:t xml:space="preserve"> </w:t>
      </w:r>
      <w:r w:rsidRPr="0080216C">
        <w:t>Dep</w:t>
      </w:r>
      <w:r w:rsidRPr="006B31F3">
        <w:t>ar</w:t>
      </w:r>
      <w:r w:rsidRPr="0080216C">
        <w:t>tment</w:t>
      </w:r>
      <w:r w:rsidRPr="006B31F3">
        <w:t xml:space="preserve"> </w:t>
      </w:r>
      <w:r w:rsidRPr="0080216C">
        <w:t>is</w:t>
      </w:r>
      <w:r w:rsidRPr="006B31F3">
        <w:t xml:space="preserve"> </w:t>
      </w:r>
      <w:r w:rsidRPr="0080216C">
        <w:t>di</w:t>
      </w:r>
      <w:r w:rsidRPr="006B31F3">
        <w:t>r</w:t>
      </w:r>
      <w:r w:rsidRPr="0080216C">
        <w:t>e</w:t>
      </w:r>
      <w:r w:rsidRPr="006B31F3">
        <w:t>c</w:t>
      </w:r>
      <w:r w:rsidRPr="0080216C">
        <w:t>tly</w:t>
      </w:r>
      <w:r w:rsidRPr="006B31F3">
        <w:t xml:space="preserve"> acco</w:t>
      </w:r>
      <w:r w:rsidRPr="0080216C">
        <w:t>unt</w:t>
      </w:r>
      <w:r w:rsidRPr="006B31F3">
        <w:t>a</w:t>
      </w:r>
      <w:r w:rsidRPr="0080216C">
        <w:t xml:space="preserve">ble </w:t>
      </w:r>
      <w:r w:rsidRPr="006B31F3">
        <w:t>t</w:t>
      </w:r>
      <w:r w:rsidRPr="0080216C">
        <w:t>o</w:t>
      </w:r>
      <w:r w:rsidRPr="006B31F3">
        <w:t xml:space="preserve"> </w:t>
      </w:r>
      <w:r w:rsidRPr="0080216C">
        <w:t>the</w:t>
      </w:r>
      <w:r w:rsidRPr="006B31F3">
        <w:t xml:space="preserve"> </w:t>
      </w:r>
      <w:r w:rsidRPr="0080216C">
        <w:t>Mini</w:t>
      </w:r>
      <w:r w:rsidRPr="006B31F3">
        <w:t>s</w:t>
      </w:r>
      <w:r w:rsidRPr="0080216C">
        <w:t xml:space="preserve">ter </w:t>
      </w:r>
      <w:r w:rsidRPr="006B31F3">
        <w:t>f</w:t>
      </w:r>
      <w:r w:rsidRPr="0080216C">
        <w:t xml:space="preserve">or </w:t>
      </w:r>
      <w:r w:rsidRPr="006B31F3">
        <w:t>t</w:t>
      </w:r>
      <w:r w:rsidRPr="0080216C">
        <w:t>he</w:t>
      </w:r>
      <w:r w:rsidRPr="006B31F3">
        <w:t xml:space="preserve"> d</w:t>
      </w:r>
      <w:r w:rsidRPr="0080216C">
        <w:t>el</w:t>
      </w:r>
      <w:r w:rsidRPr="006B31F3">
        <w:t>ega</w:t>
      </w:r>
      <w:r w:rsidRPr="0080216C">
        <w:t>ted powe</w:t>
      </w:r>
      <w:r w:rsidRPr="006B31F3">
        <w:t>r</w:t>
      </w:r>
      <w:r w:rsidRPr="0080216C">
        <w:t>s exe</w:t>
      </w:r>
      <w:r w:rsidRPr="006B31F3">
        <w:t>rc</w:t>
      </w:r>
      <w:r w:rsidRPr="0080216C">
        <w:t>i</w:t>
      </w:r>
      <w:r w:rsidRPr="006B31F3">
        <w:t>s</w:t>
      </w:r>
      <w:r w:rsidRPr="0080216C">
        <w:t>ed</w:t>
      </w:r>
      <w:r w:rsidRPr="006B31F3">
        <w:t xml:space="preserve"> </w:t>
      </w:r>
      <w:r w:rsidRPr="0080216C">
        <w:t>by</w:t>
      </w:r>
      <w:r w:rsidRPr="006B31F3">
        <w:t xml:space="preserve"> </w:t>
      </w:r>
      <w:r w:rsidRPr="0080216C">
        <w:t>the</w:t>
      </w:r>
      <w:r w:rsidRPr="006B31F3">
        <w:t xml:space="preserve"> D</w:t>
      </w:r>
      <w:r w:rsidRPr="0080216C">
        <w:t>ep</w:t>
      </w:r>
      <w:r w:rsidRPr="006B31F3">
        <w:t>ar</w:t>
      </w:r>
      <w:r w:rsidRPr="0080216C">
        <w:t>tment</w:t>
      </w:r>
      <w:r w:rsidRPr="006B31F3">
        <w:t xml:space="preserve"> </w:t>
      </w:r>
      <w:r w:rsidRPr="0080216C">
        <w:t xml:space="preserve">in </w:t>
      </w:r>
      <w:r w:rsidRPr="006B31F3">
        <w:t>r</w:t>
      </w:r>
      <w:r w:rsidRPr="0080216C">
        <w:t>e</w:t>
      </w:r>
      <w:r w:rsidRPr="006B31F3">
        <w:t>s</w:t>
      </w:r>
      <w:r w:rsidRPr="0080216C">
        <w:t>pe</w:t>
      </w:r>
      <w:r w:rsidRPr="006B31F3">
        <w:t>c</w:t>
      </w:r>
      <w:r w:rsidRPr="0080216C">
        <w:t>t</w:t>
      </w:r>
      <w:r w:rsidRPr="006B31F3">
        <w:t xml:space="preserve"> o</w:t>
      </w:r>
      <w:r w:rsidRPr="0080216C">
        <w:t>f</w:t>
      </w:r>
      <w:r w:rsidRPr="006B31F3">
        <w:t xml:space="preserve"> </w:t>
      </w:r>
      <w:r w:rsidRPr="0080216C">
        <w:t>t</w:t>
      </w:r>
      <w:r w:rsidRPr="006B31F3">
        <w:t>h</w:t>
      </w:r>
      <w:r w:rsidRPr="0080216C">
        <w:t>e THS.</w:t>
      </w:r>
      <w:r w:rsidR="006A0399" w:rsidRPr="0080216C">
        <w:t xml:space="preserve"> </w:t>
      </w:r>
      <w:r w:rsidRPr="006B31F3">
        <w:t xml:space="preserve"> T</w:t>
      </w:r>
      <w:r w:rsidRPr="0080216C">
        <w:t>he Se</w:t>
      </w:r>
      <w:r w:rsidRPr="006B31F3">
        <w:t>cr</w:t>
      </w:r>
      <w:r w:rsidRPr="0080216C">
        <w:t>et</w:t>
      </w:r>
      <w:r w:rsidRPr="006B31F3">
        <w:t>ar</w:t>
      </w:r>
      <w:r w:rsidRPr="0080216C">
        <w:t xml:space="preserve">y </w:t>
      </w:r>
      <w:r w:rsidRPr="006B31F3">
        <w:t>a</w:t>
      </w:r>
      <w:r w:rsidRPr="0080216C">
        <w:t>dv</w:t>
      </w:r>
      <w:r w:rsidRPr="006B31F3">
        <w:t>is</w:t>
      </w:r>
      <w:r w:rsidRPr="0080216C">
        <w:t>es the</w:t>
      </w:r>
      <w:r w:rsidRPr="006B31F3">
        <w:t xml:space="preserve"> </w:t>
      </w:r>
      <w:r w:rsidRPr="0080216C">
        <w:t>Mini</w:t>
      </w:r>
      <w:r w:rsidRPr="006B31F3">
        <w:t>s</w:t>
      </w:r>
      <w:r w:rsidRPr="0080216C">
        <w:t>ter</w:t>
      </w:r>
      <w:r w:rsidRPr="006B31F3">
        <w:t xml:space="preserve"> </w:t>
      </w:r>
      <w:r w:rsidRPr="0080216C">
        <w:t>on</w:t>
      </w:r>
      <w:r w:rsidRPr="006B31F3">
        <w:t xml:space="preserve"> </w:t>
      </w:r>
      <w:r w:rsidRPr="0080216C">
        <w:t>he</w:t>
      </w:r>
      <w:r w:rsidRPr="006B31F3">
        <w:t>al</w:t>
      </w:r>
      <w:r w:rsidRPr="0080216C">
        <w:t>th</w:t>
      </w:r>
      <w:r w:rsidRPr="006B31F3">
        <w:t xml:space="preserve"> s</w:t>
      </w:r>
      <w:r w:rsidRPr="0080216C">
        <w:t>e</w:t>
      </w:r>
      <w:r w:rsidRPr="006B31F3">
        <w:t>rv</w:t>
      </w:r>
      <w:r w:rsidRPr="0080216C">
        <w:t>i</w:t>
      </w:r>
      <w:r w:rsidRPr="006B31F3">
        <w:t>c</w:t>
      </w:r>
      <w:r w:rsidRPr="0080216C">
        <w:t>es pl</w:t>
      </w:r>
      <w:r w:rsidRPr="006B31F3">
        <w:t>a</w:t>
      </w:r>
      <w:r w:rsidRPr="0080216C">
        <w:t>nnin</w:t>
      </w:r>
      <w:r w:rsidRPr="006B31F3">
        <w:t>g</w:t>
      </w:r>
      <w:r w:rsidRPr="0080216C">
        <w:t>,</w:t>
      </w:r>
      <w:r w:rsidRPr="006B31F3">
        <w:t xml:space="preserve"> </w:t>
      </w:r>
      <w:r w:rsidRPr="0080216C">
        <w:t>pu</w:t>
      </w:r>
      <w:r w:rsidRPr="006B31F3">
        <w:t>rc</w:t>
      </w:r>
      <w:r w:rsidRPr="0080216C">
        <w:t>h</w:t>
      </w:r>
      <w:r w:rsidRPr="006B31F3">
        <w:t>as</w:t>
      </w:r>
      <w:r w:rsidRPr="0080216C">
        <w:t xml:space="preserve">ing </w:t>
      </w:r>
      <w:r w:rsidRPr="006B31F3">
        <w:t>a</w:t>
      </w:r>
      <w:r w:rsidRPr="0080216C">
        <w:t>nd</w:t>
      </w:r>
      <w:r w:rsidRPr="006B31F3">
        <w:t xml:space="preserve"> </w:t>
      </w:r>
      <w:r w:rsidRPr="0080216C">
        <w:t>the</w:t>
      </w:r>
      <w:r w:rsidRPr="006B31F3">
        <w:t xml:space="preserve"> </w:t>
      </w:r>
      <w:r w:rsidRPr="0080216C">
        <w:t>pe</w:t>
      </w:r>
      <w:r w:rsidRPr="006B31F3">
        <w:t>r</w:t>
      </w:r>
      <w:r w:rsidRPr="0080216C">
        <w:t>fo</w:t>
      </w:r>
      <w:r w:rsidRPr="006B31F3">
        <w:t>rma</w:t>
      </w:r>
      <w:r w:rsidRPr="0080216C">
        <w:t>n</w:t>
      </w:r>
      <w:r w:rsidRPr="006B31F3">
        <w:t>c</w:t>
      </w:r>
      <w:r w:rsidRPr="0080216C">
        <w:t>e of</w:t>
      </w:r>
      <w:r w:rsidRPr="006B31F3">
        <w:t xml:space="preserve"> </w:t>
      </w:r>
      <w:r w:rsidRPr="0080216C">
        <w:t>he</w:t>
      </w:r>
      <w:r w:rsidRPr="006B31F3">
        <w:t>a</w:t>
      </w:r>
      <w:r w:rsidRPr="0080216C">
        <w:t>l</w:t>
      </w:r>
      <w:r w:rsidRPr="006B31F3">
        <w:t>t</w:t>
      </w:r>
      <w:r w:rsidRPr="0080216C">
        <w:t>h</w:t>
      </w:r>
      <w:r w:rsidRPr="006B31F3">
        <w:t xml:space="preserve"> s</w:t>
      </w:r>
      <w:r w:rsidRPr="0080216C">
        <w:t>e</w:t>
      </w:r>
      <w:r w:rsidRPr="006B31F3">
        <w:t>rv</w:t>
      </w:r>
      <w:r w:rsidRPr="0080216C">
        <w:t>i</w:t>
      </w:r>
      <w:r w:rsidRPr="006B31F3">
        <w:t>c</w:t>
      </w:r>
      <w:r w:rsidRPr="0080216C">
        <w:t>e</w:t>
      </w:r>
      <w:r w:rsidRPr="006B31F3">
        <w:t>s</w:t>
      </w:r>
      <w:r w:rsidRPr="0080216C">
        <w:t>.</w:t>
      </w:r>
    </w:p>
    <w:p w:rsidR="00D25790" w:rsidRPr="0080216C" w:rsidRDefault="00D25790" w:rsidP="00AB6564">
      <w:pPr>
        <w:spacing w:after="140" w:line="300" w:lineRule="atLeast"/>
      </w:pPr>
      <w:r w:rsidRPr="0080216C">
        <w:t>The</w:t>
      </w:r>
      <w:r w:rsidRPr="006B31F3">
        <w:t xml:space="preserve"> </w:t>
      </w:r>
      <w:r w:rsidRPr="0080216C">
        <w:t>ove</w:t>
      </w:r>
      <w:r w:rsidRPr="006B31F3">
        <w:t>rarc</w:t>
      </w:r>
      <w:r w:rsidRPr="0080216C">
        <w:t xml:space="preserve">hing </w:t>
      </w:r>
      <w:r w:rsidRPr="006B31F3">
        <w:t>r</w:t>
      </w:r>
      <w:r w:rsidRPr="0080216C">
        <w:t>ole</w:t>
      </w:r>
      <w:r w:rsidRPr="006B31F3">
        <w:t xml:space="preserve"> </w:t>
      </w:r>
      <w:r w:rsidRPr="0080216C">
        <w:t>of t</w:t>
      </w:r>
      <w:r w:rsidRPr="006B31F3">
        <w:t>h</w:t>
      </w:r>
      <w:r w:rsidRPr="0080216C">
        <w:t>e Dep</w:t>
      </w:r>
      <w:r w:rsidRPr="006B31F3">
        <w:t>ar</w:t>
      </w:r>
      <w:r w:rsidRPr="0080216C">
        <w:t>t</w:t>
      </w:r>
      <w:r w:rsidRPr="006B31F3">
        <w:t>m</w:t>
      </w:r>
      <w:r w:rsidRPr="0080216C">
        <w:t>ent is</w:t>
      </w:r>
      <w:r w:rsidRPr="006B31F3">
        <w:t xml:space="preserve"> t</w:t>
      </w:r>
      <w:r w:rsidRPr="0080216C">
        <w:t>o</w:t>
      </w:r>
      <w:r w:rsidRPr="006B31F3">
        <w:t xml:space="preserve"> e</w:t>
      </w:r>
      <w:r w:rsidRPr="0080216C">
        <w:t>xe</w:t>
      </w:r>
      <w:r w:rsidRPr="006B31F3">
        <w:t>rc</w:t>
      </w:r>
      <w:r w:rsidRPr="0080216C">
        <w:t>i</w:t>
      </w:r>
      <w:r w:rsidRPr="006B31F3">
        <w:t>s</w:t>
      </w:r>
      <w:r w:rsidRPr="0080216C">
        <w:t>e its</w:t>
      </w:r>
      <w:r w:rsidRPr="006B31F3">
        <w:t xml:space="preserve"> sys</w:t>
      </w:r>
      <w:r w:rsidRPr="0080216C">
        <w:t>tem</w:t>
      </w:r>
      <w:r w:rsidRPr="006B31F3">
        <w:t xml:space="preserve"> </w:t>
      </w:r>
      <w:r w:rsidRPr="0080216C">
        <w:t>man</w:t>
      </w:r>
      <w:r w:rsidRPr="006B31F3">
        <w:t>ag</w:t>
      </w:r>
      <w:r w:rsidRPr="0080216C">
        <w:t>er</w:t>
      </w:r>
      <w:r w:rsidRPr="006B31F3">
        <w:t xml:space="preserve"> </w:t>
      </w:r>
      <w:r w:rsidRPr="0080216C">
        <w:t>pow</w:t>
      </w:r>
      <w:r w:rsidRPr="006B31F3">
        <w:t>er</w:t>
      </w:r>
      <w:r w:rsidRPr="0080216C">
        <w:t>s to</w:t>
      </w:r>
      <w:r w:rsidRPr="006B31F3">
        <w:t xml:space="preserve"> </w:t>
      </w:r>
      <w:r w:rsidRPr="0080216C">
        <w:t>p</w:t>
      </w:r>
      <w:r w:rsidRPr="006B31F3">
        <w:t>r</w:t>
      </w:r>
      <w:r w:rsidRPr="0080216C">
        <w:t>ovide</w:t>
      </w:r>
      <w:r w:rsidRPr="006B31F3">
        <w:t xml:space="preserve"> </w:t>
      </w:r>
      <w:r w:rsidRPr="0080216C">
        <w:t>ove</w:t>
      </w:r>
      <w:r w:rsidRPr="006B31F3">
        <w:t>rs</w:t>
      </w:r>
      <w:r w:rsidRPr="0080216C">
        <w:t>i</w:t>
      </w:r>
      <w:r w:rsidRPr="006B31F3">
        <w:t>g</w:t>
      </w:r>
      <w:r w:rsidRPr="0080216C">
        <w:t>ht, poli</w:t>
      </w:r>
      <w:r w:rsidRPr="006B31F3">
        <w:t>c</w:t>
      </w:r>
      <w:r w:rsidRPr="0080216C">
        <w:t>y di</w:t>
      </w:r>
      <w:r w:rsidRPr="006B31F3">
        <w:t>r</w:t>
      </w:r>
      <w:r w:rsidRPr="0080216C">
        <w:t>e</w:t>
      </w:r>
      <w:r w:rsidRPr="006B31F3">
        <w:t>c</w:t>
      </w:r>
      <w:r w:rsidRPr="0080216C">
        <w:t>tion</w:t>
      </w:r>
      <w:r w:rsidRPr="006B31F3">
        <w:t xml:space="preserve"> a</w:t>
      </w:r>
      <w:r w:rsidRPr="0080216C">
        <w:t>nd</w:t>
      </w:r>
      <w:r w:rsidRPr="006B31F3">
        <w:t xml:space="preserve"> </w:t>
      </w:r>
      <w:r w:rsidRPr="0080216C">
        <w:t>pu</w:t>
      </w:r>
      <w:r w:rsidRPr="006B31F3">
        <w:t>rc</w:t>
      </w:r>
      <w:r w:rsidRPr="0080216C">
        <w:t>h</w:t>
      </w:r>
      <w:r w:rsidRPr="006B31F3">
        <w:t>as</w:t>
      </w:r>
      <w:r w:rsidRPr="0080216C">
        <w:t>ing</w:t>
      </w:r>
      <w:r w:rsidRPr="006B31F3">
        <w:t xml:space="preserve"> </w:t>
      </w:r>
      <w:r w:rsidRPr="0080216C">
        <w:t xml:space="preserve">for </w:t>
      </w:r>
      <w:r w:rsidRPr="006B31F3">
        <w:t>t</w:t>
      </w:r>
      <w:r w:rsidRPr="0080216C">
        <w:t>he</w:t>
      </w:r>
      <w:r w:rsidRPr="006B31F3">
        <w:t xml:space="preserve"> </w:t>
      </w:r>
      <w:r w:rsidRPr="0080216C">
        <w:t>T</w:t>
      </w:r>
      <w:r w:rsidRPr="006B31F3">
        <w:t>as</w:t>
      </w:r>
      <w:r w:rsidRPr="0080216C">
        <w:t>man</w:t>
      </w:r>
      <w:r w:rsidRPr="006B31F3">
        <w:t>ia</w:t>
      </w:r>
      <w:r w:rsidRPr="0080216C">
        <w:t>n</w:t>
      </w:r>
      <w:r w:rsidRPr="006B31F3">
        <w:t xml:space="preserve"> </w:t>
      </w:r>
      <w:r w:rsidRPr="0080216C">
        <w:t>he</w:t>
      </w:r>
      <w:r w:rsidRPr="006B31F3">
        <w:t>al</w:t>
      </w:r>
      <w:r w:rsidRPr="0080216C">
        <w:t xml:space="preserve">th </w:t>
      </w:r>
      <w:r w:rsidRPr="006B31F3">
        <w:t>sys</w:t>
      </w:r>
      <w:r w:rsidRPr="0080216C">
        <w:t>tem</w:t>
      </w:r>
      <w:r w:rsidRPr="006B31F3">
        <w:t xml:space="preserve"> o</w:t>
      </w:r>
      <w:r w:rsidRPr="0080216C">
        <w:t>n</w:t>
      </w:r>
      <w:r w:rsidRPr="006B31F3">
        <w:t xml:space="preserve"> </w:t>
      </w:r>
      <w:r w:rsidRPr="0080216C">
        <w:t>beh</w:t>
      </w:r>
      <w:r w:rsidRPr="006B31F3">
        <w:t>a</w:t>
      </w:r>
      <w:r w:rsidRPr="0080216C">
        <w:t>lf</w:t>
      </w:r>
      <w:r w:rsidRPr="006B31F3">
        <w:t xml:space="preserve"> </w:t>
      </w:r>
      <w:r w:rsidRPr="0080216C">
        <w:t>of</w:t>
      </w:r>
      <w:r w:rsidRPr="006B31F3">
        <w:t xml:space="preserve"> t</w:t>
      </w:r>
      <w:r w:rsidRPr="0080216C">
        <w:t>he Mini</w:t>
      </w:r>
      <w:r w:rsidRPr="006B31F3">
        <w:t>s</w:t>
      </w:r>
      <w:r w:rsidRPr="0080216C">
        <w:t>ter to</w:t>
      </w:r>
      <w:r w:rsidRPr="006B31F3">
        <w:t xml:space="preserve"> </w:t>
      </w:r>
      <w:r w:rsidRPr="0080216C">
        <w:t>en</w:t>
      </w:r>
      <w:r w:rsidRPr="006B31F3">
        <w:t>s</w:t>
      </w:r>
      <w:r w:rsidRPr="0080216C">
        <w:t>u</w:t>
      </w:r>
      <w:r w:rsidRPr="006B31F3">
        <w:t>r</w:t>
      </w:r>
      <w:r w:rsidRPr="0080216C">
        <w:t xml:space="preserve">e </w:t>
      </w:r>
      <w:r w:rsidRPr="006B31F3">
        <w:t>t</w:t>
      </w:r>
      <w:r w:rsidRPr="0080216C">
        <w:t>h</w:t>
      </w:r>
      <w:r w:rsidRPr="006B31F3">
        <w:t>a</w:t>
      </w:r>
      <w:r w:rsidRPr="0080216C">
        <w:t>t</w:t>
      </w:r>
      <w:r w:rsidRPr="006B31F3">
        <w:t xml:space="preserve"> </w:t>
      </w:r>
      <w:r w:rsidRPr="0080216C">
        <w:t>the</w:t>
      </w:r>
      <w:r w:rsidRPr="006B31F3">
        <w:t xml:space="preserve"> </w:t>
      </w:r>
      <w:r w:rsidRPr="0080216C">
        <w:t>he</w:t>
      </w:r>
      <w:r w:rsidRPr="006B31F3">
        <w:t>a</w:t>
      </w:r>
      <w:r w:rsidRPr="0080216C">
        <w:t xml:space="preserve">lth </w:t>
      </w:r>
      <w:r w:rsidRPr="006B31F3">
        <w:t>sys</w:t>
      </w:r>
      <w:r w:rsidRPr="0080216C">
        <w:t>tem is</w:t>
      </w:r>
      <w:r w:rsidRPr="006B31F3">
        <w:t xml:space="preserve"> </w:t>
      </w:r>
      <w:r w:rsidRPr="0080216C">
        <w:t>being man</w:t>
      </w:r>
      <w:r w:rsidRPr="006B31F3">
        <w:t>ag</w:t>
      </w:r>
      <w:r w:rsidRPr="0080216C">
        <w:t>ed</w:t>
      </w:r>
      <w:r w:rsidRPr="006B31F3">
        <w:t xml:space="preserve"> sa</w:t>
      </w:r>
      <w:r w:rsidRPr="0080216C">
        <w:t>fel</w:t>
      </w:r>
      <w:r w:rsidRPr="006B31F3">
        <w:t>y</w:t>
      </w:r>
      <w:r w:rsidRPr="0080216C">
        <w:t>,</w:t>
      </w:r>
      <w:r w:rsidRPr="006B31F3">
        <w:t xml:space="preserve"> </w:t>
      </w:r>
      <w:r w:rsidRPr="0080216C">
        <w:t>ef</w:t>
      </w:r>
      <w:r w:rsidRPr="006B31F3">
        <w:t>f</w:t>
      </w:r>
      <w:r w:rsidRPr="0080216C">
        <w:t>e</w:t>
      </w:r>
      <w:r w:rsidRPr="006B31F3">
        <w:t>c</w:t>
      </w:r>
      <w:r w:rsidRPr="0080216C">
        <w:t>ti</w:t>
      </w:r>
      <w:r w:rsidRPr="006B31F3">
        <w:t>v</w:t>
      </w:r>
      <w:r w:rsidRPr="0080216C">
        <w:t>ely</w:t>
      </w:r>
      <w:r w:rsidRPr="006B31F3">
        <w:t xml:space="preserve"> a</w:t>
      </w:r>
      <w:r w:rsidRPr="0080216C">
        <w:t>nd</w:t>
      </w:r>
      <w:r w:rsidRPr="006B31F3">
        <w:t xml:space="preserve"> e</w:t>
      </w:r>
      <w:r w:rsidRPr="0080216C">
        <w:t>ffi</w:t>
      </w:r>
      <w:r w:rsidRPr="006B31F3">
        <w:t>c</w:t>
      </w:r>
      <w:r w:rsidRPr="0080216C">
        <w:t>iently in</w:t>
      </w:r>
      <w:r w:rsidRPr="006B31F3">
        <w:t xml:space="preserve"> </w:t>
      </w:r>
      <w:r w:rsidRPr="0080216C">
        <w:t>t</w:t>
      </w:r>
      <w:r w:rsidRPr="006B31F3">
        <w:t>h</w:t>
      </w:r>
      <w:r w:rsidRPr="0080216C">
        <w:t>e inte</w:t>
      </w:r>
      <w:r w:rsidRPr="006B31F3">
        <w:t>r</w:t>
      </w:r>
      <w:r w:rsidRPr="0080216C">
        <w:t>e</w:t>
      </w:r>
      <w:r w:rsidRPr="006B31F3">
        <w:t>s</w:t>
      </w:r>
      <w:r w:rsidRPr="0080216C">
        <w:t>ts</w:t>
      </w:r>
      <w:r w:rsidRPr="006B31F3">
        <w:t xml:space="preserve"> </w:t>
      </w:r>
      <w:r w:rsidRPr="0080216C">
        <w:t>of</w:t>
      </w:r>
      <w:r w:rsidRPr="006B31F3">
        <w:t xml:space="preserve"> </w:t>
      </w:r>
      <w:r w:rsidRPr="0080216C">
        <w:t>the</w:t>
      </w:r>
      <w:r w:rsidRPr="006B31F3">
        <w:t xml:space="preserve"> </w:t>
      </w:r>
      <w:r w:rsidRPr="0080216C">
        <w:t>pe</w:t>
      </w:r>
      <w:r w:rsidRPr="006B31F3">
        <w:t>o</w:t>
      </w:r>
      <w:r w:rsidRPr="0080216C">
        <w:t>ple</w:t>
      </w:r>
      <w:r w:rsidRPr="006B31F3">
        <w:t xml:space="preserve"> </w:t>
      </w:r>
      <w:r w:rsidRPr="0080216C">
        <w:t>of</w:t>
      </w:r>
      <w:r w:rsidRPr="006B31F3">
        <w:t xml:space="preserve"> </w:t>
      </w:r>
      <w:r w:rsidRPr="0080216C">
        <w:t>T</w:t>
      </w:r>
      <w:r w:rsidRPr="006B31F3">
        <w:t>as</w:t>
      </w:r>
      <w:r w:rsidRPr="0080216C">
        <w:t>man</w:t>
      </w:r>
      <w:r w:rsidRPr="006B31F3">
        <w:t>ia</w:t>
      </w:r>
      <w:r w:rsidRPr="0080216C">
        <w:t>.</w:t>
      </w:r>
    </w:p>
    <w:p w:rsidR="00D25790" w:rsidRPr="0080216C" w:rsidRDefault="00D25790" w:rsidP="00AB6564">
      <w:pPr>
        <w:spacing w:after="140" w:line="300" w:lineRule="atLeast"/>
      </w:pPr>
      <w:r w:rsidRPr="0080216C">
        <w:t>The Department’s key functional accountabilities in respect of the THS are:</w:t>
      </w:r>
    </w:p>
    <w:p w:rsidR="00D25790" w:rsidRPr="00612F7B" w:rsidRDefault="00D25790" w:rsidP="00AB6564">
      <w:pPr>
        <w:pStyle w:val="BodyText"/>
        <w:spacing w:after="140" w:line="300" w:lineRule="atLeast"/>
        <w:ind w:right="185"/>
        <w:rPr>
          <w:b/>
        </w:rPr>
      </w:pPr>
      <w:r w:rsidRPr="00612F7B">
        <w:rPr>
          <w:b/>
        </w:rPr>
        <w:t>Planning</w:t>
      </w:r>
    </w:p>
    <w:p w:rsidR="00D25790" w:rsidRPr="004C308D" w:rsidRDefault="004A1BAD" w:rsidP="004C308D">
      <w:pPr>
        <w:pStyle w:val="ListParagraph"/>
        <w:numPr>
          <w:ilvl w:val="0"/>
          <w:numId w:val="27"/>
        </w:numPr>
        <w:spacing w:after="140" w:line="300" w:lineRule="atLeast"/>
        <w:ind w:left="357" w:right="0" w:hanging="357"/>
        <w:jc w:val="left"/>
        <w:rPr>
          <w:rFonts w:ascii="Gill Sans MT" w:hAnsi="Gill Sans MT"/>
        </w:rPr>
      </w:pPr>
      <w:proofErr w:type="gramStart"/>
      <w:r w:rsidRPr="004C308D">
        <w:rPr>
          <w:rFonts w:ascii="Gill Sans MT" w:hAnsi="Gill Sans MT"/>
        </w:rPr>
        <w:t>e</w:t>
      </w:r>
      <w:r w:rsidR="00D25790" w:rsidRPr="004C308D">
        <w:rPr>
          <w:rFonts w:ascii="Gill Sans MT" w:hAnsi="Gill Sans MT"/>
        </w:rPr>
        <w:t>ffective</w:t>
      </w:r>
      <w:proofErr w:type="gramEnd"/>
      <w:r w:rsidR="00D25790" w:rsidRPr="004C308D">
        <w:rPr>
          <w:rFonts w:ascii="Gill Sans MT" w:hAnsi="Gill Sans MT"/>
        </w:rPr>
        <w:t xml:space="preserve"> </w:t>
      </w:r>
      <w:r w:rsidR="00423CF8" w:rsidRPr="004C308D">
        <w:rPr>
          <w:rFonts w:ascii="Gill Sans MT" w:hAnsi="Gill Sans MT"/>
        </w:rPr>
        <w:t xml:space="preserve">strategic </w:t>
      </w:r>
      <w:r w:rsidR="00D25790" w:rsidRPr="004C308D">
        <w:rPr>
          <w:rFonts w:ascii="Gill Sans MT" w:hAnsi="Gill Sans MT"/>
        </w:rPr>
        <w:t>planning of h</w:t>
      </w:r>
      <w:r w:rsidR="003C785C" w:rsidRPr="004C308D">
        <w:rPr>
          <w:rFonts w:ascii="Gill Sans MT" w:hAnsi="Gill Sans MT"/>
        </w:rPr>
        <w:t>ealth services across the State.</w:t>
      </w:r>
    </w:p>
    <w:p w:rsidR="00D25790" w:rsidRPr="00612F7B" w:rsidRDefault="00D25790" w:rsidP="00AB6564">
      <w:pPr>
        <w:pStyle w:val="BodyText"/>
        <w:spacing w:after="140" w:line="300" w:lineRule="atLeast"/>
        <w:ind w:right="185"/>
        <w:rPr>
          <w:b/>
        </w:rPr>
      </w:pPr>
      <w:r w:rsidRPr="00612F7B">
        <w:rPr>
          <w:b/>
        </w:rPr>
        <w:t>Standards and Regulation</w:t>
      </w:r>
    </w:p>
    <w:p w:rsidR="00D25790" w:rsidRPr="004C308D" w:rsidRDefault="00D25790" w:rsidP="004C308D">
      <w:pPr>
        <w:pStyle w:val="ListParagraph"/>
        <w:numPr>
          <w:ilvl w:val="0"/>
          <w:numId w:val="27"/>
        </w:numPr>
        <w:spacing w:after="140" w:line="300" w:lineRule="atLeast"/>
        <w:ind w:left="357" w:right="0" w:hanging="357"/>
        <w:jc w:val="left"/>
        <w:rPr>
          <w:rFonts w:ascii="Gill Sans MT" w:hAnsi="Gill Sans MT"/>
        </w:rPr>
      </w:pPr>
      <w:r w:rsidRPr="004C308D">
        <w:rPr>
          <w:rFonts w:ascii="Gill Sans MT" w:hAnsi="Gill Sans MT"/>
        </w:rPr>
        <w:t xml:space="preserve">Ministerial </w:t>
      </w:r>
      <w:r w:rsidR="00874194" w:rsidRPr="004C308D">
        <w:rPr>
          <w:rFonts w:ascii="Gill Sans MT" w:hAnsi="Gill Sans MT"/>
        </w:rPr>
        <w:t>Policy</w:t>
      </w:r>
      <w:r w:rsidRPr="004C308D">
        <w:rPr>
          <w:rFonts w:ascii="Gill Sans MT" w:hAnsi="Gill Sans MT"/>
        </w:rPr>
        <w:t>: require</w:t>
      </w:r>
      <w:r w:rsidR="00423CF8" w:rsidRPr="004C308D">
        <w:rPr>
          <w:rFonts w:ascii="Gill Sans MT" w:hAnsi="Gill Sans MT"/>
        </w:rPr>
        <w:t>s the</w:t>
      </w:r>
      <w:r w:rsidRPr="004C308D">
        <w:rPr>
          <w:rFonts w:ascii="Gill Sans MT" w:hAnsi="Gill Sans MT"/>
        </w:rPr>
        <w:t xml:space="preserve"> THS to implement specified policies such as </w:t>
      </w:r>
      <w:r w:rsidR="0000389D" w:rsidRPr="004C308D">
        <w:rPr>
          <w:rFonts w:ascii="Gill Sans MT" w:hAnsi="Gill Sans MT"/>
        </w:rPr>
        <w:t>c</w:t>
      </w:r>
      <w:r w:rsidRPr="004C308D">
        <w:rPr>
          <w:rFonts w:ascii="Gill Sans MT" w:hAnsi="Gill Sans MT"/>
        </w:rPr>
        <w:t xml:space="preserve">linical </w:t>
      </w:r>
      <w:r w:rsidR="009328F5" w:rsidRPr="004C308D">
        <w:rPr>
          <w:rFonts w:ascii="Gill Sans MT" w:hAnsi="Gill Sans MT"/>
        </w:rPr>
        <w:t>g</w:t>
      </w:r>
      <w:r w:rsidRPr="004C308D">
        <w:rPr>
          <w:rFonts w:ascii="Gill Sans MT" w:hAnsi="Gill Sans MT"/>
        </w:rPr>
        <w:t xml:space="preserve">overnance </w:t>
      </w:r>
      <w:r w:rsidR="009328F5" w:rsidRPr="004C308D">
        <w:rPr>
          <w:rFonts w:ascii="Gill Sans MT" w:hAnsi="Gill Sans MT"/>
        </w:rPr>
        <w:t>f</w:t>
      </w:r>
      <w:r w:rsidRPr="004C308D">
        <w:rPr>
          <w:rFonts w:ascii="Gill Sans MT" w:hAnsi="Gill Sans MT"/>
        </w:rPr>
        <w:t>rameworks</w:t>
      </w:r>
      <w:r w:rsidR="00CC460D" w:rsidRPr="004C308D">
        <w:rPr>
          <w:rFonts w:ascii="Gill Sans MT" w:hAnsi="Gill Sans MT"/>
        </w:rPr>
        <w:t xml:space="preserve"> and </w:t>
      </w:r>
      <w:proofErr w:type="spellStart"/>
      <w:r w:rsidR="009328F5" w:rsidRPr="004C308D">
        <w:rPr>
          <w:rFonts w:ascii="Gill Sans MT" w:hAnsi="Gill Sans MT"/>
        </w:rPr>
        <w:t>c</w:t>
      </w:r>
      <w:r w:rsidR="00CC460D" w:rsidRPr="004C308D">
        <w:rPr>
          <w:rFonts w:ascii="Gill Sans MT" w:hAnsi="Gill Sans MT"/>
        </w:rPr>
        <w:t>asemix</w:t>
      </w:r>
      <w:proofErr w:type="spellEnd"/>
      <w:r w:rsidR="00CC460D" w:rsidRPr="004C308D">
        <w:rPr>
          <w:rFonts w:ascii="Gill Sans MT" w:hAnsi="Gill Sans MT"/>
        </w:rPr>
        <w:t xml:space="preserve"> </w:t>
      </w:r>
      <w:r w:rsidR="009328F5" w:rsidRPr="004C308D">
        <w:rPr>
          <w:rFonts w:ascii="Gill Sans MT" w:hAnsi="Gill Sans MT"/>
        </w:rPr>
        <w:t>i</w:t>
      </w:r>
      <w:r w:rsidR="00EA46E9" w:rsidRPr="004C308D">
        <w:rPr>
          <w:rFonts w:ascii="Gill Sans MT" w:hAnsi="Gill Sans MT"/>
        </w:rPr>
        <w:t>nfrastructure</w:t>
      </w:r>
      <w:r w:rsidR="00CC460D" w:rsidRPr="004C308D">
        <w:rPr>
          <w:rFonts w:ascii="Gill Sans MT" w:hAnsi="Gill Sans MT"/>
        </w:rPr>
        <w:t xml:space="preserve"> polices (including the </w:t>
      </w:r>
      <w:r w:rsidR="00BA7BE1" w:rsidRPr="004C308D">
        <w:rPr>
          <w:rFonts w:ascii="Gill Sans MT" w:hAnsi="Gill Sans MT"/>
        </w:rPr>
        <w:t xml:space="preserve">DHHS </w:t>
      </w:r>
      <w:proofErr w:type="spellStart"/>
      <w:r w:rsidR="00BA7BE1" w:rsidRPr="004C308D">
        <w:rPr>
          <w:rFonts w:ascii="Gill Sans MT" w:hAnsi="Gill Sans MT"/>
        </w:rPr>
        <w:t>Casemix</w:t>
      </w:r>
      <w:proofErr w:type="spellEnd"/>
      <w:r w:rsidR="00BA7BE1" w:rsidRPr="004C308D">
        <w:rPr>
          <w:rFonts w:ascii="Gill Sans MT" w:hAnsi="Gill Sans MT"/>
        </w:rPr>
        <w:t xml:space="preserve"> Policy</w:t>
      </w:r>
      <w:r w:rsidR="0000389D" w:rsidRPr="004C308D">
        <w:rPr>
          <w:rFonts w:ascii="Gill Sans MT" w:hAnsi="Gill Sans MT"/>
        </w:rPr>
        <w:t>)</w:t>
      </w:r>
      <w:r w:rsidR="006A6E83" w:rsidRPr="004C308D">
        <w:rPr>
          <w:rFonts w:ascii="Gill Sans MT" w:hAnsi="Gill Sans MT"/>
        </w:rPr>
        <w:t>;</w:t>
      </w:r>
    </w:p>
    <w:p w:rsidR="00D33D6E" w:rsidRPr="004C308D" w:rsidRDefault="00874194" w:rsidP="004C308D">
      <w:pPr>
        <w:pStyle w:val="ListParagraph"/>
        <w:numPr>
          <w:ilvl w:val="0"/>
          <w:numId w:val="27"/>
        </w:numPr>
        <w:spacing w:after="140" w:line="300" w:lineRule="atLeast"/>
        <w:ind w:left="357" w:right="0" w:hanging="357"/>
        <w:jc w:val="left"/>
        <w:rPr>
          <w:rFonts w:ascii="Gill Sans MT" w:hAnsi="Gill Sans MT"/>
        </w:rPr>
      </w:pPr>
      <w:r w:rsidRPr="004C308D">
        <w:rPr>
          <w:rFonts w:ascii="Gill Sans MT" w:hAnsi="Gill Sans MT"/>
        </w:rPr>
        <w:t>C</w:t>
      </w:r>
      <w:r w:rsidR="00D25790" w:rsidRPr="004C308D">
        <w:rPr>
          <w:rFonts w:ascii="Gill Sans MT" w:hAnsi="Gill Sans MT"/>
        </w:rPr>
        <w:t xml:space="preserve">orporate </w:t>
      </w:r>
      <w:r w:rsidR="00550DED" w:rsidRPr="004C308D">
        <w:rPr>
          <w:rFonts w:ascii="Gill Sans MT" w:hAnsi="Gill Sans MT"/>
        </w:rPr>
        <w:t>p</w:t>
      </w:r>
      <w:r w:rsidR="00D25790" w:rsidRPr="004C308D">
        <w:rPr>
          <w:rFonts w:ascii="Gill Sans MT" w:hAnsi="Gill Sans MT"/>
        </w:rPr>
        <w:t>lan: review and recommend to the Minister any amendments to plans prepared by</w:t>
      </w:r>
      <w:r w:rsidR="00D33D6E" w:rsidRPr="004C308D">
        <w:rPr>
          <w:rFonts w:ascii="Gill Sans MT" w:hAnsi="Gill Sans MT"/>
        </w:rPr>
        <w:t xml:space="preserve"> </w:t>
      </w:r>
      <w:r w:rsidR="006A0399" w:rsidRPr="004C308D">
        <w:rPr>
          <w:rFonts w:ascii="Gill Sans MT" w:hAnsi="Gill Sans MT"/>
        </w:rPr>
        <w:t xml:space="preserve">the </w:t>
      </w:r>
      <w:r w:rsidR="00D25790" w:rsidRPr="004C308D">
        <w:rPr>
          <w:rFonts w:ascii="Gill Sans MT" w:hAnsi="Gill Sans MT"/>
        </w:rPr>
        <w:t>THS</w:t>
      </w:r>
      <w:r w:rsidR="0076046F" w:rsidRPr="004C308D">
        <w:rPr>
          <w:rFonts w:ascii="Gill Sans MT" w:hAnsi="Gill Sans MT"/>
        </w:rPr>
        <w:t>; and</w:t>
      </w:r>
    </w:p>
    <w:p w:rsidR="00D25790" w:rsidRPr="004C308D" w:rsidRDefault="004A1BAD" w:rsidP="004C308D">
      <w:pPr>
        <w:pStyle w:val="ListParagraph"/>
        <w:numPr>
          <w:ilvl w:val="0"/>
          <w:numId w:val="27"/>
        </w:numPr>
        <w:spacing w:after="140" w:line="300" w:lineRule="atLeast"/>
        <w:ind w:left="357" w:right="0" w:hanging="357"/>
        <w:jc w:val="left"/>
        <w:rPr>
          <w:rFonts w:ascii="Gill Sans MT" w:hAnsi="Gill Sans MT"/>
        </w:rPr>
      </w:pPr>
      <w:proofErr w:type="gramStart"/>
      <w:r w:rsidRPr="004C308D">
        <w:rPr>
          <w:rFonts w:ascii="Gill Sans MT" w:hAnsi="Gill Sans MT"/>
        </w:rPr>
        <w:t>m</w:t>
      </w:r>
      <w:r w:rsidR="00423CF8" w:rsidRPr="004C308D">
        <w:rPr>
          <w:rFonts w:ascii="Gill Sans MT" w:hAnsi="Gill Sans MT"/>
        </w:rPr>
        <w:t>onitor</w:t>
      </w:r>
      <w:r w:rsidR="0076046F" w:rsidRPr="004C308D">
        <w:rPr>
          <w:rFonts w:ascii="Gill Sans MT" w:hAnsi="Gill Sans MT"/>
        </w:rPr>
        <w:t>ing</w:t>
      </w:r>
      <w:proofErr w:type="gramEnd"/>
      <w:r w:rsidR="00D25790" w:rsidRPr="004C308D">
        <w:rPr>
          <w:rFonts w:ascii="Gill Sans MT" w:hAnsi="Gill Sans MT"/>
        </w:rPr>
        <w:t xml:space="preserve"> financial performance</w:t>
      </w:r>
      <w:r w:rsidR="003C785C" w:rsidRPr="004C308D">
        <w:rPr>
          <w:rFonts w:ascii="Gill Sans MT" w:hAnsi="Gill Sans MT"/>
        </w:rPr>
        <w:t>.</w:t>
      </w:r>
    </w:p>
    <w:p w:rsidR="00D25790" w:rsidRPr="00612F7B" w:rsidRDefault="00423CF8" w:rsidP="001C1A5C">
      <w:pPr>
        <w:spacing w:after="140" w:line="300" w:lineRule="atLeast"/>
        <w:rPr>
          <w:b/>
        </w:rPr>
      </w:pPr>
      <w:r>
        <w:rPr>
          <w:i/>
        </w:rPr>
        <w:br w:type="page"/>
      </w:r>
      <w:r w:rsidR="00D25790" w:rsidRPr="00612F7B">
        <w:rPr>
          <w:b/>
        </w:rPr>
        <w:t>Service Delivery</w:t>
      </w:r>
    </w:p>
    <w:p w:rsidR="00D25790" w:rsidRPr="004C308D" w:rsidRDefault="004A1BAD" w:rsidP="004C308D">
      <w:pPr>
        <w:pStyle w:val="ListParagraph"/>
        <w:numPr>
          <w:ilvl w:val="0"/>
          <w:numId w:val="27"/>
        </w:numPr>
        <w:spacing w:after="140" w:line="300" w:lineRule="atLeast"/>
        <w:ind w:left="357" w:right="0" w:hanging="357"/>
        <w:jc w:val="left"/>
        <w:rPr>
          <w:rFonts w:ascii="Gill Sans MT" w:hAnsi="Gill Sans MT"/>
        </w:rPr>
      </w:pPr>
      <w:proofErr w:type="gramStart"/>
      <w:r w:rsidRPr="004C308D">
        <w:rPr>
          <w:rFonts w:ascii="Gill Sans MT" w:hAnsi="Gill Sans MT"/>
        </w:rPr>
        <w:t>p</w:t>
      </w:r>
      <w:r w:rsidR="00D25790" w:rsidRPr="004C308D">
        <w:rPr>
          <w:rFonts w:ascii="Gill Sans MT" w:hAnsi="Gill Sans MT"/>
        </w:rPr>
        <w:t>rovide</w:t>
      </w:r>
      <w:proofErr w:type="gramEnd"/>
      <w:r w:rsidR="00D25790" w:rsidRPr="004C308D">
        <w:rPr>
          <w:rFonts w:ascii="Gill Sans MT" w:hAnsi="Gill Sans MT"/>
        </w:rPr>
        <w:t xml:space="preserve"> </w:t>
      </w:r>
      <w:r w:rsidR="00423CF8" w:rsidRPr="004C308D">
        <w:rPr>
          <w:rFonts w:ascii="Gill Sans MT" w:hAnsi="Gill Sans MT"/>
        </w:rPr>
        <w:t xml:space="preserve">support </w:t>
      </w:r>
      <w:r w:rsidR="00D25790" w:rsidRPr="004C308D">
        <w:rPr>
          <w:rFonts w:ascii="Gill Sans MT" w:hAnsi="Gill Sans MT"/>
        </w:rPr>
        <w:t>services to the THS in areas such as finance, human resources and corporate support</w:t>
      </w:r>
      <w:r w:rsidR="006A6E83" w:rsidRPr="004C308D">
        <w:rPr>
          <w:rFonts w:ascii="Gill Sans MT" w:hAnsi="Gill Sans MT"/>
        </w:rPr>
        <w:t>.</w:t>
      </w:r>
    </w:p>
    <w:p w:rsidR="00D25790" w:rsidRPr="00612F7B" w:rsidRDefault="00D25790" w:rsidP="00AB6564">
      <w:pPr>
        <w:pStyle w:val="BodyText"/>
        <w:spacing w:after="140" w:line="300" w:lineRule="atLeast"/>
        <w:ind w:right="185"/>
        <w:rPr>
          <w:b/>
        </w:rPr>
      </w:pPr>
      <w:r w:rsidRPr="00612F7B">
        <w:rPr>
          <w:b/>
        </w:rPr>
        <w:t>Purchasing and Performance</w:t>
      </w:r>
    </w:p>
    <w:p w:rsidR="00D25790" w:rsidRPr="004C308D" w:rsidRDefault="0076046F" w:rsidP="004C308D">
      <w:pPr>
        <w:pStyle w:val="ListParagraph"/>
        <w:numPr>
          <w:ilvl w:val="0"/>
          <w:numId w:val="27"/>
        </w:numPr>
        <w:spacing w:after="140" w:line="300" w:lineRule="atLeast"/>
        <w:ind w:left="357" w:right="0" w:hanging="357"/>
        <w:jc w:val="left"/>
        <w:rPr>
          <w:rFonts w:ascii="Gill Sans MT" w:hAnsi="Gill Sans MT"/>
        </w:rPr>
      </w:pPr>
      <w:r w:rsidRPr="004C308D">
        <w:rPr>
          <w:rFonts w:ascii="Gill Sans MT" w:hAnsi="Gill Sans MT"/>
        </w:rPr>
        <w:t xml:space="preserve">Service </w:t>
      </w:r>
      <w:r w:rsidR="00527CAE">
        <w:rPr>
          <w:rFonts w:ascii="Gill Sans MT" w:hAnsi="Gill Sans MT"/>
        </w:rPr>
        <w:t>A</w:t>
      </w:r>
      <w:r w:rsidRPr="004C308D">
        <w:rPr>
          <w:rFonts w:ascii="Gill Sans MT" w:hAnsi="Gill Sans MT"/>
        </w:rPr>
        <w:t>greement</w:t>
      </w:r>
      <w:r w:rsidR="006A6E83" w:rsidRPr="004C308D">
        <w:rPr>
          <w:rFonts w:ascii="Gill Sans MT" w:hAnsi="Gill Sans MT"/>
        </w:rPr>
        <w:t xml:space="preserve">: </w:t>
      </w:r>
      <w:r w:rsidR="00D25790" w:rsidRPr="004C308D">
        <w:rPr>
          <w:rFonts w:ascii="Gill Sans MT" w:hAnsi="Gill Sans MT"/>
        </w:rPr>
        <w:t>agree or determine for the THS by 30 June, including services to be provided by or on behalf of the THS and funding for those services</w:t>
      </w:r>
      <w:r w:rsidR="006A6E83" w:rsidRPr="004C308D">
        <w:rPr>
          <w:rFonts w:ascii="Gill Sans MT" w:hAnsi="Gill Sans MT"/>
        </w:rPr>
        <w:t xml:space="preserve">, </w:t>
      </w:r>
      <w:r w:rsidR="00D25790" w:rsidRPr="004C308D">
        <w:rPr>
          <w:rFonts w:ascii="Gill Sans MT" w:hAnsi="Gill Sans MT"/>
        </w:rPr>
        <w:t>performance standards, performance targets and performance measures</w:t>
      </w:r>
      <w:r w:rsidR="006A6E83" w:rsidRPr="004C308D">
        <w:rPr>
          <w:rFonts w:ascii="Gill Sans MT" w:hAnsi="Gill Sans MT"/>
        </w:rPr>
        <w:t xml:space="preserve">, and </w:t>
      </w:r>
      <w:r w:rsidR="00D25790" w:rsidRPr="004C308D">
        <w:rPr>
          <w:rFonts w:ascii="Gill Sans MT" w:hAnsi="Gill Sans MT"/>
        </w:rPr>
        <w:t>standards of patient care and service delivery</w:t>
      </w:r>
      <w:r w:rsidR="006A6E83" w:rsidRPr="004C308D">
        <w:rPr>
          <w:rFonts w:ascii="Gill Sans MT" w:hAnsi="Gill Sans MT"/>
        </w:rPr>
        <w:t>, and</w:t>
      </w:r>
    </w:p>
    <w:p w:rsidR="00D25790" w:rsidRPr="004C308D" w:rsidRDefault="006A6E83" w:rsidP="004C308D">
      <w:pPr>
        <w:pStyle w:val="ListParagraph"/>
        <w:numPr>
          <w:ilvl w:val="0"/>
          <w:numId w:val="27"/>
        </w:numPr>
        <w:spacing w:after="140" w:line="300" w:lineRule="atLeast"/>
        <w:ind w:left="357" w:right="0" w:hanging="357"/>
        <w:jc w:val="left"/>
        <w:rPr>
          <w:rFonts w:ascii="Gill Sans MT" w:hAnsi="Gill Sans MT"/>
        </w:rPr>
      </w:pPr>
      <w:proofErr w:type="gramStart"/>
      <w:r w:rsidRPr="004C308D">
        <w:rPr>
          <w:rFonts w:ascii="Gill Sans MT" w:hAnsi="Gill Sans MT"/>
        </w:rPr>
        <w:t>p</w:t>
      </w:r>
      <w:r w:rsidR="0076046F" w:rsidRPr="004C308D">
        <w:rPr>
          <w:rFonts w:ascii="Gill Sans MT" w:hAnsi="Gill Sans MT"/>
        </w:rPr>
        <w:t>erformance</w:t>
      </w:r>
      <w:proofErr w:type="gramEnd"/>
      <w:r w:rsidR="0076046F" w:rsidRPr="004C308D">
        <w:rPr>
          <w:rFonts w:ascii="Gill Sans MT" w:hAnsi="Gill Sans MT"/>
        </w:rPr>
        <w:t xml:space="preserve"> monitoring</w:t>
      </w:r>
      <w:r w:rsidRPr="004C308D">
        <w:rPr>
          <w:rFonts w:ascii="Gill Sans MT" w:hAnsi="Gill Sans MT"/>
        </w:rPr>
        <w:t xml:space="preserve">: </w:t>
      </w:r>
      <w:r w:rsidR="0076046F" w:rsidRPr="004C308D">
        <w:rPr>
          <w:rFonts w:ascii="Gill Sans MT" w:hAnsi="Gill Sans MT"/>
        </w:rPr>
        <w:t xml:space="preserve">performance escalation </w:t>
      </w:r>
      <w:r w:rsidR="00D25790" w:rsidRPr="004C308D">
        <w:rPr>
          <w:rFonts w:ascii="Gill Sans MT" w:hAnsi="Gill Sans MT"/>
        </w:rPr>
        <w:t>of unsatisfactory performance</w:t>
      </w:r>
      <w:r w:rsidR="003E64CC" w:rsidRPr="004C308D">
        <w:rPr>
          <w:rFonts w:ascii="Gill Sans MT" w:hAnsi="Gill Sans MT"/>
        </w:rPr>
        <w:t xml:space="preserve"> which may</w:t>
      </w:r>
      <w:r w:rsidR="00D25790" w:rsidRPr="004C308D">
        <w:rPr>
          <w:rFonts w:ascii="Gill Sans MT" w:hAnsi="Gill Sans MT"/>
        </w:rPr>
        <w:t xml:space="preserve"> require a performance improvement plan</w:t>
      </w:r>
      <w:r w:rsidRPr="004C308D">
        <w:rPr>
          <w:rFonts w:ascii="Gill Sans MT" w:hAnsi="Gill Sans MT"/>
        </w:rPr>
        <w:t xml:space="preserve">, </w:t>
      </w:r>
      <w:r w:rsidR="00D25790" w:rsidRPr="004C308D">
        <w:rPr>
          <w:rFonts w:ascii="Gill Sans MT" w:hAnsi="Gill Sans MT"/>
        </w:rPr>
        <w:t>appoint</w:t>
      </w:r>
      <w:r w:rsidR="0022523E" w:rsidRPr="004C308D">
        <w:rPr>
          <w:rFonts w:ascii="Gill Sans MT" w:hAnsi="Gill Sans MT"/>
        </w:rPr>
        <w:t>ment of</w:t>
      </w:r>
      <w:r w:rsidR="00D25790" w:rsidRPr="004C308D">
        <w:rPr>
          <w:rFonts w:ascii="Gill Sans MT" w:hAnsi="Gill Sans MT"/>
        </w:rPr>
        <w:t xml:space="preserve"> ministerial representatives to </w:t>
      </w:r>
      <w:r w:rsidR="0022523E" w:rsidRPr="004C308D">
        <w:rPr>
          <w:rFonts w:ascii="Gill Sans MT" w:hAnsi="Gill Sans MT"/>
        </w:rPr>
        <w:t xml:space="preserve">the </w:t>
      </w:r>
      <w:r w:rsidRPr="004C308D">
        <w:rPr>
          <w:rFonts w:ascii="Gill Sans MT" w:hAnsi="Gill Sans MT"/>
        </w:rPr>
        <w:t>THS GC,</w:t>
      </w:r>
      <w:r w:rsidR="00D25790" w:rsidRPr="004C308D">
        <w:rPr>
          <w:rFonts w:ascii="Gill Sans MT" w:hAnsi="Gill Sans MT"/>
        </w:rPr>
        <w:t xml:space="preserve"> </w:t>
      </w:r>
      <w:r w:rsidR="0022523E" w:rsidRPr="004C308D">
        <w:rPr>
          <w:rFonts w:ascii="Gill Sans MT" w:hAnsi="Gill Sans MT"/>
        </w:rPr>
        <w:t xml:space="preserve">or </w:t>
      </w:r>
      <w:r w:rsidR="00D25790" w:rsidRPr="004C308D">
        <w:rPr>
          <w:rFonts w:ascii="Gill Sans MT" w:hAnsi="Gill Sans MT"/>
        </w:rPr>
        <w:t>appoint</w:t>
      </w:r>
      <w:r w:rsidR="0022523E" w:rsidRPr="004C308D">
        <w:rPr>
          <w:rFonts w:ascii="Gill Sans MT" w:hAnsi="Gill Sans MT"/>
        </w:rPr>
        <w:t>ment of a</w:t>
      </w:r>
      <w:r w:rsidR="00D25790" w:rsidRPr="004C308D">
        <w:rPr>
          <w:rFonts w:ascii="Gill Sans MT" w:hAnsi="Gill Sans MT"/>
        </w:rPr>
        <w:t xml:space="preserve"> performance improvement team</w:t>
      </w:r>
      <w:r w:rsidR="003C785C" w:rsidRPr="004C308D">
        <w:rPr>
          <w:rFonts w:ascii="Gill Sans MT" w:hAnsi="Gill Sans MT"/>
        </w:rPr>
        <w:t>.</w:t>
      </w:r>
    </w:p>
    <w:p w:rsidR="00D33D6E" w:rsidRPr="00C47D64" w:rsidRDefault="00D33D6E" w:rsidP="00AB6564">
      <w:pPr>
        <w:pStyle w:val="Heading2"/>
        <w:tabs>
          <w:tab w:val="left" w:pos="3002"/>
        </w:tabs>
        <w:spacing w:before="0" w:after="140" w:line="300" w:lineRule="atLeast"/>
      </w:pPr>
      <w:bookmarkStart w:id="37" w:name="_Toc423357984"/>
      <w:bookmarkStart w:id="38" w:name="_Toc488068396"/>
      <w:r w:rsidRPr="00C47D64">
        <w:t>The Tasmanian Health Service</w:t>
      </w:r>
      <w:bookmarkEnd w:id="37"/>
      <w:bookmarkEnd w:id="38"/>
    </w:p>
    <w:p w:rsidR="00D33D6E" w:rsidRPr="0080216C" w:rsidRDefault="00D33D6E" w:rsidP="00AB6564">
      <w:pPr>
        <w:spacing w:after="140" w:line="300" w:lineRule="atLeast"/>
      </w:pPr>
      <w:r w:rsidRPr="006B31F3">
        <w:t xml:space="preserve">The THS is a State Service </w:t>
      </w:r>
      <w:r w:rsidR="007F3BE4" w:rsidRPr="006B31F3">
        <w:t>a</w:t>
      </w:r>
      <w:r w:rsidRPr="006B31F3">
        <w:t>gency and its Chief Executive Officer</w:t>
      </w:r>
      <w:r w:rsidR="006A0399" w:rsidRPr="006B31F3">
        <w:t xml:space="preserve"> (CEO)</w:t>
      </w:r>
      <w:r w:rsidRPr="006B31F3">
        <w:t xml:space="preserve"> is the Head of Agency for the </w:t>
      </w:r>
      <w:r w:rsidRPr="0080216C">
        <w:t>pu</w:t>
      </w:r>
      <w:r w:rsidRPr="006B31F3">
        <w:t>r</w:t>
      </w:r>
      <w:r w:rsidRPr="0080216C">
        <w:t>poses</w:t>
      </w:r>
      <w:r w:rsidRPr="006B31F3">
        <w:t xml:space="preserve"> </w:t>
      </w:r>
      <w:r w:rsidRPr="0080216C">
        <w:t>of</w:t>
      </w:r>
      <w:r w:rsidRPr="006B31F3">
        <w:t xml:space="preserve"> </w:t>
      </w:r>
      <w:r w:rsidRPr="0080216C">
        <w:t xml:space="preserve">key </w:t>
      </w:r>
      <w:r w:rsidRPr="006B31F3">
        <w:t>p</w:t>
      </w:r>
      <w:r w:rsidRPr="0080216C">
        <w:t>ubl</w:t>
      </w:r>
      <w:r w:rsidRPr="006B31F3">
        <w:t>i</w:t>
      </w:r>
      <w:r w:rsidRPr="0080216C">
        <w:t xml:space="preserve">c </w:t>
      </w:r>
      <w:r w:rsidRPr="006B31F3">
        <w:t>s</w:t>
      </w:r>
      <w:r w:rsidRPr="0080216C">
        <w:t>e</w:t>
      </w:r>
      <w:r w:rsidRPr="006B31F3">
        <w:t>ct</w:t>
      </w:r>
      <w:r w:rsidRPr="0080216C">
        <w:t>or le</w:t>
      </w:r>
      <w:r w:rsidRPr="006B31F3">
        <w:t>g</w:t>
      </w:r>
      <w:r w:rsidRPr="0080216C">
        <w:t>i</w:t>
      </w:r>
      <w:r w:rsidRPr="006B31F3">
        <w:t>s</w:t>
      </w:r>
      <w:r w:rsidRPr="0080216C">
        <w:t>l</w:t>
      </w:r>
      <w:r w:rsidRPr="006B31F3">
        <w:t>a</w:t>
      </w:r>
      <w:r w:rsidRPr="0080216C">
        <w:t>tion.</w:t>
      </w:r>
      <w:r w:rsidR="006A0399" w:rsidRPr="0080216C">
        <w:t xml:space="preserve"> </w:t>
      </w:r>
      <w:r w:rsidRPr="0080216C">
        <w:t xml:space="preserve"> S</w:t>
      </w:r>
      <w:r w:rsidRPr="006B31F3">
        <w:t>i</w:t>
      </w:r>
      <w:r w:rsidRPr="0080216C">
        <w:t>mil</w:t>
      </w:r>
      <w:r w:rsidRPr="006B31F3">
        <w:t xml:space="preserve">ar </w:t>
      </w:r>
      <w:r w:rsidRPr="0080216C">
        <w:t>to</w:t>
      </w:r>
      <w:r w:rsidRPr="006B31F3">
        <w:t xml:space="preserve"> t</w:t>
      </w:r>
      <w:r w:rsidRPr="0080216C">
        <w:t>he Se</w:t>
      </w:r>
      <w:r w:rsidRPr="006B31F3">
        <w:t>cr</w:t>
      </w:r>
      <w:r w:rsidRPr="0080216C">
        <w:t>et</w:t>
      </w:r>
      <w:r w:rsidRPr="006B31F3">
        <w:t>ar</w:t>
      </w:r>
      <w:r w:rsidRPr="0080216C">
        <w:t xml:space="preserve">y </w:t>
      </w:r>
      <w:r w:rsidRPr="006B31F3">
        <w:t>a</w:t>
      </w:r>
      <w:r w:rsidRPr="0080216C">
        <w:t>nd</w:t>
      </w:r>
      <w:r w:rsidRPr="006B31F3">
        <w:t xml:space="preserve"> </w:t>
      </w:r>
      <w:r w:rsidRPr="0080216C">
        <w:t>Dep</w:t>
      </w:r>
      <w:r w:rsidRPr="006B31F3">
        <w:t>artm</w:t>
      </w:r>
      <w:r w:rsidRPr="0080216C">
        <w:t>ent,</w:t>
      </w:r>
      <w:r w:rsidRPr="006B31F3">
        <w:t xml:space="preserve"> </w:t>
      </w:r>
      <w:r w:rsidRPr="0080216C">
        <w:t>the</w:t>
      </w:r>
      <w:r w:rsidRPr="006B31F3">
        <w:t xml:space="preserve"> </w:t>
      </w:r>
      <w:r w:rsidRPr="0080216C">
        <w:t>THS</w:t>
      </w:r>
      <w:r w:rsidRPr="006B31F3">
        <w:t xml:space="preserve"> a</w:t>
      </w:r>
      <w:r w:rsidRPr="0080216C">
        <w:t>nd</w:t>
      </w:r>
      <w:r w:rsidRPr="006B31F3">
        <w:t xml:space="preserve"> </w:t>
      </w:r>
      <w:r w:rsidR="006A0399" w:rsidRPr="0080216C">
        <w:t>CEO</w:t>
      </w:r>
      <w:r w:rsidRPr="0080216C">
        <w:t xml:space="preserve"> </w:t>
      </w:r>
      <w:r w:rsidRPr="006B31F3">
        <w:t>ar</w:t>
      </w:r>
      <w:r w:rsidRPr="0080216C">
        <w:t xml:space="preserve">e </w:t>
      </w:r>
      <w:r w:rsidRPr="006B31F3">
        <w:t>s</w:t>
      </w:r>
      <w:r w:rsidRPr="0080216C">
        <w:t>ubj</w:t>
      </w:r>
      <w:r w:rsidRPr="006B31F3">
        <w:t>ec</w:t>
      </w:r>
      <w:r w:rsidRPr="0080216C">
        <w:t>t</w:t>
      </w:r>
      <w:r w:rsidRPr="006B31F3">
        <w:t xml:space="preserve"> t</w:t>
      </w:r>
      <w:r w:rsidRPr="0080216C">
        <w:t>o</w:t>
      </w:r>
      <w:r w:rsidRPr="006B31F3">
        <w:t xml:space="preserve"> </w:t>
      </w:r>
      <w:r w:rsidRPr="0080216C">
        <w:t>a</w:t>
      </w:r>
      <w:r w:rsidRPr="006B31F3">
        <w:t xml:space="preserve"> </w:t>
      </w:r>
      <w:r w:rsidRPr="0080216C">
        <w:t>w</w:t>
      </w:r>
      <w:r w:rsidRPr="006B31F3">
        <w:t>i</w:t>
      </w:r>
      <w:r w:rsidRPr="0080216C">
        <w:t>de</w:t>
      </w:r>
      <w:r w:rsidRPr="006B31F3">
        <w:t xml:space="preserve"> ra</w:t>
      </w:r>
      <w:r w:rsidRPr="0080216C">
        <w:t>n</w:t>
      </w:r>
      <w:r w:rsidRPr="006B31F3">
        <w:t>g</w:t>
      </w:r>
      <w:r w:rsidRPr="0080216C">
        <w:t>e of</w:t>
      </w:r>
      <w:r w:rsidRPr="006B31F3">
        <w:t xml:space="preserve"> </w:t>
      </w:r>
      <w:r w:rsidRPr="0080216C">
        <w:t>le</w:t>
      </w:r>
      <w:r w:rsidRPr="006B31F3">
        <w:t>g</w:t>
      </w:r>
      <w:r w:rsidRPr="0080216C">
        <w:t>i</w:t>
      </w:r>
      <w:r w:rsidRPr="006B31F3">
        <w:t>s</w:t>
      </w:r>
      <w:r w:rsidRPr="0080216C">
        <w:t>l</w:t>
      </w:r>
      <w:r w:rsidRPr="006B31F3">
        <w:t>a</w:t>
      </w:r>
      <w:r w:rsidRPr="0080216C">
        <w:t>ti</w:t>
      </w:r>
      <w:r w:rsidRPr="006B31F3">
        <w:t>v</w:t>
      </w:r>
      <w:r w:rsidRPr="0080216C">
        <w:t xml:space="preserve">e </w:t>
      </w:r>
      <w:r w:rsidRPr="006B31F3">
        <w:t>r</w:t>
      </w:r>
      <w:r w:rsidRPr="0080216C">
        <w:t>equi</w:t>
      </w:r>
      <w:r w:rsidRPr="006B31F3">
        <w:t>r</w:t>
      </w:r>
      <w:r w:rsidRPr="0080216C">
        <w:t>eme</w:t>
      </w:r>
      <w:r w:rsidRPr="006B31F3">
        <w:t>n</w:t>
      </w:r>
      <w:r w:rsidRPr="0080216C">
        <w:t>ts u</w:t>
      </w:r>
      <w:r w:rsidRPr="006B31F3">
        <w:t>n</w:t>
      </w:r>
      <w:r w:rsidRPr="0080216C">
        <w:t xml:space="preserve">der </w:t>
      </w:r>
      <w:r w:rsidRPr="006B31F3">
        <w:t>var</w:t>
      </w:r>
      <w:r w:rsidRPr="0080216C">
        <w:t xml:space="preserve">ious </w:t>
      </w:r>
      <w:r w:rsidRPr="006B31F3">
        <w:t>Ac</w:t>
      </w:r>
      <w:r w:rsidRPr="0080216C">
        <w:t>t</w:t>
      </w:r>
      <w:r w:rsidRPr="006B31F3">
        <w:t>s</w:t>
      </w:r>
      <w:r w:rsidRPr="0080216C">
        <w:t xml:space="preserve">. </w:t>
      </w:r>
      <w:r w:rsidRPr="006B31F3">
        <w:t>T</w:t>
      </w:r>
      <w:r w:rsidRPr="0080216C">
        <w:t>he</w:t>
      </w:r>
      <w:r w:rsidRPr="006B31F3">
        <w:t>s</w:t>
      </w:r>
      <w:r w:rsidRPr="0080216C">
        <w:t>e in</w:t>
      </w:r>
      <w:r w:rsidRPr="006B31F3">
        <w:t>c</w:t>
      </w:r>
      <w:r w:rsidRPr="0080216C">
        <w:t>lude the</w:t>
      </w:r>
      <w:r w:rsidRPr="006B31F3">
        <w:t xml:space="preserve"> </w:t>
      </w:r>
      <w:r w:rsidRPr="00DF4801">
        <w:rPr>
          <w:i/>
        </w:rPr>
        <w:t>State Service Act 2000</w:t>
      </w:r>
      <w:r w:rsidRPr="006B31F3">
        <w:t xml:space="preserve">, </w:t>
      </w:r>
      <w:r w:rsidRPr="00C47D64">
        <w:rPr>
          <w:i/>
        </w:rPr>
        <w:t xml:space="preserve">Financial Management and Audit Act </w:t>
      </w:r>
      <w:r w:rsidR="0076046F" w:rsidRPr="00C47D64">
        <w:rPr>
          <w:i/>
        </w:rPr>
        <w:t>1990</w:t>
      </w:r>
      <w:r w:rsidR="007F3BE4" w:rsidRPr="006B31F3">
        <w:t xml:space="preserve"> </w:t>
      </w:r>
      <w:r w:rsidRPr="006B31F3">
        <w:t>a</w:t>
      </w:r>
      <w:r w:rsidRPr="0080216C">
        <w:t>nd</w:t>
      </w:r>
      <w:r w:rsidRPr="006B31F3">
        <w:t xml:space="preserve"> </w:t>
      </w:r>
      <w:r w:rsidRPr="0080216C">
        <w:t>many</w:t>
      </w:r>
      <w:r w:rsidRPr="006B31F3">
        <w:t xml:space="preserve"> </w:t>
      </w:r>
      <w:r w:rsidRPr="0080216C">
        <w:t>o</w:t>
      </w:r>
      <w:r w:rsidRPr="006B31F3">
        <w:t>t</w:t>
      </w:r>
      <w:r w:rsidRPr="0080216C">
        <w:t>h</w:t>
      </w:r>
      <w:r w:rsidRPr="006B31F3">
        <w:t>er</w:t>
      </w:r>
      <w:r w:rsidRPr="0080216C">
        <w:t>s.</w:t>
      </w:r>
    </w:p>
    <w:p w:rsidR="00D33D6E" w:rsidRPr="0080216C" w:rsidRDefault="00D33D6E" w:rsidP="00AB6564">
      <w:pPr>
        <w:spacing w:after="140" w:line="300" w:lineRule="atLeast"/>
      </w:pPr>
      <w:r w:rsidRPr="0080216C">
        <w:t>The</w:t>
      </w:r>
      <w:r w:rsidRPr="006B31F3">
        <w:t xml:space="preserve"> </w:t>
      </w:r>
      <w:r w:rsidRPr="0080216C">
        <w:t>THS</w:t>
      </w:r>
      <w:r w:rsidR="000E04A9">
        <w:t>, through their</w:t>
      </w:r>
      <w:r w:rsidR="00550DED">
        <w:t xml:space="preserve"> G</w:t>
      </w:r>
      <w:r w:rsidR="000E04A9">
        <w:t xml:space="preserve">overning </w:t>
      </w:r>
      <w:r w:rsidR="00550DED">
        <w:t>C</w:t>
      </w:r>
      <w:r w:rsidR="000E04A9">
        <w:t>ouncil,</w:t>
      </w:r>
      <w:r w:rsidRPr="006B31F3">
        <w:t xml:space="preserve"> </w:t>
      </w:r>
      <w:r w:rsidRPr="0080216C">
        <w:t>is</w:t>
      </w:r>
      <w:r w:rsidRPr="006B31F3">
        <w:t xml:space="preserve"> acc</w:t>
      </w:r>
      <w:r w:rsidRPr="0080216C">
        <w:t>oun</w:t>
      </w:r>
      <w:r w:rsidRPr="006B31F3">
        <w:t>ta</w:t>
      </w:r>
      <w:r w:rsidRPr="0080216C">
        <w:t>ble</w:t>
      </w:r>
      <w:r w:rsidRPr="006B31F3">
        <w:t xml:space="preserve"> t</w:t>
      </w:r>
      <w:r w:rsidRPr="0080216C">
        <w:t>o</w:t>
      </w:r>
      <w:r w:rsidRPr="006B31F3">
        <w:t xml:space="preserve"> </w:t>
      </w:r>
      <w:r w:rsidRPr="0080216C">
        <w:t>the Min</w:t>
      </w:r>
      <w:r w:rsidRPr="006B31F3">
        <w:t>is</w:t>
      </w:r>
      <w:r w:rsidRPr="0080216C">
        <w:t>te</w:t>
      </w:r>
      <w:r w:rsidRPr="006B31F3">
        <w:t>r</w:t>
      </w:r>
      <w:r w:rsidR="000B7C03">
        <w:t xml:space="preserve"> </w:t>
      </w:r>
      <w:r w:rsidR="000B7C03" w:rsidRPr="00F30522">
        <w:t>a</w:t>
      </w:r>
      <w:r w:rsidR="00D93186">
        <w:t>nd the T</w:t>
      </w:r>
      <w:r w:rsidR="000B7C03" w:rsidRPr="00F30522">
        <w:t>reasurer</w:t>
      </w:r>
      <w:r w:rsidR="00D93186">
        <w:t>.</w:t>
      </w:r>
      <w:r w:rsidRPr="006B31F3">
        <w:t xml:space="preserve"> </w:t>
      </w:r>
      <w:r w:rsidR="00550DED">
        <w:t xml:space="preserve"> </w:t>
      </w:r>
      <w:r w:rsidRPr="0080216C">
        <w:t>The</w:t>
      </w:r>
      <w:r w:rsidRPr="006B31F3">
        <w:t xml:space="preserve"> </w:t>
      </w:r>
      <w:r w:rsidRPr="0080216C">
        <w:t xml:space="preserve">THS </w:t>
      </w:r>
      <w:r w:rsidR="006A0399" w:rsidRPr="006B31F3">
        <w:t>CEO</w:t>
      </w:r>
      <w:r w:rsidRPr="0080216C">
        <w:t xml:space="preserve"> is</w:t>
      </w:r>
      <w:r w:rsidRPr="006B31F3">
        <w:t xml:space="preserve"> a</w:t>
      </w:r>
      <w:r w:rsidRPr="0080216C">
        <w:t>ppoi</w:t>
      </w:r>
      <w:r w:rsidRPr="006B31F3">
        <w:t>n</w:t>
      </w:r>
      <w:r w:rsidRPr="0080216C">
        <w:t>ted</w:t>
      </w:r>
      <w:r w:rsidRPr="006B31F3">
        <w:t xml:space="preserve"> </w:t>
      </w:r>
      <w:r w:rsidR="00F30522">
        <w:t xml:space="preserve">by the Premier </w:t>
      </w:r>
      <w:r w:rsidRPr="0080216C">
        <w:t>on</w:t>
      </w:r>
      <w:r w:rsidRPr="006B31F3">
        <w:t xml:space="preserve"> </w:t>
      </w:r>
      <w:r w:rsidRPr="0080216C">
        <w:t>the</w:t>
      </w:r>
      <w:r w:rsidRPr="006B31F3">
        <w:t xml:space="preserve"> r</w:t>
      </w:r>
      <w:r w:rsidRPr="0080216C">
        <w:t>e</w:t>
      </w:r>
      <w:r w:rsidRPr="006B31F3">
        <w:t>co</w:t>
      </w:r>
      <w:r w:rsidRPr="0080216C">
        <w:t>mmend</w:t>
      </w:r>
      <w:r w:rsidRPr="006B31F3">
        <w:t>a</w:t>
      </w:r>
      <w:r w:rsidRPr="0080216C">
        <w:t>tion</w:t>
      </w:r>
      <w:r w:rsidRPr="006B31F3">
        <w:t xml:space="preserve"> </w:t>
      </w:r>
      <w:r w:rsidRPr="0080216C">
        <w:t>of</w:t>
      </w:r>
      <w:r w:rsidRPr="006B31F3">
        <w:t xml:space="preserve"> </w:t>
      </w:r>
      <w:r w:rsidRPr="0080216C">
        <w:t xml:space="preserve">the </w:t>
      </w:r>
      <w:r w:rsidR="006A6E83">
        <w:t>THS GC</w:t>
      </w:r>
      <w:r w:rsidRPr="0080216C">
        <w:t xml:space="preserve"> </w:t>
      </w:r>
      <w:r w:rsidRPr="006B31F3">
        <w:t>a</w:t>
      </w:r>
      <w:r w:rsidRPr="0080216C">
        <w:t>nd</w:t>
      </w:r>
      <w:r w:rsidRPr="006B31F3">
        <w:t xml:space="preserve"> </w:t>
      </w:r>
      <w:r w:rsidRPr="0080216C">
        <w:t>is</w:t>
      </w:r>
      <w:r w:rsidRPr="006B31F3">
        <w:t xml:space="preserve"> acc</w:t>
      </w:r>
      <w:r w:rsidRPr="0080216C">
        <w:t>oun</w:t>
      </w:r>
      <w:r w:rsidRPr="006B31F3">
        <w:t>ta</w:t>
      </w:r>
      <w:r w:rsidRPr="0080216C">
        <w:t>ble</w:t>
      </w:r>
      <w:r w:rsidRPr="006B31F3">
        <w:t xml:space="preserve"> </w:t>
      </w:r>
      <w:r w:rsidRPr="0080216C">
        <w:t>to</w:t>
      </w:r>
      <w:r w:rsidRPr="006B31F3">
        <w:t xml:space="preserve"> </w:t>
      </w:r>
      <w:r w:rsidRPr="0080216C">
        <w:t>the</w:t>
      </w:r>
      <w:r w:rsidRPr="006B31F3">
        <w:t xml:space="preserve"> </w:t>
      </w:r>
      <w:r w:rsidR="006A6E83">
        <w:t>THS GC</w:t>
      </w:r>
      <w:r w:rsidRPr="006B31F3">
        <w:t xml:space="preserve"> </w:t>
      </w:r>
      <w:r w:rsidRPr="0080216C">
        <w:t>for</w:t>
      </w:r>
      <w:r w:rsidRPr="006B31F3">
        <w:t xml:space="preserve"> </w:t>
      </w:r>
      <w:r w:rsidRPr="0080216C">
        <w:t xml:space="preserve">the </w:t>
      </w:r>
      <w:r w:rsidRPr="006B31F3">
        <w:t>a</w:t>
      </w:r>
      <w:r w:rsidRPr="0080216C">
        <w:t>dmini</w:t>
      </w:r>
      <w:r w:rsidRPr="006B31F3">
        <w:t>s</w:t>
      </w:r>
      <w:r w:rsidRPr="0080216C">
        <w:t>t</w:t>
      </w:r>
      <w:r w:rsidRPr="006B31F3">
        <w:t>ra</w:t>
      </w:r>
      <w:r w:rsidRPr="0080216C">
        <w:t>tion</w:t>
      </w:r>
      <w:r w:rsidRPr="006B31F3">
        <w:t xml:space="preserve"> a</w:t>
      </w:r>
      <w:r w:rsidRPr="0080216C">
        <w:t>nd</w:t>
      </w:r>
      <w:r w:rsidRPr="006B31F3">
        <w:t xml:space="preserve"> </w:t>
      </w:r>
      <w:r w:rsidRPr="0080216C">
        <w:t>man</w:t>
      </w:r>
      <w:r w:rsidRPr="006B31F3">
        <w:t>ag</w:t>
      </w:r>
      <w:r w:rsidRPr="0080216C">
        <w:t>eme</w:t>
      </w:r>
      <w:r w:rsidRPr="006B31F3">
        <w:t>n</w:t>
      </w:r>
      <w:r w:rsidRPr="0080216C">
        <w:t>t</w:t>
      </w:r>
      <w:r w:rsidRPr="006B31F3">
        <w:t xml:space="preserve"> </w:t>
      </w:r>
      <w:r w:rsidRPr="0080216C">
        <w:t>of the</w:t>
      </w:r>
      <w:r w:rsidRPr="006B31F3">
        <w:t xml:space="preserve"> </w:t>
      </w:r>
      <w:r w:rsidRPr="0080216C">
        <w:t>THS.</w:t>
      </w:r>
    </w:p>
    <w:p w:rsidR="00D33D6E" w:rsidRPr="0080216C" w:rsidRDefault="00D33D6E" w:rsidP="00AB6564">
      <w:pPr>
        <w:spacing w:after="140" w:line="300" w:lineRule="atLeast"/>
      </w:pPr>
      <w:r w:rsidRPr="0080216C">
        <w:t>The organisation’s key statutory functions are, in summary</w:t>
      </w:r>
      <w:r w:rsidR="00DE2A66">
        <w:t xml:space="preserve"> to</w:t>
      </w:r>
      <w:r w:rsidRPr="0080216C">
        <w:t>:</w:t>
      </w:r>
    </w:p>
    <w:p w:rsidR="00D33D6E" w:rsidRPr="004C308D" w:rsidRDefault="003C59DD" w:rsidP="004C308D">
      <w:pPr>
        <w:pStyle w:val="ListParagraph"/>
        <w:numPr>
          <w:ilvl w:val="0"/>
          <w:numId w:val="27"/>
        </w:numPr>
        <w:spacing w:after="140" w:line="300" w:lineRule="atLeast"/>
        <w:ind w:left="357" w:right="0" w:hanging="357"/>
        <w:jc w:val="left"/>
        <w:rPr>
          <w:rFonts w:ascii="Gill Sans MT" w:hAnsi="Gill Sans MT"/>
        </w:rPr>
      </w:pPr>
      <w:r w:rsidRPr="004C308D">
        <w:rPr>
          <w:rFonts w:ascii="Gill Sans MT" w:hAnsi="Gill Sans MT"/>
        </w:rPr>
        <w:t>i</w:t>
      </w:r>
      <w:r w:rsidR="00D33D6E" w:rsidRPr="004C308D">
        <w:rPr>
          <w:rFonts w:ascii="Gill Sans MT" w:hAnsi="Gill Sans MT"/>
        </w:rPr>
        <w:t>mprove and maintain the health of persons a</w:t>
      </w:r>
      <w:r w:rsidR="00CC460D" w:rsidRPr="004C308D">
        <w:rPr>
          <w:rFonts w:ascii="Gill Sans MT" w:hAnsi="Gill Sans MT"/>
        </w:rPr>
        <w:t xml:space="preserve">s required by </w:t>
      </w:r>
      <w:r w:rsidR="00550DED" w:rsidRPr="004C308D">
        <w:rPr>
          <w:rFonts w:ascii="Gill Sans MT" w:hAnsi="Gill Sans MT"/>
        </w:rPr>
        <w:t xml:space="preserve">the </w:t>
      </w:r>
      <w:r w:rsidR="00CC460D" w:rsidRPr="004C308D">
        <w:rPr>
          <w:rFonts w:ascii="Gill Sans MT" w:hAnsi="Gill Sans MT"/>
        </w:rPr>
        <w:t>service agreement</w:t>
      </w:r>
      <w:r w:rsidR="00BB1BF6" w:rsidRPr="004C308D">
        <w:rPr>
          <w:rFonts w:ascii="Gill Sans MT" w:hAnsi="Gill Sans MT"/>
        </w:rPr>
        <w:t>;</w:t>
      </w:r>
    </w:p>
    <w:p w:rsidR="00D33D6E" w:rsidRPr="004C308D" w:rsidRDefault="003C59DD" w:rsidP="004C308D">
      <w:pPr>
        <w:pStyle w:val="ListParagraph"/>
        <w:numPr>
          <w:ilvl w:val="0"/>
          <w:numId w:val="27"/>
        </w:numPr>
        <w:spacing w:after="140" w:line="300" w:lineRule="atLeast"/>
        <w:ind w:left="357" w:right="0" w:hanging="357"/>
        <w:jc w:val="left"/>
        <w:rPr>
          <w:rFonts w:ascii="Gill Sans MT" w:hAnsi="Gill Sans MT"/>
        </w:rPr>
      </w:pPr>
      <w:r w:rsidRPr="004C308D">
        <w:rPr>
          <w:rFonts w:ascii="Gill Sans MT" w:hAnsi="Gill Sans MT"/>
        </w:rPr>
        <w:t>c</w:t>
      </w:r>
      <w:r w:rsidR="00D33D6E" w:rsidRPr="004C308D">
        <w:rPr>
          <w:rFonts w:ascii="Gill Sans MT" w:hAnsi="Gill Sans MT"/>
        </w:rPr>
        <w:t xml:space="preserve">onduct and manage hospitals and health </w:t>
      </w:r>
      <w:r w:rsidR="00CC460D" w:rsidRPr="004C308D">
        <w:rPr>
          <w:rFonts w:ascii="Gill Sans MT" w:hAnsi="Gill Sans MT"/>
        </w:rPr>
        <w:t>services under THS control</w:t>
      </w:r>
      <w:r w:rsidR="00BB1BF6" w:rsidRPr="004C308D">
        <w:rPr>
          <w:rFonts w:ascii="Gill Sans MT" w:hAnsi="Gill Sans MT"/>
        </w:rPr>
        <w:t>;</w:t>
      </w:r>
    </w:p>
    <w:p w:rsidR="00D33D6E" w:rsidRPr="004C308D" w:rsidRDefault="003C59DD" w:rsidP="004C308D">
      <w:pPr>
        <w:pStyle w:val="ListParagraph"/>
        <w:numPr>
          <w:ilvl w:val="0"/>
          <w:numId w:val="27"/>
        </w:numPr>
        <w:spacing w:after="140" w:line="300" w:lineRule="atLeast"/>
        <w:ind w:left="357" w:right="0" w:hanging="357"/>
        <w:jc w:val="left"/>
        <w:rPr>
          <w:rFonts w:ascii="Gill Sans MT" w:hAnsi="Gill Sans MT"/>
        </w:rPr>
      </w:pPr>
      <w:r w:rsidRPr="004C308D">
        <w:rPr>
          <w:rFonts w:ascii="Gill Sans MT" w:hAnsi="Gill Sans MT"/>
        </w:rPr>
        <w:t>e</w:t>
      </w:r>
      <w:r w:rsidR="00D33D6E" w:rsidRPr="004C308D">
        <w:rPr>
          <w:rFonts w:ascii="Gill Sans MT" w:hAnsi="Gill Sans MT"/>
        </w:rPr>
        <w:t>nsure effective provision of health service</w:t>
      </w:r>
      <w:r w:rsidR="00CC460D" w:rsidRPr="004C308D">
        <w:rPr>
          <w:rFonts w:ascii="Gill Sans MT" w:hAnsi="Gill Sans MT"/>
        </w:rPr>
        <w:t>s that are purchased by the THS</w:t>
      </w:r>
      <w:r w:rsidR="00BB1BF6" w:rsidRPr="004C308D">
        <w:rPr>
          <w:rFonts w:ascii="Gill Sans MT" w:hAnsi="Gill Sans MT"/>
        </w:rPr>
        <w:t>;</w:t>
      </w:r>
    </w:p>
    <w:p w:rsidR="00D33D6E" w:rsidRPr="004C308D" w:rsidRDefault="003C59DD" w:rsidP="004C308D">
      <w:pPr>
        <w:pStyle w:val="ListParagraph"/>
        <w:numPr>
          <w:ilvl w:val="0"/>
          <w:numId w:val="27"/>
        </w:numPr>
        <w:spacing w:after="140" w:line="300" w:lineRule="atLeast"/>
        <w:ind w:left="357" w:right="0" w:hanging="357"/>
        <w:jc w:val="left"/>
        <w:rPr>
          <w:rFonts w:ascii="Gill Sans MT" w:hAnsi="Gill Sans MT"/>
        </w:rPr>
      </w:pPr>
      <w:r w:rsidRPr="004C308D">
        <w:rPr>
          <w:rFonts w:ascii="Gill Sans MT" w:hAnsi="Gill Sans MT"/>
        </w:rPr>
        <w:t>m</w:t>
      </w:r>
      <w:r w:rsidR="00D33D6E" w:rsidRPr="004C308D">
        <w:rPr>
          <w:rFonts w:ascii="Gill Sans MT" w:hAnsi="Gill Sans MT"/>
        </w:rPr>
        <w:t xml:space="preserve">anage the THS </w:t>
      </w:r>
      <w:r w:rsidR="0040447D" w:rsidRPr="004C308D">
        <w:rPr>
          <w:rFonts w:ascii="Gill Sans MT" w:hAnsi="Gill Sans MT"/>
        </w:rPr>
        <w:t xml:space="preserve">funding and </w:t>
      </w:r>
      <w:r w:rsidR="00D33D6E" w:rsidRPr="004C308D">
        <w:rPr>
          <w:rFonts w:ascii="Gill Sans MT" w:hAnsi="Gill Sans MT"/>
        </w:rPr>
        <w:t>budget efficiently and economically</w:t>
      </w:r>
      <w:r w:rsidR="00BB1BF6" w:rsidRPr="004C308D">
        <w:rPr>
          <w:rFonts w:ascii="Gill Sans MT" w:hAnsi="Gill Sans MT"/>
        </w:rPr>
        <w:t>;</w:t>
      </w:r>
    </w:p>
    <w:p w:rsidR="00D33D6E" w:rsidRPr="004C308D" w:rsidRDefault="003C59DD" w:rsidP="004C308D">
      <w:pPr>
        <w:pStyle w:val="ListParagraph"/>
        <w:numPr>
          <w:ilvl w:val="0"/>
          <w:numId w:val="27"/>
        </w:numPr>
        <w:spacing w:after="140" w:line="300" w:lineRule="atLeast"/>
        <w:ind w:left="357" w:right="0" w:hanging="357"/>
        <w:jc w:val="left"/>
        <w:rPr>
          <w:rFonts w:ascii="Gill Sans MT" w:hAnsi="Gill Sans MT"/>
        </w:rPr>
      </w:pPr>
      <w:r w:rsidRPr="004C308D">
        <w:rPr>
          <w:rFonts w:ascii="Gill Sans MT" w:hAnsi="Gill Sans MT"/>
        </w:rPr>
        <w:t>c</w:t>
      </w:r>
      <w:r w:rsidR="00D33D6E" w:rsidRPr="004C308D">
        <w:rPr>
          <w:rFonts w:ascii="Gill Sans MT" w:hAnsi="Gill Sans MT"/>
        </w:rPr>
        <w:t>onsult and collaborate with oth</w:t>
      </w:r>
      <w:r w:rsidR="00CC460D" w:rsidRPr="004C308D">
        <w:rPr>
          <w:rFonts w:ascii="Gill Sans MT" w:hAnsi="Gill Sans MT"/>
        </w:rPr>
        <w:t>er providers of health services</w:t>
      </w:r>
      <w:r w:rsidR="00BB1BF6" w:rsidRPr="004C308D">
        <w:rPr>
          <w:rFonts w:ascii="Gill Sans MT" w:hAnsi="Gill Sans MT"/>
        </w:rPr>
        <w:t>;</w:t>
      </w:r>
    </w:p>
    <w:p w:rsidR="00D33D6E" w:rsidRPr="004C308D" w:rsidRDefault="003C59DD" w:rsidP="004C308D">
      <w:pPr>
        <w:pStyle w:val="ListParagraph"/>
        <w:numPr>
          <w:ilvl w:val="0"/>
          <w:numId w:val="27"/>
        </w:numPr>
        <w:spacing w:after="140" w:line="300" w:lineRule="atLeast"/>
        <w:ind w:left="357" w:right="0" w:hanging="357"/>
        <w:jc w:val="left"/>
        <w:rPr>
          <w:rFonts w:ascii="Gill Sans MT" w:hAnsi="Gill Sans MT"/>
        </w:rPr>
      </w:pPr>
      <w:r w:rsidRPr="004C308D">
        <w:rPr>
          <w:rFonts w:ascii="Gill Sans MT" w:hAnsi="Gill Sans MT"/>
        </w:rPr>
        <w:t>p</w:t>
      </w:r>
      <w:r w:rsidR="00D33D6E" w:rsidRPr="004C308D">
        <w:rPr>
          <w:rFonts w:ascii="Gill Sans MT" w:hAnsi="Gill Sans MT"/>
        </w:rPr>
        <w:t>rovide training and education relevant to t</w:t>
      </w:r>
      <w:r w:rsidR="00CC460D" w:rsidRPr="004C308D">
        <w:rPr>
          <w:rFonts w:ascii="Gill Sans MT" w:hAnsi="Gill Sans MT"/>
        </w:rPr>
        <w:t>he provision of health services</w:t>
      </w:r>
      <w:r w:rsidR="00BB1BF6" w:rsidRPr="004C308D">
        <w:rPr>
          <w:rFonts w:ascii="Gill Sans MT" w:hAnsi="Gill Sans MT"/>
        </w:rPr>
        <w:t>;</w:t>
      </w:r>
    </w:p>
    <w:p w:rsidR="00D33D6E" w:rsidRPr="004C308D" w:rsidRDefault="003C59DD" w:rsidP="004C308D">
      <w:pPr>
        <w:pStyle w:val="ListParagraph"/>
        <w:numPr>
          <w:ilvl w:val="0"/>
          <w:numId w:val="27"/>
        </w:numPr>
        <w:spacing w:after="140" w:line="300" w:lineRule="atLeast"/>
        <w:ind w:left="357" w:right="0" w:hanging="357"/>
        <w:jc w:val="left"/>
        <w:rPr>
          <w:rFonts w:ascii="Gill Sans MT" w:hAnsi="Gill Sans MT"/>
        </w:rPr>
      </w:pPr>
      <w:r w:rsidRPr="004C308D">
        <w:rPr>
          <w:rFonts w:ascii="Gill Sans MT" w:hAnsi="Gill Sans MT"/>
        </w:rPr>
        <w:t>u</w:t>
      </w:r>
      <w:r w:rsidR="00D33D6E" w:rsidRPr="004C308D">
        <w:rPr>
          <w:rFonts w:ascii="Gill Sans MT" w:hAnsi="Gill Sans MT"/>
        </w:rPr>
        <w:t>ndertake research and development relevant to t</w:t>
      </w:r>
      <w:r w:rsidR="00CC460D" w:rsidRPr="004C308D">
        <w:rPr>
          <w:rFonts w:ascii="Gill Sans MT" w:hAnsi="Gill Sans MT"/>
        </w:rPr>
        <w:t>he provision of health services</w:t>
      </w:r>
      <w:r w:rsidR="00BB1BF6" w:rsidRPr="004C308D">
        <w:rPr>
          <w:rFonts w:ascii="Gill Sans MT" w:hAnsi="Gill Sans MT"/>
        </w:rPr>
        <w:t>;</w:t>
      </w:r>
    </w:p>
    <w:p w:rsidR="00D33D6E" w:rsidRPr="004C308D" w:rsidRDefault="003C59DD" w:rsidP="004C308D">
      <w:pPr>
        <w:pStyle w:val="ListParagraph"/>
        <w:numPr>
          <w:ilvl w:val="0"/>
          <w:numId w:val="27"/>
        </w:numPr>
        <w:spacing w:after="140" w:line="300" w:lineRule="atLeast"/>
        <w:ind w:left="357" w:right="0" w:hanging="357"/>
        <w:jc w:val="left"/>
        <w:rPr>
          <w:rFonts w:ascii="Gill Sans MT" w:hAnsi="Gill Sans MT"/>
        </w:rPr>
      </w:pPr>
      <w:r w:rsidRPr="004C308D">
        <w:rPr>
          <w:rFonts w:ascii="Gill Sans MT" w:hAnsi="Gill Sans MT"/>
        </w:rPr>
        <w:t>c</w:t>
      </w:r>
      <w:r w:rsidR="00D33D6E" w:rsidRPr="004C308D">
        <w:rPr>
          <w:rFonts w:ascii="Gill Sans MT" w:hAnsi="Gill Sans MT"/>
        </w:rPr>
        <w:t>ollect and provide health data for research, rep</w:t>
      </w:r>
      <w:r w:rsidR="00CC460D" w:rsidRPr="004C308D">
        <w:rPr>
          <w:rFonts w:ascii="Gill Sans MT" w:hAnsi="Gill Sans MT"/>
        </w:rPr>
        <w:t>orting, and prescribed purposes</w:t>
      </w:r>
      <w:r w:rsidR="006A6E83" w:rsidRPr="004C308D">
        <w:rPr>
          <w:rFonts w:ascii="Gill Sans MT" w:hAnsi="Gill Sans MT"/>
        </w:rPr>
        <w:t xml:space="preserve">, </w:t>
      </w:r>
      <w:r w:rsidR="00BB1BF6" w:rsidRPr="004C308D">
        <w:rPr>
          <w:rFonts w:ascii="Gill Sans MT" w:hAnsi="Gill Sans MT"/>
        </w:rPr>
        <w:t>and</w:t>
      </w:r>
    </w:p>
    <w:p w:rsidR="00D33D6E" w:rsidRPr="004C308D" w:rsidRDefault="00DE2A66" w:rsidP="004C308D">
      <w:pPr>
        <w:pStyle w:val="ListParagraph"/>
        <w:numPr>
          <w:ilvl w:val="0"/>
          <w:numId w:val="27"/>
        </w:numPr>
        <w:spacing w:after="140" w:line="300" w:lineRule="atLeast"/>
        <w:ind w:left="357" w:right="0" w:hanging="357"/>
        <w:jc w:val="left"/>
        <w:rPr>
          <w:rFonts w:ascii="Gill Sans MT" w:hAnsi="Gill Sans MT"/>
        </w:rPr>
      </w:pPr>
      <w:proofErr w:type="gramStart"/>
      <w:r w:rsidRPr="004C308D">
        <w:rPr>
          <w:rFonts w:ascii="Gill Sans MT" w:hAnsi="Gill Sans MT"/>
        </w:rPr>
        <w:t>perform</w:t>
      </w:r>
      <w:proofErr w:type="gramEnd"/>
      <w:r w:rsidRPr="004C308D">
        <w:rPr>
          <w:rFonts w:ascii="Gill Sans MT" w:hAnsi="Gill Sans MT"/>
        </w:rPr>
        <w:t xml:space="preserve"> </w:t>
      </w:r>
      <w:r w:rsidR="003C59DD" w:rsidRPr="004C308D">
        <w:rPr>
          <w:rFonts w:ascii="Gill Sans MT" w:hAnsi="Gill Sans MT"/>
        </w:rPr>
        <w:t>a</w:t>
      </w:r>
      <w:r w:rsidR="000E04A9" w:rsidRPr="004C308D">
        <w:rPr>
          <w:rFonts w:ascii="Gill Sans MT" w:hAnsi="Gill Sans MT"/>
        </w:rPr>
        <w:t>ny other prescribed function</w:t>
      </w:r>
      <w:r w:rsidR="00D33D6E" w:rsidRPr="004C308D">
        <w:rPr>
          <w:rFonts w:ascii="Gill Sans MT" w:hAnsi="Gill Sans MT"/>
        </w:rPr>
        <w:t xml:space="preserve"> in</w:t>
      </w:r>
      <w:r w:rsidR="00CC460D" w:rsidRPr="004C308D">
        <w:rPr>
          <w:rFonts w:ascii="Gill Sans MT" w:hAnsi="Gill Sans MT"/>
        </w:rPr>
        <w:t xml:space="preserve"> any </w:t>
      </w:r>
      <w:r w:rsidR="000E04A9" w:rsidRPr="004C308D">
        <w:rPr>
          <w:rFonts w:ascii="Gill Sans MT" w:hAnsi="Gill Sans MT"/>
        </w:rPr>
        <w:t>applicable Act</w:t>
      </w:r>
      <w:r w:rsidR="003C785C" w:rsidRPr="004C308D">
        <w:rPr>
          <w:rFonts w:ascii="Gill Sans MT" w:hAnsi="Gill Sans MT"/>
        </w:rPr>
        <w:t>.</w:t>
      </w:r>
    </w:p>
    <w:p w:rsidR="00D33D6E" w:rsidRPr="0080216C" w:rsidRDefault="00D33D6E" w:rsidP="00AB6564">
      <w:pPr>
        <w:pStyle w:val="BodyText"/>
        <w:spacing w:after="140" w:line="300" w:lineRule="atLeast"/>
      </w:pPr>
      <w:r w:rsidRPr="0080216C">
        <w:rPr>
          <w:rFonts w:eastAsia="Gill Sans MT" w:cs="Gill Sans MT"/>
        </w:rPr>
        <w:t>The</w:t>
      </w:r>
      <w:r w:rsidRPr="0080216C">
        <w:rPr>
          <w:rFonts w:eastAsia="Gill Sans MT" w:cs="Gill Sans MT"/>
          <w:spacing w:val="-2"/>
        </w:rPr>
        <w:t xml:space="preserve"> </w:t>
      </w:r>
      <w:r w:rsidR="006A6E83">
        <w:rPr>
          <w:rFonts w:eastAsia="Gill Sans MT" w:cs="Gill Sans MT"/>
          <w:spacing w:val="-2"/>
        </w:rPr>
        <w:t xml:space="preserve">THS </w:t>
      </w:r>
      <w:r w:rsidRPr="0080216C">
        <w:rPr>
          <w:rFonts w:eastAsia="Gill Sans MT" w:cs="Gill Sans MT"/>
        </w:rPr>
        <w:t>G</w:t>
      </w:r>
      <w:r w:rsidRPr="0080216C">
        <w:rPr>
          <w:rFonts w:eastAsia="Gill Sans MT" w:cs="Gill Sans MT"/>
          <w:spacing w:val="-3"/>
        </w:rPr>
        <w:t>C</w:t>
      </w:r>
      <w:r w:rsidRPr="0080216C">
        <w:rPr>
          <w:rFonts w:eastAsia="Gill Sans MT" w:cs="Gill Sans MT"/>
        </w:rPr>
        <w:t>’s</w:t>
      </w:r>
      <w:r w:rsidRPr="0080216C">
        <w:rPr>
          <w:rFonts w:eastAsia="Gill Sans MT" w:cs="Gill Sans MT"/>
          <w:spacing w:val="-1"/>
        </w:rPr>
        <w:t xml:space="preserve"> </w:t>
      </w:r>
      <w:r w:rsidRPr="0080216C">
        <w:rPr>
          <w:rFonts w:eastAsia="Gill Sans MT" w:cs="Gill Sans MT"/>
          <w:spacing w:val="-3"/>
        </w:rPr>
        <w:t>k</w:t>
      </w:r>
      <w:r w:rsidRPr="0080216C">
        <w:rPr>
          <w:rFonts w:eastAsia="Gill Sans MT" w:cs="Gill Sans MT"/>
        </w:rPr>
        <w:t>ey fun</w:t>
      </w:r>
      <w:r w:rsidRPr="0080216C">
        <w:rPr>
          <w:rFonts w:eastAsia="Gill Sans MT" w:cs="Gill Sans MT"/>
          <w:spacing w:val="-1"/>
        </w:rPr>
        <w:t>c</w:t>
      </w:r>
      <w:r w:rsidRPr="0080216C">
        <w:rPr>
          <w:rFonts w:eastAsia="Gill Sans MT" w:cs="Gill Sans MT"/>
        </w:rPr>
        <w:t>t</w:t>
      </w:r>
      <w:r w:rsidRPr="0080216C">
        <w:rPr>
          <w:rFonts w:eastAsia="Gill Sans MT" w:cs="Gill Sans MT"/>
          <w:spacing w:val="-3"/>
        </w:rPr>
        <w:t>i</w:t>
      </w:r>
      <w:r w:rsidRPr="0080216C">
        <w:rPr>
          <w:rFonts w:eastAsia="Gill Sans MT" w:cs="Gill Sans MT"/>
        </w:rPr>
        <w:t>onal</w:t>
      </w:r>
      <w:r w:rsidRPr="0080216C">
        <w:rPr>
          <w:rFonts w:eastAsia="Gill Sans MT" w:cs="Gill Sans MT"/>
          <w:spacing w:val="1"/>
        </w:rPr>
        <w:t xml:space="preserve"> </w:t>
      </w:r>
      <w:r w:rsidRPr="0080216C">
        <w:rPr>
          <w:spacing w:val="-1"/>
        </w:rPr>
        <w:t>acc</w:t>
      </w:r>
      <w:r w:rsidRPr="0080216C">
        <w:t>ou</w:t>
      </w:r>
      <w:r w:rsidRPr="0080216C">
        <w:rPr>
          <w:spacing w:val="-2"/>
        </w:rPr>
        <w:t>n</w:t>
      </w:r>
      <w:r w:rsidRPr="0080216C">
        <w:t>t</w:t>
      </w:r>
      <w:r w:rsidRPr="0080216C">
        <w:rPr>
          <w:spacing w:val="-1"/>
        </w:rPr>
        <w:t>a</w:t>
      </w:r>
      <w:r w:rsidRPr="0080216C">
        <w:t>bi</w:t>
      </w:r>
      <w:r w:rsidRPr="0080216C">
        <w:rPr>
          <w:spacing w:val="-1"/>
        </w:rPr>
        <w:t>l</w:t>
      </w:r>
      <w:r w:rsidRPr="0080216C">
        <w:t>it</w:t>
      </w:r>
      <w:r w:rsidRPr="0080216C">
        <w:rPr>
          <w:spacing w:val="-3"/>
        </w:rPr>
        <w:t>i</w:t>
      </w:r>
      <w:r w:rsidRPr="0080216C">
        <w:t xml:space="preserve">es </w:t>
      </w:r>
      <w:r w:rsidRPr="0080216C">
        <w:rPr>
          <w:spacing w:val="-1"/>
        </w:rPr>
        <w:t>a</w:t>
      </w:r>
      <w:r w:rsidRPr="0080216C">
        <w:rPr>
          <w:spacing w:val="-2"/>
        </w:rPr>
        <w:t>r</w:t>
      </w:r>
      <w:r w:rsidRPr="0080216C">
        <w:t>e</w:t>
      </w:r>
      <w:r w:rsidRPr="0080216C">
        <w:rPr>
          <w:spacing w:val="1"/>
        </w:rPr>
        <w:t xml:space="preserve"> </w:t>
      </w:r>
      <w:r w:rsidRPr="0080216C">
        <w:t>to</w:t>
      </w:r>
      <w:r w:rsidRPr="0080216C">
        <w:rPr>
          <w:spacing w:val="-1"/>
        </w:rPr>
        <w:t xml:space="preserve"> </w:t>
      </w:r>
      <w:r w:rsidRPr="0080216C">
        <w:rPr>
          <w:spacing w:val="-2"/>
        </w:rPr>
        <w:t>t</w:t>
      </w:r>
      <w:r w:rsidRPr="0080216C">
        <w:t xml:space="preserve">he </w:t>
      </w:r>
      <w:r w:rsidRPr="00F30522">
        <w:rPr>
          <w:spacing w:val="-2"/>
        </w:rPr>
        <w:t>M</w:t>
      </w:r>
      <w:r w:rsidRPr="00F30522">
        <w:t>in</w:t>
      </w:r>
      <w:r w:rsidRPr="00F30522">
        <w:rPr>
          <w:spacing w:val="-1"/>
        </w:rPr>
        <w:t>i</w:t>
      </w:r>
      <w:r w:rsidRPr="00F30522">
        <w:rPr>
          <w:spacing w:val="-2"/>
        </w:rPr>
        <w:t>s</w:t>
      </w:r>
      <w:r w:rsidRPr="00F30522">
        <w:t>te</w:t>
      </w:r>
      <w:r w:rsidRPr="00F30522">
        <w:rPr>
          <w:spacing w:val="-2"/>
        </w:rPr>
        <w:t>r</w:t>
      </w:r>
      <w:r w:rsidR="000B7C03" w:rsidRPr="00F30522">
        <w:rPr>
          <w:spacing w:val="-2"/>
        </w:rPr>
        <w:t xml:space="preserve"> </w:t>
      </w:r>
      <w:r w:rsidR="000B7C03" w:rsidRPr="00F30522">
        <w:t>and t</w:t>
      </w:r>
      <w:r w:rsidR="00D93186">
        <w:t>he T</w:t>
      </w:r>
      <w:r w:rsidR="000269BA">
        <w:t>r</w:t>
      </w:r>
      <w:r w:rsidR="000B7C03" w:rsidRPr="00F30522">
        <w:t>easurer</w:t>
      </w:r>
      <w:r w:rsidRPr="00F30522">
        <w:t>,</w:t>
      </w:r>
      <w:r w:rsidRPr="0080216C">
        <w:t xml:space="preserve"> t</w:t>
      </w:r>
      <w:r w:rsidRPr="0080216C">
        <w:rPr>
          <w:spacing w:val="2"/>
        </w:rPr>
        <w:t>o</w:t>
      </w:r>
      <w:r w:rsidRPr="0080216C">
        <w:t>:</w:t>
      </w:r>
    </w:p>
    <w:p w:rsidR="00D33D6E" w:rsidRPr="004C308D" w:rsidRDefault="003C59DD" w:rsidP="004C308D">
      <w:pPr>
        <w:pStyle w:val="ListParagraph"/>
        <w:numPr>
          <w:ilvl w:val="0"/>
          <w:numId w:val="27"/>
        </w:numPr>
        <w:spacing w:after="140" w:line="300" w:lineRule="atLeast"/>
        <w:ind w:left="357" w:right="0" w:hanging="357"/>
        <w:jc w:val="left"/>
        <w:rPr>
          <w:rFonts w:ascii="Gill Sans MT" w:hAnsi="Gill Sans MT"/>
        </w:rPr>
      </w:pPr>
      <w:r w:rsidRPr="004C308D">
        <w:rPr>
          <w:rFonts w:ascii="Gill Sans MT" w:hAnsi="Gill Sans MT"/>
        </w:rPr>
        <w:t>e</w:t>
      </w:r>
      <w:r w:rsidR="00D33D6E" w:rsidRPr="004C308D">
        <w:rPr>
          <w:rFonts w:ascii="Gill Sans MT" w:hAnsi="Gill Sans MT"/>
        </w:rPr>
        <w:t xml:space="preserve">nsure the THS operates consistently with the Ministerial Charter, </w:t>
      </w:r>
      <w:r w:rsidR="006A6E83" w:rsidRPr="004C308D">
        <w:rPr>
          <w:rFonts w:ascii="Gill Sans MT" w:hAnsi="Gill Sans MT"/>
        </w:rPr>
        <w:t>s</w:t>
      </w:r>
      <w:r w:rsidR="00D33D6E" w:rsidRPr="004C308D">
        <w:rPr>
          <w:rFonts w:ascii="Gill Sans MT" w:hAnsi="Gill Sans MT"/>
        </w:rPr>
        <w:t xml:space="preserve">ervice </w:t>
      </w:r>
      <w:r w:rsidR="006A6E83" w:rsidRPr="004C308D">
        <w:rPr>
          <w:rFonts w:ascii="Gill Sans MT" w:hAnsi="Gill Sans MT"/>
        </w:rPr>
        <w:t>a</w:t>
      </w:r>
      <w:r w:rsidR="00D33D6E" w:rsidRPr="004C308D">
        <w:rPr>
          <w:rFonts w:ascii="Gill Sans MT" w:hAnsi="Gill Sans MT"/>
        </w:rPr>
        <w:t>greement</w:t>
      </w:r>
      <w:r w:rsidR="0076046F" w:rsidRPr="004C308D">
        <w:rPr>
          <w:rFonts w:ascii="Gill Sans MT" w:hAnsi="Gill Sans MT"/>
        </w:rPr>
        <w:t xml:space="preserve"> including funding levels,</w:t>
      </w:r>
      <w:r w:rsidR="00D33D6E" w:rsidRPr="004C308D">
        <w:rPr>
          <w:rFonts w:ascii="Gill Sans MT" w:hAnsi="Gill Sans MT"/>
        </w:rPr>
        <w:t xml:space="preserve"> business plan, corporate plan, Ministerial p</w:t>
      </w:r>
      <w:r w:rsidR="00CC460D" w:rsidRPr="004C308D">
        <w:rPr>
          <w:rFonts w:ascii="Gill Sans MT" w:hAnsi="Gill Sans MT"/>
        </w:rPr>
        <w:t xml:space="preserve">olicies, </w:t>
      </w:r>
      <w:r w:rsidR="006A6E83" w:rsidRPr="004C308D">
        <w:rPr>
          <w:rFonts w:ascii="Gill Sans MT" w:hAnsi="Gill Sans MT"/>
        </w:rPr>
        <w:t xml:space="preserve">and </w:t>
      </w:r>
      <w:r w:rsidR="00CC460D" w:rsidRPr="004C308D">
        <w:rPr>
          <w:rFonts w:ascii="Gill Sans MT" w:hAnsi="Gill Sans MT"/>
        </w:rPr>
        <w:t>reporting requirements</w:t>
      </w:r>
      <w:r w:rsidR="00BB1BF6" w:rsidRPr="004C308D">
        <w:rPr>
          <w:rFonts w:ascii="Gill Sans MT" w:hAnsi="Gill Sans MT"/>
        </w:rPr>
        <w:t>;</w:t>
      </w:r>
    </w:p>
    <w:p w:rsidR="00D33D6E" w:rsidRPr="004C308D" w:rsidRDefault="003C59DD" w:rsidP="004C308D">
      <w:pPr>
        <w:pStyle w:val="ListParagraph"/>
        <w:numPr>
          <w:ilvl w:val="0"/>
          <w:numId w:val="27"/>
        </w:numPr>
        <w:spacing w:after="140" w:line="300" w:lineRule="atLeast"/>
        <w:ind w:left="357" w:right="0" w:hanging="357"/>
        <w:jc w:val="left"/>
        <w:rPr>
          <w:rFonts w:ascii="Gill Sans MT" w:hAnsi="Gill Sans MT"/>
        </w:rPr>
      </w:pPr>
      <w:r w:rsidRPr="004C308D">
        <w:rPr>
          <w:rFonts w:ascii="Gill Sans MT" w:hAnsi="Gill Sans MT"/>
        </w:rPr>
        <w:t>m</w:t>
      </w:r>
      <w:r w:rsidR="00D33D6E" w:rsidRPr="004C308D">
        <w:rPr>
          <w:rFonts w:ascii="Gill Sans MT" w:hAnsi="Gill Sans MT"/>
        </w:rPr>
        <w:t>onitor THS performance against performance me</w:t>
      </w:r>
      <w:r w:rsidR="00CC460D" w:rsidRPr="004C308D">
        <w:rPr>
          <w:rFonts w:ascii="Gill Sans MT" w:hAnsi="Gill Sans MT"/>
        </w:rPr>
        <w:t>asures in the service agreement</w:t>
      </w:r>
      <w:r w:rsidR="00BB1BF6" w:rsidRPr="004C308D">
        <w:rPr>
          <w:rFonts w:ascii="Gill Sans MT" w:hAnsi="Gill Sans MT"/>
        </w:rPr>
        <w:t>;</w:t>
      </w:r>
    </w:p>
    <w:p w:rsidR="00D33D6E" w:rsidRPr="004C308D" w:rsidRDefault="003C59DD" w:rsidP="004C308D">
      <w:pPr>
        <w:pStyle w:val="ListParagraph"/>
        <w:numPr>
          <w:ilvl w:val="0"/>
          <w:numId w:val="27"/>
        </w:numPr>
        <w:spacing w:after="140" w:line="300" w:lineRule="atLeast"/>
        <w:ind w:left="357" w:right="0" w:hanging="357"/>
        <w:jc w:val="left"/>
        <w:rPr>
          <w:rFonts w:ascii="Gill Sans MT" w:hAnsi="Gill Sans MT"/>
        </w:rPr>
      </w:pPr>
      <w:r w:rsidRPr="004C308D">
        <w:rPr>
          <w:rFonts w:ascii="Gill Sans MT" w:hAnsi="Gill Sans MT"/>
        </w:rPr>
        <w:t>f</w:t>
      </w:r>
      <w:r w:rsidR="00D33D6E" w:rsidRPr="004C308D">
        <w:rPr>
          <w:rFonts w:ascii="Gill Sans MT" w:hAnsi="Gill Sans MT"/>
        </w:rPr>
        <w:t>ormulate, and ensure the implementation of, policy in respect of THS opera</w:t>
      </w:r>
      <w:r w:rsidR="00CC460D" w:rsidRPr="004C308D">
        <w:rPr>
          <w:rFonts w:ascii="Gill Sans MT" w:hAnsi="Gill Sans MT"/>
        </w:rPr>
        <w:t>tions</w:t>
      </w:r>
      <w:r w:rsidR="00BB1BF6" w:rsidRPr="004C308D">
        <w:rPr>
          <w:rFonts w:ascii="Gill Sans MT" w:hAnsi="Gill Sans MT"/>
        </w:rPr>
        <w:t>;</w:t>
      </w:r>
    </w:p>
    <w:p w:rsidR="00D33D6E" w:rsidRPr="004C308D" w:rsidRDefault="003C59DD" w:rsidP="004C308D">
      <w:pPr>
        <w:pStyle w:val="ListParagraph"/>
        <w:numPr>
          <w:ilvl w:val="0"/>
          <w:numId w:val="27"/>
        </w:numPr>
        <w:spacing w:after="140" w:line="300" w:lineRule="atLeast"/>
        <w:ind w:left="357" w:right="0" w:hanging="357"/>
        <w:jc w:val="left"/>
        <w:rPr>
          <w:rFonts w:ascii="Gill Sans MT" w:hAnsi="Gill Sans MT"/>
        </w:rPr>
      </w:pPr>
      <w:r w:rsidRPr="004C308D">
        <w:rPr>
          <w:rFonts w:ascii="Gill Sans MT" w:hAnsi="Gill Sans MT"/>
        </w:rPr>
        <w:t>pr</w:t>
      </w:r>
      <w:r w:rsidR="00D33D6E" w:rsidRPr="004C308D">
        <w:rPr>
          <w:rFonts w:ascii="Gill Sans MT" w:hAnsi="Gill Sans MT"/>
        </w:rPr>
        <w:t>ovide advice to the Minister regarding capital investment re</w:t>
      </w:r>
      <w:r w:rsidR="00CC460D" w:rsidRPr="004C308D">
        <w:rPr>
          <w:rFonts w:ascii="Gill Sans MT" w:hAnsi="Gill Sans MT"/>
        </w:rPr>
        <w:t>quirements and service planning</w:t>
      </w:r>
      <w:r w:rsidR="00BB1BF6" w:rsidRPr="004C308D">
        <w:rPr>
          <w:rFonts w:ascii="Gill Sans MT" w:hAnsi="Gill Sans MT"/>
        </w:rPr>
        <w:t>;</w:t>
      </w:r>
    </w:p>
    <w:p w:rsidR="00D33D6E" w:rsidRPr="004C308D" w:rsidRDefault="003C59DD" w:rsidP="004C308D">
      <w:pPr>
        <w:pStyle w:val="ListParagraph"/>
        <w:numPr>
          <w:ilvl w:val="0"/>
          <w:numId w:val="27"/>
        </w:numPr>
        <w:spacing w:after="140" w:line="300" w:lineRule="atLeast"/>
        <w:ind w:left="357" w:right="0" w:hanging="357"/>
        <w:jc w:val="left"/>
        <w:rPr>
          <w:rFonts w:ascii="Gill Sans MT" w:hAnsi="Gill Sans MT"/>
        </w:rPr>
      </w:pPr>
      <w:r w:rsidRPr="004C308D">
        <w:rPr>
          <w:rFonts w:ascii="Gill Sans MT" w:hAnsi="Gill Sans MT"/>
        </w:rPr>
        <w:t>e</w:t>
      </w:r>
      <w:r w:rsidR="00D33D6E" w:rsidRPr="004C308D">
        <w:rPr>
          <w:rFonts w:ascii="Gill Sans MT" w:hAnsi="Gill Sans MT"/>
        </w:rPr>
        <w:t>nsure that corporate and clinical gov</w:t>
      </w:r>
      <w:r w:rsidR="00CC460D" w:rsidRPr="004C308D">
        <w:rPr>
          <w:rFonts w:ascii="Gill Sans MT" w:hAnsi="Gill Sans MT"/>
        </w:rPr>
        <w:t>ernance procedures are in place</w:t>
      </w:r>
      <w:r w:rsidR="00BB1BF6" w:rsidRPr="004C308D">
        <w:rPr>
          <w:rFonts w:ascii="Gill Sans MT" w:hAnsi="Gill Sans MT"/>
        </w:rPr>
        <w:t>;</w:t>
      </w:r>
    </w:p>
    <w:p w:rsidR="00D33D6E" w:rsidRPr="004C308D" w:rsidRDefault="003C59DD" w:rsidP="004C308D">
      <w:pPr>
        <w:pStyle w:val="ListParagraph"/>
        <w:numPr>
          <w:ilvl w:val="0"/>
          <w:numId w:val="27"/>
        </w:numPr>
        <w:spacing w:after="140" w:line="300" w:lineRule="atLeast"/>
        <w:ind w:left="357" w:right="0" w:hanging="357"/>
        <w:jc w:val="left"/>
        <w:rPr>
          <w:rFonts w:ascii="Gill Sans MT" w:hAnsi="Gill Sans MT"/>
        </w:rPr>
      </w:pPr>
      <w:r w:rsidRPr="004C308D">
        <w:rPr>
          <w:rFonts w:ascii="Gill Sans MT" w:hAnsi="Gill Sans MT"/>
        </w:rPr>
        <w:t>e</w:t>
      </w:r>
      <w:r w:rsidR="00D33D6E" w:rsidRPr="004C308D">
        <w:rPr>
          <w:rFonts w:ascii="Gill Sans MT" w:hAnsi="Gill Sans MT"/>
        </w:rPr>
        <w:t>stabli</w:t>
      </w:r>
      <w:r w:rsidR="00453094">
        <w:rPr>
          <w:rFonts w:ascii="Gill Sans MT" w:hAnsi="Gill Sans MT"/>
        </w:rPr>
        <w:t>sh audit and risk sub-committee</w:t>
      </w:r>
      <w:r w:rsidR="00D33D6E" w:rsidRPr="004C308D">
        <w:rPr>
          <w:rFonts w:ascii="Gill Sans MT" w:hAnsi="Gill Sans MT"/>
        </w:rPr>
        <w:t xml:space="preserve"> to comply </w:t>
      </w:r>
      <w:r w:rsidR="00CC460D" w:rsidRPr="004C308D">
        <w:rPr>
          <w:rFonts w:ascii="Gill Sans MT" w:hAnsi="Gill Sans MT"/>
        </w:rPr>
        <w:t>with any Treasurer Instructions</w:t>
      </w:r>
      <w:r w:rsidR="00BB1BF6" w:rsidRPr="004C308D">
        <w:rPr>
          <w:rFonts w:ascii="Gill Sans MT" w:hAnsi="Gill Sans MT"/>
        </w:rPr>
        <w:t>;</w:t>
      </w:r>
    </w:p>
    <w:p w:rsidR="00D33D6E" w:rsidRPr="004C308D" w:rsidRDefault="003C59DD" w:rsidP="004C308D">
      <w:pPr>
        <w:pStyle w:val="ListParagraph"/>
        <w:numPr>
          <w:ilvl w:val="0"/>
          <w:numId w:val="27"/>
        </w:numPr>
        <w:spacing w:after="140" w:line="300" w:lineRule="atLeast"/>
        <w:ind w:left="357" w:right="0" w:hanging="357"/>
        <w:jc w:val="left"/>
        <w:rPr>
          <w:rFonts w:ascii="Gill Sans MT" w:hAnsi="Gill Sans MT"/>
        </w:rPr>
      </w:pPr>
      <w:r w:rsidRPr="004C308D">
        <w:rPr>
          <w:rFonts w:ascii="Gill Sans MT" w:hAnsi="Gill Sans MT"/>
        </w:rPr>
        <w:t>a</w:t>
      </w:r>
      <w:r w:rsidR="00D33D6E" w:rsidRPr="004C308D">
        <w:rPr>
          <w:rFonts w:ascii="Gill Sans MT" w:hAnsi="Gill Sans MT"/>
        </w:rPr>
        <w:t xml:space="preserve">dvise </w:t>
      </w:r>
      <w:r w:rsidR="006A0399" w:rsidRPr="004C308D">
        <w:rPr>
          <w:rFonts w:ascii="Gill Sans MT" w:hAnsi="Gill Sans MT"/>
        </w:rPr>
        <w:t xml:space="preserve">the </w:t>
      </w:r>
      <w:r w:rsidR="00D33D6E" w:rsidRPr="004C308D">
        <w:rPr>
          <w:rFonts w:ascii="Gill Sans MT" w:hAnsi="Gill Sans MT"/>
        </w:rPr>
        <w:t xml:space="preserve">Minister of issues arising with </w:t>
      </w:r>
      <w:r w:rsidR="000A044E" w:rsidRPr="004C308D">
        <w:rPr>
          <w:rFonts w:ascii="Gill Sans MT" w:hAnsi="Gill Sans MT"/>
        </w:rPr>
        <w:t xml:space="preserve">the </w:t>
      </w:r>
      <w:r w:rsidR="006A6E83" w:rsidRPr="004C308D">
        <w:rPr>
          <w:rFonts w:ascii="Gill Sans MT" w:hAnsi="Gill Sans MT"/>
        </w:rPr>
        <w:t>c</w:t>
      </w:r>
      <w:r w:rsidR="00D33D6E" w:rsidRPr="004C308D">
        <w:rPr>
          <w:rFonts w:ascii="Gill Sans MT" w:hAnsi="Gill Sans MT"/>
        </w:rPr>
        <w:t xml:space="preserve">orporate </w:t>
      </w:r>
      <w:r w:rsidR="006A6E83" w:rsidRPr="004C308D">
        <w:rPr>
          <w:rFonts w:ascii="Gill Sans MT" w:hAnsi="Gill Sans MT"/>
        </w:rPr>
        <w:t>p</w:t>
      </w:r>
      <w:r w:rsidR="00D33D6E" w:rsidRPr="004C308D">
        <w:rPr>
          <w:rFonts w:ascii="Gill Sans MT" w:hAnsi="Gill Sans MT"/>
        </w:rPr>
        <w:t>lan or the</w:t>
      </w:r>
      <w:r w:rsidR="00CC460D" w:rsidRPr="004C308D">
        <w:rPr>
          <w:rFonts w:ascii="Gill Sans MT" w:hAnsi="Gill Sans MT"/>
        </w:rPr>
        <w:t xml:space="preserve"> financial viability of the THS</w:t>
      </w:r>
      <w:r w:rsidR="00BB1BF6" w:rsidRPr="004C308D">
        <w:rPr>
          <w:rFonts w:ascii="Gill Sans MT" w:hAnsi="Gill Sans MT"/>
        </w:rPr>
        <w:t>;</w:t>
      </w:r>
    </w:p>
    <w:p w:rsidR="00030C0E" w:rsidRPr="004C308D" w:rsidRDefault="003C59DD" w:rsidP="004C308D">
      <w:pPr>
        <w:pStyle w:val="ListParagraph"/>
        <w:numPr>
          <w:ilvl w:val="0"/>
          <w:numId w:val="27"/>
        </w:numPr>
        <w:spacing w:after="140" w:line="300" w:lineRule="atLeast"/>
        <w:ind w:left="357" w:right="0" w:hanging="357"/>
        <w:jc w:val="left"/>
        <w:rPr>
          <w:rFonts w:ascii="Gill Sans MT" w:hAnsi="Gill Sans MT"/>
        </w:rPr>
      </w:pPr>
      <w:r w:rsidRPr="004C308D">
        <w:rPr>
          <w:rFonts w:ascii="Gill Sans MT" w:hAnsi="Gill Sans MT"/>
        </w:rPr>
        <w:t>p</w:t>
      </w:r>
      <w:r w:rsidR="00D33D6E" w:rsidRPr="004C308D">
        <w:rPr>
          <w:rFonts w:ascii="Gill Sans MT" w:hAnsi="Gill Sans MT"/>
        </w:rPr>
        <w:t>repare</w:t>
      </w:r>
      <w:r w:rsidR="006A6E83" w:rsidRPr="004C308D">
        <w:rPr>
          <w:rFonts w:ascii="Gill Sans MT" w:hAnsi="Gill Sans MT"/>
        </w:rPr>
        <w:t>,</w:t>
      </w:r>
      <w:r w:rsidR="00D33D6E" w:rsidRPr="004C308D">
        <w:rPr>
          <w:rFonts w:ascii="Gill Sans MT" w:hAnsi="Gill Sans MT"/>
        </w:rPr>
        <w:t xml:space="preserve"> subject to </w:t>
      </w:r>
      <w:r w:rsidR="006A0399" w:rsidRPr="004C308D">
        <w:rPr>
          <w:rFonts w:ascii="Gill Sans MT" w:hAnsi="Gill Sans MT"/>
        </w:rPr>
        <w:t xml:space="preserve">the </w:t>
      </w:r>
      <w:r w:rsidR="00D33D6E" w:rsidRPr="004C308D">
        <w:rPr>
          <w:rFonts w:ascii="Gill Sans MT" w:hAnsi="Gill Sans MT"/>
        </w:rPr>
        <w:t>Ministers’ approval</w:t>
      </w:r>
      <w:r w:rsidR="006A6E83" w:rsidRPr="004C308D">
        <w:rPr>
          <w:rFonts w:ascii="Gill Sans MT" w:hAnsi="Gill Sans MT"/>
        </w:rPr>
        <w:t>,</w:t>
      </w:r>
      <w:r w:rsidRPr="004C308D">
        <w:rPr>
          <w:rFonts w:ascii="Gill Sans MT" w:hAnsi="Gill Sans MT"/>
        </w:rPr>
        <w:t xml:space="preserve"> and operate in accordance with</w:t>
      </w:r>
      <w:r w:rsidR="00BB1BF6" w:rsidRPr="004C308D">
        <w:rPr>
          <w:rFonts w:ascii="Gill Sans MT" w:hAnsi="Gill Sans MT"/>
        </w:rPr>
        <w:t>:</w:t>
      </w:r>
    </w:p>
    <w:p w:rsidR="00D33D6E" w:rsidRPr="004C308D" w:rsidRDefault="006A6E83" w:rsidP="004C308D">
      <w:pPr>
        <w:pStyle w:val="ListParagraph"/>
        <w:numPr>
          <w:ilvl w:val="1"/>
          <w:numId w:val="27"/>
        </w:numPr>
        <w:spacing w:after="140" w:line="300" w:lineRule="atLeast"/>
        <w:ind w:right="0"/>
        <w:jc w:val="left"/>
        <w:rPr>
          <w:rFonts w:ascii="Gill Sans MT" w:hAnsi="Gill Sans MT"/>
        </w:rPr>
      </w:pPr>
      <w:r w:rsidRPr="004C308D">
        <w:rPr>
          <w:rFonts w:ascii="Gill Sans MT" w:hAnsi="Gill Sans MT"/>
        </w:rPr>
        <w:t>c</w:t>
      </w:r>
      <w:r w:rsidR="00D33D6E" w:rsidRPr="004C308D">
        <w:rPr>
          <w:rFonts w:ascii="Gill Sans MT" w:hAnsi="Gill Sans MT"/>
        </w:rPr>
        <w:t xml:space="preserve">orporate </w:t>
      </w:r>
      <w:r w:rsidRPr="004C308D">
        <w:rPr>
          <w:rFonts w:ascii="Gill Sans MT" w:hAnsi="Gill Sans MT"/>
        </w:rPr>
        <w:t>p</w:t>
      </w:r>
      <w:r w:rsidR="00D33D6E" w:rsidRPr="004C308D">
        <w:rPr>
          <w:rFonts w:ascii="Gill Sans MT" w:hAnsi="Gill Sans MT"/>
        </w:rPr>
        <w:t xml:space="preserve">lan: a planning period of </w:t>
      </w:r>
      <w:r w:rsidR="00415085" w:rsidRPr="004C308D">
        <w:rPr>
          <w:rFonts w:ascii="Gill Sans MT" w:hAnsi="Gill Sans MT"/>
        </w:rPr>
        <w:t>not less than 4 financial years,</w:t>
      </w:r>
      <w:r w:rsidR="00550DED" w:rsidRPr="004C308D">
        <w:rPr>
          <w:rFonts w:ascii="Gill Sans MT" w:hAnsi="Gill Sans MT"/>
        </w:rPr>
        <w:t xml:space="preserve"> including </w:t>
      </w:r>
      <w:r w:rsidR="00D33D6E" w:rsidRPr="004C308D">
        <w:rPr>
          <w:rFonts w:ascii="Gill Sans MT" w:hAnsi="Gill Sans MT"/>
        </w:rPr>
        <w:t xml:space="preserve"> agreed financial and no</w:t>
      </w:r>
      <w:r w:rsidR="00415085" w:rsidRPr="004C308D">
        <w:rPr>
          <w:rFonts w:ascii="Gill Sans MT" w:hAnsi="Gill Sans MT"/>
        </w:rPr>
        <w:t>n-financial performance targets,</w:t>
      </w:r>
      <w:r w:rsidR="00CC460D" w:rsidRPr="004C308D">
        <w:rPr>
          <w:rFonts w:ascii="Gill Sans MT" w:hAnsi="Gill Sans MT"/>
        </w:rPr>
        <w:t xml:space="preserve"> </w:t>
      </w:r>
      <w:r w:rsidR="00550DED" w:rsidRPr="004C308D">
        <w:rPr>
          <w:rFonts w:ascii="Gill Sans MT" w:hAnsi="Gill Sans MT"/>
        </w:rPr>
        <w:t xml:space="preserve">an </w:t>
      </w:r>
      <w:r w:rsidR="00CC460D" w:rsidRPr="004C308D">
        <w:rPr>
          <w:rFonts w:ascii="Gill Sans MT" w:hAnsi="Gill Sans MT"/>
        </w:rPr>
        <w:t xml:space="preserve">activity plan, HR strategy </w:t>
      </w:r>
      <w:r w:rsidR="00CE2487" w:rsidRPr="004C308D">
        <w:rPr>
          <w:rFonts w:ascii="Gill Sans MT" w:hAnsi="Gill Sans MT"/>
        </w:rPr>
        <w:t>etc.</w:t>
      </w:r>
      <w:r w:rsidRPr="004C308D">
        <w:rPr>
          <w:rFonts w:ascii="Gill Sans MT" w:hAnsi="Gill Sans MT"/>
        </w:rPr>
        <w:t>, and</w:t>
      </w:r>
    </w:p>
    <w:p w:rsidR="00D33D6E" w:rsidRPr="004C308D" w:rsidRDefault="00550DED" w:rsidP="004C308D">
      <w:pPr>
        <w:pStyle w:val="ListParagraph"/>
        <w:numPr>
          <w:ilvl w:val="1"/>
          <w:numId w:val="27"/>
        </w:numPr>
        <w:spacing w:after="140" w:line="300" w:lineRule="atLeast"/>
        <w:ind w:right="0"/>
        <w:jc w:val="left"/>
        <w:rPr>
          <w:rFonts w:ascii="Gill Sans MT" w:hAnsi="Gill Sans MT"/>
        </w:rPr>
      </w:pPr>
      <w:proofErr w:type="gramStart"/>
      <w:r w:rsidRPr="004C308D">
        <w:rPr>
          <w:rFonts w:ascii="Gill Sans MT" w:hAnsi="Gill Sans MT"/>
        </w:rPr>
        <w:t>b</w:t>
      </w:r>
      <w:r w:rsidR="00D33D6E" w:rsidRPr="004C308D">
        <w:rPr>
          <w:rFonts w:ascii="Gill Sans MT" w:hAnsi="Gill Sans MT"/>
        </w:rPr>
        <w:t>usiness</w:t>
      </w:r>
      <w:proofErr w:type="gramEnd"/>
      <w:r w:rsidR="00D33D6E" w:rsidRPr="004C308D">
        <w:rPr>
          <w:rFonts w:ascii="Gill Sans MT" w:hAnsi="Gill Sans MT"/>
        </w:rPr>
        <w:t xml:space="preserve"> </w:t>
      </w:r>
      <w:r w:rsidRPr="004C308D">
        <w:rPr>
          <w:rFonts w:ascii="Gill Sans MT" w:hAnsi="Gill Sans MT"/>
        </w:rPr>
        <w:t>p</w:t>
      </w:r>
      <w:r w:rsidR="00D33D6E" w:rsidRPr="004C308D">
        <w:rPr>
          <w:rFonts w:ascii="Gill Sans MT" w:hAnsi="Gill Sans MT"/>
        </w:rPr>
        <w:t>lan: budget and plan to me</w:t>
      </w:r>
      <w:r w:rsidR="00CC460D" w:rsidRPr="004C308D">
        <w:rPr>
          <w:rFonts w:ascii="Gill Sans MT" w:hAnsi="Gill Sans MT"/>
        </w:rPr>
        <w:t xml:space="preserve">et the </w:t>
      </w:r>
      <w:r w:rsidRPr="004C308D">
        <w:rPr>
          <w:rFonts w:ascii="Gill Sans MT" w:hAnsi="Gill Sans MT"/>
        </w:rPr>
        <w:t xml:space="preserve">requirements of the </w:t>
      </w:r>
      <w:r w:rsidR="00CC460D" w:rsidRPr="004C308D">
        <w:rPr>
          <w:rFonts w:ascii="Gill Sans MT" w:hAnsi="Gill Sans MT"/>
        </w:rPr>
        <w:t>annual service agreement</w:t>
      </w:r>
      <w:r w:rsidR="003C59DD" w:rsidRPr="004C308D">
        <w:rPr>
          <w:rFonts w:ascii="Gill Sans MT" w:hAnsi="Gill Sans MT"/>
        </w:rPr>
        <w:t>.</w:t>
      </w:r>
    </w:p>
    <w:p w:rsidR="00D33D6E" w:rsidRPr="0080216C" w:rsidRDefault="00D33D6E" w:rsidP="00AB6564">
      <w:pPr>
        <w:spacing w:after="140" w:line="300" w:lineRule="atLeast"/>
      </w:pPr>
      <w:r w:rsidRPr="00C47D64">
        <w:t>T</w:t>
      </w:r>
      <w:r w:rsidRPr="0080216C">
        <w:t>he</w:t>
      </w:r>
      <w:r w:rsidRPr="00C47D64">
        <w:t xml:space="preserve"> </w:t>
      </w:r>
      <w:r w:rsidRPr="0080216C">
        <w:t>Ch</w:t>
      </w:r>
      <w:r w:rsidRPr="00C47D64">
        <w:t>a</w:t>
      </w:r>
      <w:r w:rsidRPr="0080216C">
        <w:t>ir</w:t>
      </w:r>
      <w:r w:rsidRPr="00C47D64">
        <w:t xml:space="preserve"> </w:t>
      </w:r>
      <w:r w:rsidRPr="0080216C">
        <w:t>of</w:t>
      </w:r>
      <w:r w:rsidRPr="00C47D64">
        <w:t xml:space="preserve"> </w:t>
      </w:r>
      <w:r w:rsidRPr="0080216C">
        <w:t>the</w:t>
      </w:r>
      <w:r w:rsidRPr="00C47D64">
        <w:t xml:space="preserve"> </w:t>
      </w:r>
      <w:r w:rsidR="00550DED">
        <w:t>THS GC</w:t>
      </w:r>
      <w:r w:rsidRPr="00C47D64">
        <w:t xml:space="preserve"> </w:t>
      </w:r>
      <w:r w:rsidRPr="0080216C">
        <w:t>h</w:t>
      </w:r>
      <w:r w:rsidRPr="00C47D64">
        <w:t>a</w:t>
      </w:r>
      <w:r w:rsidRPr="0080216C">
        <w:t>s no</w:t>
      </w:r>
      <w:r w:rsidRPr="00C47D64">
        <w:t xml:space="preserve"> s</w:t>
      </w:r>
      <w:r w:rsidRPr="0080216C">
        <w:t>pe</w:t>
      </w:r>
      <w:r w:rsidRPr="00C47D64">
        <w:t>c</w:t>
      </w:r>
      <w:r w:rsidRPr="0080216C">
        <w:t>if</w:t>
      </w:r>
      <w:r w:rsidRPr="00C47D64">
        <w:t>i</w:t>
      </w:r>
      <w:r w:rsidRPr="0080216C">
        <w:t xml:space="preserve">c </w:t>
      </w:r>
      <w:r w:rsidRPr="00C47D64">
        <w:t>sta</w:t>
      </w:r>
      <w:r w:rsidRPr="0080216C">
        <w:t>tutory</w:t>
      </w:r>
      <w:r w:rsidRPr="00C47D64">
        <w:t xml:space="preserve"> </w:t>
      </w:r>
      <w:r w:rsidRPr="0080216C">
        <w:t>fun</w:t>
      </w:r>
      <w:r w:rsidRPr="00C47D64">
        <w:t>c</w:t>
      </w:r>
      <w:r w:rsidRPr="0080216C">
        <w:t>t</w:t>
      </w:r>
      <w:r w:rsidRPr="00C47D64">
        <w:t>i</w:t>
      </w:r>
      <w:r w:rsidRPr="0080216C">
        <w:t xml:space="preserve">ons </w:t>
      </w:r>
      <w:r w:rsidRPr="00C47D64">
        <w:t>a</w:t>
      </w:r>
      <w:r w:rsidRPr="0080216C">
        <w:t>nd</w:t>
      </w:r>
      <w:r w:rsidRPr="00C47D64">
        <w:t xml:space="preserve"> </w:t>
      </w:r>
      <w:r w:rsidRPr="0080216C">
        <w:t>is</w:t>
      </w:r>
      <w:r w:rsidRPr="00C47D64">
        <w:t xml:space="preserve"> </w:t>
      </w:r>
      <w:r w:rsidRPr="0080216C">
        <w:t>t</w:t>
      </w:r>
      <w:r w:rsidRPr="00C47D64">
        <w:t>h</w:t>
      </w:r>
      <w:r w:rsidRPr="0080216C">
        <w:t>e le</w:t>
      </w:r>
      <w:r w:rsidRPr="00C47D64">
        <w:t>a</w:t>
      </w:r>
      <w:r w:rsidRPr="0080216C">
        <w:t xml:space="preserve">der </w:t>
      </w:r>
      <w:r w:rsidRPr="00C47D64">
        <w:t>a</w:t>
      </w:r>
      <w:r w:rsidRPr="0080216C">
        <w:t>nd</w:t>
      </w:r>
      <w:r w:rsidRPr="00C47D64">
        <w:t xml:space="preserve"> s</w:t>
      </w:r>
      <w:r w:rsidRPr="0080216C">
        <w:t>poke</w:t>
      </w:r>
      <w:r w:rsidRPr="00C47D64">
        <w:t>s</w:t>
      </w:r>
      <w:r w:rsidRPr="0080216C">
        <w:t>pe</w:t>
      </w:r>
      <w:r w:rsidRPr="00C47D64">
        <w:t>rs</w:t>
      </w:r>
      <w:r w:rsidRPr="0080216C">
        <w:t>on of</w:t>
      </w:r>
      <w:r w:rsidRPr="00C47D64">
        <w:t xml:space="preserve"> </w:t>
      </w:r>
      <w:r w:rsidRPr="0080216C">
        <w:t xml:space="preserve">the </w:t>
      </w:r>
      <w:r w:rsidR="00550DED">
        <w:t>THS GC</w:t>
      </w:r>
      <w:r w:rsidRPr="0080216C">
        <w:t xml:space="preserve"> in</w:t>
      </w:r>
      <w:r w:rsidRPr="00C47D64">
        <w:t xml:space="preserve"> r</w:t>
      </w:r>
      <w:r w:rsidRPr="0080216C">
        <w:t>e</w:t>
      </w:r>
      <w:r w:rsidRPr="00C47D64">
        <w:t>s</w:t>
      </w:r>
      <w:r w:rsidRPr="0080216C">
        <w:t>pe</w:t>
      </w:r>
      <w:r w:rsidRPr="00C47D64">
        <w:t>c</w:t>
      </w:r>
      <w:r w:rsidRPr="0080216C">
        <w:t>t</w:t>
      </w:r>
      <w:r w:rsidRPr="00C47D64">
        <w:t xml:space="preserve"> o</w:t>
      </w:r>
      <w:r w:rsidRPr="0080216C">
        <w:t>f</w:t>
      </w:r>
      <w:r w:rsidRPr="00C47D64">
        <w:t xml:space="preserve"> </w:t>
      </w:r>
      <w:r w:rsidRPr="0080216C">
        <w:t>the</w:t>
      </w:r>
      <w:r w:rsidRPr="00C47D64">
        <w:t xml:space="preserve"> </w:t>
      </w:r>
      <w:r w:rsidRPr="0080216C">
        <w:t>del</w:t>
      </w:r>
      <w:r w:rsidRPr="00C47D64">
        <w:t>iv</w:t>
      </w:r>
      <w:r w:rsidRPr="0080216C">
        <w:t>e</w:t>
      </w:r>
      <w:r w:rsidRPr="00C47D64">
        <w:t>r</w:t>
      </w:r>
      <w:r w:rsidRPr="0080216C">
        <w:t xml:space="preserve">y </w:t>
      </w:r>
      <w:r w:rsidRPr="00C47D64">
        <w:t>o</w:t>
      </w:r>
      <w:r w:rsidRPr="0080216C">
        <w:t>f</w:t>
      </w:r>
      <w:r w:rsidRPr="00C47D64">
        <w:t xml:space="preserve"> </w:t>
      </w:r>
      <w:r w:rsidRPr="0080216C">
        <w:t>the</w:t>
      </w:r>
      <w:r w:rsidRPr="00C47D64">
        <w:t>s</w:t>
      </w:r>
      <w:r w:rsidRPr="0080216C">
        <w:t xml:space="preserve">e </w:t>
      </w:r>
      <w:r w:rsidRPr="00C47D64">
        <w:t>acco</w:t>
      </w:r>
      <w:r w:rsidRPr="0080216C">
        <w:t>unt</w:t>
      </w:r>
      <w:r w:rsidRPr="00C47D64">
        <w:t>a</w:t>
      </w:r>
      <w:r w:rsidRPr="0080216C">
        <w:t>bi</w:t>
      </w:r>
      <w:r w:rsidRPr="00C47D64">
        <w:t>l</w:t>
      </w:r>
      <w:r w:rsidRPr="0080216C">
        <w:t>itie</w:t>
      </w:r>
      <w:r w:rsidRPr="00C47D64">
        <w:t>s</w:t>
      </w:r>
      <w:r w:rsidR="00CC460D" w:rsidRPr="00C47D64">
        <w:t>.</w:t>
      </w:r>
    </w:p>
    <w:p w:rsidR="00030C0E" w:rsidRDefault="00366844" w:rsidP="00AB6564">
      <w:pPr>
        <w:pStyle w:val="Heading1"/>
        <w:spacing w:before="0" w:after="140" w:line="300" w:lineRule="atLeast"/>
        <w:rPr>
          <w:sz w:val="28"/>
        </w:rPr>
      </w:pPr>
      <w:bookmarkStart w:id="39" w:name="_Toc423357985"/>
      <w:bookmarkStart w:id="40" w:name="_Toc488068397"/>
      <w:r>
        <w:t xml:space="preserve">Part </w:t>
      </w:r>
      <w:r>
        <w:rPr>
          <w:lang w:val="en-AU"/>
        </w:rPr>
        <w:t>B</w:t>
      </w:r>
      <w:r w:rsidR="00E84EA5" w:rsidRPr="004B4ACA">
        <w:t xml:space="preserve">: </w:t>
      </w:r>
      <w:r w:rsidR="004A1BAD">
        <w:rPr>
          <w:lang w:val="en-AU"/>
        </w:rPr>
        <w:t>THS</w:t>
      </w:r>
      <w:r w:rsidR="00E84EA5" w:rsidRPr="004B4ACA">
        <w:t xml:space="preserve"> Profile</w:t>
      </w:r>
      <w:bookmarkEnd w:id="39"/>
      <w:bookmarkEnd w:id="40"/>
    </w:p>
    <w:p w:rsidR="00030C0E" w:rsidRPr="006B31F3" w:rsidRDefault="00030C0E" w:rsidP="00AB6564">
      <w:pPr>
        <w:spacing w:after="140" w:line="300" w:lineRule="atLeast"/>
      </w:pPr>
      <w:r w:rsidRPr="006B31F3">
        <w:t xml:space="preserve">The primary role of the THS is to provide and coordinate </w:t>
      </w:r>
      <w:r w:rsidR="00453094">
        <w:t xml:space="preserve">public sector </w:t>
      </w:r>
      <w:r w:rsidRPr="006B31F3">
        <w:t>health services and health support services across Tasmania. These services are provided in a range of inpatient, outpatient, community health, residential aged care and in-home settings.</w:t>
      </w:r>
    </w:p>
    <w:p w:rsidR="00030C0E" w:rsidRPr="006B31F3" w:rsidRDefault="00030C0E" w:rsidP="00AB6564">
      <w:pPr>
        <w:spacing w:after="140" w:line="300" w:lineRule="atLeast"/>
      </w:pPr>
      <w:r w:rsidRPr="006B31F3">
        <w:t xml:space="preserve">Services delivered by the THS include acute, subacute, </w:t>
      </w:r>
      <w:r w:rsidR="001F141C" w:rsidRPr="006B31F3">
        <w:t>emergency, non-admitted</w:t>
      </w:r>
      <w:r w:rsidRPr="006B31F3">
        <w:t xml:space="preserve">, primary health care, palliative care, oral health, </w:t>
      </w:r>
      <w:r w:rsidR="008F469B" w:rsidRPr="006B31F3">
        <w:t xml:space="preserve">cancer screening, </w:t>
      </w:r>
      <w:r w:rsidRPr="006B31F3">
        <w:t>mental health</w:t>
      </w:r>
      <w:r w:rsidR="00157382">
        <w:t xml:space="preserve"> and alcohol and drug services, </w:t>
      </w:r>
      <w:r w:rsidR="00157382" w:rsidRPr="00AC5F18">
        <w:t xml:space="preserve">and community-based child health services for children 0 – 5 years and their families. </w:t>
      </w:r>
      <w:r w:rsidRPr="006B31F3">
        <w:t xml:space="preserve">The services provided are flexible enough to target specific needs at the different stages of a patient’s health journey, in order to provide an integrated, holistic and patient-centred approach to health care delivery. </w:t>
      </w:r>
    </w:p>
    <w:p w:rsidR="00030C0E" w:rsidRPr="006B31F3" w:rsidRDefault="00030C0E" w:rsidP="00AB6564">
      <w:pPr>
        <w:spacing w:after="140" w:line="300" w:lineRule="atLeast"/>
      </w:pPr>
      <w:r w:rsidRPr="006B31F3">
        <w:t>The THS operates four major hospitals, each with a specific role in the system:</w:t>
      </w:r>
    </w:p>
    <w:p w:rsidR="00030C0E" w:rsidRPr="004C308D" w:rsidRDefault="003C59DD" w:rsidP="004C308D">
      <w:pPr>
        <w:pStyle w:val="ListParagraph"/>
        <w:numPr>
          <w:ilvl w:val="0"/>
          <w:numId w:val="27"/>
        </w:numPr>
        <w:spacing w:after="140" w:line="300" w:lineRule="atLeast"/>
        <w:ind w:left="357" w:right="0" w:hanging="357"/>
        <w:jc w:val="left"/>
        <w:rPr>
          <w:rFonts w:ascii="Gill Sans MT" w:hAnsi="Gill Sans MT"/>
        </w:rPr>
      </w:pPr>
      <w:r w:rsidRPr="004C308D">
        <w:rPr>
          <w:rFonts w:ascii="Gill Sans MT" w:hAnsi="Gill Sans MT"/>
        </w:rPr>
        <w:t>t</w:t>
      </w:r>
      <w:r w:rsidR="00030C0E" w:rsidRPr="004C308D">
        <w:rPr>
          <w:rFonts w:ascii="Gill Sans MT" w:hAnsi="Gill Sans MT"/>
        </w:rPr>
        <w:t>he Royal Hobart Ho</w:t>
      </w:r>
      <w:r w:rsidR="00847453" w:rsidRPr="004C308D">
        <w:rPr>
          <w:rFonts w:ascii="Gill Sans MT" w:hAnsi="Gill Sans MT"/>
        </w:rPr>
        <w:t>spital is the principal</w:t>
      </w:r>
      <w:r w:rsidR="00030C0E" w:rsidRPr="004C308D">
        <w:rPr>
          <w:rFonts w:ascii="Gill Sans MT" w:hAnsi="Gill Sans MT"/>
        </w:rPr>
        <w:t xml:space="preserve"> referral hospital for residen</w:t>
      </w:r>
      <w:r w:rsidR="00847453" w:rsidRPr="004C308D">
        <w:rPr>
          <w:rFonts w:ascii="Gill Sans MT" w:hAnsi="Gill Sans MT"/>
        </w:rPr>
        <w:t>ts of Southern Tasmania and</w:t>
      </w:r>
      <w:r w:rsidR="00030C0E" w:rsidRPr="004C308D">
        <w:rPr>
          <w:rFonts w:ascii="Gill Sans MT" w:hAnsi="Gill Sans MT"/>
        </w:rPr>
        <w:t xml:space="preserve"> provides</w:t>
      </w:r>
      <w:r w:rsidRPr="004C308D">
        <w:rPr>
          <w:rFonts w:ascii="Gill Sans MT" w:hAnsi="Gill Sans MT"/>
        </w:rPr>
        <w:t xml:space="preserve"> a number of </w:t>
      </w:r>
      <w:r w:rsidR="00847453" w:rsidRPr="004C308D">
        <w:rPr>
          <w:rFonts w:ascii="Gill Sans MT" w:hAnsi="Gill Sans MT"/>
        </w:rPr>
        <w:t>tertiary services for the State</w:t>
      </w:r>
      <w:r w:rsidR="003C0BF7" w:rsidRPr="004C308D">
        <w:rPr>
          <w:rFonts w:ascii="Gill Sans MT" w:hAnsi="Gill Sans MT"/>
        </w:rPr>
        <w:t>;</w:t>
      </w:r>
    </w:p>
    <w:p w:rsidR="00030C0E" w:rsidRPr="004C308D" w:rsidRDefault="003C59DD" w:rsidP="004C308D">
      <w:pPr>
        <w:pStyle w:val="ListParagraph"/>
        <w:numPr>
          <w:ilvl w:val="0"/>
          <w:numId w:val="27"/>
        </w:numPr>
        <w:spacing w:after="140" w:line="300" w:lineRule="atLeast"/>
        <w:ind w:left="357" w:right="0" w:hanging="357"/>
        <w:jc w:val="left"/>
        <w:rPr>
          <w:rFonts w:ascii="Gill Sans MT" w:hAnsi="Gill Sans MT"/>
        </w:rPr>
      </w:pPr>
      <w:r w:rsidRPr="004C308D">
        <w:rPr>
          <w:rFonts w:ascii="Gill Sans MT" w:hAnsi="Gill Sans MT"/>
        </w:rPr>
        <w:t>t</w:t>
      </w:r>
      <w:r w:rsidR="00030C0E" w:rsidRPr="004C308D">
        <w:rPr>
          <w:rFonts w:ascii="Gill Sans MT" w:hAnsi="Gill Sans MT"/>
        </w:rPr>
        <w:t>he Launceston Ge</w:t>
      </w:r>
      <w:r w:rsidR="00847453" w:rsidRPr="004C308D">
        <w:rPr>
          <w:rFonts w:ascii="Gill Sans MT" w:hAnsi="Gill Sans MT"/>
        </w:rPr>
        <w:t>neral Hospital is the principal</w:t>
      </w:r>
      <w:r w:rsidR="00DE2A66" w:rsidRPr="004C308D">
        <w:rPr>
          <w:rFonts w:ascii="Gill Sans MT" w:hAnsi="Gill Sans MT"/>
        </w:rPr>
        <w:t xml:space="preserve"> </w:t>
      </w:r>
      <w:r w:rsidR="00030C0E" w:rsidRPr="004C308D">
        <w:rPr>
          <w:rFonts w:ascii="Gill Sans MT" w:hAnsi="Gill Sans MT"/>
        </w:rPr>
        <w:t>referral hospital for the North and</w:t>
      </w:r>
      <w:r w:rsidR="00847453" w:rsidRPr="004C308D">
        <w:rPr>
          <w:rFonts w:ascii="Gill Sans MT" w:hAnsi="Gill Sans MT"/>
        </w:rPr>
        <w:t xml:space="preserve"> North West of Tasmania and</w:t>
      </w:r>
      <w:r w:rsidR="00030C0E" w:rsidRPr="004C308D">
        <w:rPr>
          <w:rFonts w:ascii="Gill Sans MT" w:hAnsi="Gill Sans MT"/>
        </w:rPr>
        <w:t xml:space="preserve"> provides a number of </w:t>
      </w:r>
      <w:r w:rsidR="007422BB" w:rsidRPr="004C308D">
        <w:rPr>
          <w:rFonts w:ascii="Gill Sans MT" w:hAnsi="Gill Sans MT"/>
        </w:rPr>
        <w:t>tertiary</w:t>
      </w:r>
      <w:r w:rsidR="00030C0E" w:rsidRPr="004C308D">
        <w:rPr>
          <w:rFonts w:ascii="Gill Sans MT" w:hAnsi="Gill Sans MT"/>
        </w:rPr>
        <w:t xml:space="preserve"> servic</w:t>
      </w:r>
      <w:r w:rsidR="009328F5" w:rsidRPr="004C308D">
        <w:rPr>
          <w:rFonts w:ascii="Gill Sans MT" w:hAnsi="Gill Sans MT"/>
        </w:rPr>
        <w:t>es for residents of tho</w:t>
      </w:r>
      <w:r w:rsidRPr="004C308D">
        <w:rPr>
          <w:rFonts w:ascii="Gill Sans MT" w:hAnsi="Gill Sans MT"/>
        </w:rPr>
        <w:t>se areas</w:t>
      </w:r>
      <w:r w:rsidR="003C0BF7" w:rsidRPr="004C308D">
        <w:rPr>
          <w:rFonts w:ascii="Gill Sans MT" w:hAnsi="Gill Sans MT"/>
        </w:rPr>
        <w:t>;</w:t>
      </w:r>
    </w:p>
    <w:p w:rsidR="00030C0E" w:rsidRPr="004C308D" w:rsidRDefault="003C59DD" w:rsidP="004C308D">
      <w:pPr>
        <w:pStyle w:val="ListParagraph"/>
        <w:numPr>
          <w:ilvl w:val="0"/>
          <w:numId w:val="27"/>
        </w:numPr>
        <w:spacing w:after="140" w:line="300" w:lineRule="atLeast"/>
        <w:ind w:left="357" w:right="0" w:hanging="357"/>
        <w:jc w:val="left"/>
        <w:rPr>
          <w:rFonts w:ascii="Gill Sans MT" w:hAnsi="Gill Sans MT"/>
        </w:rPr>
      </w:pPr>
      <w:r w:rsidRPr="004C308D">
        <w:rPr>
          <w:rFonts w:ascii="Gill Sans MT" w:hAnsi="Gill Sans MT"/>
        </w:rPr>
        <w:t>t</w:t>
      </w:r>
      <w:r w:rsidR="00030C0E" w:rsidRPr="004C308D">
        <w:rPr>
          <w:rFonts w:ascii="Gill Sans MT" w:hAnsi="Gill Sans MT"/>
        </w:rPr>
        <w:t>he North West Regional Hospital in Burnie provides acute general hospital se</w:t>
      </w:r>
      <w:r w:rsidR="009328F5" w:rsidRPr="004C308D">
        <w:rPr>
          <w:rFonts w:ascii="Gill Sans MT" w:hAnsi="Gill Sans MT"/>
        </w:rPr>
        <w:t>rvic</w:t>
      </w:r>
      <w:r w:rsidRPr="004C308D">
        <w:rPr>
          <w:rFonts w:ascii="Gill Sans MT" w:hAnsi="Gill Sans MT"/>
        </w:rPr>
        <w:t>es in the North West Region</w:t>
      </w:r>
      <w:r w:rsidR="003C0BF7" w:rsidRPr="004C308D">
        <w:rPr>
          <w:rFonts w:ascii="Gill Sans MT" w:hAnsi="Gill Sans MT"/>
        </w:rPr>
        <w:t>; and</w:t>
      </w:r>
    </w:p>
    <w:p w:rsidR="00030C0E" w:rsidRPr="004C308D" w:rsidRDefault="003C59DD" w:rsidP="004C308D">
      <w:pPr>
        <w:pStyle w:val="ListParagraph"/>
        <w:numPr>
          <w:ilvl w:val="0"/>
          <w:numId w:val="27"/>
        </w:numPr>
        <w:spacing w:after="140" w:line="300" w:lineRule="atLeast"/>
        <w:ind w:left="357" w:right="0" w:hanging="357"/>
        <w:jc w:val="left"/>
        <w:rPr>
          <w:rFonts w:ascii="Gill Sans MT" w:hAnsi="Gill Sans MT"/>
        </w:rPr>
      </w:pPr>
      <w:proofErr w:type="gramStart"/>
      <w:r w:rsidRPr="004C308D">
        <w:rPr>
          <w:rFonts w:ascii="Gill Sans MT" w:hAnsi="Gill Sans MT"/>
        </w:rPr>
        <w:t>t</w:t>
      </w:r>
      <w:r w:rsidR="00030C0E" w:rsidRPr="004C308D">
        <w:rPr>
          <w:rFonts w:ascii="Gill Sans MT" w:hAnsi="Gill Sans MT"/>
        </w:rPr>
        <w:t>he</w:t>
      </w:r>
      <w:proofErr w:type="gramEnd"/>
      <w:r w:rsidR="00030C0E" w:rsidRPr="004C308D">
        <w:rPr>
          <w:rFonts w:ascii="Gill Sans MT" w:hAnsi="Gill Sans MT"/>
        </w:rPr>
        <w:t xml:space="preserve"> Mersey Community Hospital at Latrobe </w:t>
      </w:r>
      <w:r w:rsidR="00DE2A66" w:rsidRPr="004C308D">
        <w:rPr>
          <w:rFonts w:ascii="Gill Sans MT" w:hAnsi="Gill Sans MT"/>
        </w:rPr>
        <w:t>is</w:t>
      </w:r>
      <w:r w:rsidR="005173D4" w:rsidRPr="004C308D">
        <w:rPr>
          <w:rFonts w:ascii="Gill Sans MT" w:hAnsi="Gill Sans MT"/>
        </w:rPr>
        <w:t xml:space="preserve"> a dedicated elective surgery </w:t>
      </w:r>
      <w:proofErr w:type="spellStart"/>
      <w:r w:rsidR="005173D4" w:rsidRPr="004C308D">
        <w:rPr>
          <w:rFonts w:ascii="Gill Sans MT" w:hAnsi="Gill Sans MT"/>
        </w:rPr>
        <w:t>centre</w:t>
      </w:r>
      <w:proofErr w:type="spellEnd"/>
      <w:r w:rsidR="005173D4" w:rsidRPr="004C308D">
        <w:rPr>
          <w:rFonts w:ascii="Gill Sans MT" w:hAnsi="Gill Sans MT"/>
        </w:rPr>
        <w:t xml:space="preserve"> for all Tasmanians and </w:t>
      </w:r>
      <w:r w:rsidR="00847453" w:rsidRPr="004C308D">
        <w:rPr>
          <w:rFonts w:ascii="Gill Sans MT" w:hAnsi="Gill Sans MT"/>
        </w:rPr>
        <w:t xml:space="preserve">will </w:t>
      </w:r>
      <w:r w:rsidR="005173D4" w:rsidRPr="004C308D">
        <w:rPr>
          <w:rFonts w:ascii="Gill Sans MT" w:hAnsi="Gill Sans MT"/>
        </w:rPr>
        <w:t>continue to provide</w:t>
      </w:r>
      <w:r w:rsidR="00030C0E" w:rsidRPr="004C308D">
        <w:rPr>
          <w:rFonts w:ascii="Gill Sans MT" w:hAnsi="Gill Sans MT"/>
        </w:rPr>
        <w:t xml:space="preserve"> a mix</w:t>
      </w:r>
      <w:r w:rsidR="00847453" w:rsidRPr="004C308D">
        <w:rPr>
          <w:rFonts w:ascii="Gill Sans MT" w:hAnsi="Gill Sans MT"/>
        </w:rPr>
        <w:t>ture</w:t>
      </w:r>
      <w:r w:rsidR="00030C0E" w:rsidRPr="004C308D">
        <w:rPr>
          <w:rFonts w:ascii="Gill Sans MT" w:hAnsi="Gill Sans MT"/>
        </w:rPr>
        <w:t xml:space="preserve"> of general hospital services to the local community.</w:t>
      </w:r>
    </w:p>
    <w:p w:rsidR="00030C0E" w:rsidRPr="006B31F3" w:rsidRDefault="00030C0E" w:rsidP="00AB6564">
      <w:pPr>
        <w:spacing w:after="140" w:line="300" w:lineRule="atLeast"/>
      </w:pPr>
      <w:r w:rsidRPr="006B31F3">
        <w:t xml:space="preserve">Sub-acute inpatient care is provided at the major hospitals and the THS’ network of rural hospitals (including multi-purpose services and multi-purpose centres). The rural hospitals also provide some emergency care as well as a wide range of community health services. Some rural facilities also provide residential aged care. </w:t>
      </w:r>
    </w:p>
    <w:p w:rsidR="00030C0E" w:rsidRPr="006B31F3" w:rsidRDefault="00030C0E" w:rsidP="00AB6564">
      <w:pPr>
        <w:spacing w:after="140" w:line="300" w:lineRule="atLeast"/>
      </w:pPr>
      <w:r w:rsidRPr="006B31F3">
        <w:t xml:space="preserve">The THS also provides </w:t>
      </w:r>
      <w:r w:rsidR="005A3FBD" w:rsidRPr="006B31F3">
        <w:t xml:space="preserve">a range of </w:t>
      </w:r>
      <w:r w:rsidRPr="006B31F3">
        <w:t xml:space="preserve">services at the community level </w:t>
      </w:r>
      <w:r w:rsidR="005A3FBD" w:rsidRPr="006B31F3">
        <w:t>that includes</w:t>
      </w:r>
      <w:r w:rsidR="0058061F" w:rsidRPr="006B31F3">
        <w:t xml:space="preserve"> </w:t>
      </w:r>
      <w:r w:rsidRPr="006B31F3">
        <w:t xml:space="preserve"> allied health, community nursing (including specialised nursing), home care, palliative care, dementia services, specialised case management services, aids and appliances and health promotion programs. These services are generally provided from community health centres and rural facilities, but can also be provided in patients’ homes, schools and workplaces.</w:t>
      </w:r>
    </w:p>
    <w:p w:rsidR="009328F5" w:rsidRPr="006B31F3" w:rsidRDefault="00725A73" w:rsidP="00AB6564">
      <w:pPr>
        <w:spacing w:after="140" w:line="300" w:lineRule="atLeast"/>
      </w:pPr>
      <w:r w:rsidRPr="006B31F3">
        <w:t>Appendix</w:t>
      </w:r>
      <w:r w:rsidR="009328F5" w:rsidRPr="006B31F3">
        <w:t xml:space="preserve"> </w:t>
      </w:r>
      <w:r w:rsidR="00740008" w:rsidRPr="006B31F3">
        <w:t>One</w:t>
      </w:r>
      <w:r w:rsidR="009328F5" w:rsidRPr="006B31F3">
        <w:t xml:space="preserve"> </w:t>
      </w:r>
      <w:r w:rsidR="004009BD" w:rsidRPr="006B31F3">
        <w:t>outline the specific services delivered under the following programs:</w:t>
      </w:r>
    </w:p>
    <w:p w:rsidR="00D75129" w:rsidRPr="004C308D" w:rsidRDefault="003C59DD" w:rsidP="004C308D">
      <w:pPr>
        <w:pStyle w:val="ListParagraph"/>
        <w:numPr>
          <w:ilvl w:val="0"/>
          <w:numId w:val="27"/>
        </w:numPr>
        <w:spacing w:after="140" w:line="300" w:lineRule="atLeast"/>
        <w:ind w:left="357" w:right="0" w:hanging="357"/>
        <w:jc w:val="left"/>
        <w:rPr>
          <w:rFonts w:ascii="Gill Sans MT" w:hAnsi="Gill Sans MT"/>
        </w:rPr>
      </w:pPr>
      <w:r w:rsidRPr="004C308D">
        <w:rPr>
          <w:rFonts w:ascii="Gill Sans MT" w:hAnsi="Gill Sans MT"/>
        </w:rPr>
        <w:t>Mental Health Services</w:t>
      </w:r>
      <w:r w:rsidR="0044428F" w:rsidRPr="004C308D">
        <w:rPr>
          <w:rFonts w:ascii="Gill Sans MT" w:hAnsi="Gill Sans MT"/>
        </w:rPr>
        <w:t>.</w:t>
      </w:r>
    </w:p>
    <w:p w:rsidR="00D75129" w:rsidRPr="004C308D" w:rsidRDefault="004009BD" w:rsidP="004C308D">
      <w:pPr>
        <w:pStyle w:val="ListParagraph"/>
        <w:numPr>
          <w:ilvl w:val="0"/>
          <w:numId w:val="27"/>
        </w:numPr>
        <w:spacing w:after="140" w:line="300" w:lineRule="atLeast"/>
        <w:ind w:left="357" w:right="0" w:hanging="357"/>
        <w:jc w:val="left"/>
        <w:rPr>
          <w:rFonts w:ascii="Gill Sans MT" w:hAnsi="Gill Sans MT"/>
        </w:rPr>
      </w:pPr>
      <w:r w:rsidRPr="004C308D">
        <w:rPr>
          <w:rFonts w:ascii="Gill Sans MT" w:hAnsi="Gill Sans MT"/>
        </w:rPr>
        <w:t xml:space="preserve">Alcohol and </w:t>
      </w:r>
      <w:r w:rsidR="00B96888" w:rsidRPr="004C308D">
        <w:rPr>
          <w:rFonts w:ascii="Gill Sans MT" w:hAnsi="Gill Sans MT"/>
        </w:rPr>
        <w:t>Drug</w:t>
      </w:r>
      <w:r w:rsidR="003C59DD" w:rsidRPr="004C308D">
        <w:rPr>
          <w:rFonts w:ascii="Gill Sans MT" w:hAnsi="Gill Sans MT"/>
        </w:rPr>
        <w:t xml:space="preserve"> Services</w:t>
      </w:r>
      <w:r w:rsidR="0044428F" w:rsidRPr="004C308D">
        <w:rPr>
          <w:rFonts w:ascii="Gill Sans MT" w:hAnsi="Gill Sans MT"/>
        </w:rPr>
        <w:t>.</w:t>
      </w:r>
    </w:p>
    <w:p w:rsidR="004009BD" w:rsidRPr="004C308D" w:rsidRDefault="00B96888" w:rsidP="004C308D">
      <w:pPr>
        <w:pStyle w:val="ListParagraph"/>
        <w:numPr>
          <w:ilvl w:val="0"/>
          <w:numId w:val="27"/>
        </w:numPr>
        <w:spacing w:after="140" w:line="300" w:lineRule="atLeast"/>
        <w:ind w:left="357" w:right="0" w:hanging="357"/>
        <w:jc w:val="left"/>
        <w:rPr>
          <w:rFonts w:ascii="Gill Sans MT" w:hAnsi="Gill Sans MT"/>
        </w:rPr>
      </w:pPr>
      <w:r w:rsidRPr="004C308D">
        <w:rPr>
          <w:rFonts w:ascii="Gill Sans MT" w:hAnsi="Gill Sans MT"/>
        </w:rPr>
        <w:t>Correctional Primary Health Services</w:t>
      </w:r>
    </w:p>
    <w:p w:rsidR="00B96888" w:rsidRPr="004C308D" w:rsidRDefault="003C59DD" w:rsidP="004C308D">
      <w:pPr>
        <w:pStyle w:val="ListParagraph"/>
        <w:numPr>
          <w:ilvl w:val="0"/>
          <w:numId w:val="27"/>
        </w:numPr>
        <w:spacing w:after="140" w:line="300" w:lineRule="atLeast"/>
        <w:ind w:left="357" w:right="0" w:hanging="357"/>
        <w:jc w:val="left"/>
        <w:rPr>
          <w:rFonts w:ascii="Gill Sans MT" w:hAnsi="Gill Sans MT"/>
        </w:rPr>
      </w:pPr>
      <w:r w:rsidRPr="004C308D">
        <w:rPr>
          <w:rFonts w:ascii="Gill Sans MT" w:hAnsi="Gill Sans MT"/>
        </w:rPr>
        <w:t>Forensic Mental Health Services</w:t>
      </w:r>
      <w:r w:rsidR="0044428F" w:rsidRPr="004C308D">
        <w:rPr>
          <w:rFonts w:ascii="Gill Sans MT" w:hAnsi="Gill Sans MT"/>
        </w:rPr>
        <w:t>.</w:t>
      </w:r>
    </w:p>
    <w:p w:rsidR="00B96888" w:rsidRPr="004C308D" w:rsidRDefault="003C59DD" w:rsidP="004C308D">
      <w:pPr>
        <w:pStyle w:val="ListParagraph"/>
        <w:numPr>
          <w:ilvl w:val="0"/>
          <w:numId w:val="27"/>
        </w:numPr>
        <w:spacing w:after="140" w:line="300" w:lineRule="atLeast"/>
        <w:ind w:left="357" w:right="0" w:hanging="357"/>
        <w:jc w:val="left"/>
        <w:rPr>
          <w:rFonts w:ascii="Gill Sans MT" w:hAnsi="Gill Sans MT"/>
        </w:rPr>
      </w:pPr>
      <w:r w:rsidRPr="004C308D">
        <w:rPr>
          <w:rFonts w:ascii="Gill Sans MT" w:hAnsi="Gill Sans MT"/>
        </w:rPr>
        <w:t>Oral Health Services</w:t>
      </w:r>
      <w:r w:rsidR="0044428F" w:rsidRPr="004C308D">
        <w:rPr>
          <w:rFonts w:ascii="Gill Sans MT" w:hAnsi="Gill Sans MT"/>
        </w:rPr>
        <w:t>.</w:t>
      </w:r>
    </w:p>
    <w:p w:rsidR="004009BD" w:rsidRPr="004C308D" w:rsidRDefault="004009BD" w:rsidP="004C308D">
      <w:pPr>
        <w:pStyle w:val="ListParagraph"/>
        <w:numPr>
          <w:ilvl w:val="0"/>
          <w:numId w:val="27"/>
        </w:numPr>
        <w:spacing w:after="140" w:line="300" w:lineRule="atLeast"/>
        <w:ind w:left="357" w:right="0" w:hanging="357"/>
        <w:jc w:val="left"/>
        <w:rPr>
          <w:rFonts w:ascii="Gill Sans MT" w:hAnsi="Gill Sans MT"/>
        </w:rPr>
      </w:pPr>
      <w:r w:rsidRPr="004C308D">
        <w:rPr>
          <w:rFonts w:ascii="Gill Sans MT" w:hAnsi="Gill Sans MT"/>
        </w:rPr>
        <w:t>Cancer Scr</w:t>
      </w:r>
      <w:r w:rsidR="003C59DD" w:rsidRPr="004C308D">
        <w:rPr>
          <w:rFonts w:ascii="Gill Sans MT" w:hAnsi="Gill Sans MT"/>
        </w:rPr>
        <w:t>eening and Control Services</w:t>
      </w:r>
      <w:r w:rsidR="0044428F" w:rsidRPr="004C308D">
        <w:rPr>
          <w:rFonts w:ascii="Gill Sans MT" w:hAnsi="Gill Sans MT"/>
        </w:rPr>
        <w:t>.</w:t>
      </w:r>
    </w:p>
    <w:p w:rsidR="005D739E" w:rsidRPr="004C308D" w:rsidRDefault="005D739E" w:rsidP="004C308D">
      <w:pPr>
        <w:pStyle w:val="ListParagraph"/>
        <w:numPr>
          <w:ilvl w:val="0"/>
          <w:numId w:val="27"/>
        </w:numPr>
        <w:spacing w:after="140" w:line="300" w:lineRule="atLeast"/>
        <w:ind w:left="357" w:right="0" w:hanging="357"/>
        <w:jc w:val="left"/>
        <w:rPr>
          <w:rFonts w:ascii="Gill Sans MT" w:hAnsi="Gill Sans MT"/>
        </w:rPr>
      </w:pPr>
      <w:r w:rsidRPr="004C308D">
        <w:rPr>
          <w:rFonts w:ascii="Gill Sans MT" w:hAnsi="Gill Sans MT"/>
        </w:rPr>
        <w:t>Child Health and Parenting Service</w:t>
      </w:r>
      <w:r w:rsidR="0044428F" w:rsidRPr="004C308D">
        <w:rPr>
          <w:rFonts w:ascii="Gill Sans MT" w:hAnsi="Gill Sans MT"/>
        </w:rPr>
        <w:t>.</w:t>
      </w:r>
    </w:p>
    <w:p w:rsidR="00645DB9" w:rsidRPr="004C308D" w:rsidRDefault="004009BD" w:rsidP="004C308D">
      <w:pPr>
        <w:pStyle w:val="ListParagraph"/>
        <w:numPr>
          <w:ilvl w:val="0"/>
          <w:numId w:val="27"/>
        </w:numPr>
        <w:spacing w:after="140" w:line="300" w:lineRule="atLeast"/>
        <w:ind w:left="357" w:right="0" w:hanging="357"/>
        <w:jc w:val="left"/>
        <w:rPr>
          <w:rFonts w:ascii="Gill Sans MT" w:hAnsi="Gill Sans MT"/>
        </w:rPr>
      </w:pPr>
      <w:r w:rsidRPr="004C308D">
        <w:rPr>
          <w:rFonts w:ascii="Gill Sans MT" w:hAnsi="Gill Sans MT"/>
        </w:rPr>
        <w:t>Primary Health Services</w:t>
      </w:r>
      <w:r w:rsidR="0044428F" w:rsidRPr="004C308D">
        <w:rPr>
          <w:rFonts w:ascii="Gill Sans MT" w:hAnsi="Gill Sans MT"/>
        </w:rPr>
        <w:t>.</w:t>
      </w:r>
    </w:p>
    <w:p w:rsidR="0015179D" w:rsidRDefault="000372A3" w:rsidP="00AB6564">
      <w:pPr>
        <w:pStyle w:val="Heading1"/>
        <w:spacing w:before="0" w:after="140" w:line="300" w:lineRule="atLeast"/>
        <w:rPr>
          <w:lang w:val="en-AU"/>
        </w:rPr>
      </w:pPr>
      <w:bookmarkStart w:id="41" w:name="_Toc488068398"/>
      <w:bookmarkStart w:id="42" w:name="_Toc423357986"/>
      <w:r>
        <w:rPr>
          <w:lang w:val="en-AU"/>
        </w:rPr>
        <w:t xml:space="preserve">Part C: </w:t>
      </w:r>
      <w:r w:rsidR="0015179D">
        <w:rPr>
          <w:lang w:val="en-AU"/>
        </w:rPr>
        <w:t>Performance Framework</w:t>
      </w:r>
      <w:bookmarkEnd w:id="41"/>
    </w:p>
    <w:p w:rsidR="00ED3478" w:rsidRDefault="00ED3478" w:rsidP="00AB6564">
      <w:pPr>
        <w:spacing w:after="140" w:line="300" w:lineRule="atLeast"/>
      </w:pPr>
      <w:r>
        <w:t xml:space="preserve">Under the Act, the THS GC is accountable to the Minister for Health and the Treasurer for the performance of its powers and functions.  This includes ensuring that the THS performs its functions and exercises its powers in a satisfactory manner and the monitoring of THS performance against the requirements of the service agreement. </w:t>
      </w:r>
    </w:p>
    <w:p w:rsidR="00ED3478" w:rsidRDefault="00ED3478" w:rsidP="00AB6564">
      <w:pPr>
        <w:spacing w:after="140" w:line="300" w:lineRule="atLeast"/>
      </w:pPr>
      <w:r>
        <w:t>The Department is responsible to the Minister in relation to the Act’s administration, and the Minister has delegated a number of performance related functions and powers to the Secretary of the Department in this context.  This is consistent with the State’s role as ‘system managers’ of the public hospital system, which includes system-wide public hospital performance.</w:t>
      </w:r>
    </w:p>
    <w:p w:rsidR="00ED3478" w:rsidRDefault="00ED3478" w:rsidP="00AB6564">
      <w:pPr>
        <w:spacing w:after="140" w:line="300" w:lineRule="atLeast"/>
      </w:pPr>
      <w:r>
        <w:t xml:space="preserve">The </w:t>
      </w:r>
      <w:r w:rsidRPr="0044428F">
        <w:rPr>
          <w:i/>
        </w:rPr>
        <w:t>Performance Framework</w:t>
      </w:r>
      <w:r>
        <w:t xml:space="preserve"> </w:t>
      </w:r>
      <w:r w:rsidR="00453094">
        <w:t xml:space="preserve">(2017) </w:t>
      </w:r>
      <w:r>
        <w:t xml:space="preserve">describes the relevant provisions of the Act as well as outlining how they will be practically implemented.  It provides a single, overarching administrative process through which the legislative framework established by the Act is translated into a consistent and transparent approach for the identification, monitoring and management of THS performance, including performance against the requirements of the service agreement.  It provides the THS with certainty regarding responses to identified performance issues, establishes a structure around the legislative performance interventions available and describes processes through which the escalation and de-escalation of identified performance issues occurs. </w:t>
      </w:r>
    </w:p>
    <w:p w:rsidR="00ED3478" w:rsidRDefault="00ED3478" w:rsidP="00AB6564">
      <w:pPr>
        <w:spacing w:after="140" w:line="300" w:lineRule="atLeast"/>
      </w:pPr>
      <w:r w:rsidRPr="00910084">
        <w:t xml:space="preserve">Whilst its primary focus is on the early identification and remediation of performance issues, equally, strong performance will be highlighted and acknowledged.  The Minister and the Secretary are committed to working with the </w:t>
      </w:r>
      <w:r>
        <w:t>THS GC</w:t>
      </w:r>
      <w:r w:rsidRPr="00910084">
        <w:t xml:space="preserve"> and the THS to drive high levels of performance whilst at the same time ensuring that performance issues are identified and acted upon in a timely manner</w:t>
      </w:r>
      <w:r>
        <w:t>.</w:t>
      </w:r>
    </w:p>
    <w:p w:rsidR="00ED3478" w:rsidRDefault="00ED3478" w:rsidP="00AB6564">
      <w:pPr>
        <w:spacing w:after="140" w:line="300" w:lineRule="atLeast"/>
      </w:pPr>
      <w:r>
        <w:t xml:space="preserve">While all efforts will be made to ensure the </w:t>
      </w:r>
      <w:r w:rsidRPr="0044428F">
        <w:rPr>
          <w:i/>
        </w:rPr>
        <w:t>Performance Framework</w:t>
      </w:r>
      <w:r>
        <w:t xml:space="preserve"> is consistently applied, it is not in itself a legislative requirement.  The Act provides the responsible Ministers with all required powers in relation to the performance management of the THS: they can at any time act in accordance with those powers, outside of the processes described in the Framework</w:t>
      </w:r>
      <w:r w:rsidRPr="00CB2482">
        <w:t>.</w:t>
      </w:r>
    </w:p>
    <w:p w:rsidR="00D773DD" w:rsidRDefault="00ED3478" w:rsidP="00AB6564">
      <w:pPr>
        <w:spacing w:after="140" w:line="300" w:lineRule="atLeast"/>
      </w:pPr>
      <w:r>
        <w:t xml:space="preserve">The THS and the THS GC must comply with the requirements of the </w:t>
      </w:r>
      <w:r w:rsidRPr="0044428F">
        <w:rPr>
          <w:i/>
        </w:rPr>
        <w:t>Performance Framework</w:t>
      </w:r>
      <w:r>
        <w:t xml:space="preserve">.  A copy of the </w:t>
      </w:r>
      <w:r w:rsidRPr="000804A1">
        <w:rPr>
          <w:i/>
        </w:rPr>
        <w:t>Performance Framework</w:t>
      </w:r>
      <w:r>
        <w:t xml:space="preserve"> can be located at</w:t>
      </w:r>
      <w:r w:rsidR="00AB6564">
        <w:t xml:space="preserve"> </w:t>
      </w:r>
      <w:hyperlink r:id="rId12" w:history="1">
        <w:r w:rsidR="00D773DD" w:rsidRPr="002A2F56">
          <w:rPr>
            <w:rStyle w:val="Hyperlink"/>
          </w:rPr>
          <w:t>http://www.dhhs.tas.gov.au/ths/service_agreements</w:t>
        </w:r>
      </w:hyperlink>
      <w:r w:rsidR="00D773DD">
        <w:t>.</w:t>
      </w:r>
    </w:p>
    <w:p w:rsidR="000372A3" w:rsidRDefault="0015179D" w:rsidP="00612F7B">
      <w:pPr>
        <w:pStyle w:val="Heading1"/>
        <w:spacing w:before="0" w:after="140" w:line="300" w:lineRule="atLeast"/>
        <w:rPr>
          <w:lang w:val="en-AU"/>
        </w:rPr>
      </w:pPr>
      <w:bookmarkStart w:id="43" w:name="_Toc488068399"/>
      <w:r>
        <w:rPr>
          <w:lang w:val="en-AU"/>
        </w:rPr>
        <w:t xml:space="preserve">Part D: </w:t>
      </w:r>
      <w:r w:rsidR="000372A3">
        <w:rPr>
          <w:lang w:val="en-AU"/>
        </w:rPr>
        <w:t>Statement of Purchaser Intent</w:t>
      </w:r>
      <w:r w:rsidR="00E5050C">
        <w:rPr>
          <w:lang w:val="en-AU"/>
        </w:rPr>
        <w:t xml:space="preserve"> (</w:t>
      </w:r>
      <w:proofErr w:type="spellStart"/>
      <w:r w:rsidR="00E5050C">
        <w:rPr>
          <w:lang w:val="en-AU"/>
        </w:rPr>
        <w:t>SoPI</w:t>
      </w:r>
      <w:proofErr w:type="spellEnd"/>
      <w:r w:rsidR="00E5050C">
        <w:rPr>
          <w:lang w:val="en-AU"/>
        </w:rPr>
        <w:t>)</w:t>
      </w:r>
      <w:bookmarkEnd w:id="43"/>
    </w:p>
    <w:p w:rsidR="00D97710" w:rsidRPr="00910084" w:rsidRDefault="00D97710" w:rsidP="00612F7B">
      <w:pPr>
        <w:spacing w:after="140" w:line="300" w:lineRule="atLeast"/>
      </w:pPr>
      <w:r w:rsidRPr="00910084">
        <w:t xml:space="preserve">As </w:t>
      </w:r>
      <w:r>
        <w:t>s</w:t>
      </w:r>
      <w:r w:rsidRPr="00910084">
        <w:t xml:space="preserve">ystem </w:t>
      </w:r>
      <w:r>
        <w:t>m</w:t>
      </w:r>
      <w:r w:rsidRPr="00910084">
        <w:t>anager</w:t>
      </w:r>
      <w:r>
        <w:t xml:space="preserve"> and purchaser of services</w:t>
      </w:r>
      <w:r w:rsidRPr="00910084">
        <w:t xml:space="preserve">, </w:t>
      </w:r>
      <w:r>
        <w:t>the Department has a clear r</w:t>
      </w:r>
      <w:r w:rsidRPr="00910084">
        <w:t xml:space="preserve">esponsibility </w:t>
      </w:r>
      <w:r>
        <w:t>to ensure it is focussing on the health needs of the population of the State of Tasmania</w:t>
      </w:r>
      <w:r w:rsidRPr="00910084">
        <w:t>.</w:t>
      </w:r>
    </w:p>
    <w:p w:rsidR="00D97710" w:rsidRPr="00F51AB2" w:rsidRDefault="00D97710" w:rsidP="00612F7B">
      <w:pPr>
        <w:spacing w:after="140" w:line="300" w:lineRule="atLeast"/>
      </w:pPr>
      <w:r>
        <w:t>A key</w:t>
      </w:r>
      <w:r w:rsidRPr="004F6AD6">
        <w:t xml:space="preserve"> mechanism for system management is through informed, appropriate purchasing.</w:t>
      </w:r>
      <w:r>
        <w:t xml:space="preserve"> </w:t>
      </w:r>
      <w:r w:rsidRPr="004F6AD6">
        <w:t xml:space="preserve">The nature and volume of services purchased will impact on the effectiveness and </w:t>
      </w:r>
      <w:r w:rsidRPr="00D97710">
        <w:t>value-for-money</w:t>
      </w:r>
      <w:r w:rsidRPr="004F6AD6">
        <w:t xml:space="preserve"> of the Tasmanian health system</w:t>
      </w:r>
      <w:r w:rsidRPr="00D97710">
        <w:t>.</w:t>
      </w:r>
      <w:r>
        <w:t xml:space="preserve"> </w:t>
      </w:r>
      <w:r w:rsidRPr="004F6AD6">
        <w:t>However, purchasing</w:t>
      </w:r>
      <w:r w:rsidRPr="00F51AB2">
        <w:t xml:space="preserve"> is a necessarily transactional process, and so must be contextualised to be effective as a mechanism to enact Government policy in health, and to ensure that purchasing decisions reflect the application of a longer term strategy. </w:t>
      </w:r>
      <w:r w:rsidRPr="00D97710">
        <w:t xml:space="preserve">As part of this purchasing process, the Department </w:t>
      </w:r>
      <w:r w:rsidRPr="00F51AB2">
        <w:t xml:space="preserve">must also signal as far as possible its future purchasing intentions </w:t>
      </w:r>
      <w:r w:rsidRPr="00D97710">
        <w:t>to support</w:t>
      </w:r>
      <w:r w:rsidRPr="00F51AB2">
        <w:t xml:space="preserve"> service providers</w:t>
      </w:r>
      <w:r w:rsidRPr="00D97710">
        <w:t>’ planning capacities.</w:t>
      </w:r>
      <w:r w:rsidRPr="00F51AB2">
        <w:t xml:space="preserve"> </w:t>
      </w:r>
    </w:p>
    <w:p w:rsidR="00D97710" w:rsidRDefault="00D97710" w:rsidP="00612F7B">
      <w:pPr>
        <w:spacing w:after="140" w:line="300" w:lineRule="atLeast"/>
        <w:jc w:val="both"/>
      </w:pPr>
      <w:r w:rsidRPr="00F51AB2">
        <w:t xml:space="preserve">The </w:t>
      </w:r>
      <w:r w:rsidRPr="00BE165C">
        <w:rPr>
          <w:i/>
        </w:rPr>
        <w:t xml:space="preserve">Statement of Purchaser Intent </w:t>
      </w:r>
      <w:r w:rsidRPr="00612F7B">
        <w:t>(</w:t>
      </w:r>
      <w:proofErr w:type="spellStart"/>
      <w:r w:rsidRPr="00612F7B">
        <w:t>SoPI</w:t>
      </w:r>
      <w:proofErr w:type="spellEnd"/>
      <w:r w:rsidRPr="00612F7B">
        <w:t>)</w:t>
      </w:r>
      <w:r>
        <w:t xml:space="preserve"> document</w:t>
      </w:r>
      <w:r w:rsidRPr="00F51AB2">
        <w:t xml:space="preserve"> acts as the bridge between the </w:t>
      </w:r>
      <w:r w:rsidR="00612F7B">
        <w:t>s</w:t>
      </w:r>
      <w:r w:rsidRPr="00F51AB2">
        <w:t xml:space="preserve">trategic </w:t>
      </w:r>
      <w:r w:rsidR="00612F7B">
        <w:t>p</w:t>
      </w:r>
      <w:r w:rsidRPr="00F51AB2">
        <w:t xml:space="preserve">riorities of the Health System and the </w:t>
      </w:r>
      <w:r>
        <w:rPr>
          <w:lang w:val="en-US"/>
        </w:rPr>
        <w:t xml:space="preserve">transactional activity </w:t>
      </w:r>
      <w:r w:rsidRPr="00F51AB2">
        <w:t>of purchasing.</w:t>
      </w:r>
    </w:p>
    <w:p w:rsidR="00D97710" w:rsidRPr="00910084" w:rsidRDefault="00D97710" w:rsidP="00612F7B">
      <w:pPr>
        <w:spacing w:after="140" w:line="300" w:lineRule="atLeast"/>
        <w:jc w:val="both"/>
      </w:pPr>
      <w:r w:rsidRPr="00910084">
        <w:t xml:space="preserve">The </w:t>
      </w:r>
      <w:proofErr w:type="spellStart"/>
      <w:r w:rsidRPr="00BE165C">
        <w:t>SoPI</w:t>
      </w:r>
      <w:proofErr w:type="spellEnd"/>
      <w:r w:rsidRPr="00910084">
        <w:t xml:space="preserve"> serves a number of functions:</w:t>
      </w:r>
    </w:p>
    <w:p w:rsidR="00D97710" w:rsidRPr="004C308D" w:rsidRDefault="00D97710" w:rsidP="004C308D">
      <w:pPr>
        <w:pStyle w:val="ListParagraph"/>
        <w:numPr>
          <w:ilvl w:val="0"/>
          <w:numId w:val="27"/>
        </w:numPr>
        <w:spacing w:after="140" w:line="300" w:lineRule="atLeast"/>
        <w:ind w:left="357" w:right="0" w:hanging="357"/>
        <w:jc w:val="left"/>
        <w:rPr>
          <w:rFonts w:ascii="Gill Sans MT" w:hAnsi="Gill Sans MT"/>
        </w:rPr>
      </w:pPr>
      <w:r w:rsidRPr="004C308D">
        <w:rPr>
          <w:rFonts w:ascii="Gill Sans MT" w:hAnsi="Gill Sans MT"/>
        </w:rPr>
        <w:t>it is a synthesis of Government priorities and a response to health trends across the State;</w:t>
      </w:r>
    </w:p>
    <w:p w:rsidR="00DE2A66" w:rsidRPr="004C308D" w:rsidRDefault="00D97710" w:rsidP="004C308D">
      <w:pPr>
        <w:pStyle w:val="ListParagraph"/>
        <w:numPr>
          <w:ilvl w:val="0"/>
          <w:numId w:val="27"/>
        </w:numPr>
        <w:spacing w:after="140" w:line="300" w:lineRule="atLeast"/>
        <w:ind w:left="357" w:right="0" w:hanging="357"/>
        <w:jc w:val="left"/>
        <w:rPr>
          <w:rFonts w:ascii="Gill Sans MT" w:hAnsi="Gill Sans MT"/>
        </w:rPr>
      </w:pPr>
      <w:r w:rsidRPr="004C308D">
        <w:rPr>
          <w:rFonts w:ascii="Gill Sans MT" w:hAnsi="Gill Sans MT"/>
        </w:rPr>
        <w:t xml:space="preserve">it signals the Department’s intentions over </w:t>
      </w:r>
      <w:r w:rsidR="00DE2A66" w:rsidRPr="004C308D">
        <w:rPr>
          <w:rFonts w:ascii="Gill Sans MT" w:hAnsi="Gill Sans MT"/>
        </w:rPr>
        <w:t>the next five years;</w:t>
      </w:r>
    </w:p>
    <w:p w:rsidR="00D97710" w:rsidRPr="004C308D" w:rsidRDefault="00DE2A66" w:rsidP="004C308D">
      <w:pPr>
        <w:pStyle w:val="ListParagraph"/>
        <w:numPr>
          <w:ilvl w:val="0"/>
          <w:numId w:val="27"/>
        </w:numPr>
        <w:spacing w:after="140" w:line="300" w:lineRule="atLeast"/>
        <w:ind w:left="357" w:right="0" w:hanging="357"/>
        <w:jc w:val="left"/>
        <w:rPr>
          <w:rFonts w:ascii="Gill Sans MT" w:hAnsi="Gill Sans MT"/>
        </w:rPr>
      </w:pPr>
      <w:r w:rsidRPr="004C308D">
        <w:rPr>
          <w:rFonts w:ascii="Gill Sans MT" w:hAnsi="Gill Sans MT"/>
        </w:rPr>
        <w:t xml:space="preserve">it </w:t>
      </w:r>
      <w:r w:rsidR="00D97710" w:rsidRPr="004C308D">
        <w:rPr>
          <w:rFonts w:ascii="Gill Sans MT" w:hAnsi="Gill Sans MT"/>
        </w:rPr>
        <w:t>assist</w:t>
      </w:r>
      <w:r w:rsidRPr="004C308D">
        <w:rPr>
          <w:rFonts w:ascii="Gill Sans MT" w:hAnsi="Gill Sans MT"/>
        </w:rPr>
        <w:t>s</w:t>
      </w:r>
      <w:r w:rsidR="00D97710" w:rsidRPr="004C308D">
        <w:rPr>
          <w:rFonts w:ascii="Gill Sans MT" w:hAnsi="Gill Sans MT"/>
        </w:rPr>
        <w:t xml:space="preserve"> the THS with its forward planning; </w:t>
      </w:r>
    </w:p>
    <w:p w:rsidR="00D97710" w:rsidRPr="004C308D" w:rsidRDefault="00D97710" w:rsidP="004C308D">
      <w:pPr>
        <w:pStyle w:val="ListParagraph"/>
        <w:numPr>
          <w:ilvl w:val="0"/>
          <w:numId w:val="27"/>
        </w:numPr>
        <w:spacing w:after="140" w:line="300" w:lineRule="atLeast"/>
        <w:ind w:left="357" w:right="0" w:hanging="357"/>
        <w:jc w:val="left"/>
        <w:rPr>
          <w:rFonts w:ascii="Gill Sans MT" w:hAnsi="Gill Sans MT"/>
        </w:rPr>
      </w:pPr>
      <w:r w:rsidRPr="004C308D">
        <w:rPr>
          <w:rFonts w:ascii="Gill Sans MT" w:hAnsi="Gill Sans MT"/>
        </w:rPr>
        <w:t>it articulates purchasing intent in specific and measurable terms in order that the Department is able to clearly ascertain and acco</w:t>
      </w:r>
      <w:r w:rsidR="00FD39FE" w:rsidRPr="004C308D">
        <w:rPr>
          <w:rFonts w:ascii="Gill Sans MT" w:hAnsi="Gill Sans MT"/>
        </w:rPr>
        <w:t>unt for what is being purchased;</w:t>
      </w:r>
    </w:p>
    <w:p w:rsidR="00D97710" w:rsidRPr="004C308D" w:rsidRDefault="00D97710" w:rsidP="004C308D">
      <w:pPr>
        <w:pStyle w:val="ListParagraph"/>
        <w:numPr>
          <w:ilvl w:val="0"/>
          <w:numId w:val="27"/>
        </w:numPr>
        <w:spacing w:after="140" w:line="300" w:lineRule="atLeast"/>
        <w:ind w:left="357" w:right="0" w:hanging="357"/>
        <w:jc w:val="left"/>
        <w:rPr>
          <w:rFonts w:ascii="Gill Sans MT" w:hAnsi="Gill Sans MT"/>
        </w:rPr>
      </w:pPr>
      <w:r w:rsidRPr="004C308D">
        <w:rPr>
          <w:rFonts w:ascii="Gill Sans MT" w:hAnsi="Gill Sans MT"/>
        </w:rPr>
        <w:t>it creates the basis for the service agreement between the Minister for Health and the THS GC, and</w:t>
      </w:r>
    </w:p>
    <w:p w:rsidR="00D97710" w:rsidRPr="004C308D" w:rsidRDefault="00D97710" w:rsidP="004C308D">
      <w:pPr>
        <w:pStyle w:val="ListParagraph"/>
        <w:numPr>
          <w:ilvl w:val="0"/>
          <w:numId w:val="27"/>
        </w:numPr>
        <w:spacing w:after="140" w:line="300" w:lineRule="atLeast"/>
        <w:ind w:left="357" w:right="0" w:hanging="357"/>
        <w:jc w:val="left"/>
        <w:rPr>
          <w:rFonts w:ascii="Gill Sans MT" w:hAnsi="Gill Sans MT"/>
        </w:rPr>
      </w:pPr>
      <w:proofErr w:type="gramStart"/>
      <w:r w:rsidRPr="004C308D">
        <w:rPr>
          <w:rFonts w:ascii="Gill Sans MT" w:hAnsi="Gill Sans MT"/>
        </w:rPr>
        <w:t>it</w:t>
      </w:r>
      <w:proofErr w:type="gramEnd"/>
      <w:r w:rsidRPr="004C308D">
        <w:rPr>
          <w:rFonts w:ascii="Gill Sans MT" w:hAnsi="Gill Sans MT"/>
        </w:rPr>
        <w:t xml:space="preserve"> is a living document that will be updated and amended as we improve our understanding and articulation of the needs of the State</w:t>
      </w:r>
      <w:r w:rsidR="00724B01" w:rsidRPr="004C308D">
        <w:rPr>
          <w:rFonts w:ascii="Gill Sans MT" w:hAnsi="Gill Sans MT"/>
        </w:rPr>
        <w:t>.</w:t>
      </w:r>
      <w:r w:rsidRPr="004C308D">
        <w:rPr>
          <w:rFonts w:ascii="Gill Sans MT" w:hAnsi="Gill Sans MT"/>
        </w:rPr>
        <w:t xml:space="preserve"> </w:t>
      </w:r>
    </w:p>
    <w:p w:rsidR="00D97710" w:rsidRPr="001F4897" w:rsidRDefault="00D97710" w:rsidP="00612F7B">
      <w:pPr>
        <w:tabs>
          <w:tab w:val="left" w:pos="1134"/>
        </w:tabs>
        <w:spacing w:after="140" w:line="300" w:lineRule="atLeast"/>
        <w:jc w:val="both"/>
      </w:pPr>
      <w:r w:rsidRPr="001F4897">
        <w:t xml:space="preserve">The </w:t>
      </w:r>
      <w:proofErr w:type="spellStart"/>
      <w:r w:rsidRPr="001F4897">
        <w:t>SoPI</w:t>
      </w:r>
      <w:proofErr w:type="spellEnd"/>
      <w:r w:rsidRPr="001F4897">
        <w:t xml:space="preserve"> (2017-18) articulates the purchasing intentions of the DHHS in the following broad groupings:</w:t>
      </w:r>
    </w:p>
    <w:p w:rsidR="00D97710" w:rsidRPr="004C308D" w:rsidRDefault="00612F7B" w:rsidP="004C308D">
      <w:pPr>
        <w:pStyle w:val="ListParagraph"/>
        <w:numPr>
          <w:ilvl w:val="0"/>
          <w:numId w:val="27"/>
        </w:numPr>
        <w:spacing w:after="140" w:line="300" w:lineRule="atLeast"/>
        <w:ind w:left="357" w:right="0" w:hanging="357"/>
        <w:jc w:val="left"/>
        <w:rPr>
          <w:rFonts w:ascii="Gill Sans MT" w:hAnsi="Gill Sans MT"/>
        </w:rPr>
      </w:pPr>
      <w:r w:rsidRPr="004C308D">
        <w:rPr>
          <w:rFonts w:ascii="Gill Sans MT" w:hAnsi="Gill Sans MT"/>
        </w:rPr>
        <w:t>c</w:t>
      </w:r>
      <w:r w:rsidR="00D97710" w:rsidRPr="004C308D">
        <w:rPr>
          <w:rFonts w:ascii="Gill Sans MT" w:hAnsi="Gill Sans MT"/>
        </w:rPr>
        <w:t xml:space="preserve">hronic </w:t>
      </w:r>
      <w:r w:rsidRPr="004C308D">
        <w:rPr>
          <w:rFonts w:ascii="Gill Sans MT" w:hAnsi="Gill Sans MT"/>
        </w:rPr>
        <w:t>d</w:t>
      </w:r>
      <w:r w:rsidR="00D97710" w:rsidRPr="004C308D">
        <w:rPr>
          <w:rFonts w:ascii="Gill Sans MT" w:hAnsi="Gill Sans MT"/>
        </w:rPr>
        <w:t>isease</w:t>
      </w:r>
    </w:p>
    <w:p w:rsidR="00D97710" w:rsidRPr="004C308D" w:rsidRDefault="00612F7B" w:rsidP="004C308D">
      <w:pPr>
        <w:pStyle w:val="ListParagraph"/>
        <w:numPr>
          <w:ilvl w:val="0"/>
          <w:numId w:val="27"/>
        </w:numPr>
        <w:spacing w:after="140" w:line="300" w:lineRule="atLeast"/>
        <w:ind w:left="357" w:right="0" w:hanging="357"/>
        <w:jc w:val="left"/>
        <w:rPr>
          <w:rFonts w:ascii="Gill Sans MT" w:hAnsi="Gill Sans MT"/>
        </w:rPr>
      </w:pPr>
      <w:r w:rsidRPr="004C308D">
        <w:rPr>
          <w:rFonts w:ascii="Gill Sans MT" w:hAnsi="Gill Sans MT"/>
        </w:rPr>
        <w:t>e</w:t>
      </w:r>
      <w:r w:rsidR="00D97710" w:rsidRPr="004C308D">
        <w:rPr>
          <w:rFonts w:ascii="Gill Sans MT" w:hAnsi="Gill Sans MT"/>
        </w:rPr>
        <w:t xml:space="preserve">lective </w:t>
      </w:r>
      <w:r w:rsidRPr="004C308D">
        <w:rPr>
          <w:rFonts w:ascii="Gill Sans MT" w:hAnsi="Gill Sans MT"/>
        </w:rPr>
        <w:t>s</w:t>
      </w:r>
      <w:r w:rsidR="00D97710" w:rsidRPr="004C308D">
        <w:rPr>
          <w:rFonts w:ascii="Gill Sans MT" w:hAnsi="Gill Sans MT"/>
        </w:rPr>
        <w:t>urgery</w:t>
      </w:r>
    </w:p>
    <w:p w:rsidR="00D97710" w:rsidRPr="004C308D" w:rsidRDefault="00453094" w:rsidP="004C308D">
      <w:pPr>
        <w:pStyle w:val="ListParagraph"/>
        <w:numPr>
          <w:ilvl w:val="0"/>
          <w:numId w:val="27"/>
        </w:numPr>
        <w:spacing w:after="140" w:line="300" w:lineRule="atLeast"/>
        <w:ind w:left="357" w:right="0" w:hanging="357"/>
        <w:jc w:val="left"/>
        <w:rPr>
          <w:rFonts w:ascii="Gill Sans MT" w:hAnsi="Gill Sans MT"/>
        </w:rPr>
      </w:pPr>
      <w:r>
        <w:rPr>
          <w:rFonts w:ascii="Gill Sans MT" w:hAnsi="Gill Sans MT"/>
        </w:rPr>
        <w:t xml:space="preserve">additional </w:t>
      </w:r>
      <w:r w:rsidR="00D97710" w:rsidRPr="004C308D">
        <w:rPr>
          <w:rFonts w:ascii="Gill Sans MT" w:hAnsi="Gill Sans MT"/>
        </w:rPr>
        <w:t>Government priorities</w:t>
      </w:r>
    </w:p>
    <w:p w:rsidR="00D97710" w:rsidRPr="00D42EB6" w:rsidRDefault="00D97710" w:rsidP="00612F7B">
      <w:pPr>
        <w:tabs>
          <w:tab w:val="left" w:pos="1134"/>
        </w:tabs>
        <w:spacing w:after="140" w:line="300" w:lineRule="atLeast"/>
        <w:jc w:val="both"/>
        <w:rPr>
          <w:szCs w:val="24"/>
        </w:rPr>
      </w:pPr>
      <w:r w:rsidRPr="00D42EB6">
        <w:rPr>
          <w:szCs w:val="24"/>
        </w:rPr>
        <w:t xml:space="preserve">The </w:t>
      </w:r>
      <w:r w:rsidR="00612F7B">
        <w:rPr>
          <w:szCs w:val="24"/>
        </w:rPr>
        <w:t>c</w:t>
      </w:r>
      <w:r>
        <w:rPr>
          <w:szCs w:val="24"/>
        </w:rPr>
        <w:t xml:space="preserve">hronic </w:t>
      </w:r>
      <w:r w:rsidR="00612F7B">
        <w:rPr>
          <w:szCs w:val="24"/>
        </w:rPr>
        <w:t>d</w:t>
      </w:r>
      <w:r>
        <w:rPr>
          <w:szCs w:val="24"/>
        </w:rPr>
        <w:t xml:space="preserve">isease </w:t>
      </w:r>
      <w:r w:rsidRPr="00D42EB6">
        <w:rPr>
          <w:szCs w:val="24"/>
        </w:rPr>
        <w:t xml:space="preserve">purchasing intentions of </w:t>
      </w:r>
      <w:r>
        <w:rPr>
          <w:szCs w:val="24"/>
        </w:rPr>
        <w:t xml:space="preserve">the </w:t>
      </w:r>
      <w:proofErr w:type="spellStart"/>
      <w:r w:rsidRPr="004A11E8">
        <w:rPr>
          <w:szCs w:val="24"/>
        </w:rPr>
        <w:t>SoPI</w:t>
      </w:r>
      <w:proofErr w:type="spellEnd"/>
      <w:r w:rsidRPr="004A11E8">
        <w:rPr>
          <w:szCs w:val="24"/>
        </w:rPr>
        <w:t xml:space="preserve"> (2017-18</w:t>
      </w:r>
      <w:r>
        <w:rPr>
          <w:szCs w:val="24"/>
        </w:rPr>
        <w:t xml:space="preserve">) are </w:t>
      </w:r>
      <w:r w:rsidRPr="00D42EB6">
        <w:rPr>
          <w:szCs w:val="24"/>
        </w:rPr>
        <w:t>shaped primarily by the greatest burden of disease for Tasmanians</w:t>
      </w:r>
      <w:r>
        <w:rPr>
          <w:szCs w:val="24"/>
        </w:rPr>
        <w:t xml:space="preserve"> with specific focus on those conditions that account for 80% of the burden for both </w:t>
      </w:r>
      <w:r w:rsidR="00612F7B">
        <w:rPr>
          <w:szCs w:val="24"/>
        </w:rPr>
        <w:t>f</w:t>
      </w:r>
      <w:r>
        <w:rPr>
          <w:szCs w:val="24"/>
        </w:rPr>
        <w:t xml:space="preserve">atal and </w:t>
      </w:r>
      <w:r w:rsidR="00612F7B">
        <w:rPr>
          <w:szCs w:val="24"/>
        </w:rPr>
        <w:t>n</w:t>
      </w:r>
      <w:r>
        <w:rPr>
          <w:szCs w:val="24"/>
        </w:rPr>
        <w:t>on-</w:t>
      </w:r>
      <w:r w:rsidR="00612F7B">
        <w:rPr>
          <w:szCs w:val="24"/>
        </w:rPr>
        <w:t>f</w:t>
      </w:r>
      <w:r>
        <w:rPr>
          <w:szCs w:val="24"/>
        </w:rPr>
        <w:t>atal</w:t>
      </w:r>
      <w:r w:rsidR="00E84FE5">
        <w:rPr>
          <w:szCs w:val="24"/>
        </w:rPr>
        <w:t xml:space="preserve"> categories.</w:t>
      </w:r>
    </w:p>
    <w:p w:rsidR="00D97710" w:rsidRDefault="00D97710" w:rsidP="00612F7B">
      <w:pPr>
        <w:tabs>
          <w:tab w:val="left" w:pos="1134"/>
        </w:tabs>
        <w:spacing w:after="140" w:line="300" w:lineRule="atLeast"/>
        <w:jc w:val="both"/>
        <w:rPr>
          <w:szCs w:val="24"/>
        </w:rPr>
      </w:pPr>
      <w:r>
        <w:rPr>
          <w:szCs w:val="24"/>
        </w:rPr>
        <w:t xml:space="preserve">Elective </w:t>
      </w:r>
      <w:r w:rsidR="00612F7B">
        <w:rPr>
          <w:szCs w:val="24"/>
        </w:rPr>
        <w:t>s</w:t>
      </w:r>
      <w:r>
        <w:rPr>
          <w:szCs w:val="24"/>
        </w:rPr>
        <w:t xml:space="preserve">urgery will focus on provision of sufficient volume to maintain wait lists at the </w:t>
      </w:r>
      <w:r w:rsidR="00453094">
        <w:rPr>
          <w:szCs w:val="24"/>
        </w:rPr>
        <w:t>targeted levels</w:t>
      </w:r>
      <w:r>
        <w:rPr>
          <w:szCs w:val="24"/>
        </w:rPr>
        <w:t xml:space="preserve"> via the Tasmanian Health Assistance Package (THAP) and Rebuilding Health Services Tasmania (RHST) funding</w:t>
      </w:r>
      <w:r w:rsidR="00453094">
        <w:rPr>
          <w:szCs w:val="24"/>
        </w:rPr>
        <w:t xml:space="preserve"> as at 30 June 2017</w:t>
      </w:r>
      <w:r>
        <w:rPr>
          <w:szCs w:val="24"/>
        </w:rPr>
        <w:t xml:space="preserve">. </w:t>
      </w:r>
    </w:p>
    <w:p w:rsidR="00D97710" w:rsidRDefault="00D97710" w:rsidP="00612F7B">
      <w:pPr>
        <w:spacing w:after="140" w:line="300" w:lineRule="atLeast"/>
      </w:pPr>
      <w:r>
        <w:t>The One State, One Health System, Better Outcomes – ‘</w:t>
      </w:r>
      <w:r w:rsidRPr="00D97710">
        <w:rPr>
          <w:i/>
        </w:rPr>
        <w:t>White Paper: Delivering Safe and Sustainable Clinical Services</w:t>
      </w:r>
      <w:r w:rsidRPr="00D97710">
        <w:t>’</w:t>
      </w:r>
      <w:r>
        <w:t xml:space="preserve"> (June 2015) Health Reform identified a number of services where key changes are required to ensure the state-wide delivery of evidence-based, quality and safe care. </w:t>
      </w:r>
      <w:r w:rsidRPr="00D97710">
        <w:t xml:space="preserve"> Specific purchasing actions have been identified as recommended in the White Paper.</w:t>
      </w:r>
      <w:r>
        <w:t xml:space="preserve"> </w:t>
      </w:r>
    </w:p>
    <w:p w:rsidR="00D97710" w:rsidRDefault="00D97710" w:rsidP="00612F7B">
      <w:pPr>
        <w:spacing w:after="140" w:line="300" w:lineRule="atLeast"/>
      </w:pPr>
      <w:r>
        <w:t>Actions in relation to the management of demand in Emergency Departments and improved whole-of-hospital patient flow will be consistent with actions announced under the Patients First Initiative (Stages 1 and 2).</w:t>
      </w:r>
    </w:p>
    <w:p w:rsidR="00910084" w:rsidRDefault="00D97710" w:rsidP="00612F7B">
      <w:pPr>
        <w:spacing w:after="140" w:line="300" w:lineRule="atLeast"/>
      </w:pPr>
      <w:r>
        <w:t xml:space="preserve">Further information on specific </w:t>
      </w:r>
      <w:proofErr w:type="spellStart"/>
      <w:r w:rsidRPr="00D47207">
        <w:t>SoPI</w:t>
      </w:r>
      <w:proofErr w:type="spellEnd"/>
      <w:r w:rsidRPr="00D47207">
        <w:t xml:space="preserve"> (2017-18) priorities</w:t>
      </w:r>
      <w:r w:rsidRPr="00D97710">
        <w:t xml:space="preserve"> </w:t>
      </w:r>
      <w:r>
        <w:t>is provided at Part E of this Agreement.</w:t>
      </w:r>
    </w:p>
    <w:p w:rsidR="00AC103A" w:rsidRDefault="00AC103A" w:rsidP="006568DB">
      <w:pPr>
        <w:pStyle w:val="Heading1"/>
        <w:spacing w:before="0" w:after="120" w:line="300" w:lineRule="atLeast"/>
        <w:rPr>
          <w:lang w:val="en-AU"/>
        </w:rPr>
      </w:pPr>
      <w:bookmarkStart w:id="44" w:name="_Toc488068400"/>
      <w:r>
        <w:rPr>
          <w:lang w:val="en-AU"/>
        </w:rPr>
        <w:t xml:space="preserve">Part </w:t>
      </w:r>
      <w:r w:rsidR="00990EB6">
        <w:rPr>
          <w:lang w:val="en-AU"/>
        </w:rPr>
        <w:t>E</w:t>
      </w:r>
      <w:r w:rsidR="00025AB4">
        <w:rPr>
          <w:lang w:val="en-AU"/>
        </w:rPr>
        <w:t xml:space="preserve">: 2017-18 </w:t>
      </w:r>
      <w:r>
        <w:rPr>
          <w:lang w:val="en-AU"/>
        </w:rPr>
        <w:t>Priorities</w:t>
      </w:r>
      <w:bookmarkEnd w:id="44"/>
    </w:p>
    <w:p w:rsidR="00D97710" w:rsidRDefault="00D97710" w:rsidP="00612F7B">
      <w:pPr>
        <w:spacing w:after="140" w:line="300" w:lineRule="atLeast"/>
      </w:pPr>
      <w:r w:rsidRPr="00612F7B">
        <w:t xml:space="preserve">In 2017-18, the THS is required to </w:t>
      </w:r>
      <w:r w:rsidR="00CE5AC0">
        <w:t xml:space="preserve">prioritise services (both acute and community based) that </w:t>
      </w:r>
      <w:proofErr w:type="gramStart"/>
      <w:r w:rsidR="00CE5AC0">
        <w:t>address  the</w:t>
      </w:r>
      <w:proofErr w:type="gramEnd"/>
      <w:r w:rsidR="00CE5AC0">
        <w:t xml:space="preserve"> following conditions.</w:t>
      </w:r>
      <w:r w:rsidRPr="00612F7B">
        <w:t xml:space="preserve">  The priorities include</w:t>
      </w:r>
      <w:r w:rsidR="00612F7B">
        <w:t xml:space="preserve"> </w:t>
      </w:r>
      <w:r w:rsidRPr="00612F7B">
        <w:t xml:space="preserve">those that are to be delivered by the THS consistent with the priorities outlined in </w:t>
      </w:r>
      <w:proofErr w:type="spellStart"/>
      <w:r w:rsidRPr="00612F7B">
        <w:t>SoPI</w:t>
      </w:r>
      <w:proofErr w:type="spellEnd"/>
      <w:r w:rsidRPr="00612F7B">
        <w:rPr>
          <w:i/>
        </w:rPr>
        <w:t xml:space="preserve"> </w:t>
      </w:r>
      <w:r w:rsidRPr="00612F7B">
        <w:t>(2017-</w:t>
      </w:r>
      <w:r w:rsidRPr="007E39DF">
        <w:t>18)</w:t>
      </w:r>
      <w:r w:rsidRPr="00612F7B">
        <w:t xml:space="preserve"> and </w:t>
      </w:r>
      <w:r w:rsidR="00612F7B">
        <w:t>a</w:t>
      </w:r>
      <w:r w:rsidRPr="00612F7B">
        <w:t>dditional priorities that have been agreed between the Department</w:t>
      </w:r>
      <w:r w:rsidR="00612F7B">
        <w:t xml:space="preserve"> and the THS as part of the 2017-18</w:t>
      </w:r>
      <w:r w:rsidRPr="00612F7B">
        <w:t xml:space="preserve"> Service Agreement development process for joint progression in 2017-18.</w:t>
      </w:r>
    </w:p>
    <w:p w:rsidR="001066D7" w:rsidRPr="00612F7B" w:rsidRDefault="001066D7" w:rsidP="00612F7B">
      <w:pPr>
        <w:spacing w:after="140" w:line="300" w:lineRule="atLeast"/>
      </w:pPr>
      <w:r>
        <w:t xml:space="preserve">Consistent with the processes outlined in the </w:t>
      </w:r>
      <w:r w:rsidRPr="001066D7">
        <w:rPr>
          <w:i/>
        </w:rPr>
        <w:t>Per</w:t>
      </w:r>
      <w:r>
        <w:rPr>
          <w:i/>
        </w:rPr>
        <w:t>f</w:t>
      </w:r>
      <w:r w:rsidRPr="001066D7">
        <w:rPr>
          <w:i/>
        </w:rPr>
        <w:t>ormance Framework</w:t>
      </w:r>
      <w:r>
        <w:rPr>
          <w:i/>
        </w:rPr>
        <w:t xml:space="preserve">, </w:t>
      </w:r>
      <w:r w:rsidRPr="001066D7">
        <w:t xml:space="preserve">progress against the implementation of all priorities will be subject to regular monitoring and reporting </w:t>
      </w:r>
      <w:r>
        <w:t>throughout the year.</w:t>
      </w:r>
    </w:p>
    <w:p w:rsidR="00D97710" w:rsidRPr="00612F7B" w:rsidRDefault="00D97710" w:rsidP="00612F7B">
      <w:pPr>
        <w:pStyle w:val="Heading2"/>
        <w:spacing w:before="0" w:after="140" w:line="300" w:lineRule="atLeast"/>
        <w:rPr>
          <w:szCs w:val="32"/>
        </w:rPr>
      </w:pPr>
      <w:bookmarkStart w:id="45" w:name="_Toc477176170"/>
      <w:bookmarkStart w:id="46" w:name="_Toc488068401"/>
      <w:proofErr w:type="spellStart"/>
      <w:r w:rsidRPr="00612F7B">
        <w:rPr>
          <w:szCs w:val="32"/>
        </w:rPr>
        <w:t>SoPI</w:t>
      </w:r>
      <w:proofErr w:type="spellEnd"/>
      <w:r w:rsidRPr="00612F7B">
        <w:rPr>
          <w:szCs w:val="32"/>
        </w:rPr>
        <w:t xml:space="preserve"> Priorities</w:t>
      </w:r>
      <w:bookmarkEnd w:id="45"/>
      <w:bookmarkEnd w:id="46"/>
    </w:p>
    <w:p w:rsidR="00D97710" w:rsidRPr="00612F7B" w:rsidRDefault="00D97710" w:rsidP="00612F7B">
      <w:pPr>
        <w:pStyle w:val="Heading3"/>
        <w:spacing w:before="0" w:after="140" w:line="300" w:lineRule="atLeast"/>
      </w:pPr>
      <w:bookmarkStart w:id="47" w:name="_Toc477176171"/>
      <w:bookmarkStart w:id="48" w:name="_Toc488068402"/>
      <w:r w:rsidRPr="00612F7B">
        <w:t>Chronic Disease</w:t>
      </w:r>
      <w:bookmarkEnd w:id="47"/>
      <w:bookmarkEnd w:id="48"/>
    </w:p>
    <w:p w:rsidR="00D97710" w:rsidRPr="00612F7B" w:rsidRDefault="00D97710" w:rsidP="00612F7B">
      <w:pPr>
        <w:spacing w:after="140" w:line="300" w:lineRule="atLeast"/>
        <w:rPr>
          <w:b/>
          <w:bCs/>
        </w:rPr>
      </w:pPr>
      <w:r w:rsidRPr="00612F7B">
        <w:t xml:space="preserve">The initial focus of the </w:t>
      </w:r>
      <w:proofErr w:type="spellStart"/>
      <w:r w:rsidRPr="00612F7B">
        <w:t>SoPI</w:t>
      </w:r>
      <w:proofErr w:type="spellEnd"/>
      <w:r w:rsidRPr="00612F7B">
        <w:t xml:space="preserve"> is on the chronic diseases that account for 80% of the Fatal and 80% of the </w:t>
      </w:r>
      <w:r w:rsidR="007F666C">
        <w:t>N</w:t>
      </w:r>
      <w:r w:rsidR="007F666C" w:rsidRPr="00612F7B">
        <w:t>on-</w:t>
      </w:r>
      <w:r w:rsidR="007F666C">
        <w:t>F</w:t>
      </w:r>
      <w:r w:rsidR="007F666C" w:rsidRPr="00612F7B">
        <w:t>atal</w:t>
      </w:r>
      <w:r w:rsidRPr="00612F7B">
        <w:t xml:space="preserve"> burden of disease.</w:t>
      </w:r>
      <w:r w:rsidR="00857D37">
        <w:t xml:space="preserve"> </w:t>
      </w:r>
      <w:r w:rsidRPr="00612F7B">
        <w:t xml:space="preserve"> Due to its prevalence and well evidenced links with other chronic diseases, </w:t>
      </w:r>
      <w:r w:rsidR="00857D37">
        <w:t>d</w:t>
      </w:r>
      <w:r w:rsidRPr="00612F7B">
        <w:t xml:space="preserve">iabetes has also been included as a future priority. </w:t>
      </w:r>
    </w:p>
    <w:p w:rsidR="00D97710" w:rsidRPr="00612F7B" w:rsidRDefault="00D97710" w:rsidP="00612F7B">
      <w:pPr>
        <w:spacing w:after="140" w:line="300" w:lineRule="atLeast"/>
        <w:rPr>
          <w:b/>
          <w:bCs/>
        </w:rPr>
      </w:pPr>
      <w:r w:rsidRPr="00612F7B">
        <w:t xml:space="preserve">The diagram below details the specific diseases and whether they contribute to the </w:t>
      </w:r>
      <w:r w:rsidR="00857D37">
        <w:t>f</w:t>
      </w:r>
      <w:r w:rsidRPr="00612F7B">
        <w:t xml:space="preserve">atal, </w:t>
      </w:r>
      <w:r w:rsidR="00857D37">
        <w:t>n</w:t>
      </w:r>
      <w:r w:rsidRPr="00612F7B">
        <w:t>on-</w:t>
      </w:r>
      <w:r w:rsidR="00857D37">
        <w:t>f</w:t>
      </w:r>
      <w:r w:rsidRPr="00612F7B">
        <w:t>atal burden or both:</w:t>
      </w:r>
    </w:p>
    <w:p w:rsidR="00D97710" w:rsidRDefault="00D97710" w:rsidP="00E61609">
      <w:r>
        <w:rPr>
          <w:noProof/>
          <w:lang w:eastAsia="en-AU"/>
        </w:rPr>
        <w:drawing>
          <wp:inline distT="0" distB="0" distL="0" distR="0" wp14:anchorId="25D9CD92" wp14:editId="2FB016CF">
            <wp:extent cx="5935980" cy="2674620"/>
            <wp:effectExtent l="0" t="0" r="7620" b="0"/>
            <wp:docPr id="2" name="Picture 2" descr="Fatal Burden: Cancer and other Neoplasms, Injuries.  Both Fatal and non-Fatal: Respiratory Diseases, Neurological conditions, Cardiovascular Disease.  Non-Fatal Burden: Musculoskeletal conditions, Mental Health and Substance Abuse, Oral Disorders, Hearing and Vision.&#10;" title="Fatal, Non Fatal or both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35103" cy="2674225"/>
                    </a:xfrm>
                    <a:prstGeom prst="rect">
                      <a:avLst/>
                    </a:prstGeom>
                    <a:noFill/>
                  </pic:spPr>
                </pic:pic>
              </a:graphicData>
            </a:graphic>
          </wp:inline>
        </w:drawing>
      </w:r>
    </w:p>
    <w:p w:rsidR="00E61609" w:rsidRDefault="00E61609" w:rsidP="00E61609"/>
    <w:p w:rsidR="005210F7" w:rsidRDefault="005210F7" w:rsidP="00E61609"/>
    <w:p w:rsidR="005210F7" w:rsidRPr="00FB143F" w:rsidRDefault="005210F7" w:rsidP="005210F7">
      <w:pPr>
        <w:spacing w:after="140" w:line="300" w:lineRule="atLeast"/>
      </w:pPr>
      <w:r>
        <w:t>It is expected that the THS as provider will prioritise activity and services related to these conditions. The strategic plans associated with the Models of Care (</w:t>
      </w:r>
      <w:proofErr w:type="spellStart"/>
      <w:r>
        <w:t>MoC</w:t>
      </w:r>
      <w:proofErr w:type="spellEnd"/>
      <w:r>
        <w:t>) relating to these conditions and how the THS will provide adequate levels of care for these conditions should be detailed in the THS Corporate Plan.</w:t>
      </w:r>
    </w:p>
    <w:p w:rsidR="00D97710" w:rsidRPr="00612F7B" w:rsidRDefault="00D97710" w:rsidP="00612F7B">
      <w:pPr>
        <w:pStyle w:val="Heading3"/>
        <w:spacing w:before="0" w:after="140" w:line="300" w:lineRule="atLeast"/>
      </w:pPr>
      <w:bookmarkStart w:id="49" w:name="_Toc488068403"/>
      <w:r w:rsidRPr="00612F7B">
        <w:t>Elective Surgery</w:t>
      </w:r>
      <w:bookmarkEnd w:id="49"/>
    </w:p>
    <w:p w:rsidR="00D97710" w:rsidRPr="00056E71" w:rsidRDefault="00D97710" w:rsidP="00612F7B">
      <w:pPr>
        <w:spacing w:after="140" w:line="300" w:lineRule="atLeast"/>
      </w:pPr>
      <w:r w:rsidRPr="00056E71">
        <w:t xml:space="preserve">The Elective Surgery Reform Strategy, developed in June 2015, is aimed at the targeted use of Tasmanian Health Assistance Package (THAP) funding to reduce the problem of long waiting patients, while using Rebuilding Health Services (RHS) funding to invest in strengthening capacity and improved scheduling and treat in turn performance for patients who have not waited so long.  The use of both time limited funding sources intelligently and in parallel will allow both long waits and waiting times for newer  patients to be managed downwards, towards clinically appropriate waiting times that can be managed into the future.  </w:t>
      </w:r>
    </w:p>
    <w:p w:rsidR="00D97710" w:rsidRPr="00056E71" w:rsidRDefault="00D97710" w:rsidP="00612F7B">
      <w:pPr>
        <w:spacing w:after="140" w:line="300" w:lineRule="atLeast"/>
      </w:pPr>
      <w:r w:rsidRPr="00056E71">
        <w:t xml:space="preserve">Phases 1 and 2 of the Strategy (2015-16 and 2016-17) have delivered significant reductions in the number of patients waiting longer than the recommended time for their surgery and performance improvements in KPIs relating to longest waiting patients (maximum wait times and the average number of overdue days).  However, with the cessation of THAP funding in 2016-17, it is essential that alongside those improvements, the THS continues to use RHS and baseline funding to maximise reductions in </w:t>
      </w:r>
      <w:r w:rsidR="005B0323">
        <w:t>long</w:t>
      </w:r>
      <w:r w:rsidRPr="00056E71">
        <w:t xml:space="preserve"> duration waits, and to improve the proportion of patients </w:t>
      </w:r>
      <w:r w:rsidR="005B0323">
        <w:t>treated</w:t>
      </w:r>
      <w:r w:rsidRPr="00056E71">
        <w:t xml:space="preserve"> </w:t>
      </w:r>
      <w:r w:rsidR="005B0323">
        <w:t xml:space="preserve">in turn as per the AIHW and </w:t>
      </w:r>
      <w:r w:rsidR="008D1EAA">
        <w:t>Royal Australasian</w:t>
      </w:r>
      <w:r w:rsidR="005B0323">
        <w:t xml:space="preserve"> College of Surgeons “National definitions for elective surgery urgency categories”</w:t>
      </w:r>
      <w:r w:rsidRPr="00056E71">
        <w:t>.</w:t>
      </w:r>
      <w:r w:rsidR="00556730">
        <w:t xml:space="preserve"> </w:t>
      </w:r>
    </w:p>
    <w:p w:rsidR="00D97710" w:rsidRPr="00056E71" w:rsidRDefault="00D97710" w:rsidP="00612F7B">
      <w:pPr>
        <w:spacing w:after="140" w:line="300" w:lineRule="atLeast"/>
      </w:pPr>
      <w:r w:rsidRPr="00056E71">
        <w:t>Phase 3 of the Strategy (2017-18) will maintain a concurrent focus on:</w:t>
      </w:r>
    </w:p>
    <w:p w:rsidR="00D97710" w:rsidRPr="00056E71" w:rsidRDefault="00D97710" w:rsidP="004C308D">
      <w:pPr>
        <w:pStyle w:val="ListParagraph"/>
        <w:numPr>
          <w:ilvl w:val="0"/>
          <w:numId w:val="27"/>
        </w:numPr>
        <w:spacing w:after="140" w:line="300" w:lineRule="atLeast"/>
        <w:ind w:left="357" w:right="0" w:hanging="357"/>
        <w:jc w:val="left"/>
        <w:rPr>
          <w:rFonts w:ascii="Gill Sans MT" w:hAnsi="Gill Sans MT"/>
        </w:rPr>
      </w:pPr>
      <w:r w:rsidRPr="00056E71">
        <w:rPr>
          <w:rFonts w:ascii="Gill Sans MT" w:hAnsi="Gill Sans MT"/>
        </w:rPr>
        <w:t>the purchase of approximately 16 200 elective surgery admissions (</w:t>
      </w:r>
      <w:r w:rsidR="00453094">
        <w:rPr>
          <w:rFonts w:ascii="Gill Sans MT" w:hAnsi="Gill Sans MT"/>
        </w:rPr>
        <w:t xml:space="preserve">an average of </w:t>
      </w:r>
      <w:r w:rsidRPr="00056E71">
        <w:rPr>
          <w:rFonts w:ascii="Gill Sans MT" w:hAnsi="Gill Sans MT"/>
        </w:rPr>
        <w:t>1 350 per month) in order to maintain an acceptable baseline level of activity and a stable and sustainable waiting list;</w:t>
      </w:r>
    </w:p>
    <w:p w:rsidR="00D97710" w:rsidRPr="00056E71" w:rsidRDefault="00DF6C0C" w:rsidP="004C308D">
      <w:pPr>
        <w:pStyle w:val="ListParagraph"/>
        <w:numPr>
          <w:ilvl w:val="0"/>
          <w:numId w:val="27"/>
        </w:numPr>
        <w:spacing w:after="140" w:line="300" w:lineRule="atLeast"/>
        <w:ind w:left="357" w:right="0" w:hanging="357"/>
        <w:jc w:val="left"/>
        <w:rPr>
          <w:rFonts w:ascii="Gill Sans MT" w:hAnsi="Gill Sans MT"/>
        </w:rPr>
      </w:pPr>
      <w:r>
        <w:rPr>
          <w:rFonts w:ascii="Gill Sans MT" w:hAnsi="Gill Sans MT"/>
        </w:rPr>
        <w:t>continued</w:t>
      </w:r>
      <w:r w:rsidR="005B0323">
        <w:rPr>
          <w:rFonts w:ascii="Gill Sans MT" w:hAnsi="Gill Sans MT"/>
        </w:rPr>
        <w:t xml:space="preserve"> </w:t>
      </w:r>
      <w:r w:rsidR="00D97710" w:rsidRPr="00056E71">
        <w:rPr>
          <w:rFonts w:ascii="Gill Sans MT" w:hAnsi="Gill Sans MT"/>
        </w:rPr>
        <w:t xml:space="preserve">reductions to the number of patients waiting </w:t>
      </w:r>
      <w:r w:rsidR="005C63F4">
        <w:rPr>
          <w:rFonts w:ascii="Gill Sans MT" w:hAnsi="Gill Sans MT"/>
        </w:rPr>
        <w:t xml:space="preserve">the longest </w:t>
      </w:r>
      <w:r w:rsidR="00D97710" w:rsidRPr="00056E71">
        <w:rPr>
          <w:rFonts w:ascii="Gill Sans MT" w:hAnsi="Gill Sans MT"/>
        </w:rPr>
        <w:t xml:space="preserve">and continued performance improvements in KPIs relating </w:t>
      </w:r>
      <w:r w:rsidR="005C63F4">
        <w:rPr>
          <w:rFonts w:ascii="Gill Sans MT" w:hAnsi="Gill Sans MT"/>
        </w:rPr>
        <w:t>to longest waiting patients;</w:t>
      </w:r>
    </w:p>
    <w:p w:rsidR="00D97710" w:rsidRPr="00056E71" w:rsidRDefault="00DF6C0C" w:rsidP="004C308D">
      <w:pPr>
        <w:pStyle w:val="ListParagraph"/>
        <w:numPr>
          <w:ilvl w:val="0"/>
          <w:numId w:val="27"/>
        </w:numPr>
        <w:spacing w:after="140" w:line="300" w:lineRule="atLeast"/>
        <w:ind w:left="357" w:right="0" w:hanging="357"/>
        <w:jc w:val="left"/>
        <w:rPr>
          <w:rFonts w:ascii="Gill Sans MT" w:hAnsi="Gill Sans MT"/>
        </w:rPr>
      </w:pPr>
      <w:proofErr w:type="gramStart"/>
      <w:r>
        <w:rPr>
          <w:rFonts w:ascii="Gill Sans MT" w:hAnsi="Gill Sans MT"/>
        </w:rPr>
        <w:t>improvements</w:t>
      </w:r>
      <w:proofErr w:type="gramEnd"/>
      <w:r w:rsidR="005C63F4">
        <w:rPr>
          <w:rFonts w:ascii="Gill Sans MT" w:hAnsi="Gill Sans MT"/>
        </w:rPr>
        <w:t xml:space="preserve"> </w:t>
      </w:r>
      <w:r>
        <w:rPr>
          <w:rFonts w:ascii="Gill Sans MT" w:hAnsi="Gill Sans MT"/>
        </w:rPr>
        <w:t>in</w:t>
      </w:r>
      <w:r w:rsidR="005C63F4">
        <w:rPr>
          <w:rFonts w:ascii="Gill Sans MT" w:hAnsi="Gill Sans MT"/>
        </w:rPr>
        <w:t xml:space="preserve"> treat in turn rates</w:t>
      </w:r>
      <w:r w:rsidR="00102562">
        <w:rPr>
          <w:rFonts w:ascii="Gill Sans MT" w:hAnsi="Gill Sans MT"/>
        </w:rPr>
        <w:t xml:space="preserve"> in line with the National definition.</w:t>
      </w:r>
    </w:p>
    <w:p w:rsidR="00D97710" w:rsidRPr="00056E71" w:rsidRDefault="00D97710" w:rsidP="00612F7B">
      <w:pPr>
        <w:spacing w:after="140" w:line="300" w:lineRule="atLeast"/>
      </w:pPr>
      <w:r w:rsidRPr="00056E71">
        <w:t>The targets established in the 2017-18 service agreement for the above KPIs are consistent with those outlined in the Strategy for achievement by June 2018.</w:t>
      </w:r>
    </w:p>
    <w:p w:rsidR="00556730" w:rsidRDefault="00D97710" w:rsidP="00612F7B">
      <w:pPr>
        <w:spacing w:after="140" w:line="300" w:lineRule="atLeast"/>
      </w:pPr>
      <w:r w:rsidRPr="00056E71">
        <w:t>In addition to the above</w:t>
      </w:r>
      <w:r>
        <w:t>,</w:t>
      </w:r>
      <w:r w:rsidRPr="00056E71">
        <w:t xml:space="preserve"> in 2017-18 the Department will </w:t>
      </w:r>
      <w:r>
        <w:t xml:space="preserve">work with the THS to </w:t>
      </w:r>
      <w:r w:rsidRPr="00056E71">
        <w:t xml:space="preserve">progress </w:t>
      </w:r>
      <w:r>
        <w:t xml:space="preserve">the development of an elective surgery </w:t>
      </w:r>
      <w:r w:rsidRPr="00056E71">
        <w:t xml:space="preserve">purchasing </w:t>
      </w:r>
      <w:r>
        <w:t xml:space="preserve">model </w:t>
      </w:r>
      <w:r w:rsidRPr="00056E71">
        <w:t xml:space="preserve">based on the case mix within the </w:t>
      </w:r>
      <w:r>
        <w:t>w</w:t>
      </w:r>
      <w:r w:rsidRPr="00056E71">
        <w:t xml:space="preserve">aiting </w:t>
      </w:r>
      <w:r>
        <w:t>l</w:t>
      </w:r>
      <w:r w:rsidRPr="00056E71">
        <w:t>ist</w:t>
      </w:r>
      <w:r>
        <w:t>.</w:t>
      </w:r>
    </w:p>
    <w:p w:rsidR="00D97710" w:rsidRDefault="00AD7711" w:rsidP="00612F7B">
      <w:pPr>
        <w:pStyle w:val="Heading3"/>
        <w:spacing w:before="0" w:after="140" w:line="300" w:lineRule="atLeast"/>
      </w:pPr>
      <w:bookmarkStart w:id="50" w:name="_Toc488068404"/>
      <w:r>
        <w:t xml:space="preserve">Additional </w:t>
      </w:r>
      <w:r w:rsidR="00D97710">
        <w:t>Government Priorities</w:t>
      </w:r>
      <w:bookmarkEnd w:id="50"/>
    </w:p>
    <w:p w:rsidR="00D97710" w:rsidRPr="00FB143F" w:rsidRDefault="00D97710" w:rsidP="00612F7B">
      <w:pPr>
        <w:spacing w:after="140" w:line="300" w:lineRule="atLeast"/>
        <w:rPr>
          <w:b/>
          <w:bCs/>
          <w:iCs/>
        </w:rPr>
      </w:pPr>
      <w:r>
        <w:t>The priorities articulated below are derived from existing government priorities as stated in the White Paper, announcements and initiatives.</w:t>
      </w:r>
    </w:p>
    <w:p w:rsidR="00D97710" w:rsidRPr="00856D73" w:rsidRDefault="00453094" w:rsidP="00856D73">
      <w:pPr>
        <w:spacing w:after="140" w:line="300" w:lineRule="atLeast"/>
        <w:rPr>
          <w:b/>
        </w:rPr>
      </w:pPr>
      <w:r>
        <w:rPr>
          <w:b/>
        </w:rPr>
        <w:t xml:space="preserve">Pain Management and </w:t>
      </w:r>
      <w:r w:rsidR="00D97710" w:rsidRPr="00856D73">
        <w:rPr>
          <w:b/>
        </w:rPr>
        <w:t>Rheumatology Services</w:t>
      </w:r>
    </w:p>
    <w:p w:rsidR="00AD7711" w:rsidRDefault="00AD7711" w:rsidP="00AD7711">
      <w:pPr>
        <w:spacing w:after="140" w:line="300" w:lineRule="atLeast"/>
      </w:pPr>
      <w:r>
        <w:t xml:space="preserve">By 30 June 2018 the THS will </w:t>
      </w:r>
      <w:r w:rsidR="00453094">
        <w:t xml:space="preserve">have established </w:t>
      </w:r>
      <w:r>
        <w:t xml:space="preserve">Level 4 </w:t>
      </w:r>
      <w:r w:rsidR="00453094">
        <w:t xml:space="preserve">Pain Management and </w:t>
      </w:r>
      <w:r>
        <w:t xml:space="preserve">Rheumatology services in the North West of the State.  </w:t>
      </w:r>
    </w:p>
    <w:p w:rsidR="00D97710" w:rsidRPr="00856D73" w:rsidRDefault="00EA5671" w:rsidP="00856D73">
      <w:pPr>
        <w:spacing w:after="140" w:line="300" w:lineRule="atLeast"/>
        <w:rPr>
          <w:b/>
        </w:rPr>
      </w:pPr>
      <w:r>
        <w:rPr>
          <w:b/>
        </w:rPr>
        <w:t>Injuries – Suicide Reduction</w:t>
      </w:r>
    </w:p>
    <w:p w:rsidR="00EA5671" w:rsidRDefault="00EA5671" w:rsidP="00EA5671">
      <w:pPr>
        <w:spacing w:after="140" w:line="300" w:lineRule="atLeast"/>
      </w:pPr>
      <w:r>
        <w:t>By 30 June 2018, ensure that a minimum of 90% of patients who have attempted suicide, are referred for follow up by contracted community sector organisations or public mental health services within 48 hours of discharge from the public acute hospital (either Emergency Department or inpatient setting).</w:t>
      </w:r>
    </w:p>
    <w:p w:rsidR="00D97710" w:rsidRPr="00056E71" w:rsidRDefault="00EA5671" w:rsidP="00EA5671">
      <w:pPr>
        <w:spacing w:after="140" w:line="300" w:lineRule="atLeast"/>
      </w:pPr>
      <w:r>
        <w:t>This will be monitored each quarter by auditing patient records in the acute public hospitals.</w:t>
      </w:r>
    </w:p>
    <w:p w:rsidR="00D97710" w:rsidRPr="00856D73" w:rsidRDefault="00D97710" w:rsidP="00856D73">
      <w:pPr>
        <w:spacing w:after="140" w:line="300" w:lineRule="atLeast"/>
        <w:rPr>
          <w:b/>
        </w:rPr>
      </w:pPr>
      <w:r w:rsidRPr="00856D73">
        <w:rPr>
          <w:b/>
        </w:rPr>
        <w:t>Injuries – Trauma</w:t>
      </w:r>
    </w:p>
    <w:p w:rsidR="00AD7711" w:rsidRPr="00AD7711" w:rsidRDefault="00AD7711" w:rsidP="00AD7711">
      <w:pPr>
        <w:spacing w:after="140" w:line="300" w:lineRule="atLeast"/>
      </w:pPr>
      <w:r w:rsidRPr="00AD7711">
        <w:t xml:space="preserve">$165 000 is provided for the development of Trauma related capacity along the full continuum of care from retrieval through to and including rehabilitation post discharge. This funding is to be used at the discretion of the Statewide Trauma Service to build capacity to improve care for trauma patients across the State and across all clinical disciplines that provide care to Trauma patients. </w:t>
      </w:r>
    </w:p>
    <w:p w:rsidR="00AD7711" w:rsidRPr="00AD7711" w:rsidRDefault="00AD7711" w:rsidP="00AD7711">
      <w:pPr>
        <w:spacing w:after="140" w:line="300" w:lineRule="atLeast"/>
      </w:pPr>
      <w:r w:rsidRPr="00AD7711">
        <w:t>A plan for the use of the funds will be developed by the Statewide Trauma Service, endorsed by the THS Executive and provided to the Secretary DHHS within thirty (30) days of signing this agreement. The plan must be made for attention the</w:t>
      </w:r>
      <w:r w:rsidR="00FE46F4">
        <w:t xml:space="preserve"> Deputy Secretary </w:t>
      </w:r>
      <w:r w:rsidRPr="00AD7711">
        <w:t>Planning</w:t>
      </w:r>
      <w:r w:rsidR="00FE46F4">
        <w:t>, Purchasing</w:t>
      </w:r>
      <w:r w:rsidRPr="00AD7711">
        <w:t xml:space="preserve"> and Performance. </w:t>
      </w:r>
    </w:p>
    <w:p w:rsidR="00AD7711" w:rsidRPr="00AD7711" w:rsidRDefault="00AD7711" w:rsidP="00AD7711">
      <w:pPr>
        <w:spacing w:after="140" w:line="300" w:lineRule="atLeast"/>
      </w:pPr>
      <w:r w:rsidRPr="00AD7711">
        <w:t>Apart from implementation details and how the funding will be used, the plan should also include how the Statewide Trauma Service expects to demonstrate progress</w:t>
      </w:r>
      <w:r w:rsidR="004C34EC">
        <w:t xml:space="preserve"> to the Department</w:t>
      </w:r>
      <w:r w:rsidRPr="00AD7711">
        <w:t>.</w:t>
      </w:r>
    </w:p>
    <w:p w:rsidR="00AD7711" w:rsidRPr="00AD7711" w:rsidRDefault="00AD7711" w:rsidP="00AD7711">
      <w:pPr>
        <w:spacing w:after="140" w:line="300" w:lineRule="atLeast"/>
      </w:pPr>
      <w:r w:rsidRPr="00AD7711">
        <w:t>On approval of the plan</w:t>
      </w:r>
      <w:r w:rsidR="004C34EC">
        <w:t xml:space="preserve"> by the Department</w:t>
      </w:r>
      <w:r w:rsidRPr="00AD7711">
        <w:t>, the funds will be released to the THS.</w:t>
      </w:r>
      <w:r w:rsidR="004C34EC">
        <w:t xml:space="preserve"> </w:t>
      </w:r>
    </w:p>
    <w:p w:rsidR="00AD7711" w:rsidRPr="00AD7711" w:rsidRDefault="00AD7711" w:rsidP="00AD7711">
      <w:pPr>
        <w:spacing w:after="140" w:line="300" w:lineRule="atLeast"/>
      </w:pPr>
      <w:r w:rsidRPr="00AD7711">
        <w:t xml:space="preserve">During the course of the </w:t>
      </w:r>
      <w:r w:rsidR="004C34EC">
        <w:t>term of this Agreement, the Department</w:t>
      </w:r>
      <w:r w:rsidRPr="00AD7711">
        <w:t xml:space="preserve"> reserves the right to request periodic updates on progress.</w:t>
      </w:r>
    </w:p>
    <w:p w:rsidR="00D97710" w:rsidRPr="00B01D02" w:rsidRDefault="00AD7711" w:rsidP="00AD7711">
      <w:pPr>
        <w:spacing w:after="140" w:line="300" w:lineRule="atLeast"/>
      </w:pPr>
      <w:r w:rsidRPr="00AD7711">
        <w:t xml:space="preserve">It is expected that a second tranche of funding be made available for the 2018/19 financial year. This </w:t>
      </w:r>
      <w:r w:rsidR="004C34EC">
        <w:t>will be contingent upon the Department</w:t>
      </w:r>
      <w:r w:rsidRPr="00AD7711">
        <w:t xml:space="preserve"> being satisfied th</w:t>
      </w:r>
      <w:r w:rsidR="00453094">
        <w:t>at adequate</w:t>
      </w:r>
      <w:r w:rsidRPr="00AD7711">
        <w:t xml:space="preserve"> progress has been made by the Statewide Trauma Service in building capacity across all disciplines along the full continuum of care for Trauma patients.</w:t>
      </w:r>
    </w:p>
    <w:p w:rsidR="00D97710" w:rsidRPr="00856D73" w:rsidRDefault="00D97710" w:rsidP="00856D73">
      <w:pPr>
        <w:spacing w:after="140" w:line="300" w:lineRule="atLeast"/>
      </w:pPr>
      <w:r w:rsidRPr="00856D73">
        <w:rPr>
          <w:rStyle w:val="Heading4Char"/>
          <w:bCs w:val="0"/>
          <w:sz w:val="22"/>
        </w:rPr>
        <w:t>Patients First</w:t>
      </w:r>
      <w:r w:rsidRPr="00856D73">
        <w:t xml:space="preserve"> </w:t>
      </w:r>
    </w:p>
    <w:p w:rsidR="00D97710" w:rsidRDefault="00D97710" w:rsidP="00856D73">
      <w:pPr>
        <w:spacing w:after="140" w:line="300" w:lineRule="atLeast"/>
      </w:pPr>
      <w:r>
        <w:t>As part of the One State, One Health System, Better Outcomes plan, the Tasmanian Government is taking action to manage demand in Emergency Departments and to improve whole-of-hospital patient flow.</w:t>
      </w:r>
    </w:p>
    <w:p w:rsidR="00D97710" w:rsidRDefault="00D97710" w:rsidP="00856D73">
      <w:pPr>
        <w:spacing w:after="140" w:line="300" w:lineRule="atLeast"/>
      </w:pPr>
      <w:r>
        <w:t xml:space="preserve">Stage 1 of the Patients First initiative, announced in April 2016, </w:t>
      </w:r>
      <w:proofErr w:type="gramStart"/>
      <w:r>
        <w:t>included</w:t>
      </w:r>
      <w:proofErr w:type="gramEnd"/>
      <w:r>
        <w:t xml:space="preserve"> 18 specific actions aimed at improving patient flow issues across the Launceston General Hospital (LGH) and the Royal Hobart Hospital (RHH).  The areas of focus include timely movement of patients to the right place at the right time, staff training and recruitment, developing a state-wide clinical handover framework, better supporting long stay patients, use of rural facilities, and more efficient discharge. </w:t>
      </w:r>
    </w:p>
    <w:p w:rsidR="00D97710" w:rsidRDefault="00D97710" w:rsidP="00856D73">
      <w:pPr>
        <w:spacing w:after="140" w:line="300" w:lineRule="atLeast"/>
      </w:pPr>
      <w:r>
        <w:t xml:space="preserve">In recognition of continuing demand pressures in Emergency Departments state-wide, Stage 2 of the Patients First initiative, announced in February 2017, includes a number of recurrent bed openings across the State to further improve whole-of-hospital patient flow.  These bed openings and associated activity are reflected in the Funding Allocation and Activity Schedules provided at Part G of </w:t>
      </w:r>
      <w:r w:rsidR="00857D37">
        <w:t>t</w:t>
      </w:r>
      <w:r>
        <w:t>his Agreement</w:t>
      </w:r>
    </w:p>
    <w:p w:rsidR="00D97710" w:rsidRDefault="00D97710" w:rsidP="00856D73">
      <w:pPr>
        <w:spacing w:after="140" w:line="300" w:lineRule="atLeast"/>
      </w:pPr>
      <w:r>
        <w:t>The Department will continue to provide routine reporting to the Minister for Health, outlining:</w:t>
      </w:r>
    </w:p>
    <w:p w:rsidR="00D97710" w:rsidRPr="009933E5" w:rsidRDefault="00D97710" w:rsidP="004C308D">
      <w:pPr>
        <w:pStyle w:val="ListParagraph"/>
        <w:numPr>
          <w:ilvl w:val="0"/>
          <w:numId w:val="27"/>
        </w:numPr>
        <w:spacing w:after="140" w:line="300" w:lineRule="atLeast"/>
        <w:ind w:left="357" w:right="0" w:hanging="357"/>
        <w:jc w:val="left"/>
        <w:rPr>
          <w:rFonts w:ascii="Gill Sans MT" w:hAnsi="Gill Sans MT"/>
        </w:rPr>
      </w:pPr>
      <w:r w:rsidRPr="009933E5">
        <w:rPr>
          <w:rFonts w:ascii="Gill Sans MT" w:hAnsi="Gill Sans MT"/>
        </w:rPr>
        <w:t>the impact of Stage 1 and 2 initiatives on performance against existing patient flow Key Performance Indicators as established in the 2016-17 Service Agreement;</w:t>
      </w:r>
    </w:p>
    <w:p w:rsidR="00D97710" w:rsidRPr="009933E5" w:rsidRDefault="00D97710" w:rsidP="004C308D">
      <w:pPr>
        <w:pStyle w:val="ListParagraph"/>
        <w:numPr>
          <w:ilvl w:val="0"/>
          <w:numId w:val="27"/>
        </w:numPr>
        <w:spacing w:after="140" w:line="300" w:lineRule="atLeast"/>
        <w:ind w:left="357" w:right="0" w:hanging="357"/>
        <w:jc w:val="left"/>
        <w:rPr>
          <w:rFonts w:ascii="Gill Sans MT" w:hAnsi="Gill Sans MT"/>
        </w:rPr>
      </w:pPr>
      <w:r w:rsidRPr="009933E5">
        <w:rPr>
          <w:rFonts w:ascii="Gill Sans MT" w:hAnsi="Gill Sans MT"/>
        </w:rPr>
        <w:t>additional performance indicators, targeted at the measurement of specific outcomes under Stage 2 initiatives, and</w:t>
      </w:r>
    </w:p>
    <w:p w:rsidR="00D97710" w:rsidRDefault="00D97710" w:rsidP="004C308D">
      <w:pPr>
        <w:pStyle w:val="ListParagraph"/>
        <w:numPr>
          <w:ilvl w:val="0"/>
          <w:numId w:val="27"/>
        </w:numPr>
        <w:spacing w:after="140" w:line="300" w:lineRule="atLeast"/>
        <w:ind w:left="357" w:right="0" w:hanging="357"/>
        <w:jc w:val="left"/>
        <w:rPr>
          <w:rFonts w:ascii="Gill Sans MT" w:hAnsi="Gill Sans MT"/>
        </w:rPr>
      </w:pPr>
      <w:proofErr w:type="gramStart"/>
      <w:r w:rsidRPr="009933E5">
        <w:rPr>
          <w:rFonts w:ascii="Gill Sans MT" w:hAnsi="Gill Sans MT"/>
        </w:rPr>
        <w:t>status</w:t>
      </w:r>
      <w:proofErr w:type="gramEnd"/>
      <w:r w:rsidRPr="009933E5">
        <w:rPr>
          <w:rFonts w:ascii="Gill Sans MT" w:hAnsi="Gill Sans MT"/>
        </w:rPr>
        <w:t xml:space="preserve"> updates on THS implementation of all actions announced under Stages 1 and 2.</w:t>
      </w:r>
    </w:p>
    <w:p w:rsidR="00190270" w:rsidRDefault="00190270" w:rsidP="00190270">
      <w:pPr>
        <w:pStyle w:val="Heading3"/>
      </w:pPr>
      <w:bookmarkStart w:id="51" w:name="_Toc488068405"/>
      <w:r>
        <w:t>Sector Purchasing</w:t>
      </w:r>
      <w:bookmarkEnd w:id="51"/>
    </w:p>
    <w:p w:rsidR="00190270" w:rsidRPr="00190270" w:rsidRDefault="004C34EC" w:rsidP="00190270">
      <w:pPr>
        <w:spacing w:after="140" w:line="300" w:lineRule="atLeast"/>
      </w:pPr>
      <w:r>
        <w:t>It is expected that the THS as provider will support the ongoing updating and expansion of the T</w:t>
      </w:r>
      <w:r w:rsidR="007505EE">
        <w:t xml:space="preserve">asmanian </w:t>
      </w:r>
      <w:r>
        <w:t>R</w:t>
      </w:r>
      <w:r w:rsidR="007505EE">
        <w:t xml:space="preserve">ole </w:t>
      </w:r>
      <w:r>
        <w:t>D</w:t>
      </w:r>
      <w:r w:rsidR="007505EE">
        <w:t xml:space="preserve">elineation </w:t>
      </w:r>
      <w:r>
        <w:t>F</w:t>
      </w:r>
      <w:r w:rsidR="007505EE">
        <w:t>ramework</w:t>
      </w:r>
      <w:r>
        <w:t xml:space="preserve"> by providing timely an</w:t>
      </w:r>
      <w:r w:rsidR="007E39DF">
        <w:t>d</w:t>
      </w:r>
      <w:r w:rsidR="00CE5AC0">
        <w:t xml:space="preserve"> reasonable access to clinical</w:t>
      </w:r>
      <w:r>
        <w:t xml:space="preserve"> and strategic executive input. The Department is willing to work with the THS to expand alternative models of care delivery that shift the locus of care from the acute setting to the community / primary care sectors. </w:t>
      </w:r>
    </w:p>
    <w:p w:rsidR="001F4897" w:rsidRDefault="001F4897">
      <w:pPr>
        <w:rPr>
          <w:b/>
          <w:bCs/>
          <w:sz w:val="32"/>
          <w:szCs w:val="28"/>
          <w:lang w:val="x-none"/>
        </w:rPr>
      </w:pPr>
      <w:bookmarkStart w:id="52" w:name="_Toc477176174"/>
      <w:r>
        <w:br w:type="page"/>
      </w:r>
    </w:p>
    <w:p w:rsidR="00D97710" w:rsidRPr="009933E5" w:rsidRDefault="00D97710" w:rsidP="00856D73">
      <w:pPr>
        <w:pStyle w:val="Heading2"/>
        <w:spacing w:before="0" w:after="140" w:line="300" w:lineRule="atLeast"/>
      </w:pPr>
      <w:bookmarkStart w:id="53" w:name="_Toc488068406"/>
      <w:r w:rsidRPr="009933E5">
        <w:t>Joint DHHS/THS Priorities</w:t>
      </w:r>
      <w:bookmarkEnd w:id="52"/>
      <w:bookmarkEnd w:id="53"/>
    </w:p>
    <w:p w:rsidR="00D97710" w:rsidRPr="00CE2487" w:rsidRDefault="00D97710" w:rsidP="00856D73">
      <w:pPr>
        <w:pStyle w:val="Heading3"/>
        <w:spacing w:before="0" w:after="140" w:line="300" w:lineRule="atLeast"/>
      </w:pPr>
      <w:bookmarkStart w:id="54" w:name="_Toc477176175"/>
      <w:bookmarkStart w:id="55" w:name="_Toc488068407"/>
      <w:r w:rsidRPr="00CE2487">
        <w:t>THS cost structures</w:t>
      </w:r>
      <w:bookmarkEnd w:id="54"/>
      <w:bookmarkEnd w:id="55"/>
    </w:p>
    <w:p w:rsidR="00D97710" w:rsidRPr="009933E5" w:rsidRDefault="00D97710" w:rsidP="00E61609">
      <w:pPr>
        <w:spacing w:after="140" w:line="300" w:lineRule="atLeast"/>
      </w:pPr>
      <w:r w:rsidRPr="009933E5">
        <w:t xml:space="preserve">Internal THS </w:t>
      </w:r>
      <w:r>
        <w:t>b</w:t>
      </w:r>
      <w:r w:rsidRPr="009933E5">
        <w:t xml:space="preserve">udgets are currently allocated at cost centre level and are based on historical allocations.  A project will be undertaken to analyse underlying patient episode cost structures and the expenditure and </w:t>
      </w:r>
      <w:r>
        <w:t>b</w:t>
      </w:r>
      <w:r w:rsidRPr="009933E5">
        <w:t>udget allocation associated with each cost centre and identify any misalignment.</w:t>
      </w:r>
      <w:r>
        <w:t xml:space="preserve"> </w:t>
      </w:r>
      <w:r w:rsidRPr="009933E5">
        <w:t xml:space="preserve"> This will inform the development of future internal </w:t>
      </w:r>
      <w:r>
        <w:t>b</w:t>
      </w:r>
      <w:r w:rsidRPr="009933E5">
        <w:t>udget allocations, facilitate further analysis of the potential to deliver efficiencies and assist in the identification of cost drivers underpinning the overall THS funding allocation</w:t>
      </w:r>
      <w:r>
        <w:t>.</w:t>
      </w:r>
      <w:r w:rsidRPr="009933E5">
        <w:t xml:space="preserve"> </w:t>
      </w:r>
    </w:p>
    <w:p w:rsidR="00D97710" w:rsidRPr="00CE2487" w:rsidRDefault="00D97710" w:rsidP="00E61609">
      <w:pPr>
        <w:pStyle w:val="Heading3"/>
        <w:spacing w:before="0" w:after="140" w:line="300" w:lineRule="atLeast"/>
      </w:pPr>
      <w:bookmarkStart w:id="56" w:name="_Toc477176176"/>
      <w:bookmarkStart w:id="57" w:name="_Toc488068408"/>
      <w:r w:rsidRPr="00CE2487">
        <w:t>Revenue</w:t>
      </w:r>
      <w:bookmarkEnd w:id="56"/>
      <w:bookmarkEnd w:id="57"/>
    </w:p>
    <w:p w:rsidR="00D97710" w:rsidRPr="009933E5" w:rsidRDefault="00D97710" w:rsidP="00E61609">
      <w:pPr>
        <w:spacing w:after="140" w:line="300" w:lineRule="atLeast"/>
      </w:pPr>
      <w:r w:rsidRPr="009933E5">
        <w:t>The THS generates revenue from a range of sources, including national ABF, Private Practice Scheme Patients, DVA and Compensable Patients.</w:t>
      </w:r>
      <w:r>
        <w:t xml:space="preserve"> </w:t>
      </w:r>
      <w:r w:rsidRPr="009933E5">
        <w:t xml:space="preserve"> A project will be undertaken to analyse revenue generating activities and identify opportunities to improve/strengthen revenue capture.</w:t>
      </w:r>
    </w:p>
    <w:p w:rsidR="00D97710" w:rsidRPr="00CE2487" w:rsidRDefault="00D97710" w:rsidP="00E61609">
      <w:pPr>
        <w:pStyle w:val="Heading3"/>
        <w:spacing w:before="0" w:after="140" w:line="300" w:lineRule="atLeast"/>
      </w:pPr>
      <w:bookmarkStart w:id="58" w:name="_Toc477176177"/>
      <w:bookmarkStart w:id="59" w:name="_Toc488068409"/>
      <w:r w:rsidRPr="00CE2487">
        <w:t>Readiness for the National Pricing for Safety and Quality Framework</w:t>
      </w:r>
      <w:bookmarkEnd w:id="58"/>
      <w:bookmarkEnd w:id="59"/>
    </w:p>
    <w:p w:rsidR="00D97710" w:rsidRDefault="00D97710" w:rsidP="00E61609">
      <w:pPr>
        <w:spacing w:after="140" w:line="300" w:lineRule="atLeast"/>
      </w:pPr>
      <w:r w:rsidRPr="00CE2487">
        <w:t>During 2017-18</w:t>
      </w:r>
      <w:r>
        <w:t xml:space="preserve">, </w:t>
      </w:r>
      <w:r w:rsidRPr="00CE2487">
        <w:t>the D</w:t>
      </w:r>
      <w:r>
        <w:t xml:space="preserve">epartment </w:t>
      </w:r>
      <w:r w:rsidRPr="00CE2487">
        <w:t xml:space="preserve">and </w:t>
      </w:r>
      <w:r>
        <w:t xml:space="preserve">the </w:t>
      </w:r>
      <w:r w:rsidRPr="00CE2487">
        <w:t>THS will work together to</w:t>
      </w:r>
      <w:r>
        <w:t>:</w:t>
      </w:r>
    </w:p>
    <w:p w:rsidR="00D97710" w:rsidRPr="00CE2487" w:rsidRDefault="00D97710" w:rsidP="004C308D">
      <w:pPr>
        <w:pStyle w:val="ListParagraph"/>
        <w:numPr>
          <w:ilvl w:val="0"/>
          <w:numId w:val="27"/>
        </w:numPr>
        <w:spacing w:after="140" w:line="300" w:lineRule="atLeast"/>
        <w:ind w:left="357" w:right="0" w:hanging="357"/>
        <w:jc w:val="left"/>
        <w:rPr>
          <w:rFonts w:ascii="Gill Sans MT" w:hAnsi="Gill Sans MT"/>
        </w:rPr>
      </w:pPr>
      <w:r w:rsidRPr="00CE2487">
        <w:rPr>
          <w:rFonts w:ascii="Gill Sans MT" w:hAnsi="Gill Sans MT"/>
        </w:rPr>
        <w:t>improve the data quality and linkages between coded data and self-reported datasets so that accurate reporting of data for pricing for safety and quality can occur</w:t>
      </w:r>
      <w:r w:rsidR="009A1896">
        <w:rPr>
          <w:rFonts w:ascii="Gill Sans MT" w:hAnsi="Gill Sans MT"/>
        </w:rPr>
        <w:t>;</w:t>
      </w:r>
    </w:p>
    <w:p w:rsidR="00D97710" w:rsidRPr="00CE2487" w:rsidRDefault="00D97710" w:rsidP="004C308D">
      <w:pPr>
        <w:pStyle w:val="ListParagraph"/>
        <w:numPr>
          <w:ilvl w:val="0"/>
          <w:numId w:val="27"/>
        </w:numPr>
        <w:spacing w:after="140" w:line="300" w:lineRule="atLeast"/>
        <w:ind w:left="357" w:right="0" w:hanging="357"/>
        <w:jc w:val="left"/>
        <w:rPr>
          <w:rFonts w:ascii="Gill Sans MT" w:hAnsi="Gill Sans MT"/>
        </w:rPr>
      </w:pPr>
      <w:r w:rsidRPr="00CE2487">
        <w:rPr>
          <w:rFonts w:ascii="Gill Sans MT" w:hAnsi="Gill Sans MT"/>
        </w:rPr>
        <w:t>incorporate risk adjustment processes developed by the Independent Hospital Pricing Authority (IHPA) and data cleansing prior to reporting jurisdictional data</w:t>
      </w:r>
      <w:r w:rsidR="003F36D7">
        <w:rPr>
          <w:rFonts w:ascii="Gill Sans MT" w:hAnsi="Gill Sans MT"/>
        </w:rPr>
        <w:t>, and</w:t>
      </w:r>
    </w:p>
    <w:p w:rsidR="000551EC" w:rsidRPr="003F36D7" w:rsidRDefault="00D97710" w:rsidP="004C308D">
      <w:pPr>
        <w:pStyle w:val="ListParagraph"/>
        <w:numPr>
          <w:ilvl w:val="0"/>
          <w:numId w:val="27"/>
        </w:numPr>
        <w:spacing w:after="140" w:line="300" w:lineRule="atLeast"/>
        <w:ind w:left="357" w:right="0" w:hanging="357"/>
        <w:jc w:val="left"/>
        <w:rPr>
          <w:rFonts w:ascii="Gill Sans MT" w:hAnsi="Gill Sans MT"/>
        </w:rPr>
      </w:pPr>
      <w:proofErr w:type="gramStart"/>
      <w:r>
        <w:rPr>
          <w:rFonts w:ascii="Gill Sans MT" w:hAnsi="Gill Sans MT"/>
        </w:rPr>
        <w:t>d</w:t>
      </w:r>
      <w:r w:rsidRPr="00CE2487">
        <w:rPr>
          <w:rFonts w:ascii="Gill Sans MT" w:hAnsi="Gill Sans MT"/>
        </w:rPr>
        <w:t>evelop</w:t>
      </w:r>
      <w:proofErr w:type="gramEnd"/>
      <w:r w:rsidRPr="00CE2487">
        <w:rPr>
          <w:rFonts w:ascii="Gill Sans MT" w:hAnsi="Gill Sans MT"/>
        </w:rPr>
        <w:t xml:space="preserve"> appropriate business processes for reporting and validating dat</w:t>
      </w:r>
      <w:r w:rsidR="003F36D7">
        <w:rPr>
          <w:rFonts w:ascii="Gill Sans MT" w:hAnsi="Gill Sans MT"/>
        </w:rPr>
        <w:t>a.</w:t>
      </w:r>
    </w:p>
    <w:p w:rsidR="003F36D7" w:rsidRPr="00CE2487" w:rsidRDefault="007A3CE5" w:rsidP="003F36D7">
      <w:pPr>
        <w:pStyle w:val="Heading3"/>
        <w:spacing w:before="0" w:after="140" w:line="300" w:lineRule="atLeast"/>
      </w:pPr>
      <w:bookmarkStart w:id="60" w:name="_Toc488068410"/>
      <w:r>
        <w:t>Outpatient</w:t>
      </w:r>
      <w:r w:rsidR="003F36D7">
        <w:t xml:space="preserve"> data review</w:t>
      </w:r>
      <w:bookmarkEnd w:id="60"/>
    </w:p>
    <w:p w:rsidR="003F36D7" w:rsidRPr="003F36D7" w:rsidRDefault="003F36D7" w:rsidP="003F36D7">
      <w:pPr>
        <w:spacing w:after="140" w:line="300" w:lineRule="atLeast"/>
      </w:pPr>
      <w:r w:rsidRPr="003F36D7">
        <w:t>The THS collects data on outpatients and outpatient clinics across the state.  A project will be undertaken to improve/strengthen data capture to provide better evidence for the planning and provision of outpatient services. This will inform the development of any future key performance indicators.</w:t>
      </w:r>
    </w:p>
    <w:p w:rsidR="000765FC" w:rsidRPr="005C295D" w:rsidRDefault="003230DA" w:rsidP="00857D37">
      <w:pPr>
        <w:pStyle w:val="Heading1"/>
        <w:spacing w:before="0" w:after="140" w:line="300" w:lineRule="atLeast"/>
        <w:rPr>
          <w:lang w:val="en-AU"/>
        </w:rPr>
      </w:pPr>
      <w:bookmarkStart w:id="61" w:name="_Toc488068411"/>
      <w:r>
        <w:t xml:space="preserve">Part </w:t>
      </w:r>
      <w:r w:rsidR="00990EB6">
        <w:rPr>
          <w:lang w:val="en-AU"/>
        </w:rPr>
        <w:t>F</w:t>
      </w:r>
      <w:r w:rsidR="000765FC" w:rsidRPr="004B4ACA">
        <w:t xml:space="preserve">: </w:t>
      </w:r>
      <w:r w:rsidR="005C295D">
        <w:rPr>
          <w:lang w:val="en-AU"/>
        </w:rPr>
        <w:t>Key Performance Indicators</w:t>
      </w:r>
      <w:bookmarkEnd w:id="42"/>
      <w:bookmarkEnd w:id="61"/>
    </w:p>
    <w:p w:rsidR="009C613C" w:rsidRPr="009C613C" w:rsidRDefault="00327A7B" w:rsidP="00857D37">
      <w:pPr>
        <w:spacing w:after="140" w:line="300" w:lineRule="atLeast"/>
      </w:pPr>
      <w:r>
        <w:t>The Department</w:t>
      </w:r>
      <w:r w:rsidR="009C613C" w:rsidRPr="009C613C">
        <w:t xml:space="preserve"> and THS will continue to focus on a range of </w:t>
      </w:r>
      <w:r w:rsidR="00857D37">
        <w:t>KPIs</w:t>
      </w:r>
      <w:r w:rsidR="009C613C" w:rsidRPr="009C613C">
        <w:t xml:space="preserve"> to measure, monitor and assess performance and activity and to support patient safety and health service quality.</w:t>
      </w:r>
    </w:p>
    <w:p w:rsidR="00816DE2" w:rsidRDefault="00857D37" w:rsidP="00857D37">
      <w:pPr>
        <w:spacing w:after="140" w:line="300" w:lineRule="atLeast"/>
      </w:pPr>
      <w:r>
        <w:t>KPIs</w:t>
      </w:r>
      <w:r w:rsidR="009C613C" w:rsidRPr="009C613C">
        <w:t xml:space="preserve"> have been grouped under </w:t>
      </w:r>
      <w:r w:rsidR="00724B01">
        <w:t>a number of quality dimensions</w:t>
      </w:r>
      <w:r w:rsidR="009C613C" w:rsidRPr="009C613C">
        <w:t xml:space="preserve"> to better organise information and thinking around the complexity of </w:t>
      </w:r>
      <w:r w:rsidR="00816DE2">
        <w:t>health services delivery</w:t>
      </w:r>
      <w:r w:rsidR="009C613C" w:rsidRPr="009C613C">
        <w:t>.</w:t>
      </w:r>
      <w:r w:rsidR="005030A8">
        <w:t xml:space="preserve">  </w:t>
      </w:r>
      <w:r w:rsidR="00816DE2">
        <w:t>The dimensions include:</w:t>
      </w:r>
      <w:r w:rsidR="00DA3446">
        <w:t xml:space="preserve"> </w:t>
      </w:r>
    </w:p>
    <w:p w:rsidR="00816DE2" w:rsidRPr="004C308D" w:rsidRDefault="00816DE2" w:rsidP="004C308D">
      <w:pPr>
        <w:pStyle w:val="ListParagraph"/>
        <w:numPr>
          <w:ilvl w:val="0"/>
          <w:numId w:val="27"/>
        </w:numPr>
        <w:spacing w:after="140" w:line="300" w:lineRule="atLeast"/>
        <w:ind w:left="357" w:right="0" w:hanging="357"/>
        <w:jc w:val="left"/>
        <w:rPr>
          <w:rFonts w:ascii="Gill Sans MT" w:hAnsi="Gill Sans MT"/>
        </w:rPr>
      </w:pPr>
      <w:r w:rsidRPr="004C308D">
        <w:rPr>
          <w:rFonts w:ascii="Gill Sans MT" w:hAnsi="Gill Sans MT"/>
        </w:rPr>
        <w:t xml:space="preserve">Acceptability – </w:t>
      </w:r>
      <w:r w:rsidR="00857D37" w:rsidRPr="004C308D">
        <w:rPr>
          <w:rFonts w:ascii="Gill Sans MT" w:hAnsi="Gill Sans MT"/>
        </w:rPr>
        <w:t>h</w:t>
      </w:r>
      <w:r w:rsidRPr="004C308D">
        <w:rPr>
          <w:rFonts w:ascii="Gill Sans MT" w:hAnsi="Gill Sans MT"/>
        </w:rPr>
        <w:t>ealth services are respectful and responsive to user needs, preferences and expectations</w:t>
      </w:r>
      <w:r w:rsidR="00857D37" w:rsidRPr="004C308D">
        <w:rPr>
          <w:rFonts w:ascii="Gill Sans MT" w:hAnsi="Gill Sans MT"/>
        </w:rPr>
        <w:t>.</w:t>
      </w:r>
    </w:p>
    <w:p w:rsidR="00816DE2" w:rsidRPr="004C308D" w:rsidRDefault="00816DE2" w:rsidP="004C308D">
      <w:pPr>
        <w:pStyle w:val="ListParagraph"/>
        <w:numPr>
          <w:ilvl w:val="0"/>
          <w:numId w:val="27"/>
        </w:numPr>
        <w:spacing w:after="140" w:line="300" w:lineRule="atLeast"/>
        <w:ind w:left="357" w:right="0" w:hanging="357"/>
        <w:jc w:val="left"/>
        <w:rPr>
          <w:rFonts w:ascii="Gill Sans MT" w:hAnsi="Gill Sans MT"/>
        </w:rPr>
      </w:pPr>
      <w:r w:rsidRPr="004C308D">
        <w:rPr>
          <w:rFonts w:ascii="Gill Sans MT" w:hAnsi="Gill Sans MT"/>
        </w:rPr>
        <w:t xml:space="preserve">Accessibility – </w:t>
      </w:r>
      <w:r w:rsidR="00857D37" w:rsidRPr="004C308D">
        <w:rPr>
          <w:rFonts w:ascii="Gill Sans MT" w:hAnsi="Gill Sans MT"/>
        </w:rPr>
        <w:t>h</w:t>
      </w:r>
      <w:r w:rsidRPr="004C308D">
        <w:rPr>
          <w:rFonts w:ascii="Gill Sans MT" w:hAnsi="Gill Sans MT"/>
        </w:rPr>
        <w:t>ealth services are obtained in the most suitable setting in a reasonable time and distance</w:t>
      </w:r>
      <w:r w:rsidR="00857D37" w:rsidRPr="004C308D">
        <w:rPr>
          <w:rFonts w:ascii="Gill Sans MT" w:hAnsi="Gill Sans MT"/>
        </w:rPr>
        <w:t>.</w:t>
      </w:r>
    </w:p>
    <w:p w:rsidR="00857D37" w:rsidRPr="004C308D" w:rsidRDefault="00816DE2" w:rsidP="004C308D">
      <w:pPr>
        <w:pStyle w:val="ListParagraph"/>
        <w:numPr>
          <w:ilvl w:val="0"/>
          <w:numId w:val="27"/>
        </w:numPr>
        <w:spacing w:after="140" w:line="300" w:lineRule="atLeast"/>
        <w:ind w:left="357" w:right="0" w:hanging="357"/>
        <w:jc w:val="left"/>
        <w:rPr>
          <w:rFonts w:ascii="Gill Sans MT" w:hAnsi="Gill Sans MT"/>
        </w:rPr>
      </w:pPr>
      <w:r w:rsidRPr="004C308D">
        <w:rPr>
          <w:rFonts w:ascii="Gill Sans MT" w:hAnsi="Gill Sans MT"/>
        </w:rPr>
        <w:t xml:space="preserve">Effectiveness – </w:t>
      </w:r>
      <w:r w:rsidR="00857D37" w:rsidRPr="004C308D">
        <w:rPr>
          <w:rFonts w:ascii="Gill Sans MT" w:hAnsi="Gill Sans MT"/>
        </w:rPr>
        <w:t>h</w:t>
      </w:r>
      <w:r w:rsidR="003C5946" w:rsidRPr="004C308D">
        <w:rPr>
          <w:rFonts w:ascii="Gill Sans MT" w:hAnsi="Gill Sans MT"/>
        </w:rPr>
        <w:t>ealth services are provided based on scientific knowledge to achieve desired outcomes</w:t>
      </w:r>
      <w:r w:rsidR="00857D37" w:rsidRPr="004C308D">
        <w:rPr>
          <w:rFonts w:ascii="Gill Sans MT" w:hAnsi="Gill Sans MT"/>
        </w:rPr>
        <w:t>.</w:t>
      </w:r>
    </w:p>
    <w:p w:rsidR="00816DE2" w:rsidRPr="004C308D" w:rsidRDefault="00816DE2" w:rsidP="004C308D">
      <w:pPr>
        <w:pStyle w:val="ListParagraph"/>
        <w:numPr>
          <w:ilvl w:val="0"/>
          <w:numId w:val="27"/>
        </w:numPr>
        <w:spacing w:after="140" w:line="300" w:lineRule="atLeast"/>
        <w:ind w:left="357" w:right="0" w:hanging="357"/>
        <w:jc w:val="left"/>
        <w:rPr>
          <w:rFonts w:ascii="Gill Sans MT" w:hAnsi="Gill Sans MT"/>
        </w:rPr>
      </w:pPr>
      <w:r w:rsidRPr="004C308D">
        <w:rPr>
          <w:rFonts w:ascii="Gill Sans MT" w:hAnsi="Gill Sans MT"/>
        </w:rPr>
        <w:t xml:space="preserve">Efficiency – </w:t>
      </w:r>
      <w:r w:rsidR="00857D37" w:rsidRPr="004C308D">
        <w:rPr>
          <w:rFonts w:ascii="Gill Sans MT" w:hAnsi="Gill Sans MT"/>
        </w:rPr>
        <w:t>r</w:t>
      </w:r>
      <w:r w:rsidR="003C5946" w:rsidRPr="004C308D">
        <w:rPr>
          <w:rFonts w:ascii="Gill Sans MT" w:hAnsi="Gill Sans MT"/>
        </w:rPr>
        <w:t>esources are optimally used in achieving desired outcomes</w:t>
      </w:r>
      <w:r w:rsidR="00857D37" w:rsidRPr="004C308D">
        <w:rPr>
          <w:rFonts w:ascii="Gill Sans MT" w:hAnsi="Gill Sans MT"/>
        </w:rPr>
        <w:t>.</w:t>
      </w:r>
    </w:p>
    <w:p w:rsidR="00816DE2" w:rsidRPr="004C308D" w:rsidRDefault="00816DE2" w:rsidP="004C308D">
      <w:pPr>
        <w:pStyle w:val="ListParagraph"/>
        <w:numPr>
          <w:ilvl w:val="0"/>
          <w:numId w:val="27"/>
        </w:numPr>
        <w:spacing w:after="140" w:line="300" w:lineRule="atLeast"/>
        <w:ind w:left="357" w:right="0" w:hanging="357"/>
        <w:jc w:val="left"/>
        <w:rPr>
          <w:rFonts w:ascii="Gill Sans MT" w:hAnsi="Gill Sans MT"/>
        </w:rPr>
      </w:pPr>
      <w:r w:rsidRPr="004C308D">
        <w:rPr>
          <w:rFonts w:ascii="Gill Sans MT" w:hAnsi="Gill Sans MT"/>
        </w:rPr>
        <w:t xml:space="preserve">Safety - </w:t>
      </w:r>
      <w:r w:rsidR="00857D37" w:rsidRPr="004C308D">
        <w:rPr>
          <w:rFonts w:ascii="Gill Sans MT" w:hAnsi="Gill Sans MT"/>
        </w:rPr>
        <w:t>m</w:t>
      </w:r>
      <w:r w:rsidR="003C5946" w:rsidRPr="004C308D">
        <w:rPr>
          <w:rFonts w:ascii="Gill Sans MT" w:hAnsi="Gill Sans MT"/>
        </w:rPr>
        <w:t>itigate risks to avoid unintended or harmful results.</w:t>
      </w:r>
    </w:p>
    <w:p w:rsidR="00AA72CD" w:rsidRPr="00041A6F" w:rsidRDefault="0015179D" w:rsidP="00010E8B">
      <w:pPr>
        <w:spacing w:after="140" w:line="300" w:lineRule="atLeast"/>
        <w:rPr>
          <w:b/>
          <w:sz w:val="24"/>
          <w:szCs w:val="24"/>
        </w:rPr>
      </w:pPr>
      <w:r w:rsidRPr="00041A6F">
        <w:rPr>
          <w:b/>
          <w:sz w:val="24"/>
          <w:szCs w:val="24"/>
        </w:rPr>
        <w:t>2017</w:t>
      </w:r>
      <w:r w:rsidR="00307708" w:rsidRPr="00041A6F">
        <w:rPr>
          <w:b/>
          <w:sz w:val="24"/>
          <w:szCs w:val="24"/>
        </w:rPr>
        <w:t>-</w:t>
      </w:r>
      <w:r w:rsidRPr="00041A6F">
        <w:rPr>
          <w:b/>
          <w:sz w:val="24"/>
          <w:szCs w:val="24"/>
        </w:rPr>
        <w:t>18</w:t>
      </w:r>
      <w:r w:rsidR="00DA12AD" w:rsidRPr="00041A6F">
        <w:rPr>
          <w:b/>
          <w:sz w:val="24"/>
          <w:szCs w:val="24"/>
        </w:rPr>
        <w:t xml:space="preserve"> Key Performance Indicator Schedule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992"/>
        <w:gridCol w:w="4394"/>
        <w:gridCol w:w="2693"/>
      </w:tblGrid>
      <w:tr w:rsidR="00AC53E8" w:rsidRPr="00AC53E8" w:rsidTr="007F666C">
        <w:trPr>
          <w:tblHeader/>
        </w:trPr>
        <w:tc>
          <w:tcPr>
            <w:tcW w:w="1560" w:type="dxa"/>
            <w:tcBorders>
              <w:bottom w:val="single" w:sz="4" w:space="0" w:color="auto"/>
            </w:tcBorders>
            <w:shd w:val="clear" w:color="auto" w:fill="auto"/>
          </w:tcPr>
          <w:p w:rsidR="00DA12AD" w:rsidRPr="00724B01" w:rsidRDefault="00DA12AD" w:rsidP="001C1A5C">
            <w:pPr>
              <w:tabs>
                <w:tab w:val="left" w:pos="425"/>
              </w:tabs>
              <w:spacing w:after="140" w:line="300" w:lineRule="atLeast"/>
              <w:rPr>
                <w:b/>
                <w:sz w:val="20"/>
                <w:szCs w:val="20"/>
              </w:rPr>
            </w:pPr>
            <w:r w:rsidRPr="00724B01">
              <w:rPr>
                <w:b/>
                <w:sz w:val="20"/>
                <w:szCs w:val="20"/>
              </w:rPr>
              <w:t>Performance Domai</w:t>
            </w:r>
            <w:r w:rsidR="001C1A5C">
              <w:rPr>
                <w:b/>
                <w:sz w:val="20"/>
                <w:szCs w:val="20"/>
              </w:rPr>
              <w:t>n</w:t>
            </w:r>
          </w:p>
        </w:tc>
        <w:tc>
          <w:tcPr>
            <w:tcW w:w="992" w:type="dxa"/>
            <w:tcBorders>
              <w:bottom w:val="single" w:sz="4" w:space="0" w:color="auto"/>
            </w:tcBorders>
            <w:shd w:val="clear" w:color="auto" w:fill="auto"/>
          </w:tcPr>
          <w:p w:rsidR="00DA12AD" w:rsidRPr="00724B01" w:rsidRDefault="00DA12AD" w:rsidP="00010E8B">
            <w:pPr>
              <w:tabs>
                <w:tab w:val="left" w:pos="425"/>
              </w:tabs>
              <w:spacing w:after="140" w:line="300" w:lineRule="atLeast"/>
              <w:jc w:val="center"/>
              <w:rPr>
                <w:b/>
                <w:sz w:val="20"/>
                <w:szCs w:val="20"/>
              </w:rPr>
            </w:pPr>
            <w:r w:rsidRPr="00724B01">
              <w:rPr>
                <w:b/>
                <w:sz w:val="20"/>
                <w:szCs w:val="20"/>
              </w:rPr>
              <w:t>KPI No.</w:t>
            </w:r>
          </w:p>
        </w:tc>
        <w:tc>
          <w:tcPr>
            <w:tcW w:w="4394" w:type="dxa"/>
            <w:tcBorders>
              <w:bottom w:val="single" w:sz="4" w:space="0" w:color="auto"/>
            </w:tcBorders>
            <w:shd w:val="clear" w:color="auto" w:fill="auto"/>
          </w:tcPr>
          <w:p w:rsidR="00DA12AD" w:rsidRPr="00724B01" w:rsidRDefault="00DA12AD" w:rsidP="00010E8B">
            <w:pPr>
              <w:tabs>
                <w:tab w:val="left" w:pos="425"/>
              </w:tabs>
              <w:spacing w:after="140" w:line="300" w:lineRule="atLeast"/>
              <w:rPr>
                <w:b/>
                <w:sz w:val="20"/>
                <w:szCs w:val="20"/>
              </w:rPr>
            </w:pPr>
            <w:r w:rsidRPr="00724B01">
              <w:rPr>
                <w:b/>
                <w:sz w:val="20"/>
                <w:szCs w:val="20"/>
              </w:rPr>
              <w:t>KPI Name</w:t>
            </w:r>
          </w:p>
        </w:tc>
        <w:tc>
          <w:tcPr>
            <w:tcW w:w="2693" w:type="dxa"/>
            <w:tcBorders>
              <w:bottom w:val="single" w:sz="4" w:space="0" w:color="auto"/>
            </w:tcBorders>
            <w:shd w:val="clear" w:color="auto" w:fill="auto"/>
          </w:tcPr>
          <w:p w:rsidR="00DA12AD" w:rsidRPr="00724B01" w:rsidRDefault="00DA12AD" w:rsidP="00010E8B">
            <w:pPr>
              <w:tabs>
                <w:tab w:val="left" w:pos="425"/>
              </w:tabs>
              <w:spacing w:after="140" w:line="300" w:lineRule="atLeast"/>
              <w:rPr>
                <w:b/>
                <w:sz w:val="20"/>
                <w:szCs w:val="20"/>
              </w:rPr>
            </w:pPr>
            <w:r w:rsidRPr="00724B01">
              <w:rPr>
                <w:b/>
                <w:sz w:val="20"/>
                <w:szCs w:val="20"/>
              </w:rPr>
              <w:t>KPI Target</w:t>
            </w:r>
          </w:p>
        </w:tc>
      </w:tr>
      <w:tr w:rsidR="006C7040" w:rsidRPr="00856D73" w:rsidTr="007F666C">
        <w:tc>
          <w:tcPr>
            <w:tcW w:w="1560" w:type="dxa"/>
            <w:vMerge w:val="restart"/>
            <w:tcBorders>
              <w:top w:val="single" w:sz="4" w:space="0" w:color="auto"/>
              <w:right w:val="single" w:sz="4" w:space="0" w:color="auto"/>
            </w:tcBorders>
            <w:shd w:val="clear" w:color="auto" w:fill="auto"/>
            <w:vAlign w:val="center"/>
          </w:tcPr>
          <w:p w:rsidR="006C7040" w:rsidRPr="00856D73" w:rsidRDefault="006C7040" w:rsidP="00687158">
            <w:pPr>
              <w:tabs>
                <w:tab w:val="left" w:pos="425"/>
              </w:tabs>
              <w:spacing w:before="60" w:after="60"/>
              <w:rPr>
                <w:sz w:val="20"/>
                <w:szCs w:val="20"/>
              </w:rPr>
            </w:pPr>
            <w:r w:rsidRPr="00856D73">
              <w:rPr>
                <w:sz w:val="20"/>
                <w:szCs w:val="20"/>
              </w:rPr>
              <w:t>Acceptability</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C7040" w:rsidRPr="00856D73" w:rsidRDefault="00F06417" w:rsidP="00A757B4">
            <w:pPr>
              <w:tabs>
                <w:tab w:val="left" w:pos="425"/>
              </w:tabs>
              <w:spacing w:before="60" w:after="60"/>
              <w:rPr>
                <w:b/>
                <w:color w:val="000000"/>
                <w:sz w:val="20"/>
                <w:szCs w:val="20"/>
                <w:lang w:eastAsia="en-AU"/>
              </w:rPr>
            </w:pPr>
            <w:r w:rsidRPr="00856D73">
              <w:rPr>
                <w:b/>
                <w:color w:val="000000"/>
                <w:sz w:val="20"/>
                <w:szCs w:val="20"/>
                <w:lang w:eastAsia="en-AU"/>
              </w:rPr>
              <w:t>AC1</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6C7040" w:rsidRPr="007F666C" w:rsidRDefault="006C7040" w:rsidP="007F666C">
            <w:pPr>
              <w:tabs>
                <w:tab w:val="left" w:pos="425"/>
              </w:tabs>
              <w:spacing w:before="40" w:after="40"/>
              <w:rPr>
                <w:sz w:val="20"/>
                <w:szCs w:val="20"/>
                <w:lang w:eastAsia="en-AU"/>
              </w:rPr>
            </w:pPr>
            <w:r w:rsidRPr="007F666C">
              <w:rPr>
                <w:sz w:val="20"/>
                <w:szCs w:val="20"/>
                <w:lang w:eastAsia="en-AU"/>
              </w:rPr>
              <w:t>Consumer experience - % of clients surveyed</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666F4" w:rsidRPr="00856D73" w:rsidRDefault="000666F4" w:rsidP="007F666C">
            <w:pPr>
              <w:tabs>
                <w:tab w:val="left" w:pos="425"/>
              </w:tabs>
              <w:spacing w:before="40" w:after="40"/>
              <w:rPr>
                <w:sz w:val="20"/>
                <w:szCs w:val="20"/>
                <w:lang w:eastAsia="en-AU"/>
              </w:rPr>
            </w:pPr>
            <w:r w:rsidRPr="00856D73">
              <w:rPr>
                <w:sz w:val="20"/>
                <w:szCs w:val="20"/>
                <w:lang w:eastAsia="en-AU"/>
              </w:rPr>
              <w:t>T</w:t>
            </w:r>
            <w:r w:rsidR="00DF0FB4">
              <w:rPr>
                <w:sz w:val="20"/>
                <w:szCs w:val="20"/>
                <w:lang w:eastAsia="en-AU"/>
              </w:rPr>
              <w:t>o be included in 2017-18 depende</w:t>
            </w:r>
            <w:r w:rsidRPr="00856D73">
              <w:rPr>
                <w:sz w:val="20"/>
                <w:szCs w:val="20"/>
                <w:lang w:eastAsia="en-AU"/>
              </w:rPr>
              <w:t>nt on ACSQHC core common questions</w:t>
            </w:r>
          </w:p>
        </w:tc>
      </w:tr>
      <w:tr w:rsidR="006C7040" w:rsidRPr="00856D73" w:rsidTr="007F666C">
        <w:tc>
          <w:tcPr>
            <w:tcW w:w="1560" w:type="dxa"/>
            <w:vMerge/>
            <w:tcBorders>
              <w:right w:val="single" w:sz="4" w:space="0" w:color="auto"/>
            </w:tcBorders>
            <w:shd w:val="clear" w:color="auto" w:fill="auto"/>
            <w:vAlign w:val="center"/>
          </w:tcPr>
          <w:p w:rsidR="006C7040" w:rsidRPr="00856D73" w:rsidRDefault="006C7040" w:rsidP="00006F3C">
            <w:pPr>
              <w:tabs>
                <w:tab w:val="left" w:pos="425"/>
              </w:tabs>
              <w:spacing w:before="60" w:after="60"/>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C7040" w:rsidRPr="00856D73" w:rsidRDefault="00F06417" w:rsidP="00A757B4">
            <w:pPr>
              <w:tabs>
                <w:tab w:val="left" w:pos="425"/>
              </w:tabs>
              <w:spacing w:before="60" w:after="60"/>
              <w:rPr>
                <w:b/>
                <w:color w:val="000000"/>
                <w:sz w:val="20"/>
                <w:szCs w:val="20"/>
                <w:lang w:eastAsia="en-AU"/>
              </w:rPr>
            </w:pPr>
            <w:r w:rsidRPr="00856D73">
              <w:rPr>
                <w:b/>
                <w:color w:val="000000"/>
                <w:sz w:val="20"/>
                <w:szCs w:val="20"/>
                <w:lang w:eastAsia="en-AU"/>
              </w:rPr>
              <w:t>AC2</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6C7040" w:rsidRPr="007F666C" w:rsidRDefault="00687158" w:rsidP="007F666C">
            <w:pPr>
              <w:tabs>
                <w:tab w:val="left" w:pos="425"/>
              </w:tabs>
              <w:spacing w:before="40" w:after="40"/>
              <w:rPr>
                <w:sz w:val="20"/>
                <w:szCs w:val="20"/>
                <w:lang w:eastAsia="en-AU"/>
              </w:rPr>
            </w:pPr>
            <w:r w:rsidRPr="007F666C">
              <w:rPr>
                <w:sz w:val="20"/>
                <w:szCs w:val="20"/>
                <w:lang w:eastAsia="en-AU"/>
              </w:rPr>
              <w:t>Consumer experience – discharge planning</w:t>
            </w: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6C7040" w:rsidRPr="00856D73" w:rsidRDefault="006C7040" w:rsidP="00A757B4">
            <w:pPr>
              <w:tabs>
                <w:tab w:val="left" w:pos="425"/>
              </w:tabs>
              <w:spacing w:before="60" w:after="60"/>
              <w:rPr>
                <w:sz w:val="20"/>
                <w:szCs w:val="20"/>
                <w:lang w:eastAsia="en-AU"/>
              </w:rPr>
            </w:pPr>
          </w:p>
        </w:tc>
      </w:tr>
      <w:tr w:rsidR="00006F3C" w:rsidRPr="00856D73" w:rsidTr="007F666C">
        <w:tc>
          <w:tcPr>
            <w:tcW w:w="1560" w:type="dxa"/>
            <w:vMerge w:val="restart"/>
            <w:tcBorders>
              <w:top w:val="single" w:sz="4" w:space="0" w:color="auto"/>
              <w:bottom w:val="single" w:sz="4" w:space="0" w:color="auto"/>
              <w:right w:val="single" w:sz="4" w:space="0" w:color="auto"/>
            </w:tcBorders>
            <w:shd w:val="clear" w:color="auto" w:fill="auto"/>
            <w:vAlign w:val="center"/>
          </w:tcPr>
          <w:p w:rsidR="00006F3C" w:rsidRPr="00856D73" w:rsidRDefault="00006F3C" w:rsidP="00006F3C">
            <w:pPr>
              <w:tabs>
                <w:tab w:val="left" w:pos="425"/>
              </w:tabs>
              <w:spacing w:before="60" w:after="60"/>
              <w:rPr>
                <w:sz w:val="20"/>
                <w:szCs w:val="20"/>
              </w:rPr>
            </w:pPr>
            <w:r w:rsidRPr="00856D73">
              <w:rPr>
                <w:sz w:val="20"/>
                <w:szCs w:val="20"/>
              </w:rPr>
              <w:t>Accessibility</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06F3C" w:rsidRPr="00856D73" w:rsidRDefault="00F06417" w:rsidP="00A757B4">
            <w:pPr>
              <w:tabs>
                <w:tab w:val="left" w:pos="425"/>
              </w:tabs>
              <w:spacing w:before="60" w:after="60"/>
              <w:rPr>
                <w:b/>
                <w:color w:val="000000"/>
                <w:sz w:val="20"/>
                <w:szCs w:val="20"/>
                <w:lang w:eastAsia="en-AU"/>
              </w:rPr>
            </w:pPr>
            <w:r w:rsidRPr="00856D73">
              <w:rPr>
                <w:b/>
                <w:color w:val="000000"/>
                <w:sz w:val="20"/>
                <w:szCs w:val="20"/>
                <w:lang w:eastAsia="en-AU"/>
              </w:rPr>
              <w:t>AC</w:t>
            </w:r>
            <w:r w:rsidR="00006F3C" w:rsidRPr="00856D73">
              <w:rPr>
                <w:b/>
                <w:color w:val="000000"/>
                <w:sz w:val="20"/>
                <w:szCs w:val="20"/>
                <w:lang w:eastAsia="en-AU"/>
              </w:rPr>
              <w:t>C1</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006F3C" w:rsidRPr="007F666C" w:rsidRDefault="00006F3C" w:rsidP="007F666C">
            <w:pPr>
              <w:tabs>
                <w:tab w:val="left" w:pos="425"/>
              </w:tabs>
              <w:spacing w:before="40" w:after="40"/>
              <w:rPr>
                <w:sz w:val="20"/>
                <w:szCs w:val="20"/>
                <w:lang w:eastAsia="en-AU"/>
              </w:rPr>
            </w:pPr>
            <w:r w:rsidRPr="007F666C">
              <w:rPr>
                <w:sz w:val="20"/>
                <w:szCs w:val="20"/>
                <w:lang w:eastAsia="en-AU"/>
              </w:rPr>
              <w:t>Percentage of Triage 1 emergency department presentations seen within recommended time</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006F3C" w:rsidRPr="00856D73" w:rsidRDefault="00006F3C" w:rsidP="007F666C">
            <w:pPr>
              <w:tabs>
                <w:tab w:val="left" w:pos="425"/>
              </w:tabs>
              <w:spacing w:before="40" w:after="40"/>
              <w:rPr>
                <w:sz w:val="20"/>
                <w:szCs w:val="20"/>
                <w:lang w:eastAsia="en-AU"/>
              </w:rPr>
            </w:pPr>
            <w:r w:rsidRPr="00856D73">
              <w:rPr>
                <w:sz w:val="20"/>
                <w:szCs w:val="20"/>
                <w:lang w:eastAsia="en-AU"/>
              </w:rPr>
              <w:t>100%</w:t>
            </w:r>
          </w:p>
          <w:p w:rsidR="00006F3C" w:rsidRPr="00856D73" w:rsidRDefault="00006F3C" w:rsidP="007F666C">
            <w:pPr>
              <w:tabs>
                <w:tab w:val="left" w:pos="425"/>
              </w:tabs>
              <w:spacing w:before="40" w:after="40"/>
              <w:rPr>
                <w:sz w:val="20"/>
                <w:szCs w:val="20"/>
                <w:lang w:eastAsia="en-AU"/>
              </w:rPr>
            </w:pPr>
            <w:r w:rsidRPr="00856D73">
              <w:rPr>
                <w:sz w:val="20"/>
                <w:szCs w:val="20"/>
                <w:lang w:eastAsia="en-AU"/>
              </w:rPr>
              <w:t>(all specified facilities)</w:t>
            </w:r>
          </w:p>
        </w:tc>
      </w:tr>
      <w:tr w:rsidR="00006F3C" w:rsidRPr="00856D73" w:rsidTr="007F666C">
        <w:tc>
          <w:tcPr>
            <w:tcW w:w="1560" w:type="dxa"/>
            <w:vMerge/>
            <w:tcBorders>
              <w:bottom w:val="single" w:sz="4" w:space="0" w:color="auto"/>
              <w:right w:val="single" w:sz="4" w:space="0" w:color="auto"/>
            </w:tcBorders>
            <w:shd w:val="clear" w:color="auto" w:fill="auto"/>
            <w:vAlign w:val="center"/>
          </w:tcPr>
          <w:p w:rsidR="00006F3C" w:rsidRPr="00856D73" w:rsidRDefault="00006F3C" w:rsidP="00006F3C">
            <w:pPr>
              <w:tabs>
                <w:tab w:val="left" w:pos="425"/>
              </w:tabs>
              <w:spacing w:before="60" w:after="60"/>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06F3C" w:rsidRPr="00856D73" w:rsidRDefault="00F06417" w:rsidP="00A757B4">
            <w:pPr>
              <w:tabs>
                <w:tab w:val="left" w:pos="425"/>
              </w:tabs>
              <w:spacing w:before="60" w:after="60"/>
              <w:rPr>
                <w:b/>
                <w:color w:val="000000"/>
                <w:sz w:val="20"/>
                <w:szCs w:val="20"/>
                <w:lang w:eastAsia="en-AU"/>
              </w:rPr>
            </w:pPr>
            <w:r w:rsidRPr="00856D73">
              <w:rPr>
                <w:b/>
                <w:color w:val="000000"/>
                <w:sz w:val="20"/>
                <w:szCs w:val="20"/>
                <w:lang w:eastAsia="en-AU"/>
              </w:rPr>
              <w:t xml:space="preserve">ACC2 </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006F3C" w:rsidRPr="007F666C" w:rsidRDefault="00006F3C" w:rsidP="007F666C">
            <w:pPr>
              <w:tabs>
                <w:tab w:val="left" w:pos="425"/>
              </w:tabs>
              <w:spacing w:before="40" w:after="40"/>
              <w:rPr>
                <w:sz w:val="20"/>
                <w:szCs w:val="20"/>
                <w:lang w:eastAsia="en-AU"/>
              </w:rPr>
            </w:pPr>
            <w:r w:rsidRPr="007F666C">
              <w:rPr>
                <w:sz w:val="20"/>
                <w:szCs w:val="20"/>
                <w:lang w:eastAsia="en-AU"/>
              </w:rPr>
              <w:t>Percentage of all emergency department presentations seen within recommended time</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006F3C" w:rsidRPr="00856D73" w:rsidRDefault="00006F3C" w:rsidP="007F666C">
            <w:pPr>
              <w:tabs>
                <w:tab w:val="left" w:pos="425"/>
              </w:tabs>
              <w:spacing w:before="40" w:after="40"/>
              <w:rPr>
                <w:sz w:val="20"/>
                <w:szCs w:val="20"/>
                <w:lang w:eastAsia="en-AU"/>
              </w:rPr>
            </w:pPr>
            <w:r w:rsidRPr="00856D73">
              <w:rPr>
                <w:sz w:val="20"/>
                <w:szCs w:val="20"/>
                <w:lang w:eastAsia="en-AU"/>
              </w:rPr>
              <w:t>80%</w:t>
            </w:r>
          </w:p>
          <w:p w:rsidR="00006F3C" w:rsidRPr="00856D73" w:rsidRDefault="00006F3C" w:rsidP="007F666C">
            <w:pPr>
              <w:tabs>
                <w:tab w:val="left" w:pos="425"/>
              </w:tabs>
              <w:spacing w:before="40" w:after="40"/>
              <w:rPr>
                <w:sz w:val="20"/>
                <w:szCs w:val="20"/>
                <w:lang w:eastAsia="en-AU"/>
              </w:rPr>
            </w:pPr>
            <w:r w:rsidRPr="00856D73">
              <w:rPr>
                <w:sz w:val="20"/>
                <w:szCs w:val="20"/>
                <w:lang w:eastAsia="en-AU"/>
              </w:rPr>
              <w:t>(all specified facilities)</w:t>
            </w:r>
          </w:p>
        </w:tc>
      </w:tr>
      <w:tr w:rsidR="00006F3C" w:rsidRPr="00856D73" w:rsidTr="007F666C">
        <w:tc>
          <w:tcPr>
            <w:tcW w:w="1560" w:type="dxa"/>
            <w:vMerge/>
            <w:tcBorders>
              <w:bottom w:val="single" w:sz="4" w:space="0" w:color="auto"/>
              <w:right w:val="single" w:sz="4" w:space="0" w:color="auto"/>
            </w:tcBorders>
            <w:shd w:val="clear" w:color="auto" w:fill="auto"/>
            <w:vAlign w:val="center"/>
          </w:tcPr>
          <w:p w:rsidR="00006F3C" w:rsidRPr="00856D73" w:rsidRDefault="00006F3C" w:rsidP="00006F3C">
            <w:pPr>
              <w:tabs>
                <w:tab w:val="left" w:pos="425"/>
              </w:tabs>
              <w:spacing w:before="60" w:after="60"/>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06F3C" w:rsidRPr="00856D73" w:rsidRDefault="00F06417" w:rsidP="00A757B4">
            <w:pPr>
              <w:spacing w:before="60" w:after="60"/>
              <w:rPr>
                <w:b/>
                <w:snapToGrid w:val="0"/>
                <w:sz w:val="20"/>
                <w:szCs w:val="20"/>
              </w:rPr>
            </w:pPr>
            <w:r w:rsidRPr="00856D73">
              <w:rPr>
                <w:b/>
                <w:snapToGrid w:val="0"/>
                <w:sz w:val="20"/>
                <w:szCs w:val="20"/>
              </w:rPr>
              <w:t>AC</w:t>
            </w:r>
            <w:r w:rsidR="00006F3C" w:rsidRPr="00856D73">
              <w:rPr>
                <w:b/>
                <w:snapToGrid w:val="0"/>
                <w:sz w:val="20"/>
                <w:szCs w:val="20"/>
              </w:rPr>
              <w:t>C3</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006F3C" w:rsidRPr="007F666C" w:rsidRDefault="00006F3C" w:rsidP="007F666C">
            <w:pPr>
              <w:tabs>
                <w:tab w:val="left" w:pos="425"/>
              </w:tabs>
              <w:spacing w:before="40" w:after="40"/>
              <w:rPr>
                <w:sz w:val="20"/>
                <w:szCs w:val="20"/>
                <w:lang w:eastAsia="en-AU"/>
              </w:rPr>
            </w:pPr>
            <w:r w:rsidRPr="007F666C">
              <w:rPr>
                <w:sz w:val="20"/>
                <w:szCs w:val="20"/>
                <w:lang w:eastAsia="en-AU"/>
              </w:rPr>
              <w:t xml:space="preserve">Percentage of </w:t>
            </w:r>
            <w:r w:rsidR="00966EF7" w:rsidRPr="007F666C">
              <w:rPr>
                <w:sz w:val="20"/>
                <w:szCs w:val="20"/>
                <w:lang w:eastAsia="en-AU"/>
              </w:rPr>
              <w:t>all emergency department presentations who do not wait to be seen</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006F3C" w:rsidRPr="007F666C" w:rsidRDefault="00006F3C" w:rsidP="007F666C">
            <w:pPr>
              <w:tabs>
                <w:tab w:val="left" w:pos="425"/>
              </w:tabs>
              <w:spacing w:before="40" w:after="40"/>
              <w:rPr>
                <w:sz w:val="20"/>
                <w:szCs w:val="20"/>
                <w:lang w:eastAsia="en-AU"/>
              </w:rPr>
            </w:pPr>
            <w:r w:rsidRPr="007F666C">
              <w:rPr>
                <w:sz w:val="20"/>
                <w:szCs w:val="20"/>
                <w:lang w:eastAsia="en-AU"/>
              </w:rPr>
              <w:t xml:space="preserve">≤5% </w:t>
            </w:r>
          </w:p>
          <w:p w:rsidR="00006F3C" w:rsidRPr="00856D73" w:rsidRDefault="00006F3C" w:rsidP="007F666C">
            <w:pPr>
              <w:tabs>
                <w:tab w:val="left" w:pos="425"/>
              </w:tabs>
              <w:spacing w:before="40" w:after="40"/>
              <w:rPr>
                <w:color w:val="000000"/>
                <w:sz w:val="20"/>
                <w:szCs w:val="20"/>
                <w:highlight w:val="lightGray"/>
              </w:rPr>
            </w:pPr>
            <w:r w:rsidRPr="007F666C">
              <w:rPr>
                <w:sz w:val="20"/>
                <w:szCs w:val="20"/>
                <w:lang w:eastAsia="en-AU"/>
              </w:rPr>
              <w:t>(all specified facilities)</w:t>
            </w:r>
          </w:p>
        </w:tc>
      </w:tr>
      <w:tr w:rsidR="00006F3C" w:rsidRPr="00856D73" w:rsidTr="007F666C">
        <w:tc>
          <w:tcPr>
            <w:tcW w:w="1560" w:type="dxa"/>
            <w:vMerge/>
            <w:tcBorders>
              <w:bottom w:val="single" w:sz="4" w:space="0" w:color="auto"/>
              <w:right w:val="single" w:sz="4" w:space="0" w:color="auto"/>
            </w:tcBorders>
            <w:shd w:val="clear" w:color="auto" w:fill="auto"/>
            <w:vAlign w:val="center"/>
          </w:tcPr>
          <w:p w:rsidR="00006F3C" w:rsidRPr="00856D73" w:rsidRDefault="00006F3C" w:rsidP="00006F3C">
            <w:pPr>
              <w:tabs>
                <w:tab w:val="left" w:pos="425"/>
              </w:tabs>
              <w:spacing w:before="60" w:after="60"/>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06F3C" w:rsidRPr="00856D73" w:rsidRDefault="00F06417" w:rsidP="00A757B4">
            <w:pPr>
              <w:spacing w:before="60" w:after="60"/>
              <w:rPr>
                <w:b/>
                <w:snapToGrid w:val="0"/>
                <w:sz w:val="20"/>
                <w:szCs w:val="20"/>
              </w:rPr>
            </w:pPr>
            <w:r w:rsidRPr="00856D73">
              <w:rPr>
                <w:b/>
                <w:snapToGrid w:val="0"/>
                <w:sz w:val="20"/>
                <w:szCs w:val="20"/>
              </w:rPr>
              <w:t>ACC4</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006F3C" w:rsidRPr="007F666C" w:rsidRDefault="00006F3C" w:rsidP="007F666C">
            <w:pPr>
              <w:tabs>
                <w:tab w:val="left" w:pos="425"/>
              </w:tabs>
              <w:spacing w:before="40" w:after="40"/>
              <w:rPr>
                <w:sz w:val="20"/>
                <w:szCs w:val="20"/>
                <w:lang w:eastAsia="en-AU"/>
              </w:rPr>
            </w:pPr>
            <w:r w:rsidRPr="007F666C">
              <w:rPr>
                <w:sz w:val="20"/>
                <w:szCs w:val="20"/>
                <w:lang w:eastAsia="en-AU"/>
              </w:rPr>
              <w:t>Percentage of all emergency patients with an ED length of stay less than four hours</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006F3C" w:rsidRPr="00856D73" w:rsidRDefault="00006F3C" w:rsidP="007F666C">
            <w:pPr>
              <w:tabs>
                <w:tab w:val="left" w:pos="425"/>
              </w:tabs>
              <w:spacing w:before="40" w:after="40"/>
              <w:rPr>
                <w:sz w:val="20"/>
                <w:szCs w:val="20"/>
                <w:lang w:eastAsia="en-AU"/>
              </w:rPr>
            </w:pPr>
            <w:r w:rsidRPr="00856D73">
              <w:rPr>
                <w:sz w:val="20"/>
                <w:szCs w:val="20"/>
                <w:lang w:eastAsia="en-AU"/>
              </w:rPr>
              <w:t>80%</w:t>
            </w:r>
          </w:p>
          <w:p w:rsidR="00006F3C" w:rsidRPr="00856D73" w:rsidRDefault="00006F3C" w:rsidP="007F666C">
            <w:pPr>
              <w:tabs>
                <w:tab w:val="left" w:pos="425"/>
              </w:tabs>
              <w:spacing w:before="40" w:after="40"/>
              <w:rPr>
                <w:sz w:val="20"/>
                <w:szCs w:val="20"/>
              </w:rPr>
            </w:pPr>
            <w:r w:rsidRPr="00856D73">
              <w:rPr>
                <w:sz w:val="20"/>
                <w:szCs w:val="20"/>
                <w:lang w:eastAsia="en-AU"/>
              </w:rPr>
              <w:t>(all specified facilities)</w:t>
            </w:r>
          </w:p>
        </w:tc>
      </w:tr>
      <w:tr w:rsidR="00006F3C" w:rsidRPr="00856D73" w:rsidTr="007F666C">
        <w:tc>
          <w:tcPr>
            <w:tcW w:w="1560" w:type="dxa"/>
            <w:vMerge/>
            <w:tcBorders>
              <w:bottom w:val="single" w:sz="4" w:space="0" w:color="auto"/>
              <w:right w:val="single" w:sz="4" w:space="0" w:color="auto"/>
            </w:tcBorders>
            <w:shd w:val="clear" w:color="auto" w:fill="auto"/>
            <w:vAlign w:val="center"/>
          </w:tcPr>
          <w:p w:rsidR="00006F3C" w:rsidRPr="00856D73" w:rsidRDefault="00006F3C" w:rsidP="00006F3C">
            <w:pPr>
              <w:tabs>
                <w:tab w:val="left" w:pos="425"/>
              </w:tabs>
              <w:spacing w:before="60" w:after="60"/>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06F3C" w:rsidRPr="00856D73" w:rsidRDefault="00F06417" w:rsidP="00A757B4">
            <w:pPr>
              <w:spacing w:before="60" w:after="60"/>
              <w:rPr>
                <w:b/>
                <w:snapToGrid w:val="0"/>
                <w:sz w:val="20"/>
                <w:szCs w:val="20"/>
              </w:rPr>
            </w:pPr>
            <w:r w:rsidRPr="00856D73">
              <w:rPr>
                <w:b/>
                <w:snapToGrid w:val="0"/>
                <w:sz w:val="20"/>
                <w:szCs w:val="20"/>
              </w:rPr>
              <w:t>ACC5</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006F3C" w:rsidRPr="007F666C" w:rsidRDefault="00006F3C" w:rsidP="007F666C">
            <w:pPr>
              <w:tabs>
                <w:tab w:val="left" w:pos="425"/>
              </w:tabs>
              <w:spacing w:before="40" w:after="40"/>
              <w:rPr>
                <w:sz w:val="20"/>
                <w:szCs w:val="20"/>
                <w:lang w:eastAsia="en-AU"/>
              </w:rPr>
            </w:pPr>
            <w:r w:rsidRPr="007F666C">
              <w:rPr>
                <w:sz w:val="20"/>
                <w:szCs w:val="20"/>
                <w:lang w:eastAsia="en-AU"/>
              </w:rPr>
              <w:t>Percentage of patients admitted through the ED with an ED length of stay less than eight hours</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006F3C" w:rsidRPr="00856D73" w:rsidRDefault="00006F3C" w:rsidP="007F666C">
            <w:pPr>
              <w:tabs>
                <w:tab w:val="left" w:pos="425"/>
              </w:tabs>
              <w:spacing w:before="40" w:after="40"/>
              <w:rPr>
                <w:sz w:val="20"/>
                <w:szCs w:val="20"/>
                <w:lang w:eastAsia="en-AU"/>
              </w:rPr>
            </w:pPr>
            <w:r w:rsidRPr="00856D73">
              <w:rPr>
                <w:sz w:val="20"/>
                <w:szCs w:val="20"/>
                <w:lang w:eastAsia="en-AU"/>
              </w:rPr>
              <w:t>90%</w:t>
            </w:r>
          </w:p>
          <w:p w:rsidR="00006F3C" w:rsidRPr="00856D73" w:rsidRDefault="00006F3C" w:rsidP="007F666C">
            <w:pPr>
              <w:tabs>
                <w:tab w:val="left" w:pos="425"/>
              </w:tabs>
              <w:spacing w:before="40" w:after="40"/>
              <w:rPr>
                <w:sz w:val="20"/>
                <w:szCs w:val="20"/>
              </w:rPr>
            </w:pPr>
            <w:r w:rsidRPr="00856D73">
              <w:rPr>
                <w:sz w:val="20"/>
                <w:szCs w:val="20"/>
                <w:lang w:eastAsia="en-AU"/>
              </w:rPr>
              <w:t>(all specified facilities)</w:t>
            </w:r>
          </w:p>
        </w:tc>
      </w:tr>
      <w:tr w:rsidR="00006F3C" w:rsidRPr="00856D73" w:rsidTr="007F666C">
        <w:tc>
          <w:tcPr>
            <w:tcW w:w="1560" w:type="dxa"/>
            <w:vMerge/>
            <w:tcBorders>
              <w:bottom w:val="single" w:sz="4" w:space="0" w:color="auto"/>
              <w:right w:val="single" w:sz="4" w:space="0" w:color="auto"/>
            </w:tcBorders>
            <w:shd w:val="clear" w:color="auto" w:fill="auto"/>
            <w:vAlign w:val="center"/>
          </w:tcPr>
          <w:p w:rsidR="00006F3C" w:rsidRPr="00856D73" w:rsidRDefault="00006F3C" w:rsidP="00006F3C">
            <w:pPr>
              <w:tabs>
                <w:tab w:val="left" w:pos="425"/>
              </w:tabs>
              <w:spacing w:before="60" w:after="60"/>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06F3C" w:rsidRPr="00856D73" w:rsidRDefault="00F06417" w:rsidP="00A757B4">
            <w:pPr>
              <w:spacing w:before="60" w:after="60"/>
              <w:rPr>
                <w:b/>
                <w:snapToGrid w:val="0"/>
                <w:sz w:val="20"/>
                <w:szCs w:val="20"/>
              </w:rPr>
            </w:pPr>
            <w:r w:rsidRPr="00856D73">
              <w:rPr>
                <w:b/>
                <w:snapToGrid w:val="0"/>
                <w:sz w:val="20"/>
                <w:szCs w:val="20"/>
              </w:rPr>
              <w:t>ACC6</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006F3C" w:rsidRPr="007F666C" w:rsidRDefault="00006F3C" w:rsidP="007F666C">
            <w:pPr>
              <w:tabs>
                <w:tab w:val="left" w:pos="425"/>
              </w:tabs>
              <w:spacing w:before="40" w:after="40"/>
              <w:rPr>
                <w:sz w:val="20"/>
                <w:szCs w:val="20"/>
                <w:lang w:eastAsia="en-AU"/>
              </w:rPr>
            </w:pPr>
            <w:r w:rsidRPr="007F666C">
              <w:rPr>
                <w:sz w:val="20"/>
                <w:szCs w:val="20"/>
                <w:lang w:eastAsia="en-AU"/>
              </w:rPr>
              <w:t>Percentage of all ED patients with an ED length of stay less than 24 hours</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006F3C" w:rsidRPr="00856D73" w:rsidRDefault="00006F3C" w:rsidP="007F666C">
            <w:pPr>
              <w:tabs>
                <w:tab w:val="left" w:pos="425"/>
              </w:tabs>
              <w:spacing w:before="40" w:after="40"/>
              <w:rPr>
                <w:sz w:val="20"/>
                <w:szCs w:val="20"/>
                <w:lang w:eastAsia="en-AU"/>
              </w:rPr>
            </w:pPr>
            <w:r w:rsidRPr="00856D73">
              <w:rPr>
                <w:sz w:val="20"/>
                <w:szCs w:val="20"/>
                <w:lang w:eastAsia="en-AU"/>
              </w:rPr>
              <w:t>100%</w:t>
            </w:r>
          </w:p>
          <w:p w:rsidR="00006F3C" w:rsidRPr="00856D73" w:rsidRDefault="00006F3C" w:rsidP="007F666C">
            <w:pPr>
              <w:tabs>
                <w:tab w:val="left" w:pos="425"/>
              </w:tabs>
              <w:spacing w:before="40" w:after="40"/>
              <w:rPr>
                <w:snapToGrid w:val="0"/>
                <w:sz w:val="20"/>
                <w:szCs w:val="20"/>
              </w:rPr>
            </w:pPr>
            <w:r w:rsidRPr="00856D73">
              <w:rPr>
                <w:sz w:val="20"/>
                <w:szCs w:val="20"/>
                <w:lang w:eastAsia="en-AU"/>
              </w:rPr>
              <w:t>(all specified facilities)</w:t>
            </w:r>
          </w:p>
        </w:tc>
      </w:tr>
      <w:tr w:rsidR="00414433" w:rsidRPr="00856D73" w:rsidTr="007F666C">
        <w:trPr>
          <w:trHeight w:val="1331"/>
        </w:trPr>
        <w:tc>
          <w:tcPr>
            <w:tcW w:w="1560" w:type="dxa"/>
            <w:vMerge/>
            <w:tcBorders>
              <w:bottom w:val="single" w:sz="4" w:space="0" w:color="auto"/>
              <w:right w:val="single" w:sz="4" w:space="0" w:color="auto"/>
            </w:tcBorders>
            <w:shd w:val="clear" w:color="auto" w:fill="auto"/>
            <w:vAlign w:val="center"/>
          </w:tcPr>
          <w:p w:rsidR="00414433" w:rsidRPr="00856D73" w:rsidRDefault="00414433" w:rsidP="00006F3C">
            <w:pPr>
              <w:tabs>
                <w:tab w:val="left" w:pos="425"/>
              </w:tabs>
              <w:spacing w:before="60" w:after="60"/>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14433" w:rsidRPr="00856D73" w:rsidRDefault="00414433" w:rsidP="007F563C">
            <w:pPr>
              <w:spacing w:before="60" w:after="60"/>
              <w:rPr>
                <w:b/>
                <w:snapToGrid w:val="0"/>
                <w:sz w:val="20"/>
                <w:szCs w:val="20"/>
              </w:rPr>
            </w:pPr>
            <w:r>
              <w:rPr>
                <w:b/>
                <w:snapToGrid w:val="0"/>
                <w:sz w:val="20"/>
                <w:szCs w:val="20"/>
              </w:rPr>
              <w:t>ACC7</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414433" w:rsidRPr="007F666C" w:rsidRDefault="00414433" w:rsidP="007F666C">
            <w:pPr>
              <w:tabs>
                <w:tab w:val="left" w:pos="425"/>
              </w:tabs>
              <w:spacing w:before="40" w:after="40"/>
              <w:rPr>
                <w:sz w:val="20"/>
                <w:szCs w:val="20"/>
                <w:lang w:eastAsia="en-AU"/>
              </w:rPr>
            </w:pPr>
            <w:r w:rsidRPr="007F666C">
              <w:rPr>
                <w:sz w:val="20"/>
                <w:szCs w:val="20"/>
                <w:lang w:eastAsia="en-AU"/>
              </w:rPr>
              <w:t>Elective Surgery – Category 1 treat in turn rates</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414433" w:rsidRPr="007F666C" w:rsidRDefault="00771A04" w:rsidP="007F666C">
            <w:pPr>
              <w:tabs>
                <w:tab w:val="left" w:pos="425"/>
              </w:tabs>
              <w:spacing w:before="40" w:after="40"/>
              <w:rPr>
                <w:sz w:val="20"/>
                <w:szCs w:val="20"/>
                <w:lang w:eastAsia="en-AU"/>
              </w:rPr>
            </w:pPr>
            <w:r w:rsidRPr="007F666C">
              <w:rPr>
                <w:sz w:val="20"/>
                <w:szCs w:val="20"/>
                <w:lang w:eastAsia="en-AU"/>
              </w:rPr>
              <w:t>Sep 17: 6</w:t>
            </w:r>
            <w:r w:rsidR="00414433" w:rsidRPr="007F666C">
              <w:rPr>
                <w:sz w:val="20"/>
                <w:szCs w:val="20"/>
                <w:lang w:eastAsia="en-AU"/>
              </w:rPr>
              <w:t>0%</w:t>
            </w:r>
          </w:p>
          <w:p w:rsidR="00414433" w:rsidRPr="007F666C" w:rsidRDefault="00771A04" w:rsidP="007F666C">
            <w:pPr>
              <w:tabs>
                <w:tab w:val="left" w:pos="425"/>
              </w:tabs>
              <w:spacing w:before="40" w:after="40"/>
              <w:rPr>
                <w:sz w:val="20"/>
                <w:szCs w:val="20"/>
                <w:lang w:eastAsia="en-AU"/>
              </w:rPr>
            </w:pPr>
            <w:r w:rsidRPr="007F666C">
              <w:rPr>
                <w:sz w:val="20"/>
                <w:szCs w:val="20"/>
                <w:lang w:eastAsia="en-AU"/>
              </w:rPr>
              <w:t>Dec 17: 60</w:t>
            </w:r>
            <w:r w:rsidR="00414433" w:rsidRPr="007F666C">
              <w:rPr>
                <w:sz w:val="20"/>
                <w:szCs w:val="20"/>
                <w:lang w:eastAsia="en-AU"/>
              </w:rPr>
              <w:t>%</w:t>
            </w:r>
          </w:p>
          <w:p w:rsidR="00414433" w:rsidRPr="007F666C" w:rsidRDefault="00414433" w:rsidP="007F666C">
            <w:pPr>
              <w:tabs>
                <w:tab w:val="left" w:pos="425"/>
              </w:tabs>
              <w:spacing w:before="40" w:after="40"/>
              <w:rPr>
                <w:sz w:val="20"/>
                <w:szCs w:val="20"/>
                <w:lang w:eastAsia="en-AU"/>
              </w:rPr>
            </w:pPr>
            <w:r w:rsidRPr="007F666C">
              <w:rPr>
                <w:sz w:val="20"/>
                <w:szCs w:val="20"/>
                <w:lang w:eastAsia="en-AU"/>
              </w:rPr>
              <w:t>Mar 18: 60%</w:t>
            </w:r>
          </w:p>
          <w:p w:rsidR="00414433" w:rsidRPr="007F666C" w:rsidRDefault="00414433" w:rsidP="007F666C">
            <w:pPr>
              <w:tabs>
                <w:tab w:val="left" w:pos="425"/>
              </w:tabs>
              <w:spacing w:before="40" w:after="40"/>
              <w:rPr>
                <w:sz w:val="20"/>
                <w:szCs w:val="20"/>
                <w:lang w:eastAsia="en-AU"/>
              </w:rPr>
            </w:pPr>
            <w:r w:rsidRPr="007F666C">
              <w:rPr>
                <w:sz w:val="20"/>
                <w:szCs w:val="20"/>
                <w:lang w:eastAsia="en-AU"/>
              </w:rPr>
              <w:t>Jun 18: 60%</w:t>
            </w:r>
          </w:p>
          <w:p w:rsidR="00414433" w:rsidRPr="00856D73" w:rsidRDefault="00414433" w:rsidP="007F666C">
            <w:pPr>
              <w:tabs>
                <w:tab w:val="left" w:pos="425"/>
              </w:tabs>
              <w:spacing w:before="40" w:after="40"/>
              <w:rPr>
                <w:snapToGrid w:val="0"/>
                <w:sz w:val="20"/>
                <w:szCs w:val="20"/>
              </w:rPr>
            </w:pPr>
            <w:r w:rsidRPr="007F666C">
              <w:rPr>
                <w:sz w:val="20"/>
                <w:szCs w:val="20"/>
                <w:lang w:eastAsia="en-AU"/>
              </w:rPr>
              <w:t>(State-wide)</w:t>
            </w:r>
          </w:p>
        </w:tc>
      </w:tr>
      <w:tr w:rsidR="00414433" w:rsidRPr="00856D73" w:rsidTr="007F666C">
        <w:trPr>
          <w:trHeight w:val="1331"/>
        </w:trPr>
        <w:tc>
          <w:tcPr>
            <w:tcW w:w="1560" w:type="dxa"/>
            <w:vMerge/>
            <w:tcBorders>
              <w:bottom w:val="single" w:sz="4" w:space="0" w:color="auto"/>
              <w:right w:val="single" w:sz="4" w:space="0" w:color="auto"/>
            </w:tcBorders>
            <w:shd w:val="clear" w:color="auto" w:fill="auto"/>
            <w:vAlign w:val="center"/>
          </w:tcPr>
          <w:p w:rsidR="00414433" w:rsidRPr="00856D73" w:rsidRDefault="00414433" w:rsidP="00006F3C">
            <w:pPr>
              <w:tabs>
                <w:tab w:val="left" w:pos="425"/>
              </w:tabs>
              <w:spacing w:before="60" w:after="60"/>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14433" w:rsidRPr="00856D73" w:rsidRDefault="00414433" w:rsidP="007F563C">
            <w:pPr>
              <w:spacing w:before="60" w:after="60"/>
              <w:rPr>
                <w:b/>
                <w:snapToGrid w:val="0"/>
                <w:sz w:val="20"/>
                <w:szCs w:val="20"/>
              </w:rPr>
            </w:pPr>
            <w:r>
              <w:rPr>
                <w:b/>
                <w:snapToGrid w:val="0"/>
                <w:sz w:val="20"/>
                <w:szCs w:val="20"/>
              </w:rPr>
              <w:t>ACC8</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414433" w:rsidRPr="007F666C" w:rsidRDefault="00414433" w:rsidP="007F666C">
            <w:pPr>
              <w:tabs>
                <w:tab w:val="left" w:pos="425"/>
              </w:tabs>
              <w:spacing w:before="40" w:after="40"/>
              <w:rPr>
                <w:sz w:val="20"/>
                <w:szCs w:val="20"/>
                <w:lang w:eastAsia="en-AU"/>
              </w:rPr>
            </w:pPr>
            <w:r w:rsidRPr="007F666C">
              <w:rPr>
                <w:sz w:val="20"/>
                <w:szCs w:val="20"/>
                <w:lang w:eastAsia="en-AU"/>
              </w:rPr>
              <w:t>Elective Surgery – Category 1 admitted within the recommended time</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414433" w:rsidRPr="007F666C" w:rsidRDefault="00414433" w:rsidP="007F666C">
            <w:pPr>
              <w:tabs>
                <w:tab w:val="left" w:pos="425"/>
              </w:tabs>
              <w:spacing w:before="40" w:after="40"/>
              <w:rPr>
                <w:sz w:val="20"/>
                <w:szCs w:val="20"/>
                <w:lang w:eastAsia="en-AU"/>
              </w:rPr>
            </w:pPr>
            <w:r w:rsidRPr="007F666C">
              <w:rPr>
                <w:sz w:val="20"/>
                <w:szCs w:val="20"/>
                <w:lang w:eastAsia="en-AU"/>
              </w:rPr>
              <w:t>Sep 17: 90%</w:t>
            </w:r>
          </w:p>
          <w:p w:rsidR="00414433" w:rsidRPr="007F666C" w:rsidRDefault="00414433" w:rsidP="007F666C">
            <w:pPr>
              <w:tabs>
                <w:tab w:val="left" w:pos="425"/>
              </w:tabs>
              <w:spacing w:before="40" w:after="40"/>
              <w:rPr>
                <w:sz w:val="20"/>
                <w:szCs w:val="20"/>
                <w:lang w:eastAsia="en-AU"/>
              </w:rPr>
            </w:pPr>
            <w:r w:rsidRPr="007F666C">
              <w:rPr>
                <w:sz w:val="20"/>
                <w:szCs w:val="20"/>
                <w:lang w:eastAsia="en-AU"/>
              </w:rPr>
              <w:t>Dec 17: 95%</w:t>
            </w:r>
          </w:p>
          <w:p w:rsidR="00414433" w:rsidRPr="007F666C" w:rsidRDefault="00414433" w:rsidP="007F666C">
            <w:pPr>
              <w:tabs>
                <w:tab w:val="left" w:pos="425"/>
              </w:tabs>
              <w:spacing w:before="40" w:after="40"/>
              <w:rPr>
                <w:sz w:val="20"/>
                <w:szCs w:val="20"/>
                <w:lang w:eastAsia="en-AU"/>
              </w:rPr>
            </w:pPr>
            <w:r w:rsidRPr="007F666C">
              <w:rPr>
                <w:sz w:val="20"/>
                <w:szCs w:val="20"/>
                <w:lang w:eastAsia="en-AU"/>
              </w:rPr>
              <w:t>Mar 18: 100%</w:t>
            </w:r>
          </w:p>
          <w:p w:rsidR="00414433" w:rsidRPr="007F666C" w:rsidRDefault="00414433" w:rsidP="007F666C">
            <w:pPr>
              <w:tabs>
                <w:tab w:val="left" w:pos="425"/>
              </w:tabs>
              <w:spacing w:before="40" w:after="40"/>
              <w:rPr>
                <w:sz w:val="20"/>
                <w:szCs w:val="20"/>
                <w:lang w:eastAsia="en-AU"/>
              </w:rPr>
            </w:pPr>
            <w:r w:rsidRPr="007F666C">
              <w:rPr>
                <w:sz w:val="20"/>
                <w:szCs w:val="20"/>
                <w:lang w:eastAsia="en-AU"/>
              </w:rPr>
              <w:t>Jun 18: 100%</w:t>
            </w:r>
          </w:p>
          <w:p w:rsidR="00414433" w:rsidRPr="00856D73" w:rsidRDefault="00414433" w:rsidP="007F666C">
            <w:pPr>
              <w:tabs>
                <w:tab w:val="left" w:pos="425"/>
              </w:tabs>
              <w:spacing w:before="40" w:after="40"/>
              <w:rPr>
                <w:snapToGrid w:val="0"/>
                <w:sz w:val="20"/>
                <w:szCs w:val="20"/>
              </w:rPr>
            </w:pPr>
            <w:r w:rsidRPr="007F666C">
              <w:rPr>
                <w:sz w:val="20"/>
                <w:szCs w:val="20"/>
                <w:lang w:eastAsia="en-AU"/>
              </w:rPr>
              <w:t>(State-wide)</w:t>
            </w:r>
          </w:p>
        </w:tc>
      </w:tr>
      <w:tr w:rsidR="00414433" w:rsidRPr="00856D73" w:rsidTr="007F666C">
        <w:trPr>
          <w:trHeight w:val="1423"/>
        </w:trPr>
        <w:tc>
          <w:tcPr>
            <w:tcW w:w="1560" w:type="dxa"/>
            <w:vMerge/>
            <w:tcBorders>
              <w:bottom w:val="single" w:sz="4" w:space="0" w:color="auto"/>
              <w:right w:val="single" w:sz="4" w:space="0" w:color="auto"/>
            </w:tcBorders>
            <w:shd w:val="clear" w:color="auto" w:fill="auto"/>
            <w:vAlign w:val="center"/>
          </w:tcPr>
          <w:p w:rsidR="00414433" w:rsidRPr="00856D73" w:rsidRDefault="00414433" w:rsidP="00006F3C">
            <w:pPr>
              <w:tabs>
                <w:tab w:val="left" w:pos="425"/>
              </w:tabs>
              <w:spacing w:before="60" w:after="60"/>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14433" w:rsidRPr="00856D73" w:rsidRDefault="00414433" w:rsidP="007F563C">
            <w:pPr>
              <w:spacing w:before="60" w:after="60"/>
              <w:rPr>
                <w:b/>
                <w:snapToGrid w:val="0"/>
                <w:sz w:val="20"/>
                <w:szCs w:val="20"/>
              </w:rPr>
            </w:pPr>
            <w:r>
              <w:rPr>
                <w:b/>
                <w:snapToGrid w:val="0"/>
                <w:sz w:val="20"/>
                <w:szCs w:val="20"/>
              </w:rPr>
              <w:t>ACC9</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414433" w:rsidRPr="007F666C" w:rsidRDefault="00414433" w:rsidP="007F666C">
            <w:pPr>
              <w:tabs>
                <w:tab w:val="left" w:pos="425"/>
              </w:tabs>
              <w:spacing w:before="40" w:after="40"/>
              <w:rPr>
                <w:sz w:val="20"/>
                <w:szCs w:val="20"/>
                <w:lang w:eastAsia="en-AU"/>
              </w:rPr>
            </w:pPr>
            <w:r w:rsidRPr="007F666C">
              <w:rPr>
                <w:sz w:val="20"/>
                <w:szCs w:val="20"/>
                <w:lang w:eastAsia="en-AU"/>
              </w:rPr>
              <w:t>Elect</w:t>
            </w:r>
            <w:r w:rsidR="00771A04" w:rsidRPr="007F666C">
              <w:rPr>
                <w:sz w:val="20"/>
                <w:szCs w:val="20"/>
                <w:lang w:eastAsia="en-AU"/>
              </w:rPr>
              <w:t>ive Surgery – Category 1 maximum</w:t>
            </w:r>
            <w:r w:rsidRPr="007F666C">
              <w:rPr>
                <w:sz w:val="20"/>
                <w:szCs w:val="20"/>
                <w:lang w:eastAsia="en-AU"/>
              </w:rPr>
              <w:t xml:space="preserve"> overdue days</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414433" w:rsidRPr="00856D73" w:rsidRDefault="00592C1D" w:rsidP="007F563C">
            <w:pPr>
              <w:spacing w:before="60" w:after="60"/>
              <w:rPr>
                <w:snapToGrid w:val="0"/>
                <w:sz w:val="20"/>
                <w:szCs w:val="20"/>
              </w:rPr>
            </w:pPr>
            <w:r>
              <w:rPr>
                <w:snapToGrid w:val="0"/>
                <w:sz w:val="20"/>
                <w:szCs w:val="20"/>
              </w:rPr>
              <w:t>Sep 17: 40</w:t>
            </w:r>
          </w:p>
          <w:p w:rsidR="00414433" w:rsidRPr="00856D73" w:rsidRDefault="00592C1D" w:rsidP="007F563C">
            <w:pPr>
              <w:spacing w:before="60" w:after="60"/>
              <w:rPr>
                <w:snapToGrid w:val="0"/>
                <w:sz w:val="20"/>
                <w:szCs w:val="20"/>
              </w:rPr>
            </w:pPr>
            <w:r>
              <w:rPr>
                <w:snapToGrid w:val="0"/>
                <w:sz w:val="20"/>
                <w:szCs w:val="20"/>
              </w:rPr>
              <w:t>Dec 17: 40</w:t>
            </w:r>
          </w:p>
          <w:p w:rsidR="00414433" w:rsidRPr="00856D73" w:rsidRDefault="00592C1D" w:rsidP="007F563C">
            <w:pPr>
              <w:spacing w:before="60" w:after="60"/>
              <w:rPr>
                <w:snapToGrid w:val="0"/>
                <w:sz w:val="20"/>
                <w:szCs w:val="20"/>
              </w:rPr>
            </w:pPr>
            <w:r>
              <w:rPr>
                <w:snapToGrid w:val="0"/>
                <w:sz w:val="20"/>
                <w:szCs w:val="20"/>
              </w:rPr>
              <w:t>Mar 18: 5</w:t>
            </w:r>
          </w:p>
          <w:p w:rsidR="00414433" w:rsidRPr="00856D73" w:rsidRDefault="00414433" w:rsidP="007F563C">
            <w:pPr>
              <w:spacing w:before="60" w:after="60"/>
              <w:rPr>
                <w:snapToGrid w:val="0"/>
                <w:sz w:val="20"/>
                <w:szCs w:val="20"/>
              </w:rPr>
            </w:pPr>
            <w:r>
              <w:rPr>
                <w:snapToGrid w:val="0"/>
                <w:sz w:val="20"/>
                <w:szCs w:val="20"/>
              </w:rPr>
              <w:t xml:space="preserve">Jun 18: </w:t>
            </w:r>
            <w:r w:rsidR="00592C1D">
              <w:rPr>
                <w:snapToGrid w:val="0"/>
                <w:sz w:val="20"/>
                <w:szCs w:val="20"/>
              </w:rPr>
              <w:t>5</w:t>
            </w:r>
          </w:p>
          <w:p w:rsidR="00414433" w:rsidRPr="00856D73" w:rsidRDefault="00414433" w:rsidP="007F563C">
            <w:pPr>
              <w:spacing w:before="60" w:after="60"/>
              <w:rPr>
                <w:snapToGrid w:val="0"/>
                <w:sz w:val="20"/>
                <w:szCs w:val="20"/>
              </w:rPr>
            </w:pPr>
            <w:r w:rsidRPr="00856D73">
              <w:rPr>
                <w:snapToGrid w:val="0"/>
                <w:sz w:val="20"/>
                <w:szCs w:val="20"/>
              </w:rPr>
              <w:t>(State-wide)</w:t>
            </w:r>
          </w:p>
        </w:tc>
      </w:tr>
      <w:tr w:rsidR="00414433" w:rsidRPr="00856D73" w:rsidTr="007F666C">
        <w:tc>
          <w:tcPr>
            <w:tcW w:w="1560" w:type="dxa"/>
            <w:vMerge/>
            <w:tcBorders>
              <w:bottom w:val="single" w:sz="4" w:space="0" w:color="auto"/>
              <w:right w:val="single" w:sz="4" w:space="0" w:color="auto"/>
            </w:tcBorders>
            <w:shd w:val="clear" w:color="auto" w:fill="auto"/>
            <w:vAlign w:val="center"/>
          </w:tcPr>
          <w:p w:rsidR="00414433" w:rsidRPr="00856D73" w:rsidRDefault="00414433" w:rsidP="00006F3C">
            <w:pPr>
              <w:tabs>
                <w:tab w:val="left" w:pos="425"/>
              </w:tabs>
              <w:spacing w:before="60" w:after="60"/>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14433" w:rsidRDefault="00414433" w:rsidP="007F563C">
            <w:pPr>
              <w:spacing w:before="60" w:after="60"/>
              <w:rPr>
                <w:b/>
                <w:snapToGrid w:val="0"/>
                <w:sz w:val="20"/>
                <w:szCs w:val="20"/>
              </w:rPr>
            </w:pPr>
            <w:r>
              <w:rPr>
                <w:b/>
                <w:snapToGrid w:val="0"/>
                <w:sz w:val="20"/>
                <w:szCs w:val="20"/>
              </w:rPr>
              <w:t>ACC10</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414433" w:rsidRPr="007F666C" w:rsidRDefault="00414433" w:rsidP="007F666C">
            <w:pPr>
              <w:tabs>
                <w:tab w:val="left" w:pos="425"/>
              </w:tabs>
              <w:spacing w:before="40" w:after="40"/>
              <w:rPr>
                <w:sz w:val="20"/>
                <w:szCs w:val="20"/>
                <w:lang w:eastAsia="en-AU"/>
              </w:rPr>
            </w:pPr>
            <w:r w:rsidRPr="007F666C">
              <w:rPr>
                <w:sz w:val="20"/>
                <w:szCs w:val="20"/>
                <w:lang w:eastAsia="en-AU"/>
              </w:rPr>
              <w:t>Elective Surgery – Category 2 treat in turn rates</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414433" w:rsidRPr="007F666C" w:rsidRDefault="00771A04" w:rsidP="007F666C">
            <w:pPr>
              <w:tabs>
                <w:tab w:val="left" w:pos="425"/>
              </w:tabs>
              <w:spacing w:before="40" w:after="40"/>
              <w:rPr>
                <w:sz w:val="20"/>
                <w:szCs w:val="20"/>
                <w:lang w:eastAsia="en-AU"/>
              </w:rPr>
            </w:pPr>
            <w:r w:rsidRPr="007F666C">
              <w:rPr>
                <w:sz w:val="20"/>
                <w:szCs w:val="20"/>
                <w:lang w:eastAsia="en-AU"/>
              </w:rPr>
              <w:t>Sep 17: 6</w:t>
            </w:r>
            <w:r w:rsidR="00414433" w:rsidRPr="007F666C">
              <w:rPr>
                <w:sz w:val="20"/>
                <w:szCs w:val="20"/>
                <w:lang w:eastAsia="en-AU"/>
              </w:rPr>
              <w:t>0%</w:t>
            </w:r>
          </w:p>
          <w:p w:rsidR="00414433" w:rsidRPr="007F666C" w:rsidRDefault="00771A04" w:rsidP="007F666C">
            <w:pPr>
              <w:tabs>
                <w:tab w:val="left" w:pos="425"/>
              </w:tabs>
              <w:spacing w:before="40" w:after="40"/>
              <w:rPr>
                <w:sz w:val="20"/>
                <w:szCs w:val="20"/>
                <w:lang w:eastAsia="en-AU"/>
              </w:rPr>
            </w:pPr>
            <w:r w:rsidRPr="007F666C">
              <w:rPr>
                <w:sz w:val="20"/>
                <w:szCs w:val="20"/>
                <w:lang w:eastAsia="en-AU"/>
              </w:rPr>
              <w:t>Dec 17: 60</w:t>
            </w:r>
            <w:r w:rsidR="00414433" w:rsidRPr="007F666C">
              <w:rPr>
                <w:sz w:val="20"/>
                <w:szCs w:val="20"/>
                <w:lang w:eastAsia="en-AU"/>
              </w:rPr>
              <w:t>%</w:t>
            </w:r>
          </w:p>
          <w:p w:rsidR="00414433" w:rsidRPr="007F666C" w:rsidRDefault="00414433" w:rsidP="007F666C">
            <w:pPr>
              <w:tabs>
                <w:tab w:val="left" w:pos="425"/>
              </w:tabs>
              <w:spacing w:before="40" w:after="40"/>
              <w:rPr>
                <w:sz w:val="20"/>
                <w:szCs w:val="20"/>
                <w:lang w:eastAsia="en-AU"/>
              </w:rPr>
            </w:pPr>
            <w:r w:rsidRPr="007F666C">
              <w:rPr>
                <w:sz w:val="20"/>
                <w:szCs w:val="20"/>
                <w:lang w:eastAsia="en-AU"/>
              </w:rPr>
              <w:t>Mar 18: 60%</w:t>
            </w:r>
          </w:p>
          <w:p w:rsidR="00414433" w:rsidRPr="007F666C" w:rsidRDefault="00414433" w:rsidP="007F666C">
            <w:pPr>
              <w:tabs>
                <w:tab w:val="left" w:pos="425"/>
              </w:tabs>
              <w:spacing w:before="40" w:after="40"/>
              <w:rPr>
                <w:sz w:val="20"/>
                <w:szCs w:val="20"/>
                <w:lang w:eastAsia="en-AU"/>
              </w:rPr>
            </w:pPr>
            <w:r w:rsidRPr="007F666C">
              <w:rPr>
                <w:sz w:val="20"/>
                <w:szCs w:val="20"/>
                <w:lang w:eastAsia="en-AU"/>
              </w:rPr>
              <w:t>Jun 18: 60%</w:t>
            </w:r>
          </w:p>
          <w:p w:rsidR="00414433" w:rsidRPr="007F666C" w:rsidRDefault="00414433" w:rsidP="007F666C">
            <w:pPr>
              <w:tabs>
                <w:tab w:val="left" w:pos="425"/>
              </w:tabs>
              <w:spacing w:before="40" w:after="40"/>
              <w:rPr>
                <w:sz w:val="20"/>
                <w:szCs w:val="20"/>
                <w:lang w:eastAsia="en-AU"/>
              </w:rPr>
            </w:pPr>
            <w:r w:rsidRPr="007F666C">
              <w:rPr>
                <w:sz w:val="20"/>
                <w:szCs w:val="20"/>
                <w:lang w:eastAsia="en-AU"/>
              </w:rPr>
              <w:t>(State-wide)</w:t>
            </w:r>
          </w:p>
        </w:tc>
      </w:tr>
      <w:tr w:rsidR="00414433" w:rsidRPr="00856D73" w:rsidTr="007F666C">
        <w:tc>
          <w:tcPr>
            <w:tcW w:w="1560" w:type="dxa"/>
            <w:vMerge/>
            <w:tcBorders>
              <w:bottom w:val="single" w:sz="4" w:space="0" w:color="auto"/>
              <w:right w:val="single" w:sz="4" w:space="0" w:color="auto"/>
            </w:tcBorders>
            <w:shd w:val="clear" w:color="auto" w:fill="auto"/>
            <w:vAlign w:val="center"/>
          </w:tcPr>
          <w:p w:rsidR="00414433" w:rsidRPr="00856D73" w:rsidRDefault="00414433" w:rsidP="00006F3C">
            <w:pPr>
              <w:tabs>
                <w:tab w:val="left" w:pos="425"/>
              </w:tabs>
              <w:spacing w:before="60" w:after="60"/>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14433" w:rsidRDefault="00414433" w:rsidP="007F563C">
            <w:pPr>
              <w:spacing w:before="60" w:after="60"/>
              <w:rPr>
                <w:b/>
                <w:snapToGrid w:val="0"/>
                <w:sz w:val="20"/>
                <w:szCs w:val="20"/>
              </w:rPr>
            </w:pPr>
            <w:r>
              <w:rPr>
                <w:b/>
                <w:snapToGrid w:val="0"/>
                <w:sz w:val="20"/>
                <w:szCs w:val="20"/>
              </w:rPr>
              <w:t>ACC11</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414433" w:rsidRPr="007F666C" w:rsidRDefault="00414433" w:rsidP="007F666C">
            <w:pPr>
              <w:tabs>
                <w:tab w:val="left" w:pos="425"/>
              </w:tabs>
              <w:spacing w:before="40" w:after="40"/>
              <w:rPr>
                <w:sz w:val="20"/>
                <w:szCs w:val="20"/>
                <w:lang w:eastAsia="en-AU"/>
              </w:rPr>
            </w:pPr>
            <w:r w:rsidRPr="007F666C">
              <w:rPr>
                <w:sz w:val="20"/>
                <w:szCs w:val="20"/>
                <w:lang w:eastAsia="en-AU"/>
              </w:rPr>
              <w:t>Elective Surgery – Category 2 admitted within the recommended time</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414433" w:rsidRPr="007F666C" w:rsidRDefault="00414433" w:rsidP="007F666C">
            <w:pPr>
              <w:tabs>
                <w:tab w:val="left" w:pos="425"/>
              </w:tabs>
              <w:spacing w:before="40" w:after="40"/>
              <w:rPr>
                <w:sz w:val="20"/>
                <w:szCs w:val="20"/>
                <w:lang w:eastAsia="en-AU"/>
              </w:rPr>
            </w:pPr>
            <w:r w:rsidRPr="007F666C">
              <w:rPr>
                <w:sz w:val="20"/>
                <w:szCs w:val="20"/>
                <w:lang w:eastAsia="en-AU"/>
              </w:rPr>
              <w:t>Sep 17: 80%</w:t>
            </w:r>
          </w:p>
          <w:p w:rsidR="00414433" w:rsidRPr="007F666C" w:rsidRDefault="00414433" w:rsidP="007F666C">
            <w:pPr>
              <w:tabs>
                <w:tab w:val="left" w:pos="425"/>
              </w:tabs>
              <w:spacing w:before="40" w:after="40"/>
              <w:rPr>
                <w:sz w:val="20"/>
                <w:szCs w:val="20"/>
                <w:lang w:eastAsia="en-AU"/>
              </w:rPr>
            </w:pPr>
            <w:r w:rsidRPr="007F666C">
              <w:rPr>
                <w:sz w:val="20"/>
                <w:szCs w:val="20"/>
                <w:lang w:eastAsia="en-AU"/>
              </w:rPr>
              <w:t>Dec 17: 80%</w:t>
            </w:r>
          </w:p>
          <w:p w:rsidR="00414433" w:rsidRPr="007F666C" w:rsidRDefault="00414433" w:rsidP="007F666C">
            <w:pPr>
              <w:tabs>
                <w:tab w:val="left" w:pos="425"/>
              </w:tabs>
              <w:spacing w:before="40" w:after="40"/>
              <w:rPr>
                <w:sz w:val="20"/>
                <w:szCs w:val="20"/>
                <w:lang w:eastAsia="en-AU"/>
              </w:rPr>
            </w:pPr>
            <w:r w:rsidRPr="007F666C">
              <w:rPr>
                <w:sz w:val="20"/>
                <w:szCs w:val="20"/>
                <w:lang w:eastAsia="en-AU"/>
              </w:rPr>
              <w:t>Mar 18: 90%</w:t>
            </w:r>
          </w:p>
          <w:p w:rsidR="00414433" w:rsidRPr="007F666C" w:rsidRDefault="00414433" w:rsidP="007F666C">
            <w:pPr>
              <w:tabs>
                <w:tab w:val="left" w:pos="425"/>
              </w:tabs>
              <w:spacing w:before="40" w:after="40"/>
              <w:rPr>
                <w:sz w:val="20"/>
                <w:szCs w:val="20"/>
                <w:lang w:eastAsia="en-AU"/>
              </w:rPr>
            </w:pPr>
            <w:r w:rsidRPr="007F666C">
              <w:rPr>
                <w:sz w:val="20"/>
                <w:szCs w:val="20"/>
                <w:lang w:eastAsia="en-AU"/>
              </w:rPr>
              <w:t>Jun 18: 95%</w:t>
            </w:r>
          </w:p>
          <w:p w:rsidR="00414433" w:rsidRPr="007F666C" w:rsidRDefault="00414433" w:rsidP="007F666C">
            <w:pPr>
              <w:tabs>
                <w:tab w:val="left" w:pos="425"/>
              </w:tabs>
              <w:spacing w:before="40" w:after="40"/>
              <w:rPr>
                <w:sz w:val="20"/>
                <w:szCs w:val="20"/>
                <w:lang w:eastAsia="en-AU"/>
              </w:rPr>
            </w:pPr>
            <w:r w:rsidRPr="007F666C">
              <w:rPr>
                <w:sz w:val="20"/>
                <w:szCs w:val="20"/>
                <w:lang w:eastAsia="en-AU"/>
              </w:rPr>
              <w:t>(State-wide)</w:t>
            </w:r>
          </w:p>
        </w:tc>
      </w:tr>
      <w:tr w:rsidR="00414433" w:rsidRPr="00856D73" w:rsidTr="007F666C">
        <w:tc>
          <w:tcPr>
            <w:tcW w:w="1560" w:type="dxa"/>
            <w:vMerge/>
            <w:tcBorders>
              <w:bottom w:val="single" w:sz="4" w:space="0" w:color="auto"/>
              <w:right w:val="single" w:sz="4" w:space="0" w:color="auto"/>
            </w:tcBorders>
            <w:shd w:val="clear" w:color="auto" w:fill="auto"/>
            <w:vAlign w:val="center"/>
          </w:tcPr>
          <w:p w:rsidR="00414433" w:rsidRPr="00856D73" w:rsidRDefault="00414433" w:rsidP="00006F3C">
            <w:pPr>
              <w:tabs>
                <w:tab w:val="left" w:pos="425"/>
              </w:tabs>
              <w:spacing w:before="60" w:after="60"/>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14433" w:rsidRDefault="00414433" w:rsidP="007F563C">
            <w:pPr>
              <w:spacing w:before="60" w:after="60"/>
              <w:rPr>
                <w:b/>
                <w:snapToGrid w:val="0"/>
                <w:sz w:val="20"/>
                <w:szCs w:val="20"/>
              </w:rPr>
            </w:pPr>
            <w:r>
              <w:rPr>
                <w:b/>
                <w:snapToGrid w:val="0"/>
                <w:sz w:val="20"/>
                <w:szCs w:val="20"/>
              </w:rPr>
              <w:t>ACC12</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414433" w:rsidRPr="007F666C" w:rsidRDefault="00414433" w:rsidP="007F666C">
            <w:pPr>
              <w:tabs>
                <w:tab w:val="left" w:pos="425"/>
              </w:tabs>
              <w:spacing w:before="40" w:after="40"/>
              <w:rPr>
                <w:sz w:val="20"/>
                <w:szCs w:val="20"/>
                <w:lang w:eastAsia="en-AU"/>
              </w:rPr>
            </w:pPr>
            <w:r w:rsidRPr="007F666C">
              <w:rPr>
                <w:sz w:val="20"/>
                <w:szCs w:val="20"/>
                <w:lang w:eastAsia="en-AU"/>
              </w:rPr>
              <w:t>Elect</w:t>
            </w:r>
            <w:r w:rsidR="00771A04" w:rsidRPr="007F666C">
              <w:rPr>
                <w:sz w:val="20"/>
                <w:szCs w:val="20"/>
                <w:lang w:eastAsia="en-AU"/>
              </w:rPr>
              <w:t>ive Surgery – Category 2 maximum</w:t>
            </w:r>
            <w:r w:rsidRPr="007F666C">
              <w:rPr>
                <w:sz w:val="20"/>
                <w:szCs w:val="20"/>
                <w:lang w:eastAsia="en-AU"/>
              </w:rPr>
              <w:t xml:space="preserve"> overdue days</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414433" w:rsidRPr="007F666C" w:rsidRDefault="00592C1D" w:rsidP="007F666C">
            <w:pPr>
              <w:tabs>
                <w:tab w:val="left" w:pos="425"/>
              </w:tabs>
              <w:spacing w:before="40" w:after="40"/>
              <w:rPr>
                <w:sz w:val="20"/>
                <w:szCs w:val="20"/>
                <w:lang w:eastAsia="en-AU"/>
              </w:rPr>
            </w:pPr>
            <w:r>
              <w:rPr>
                <w:sz w:val="20"/>
                <w:szCs w:val="20"/>
                <w:lang w:eastAsia="en-AU"/>
              </w:rPr>
              <w:t>Sep 17: 125</w:t>
            </w:r>
          </w:p>
          <w:p w:rsidR="00414433" w:rsidRPr="007F666C" w:rsidRDefault="00592C1D" w:rsidP="007F666C">
            <w:pPr>
              <w:tabs>
                <w:tab w:val="left" w:pos="425"/>
              </w:tabs>
              <w:spacing w:before="40" w:after="40"/>
              <w:rPr>
                <w:sz w:val="20"/>
                <w:szCs w:val="20"/>
                <w:lang w:eastAsia="en-AU"/>
              </w:rPr>
            </w:pPr>
            <w:r>
              <w:rPr>
                <w:sz w:val="20"/>
                <w:szCs w:val="20"/>
                <w:lang w:eastAsia="en-AU"/>
              </w:rPr>
              <w:t>Dec 17: 115</w:t>
            </w:r>
          </w:p>
          <w:p w:rsidR="00414433" w:rsidRPr="007F666C" w:rsidRDefault="00592C1D" w:rsidP="007F666C">
            <w:pPr>
              <w:tabs>
                <w:tab w:val="left" w:pos="425"/>
              </w:tabs>
              <w:spacing w:before="40" w:after="40"/>
              <w:rPr>
                <w:sz w:val="20"/>
                <w:szCs w:val="20"/>
                <w:lang w:eastAsia="en-AU"/>
              </w:rPr>
            </w:pPr>
            <w:r>
              <w:rPr>
                <w:sz w:val="20"/>
                <w:szCs w:val="20"/>
                <w:lang w:eastAsia="en-AU"/>
              </w:rPr>
              <w:t>Mar 18: 110</w:t>
            </w:r>
          </w:p>
          <w:p w:rsidR="00414433" w:rsidRPr="007F666C" w:rsidRDefault="00414433" w:rsidP="007F666C">
            <w:pPr>
              <w:tabs>
                <w:tab w:val="left" w:pos="425"/>
              </w:tabs>
              <w:spacing w:before="40" w:after="40"/>
              <w:rPr>
                <w:sz w:val="20"/>
                <w:szCs w:val="20"/>
                <w:lang w:eastAsia="en-AU"/>
              </w:rPr>
            </w:pPr>
            <w:r w:rsidRPr="007F666C">
              <w:rPr>
                <w:sz w:val="20"/>
                <w:szCs w:val="20"/>
                <w:lang w:eastAsia="en-AU"/>
              </w:rPr>
              <w:t>Jun 18: 10</w:t>
            </w:r>
            <w:r w:rsidR="00592C1D">
              <w:rPr>
                <w:sz w:val="20"/>
                <w:szCs w:val="20"/>
                <w:lang w:eastAsia="en-AU"/>
              </w:rPr>
              <w:t>0</w:t>
            </w:r>
          </w:p>
          <w:p w:rsidR="00414433" w:rsidRPr="007F666C" w:rsidRDefault="00414433" w:rsidP="007F666C">
            <w:pPr>
              <w:tabs>
                <w:tab w:val="left" w:pos="425"/>
              </w:tabs>
              <w:spacing w:before="40" w:after="40"/>
              <w:rPr>
                <w:sz w:val="20"/>
                <w:szCs w:val="20"/>
                <w:lang w:eastAsia="en-AU"/>
              </w:rPr>
            </w:pPr>
            <w:r w:rsidRPr="007F666C">
              <w:rPr>
                <w:sz w:val="20"/>
                <w:szCs w:val="20"/>
                <w:lang w:eastAsia="en-AU"/>
              </w:rPr>
              <w:t>(State-wide)</w:t>
            </w:r>
          </w:p>
        </w:tc>
      </w:tr>
      <w:tr w:rsidR="00414433" w:rsidRPr="00856D73" w:rsidTr="007F666C">
        <w:tc>
          <w:tcPr>
            <w:tcW w:w="1560" w:type="dxa"/>
            <w:vMerge/>
            <w:tcBorders>
              <w:bottom w:val="single" w:sz="4" w:space="0" w:color="auto"/>
              <w:right w:val="single" w:sz="4" w:space="0" w:color="auto"/>
            </w:tcBorders>
            <w:shd w:val="clear" w:color="auto" w:fill="auto"/>
            <w:vAlign w:val="center"/>
          </w:tcPr>
          <w:p w:rsidR="00414433" w:rsidRPr="00856D73" w:rsidRDefault="00414433" w:rsidP="00006F3C">
            <w:pPr>
              <w:tabs>
                <w:tab w:val="left" w:pos="425"/>
              </w:tabs>
              <w:spacing w:before="60" w:after="60"/>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14433" w:rsidRPr="00856D73" w:rsidRDefault="00414433" w:rsidP="007F563C">
            <w:pPr>
              <w:spacing w:before="60" w:after="60"/>
              <w:rPr>
                <w:b/>
                <w:snapToGrid w:val="0"/>
                <w:sz w:val="20"/>
                <w:szCs w:val="20"/>
              </w:rPr>
            </w:pPr>
            <w:r>
              <w:rPr>
                <w:b/>
                <w:snapToGrid w:val="0"/>
                <w:sz w:val="20"/>
                <w:szCs w:val="20"/>
              </w:rPr>
              <w:t>ACC13</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414433" w:rsidRPr="007F666C" w:rsidRDefault="00414433" w:rsidP="007F666C">
            <w:pPr>
              <w:tabs>
                <w:tab w:val="left" w:pos="425"/>
              </w:tabs>
              <w:spacing w:before="40" w:after="40"/>
              <w:rPr>
                <w:sz w:val="20"/>
                <w:szCs w:val="20"/>
                <w:lang w:eastAsia="en-AU"/>
              </w:rPr>
            </w:pPr>
            <w:r w:rsidRPr="007F666C">
              <w:rPr>
                <w:sz w:val="20"/>
                <w:szCs w:val="20"/>
                <w:lang w:eastAsia="en-AU"/>
              </w:rPr>
              <w:t>Elective Surgery – Category 3 treat in turn rates</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414433" w:rsidRPr="007F666C" w:rsidRDefault="00771A04" w:rsidP="007F666C">
            <w:pPr>
              <w:tabs>
                <w:tab w:val="left" w:pos="425"/>
              </w:tabs>
              <w:spacing w:before="40" w:after="40"/>
              <w:rPr>
                <w:sz w:val="20"/>
                <w:szCs w:val="20"/>
                <w:lang w:eastAsia="en-AU"/>
              </w:rPr>
            </w:pPr>
            <w:r w:rsidRPr="007F666C">
              <w:rPr>
                <w:sz w:val="20"/>
                <w:szCs w:val="20"/>
                <w:lang w:eastAsia="en-AU"/>
              </w:rPr>
              <w:t>Sep 17: 6</w:t>
            </w:r>
            <w:r w:rsidR="00414433" w:rsidRPr="007F666C">
              <w:rPr>
                <w:sz w:val="20"/>
                <w:szCs w:val="20"/>
                <w:lang w:eastAsia="en-AU"/>
              </w:rPr>
              <w:t>0%</w:t>
            </w:r>
          </w:p>
          <w:p w:rsidR="00414433" w:rsidRPr="007F666C" w:rsidRDefault="00771A04" w:rsidP="007F666C">
            <w:pPr>
              <w:tabs>
                <w:tab w:val="left" w:pos="425"/>
              </w:tabs>
              <w:spacing w:before="40" w:after="40"/>
              <w:rPr>
                <w:sz w:val="20"/>
                <w:szCs w:val="20"/>
                <w:lang w:eastAsia="en-AU"/>
              </w:rPr>
            </w:pPr>
            <w:r w:rsidRPr="007F666C">
              <w:rPr>
                <w:sz w:val="20"/>
                <w:szCs w:val="20"/>
                <w:lang w:eastAsia="en-AU"/>
              </w:rPr>
              <w:t>Dec 17: 60</w:t>
            </w:r>
            <w:r w:rsidR="00414433" w:rsidRPr="007F666C">
              <w:rPr>
                <w:sz w:val="20"/>
                <w:szCs w:val="20"/>
                <w:lang w:eastAsia="en-AU"/>
              </w:rPr>
              <w:t>%</w:t>
            </w:r>
          </w:p>
          <w:p w:rsidR="00414433" w:rsidRPr="007F666C" w:rsidRDefault="00414433" w:rsidP="007F666C">
            <w:pPr>
              <w:tabs>
                <w:tab w:val="left" w:pos="425"/>
              </w:tabs>
              <w:spacing w:before="40" w:after="40"/>
              <w:rPr>
                <w:sz w:val="20"/>
                <w:szCs w:val="20"/>
                <w:lang w:eastAsia="en-AU"/>
              </w:rPr>
            </w:pPr>
            <w:r w:rsidRPr="007F666C">
              <w:rPr>
                <w:sz w:val="20"/>
                <w:szCs w:val="20"/>
                <w:lang w:eastAsia="en-AU"/>
              </w:rPr>
              <w:t>Mar 18: 60%</w:t>
            </w:r>
          </w:p>
          <w:p w:rsidR="00414433" w:rsidRPr="007F666C" w:rsidRDefault="00414433" w:rsidP="007F666C">
            <w:pPr>
              <w:tabs>
                <w:tab w:val="left" w:pos="425"/>
              </w:tabs>
              <w:spacing w:before="40" w:after="40"/>
              <w:rPr>
                <w:sz w:val="20"/>
                <w:szCs w:val="20"/>
                <w:lang w:eastAsia="en-AU"/>
              </w:rPr>
            </w:pPr>
            <w:r w:rsidRPr="007F666C">
              <w:rPr>
                <w:sz w:val="20"/>
                <w:szCs w:val="20"/>
                <w:lang w:eastAsia="en-AU"/>
              </w:rPr>
              <w:t>Jun 18: 60%</w:t>
            </w:r>
          </w:p>
          <w:p w:rsidR="00414433" w:rsidRPr="007F666C" w:rsidRDefault="00414433" w:rsidP="007F666C">
            <w:pPr>
              <w:tabs>
                <w:tab w:val="left" w:pos="425"/>
              </w:tabs>
              <w:spacing w:before="40" w:after="40"/>
              <w:rPr>
                <w:sz w:val="20"/>
                <w:szCs w:val="20"/>
                <w:lang w:eastAsia="en-AU"/>
              </w:rPr>
            </w:pPr>
            <w:r w:rsidRPr="007F666C">
              <w:rPr>
                <w:sz w:val="20"/>
                <w:szCs w:val="20"/>
                <w:lang w:eastAsia="en-AU"/>
              </w:rPr>
              <w:t>(State-wide)</w:t>
            </w:r>
          </w:p>
        </w:tc>
      </w:tr>
      <w:tr w:rsidR="00414433" w:rsidRPr="00856D73" w:rsidTr="007F666C">
        <w:tc>
          <w:tcPr>
            <w:tcW w:w="1560" w:type="dxa"/>
            <w:vMerge/>
            <w:tcBorders>
              <w:bottom w:val="single" w:sz="4" w:space="0" w:color="auto"/>
              <w:right w:val="single" w:sz="4" w:space="0" w:color="auto"/>
            </w:tcBorders>
            <w:shd w:val="clear" w:color="auto" w:fill="auto"/>
            <w:vAlign w:val="center"/>
          </w:tcPr>
          <w:p w:rsidR="00414433" w:rsidRPr="00856D73" w:rsidRDefault="00414433" w:rsidP="00006F3C">
            <w:pPr>
              <w:tabs>
                <w:tab w:val="left" w:pos="425"/>
              </w:tabs>
              <w:spacing w:before="60" w:after="60"/>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14433" w:rsidRDefault="00414433" w:rsidP="007F563C">
            <w:pPr>
              <w:spacing w:before="60" w:after="60"/>
              <w:rPr>
                <w:b/>
                <w:snapToGrid w:val="0"/>
                <w:sz w:val="20"/>
                <w:szCs w:val="20"/>
              </w:rPr>
            </w:pPr>
            <w:r>
              <w:rPr>
                <w:b/>
                <w:snapToGrid w:val="0"/>
                <w:sz w:val="20"/>
                <w:szCs w:val="20"/>
              </w:rPr>
              <w:t>ACC14</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414433" w:rsidRPr="007F666C" w:rsidRDefault="00414433" w:rsidP="007F666C">
            <w:pPr>
              <w:tabs>
                <w:tab w:val="left" w:pos="425"/>
              </w:tabs>
              <w:spacing w:before="40" w:after="40"/>
              <w:rPr>
                <w:sz w:val="20"/>
                <w:szCs w:val="20"/>
                <w:lang w:eastAsia="en-AU"/>
              </w:rPr>
            </w:pPr>
            <w:r w:rsidRPr="007F666C">
              <w:rPr>
                <w:sz w:val="20"/>
                <w:szCs w:val="20"/>
                <w:lang w:eastAsia="en-AU"/>
              </w:rPr>
              <w:t>Elective Surgery – Category 3 admitted within the recommended time</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414433" w:rsidRPr="007F666C" w:rsidRDefault="00414433" w:rsidP="007F666C">
            <w:pPr>
              <w:tabs>
                <w:tab w:val="left" w:pos="425"/>
              </w:tabs>
              <w:spacing w:before="40" w:after="40"/>
              <w:rPr>
                <w:sz w:val="20"/>
                <w:szCs w:val="20"/>
                <w:lang w:eastAsia="en-AU"/>
              </w:rPr>
            </w:pPr>
            <w:r w:rsidRPr="007F666C">
              <w:rPr>
                <w:sz w:val="20"/>
                <w:szCs w:val="20"/>
                <w:lang w:eastAsia="en-AU"/>
              </w:rPr>
              <w:t>Sep 17: 80%</w:t>
            </w:r>
          </w:p>
          <w:p w:rsidR="00414433" w:rsidRPr="007F666C" w:rsidRDefault="00414433" w:rsidP="007F666C">
            <w:pPr>
              <w:tabs>
                <w:tab w:val="left" w:pos="425"/>
              </w:tabs>
              <w:spacing w:before="40" w:after="40"/>
              <w:rPr>
                <w:sz w:val="20"/>
                <w:szCs w:val="20"/>
                <w:lang w:eastAsia="en-AU"/>
              </w:rPr>
            </w:pPr>
            <w:r w:rsidRPr="007F666C">
              <w:rPr>
                <w:sz w:val="20"/>
                <w:szCs w:val="20"/>
                <w:lang w:eastAsia="en-AU"/>
              </w:rPr>
              <w:t>Dec 17: 85%</w:t>
            </w:r>
          </w:p>
          <w:p w:rsidR="00414433" w:rsidRPr="007F666C" w:rsidRDefault="00414433" w:rsidP="007F666C">
            <w:pPr>
              <w:tabs>
                <w:tab w:val="left" w:pos="425"/>
              </w:tabs>
              <w:spacing w:before="40" w:after="40"/>
              <w:rPr>
                <w:sz w:val="20"/>
                <w:szCs w:val="20"/>
                <w:lang w:eastAsia="en-AU"/>
              </w:rPr>
            </w:pPr>
            <w:r w:rsidRPr="007F666C">
              <w:rPr>
                <w:sz w:val="20"/>
                <w:szCs w:val="20"/>
                <w:lang w:eastAsia="en-AU"/>
              </w:rPr>
              <w:t>Mar 18: 90%</w:t>
            </w:r>
          </w:p>
          <w:p w:rsidR="00414433" w:rsidRPr="007F666C" w:rsidRDefault="00414433" w:rsidP="007F666C">
            <w:pPr>
              <w:tabs>
                <w:tab w:val="left" w:pos="425"/>
              </w:tabs>
              <w:spacing w:before="40" w:after="40"/>
              <w:rPr>
                <w:sz w:val="20"/>
                <w:szCs w:val="20"/>
                <w:lang w:eastAsia="en-AU"/>
              </w:rPr>
            </w:pPr>
            <w:r w:rsidRPr="007F666C">
              <w:rPr>
                <w:sz w:val="20"/>
                <w:szCs w:val="20"/>
                <w:lang w:eastAsia="en-AU"/>
              </w:rPr>
              <w:t>Jun 18: 95%</w:t>
            </w:r>
          </w:p>
          <w:p w:rsidR="00414433" w:rsidRPr="007F666C" w:rsidRDefault="00414433" w:rsidP="007F666C">
            <w:pPr>
              <w:tabs>
                <w:tab w:val="left" w:pos="425"/>
              </w:tabs>
              <w:spacing w:before="40" w:after="40"/>
              <w:rPr>
                <w:sz w:val="20"/>
                <w:szCs w:val="20"/>
                <w:lang w:eastAsia="en-AU"/>
              </w:rPr>
            </w:pPr>
            <w:r w:rsidRPr="007F666C">
              <w:rPr>
                <w:sz w:val="20"/>
                <w:szCs w:val="20"/>
                <w:lang w:eastAsia="en-AU"/>
              </w:rPr>
              <w:t>(State-wide)</w:t>
            </w:r>
          </w:p>
        </w:tc>
      </w:tr>
      <w:tr w:rsidR="00414433" w:rsidRPr="00856D73" w:rsidTr="007F666C">
        <w:tc>
          <w:tcPr>
            <w:tcW w:w="1560" w:type="dxa"/>
            <w:vMerge/>
            <w:tcBorders>
              <w:bottom w:val="single" w:sz="4" w:space="0" w:color="auto"/>
              <w:right w:val="single" w:sz="4" w:space="0" w:color="auto"/>
            </w:tcBorders>
            <w:shd w:val="clear" w:color="auto" w:fill="auto"/>
            <w:vAlign w:val="center"/>
          </w:tcPr>
          <w:p w:rsidR="00414433" w:rsidRPr="00856D73" w:rsidRDefault="00414433" w:rsidP="00006F3C">
            <w:pPr>
              <w:tabs>
                <w:tab w:val="left" w:pos="425"/>
              </w:tabs>
              <w:spacing w:before="60" w:after="60"/>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14433" w:rsidRDefault="00414433" w:rsidP="007F563C">
            <w:pPr>
              <w:spacing w:before="60" w:after="60"/>
              <w:rPr>
                <w:b/>
                <w:snapToGrid w:val="0"/>
                <w:sz w:val="20"/>
                <w:szCs w:val="20"/>
              </w:rPr>
            </w:pPr>
            <w:r>
              <w:rPr>
                <w:b/>
                <w:snapToGrid w:val="0"/>
                <w:sz w:val="20"/>
                <w:szCs w:val="20"/>
              </w:rPr>
              <w:t>ACC15</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414433" w:rsidRPr="007F666C" w:rsidRDefault="00414433" w:rsidP="007F666C">
            <w:pPr>
              <w:tabs>
                <w:tab w:val="left" w:pos="425"/>
              </w:tabs>
              <w:spacing w:before="40" w:after="40"/>
              <w:rPr>
                <w:sz w:val="20"/>
                <w:szCs w:val="20"/>
                <w:lang w:eastAsia="en-AU"/>
              </w:rPr>
            </w:pPr>
            <w:r w:rsidRPr="007F666C">
              <w:rPr>
                <w:sz w:val="20"/>
                <w:szCs w:val="20"/>
                <w:lang w:eastAsia="en-AU"/>
              </w:rPr>
              <w:t>Elect</w:t>
            </w:r>
            <w:r w:rsidR="00771A04" w:rsidRPr="007F666C">
              <w:rPr>
                <w:sz w:val="20"/>
                <w:szCs w:val="20"/>
                <w:lang w:eastAsia="en-AU"/>
              </w:rPr>
              <w:t>ive Surgery – Category 3 maximum</w:t>
            </w:r>
            <w:r w:rsidRPr="007F666C">
              <w:rPr>
                <w:sz w:val="20"/>
                <w:szCs w:val="20"/>
                <w:lang w:eastAsia="en-AU"/>
              </w:rPr>
              <w:t xml:space="preserve"> overdue days</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414433" w:rsidRPr="007F666C" w:rsidRDefault="00592C1D" w:rsidP="007F666C">
            <w:pPr>
              <w:tabs>
                <w:tab w:val="left" w:pos="425"/>
              </w:tabs>
              <w:spacing w:before="40" w:after="40"/>
              <w:rPr>
                <w:sz w:val="20"/>
                <w:szCs w:val="20"/>
                <w:lang w:eastAsia="en-AU"/>
              </w:rPr>
            </w:pPr>
            <w:r>
              <w:rPr>
                <w:sz w:val="20"/>
                <w:szCs w:val="20"/>
                <w:lang w:eastAsia="en-AU"/>
              </w:rPr>
              <w:t>Sep 17: 400</w:t>
            </w:r>
          </w:p>
          <w:p w:rsidR="00414433" w:rsidRPr="007F666C" w:rsidRDefault="00414433" w:rsidP="007F666C">
            <w:pPr>
              <w:tabs>
                <w:tab w:val="left" w:pos="425"/>
              </w:tabs>
              <w:spacing w:before="40" w:after="40"/>
              <w:rPr>
                <w:sz w:val="20"/>
                <w:szCs w:val="20"/>
                <w:lang w:eastAsia="en-AU"/>
              </w:rPr>
            </w:pPr>
            <w:r w:rsidRPr="007F666C">
              <w:rPr>
                <w:sz w:val="20"/>
                <w:szCs w:val="20"/>
                <w:lang w:eastAsia="en-AU"/>
              </w:rPr>
              <w:t>Dec 17: 40</w:t>
            </w:r>
            <w:r w:rsidR="00592C1D">
              <w:rPr>
                <w:sz w:val="20"/>
                <w:szCs w:val="20"/>
                <w:lang w:eastAsia="en-AU"/>
              </w:rPr>
              <w:t>0</w:t>
            </w:r>
          </w:p>
          <w:p w:rsidR="00414433" w:rsidRPr="007F666C" w:rsidRDefault="00592C1D" w:rsidP="007F666C">
            <w:pPr>
              <w:tabs>
                <w:tab w:val="left" w:pos="425"/>
              </w:tabs>
              <w:spacing w:before="40" w:after="40"/>
              <w:rPr>
                <w:sz w:val="20"/>
                <w:szCs w:val="20"/>
                <w:lang w:eastAsia="en-AU"/>
              </w:rPr>
            </w:pPr>
            <w:r>
              <w:rPr>
                <w:sz w:val="20"/>
                <w:szCs w:val="20"/>
                <w:lang w:eastAsia="en-AU"/>
              </w:rPr>
              <w:t>Mar 18: 400</w:t>
            </w:r>
          </w:p>
          <w:p w:rsidR="00414433" w:rsidRPr="007F666C" w:rsidRDefault="00592C1D" w:rsidP="007F666C">
            <w:pPr>
              <w:tabs>
                <w:tab w:val="left" w:pos="425"/>
              </w:tabs>
              <w:spacing w:before="40" w:after="40"/>
              <w:rPr>
                <w:sz w:val="20"/>
                <w:szCs w:val="20"/>
                <w:lang w:eastAsia="en-AU"/>
              </w:rPr>
            </w:pPr>
            <w:r>
              <w:rPr>
                <w:sz w:val="20"/>
                <w:szCs w:val="20"/>
                <w:lang w:eastAsia="en-AU"/>
              </w:rPr>
              <w:t>Jun 18: 400</w:t>
            </w:r>
          </w:p>
          <w:p w:rsidR="00414433" w:rsidRPr="007F666C" w:rsidRDefault="00414433" w:rsidP="007F666C">
            <w:pPr>
              <w:tabs>
                <w:tab w:val="left" w:pos="425"/>
              </w:tabs>
              <w:spacing w:before="40" w:after="40"/>
              <w:rPr>
                <w:sz w:val="20"/>
                <w:szCs w:val="20"/>
                <w:lang w:eastAsia="en-AU"/>
              </w:rPr>
            </w:pPr>
            <w:r w:rsidRPr="007F666C">
              <w:rPr>
                <w:sz w:val="20"/>
                <w:szCs w:val="20"/>
                <w:lang w:eastAsia="en-AU"/>
              </w:rPr>
              <w:t>(State-wide)</w:t>
            </w:r>
          </w:p>
        </w:tc>
      </w:tr>
      <w:tr w:rsidR="00414433" w:rsidRPr="00856D73" w:rsidTr="007F666C">
        <w:tc>
          <w:tcPr>
            <w:tcW w:w="1560" w:type="dxa"/>
            <w:vMerge/>
            <w:tcBorders>
              <w:bottom w:val="nil"/>
              <w:right w:val="single" w:sz="4" w:space="0" w:color="auto"/>
            </w:tcBorders>
            <w:shd w:val="clear" w:color="auto" w:fill="auto"/>
            <w:vAlign w:val="center"/>
          </w:tcPr>
          <w:p w:rsidR="00414433" w:rsidRPr="00856D73" w:rsidRDefault="00414433" w:rsidP="00006F3C">
            <w:pPr>
              <w:tabs>
                <w:tab w:val="left" w:pos="425"/>
              </w:tabs>
              <w:spacing w:before="60" w:after="60"/>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14433" w:rsidRPr="00856D73" w:rsidRDefault="00414433" w:rsidP="004B01A2">
            <w:pPr>
              <w:spacing w:before="60" w:after="60"/>
              <w:rPr>
                <w:rFonts w:cs="Calibri"/>
                <w:b/>
                <w:color w:val="000000"/>
                <w:sz w:val="20"/>
                <w:szCs w:val="20"/>
              </w:rPr>
            </w:pPr>
            <w:r w:rsidRPr="00856D73">
              <w:rPr>
                <w:rFonts w:cs="Calibri"/>
                <w:b/>
                <w:color w:val="000000"/>
                <w:sz w:val="20"/>
                <w:szCs w:val="20"/>
              </w:rPr>
              <w:t>ACC1</w:t>
            </w:r>
            <w:r w:rsidR="00771A04">
              <w:rPr>
                <w:rFonts w:cs="Calibri"/>
                <w:b/>
                <w:color w:val="000000"/>
                <w:sz w:val="20"/>
                <w:szCs w:val="20"/>
              </w:rPr>
              <w:t>6</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414433" w:rsidRPr="007F666C" w:rsidRDefault="00414433" w:rsidP="007F666C">
            <w:pPr>
              <w:tabs>
                <w:tab w:val="left" w:pos="425"/>
              </w:tabs>
              <w:spacing w:before="40" w:after="40"/>
              <w:rPr>
                <w:sz w:val="20"/>
                <w:szCs w:val="20"/>
                <w:lang w:eastAsia="en-AU"/>
              </w:rPr>
            </w:pPr>
            <w:r w:rsidRPr="007F666C">
              <w:rPr>
                <w:sz w:val="20"/>
                <w:szCs w:val="20"/>
                <w:lang w:eastAsia="en-AU"/>
              </w:rPr>
              <w:t>Percentage of all Aged Care Assessment Team (ACAT) clients, with a First Clinical Intervention within the allocated priority timeframe in all settings</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414433" w:rsidRPr="007F666C" w:rsidRDefault="00414433" w:rsidP="007F666C">
            <w:pPr>
              <w:tabs>
                <w:tab w:val="left" w:pos="425"/>
              </w:tabs>
              <w:spacing w:before="40" w:after="40"/>
              <w:rPr>
                <w:sz w:val="20"/>
                <w:szCs w:val="20"/>
                <w:lang w:eastAsia="en-AU"/>
              </w:rPr>
            </w:pPr>
            <w:r w:rsidRPr="007F666C">
              <w:rPr>
                <w:sz w:val="20"/>
                <w:szCs w:val="20"/>
                <w:lang w:eastAsia="en-AU"/>
              </w:rPr>
              <w:t>90%</w:t>
            </w:r>
          </w:p>
          <w:p w:rsidR="00414433" w:rsidRPr="007F666C" w:rsidRDefault="00414433" w:rsidP="007F666C">
            <w:pPr>
              <w:tabs>
                <w:tab w:val="left" w:pos="425"/>
              </w:tabs>
              <w:spacing w:before="40" w:after="40"/>
              <w:rPr>
                <w:sz w:val="20"/>
                <w:szCs w:val="20"/>
                <w:lang w:eastAsia="en-AU"/>
              </w:rPr>
            </w:pPr>
            <w:r w:rsidRPr="007F666C">
              <w:rPr>
                <w:sz w:val="20"/>
                <w:szCs w:val="20"/>
                <w:lang w:eastAsia="en-AU"/>
              </w:rPr>
              <w:t>(State-wide)</w:t>
            </w:r>
          </w:p>
        </w:tc>
      </w:tr>
      <w:tr w:rsidR="00414433" w:rsidRPr="00856D73" w:rsidTr="007F666C">
        <w:tc>
          <w:tcPr>
            <w:tcW w:w="1560" w:type="dxa"/>
            <w:vMerge w:val="restart"/>
            <w:tcBorders>
              <w:top w:val="nil"/>
              <w:right w:val="single" w:sz="4" w:space="0" w:color="auto"/>
            </w:tcBorders>
            <w:shd w:val="clear" w:color="auto" w:fill="auto"/>
            <w:vAlign w:val="center"/>
          </w:tcPr>
          <w:p w:rsidR="00414433" w:rsidRPr="00856D73" w:rsidRDefault="00414433" w:rsidP="00006F3C">
            <w:pPr>
              <w:tabs>
                <w:tab w:val="left" w:pos="425"/>
              </w:tabs>
              <w:spacing w:before="60" w:after="60"/>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14433" w:rsidRPr="00856D73" w:rsidRDefault="00414433" w:rsidP="004B01A2">
            <w:pPr>
              <w:spacing w:before="60" w:after="60"/>
              <w:rPr>
                <w:rFonts w:cs="Calibri"/>
                <w:b/>
                <w:color w:val="000000"/>
                <w:sz w:val="20"/>
                <w:szCs w:val="20"/>
              </w:rPr>
            </w:pPr>
            <w:r w:rsidRPr="00856D73">
              <w:rPr>
                <w:rFonts w:cs="Calibri"/>
                <w:b/>
                <w:color w:val="000000"/>
                <w:sz w:val="20"/>
                <w:szCs w:val="20"/>
              </w:rPr>
              <w:t>ACC1</w:t>
            </w:r>
            <w:r w:rsidR="00771A04">
              <w:rPr>
                <w:rFonts w:cs="Calibri"/>
                <w:b/>
                <w:color w:val="000000"/>
                <w:sz w:val="20"/>
                <w:szCs w:val="20"/>
              </w:rPr>
              <w:t>7</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414433" w:rsidRPr="007F666C" w:rsidRDefault="00414433" w:rsidP="007F666C">
            <w:pPr>
              <w:tabs>
                <w:tab w:val="left" w:pos="425"/>
              </w:tabs>
              <w:spacing w:before="40" w:after="40"/>
              <w:rPr>
                <w:sz w:val="20"/>
                <w:szCs w:val="20"/>
                <w:lang w:eastAsia="en-AU"/>
              </w:rPr>
            </w:pPr>
            <w:r w:rsidRPr="007F666C">
              <w:rPr>
                <w:sz w:val="20"/>
                <w:szCs w:val="20"/>
                <w:lang w:eastAsia="en-AU"/>
              </w:rPr>
              <w:t>Proportion of 'Emergency' clients managed on the same day that they are triaged (Oral Health)</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414433" w:rsidRPr="007F666C" w:rsidRDefault="00414433" w:rsidP="007F666C">
            <w:pPr>
              <w:tabs>
                <w:tab w:val="left" w:pos="425"/>
              </w:tabs>
              <w:spacing w:before="40" w:after="40"/>
              <w:rPr>
                <w:sz w:val="20"/>
                <w:szCs w:val="20"/>
                <w:lang w:eastAsia="en-AU"/>
              </w:rPr>
            </w:pPr>
            <w:r w:rsidRPr="007F666C">
              <w:rPr>
                <w:sz w:val="20"/>
                <w:szCs w:val="20"/>
                <w:lang w:eastAsia="en-AU"/>
              </w:rPr>
              <w:t>80%</w:t>
            </w:r>
          </w:p>
          <w:p w:rsidR="00414433" w:rsidRPr="007F666C" w:rsidRDefault="00414433" w:rsidP="007F666C">
            <w:pPr>
              <w:tabs>
                <w:tab w:val="left" w:pos="425"/>
              </w:tabs>
              <w:spacing w:before="40" w:after="40"/>
              <w:rPr>
                <w:sz w:val="20"/>
                <w:szCs w:val="20"/>
                <w:lang w:eastAsia="en-AU"/>
              </w:rPr>
            </w:pPr>
            <w:r w:rsidRPr="007F666C">
              <w:rPr>
                <w:sz w:val="20"/>
                <w:szCs w:val="20"/>
                <w:lang w:eastAsia="en-AU"/>
              </w:rPr>
              <w:t>(State-wide)</w:t>
            </w:r>
          </w:p>
        </w:tc>
      </w:tr>
      <w:tr w:rsidR="00414433" w:rsidRPr="00856D73" w:rsidTr="007F666C">
        <w:tc>
          <w:tcPr>
            <w:tcW w:w="1560" w:type="dxa"/>
            <w:vMerge/>
            <w:tcBorders>
              <w:right w:val="single" w:sz="4" w:space="0" w:color="auto"/>
            </w:tcBorders>
            <w:shd w:val="clear" w:color="auto" w:fill="auto"/>
            <w:vAlign w:val="center"/>
          </w:tcPr>
          <w:p w:rsidR="00414433" w:rsidRPr="00856D73" w:rsidRDefault="00414433" w:rsidP="00006F3C">
            <w:pPr>
              <w:tabs>
                <w:tab w:val="left" w:pos="425"/>
              </w:tabs>
              <w:spacing w:before="60" w:after="60"/>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14433" w:rsidRPr="00856D73" w:rsidRDefault="00414433" w:rsidP="004B01A2">
            <w:pPr>
              <w:spacing w:before="60" w:after="60"/>
              <w:rPr>
                <w:rFonts w:cs="Calibri"/>
                <w:b/>
                <w:color w:val="000000"/>
                <w:sz w:val="20"/>
                <w:szCs w:val="20"/>
              </w:rPr>
            </w:pPr>
            <w:r w:rsidRPr="00856D73">
              <w:rPr>
                <w:rFonts w:cs="Calibri"/>
                <w:b/>
                <w:color w:val="000000"/>
                <w:sz w:val="20"/>
                <w:szCs w:val="20"/>
              </w:rPr>
              <w:t>ACC1</w:t>
            </w:r>
            <w:r w:rsidR="00771A04">
              <w:rPr>
                <w:rFonts w:cs="Calibri"/>
                <w:b/>
                <w:color w:val="000000"/>
                <w:sz w:val="20"/>
                <w:szCs w:val="20"/>
              </w:rPr>
              <w:t>8</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414433" w:rsidRPr="007F666C" w:rsidRDefault="00414433" w:rsidP="007F666C">
            <w:pPr>
              <w:tabs>
                <w:tab w:val="left" w:pos="425"/>
              </w:tabs>
              <w:spacing w:before="40" w:after="40"/>
              <w:rPr>
                <w:sz w:val="20"/>
                <w:szCs w:val="20"/>
                <w:lang w:eastAsia="en-AU"/>
              </w:rPr>
            </w:pPr>
            <w:r w:rsidRPr="007F666C">
              <w:rPr>
                <w:sz w:val="20"/>
                <w:szCs w:val="20"/>
                <w:lang w:eastAsia="en-AU"/>
              </w:rPr>
              <w:t>Percentage of clients assessed within 28 days of screening mammogram</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414433" w:rsidRPr="007F666C" w:rsidRDefault="00414433" w:rsidP="007F666C">
            <w:pPr>
              <w:tabs>
                <w:tab w:val="left" w:pos="425"/>
              </w:tabs>
              <w:spacing w:before="40" w:after="40"/>
              <w:rPr>
                <w:sz w:val="20"/>
                <w:szCs w:val="20"/>
                <w:lang w:eastAsia="en-AU"/>
              </w:rPr>
            </w:pPr>
            <w:r w:rsidRPr="007F666C">
              <w:rPr>
                <w:sz w:val="20"/>
                <w:szCs w:val="20"/>
                <w:lang w:eastAsia="en-AU"/>
              </w:rPr>
              <w:t>&gt;90%</w:t>
            </w:r>
          </w:p>
          <w:p w:rsidR="00414433" w:rsidRPr="007F666C" w:rsidRDefault="00414433" w:rsidP="007F666C">
            <w:pPr>
              <w:tabs>
                <w:tab w:val="left" w:pos="425"/>
              </w:tabs>
              <w:spacing w:before="40" w:after="40"/>
              <w:rPr>
                <w:sz w:val="20"/>
                <w:szCs w:val="20"/>
                <w:lang w:eastAsia="en-AU"/>
              </w:rPr>
            </w:pPr>
            <w:r w:rsidRPr="007F666C">
              <w:rPr>
                <w:sz w:val="20"/>
                <w:szCs w:val="20"/>
                <w:lang w:eastAsia="en-AU"/>
              </w:rPr>
              <w:t>(State-wide)</w:t>
            </w:r>
          </w:p>
        </w:tc>
      </w:tr>
      <w:tr w:rsidR="00414433" w:rsidRPr="00856D73" w:rsidTr="007F666C">
        <w:trPr>
          <w:trHeight w:val="628"/>
        </w:trPr>
        <w:tc>
          <w:tcPr>
            <w:tcW w:w="1560" w:type="dxa"/>
            <w:vMerge/>
            <w:tcBorders>
              <w:bottom w:val="single" w:sz="4" w:space="0" w:color="auto"/>
              <w:right w:val="single" w:sz="4" w:space="0" w:color="auto"/>
            </w:tcBorders>
            <w:shd w:val="clear" w:color="auto" w:fill="auto"/>
            <w:vAlign w:val="center"/>
          </w:tcPr>
          <w:p w:rsidR="00414433" w:rsidRPr="00856D73" w:rsidRDefault="00414433" w:rsidP="00006F3C">
            <w:pPr>
              <w:tabs>
                <w:tab w:val="left" w:pos="425"/>
              </w:tabs>
              <w:spacing w:before="60" w:after="60"/>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14433" w:rsidRPr="00856D73" w:rsidRDefault="00771A04" w:rsidP="004B01A2">
            <w:pPr>
              <w:spacing w:before="60" w:after="60"/>
              <w:rPr>
                <w:rFonts w:cs="Calibri"/>
                <w:b/>
                <w:color w:val="000000"/>
                <w:sz w:val="20"/>
                <w:szCs w:val="20"/>
              </w:rPr>
            </w:pPr>
            <w:r>
              <w:rPr>
                <w:rFonts w:cs="Calibri"/>
                <w:b/>
                <w:color w:val="000000"/>
                <w:sz w:val="20"/>
                <w:szCs w:val="20"/>
              </w:rPr>
              <w:t>ACC19</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414433" w:rsidRPr="007F666C" w:rsidRDefault="00414433" w:rsidP="007F666C">
            <w:pPr>
              <w:tabs>
                <w:tab w:val="left" w:pos="425"/>
              </w:tabs>
              <w:spacing w:before="40" w:after="40"/>
              <w:rPr>
                <w:sz w:val="20"/>
                <w:szCs w:val="20"/>
                <w:lang w:eastAsia="en-AU"/>
              </w:rPr>
            </w:pPr>
            <w:r w:rsidRPr="007F666C">
              <w:rPr>
                <w:sz w:val="20"/>
                <w:szCs w:val="20"/>
                <w:lang w:eastAsia="en-AU"/>
              </w:rPr>
              <w:t>Eligible women screened for breast cancer</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414433" w:rsidRPr="00856D73" w:rsidRDefault="00414433" w:rsidP="007F666C">
            <w:pPr>
              <w:tabs>
                <w:tab w:val="left" w:pos="425"/>
              </w:tabs>
              <w:spacing w:before="40" w:after="40"/>
              <w:rPr>
                <w:sz w:val="20"/>
                <w:szCs w:val="20"/>
                <w:lang w:eastAsia="en-AU"/>
              </w:rPr>
            </w:pPr>
            <w:r w:rsidRPr="00856D73">
              <w:rPr>
                <w:sz w:val="20"/>
                <w:szCs w:val="20"/>
                <w:lang w:eastAsia="en-AU"/>
              </w:rPr>
              <w:t xml:space="preserve">Number of women screened YTD is more than same time two years ago </w:t>
            </w:r>
          </w:p>
          <w:p w:rsidR="00414433" w:rsidRPr="007F666C" w:rsidRDefault="00414433" w:rsidP="007F666C">
            <w:pPr>
              <w:spacing w:before="40" w:after="40"/>
              <w:rPr>
                <w:sz w:val="20"/>
                <w:szCs w:val="20"/>
                <w:lang w:eastAsia="en-AU"/>
              </w:rPr>
            </w:pPr>
            <w:r w:rsidRPr="00856D73">
              <w:rPr>
                <w:sz w:val="20"/>
                <w:szCs w:val="20"/>
                <w:lang w:eastAsia="en-AU"/>
              </w:rPr>
              <w:t>(State-wide)</w:t>
            </w:r>
          </w:p>
        </w:tc>
      </w:tr>
      <w:tr w:rsidR="00414433" w:rsidRPr="00856D73" w:rsidTr="007F666C">
        <w:tc>
          <w:tcPr>
            <w:tcW w:w="1560" w:type="dxa"/>
            <w:vMerge w:val="restart"/>
            <w:tcBorders>
              <w:top w:val="single" w:sz="4" w:space="0" w:color="auto"/>
              <w:right w:val="single" w:sz="4" w:space="0" w:color="auto"/>
            </w:tcBorders>
            <w:shd w:val="clear" w:color="auto" w:fill="auto"/>
            <w:vAlign w:val="center"/>
          </w:tcPr>
          <w:p w:rsidR="00414433" w:rsidRPr="00856D73" w:rsidRDefault="00414433" w:rsidP="00006F3C">
            <w:pPr>
              <w:tabs>
                <w:tab w:val="left" w:pos="425"/>
              </w:tabs>
              <w:spacing w:before="60" w:after="60"/>
              <w:rPr>
                <w:sz w:val="20"/>
                <w:szCs w:val="20"/>
              </w:rPr>
            </w:pPr>
            <w:r w:rsidRPr="00856D73">
              <w:rPr>
                <w:sz w:val="20"/>
                <w:szCs w:val="20"/>
              </w:rPr>
              <w:t>Effectiveness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14433" w:rsidRPr="00856D73" w:rsidRDefault="00414433" w:rsidP="00006F3C">
            <w:pPr>
              <w:spacing w:before="60" w:after="60"/>
              <w:rPr>
                <w:b/>
                <w:sz w:val="20"/>
                <w:szCs w:val="20"/>
              </w:rPr>
            </w:pPr>
            <w:r w:rsidRPr="00856D73">
              <w:rPr>
                <w:b/>
                <w:snapToGrid w:val="0"/>
                <w:sz w:val="20"/>
                <w:szCs w:val="20"/>
              </w:rPr>
              <w:t>EF1</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414433" w:rsidRPr="00856D73" w:rsidRDefault="00414433" w:rsidP="007F666C">
            <w:pPr>
              <w:tabs>
                <w:tab w:val="left" w:pos="425"/>
              </w:tabs>
              <w:spacing w:before="40" w:after="40"/>
              <w:rPr>
                <w:sz w:val="20"/>
                <w:szCs w:val="20"/>
                <w:lang w:eastAsia="en-AU"/>
              </w:rPr>
            </w:pPr>
            <w:r w:rsidRPr="007F666C">
              <w:rPr>
                <w:sz w:val="20"/>
                <w:szCs w:val="20"/>
                <w:lang w:eastAsia="en-AU"/>
              </w:rPr>
              <w:t>28 Day re-admission rate (Mental Health)</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414433" w:rsidRPr="007F666C" w:rsidRDefault="00414433" w:rsidP="007F666C">
            <w:pPr>
              <w:tabs>
                <w:tab w:val="left" w:pos="425"/>
              </w:tabs>
              <w:spacing w:before="40" w:after="40"/>
              <w:rPr>
                <w:sz w:val="20"/>
                <w:szCs w:val="20"/>
                <w:lang w:eastAsia="en-AU"/>
              </w:rPr>
            </w:pPr>
            <w:r w:rsidRPr="007F666C">
              <w:rPr>
                <w:sz w:val="20"/>
                <w:szCs w:val="20"/>
                <w:lang w:eastAsia="en-AU"/>
              </w:rPr>
              <w:t xml:space="preserve">≤14% </w:t>
            </w:r>
          </w:p>
          <w:p w:rsidR="00414433" w:rsidRPr="007F666C" w:rsidRDefault="00414433" w:rsidP="007F666C">
            <w:pPr>
              <w:tabs>
                <w:tab w:val="left" w:pos="425"/>
              </w:tabs>
              <w:spacing w:before="40" w:after="40"/>
              <w:rPr>
                <w:sz w:val="20"/>
                <w:szCs w:val="20"/>
                <w:lang w:eastAsia="en-AU"/>
              </w:rPr>
            </w:pPr>
            <w:r w:rsidRPr="007F666C">
              <w:rPr>
                <w:sz w:val="20"/>
                <w:szCs w:val="20"/>
                <w:lang w:eastAsia="en-AU"/>
              </w:rPr>
              <w:t>(State-wide)</w:t>
            </w:r>
          </w:p>
        </w:tc>
      </w:tr>
      <w:tr w:rsidR="00414433" w:rsidRPr="00856D73" w:rsidTr="007F666C">
        <w:tc>
          <w:tcPr>
            <w:tcW w:w="1560" w:type="dxa"/>
            <w:vMerge/>
            <w:tcBorders>
              <w:right w:val="single" w:sz="4" w:space="0" w:color="auto"/>
            </w:tcBorders>
            <w:shd w:val="clear" w:color="auto" w:fill="auto"/>
            <w:vAlign w:val="center"/>
          </w:tcPr>
          <w:p w:rsidR="00414433" w:rsidRPr="00856D73" w:rsidRDefault="00414433" w:rsidP="00006F3C">
            <w:pPr>
              <w:tabs>
                <w:tab w:val="left" w:pos="425"/>
              </w:tabs>
              <w:spacing w:before="60" w:after="60"/>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14433" w:rsidRPr="00856D73" w:rsidRDefault="00414433" w:rsidP="00006F3C">
            <w:pPr>
              <w:spacing w:before="60" w:after="60"/>
              <w:rPr>
                <w:b/>
                <w:snapToGrid w:val="0"/>
                <w:sz w:val="20"/>
                <w:szCs w:val="20"/>
              </w:rPr>
            </w:pPr>
            <w:r w:rsidRPr="00856D73">
              <w:rPr>
                <w:b/>
                <w:bCs/>
                <w:snapToGrid w:val="0"/>
                <w:sz w:val="20"/>
                <w:szCs w:val="20"/>
              </w:rPr>
              <w:t>EF2</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414433" w:rsidRPr="007F666C" w:rsidRDefault="00414433" w:rsidP="007F666C">
            <w:pPr>
              <w:tabs>
                <w:tab w:val="left" w:pos="425"/>
              </w:tabs>
              <w:spacing w:before="40" w:after="40"/>
              <w:rPr>
                <w:sz w:val="20"/>
                <w:szCs w:val="20"/>
                <w:lang w:eastAsia="en-AU"/>
              </w:rPr>
            </w:pPr>
            <w:r w:rsidRPr="007F666C">
              <w:rPr>
                <w:sz w:val="20"/>
                <w:szCs w:val="20"/>
                <w:lang w:eastAsia="en-AU"/>
              </w:rPr>
              <w:t>Acute 7 day post discharge community care (Mental Health)</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414433" w:rsidRPr="00856D73" w:rsidRDefault="00414433" w:rsidP="007F666C">
            <w:pPr>
              <w:tabs>
                <w:tab w:val="left" w:pos="425"/>
              </w:tabs>
              <w:spacing w:before="40" w:after="40"/>
              <w:rPr>
                <w:sz w:val="20"/>
                <w:szCs w:val="20"/>
                <w:lang w:eastAsia="en-AU"/>
              </w:rPr>
            </w:pPr>
            <w:r w:rsidRPr="00856D73">
              <w:rPr>
                <w:sz w:val="20"/>
                <w:szCs w:val="20"/>
                <w:lang w:eastAsia="en-AU"/>
              </w:rPr>
              <w:t xml:space="preserve">85% </w:t>
            </w:r>
          </w:p>
          <w:p w:rsidR="00414433" w:rsidRPr="007F666C" w:rsidRDefault="00414433" w:rsidP="007F666C">
            <w:pPr>
              <w:tabs>
                <w:tab w:val="left" w:pos="425"/>
              </w:tabs>
              <w:spacing w:before="40" w:after="40"/>
              <w:rPr>
                <w:sz w:val="20"/>
                <w:szCs w:val="20"/>
                <w:lang w:eastAsia="en-AU"/>
              </w:rPr>
            </w:pPr>
            <w:r w:rsidRPr="007F666C">
              <w:rPr>
                <w:sz w:val="20"/>
                <w:szCs w:val="20"/>
                <w:lang w:eastAsia="en-AU"/>
              </w:rPr>
              <w:t>(State-wide)</w:t>
            </w:r>
          </w:p>
        </w:tc>
      </w:tr>
      <w:tr w:rsidR="00414433" w:rsidRPr="00856D73" w:rsidTr="007F666C">
        <w:tc>
          <w:tcPr>
            <w:tcW w:w="1560" w:type="dxa"/>
            <w:vMerge/>
            <w:tcBorders>
              <w:right w:val="single" w:sz="4" w:space="0" w:color="auto"/>
            </w:tcBorders>
            <w:shd w:val="clear" w:color="auto" w:fill="auto"/>
            <w:vAlign w:val="center"/>
          </w:tcPr>
          <w:p w:rsidR="00414433" w:rsidRPr="00856D73" w:rsidRDefault="00414433" w:rsidP="00006F3C">
            <w:pPr>
              <w:tabs>
                <w:tab w:val="left" w:pos="425"/>
              </w:tabs>
              <w:spacing w:before="60" w:after="60"/>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14433" w:rsidRPr="00856D73" w:rsidRDefault="00414433" w:rsidP="00006F3C">
            <w:pPr>
              <w:spacing w:before="60" w:after="60"/>
              <w:rPr>
                <w:b/>
                <w:bCs/>
                <w:snapToGrid w:val="0"/>
                <w:sz w:val="20"/>
                <w:szCs w:val="20"/>
              </w:rPr>
            </w:pPr>
            <w:r w:rsidRPr="00856D73">
              <w:rPr>
                <w:b/>
                <w:bCs/>
                <w:snapToGrid w:val="0"/>
                <w:sz w:val="20"/>
                <w:szCs w:val="20"/>
              </w:rPr>
              <w:t>EF3</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414433" w:rsidRPr="007F666C" w:rsidRDefault="00414433" w:rsidP="007F666C">
            <w:pPr>
              <w:tabs>
                <w:tab w:val="left" w:pos="425"/>
              </w:tabs>
              <w:spacing w:before="40" w:after="40"/>
              <w:rPr>
                <w:sz w:val="20"/>
                <w:szCs w:val="20"/>
                <w:lang w:eastAsia="en-AU"/>
              </w:rPr>
            </w:pPr>
            <w:r w:rsidRPr="007F666C">
              <w:rPr>
                <w:sz w:val="20"/>
                <w:szCs w:val="20"/>
                <w:lang w:eastAsia="en-AU"/>
              </w:rPr>
              <w:t>28 Day Readmission Rate – all patients (excludes mental health patients)</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414433" w:rsidRPr="007F666C" w:rsidRDefault="00414433" w:rsidP="007F666C">
            <w:pPr>
              <w:tabs>
                <w:tab w:val="left" w:pos="425"/>
              </w:tabs>
              <w:spacing w:before="40" w:after="40"/>
              <w:rPr>
                <w:sz w:val="20"/>
                <w:szCs w:val="20"/>
                <w:lang w:eastAsia="en-AU"/>
              </w:rPr>
            </w:pPr>
            <w:r w:rsidRPr="007F666C">
              <w:rPr>
                <w:sz w:val="20"/>
                <w:szCs w:val="20"/>
                <w:lang w:eastAsia="en-AU"/>
              </w:rPr>
              <w:t>&lt;5%</w:t>
            </w:r>
          </w:p>
          <w:p w:rsidR="00414433" w:rsidRPr="007F666C" w:rsidRDefault="00414433" w:rsidP="007F666C">
            <w:pPr>
              <w:tabs>
                <w:tab w:val="left" w:pos="425"/>
              </w:tabs>
              <w:spacing w:before="40" w:after="40"/>
              <w:rPr>
                <w:sz w:val="20"/>
                <w:szCs w:val="20"/>
                <w:lang w:eastAsia="en-AU"/>
              </w:rPr>
            </w:pPr>
            <w:r w:rsidRPr="007F666C">
              <w:rPr>
                <w:sz w:val="20"/>
                <w:szCs w:val="20"/>
                <w:lang w:eastAsia="en-AU"/>
              </w:rPr>
              <w:t>(State-wide)</w:t>
            </w:r>
          </w:p>
        </w:tc>
      </w:tr>
    </w:tbl>
    <w:p w:rsidR="007F666C" w:rsidRDefault="007F666C">
      <w:r>
        <w:br w:type="page"/>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992"/>
        <w:gridCol w:w="4394"/>
        <w:gridCol w:w="2693"/>
      </w:tblGrid>
      <w:tr w:rsidR="00414433" w:rsidRPr="00856D73" w:rsidTr="007F666C">
        <w:tc>
          <w:tcPr>
            <w:tcW w:w="1560" w:type="dxa"/>
            <w:vMerge w:val="restart"/>
            <w:tcBorders>
              <w:right w:val="single" w:sz="4" w:space="0" w:color="auto"/>
            </w:tcBorders>
            <w:shd w:val="clear" w:color="auto" w:fill="auto"/>
            <w:vAlign w:val="center"/>
          </w:tcPr>
          <w:p w:rsidR="00414433" w:rsidRPr="00856D73" w:rsidRDefault="00414433" w:rsidP="00006F3C">
            <w:pPr>
              <w:tabs>
                <w:tab w:val="left" w:pos="425"/>
              </w:tabs>
              <w:spacing w:before="60" w:after="60"/>
              <w:rPr>
                <w:sz w:val="20"/>
                <w:szCs w:val="20"/>
              </w:rPr>
            </w:pPr>
            <w:r w:rsidRPr="00856D73">
              <w:rPr>
                <w:sz w:val="20"/>
                <w:szCs w:val="20"/>
              </w:rPr>
              <w:t>Efficiency</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14433" w:rsidRPr="00856D73" w:rsidRDefault="00414433" w:rsidP="00006F3C">
            <w:pPr>
              <w:spacing w:before="60" w:after="60"/>
              <w:rPr>
                <w:b/>
                <w:snapToGrid w:val="0"/>
                <w:sz w:val="20"/>
                <w:szCs w:val="20"/>
              </w:rPr>
            </w:pPr>
            <w:r w:rsidRPr="00856D73">
              <w:rPr>
                <w:b/>
                <w:snapToGrid w:val="0"/>
                <w:sz w:val="20"/>
                <w:szCs w:val="20"/>
              </w:rPr>
              <w:t>EFF1</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414433" w:rsidRPr="007F666C" w:rsidRDefault="00414433" w:rsidP="007F666C">
            <w:pPr>
              <w:tabs>
                <w:tab w:val="left" w:pos="425"/>
              </w:tabs>
              <w:spacing w:before="40" w:after="40"/>
              <w:rPr>
                <w:sz w:val="20"/>
                <w:szCs w:val="20"/>
                <w:lang w:eastAsia="en-AU"/>
              </w:rPr>
            </w:pPr>
            <w:r w:rsidRPr="007F666C">
              <w:rPr>
                <w:sz w:val="20"/>
                <w:szCs w:val="20"/>
                <w:lang w:eastAsia="en-AU"/>
              </w:rPr>
              <w:t>Admitted patient episode coding (clinical coding) including contracted care - timeliness</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414433" w:rsidRPr="007F666C" w:rsidRDefault="00414433" w:rsidP="007F666C">
            <w:pPr>
              <w:tabs>
                <w:tab w:val="left" w:pos="425"/>
              </w:tabs>
              <w:spacing w:before="40" w:after="40"/>
              <w:rPr>
                <w:sz w:val="20"/>
                <w:szCs w:val="20"/>
                <w:lang w:eastAsia="en-AU"/>
              </w:rPr>
            </w:pPr>
            <w:r w:rsidRPr="007F666C">
              <w:rPr>
                <w:sz w:val="20"/>
                <w:szCs w:val="20"/>
                <w:lang w:eastAsia="en-AU"/>
              </w:rPr>
              <w:t>100% within 42 days of separation</w:t>
            </w:r>
          </w:p>
          <w:p w:rsidR="00414433" w:rsidRPr="007F666C" w:rsidRDefault="00414433" w:rsidP="007F666C">
            <w:pPr>
              <w:tabs>
                <w:tab w:val="left" w:pos="425"/>
              </w:tabs>
              <w:spacing w:before="40" w:after="40"/>
              <w:rPr>
                <w:sz w:val="20"/>
                <w:szCs w:val="20"/>
                <w:lang w:eastAsia="en-AU"/>
              </w:rPr>
            </w:pPr>
            <w:r w:rsidRPr="007F666C">
              <w:rPr>
                <w:sz w:val="20"/>
                <w:szCs w:val="20"/>
                <w:lang w:eastAsia="en-AU"/>
              </w:rPr>
              <w:t>(State-wide)</w:t>
            </w:r>
          </w:p>
        </w:tc>
      </w:tr>
      <w:tr w:rsidR="00414433" w:rsidRPr="00856D73" w:rsidTr="007F666C">
        <w:tc>
          <w:tcPr>
            <w:tcW w:w="1560" w:type="dxa"/>
            <w:vMerge/>
            <w:tcBorders>
              <w:right w:val="single" w:sz="4" w:space="0" w:color="auto"/>
            </w:tcBorders>
            <w:shd w:val="clear" w:color="auto" w:fill="auto"/>
            <w:vAlign w:val="center"/>
          </w:tcPr>
          <w:p w:rsidR="00414433" w:rsidRPr="00856D73" w:rsidRDefault="00414433" w:rsidP="00006F3C">
            <w:pPr>
              <w:tabs>
                <w:tab w:val="left" w:pos="425"/>
              </w:tabs>
              <w:spacing w:before="60" w:after="60"/>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14433" w:rsidRPr="00856D73" w:rsidRDefault="00414433" w:rsidP="00006F3C">
            <w:pPr>
              <w:spacing w:before="60" w:after="60"/>
              <w:rPr>
                <w:b/>
                <w:snapToGrid w:val="0"/>
                <w:sz w:val="20"/>
                <w:szCs w:val="20"/>
              </w:rPr>
            </w:pPr>
            <w:r w:rsidRPr="00856D73">
              <w:rPr>
                <w:b/>
                <w:snapToGrid w:val="0"/>
                <w:sz w:val="20"/>
                <w:szCs w:val="20"/>
              </w:rPr>
              <w:t>EFF2</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414433" w:rsidRPr="007F666C" w:rsidRDefault="00414433" w:rsidP="007F666C">
            <w:pPr>
              <w:tabs>
                <w:tab w:val="left" w:pos="425"/>
              </w:tabs>
              <w:spacing w:before="40" w:after="40"/>
              <w:rPr>
                <w:sz w:val="20"/>
                <w:szCs w:val="20"/>
                <w:lang w:eastAsia="en-AU"/>
              </w:rPr>
            </w:pPr>
            <w:r w:rsidRPr="007F666C">
              <w:rPr>
                <w:sz w:val="20"/>
                <w:szCs w:val="20"/>
                <w:lang w:eastAsia="en-AU"/>
              </w:rPr>
              <w:t>Admitted patient episode coding (clinical coding) including contracted care - accuracy</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414433" w:rsidRPr="007F666C" w:rsidRDefault="00414433" w:rsidP="007F666C">
            <w:pPr>
              <w:tabs>
                <w:tab w:val="left" w:pos="425"/>
              </w:tabs>
              <w:spacing w:before="40" w:after="40"/>
              <w:rPr>
                <w:sz w:val="20"/>
                <w:szCs w:val="20"/>
                <w:lang w:eastAsia="en-AU"/>
              </w:rPr>
            </w:pPr>
            <w:r w:rsidRPr="007F666C">
              <w:rPr>
                <w:sz w:val="20"/>
                <w:szCs w:val="20"/>
                <w:lang w:eastAsia="en-AU"/>
              </w:rPr>
              <w:t>100% within 30 days of advice of error from the Department (State-wide)</w:t>
            </w:r>
          </w:p>
        </w:tc>
      </w:tr>
      <w:tr w:rsidR="00414433" w:rsidRPr="00856D73" w:rsidTr="007F666C">
        <w:tc>
          <w:tcPr>
            <w:tcW w:w="1560" w:type="dxa"/>
            <w:vMerge/>
            <w:tcBorders>
              <w:right w:val="single" w:sz="4" w:space="0" w:color="auto"/>
            </w:tcBorders>
            <w:shd w:val="clear" w:color="auto" w:fill="auto"/>
            <w:vAlign w:val="center"/>
          </w:tcPr>
          <w:p w:rsidR="00414433" w:rsidRPr="00856D73" w:rsidRDefault="00414433" w:rsidP="00006F3C">
            <w:pPr>
              <w:tabs>
                <w:tab w:val="left" w:pos="425"/>
              </w:tabs>
              <w:spacing w:before="60" w:after="60"/>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14433" w:rsidRPr="00856D73" w:rsidRDefault="00414433" w:rsidP="00006F3C">
            <w:pPr>
              <w:spacing w:before="60" w:after="60"/>
              <w:rPr>
                <w:b/>
                <w:color w:val="000000"/>
                <w:sz w:val="20"/>
                <w:szCs w:val="20"/>
                <w:lang w:eastAsia="en-AU"/>
              </w:rPr>
            </w:pPr>
            <w:r w:rsidRPr="00856D73">
              <w:rPr>
                <w:b/>
                <w:color w:val="000000"/>
                <w:sz w:val="20"/>
                <w:szCs w:val="20"/>
                <w:lang w:eastAsia="en-AU"/>
              </w:rPr>
              <w:t>EFF3</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414433" w:rsidRPr="007F666C" w:rsidRDefault="00414433" w:rsidP="007F666C">
            <w:pPr>
              <w:tabs>
                <w:tab w:val="left" w:pos="425"/>
              </w:tabs>
              <w:spacing w:before="40" w:after="40"/>
              <w:rPr>
                <w:sz w:val="20"/>
                <w:szCs w:val="20"/>
                <w:lang w:eastAsia="en-AU"/>
              </w:rPr>
            </w:pPr>
            <w:r w:rsidRPr="007F666C">
              <w:rPr>
                <w:sz w:val="20"/>
                <w:szCs w:val="20"/>
                <w:lang w:eastAsia="en-AU"/>
              </w:rPr>
              <w:t>Ambulance offload delay - 15 minutes</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414433" w:rsidRPr="007F666C" w:rsidRDefault="00414433" w:rsidP="007F666C">
            <w:pPr>
              <w:tabs>
                <w:tab w:val="left" w:pos="425"/>
              </w:tabs>
              <w:spacing w:before="40" w:after="40"/>
              <w:rPr>
                <w:sz w:val="20"/>
                <w:szCs w:val="20"/>
                <w:lang w:eastAsia="en-AU"/>
              </w:rPr>
            </w:pPr>
            <w:r w:rsidRPr="007F666C">
              <w:rPr>
                <w:sz w:val="20"/>
                <w:szCs w:val="20"/>
                <w:lang w:eastAsia="en-AU"/>
              </w:rPr>
              <w:t>85% within 15 mins (all specified facilities)</w:t>
            </w:r>
          </w:p>
        </w:tc>
      </w:tr>
      <w:tr w:rsidR="00414433" w:rsidRPr="00856D73" w:rsidTr="007F666C">
        <w:tc>
          <w:tcPr>
            <w:tcW w:w="1560" w:type="dxa"/>
            <w:vMerge/>
            <w:tcBorders>
              <w:right w:val="single" w:sz="4" w:space="0" w:color="auto"/>
            </w:tcBorders>
            <w:shd w:val="clear" w:color="auto" w:fill="auto"/>
            <w:vAlign w:val="center"/>
          </w:tcPr>
          <w:p w:rsidR="00414433" w:rsidRPr="00856D73" w:rsidRDefault="00414433" w:rsidP="00006F3C">
            <w:pPr>
              <w:tabs>
                <w:tab w:val="left" w:pos="425"/>
              </w:tabs>
              <w:spacing w:before="60" w:after="60"/>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14433" w:rsidRPr="00856D73" w:rsidRDefault="00414433" w:rsidP="00006F3C">
            <w:pPr>
              <w:spacing w:before="60" w:after="60"/>
              <w:rPr>
                <w:b/>
                <w:color w:val="000000"/>
                <w:sz w:val="20"/>
                <w:szCs w:val="20"/>
                <w:lang w:eastAsia="en-AU"/>
              </w:rPr>
            </w:pPr>
            <w:r w:rsidRPr="00856D73">
              <w:rPr>
                <w:b/>
                <w:color w:val="000000"/>
                <w:sz w:val="20"/>
                <w:szCs w:val="20"/>
                <w:lang w:eastAsia="en-AU"/>
              </w:rPr>
              <w:t>EFF4</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414433" w:rsidRPr="007F666C" w:rsidRDefault="00414433" w:rsidP="007F666C">
            <w:pPr>
              <w:tabs>
                <w:tab w:val="left" w:pos="425"/>
              </w:tabs>
              <w:spacing w:before="40" w:after="40"/>
              <w:rPr>
                <w:sz w:val="20"/>
                <w:szCs w:val="20"/>
                <w:lang w:eastAsia="en-AU"/>
              </w:rPr>
            </w:pPr>
            <w:r w:rsidRPr="007F666C">
              <w:rPr>
                <w:sz w:val="20"/>
                <w:szCs w:val="20"/>
                <w:lang w:eastAsia="en-AU"/>
              </w:rPr>
              <w:t>Ambulance offload delay - 30 minutes</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414433" w:rsidRPr="007F666C" w:rsidRDefault="00414433" w:rsidP="007F666C">
            <w:pPr>
              <w:tabs>
                <w:tab w:val="left" w:pos="425"/>
              </w:tabs>
              <w:spacing w:before="40" w:after="40"/>
              <w:rPr>
                <w:sz w:val="20"/>
                <w:szCs w:val="20"/>
                <w:lang w:eastAsia="en-AU"/>
              </w:rPr>
            </w:pPr>
            <w:r w:rsidRPr="007F666C">
              <w:rPr>
                <w:sz w:val="20"/>
                <w:szCs w:val="20"/>
                <w:lang w:eastAsia="en-AU"/>
              </w:rPr>
              <w:t>100% within 30 mins (all specified facilities)</w:t>
            </w:r>
          </w:p>
        </w:tc>
      </w:tr>
      <w:tr w:rsidR="00414433" w:rsidRPr="00856D73" w:rsidTr="007F666C">
        <w:tc>
          <w:tcPr>
            <w:tcW w:w="1560" w:type="dxa"/>
            <w:vMerge/>
            <w:tcBorders>
              <w:right w:val="single" w:sz="4" w:space="0" w:color="auto"/>
            </w:tcBorders>
            <w:shd w:val="clear" w:color="auto" w:fill="auto"/>
            <w:vAlign w:val="center"/>
          </w:tcPr>
          <w:p w:rsidR="00414433" w:rsidRPr="00856D73" w:rsidRDefault="00414433" w:rsidP="00006F3C">
            <w:pPr>
              <w:tabs>
                <w:tab w:val="left" w:pos="425"/>
              </w:tabs>
              <w:spacing w:before="60" w:after="60"/>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14433" w:rsidRPr="004B01A2" w:rsidRDefault="00414433" w:rsidP="00006F3C">
            <w:pPr>
              <w:spacing w:before="60" w:after="60"/>
              <w:rPr>
                <w:b/>
                <w:snapToGrid w:val="0"/>
                <w:sz w:val="20"/>
                <w:szCs w:val="20"/>
              </w:rPr>
            </w:pPr>
            <w:r w:rsidRPr="004B01A2">
              <w:rPr>
                <w:b/>
                <w:snapToGrid w:val="0"/>
                <w:sz w:val="20"/>
                <w:szCs w:val="20"/>
              </w:rPr>
              <w:t>EFF5</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414433" w:rsidRPr="007F666C" w:rsidRDefault="00414433" w:rsidP="007F666C">
            <w:pPr>
              <w:tabs>
                <w:tab w:val="left" w:pos="425"/>
              </w:tabs>
              <w:spacing w:before="40" w:after="40"/>
              <w:rPr>
                <w:sz w:val="20"/>
                <w:szCs w:val="20"/>
                <w:lang w:eastAsia="en-AU"/>
              </w:rPr>
            </w:pPr>
            <w:r w:rsidRPr="004B01A2">
              <w:rPr>
                <w:sz w:val="20"/>
                <w:szCs w:val="20"/>
                <w:lang w:eastAsia="en-AU"/>
              </w:rPr>
              <w:t>Hospital initiated postponements (HIPs)</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414433" w:rsidRPr="007F666C" w:rsidRDefault="00414433" w:rsidP="007F666C">
            <w:pPr>
              <w:tabs>
                <w:tab w:val="left" w:pos="425"/>
              </w:tabs>
              <w:spacing w:before="40" w:after="40"/>
              <w:rPr>
                <w:sz w:val="20"/>
                <w:szCs w:val="20"/>
                <w:lang w:eastAsia="en-AU"/>
              </w:rPr>
            </w:pPr>
            <w:r w:rsidRPr="007F666C">
              <w:rPr>
                <w:sz w:val="20"/>
                <w:szCs w:val="20"/>
                <w:lang w:eastAsia="en-AU"/>
              </w:rPr>
              <w:t>Sep 17: 12.0%</w:t>
            </w:r>
          </w:p>
          <w:p w:rsidR="00414433" w:rsidRPr="007F666C" w:rsidRDefault="00414433" w:rsidP="007F666C">
            <w:pPr>
              <w:tabs>
                <w:tab w:val="left" w:pos="425"/>
              </w:tabs>
              <w:spacing w:before="40" w:after="40"/>
              <w:rPr>
                <w:sz w:val="20"/>
                <w:szCs w:val="20"/>
                <w:lang w:eastAsia="en-AU"/>
              </w:rPr>
            </w:pPr>
            <w:r w:rsidRPr="007F666C">
              <w:rPr>
                <w:sz w:val="20"/>
                <w:szCs w:val="20"/>
                <w:lang w:eastAsia="en-AU"/>
              </w:rPr>
              <w:t>Dec 17: 11.4%</w:t>
            </w:r>
          </w:p>
          <w:p w:rsidR="00414433" w:rsidRPr="007F666C" w:rsidRDefault="00414433" w:rsidP="007F666C">
            <w:pPr>
              <w:tabs>
                <w:tab w:val="left" w:pos="425"/>
              </w:tabs>
              <w:spacing w:before="40" w:after="40"/>
              <w:rPr>
                <w:sz w:val="20"/>
                <w:szCs w:val="20"/>
                <w:lang w:eastAsia="en-AU"/>
              </w:rPr>
            </w:pPr>
            <w:r w:rsidRPr="007F666C">
              <w:rPr>
                <w:sz w:val="20"/>
                <w:szCs w:val="20"/>
                <w:lang w:eastAsia="en-AU"/>
              </w:rPr>
              <w:t>Mar 18: 10.7%</w:t>
            </w:r>
          </w:p>
          <w:p w:rsidR="00414433" w:rsidRPr="007F666C" w:rsidRDefault="00414433" w:rsidP="007F666C">
            <w:pPr>
              <w:tabs>
                <w:tab w:val="left" w:pos="425"/>
              </w:tabs>
              <w:spacing w:before="40" w:after="40"/>
              <w:rPr>
                <w:sz w:val="20"/>
                <w:szCs w:val="20"/>
                <w:lang w:eastAsia="en-AU"/>
              </w:rPr>
            </w:pPr>
            <w:r w:rsidRPr="007F666C">
              <w:rPr>
                <w:sz w:val="20"/>
                <w:szCs w:val="20"/>
                <w:lang w:eastAsia="en-AU"/>
              </w:rPr>
              <w:t>Jun 18: 10%</w:t>
            </w:r>
          </w:p>
          <w:p w:rsidR="00414433" w:rsidRPr="007F666C" w:rsidRDefault="00414433" w:rsidP="007F666C">
            <w:pPr>
              <w:tabs>
                <w:tab w:val="left" w:pos="425"/>
              </w:tabs>
              <w:spacing w:before="40" w:after="40"/>
              <w:rPr>
                <w:sz w:val="20"/>
                <w:szCs w:val="20"/>
                <w:lang w:eastAsia="en-AU"/>
              </w:rPr>
            </w:pPr>
            <w:r w:rsidRPr="007F666C">
              <w:rPr>
                <w:sz w:val="20"/>
                <w:szCs w:val="20"/>
                <w:lang w:eastAsia="en-AU"/>
              </w:rPr>
              <w:t>(State-wide)</w:t>
            </w:r>
          </w:p>
        </w:tc>
      </w:tr>
      <w:tr w:rsidR="00414433" w:rsidRPr="00856D73" w:rsidTr="007F666C">
        <w:tc>
          <w:tcPr>
            <w:tcW w:w="1560" w:type="dxa"/>
            <w:vMerge w:val="restart"/>
            <w:tcBorders>
              <w:right w:val="single" w:sz="4" w:space="0" w:color="auto"/>
            </w:tcBorders>
            <w:shd w:val="clear" w:color="auto" w:fill="auto"/>
            <w:vAlign w:val="center"/>
          </w:tcPr>
          <w:p w:rsidR="00414433" w:rsidRPr="00856D73" w:rsidRDefault="00414433" w:rsidP="00157FB5">
            <w:pPr>
              <w:tabs>
                <w:tab w:val="left" w:pos="425"/>
              </w:tabs>
              <w:spacing w:before="60" w:after="60"/>
              <w:rPr>
                <w:sz w:val="20"/>
                <w:szCs w:val="20"/>
              </w:rPr>
            </w:pPr>
            <w:r w:rsidRPr="00856D73">
              <w:rPr>
                <w:sz w:val="20"/>
                <w:szCs w:val="20"/>
              </w:rPr>
              <w:t>Safety</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14433" w:rsidRPr="00856D73" w:rsidRDefault="00414433" w:rsidP="00006F3C">
            <w:pPr>
              <w:spacing w:before="60" w:after="60"/>
              <w:rPr>
                <w:b/>
                <w:snapToGrid w:val="0"/>
                <w:sz w:val="20"/>
                <w:szCs w:val="20"/>
              </w:rPr>
            </w:pPr>
            <w:r w:rsidRPr="00856D73">
              <w:rPr>
                <w:b/>
                <w:snapToGrid w:val="0"/>
                <w:sz w:val="20"/>
                <w:szCs w:val="20"/>
              </w:rPr>
              <w:t>SAF1</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414433" w:rsidRPr="007F666C" w:rsidRDefault="00414433" w:rsidP="007F666C">
            <w:pPr>
              <w:tabs>
                <w:tab w:val="left" w:pos="425"/>
              </w:tabs>
              <w:spacing w:before="40" w:after="40"/>
              <w:rPr>
                <w:sz w:val="20"/>
                <w:szCs w:val="20"/>
                <w:lang w:eastAsia="en-AU"/>
              </w:rPr>
            </w:pPr>
            <w:r w:rsidRPr="007F666C">
              <w:rPr>
                <w:sz w:val="20"/>
                <w:szCs w:val="20"/>
                <w:lang w:eastAsia="en-AU"/>
              </w:rPr>
              <w:t>Hand Hygiene compliance</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414433" w:rsidRPr="007F666C" w:rsidRDefault="00414433" w:rsidP="007F666C">
            <w:pPr>
              <w:tabs>
                <w:tab w:val="left" w:pos="425"/>
              </w:tabs>
              <w:spacing w:before="40" w:after="40"/>
              <w:rPr>
                <w:sz w:val="20"/>
                <w:szCs w:val="20"/>
                <w:lang w:eastAsia="en-AU"/>
              </w:rPr>
            </w:pPr>
            <w:r w:rsidRPr="007F666C">
              <w:rPr>
                <w:sz w:val="20"/>
                <w:szCs w:val="20"/>
                <w:lang w:eastAsia="en-AU"/>
              </w:rPr>
              <w:t xml:space="preserve">80% </w:t>
            </w:r>
          </w:p>
          <w:p w:rsidR="00414433" w:rsidRPr="007F666C" w:rsidRDefault="00414433" w:rsidP="007F666C">
            <w:pPr>
              <w:tabs>
                <w:tab w:val="left" w:pos="425"/>
              </w:tabs>
              <w:spacing w:before="40" w:after="40"/>
              <w:rPr>
                <w:sz w:val="20"/>
                <w:szCs w:val="20"/>
                <w:lang w:eastAsia="en-AU"/>
              </w:rPr>
            </w:pPr>
            <w:r w:rsidRPr="007F666C">
              <w:rPr>
                <w:sz w:val="20"/>
                <w:szCs w:val="20"/>
                <w:lang w:eastAsia="en-AU"/>
              </w:rPr>
              <w:t>(all specified facilities)</w:t>
            </w:r>
          </w:p>
        </w:tc>
      </w:tr>
      <w:tr w:rsidR="00414433" w:rsidRPr="00856D73" w:rsidTr="007F666C">
        <w:tc>
          <w:tcPr>
            <w:tcW w:w="1560" w:type="dxa"/>
            <w:vMerge/>
            <w:tcBorders>
              <w:right w:val="single" w:sz="4" w:space="0" w:color="auto"/>
            </w:tcBorders>
            <w:shd w:val="clear" w:color="auto" w:fill="auto"/>
            <w:vAlign w:val="center"/>
          </w:tcPr>
          <w:p w:rsidR="00414433" w:rsidRPr="00856D73" w:rsidRDefault="00414433" w:rsidP="00006F3C">
            <w:pPr>
              <w:tabs>
                <w:tab w:val="left" w:pos="425"/>
              </w:tabs>
              <w:spacing w:before="60" w:after="60"/>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14433" w:rsidRPr="00856D73" w:rsidRDefault="00414433" w:rsidP="00006F3C">
            <w:pPr>
              <w:spacing w:before="60" w:after="60"/>
              <w:rPr>
                <w:b/>
                <w:snapToGrid w:val="0"/>
                <w:sz w:val="20"/>
                <w:szCs w:val="20"/>
              </w:rPr>
            </w:pPr>
            <w:r w:rsidRPr="00856D73">
              <w:rPr>
                <w:b/>
                <w:snapToGrid w:val="0"/>
                <w:sz w:val="20"/>
                <w:szCs w:val="20"/>
              </w:rPr>
              <w:t>SAF2</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414433" w:rsidRPr="007F666C" w:rsidRDefault="00414433" w:rsidP="007F666C">
            <w:pPr>
              <w:tabs>
                <w:tab w:val="left" w:pos="425"/>
              </w:tabs>
              <w:spacing w:before="40" w:after="40"/>
              <w:rPr>
                <w:sz w:val="20"/>
                <w:szCs w:val="20"/>
                <w:lang w:eastAsia="en-AU"/>
              </w:rPr>
            </w:pPr>
            <w:r w:rsidRPr="007F666C">
              <w:rPr>
                <w:sz w:val="20"/>
                <w:szCs w:val="20"/>
                <w:lang w:eastAsia="en-AU"/>
              </w:rPr>
              <w:t xml:space="preserve">Healthcare associated </w:t>
            </w:r>
            <w:r w:rsidRPr="00856D73">
              <w:rPr>
                <w:sz w:val="20"/>
                <w:szCs w:val="20"/>
                <w:lang w:eastAsia="en-AU"/>
              </w:rPr>
              <w:t>staphylococcus aureus (including MRSA) bacteraemia infection rate</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414433" w:rsidRPr="007F666C" w:rsidRDefault="00414433" w:rsidP="007F666C">
            <w:pPr>
              <w:tabs>
                <w:tab w:val="left" w:pos="425"/>
              </w:tabs>
              <w:spacing w:before="40" w:after="40"/>
              <w:rPr>
                <w:sz w:val="20"/>
                <w:szCs w:val="20"/>
                <w:lang w:eastAsia="en-AU"/>
              </w:rPr>
            </w:pPr>
            <w:r w:rsidRPr="007F666C">
              <w:rPr>
                <w:sz w:val="20"/>
                <w:szCs w:val="20"/>
                <w:lang w:eastAsia="en-AU"/>
              </w:rPr>
              <w:t xml:space="preserve">≤2.0 per 10 000 patient days </w:t>
            </w:r>
          </w:p>
          <w:p w:rsidR="00414433" w:rsidRPr="007F666C" w:rsidRDefault="00414433" w:rsidP="007F666C">
            <w:pPr>
              <w:tabs>
                <w:tab w:val="left" w:pos="425"/>
              </w:tabs>
              <w:spacing w:before="40" w:after="40"/>
              <w:rPr>
                <w:sz w:val="20"/>
                <w:szCs w:val="20"/>
                <w:lang w:eastAsia="en-AU"/>
              </w:rPr>
            </w:pPr>
            <w:r w:rsidRPr="007F666C">
              <w:rPr>
                <w:sz w:val="20"/>
                <w:szCs w:val="20"/>
                <w:lang w:eastAsia="en-AU"/>
              </w:rPr>
              <w:t>(all specified facilities)</w:t>
            </w:r>
          </w:p>
        </w:tc>
      </w:tr>
      <w:tr w:rsidR="00414433" w:rsidRPr="00856D73" w:rsidTr="007F666C">
        <w:tc>
          <w:tcPr>
            <w:tcW w:w="1560" w:type="dxa"/>
            <w:vMerge/>
            <w:tcBorders>
              <w:right w:val="single" w:sz="4" w:space="0" w:color="auto"/>
            </w:tcBorders>
            <w:shd w:val="clear" w:color="auto" w:fill="auto"/>
            <w:vAlign w:val="center"/>
          </w:tcPr>
          <w:p w:rsidR="00414433" w:rsidRPr="00856D73" w:rsidRDefault="00414433" w:rsidP="00006F3C">
            <w:pPr>
              <w:tabs>
                <w:tab w:val="left" w:pos="425"/>
              </w:tabs>
              <w:spacing w:before="60" w:after="60"/>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14433" w:rsidRPr="00856D73" w:rsidRDefault="00414433" w:rsidP="00006F3C">
            <w:pPr>
              <w:spacing w:before="60" w:after="60"/>
              <w:rPr>
                <w:b/>
                <w:snapToGrid w:val="0"/>
                <w:sz w:val="20"/>
                <w:szCs w:val="20"/>
              </w:rPr>
            </w:pPr>
            <w:r w:rsidRPr="00856D73">
              <w:rPr>
                <w:rFonts w:cs="Calibri"/>
                <w:b/>
                <w:bCs/>
                <w:color w:val="000000"/>
                <w:sz w:val="20"/>
                <w:szCs w:val="20"/>
              </w:rPr>
              <w:t>SAF3</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414433" w:rsidRPr="007F666C" w:rsidRDefault="00414433" w:rsidP="007F666C">
            <w:pPr>
              <w:tabs>
                <w:tab w:val="left" w:pos="425"/>
              </w:tabs>
              <w:spacing w:before="40" w:after="40"/>
              <w:rPr>
                <w:sz w:val="20"/>
                <w:szCs w:val="20"/>
                <w:lang w:eastAsia="en-AU"/>
              </w:rPr>
            </w:pPr>
            <w:r w:rsidRPr="007F666C">
              <w:rPr>
                <w:sz w:val="20"/>
                <w:szCs w:val="20"/>
                <w:lang w:eastAsia="en-AU"/>
              </w:rPr>
              <w:t>Seclusion rates</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414433" w:rsidRPr="007F666C" w:rsidRDefault="00414433" w:rsidP="007F666C">
            <w:pPr>
              <w:tabs>
                <w:tab w:val="left" w:pos="425"/>
              </w:tabs>
              <w:spacing w:before="40" w:after="40"/>
              <w:rPr>
                <w:sz w:val="20"/>
                <w:szCs w:val="20"/>
                <w:lang w:eastAsia="en-AU"/>
              </w:rPr>
            </w:pPr>
            <w:r w:rsidRPr="007F666C">
              <w:rPr>
                <w:sz w:val="20"/>
                <w:szCs w:val="20"/>
                <w:lang w:eastAsia="en-AU"/>
              </w:rPr>
              <w:t xml:space="preserve">≤8 per 1 000 patient days </w:t>
            </w:r>
          </w:p>
          <w:p w:rsidR="00414433" w:rsidRPr="007F666C" w:rsidRDefault="00414433" w:rsidP="007F666C">
            <w:pPr>
              <w:tabs>
                <w:tab w:val="left" w:pos="425"/>
              </w:tabs>
              <w:spacing w:before="40" w:after="40"/>
              <w:rPr>
                <w:sz w:val="20"/>
                <w:szCs w:val="20"/>
                <w:lang w:eastAsia="en-AU"/>
              </w:rPr>
            </w:pPr>
            <w:r w:rsidRPr="007F666C">
              <w:rPr>
                <w:sz w:val="20"/>
                <w:szCs w:val="20"/>
                <w:lang w:eastAsia="en-AU"/>
              </w:rPr>
              <w:t>(State-wide)</w:t>
            </w:r>
          </w:p>
        </w:tc>
      </w:tr>
      <w:tr w:rsidR="00414433" w:rsidRPr="00856D73" w:rsidTr="007F666C">
        <w:tc>
          <w:tcPr>
            <w:tcW w:w="1560" w:type="dxa"/>
            <w:vMerge/>
            <w:tcBorders>
              <w:right w:val="single" w:sz="4" w:space="0" w:color="auto"/>
            </w:tcBorders>
            <w:shd w:val="clear" w:color="auto" w:fill="auto"/>
            <w:vAlign w:val="center"/>
          </w:tcPr>
          <w:p w:rsidR="00414433" w:rsidRPr="00856D73" w:rsidRDefault="00414433" w:rsidP="00006F3C">
            <w:pPr>
              <w:tabs>
                <w:tab w:val="left" w:pos="425"/>
              </w:tabs>
              <w:spacing w:before="60" w:after="60"/>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14433" w:rsidRPr="00856D73" w:rsidRDefault="00414433" w:rsidP="00006F3C">
            <w:pPr>
              <w:spacing w:before="60" w:after="60"/>
              <w:rPr>
                <w:rFonts w:cs="Calibri"/>
                <w:b/>
                <w:bCs/>
                <w:color w:val="000000"/>
                <w:sz w:val="20"/>
                <w:szCs w:val="20"/>
              </w:rPr>
            </w:pPr>
            <w:r w:rsidRPr="00856D73">
              <w:rPr>
                <w:rFonts w:cs="Calibri"/>
                <w:b/>
                <w:bCs/>
                <w:color w:val="000000"/>
                <w:sz w:val="20"/>
                <w:szCs w:val="20"/>
              </w:rPr>
              <w:t>SAF4</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414433" w:rsidRPr="007F666C" w:rsidRDefault="00414433" w:rsidP="007F666C">
            <w:pPr>
              <w:tabs>
                <w:tab w:val="left" w:pos="425"/>
              </w:tabs>
              <w:spacing w:before="40" w:after="40"/>
              <w:rPr>
                <w:sz w:val="20"/>
                <w:szCs w:val="20"/>
                <w:lang w:eastAsia="en-AU"/>
              </w:rPr>
            </w:pPr>
            <w:r w:rsidRPr="007F666C">
              <w:rPr>
                <w:sz w:val="20"/>
                <w:szCs w:val="20"/>
                <w:lang w:eastAsia="en-AU"/>
              </w:rPr>
              <w:t>Percentage of discharge summaries transmitted within 48 hours of separation</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414433" w:rsidRPr="007F666C" w:rsidRDefault="00414433" w:rsidP="007F666C">
            <w:pPr>
              <w:tabs>
                <w:tab w:val="left" w:pos="425"/>
              </w:tabs>
              <w:spacing w:before="40" w:after="40"/>
              <w:rPr>
                <w:sz w:val="20"/>
                <w:szCs w:val="20"/>
                <w:lang w:eastAsia="en-AU"/>
              </w:rPr>
            </w:pPr>
            <w:r w:rsidRPr="007F666C">
              <w:rPr>
                <w:sz w:val="20"/>
                <w:szCs w:val="20"/>
                <w:lang w:eastAsia="en-AU"/>
              </w:rPr>
              <w:t>100%</w:t>
            </w:r>
          </w:p>
          <w:p w:rsidR="00414433" w:rsidRPr="007F666C" w:rsidRDefault="00414433" w:rsidP="007F666C">
            <w:pPr>
              <w:tabs>
                <w:tab w:val="left" w:pos="425"/>
              </w:tabs>
              <w:spacing w:before="40" w:after="40"/>
              <w:rPr>
                <w:sz w:val="20"/>
                <w:szCs w:val="20"/>
                <w:lang w:eastAsia="en-AU"/>
              </w:rPr>
            </w:pPr>
            <w:r w:rsidRPr="007F666C">
              <w:rPr>
                <w:sz w:val="20"/>
                <w:szCs w:val="20"/>
                <w:lang w:eastAsia="en-AU"/>
              </w:rPr>
              <w:t>(State-wide)</w:t>
            </w:r>
          </w:p>
        </w:tc>
      </w:tr>
      <w:tr w:rsidR="00414433" w:rsidRPr="00856D73" w:rsidTr="007F666C">
        <w:tc>
          <w:tcPr>
            <w:tcW w:w="1560" w:type="dxa"/>
            <w:vMerge/>
            <w:tcBorders>
              <w:right w:val="single" w:sz="4" w:space="0" w:color="auto"/>
            </w:tcBorders>
            <w:shd w:val="clear" w:color="auto" w:fill="auto"/>
            <w:vAlign w:val="center"/>
          </w:tcPr>
          <w:p w:rsidR="00414433" w:rsidRPr="00856D73" w:rsidRDefault="00414433" w:rsidP="00006F3C">
            <w:pPr>
              <w:tabs>
                <w:tab w:val="left" w:pos="425"/>
              </w:tabs>
              <w:spacing w:before="60" w:after="60"/>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14433" w:rsidRPr="00856D73" w:rsidRDefault="00414433" w:rsidP="00006F3C">
            <w:pPr>
              <w:spacing w:before="60" w:after="60"/>
              <w:rPr>
                <w:rFonts w:cs="Calibri"/>
                <w:b/>
                <w:bCs/>
                <w:color w:val="000000"/>
                <w:sz w:val="20"/>
                <w:szCs w:val="20"/>
              </w:rPr>
            </w:pPr>
            <w:r w:rsidRPr="00856D73">
              <w:rPr>
                <w:rFonts w:cs="Calibri"/>
                <w:b/>
                <w:bCs/>
                <w:color w:val="000000"/>
                <w:sz w:val="20"/>
                <w:szCs w:val="20"/>
              </w:rPr>
              <w:t>SAF5</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414433" w:rsidRPr="007F666C" w:rsidRDefault="00414433" w:rsidP="00453094">
            <w:pPr>
              <w:tabs>
                <w:tab w:val="left" w:pos="425"/>
              </w:tabs>
              <w:spacing w:before="40" w:after="40"/>
              <w:rPr>
                <w:sz w:val="20"/>
                <w:szCs w:val="20"/>
                <w:lang w:eastAsia="en-AU"/>
              </w:rPr>
            </w:pPr>
            <w:r w:rsidRPr="007F666C">
              <w:rPr>
                <w:sz w:val="20"/>
                <w:szCs w:val="20"/>
                <w:lang w:eastAsia="en-AU"/>
              </w:rPr>
              <w:t xml:space="preserve">Percentage of Initial Reportable Event Briefs sent to the Department’s Clinical Governance Officer within </w:t>
            </w:r>
            <w:r w:rsidR="00453094">
              <w:rPr>
                <w:sz w:val="20"/>
                <w:szCs w:val="20"/>
                <w:lang w:eastAsia="en-AU"/>
              </w:rPr>
              <w:t>the Ministerial policy on Safety Event Management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414433" w:rsidRPr="007F666C" w:rsidRDefault="00414433" w:rsidP="007F666C">
            <w:pPr>
              <w:tabs>
                <w:tab w:val="left" w:pos="425"/>
              </w:tabs>
              <w:spacing w:before="40" w:after="40"/>
              <w:rPr>
                <w:sz w:val="20"/>
                <w:szCs w:val="20"/>
                <w:lang w:eastAsia="en-AU"/>
              </w:rPr>
            </w:pPr>
            <w:r w:rsidRPr="007F666C">
              <w:rPr>
                <w:sz w:val="20"/>
                <w:szCs w:val="20"/>
                <w:lang w:eastAsia="en-AU"/>
              </w:rPr>
              <w:t>80%</w:t>
            </w:r>
          </w:p>
          <w:p w:rsidR="00414433" w:rsidRPr="007F666C" w:rsidRDefault="00414433" w:rsidP="007F666C">
            <w:pPr>
              <w:tabs>
                <w:tab w:val="left" w:pos="425"/>
              </w:tabs>
              <w:spacing w:before="40" w:after="40"/>
              <w:rPr>
                <w:sz w:val="20"/>
                <w:szCs w:val="20"/>
                <w:lang w:eastAsia="en-AU"/>
              </w:rPr>
            </w:pPr>
            <w:r w:rsidRPr="007F666C">
              <w:rPr>
                <w:sz w:val="20"/>
                <w:szCs w:val="20"/>
                <w:lang w:eastAsia="en-AU"/>
              </w:rPr>
              <w:t>(State-wide)</w:t>
            </w:r>
          </w:p>
        </w:tc>
      </w:tr>
      <w:tr w:rsidR="00414433" w:rsidRPr="00856D73" w:rsidTr="007F666C">
        <w:tc>
          <w:tcPr>
            <w:tcW w:w="1560" w:type="dxa"/>
            <w:vMerge/>
            <w:tcBorders>
              <w:right w:val="single" w:sz="4" w:space="0" w:color="auto"/>
            </w:tcBorders>
            <w:shd w:val="clear" w:color="auto" w:fill="auto"/>
            <w:vAlign w:val="center"/>
          </w:tcPr>
          <w:p w:rsidR="00414433" w:rsidRPr="00856D73" w:rsidRDefault="00414433" w:rsidP="00006F3C">
            <w:pPr>
              <w:tabs>
                <w:tab w:val="left" w:pos="425"/>
              </w:tabs>
              <w:spacing w:before="60" w:after="60"/>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14433" w:rsidRPr="00856D73" w:rsidRDefault="00414433" w:rsidP="00006F3C">
            <w:pPr>
              <w:spacing w:before="60" w:after="60"/>
              <w:rPr>
                <w:rFonts w:cs="Calibri"/>
                <w:b/>
                <w:bCs/>
                <w:color w:val="000000"/>
                <w:sz w:val="20"/>
                <w:szCs w:val="20"/>
              </w:rPr>
            </w:pPr>
            <w:r w:rsidRPr="00856D73">
              <w:rPr>
                <w:rFonts w:cs="Calibri"/>
                <w:b/>
                <w:bCs/>
                <w:color w:val="000000"/>
                <w:sz w:val="20"/>
                <w:szCs w:val="20"/>
              </w:rPr>
              <w:t>SAF6</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414433" w:rsidRPr="007F666C" w:rsidRDefault="00414433" w:rsidP="007F666C">
            <w:pPr>
              <w:tabs>
                <w:tab w:val="left" w:pos="425"/>
              </w:tabs>
              <w:spacing w:before="40" w:after="40"/>
              <w:rPr>
                <w:sz w:val="20"/>
                <w:szCs w:val="20"/>
                <w:lang w:eastAsia="en-AU"/>
              </w:rPr>
            </w:pPr>
            <w:r w:rsidRPr="007F666C">
              <w:rPr>
                <w:sz w:val="20"/>
                <w:szCs w:val="20"/>
                <w:lang w:eastAsia="en-AU"/>
              </w:rPr>
              <w:t xml:space="preserve">Percentage of Reportable Event Brief Investigation Reports sent to the Department’s Clinical Governance Officer within </w:t>
            </w:r>
            <w:r w:rsidR="00453094">
              <w:rPr>
                <w:sz w:val="20"/>
                <w:szCs w:val="20"/>
                <w:lang w:eastAsia="en-AU"/>
              </w:rPr>
              <w:t>the Ministerial policy on Safety Event Management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414433" w:rsidRPr="007F666C" w:rsidRDefault="00414433" w:rsidP="007F666C">
            <w:pPr>
              <w:tabs>
                <w:tab w:val="left" w:pos="425"/>
              </w:tabs>
              <w:spacing w:before="40" w:after="40"/>
              <w:rPr>
                <w:sz w:val="20"/>
                <w:szCs w:val="20"/>
                <w:lang w:eastAsia="en-AU"/>
              </w:rPr>
            </w:pPr>
            <w:r w:rsidRPr="007F666C">
              <w:rPr>
                <w:sz w:val="20"/>
                <w:szCs w:val="20"/>
                <w:lang w:eastAsia="en-AU"/>
              </w:rPr>
              <w:t>80%</w:t>
            </w:r>
          </w:p>
          <w:p w:rsidR="00414433" w:rsidRPr="007F666C" w:rsidRDefault="00414433" w:rsidP="007F666C">
            <w:pPr>
              <w:tabs>
                <w:tab w:val="left" w:pos="425"/>
              </w:tabs>
              <w:spacing w:before="40" w:after="40"/>
              <w:rPr>
                <w:sz w:val="20"/>
                <w:szCs w:val="20"/>
                <w:lang w:eastAsia="en-AU"/>
              </w:rPr>
            </w:pPr>
            <w:r w:rsidRPr="007F666C">
              <w:rPr>
                <w:sz w:val="20"/>
                <w:szCs w:val="20"/>
                <w:lang w:eastAsia="en-AU"/>
              </w:rPr>
              <w:t>(State-wide)</w:t>
            </w:r>
          </w:p>
        </w:tc>
      </w:tr>
      <w:tr w:rsidR="00414433" w:rsidTr="007F666C">
        <w:tc>
          <w:tcPr>
            <w:tcW w:w="1560" w:type="dxa"/>
            <w:vMerge w:val="restart"/>
            <w:tcBorders>
              <w:right w:val="single" w:sz="4" w:space="0" w:color="auto"/>
            </w:tcBorders>
            <w:shd w:val="clear" w:color="auto" w:fill="auto"/>
            <w:vAlign w:val="center"/>
          </w:tcPr>
          <w:p w:rsidR="00414433" w:rsidRPr="00856D73" w:rsidRDefault="00414433" w:rsidP="00006F3C">
            <w:pPr>
              <w:tabs>
                <w:tab w:val="left" w:pos="425"/>
              </w:tabs>
              <w:spacing w:before="60" w:after="60"/>
              <w:rPr>
                <w:sz w:val="20"/>
                <w:szCs w:val="20"/>
              </w:rPr>
            </w:pPr>
            <w:r w:rsidRPr="00856D73">
              <w:rPr>
                <w:sz w:val="20"/>
                <w:szCs w:val="20"/>
              </w:rPr>
              <w:t>Activity</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14433" w:rsidRPr="00856D73" w:rsidRDefault="00414433" w:rsidP="00006F3C">
            <w:pPr>
              <w:spacing w:before="60" w:after="60"/>
              <w:rPr>
                <w:b/>
                <w:snapToGrid w:val="0"/>
                <w:sz w:val="20"/>
                <w:szCs w:val="20"/>
              </w:rPr>
            </w:pPr>
            <w:r w:rsidRPr="00856D73">
              <w:rPr>
                <w:b/>
                <w:snapToGrid w:val="0"/>
                <w:sz w:val="20"/>
                <w:szCs w:val="20"/>
              </w:rPr>
              <w:t>ACT1</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414433" w:rsidRPr="007F666C" w:rsidRDefault="00414433" w:rsidP="007F666C">
            <w:pPr>
              <w:tabs>
                <w:tab w:val="left" w:pos="425"/>
              </w:tabs>
              <w:spacing w:before="40" w:after="40"/>
              <w:rPr>
                <w:sz w:val="20"/>
                <w:szCs w:val="20"/>
                <w:lang w:eastAsia="en-AU"/>
              </w:rPr>
            </w:pPr>
            <w:r w:rsidRPr="007F666C">
              <w:rPr>
                <w:sz w:val="20"/>
                <w:szCs w:val="20"/>
                <w:lang w:eastAsia="en-AU"/>
              </w:rPr>
              <w:t>National Weighted Activity Units (NWAUs)</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414433" w:rsidRPr="007F666C" w:rsidRDefault="00414433" w:rsidP="007F666C">
            <w:pPr>
              <w:tabs>
                <w:tab w:val="left" w:pos="425"/>
              </w:tabs>
              <w:spacing w:before="40" w:after="40"/>
              <w:rPr>
                <w:sz w:val="20"/>
                <w:szCs w:val="20"/>
                <w:lang w:eastAsia="en-AU"/>
              </w:rPr>
            </w:pPr>
            <w:r w:rsidRPr="007F666C">
              <w:rPr>
                <w:sz w:val="20"/>
                <w:szCs w:val="20"/>
                <w:lang w:eastAsia="en-AU"/>
              </w:rPr>
              <w:t>142 543</w:t>
            </w:r>
          </w:p>
          <w:p w:rsidR="00414433" w:rsidRPr="007F666C" w:rsidRDefault="00414433" w:rsidP="007F666C">
            <w:pPr>
              <w:tabs>
                <w:tab w:val="left" w:pos="425"/>
              </w:tabs>
              <w:spacing w:before="40" w:after="40"/>
              <w:rPr>
                <w:sz w:val="20"/>
                <w:szCs w:val="20"/>
                <w:lang w:eastAsia="en-AU"/>
              </w:rPr>
            </w:pPr>
            <w:r w:rsidRPr="007F666C">
              <w:rPr>
                <w:sz w:val="20"/>
                <w:szCs w:val="20"/>
                <w:lang w:eastAsia="en-AU"/>
              </w:rPr>
              <w:t>(State-wide)</w:t>
            </w:r>
          </w:p>
        </w:tc>
      </w:tr>
      <w:tr w:rsidR="00414433" w:rsidTr="007F666C">
        <w:tc>
          <w:tcPr>
            <w:tcW w:w="1560" w:type="dxa"/>
            <w:vMerge/>
            <w:tcBorders>
              <w:right w:val="single" w:sz="4" w:space="0" w:color="auto"/>
            </w:tcBorders>
            <w:shd w:val="clear" w:color="auto" w:fill="auto"/>
            <w:vAlign w:val="center"/>
          </w:tcPr>
          <w:p w:rsidR="00414433" w:rsidRPr="00856D73" w:rsidRDefault="00414433" w:rsidP="00006F3C">
            <w:pPr>
              <w:tabs>
                <w:tab w:val="left" w:pos="425"/>
              </w:tabs>
              <w:spacing w:before="60" w:after="60"/>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14433" w:rsidRPr="00856D73" w:rsidRDefault="00414433" w:rsidP="00006F3C">
            <w:pPr>
              <w:spacing w:before="60" w:after="60"/>
              <w:rPr>
                <w:b/>
                <w:snapToGrid w:val="0"/>
                <w:sz w:val="20"/>
                <w:szCs w:val="20"/>
              </w:rPr>
            </w:pPr>
            <w:r w:rsidRPr="00856D73">
              <w:rPr>
                <w:b/>
                <w:snapToGrid w:val="0"/>
                <w:sz w:val="20"/>
                <w:szCs w:val="20"/>
              </w:rPr>
              <w:t>ACT2</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414433" w:rsidRPr="007F666C" w:rsidRDefault="00414433" w:rsidP="007F666C">
            <w:pPr>
              <w:tabs>
                <w:tab w:val="left" w:pos="425"/>
              </w:tabs>
              <w:spacing w:before="40" w:after="40"/>
              <w:rPr>
                <w:sz w:val="20"/>
                <w:szCs w:val="20"/>
                <w:lang w:eastAsia="en-AU"/>
              </w:rPr>
            </w:pPr>
            <w:r w:rsidRPr="007F666C">
              <w:rPr>
                <w:sz w:val="20"/>
                <w:szCs w:val="20"/>
                <w:lang w:eastAsia="en-AU"/>
              </w:rPr>
              <w:t>Elective surgery admissions</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414433" w:rsidRPr="007F666C" w:rsidRDefault="00414433" w:rsidP="007F666C">
            <w:pPr>
              <w:tabs>
                <w:tab w:val="left" w:pos="425"/>
              </w:tabs>
              <w:spacing w:before="40" w:after="40"/>
              <w:rPr>
                <w:sz w:val="20"/>
                <w:szCs w:val="20"/>
                <w:lang w:eastAsia="en-AU"/>
              </w:rPr>
            </w:pPr>
            <w:r w:rsidRPr="007F666C">
              <w:rPr>
                <w:sz w:val="20"/>
                <w:szCs w:val="20"/>
                <w:lang w:eastAsia="en-AU"/>
              </w:rPr>
              <w:t>16 200</w:t>
            </w:r>
          </w:p>
          <w:p w:rsidR="00414433" w:rsidRPr="007F666C" w:rsidRDefault="00414433" w:rsidP="007F666C">
            <w:pPr>
              <w:tabs>
                <w:tab w:val="left" w:pos="425"/>
              </w:tabs>
              <w:spacing w:before="40" w:after="40"/>
              <w:rPr>
                <w:sz w:val="20"/>
                <w:szCs w:val="20"/>
                <w:lang w:eastAsia="en-AU"/>
              </w:rPr>
            </w:pPr>
            <w:r w:rsidRPr="007F666C">
              <w:rPr>
                <w:sz w:val="20"/>
                <w:szCs w:val="20"/>
                <w:lang w:eastAsia="en-AU"/>
              </w:rPr>
              <w:t>(State-wide)</w:t>
            </w:r>
          </w:p>
        </w:tc>
      </w:tr>
      <w:tr w:rsidR="00414433" w:rsidTr="007F666C">
        <w:trPr>
          <w:trHeight w:val="739"/>
        </w:trPr>
        <w:tc>
          <w:tcPr>
            <w:tcW w:w="1560" w:type="dxa"/>
            <w:vMerge/>
            <w:tcBorders>
              <w:right w:val="single" w:sz="4" w:space="0" w:color="auto"/>
            </w:tcBorders>
            <w:shd w:val="clear" w:color="auto" w:fill="auto"/>
            <w:vAlign w:val="center"/>
          </w:tcPr>
          <w:p w:rsidR="00414433" w:rsidRPr="00856D73" w:rsidRDefault="00414433" w:rsidP="00006F3C">
            <w:pPr>
              <w:tabs>
                <w:tab w:val="left" w:pos="425"/>
              </w:tabs>
              <w:spacing w:before="60" w:after="60"/>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14433" w:rsidRPr="00856D73" w:rsidRDefault="00414433" w:rsidP="00F764E7">
            <w:pPr>
              <w:spacing w:before="60" w:after="60"/>
              <w:rPr>
                <w:b/>
                <w:snapToGrid w:val="0"/>
                <w:sz w:val="20"/>
                <w:szCs w:val="20"/>
              </w:rPr>
            </w:pPr>
            <w:r w:rsidRPr="00856D73">
              <w:rPr>
                <w:b/>
                <w:snapToGrid w:val="0"/>
                <w:sz w:val="20"/>
                <w:szCs w:val="20"/>
              </w:rPr>
              <w:t>ACT3</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414433" w:rsidRPr="007F666C" w:rsidRDefault="00414433" w:rsidP="007F666C">
            <w:pPr>
              <w:tabs>
                <w:tab w:val="left" w:pos="425"/>
              </w:tabs>
              <w:spacing w:before="40" w:after="40"/>
              <w:rPr>
                <w:sz w:val="20"/>
                <w:szCs w:val="20"/>
                <w:lang w:eastAsia="en-AU"/>
              </w:rPr>
            </w:pPr>
            <w:r w:rsidRPr="007F666C">
              <w:rPr>
                <w:sz w:val="20"/>
                <w:szCs w:val="20"/>
                <w:lang w:eastAsia="en-AU"/>
              </w:rPr>
              <w:t>Dental Weighted Activity Units (DWAUs)</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414433" w:rsidRPr="007F666C" w:rsidRDefault="00414433" w:rsidP="007F666C">
            <w:pPr>
              <w:tabs>
                <w:tab w:val="left" w:pos="425"/>
              </w:tabs>
              <w:spacing w:before="40" w:after="40"/>
              <w:rPr>
                <w:sz w:val="20"/>
                <w:szCs w:val="20"/>
                <w:lang w:eastAsia="en-AU"/>
              </w:rPr>
            </w:pPr>
            <w:r w:rsidRPr="007F666C">
              <w:rPr>
                <w:sz w:val="20"/>
                <w:szCs w:val="20"/>
                <w:lang w:eastAsia="en-AU"/>
              </w:rPr>
              <w:t>59 980</w:t>
            </w:r>
          </w:p>
          <w:p w:rsidR="00414433" w:rsidRPr="007F666C" w:rsidRDefault="00414433" w:rsidP="007F666C">
            <w:pPr>
              <w:tabs>
                <w:tab w:val="left" w:pos="425"/>
              </w:tabs>
              <w:spacing w:before="40" w:after="40"/>
              <w:rPr>
                <w:sz w:val="20"/>
                <w:szCs w:val="20"/>
                <w:lang w:eastAsia="en-AU"/>
              </w:rPr>
            </w:pPr>
            <w:r w:rsidRPr="007F666C">
              <w:rPr>
                <w:sz w:val="20"/>
                <w:szCs w:val="20"/>
                <w:lang w:eastAsia="en-AU"/>
              </w:rPr>
              <w:t>(State-wide)</w:t>
            </w:r>
          </w:p>
        </w:tc>
      </w:tr>
      <w:tr w:rsidR="00414433" w:rsidTr="007F666C">
        <w:tc>
          <w:tcPr>
            <w:tcW w:w="1560" w:type="dxa"/>
            <w:tcBorders>
              <w:right w:val="single" w:sz="4" w:space="0" w:color="auto"/>
            </w:tcBorders>
            <w:shd w:val="clear" w:color="auto" w:fill="auto"/>
            <w:vAlign w:val="center"/>
          </w:tcPr>
          <w:p w:rsidR="00414433" w:rsidRPr="00856D73" w:rsidRDefault="00414433" w:rsidP="00F764E7">
            <w:pPr>
              <w:tabs>
                <w:tab w:val="left" w:pos="425"/>
              </w:tabs>
              <w:spacing w:before="60" w:after="60"/>
              <w:rPr>
                <w:sz w:val="20"/>
                <w:szCs w:val="20"/>
              </w:rPr>
            </w:pPr>
            <w:r w:rsidRPr="00856D73">
              <w:rPr>
                <w:sz w:val="20"/>
                <w:szCs w:val="20"/>
              </w:rPr>
              <w:t>Finance</w:t>
            </w:r>
          </w:p>
        </w:tc>
        <w:tc>
          <w:tcPr>
            <w:tcW w:w="992" w:type="dxa"/>
            <w:tcBorders>
              <w:top w:val="nil"/>
              <w:left w:val="single" w:sz="4" w:space="0" w:color="auto"/>
              <w:bottom w:val="single" w:sz="4" w:space="0" w:color="auto"/>
              <w:right w:val="single" w:sz="4" w:space="0" w:color="auto"/>
            </w:tcBorders>
            <w:shd w:val="clear" w:color="auto" w:fill="auto"/>
          </w:tcPr>
          <w:p w:rsidR="00414433" w:rsidRPr="00856D73" w:rsidRDefault="00414433" w:rsidP="00F764E7">
            <w:pPr>
              <w:spacing w:before="60" w:after="60"/>
              <w:rPr>
                <w:b/>
                <w:snapToGrid w:val="0"/>
                <w:sz w:val="20"/>
                <w:szCs w:val="20"/>
              </w:rPr>
            </w:pPr>
            <w:r w:rsidRPr="00856D73">
              <w:rPr>
                <w:b/>
                <w:snapToGrid w:val="0"/>
                <w:sz w:val="20"/>
                <w:szCs w:val="20"/>
              </w:rPr>
              <w:t>FIN1</w:t>
            </w:r>
          </w:p>
        </w:tc>
        <w:tc>
          <w:tcPr>
            <w:tcW w:w="4394" w:type="dxa"/>
            <w:tcBorders>
              <w:top w:val="nil"/>
              <w:left w:val="single" w:sz="4" w:space="0" w:color="auto"/>
              <w:bottom w:val="single" w:sz="4" w:space="0" w:color="auto"/>
              <w:right w:val="single" w:sz="4" w:space="0" w:color="auto"/>
            </w:tcBorders>
            <w:shd w:val="clear" w:color="auto" w:fill="auto"/>
          </w:tcPr>
          <w:p w:rsidR="00414433" w:rsidRPr="007F666C" w:rsidRDefault="00414433" w:rsidP="007F666C">
            <w:pPr>
              <w:tabs>
                <w:tab w:val="left" w:pos="425"/>
              </w:tabs>
              <w:spacing w:before="40" w:after="40"/>
              <w:rPr>
                <w:sz w:val="20"/>
                <w:szCs w:val="20"/>
                <w:lang w:eastAsia="en-AU"/>
              </w:rPr>
            </w:pPr>
            <w:r w:rsidRPr="007F666C">
              <w:rPr>
                <w:sz w:val="20"/>
                <w:szCs w:val="20"/>
                <w:lang w:eastAsia="en-AU"/>
              </w:rPr>
              <w:t>Variation from funding - full year projected</w:t>
            </w:r>
          </w:p>
        </w:tc>
        <w:tc>
          <w:tcPr>
            <w:tcW w:w="2693" w:type="dxa"/>
            <w:tcBorders>
              <w:top w:val="nil"/>
              <w:left w:val="single" w:sz="4" w:space="0" w:color="auto"/>
              <w:bottom w:val="single" w:sz="4" w:space="0" w:color="auto"/>
              <w:right w:val="single" w:sz="4" w:space="0" w:color="auto"/>
            </w:tcBorders>
            <w:shd w:val="clear" w:color="auto" w:fill="auto"/>
          </w:tcPr>
          <w:p w:rsidR="00414433" w:rsidRPr="007F666C" w:rsidRDefault="00414433" w:rsidP="007F666C">
            <w:pPr>
              <w:tabs>
                <w:tab w:val="left" w:pos="425"/>
              </w:tabs>
              <w:spacing w:before="40" w:after="40"/>
              <w:rPr>
                <w:sz w:val="20"/>
                <w:szCs w:val="20"/>
                <w:lang w:eastAsia="en-AU"/>
              </w:rPr>
            </w:pPr>
            <w:r w:rsidRPr="007F666C">
              <w:rPr>
                <w:sz w:val="20"/>
                <w:szCs w:val="20"/>
                <w:lang w:eastAsia="en-AU"/>
              </w:rPr>
              <w:t>Expenditure within funding allocation</w:t>
            </w:r>
          </w:p>
          <w:p w:rsidR="00414433" w:rsidRPr="007F666C" w:rsidRDefault="00414433" w:rsidP="007F666C">
            <w:pPr>
              <w:tabs>
                <w:tab w:val="left" w:pos="425"/>
              </w:tabs>
              <w:spacing w:before="40" w:after="40"/>
              <w:rPr>
                <w:sz w:val="20"/>
                <w:szCs w:val="20"/>
                <w:lang w:eastAsia="en-AU"/>
              </w:rPr>
            </w:pPr>
            <w:r w:rsidRPr="007F666C">
              <w:rPr>
                <w:sz w:val="20"/>
                <w:szCs w:val="20"/>
                <w:lang w:eastAsia="en-AU"/>
              </w:rPr>
              <w:t>(State-wide)</w:t>
            </w:r>
          </w:p>
        </w:tc>
      </w:tr>
    </w:tbl>
    <w:p w:rsidR="00221294" w:rsidRDefault="008F1812" w:rsidP="00F764E7">
      <w:pPr>
        <w:pStyle w:val="Heading1"/>
        <w:spacing w:before="0" w:after="140" w:line="300" w:lineRule="atLeast"/>
        <w:rPr>
          <w:lang w:val="en-AU"/>
        </w:rPr>
      </w:pPr>
      <w:bookmarkStart w:id="62" w:name="_Toc423357987"/>
      <w:bookmarkStart w:id="63" w:name="_Toc488068412"/>
      <w:r>
        <w:rPr>
          <w:lang w:val="en-AU"/>
        </w:rPr>
        <w:t xml:space="preserve">Part </w:t>
      </w:r>
      <w:r w:rsidR="00990EB6">
        <w:rPr>
          <w:lang w:val="en-AU"/>
        </w:rPr>
        <w:t>G</w:t>
      </w:r>
      <w:r w:rsidR="00221294">
        <w:rPr>
          <w:lang w:val="en-AU"/>
        </w:rPr>
        <w:t>: Funding Allocation</w:t>
      </w:r>
      <w:bookmarkEnd w:id="62"/>
      <w:r w:rsidR="00FE6D9D">
        <w:rPr>
          <w:lang w:val="en-AU"/>
        </w:rPr>
        <w:t xml:space="preserve"> and Activity Schedules</w:t>
      </w:r>
      <w:bookmarkEnd w:id="63"/>
    </w:p>
    <w:p w:rsidR="007F563C" w:rsidRPr="007F563C" w:rsidRDefault="007F563C" w:rsidP="007F563C">
      <w:pPr>
        <w:spacing w:after="140" w:line="300" w:lineRule="atLeast"/>
      </w:pPr>
      <w:r w:rsidRPr="007F563C">
        <w:t xml:space="preserve">The Tasmanian Funding Model translates the type and volume of activity the Department wishes to purchase into a funding allocation to the THS.  The Model allocates funding to the THS based on the activity and services to be provided.  It informs the Department’s planning and purchasing functions regarding the affordable activity configuration within approved funding allocations. </w:t>
      </w:r>
    </w:p>
    <w:p w:rsidR="007F563C" w:rsidRPr="007F563C" w:rsidRDefault="007F563C" w:rsidP="007F563C">
      <w:pPr>
        <w:spacing w:after="140" w:line="300" w:lineRule="atLeast"/>
      </w:pPr>
      <w:r w:rsidRPr="007F563C">
        <w:t xml:space="preserve">The Model, separates ABF allocations into four work streams i.e. acute inpatients, sub-acute and non-acute inpatients, emergency department, and outpatients.  It allows funding for non-Activity Based Funding (ABF) services and activity through block grants.  The model combines the ABF and non-ABF elements to identify a single total recommended funding allocation for the THS. </w:t>
      </w:r>
    </w:p>
    <w:p w:rsidR="007F563C" w:rsidRPr="007F563C" w:rsidRDefault="007F563C" w:rsidP="007F563C">
      <w:pPr>
        <w:spacing w:after="140" w:line="300" w:lineRule="atLeast"/>
      </w:pPr>
      <w:r w:rsidRPr="007F563C">
        <w:t>Details of the funding and pricing framework used are contained in Appendix 2.</w:t>
      </w:r>
    </w:p>
    <w:p w:rsidR="007F563C" w:rsidRPr="007F563C" w:rsidRDefault="007F563C" w:rsidP="007F563C">
      <w:pPr>
        <w:spacing w:after="140" w:line="300" w:lineRule="atLeast"/>
      </w:pPr>
      <w:r w:rsidRPr="007F563C">
        <w:t>Funding of $1.236 billion is provided by the Australian and Tasmanian State Governments and is based on the budgeted sources of funding as detailed in the 2017-18 State Budget Papers, with some adjustments to reflect updated Commonwealth revenue estimates.  The THS provides additional services which are funded through self-generated revenue which is estimated to be $193.8 million in 2017-18.</w:t>
      </w:r>
    </w:p>
    <w:p w:rsidR="007F563C" w:rsidRPr="001F5316" w:rsidRDefault="007F563C" w:rsidP="001F5316">
      <w:pPr>
        <w:spacing w:after="140" w:line="300" w:lineRule="atLeast"/>
      </w:pPr>
    </w:p>
    <w:p w:rsidR="00011FDC" w:rsidRDefault="00011FDC">
      <w:pPr>
        <w:rPr>
          <w:b/>
          <w:sz w:val="32"/>
          <w:szCs w:val="32"/>
        </w:rPr>
      </w:pPr>
      <w:r>
        <w:rPr>
          <w:b/>
          <w:sz w:val="32"/>
          <w:szCs w:val="32"/>
        </w:rPr>
        <w:br w:type="page"/>
      </w:r>
    </w:p>
    <w:p w:rsidR="00041A6F" w:rsidRPr="007F563C" w:rsidRDefault="00011FDC" w:rsidP="00011FDC">
      <w:pPr>
        <w:spacing w:after="140" w:line="300" w:lineRule="atLeast"/>
        <w:ind w:right="187"/>
        <w:rPr>
          <w:b/>
          <w:sz w:val="32"/>
          <w:szCs w:val="32"/>
        </w:rPr>
      </w:pPr>
      <w:r w:rsidRPr="00011FDC">
        <w:rPr>
          <w:b/>
          <w:sz w:val="32"/>
          <w:szCs w:val="32"/>
        </w:rPr>
        <w:t>2017-18 Activity and Funding Schedule</w:t>
      </w:r>
    </w:p>
    <w:tbl>
      <w:tblPr>
        <w:tblW w:w="5000" w:type="pct"/>
        <w:tblLayout w:type="fixed"/>
        <w:tblLook w:val="04A0" w:firstRow="1" w:lastRow="0" w:firstColumn="1" w:lastColumn="0" w:noHBand="0" w:noVBand="1"/>
        <w:tblCaption w:val="2017-18 Activity and Funding Schedule"/>
        <w:tblDescription w:val="Contains funding detail for Activity Funding, Block Grants for Activity Funded Hospitals and THS Operational Grants."/>
      </w:tblPr>
      <w:tblGrid>
        <w:gridCol w:w="5211"/>
        <w:gridCol w:w="1560"/>
        <w:gridCol w:w="1275"/>
        <w:gridCol w:w="1196"/>
      </w:tblGrid>
      <w:tr w:rsidR="006B4ED5" w:rsidRPr="006B4ED5" w:rsidTr="006B4ED5">
        <w:trPr>
          <w:trHeight w:val="300"/>
          <w:tblHeader/>
        </w:trPr>
        <w:tc>
          <w:tcPr>
            <w:tcW w:w="2819" w:type="pct"/>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6B4ED5" w:rsidRPr="006B4ED5" w:rsidRDefault="006B4ED5" w:rsidP="007C09FE">
            <w:pPr>
              <w:rPr>
                <w:b/>
                <w:bCs/>
                <w:color w:val="000000"/>
                <w:sz w:val="20"/>
                <w:szCs w:val="20"/>
                <w:lang w:eastAsia="en-AU"/>
              </w:rPr>
            </w:pPr>
            <w:r w:rsidRPr="006B4ED5">
              <w:rPr>
                <w:b/>
                <w:bCs/>
                <w:color w:val="000000"/>
                <w:sz w:val="20"/>
                <w:szCs w:val="20"/>
                <w:lang w:eastAsia="en-AU"/>
              </w:rPr>
              <w:t xml:space="preserve">Tasmanian Health Service </w:t>
            </w:r>
          </w:p>
        </w:tc>
        <w:tc>
          <w:tcPr>
            <w:tcW w:w="844" w:type="pct"/>
            <w:tcBorders>
              <w:top w:val="single" w:sz="4" w:space="0" w:color="auto"/>
              <w:left w:val="nil"/>
              <w:bottom w:val="single" w:sz="4" w:space="0" w:color="auto"/>
              <w:right w:val="single" w:sz="4" w:space="0" w:color="auto"/>
            </w:tcBorders>
            <w:shd w:val="clear" w:color="000000" w:fill="D9D9D9"/>
            <w:noWrap/>
            <w:vAlign w:val="bottom"/>
            <w:hideMark/>
          </w:tcPr>
          <w:p w:rsidR="006B4ED5" w:rsidRPr="006B4ED5" w:rsidRDefault="006B4ED5" w:rsidP="007C09FE">
            <w:pPr>
              <w:rPr>
                <w:b/>
                <w:bCs/>
                <w:color w:val="000000"/>
                <w:sz w:val="20"/>
                <w:szCs w:val="20"/>
                <w:lang w:eastAsia="en-AU"/>
              </w:rPr>
            </w:pPr>
            <w:r w:rsidRPr="006B4ED5">
              <w:rPr>
                <w:b/>
                <w:bCs/>
                <w:color w:val="000000"/>
                <w:sz w:val="20"/>
                <w:szCs w:val="20"/>
                <w:lang w:eastAsia="en-AU"/>
              </w:rPr>
              <w:t xml:space="preserve"> Measure </w:t>
            </w:r>
          </w:p>
        </w:tc>
        <w:tc>
          <w:tcPr>
            <w:tcW w:w="690" w:type="pct"/>
            <w:tcBorders>
              <w:top w:val="single" w:sz="4" w:space="0" w:color="auto"/>
              <w:left w:val="nil"/>
              <w:bottom w:val="single" w:sz="4" w:space="0" w:color="auto"/>
              <w:right w:val="single" w:sz="4" w:space="0" w:color="auto"/>
            </w:tcBorders>
            <w:shd w:val="clear" w:color="000000" w:fill="D9D9D9"/>
            <w:noWrap/>
            <w:vAlign w:val="bottom"/>
            <w:hideMark/>
          </w:tcPr>
          <w:p w:rsidR="006B4ED5" w:rsidRPr="006B4ED5" w:rsidRDefault="006B4ED5" w:rsidP="007C09FE">
            <w:pPr>
              <w:jc w:val="right"/>
              <w:rPr>
                <w:b/>
                <w:bCs/>
                <w:color w:val="000000"/>
                <w:sz w:val="20"/>
                <w:szCs w:val="20"/>
                <w:lang w:eastAsia="en-AU"/>
              </w:rPr>
            </w:pPr>
            <w:r w:rsidRPr="006B4ED5">
              <w:rPr>
                <w:b/>
                <w:bCs/>
                <w:color w:val="000000"/>
                <w:sz w:val="20"/>
                <w:szCs w:val="20"/>
                <w:lang w:eastAsia="en-AU"/>
              </w:rPr>
              <w:t xml:space="preserve"> Activity </w:t>
            </w:r>
          </w:p>
        </w:tc>
        <w:tc>
          <w:tcPr>
            <w:tcW w:w="647" w:type="pct"/>
            <w:tcBorders>
              <w:top w:val="single" w:sz="4" w:space="0" w:color="auto"/>
              <w:left w:val="nil"/>
              <w:bottom w:val="single" w:sz="4" w:space="0" w:color="auto"/>
              <w:right w:val="single" w:sz="4" w:space="0" w:color="auto"/>
            </w:tcBorders>
            <w:shd w:val="clear" w:color="000000" w:fill="D9D9D9"/>
            <w:noWrap/>
            <w:vAlign w:val="bottom"/>
            <w:hideMark/>
          </w:tcPr>
          <w:p w:rsidR="006B4ED5" w:rsidRPr="006B4ED5" w:rsidRDefault="006B4ED5" w:rsidP="007C09FE">
            <w:pPr>
              <w:jc w:val="right"/>
              <w:rPr>
                <w:b/>
                <w:bCs/>
                <w:color w:val="000000"/>
                <w:sz w:val="20"/>
                <w:szCs w:val="20"/>
                <w:lang w:eastAsia="en-AU"/>
              </w:rPr>
            </w:pPr>
            <w:r w:rsidRPr="006B4ED5">
              <w:rPr>
                <w:b/>
                <w:bCs/>
                <w:color w:val="000000"/>
                <w:sz w:val="20"/>
                <w:szCs w:val="20"/>
                <w:lang w:eastAsia="en-AU"/>
              </w:rPr>
              <w:t xml:space="preserve"> Funding  ($'000) </w:t>
            </w:r>
          </w:p>
        </w:tc>
      </w:tr>
      <w:tr w:rsidR="006B4ED5" w:rsidRPr="006B4ED5" w:rsidTr="006B4ED5">
        <w:trPr>
          <w:trHeight w:val="660"/>
        </w:trPr>
        <w:tc>
          <w:tcPr>
            <w:tcW w:w="2819" w:type="pct"/>
            <w:tcBorders>
              <w:top w:val="nil"/>
              <w:left w:val="single" w:sz="4" w:space="0" w:color="auto"/>
              <w:bottom w:val="single" w:sz="4" w:space="0" w:color="auto"/>
              <w:right w:val="single" w:sz="4" w:space="0" w:color="auto"/>
            </w:tcBorders>
            <w:shd w:val="clear" w:color="000000" w:fill="FFFFFF"/>
            <w:vAlign w:val="bottom"/>
            <w:hideMark/>
          </w:tcPr>
          <w:p w:rsidR="006B4ED5" w:rsidRPr="006B4ED5" w:rsidRDefault="006B4ED5" w:rsidP="007C09FE">
            <w:pPr>
              <w:rPr>
                <w:b/>
                <w:bCs/>
                <w:color w:val="000000"/>
                <w:sz w:val="20"/>
                <w:szCs w:val="20"/>
                <w:lang w:eastAsia="en-AU"/>
              </w:rPr>
            </w:pPr>
            <w:r w:rsidRPr="006B4ED5">
              <w:rPr>
                <w:b/>
                <w:bCs/>
                <w:color w:val="000000"/>
                <w:sz w:val="20"/>
                <w:szCs w:val="20"/>
                <w:lang w:eastAsia="en-AU"/>
              </w:rPr>
              <w:t xml:space="preserve"> Activity Funding  </w:t>
            </w:r>
          </w:p>
        </w:tc>
        <w:tc>
          <w:tcPr>
            <w:tcW w:w="844" w:type="pct"/>
            <w:tcBorders>
              <w:top w:val="nil"/>
              <w:left w:val="nil"/>
              <w:bottom w:val="single" w:sz="4" w:space="0" w:color="auto"/>
              <w:right w:val="single" w:sz="4" w:space="0" w:color="auto"/>
            </w:tcBorders>
            <w:shd w:val="clear" w:color="auto" w:fill="auto"/>
            <w:vAlign w:val="bottom"/>
            <w:hideMark/>
          </w:tcPr>
          <w:p w:rsidR="006B4ED5" w:rsidRPr="006B4ED5" w:rsidRDefault="006B4ED5" w:rsidP="007C09FE">
            <w:pPr>
              <w:rPr>
                <w:color w:val="000000"/>
                <w:sz w:val="20"/>
                <w:szCs w:val="20"/>
                <w:lang w:eastAsia="en-AU"/>
              </w:rPr>
            </w:pPr>
            <w:r w:rsidRPr="006B4ED5">
              <w:rPr>
                <w:color w:val="000000"/>
                <w:sz w:val="20"/>
                <w:szCs w:val="20"/>
                <w:lang w:eastAsia="en-AU"/>
              </w:rPr>
              <w:t> </w:t>
            </w:r>
          </w:p>
        </w:tc>
        <w:tc>
          <w:tcPr>
            <w:tcW w:w="690" w:type="pct"/>
            <w:tcBorders>
              <w:top w:val="nil"/>
              <w:left w:val="nil"/>
              <w:bottom w:val="single" w:sz="4" w:space="0" w:color="auto"/>
              <w:right w:val="single" w:sz="4" w:space="0" w:color="auto"/>
            </w:tcBorders>
            <w:shd w:val="clear" w:color="auto" w:fill="auto"/>
            <w:vAlign w:val="bottom"/>
            <w:hideMark/>
          </w:tcPr>
          <w:p w:rsidR="006B4ED5" w:rsidRPr="006B4ED5" w:rsidRDefault="006B4ED5" w:rsidP="007C09FE">
            <w:pPr>
              <w:jc w:val="right"/>
              <w:rPr>
                <w:color w:val="000000"/>
                <w:sz w:val="20"/>
                <w:szCs w:val="20"/>
                <w:lang w:eastAsia="en-AU"/>
              </w:rPr>
            </w:pPr>
            <w:r w:rsidRPr="006B4ED5">
              <w:rPr>
                <w:color w:val="000000"/>
                <w:sz w:val="20"/>
                <w:szCs w:val="20"/>
                <w:lang w:eastAsia="en-AU"/>
              </w:rPr>
              <w:t> </w:t>
            </w:r>
          </w:p>
        </w:tc>
        <w:tc>
          <w:tcPr>
            <w:tcW w:w="647" w:type="pct"/>
            <w:tcBorders>
              <w:top w:val="nil"/>
              <w:left w:val="nil"/>
              <w:bottom w:val="single" w:sz="4" w:space="0" w:color="auto"/>
              <w:right w:val="single" w:sz="4" w:space="0" w:color="auto"/>
            </w:tcBorders>
            <w:shd w:val="clear" w:color="auto" w:fill="auto"/>
            <w:vAlign w:val="bottom"/>
            <w:hideMark/>
          </w:tcPr>
          <w:p w:rsidR="006B4ED5" w:rsidRPr="006B4ED5" w:rsidRDefault="006B4ED5" w:rsidP="007C09FE">
            <w:pPr>
              <w:jc w:val="right"/>
              <w:rPr>
                <w:color w:val="000000"/>
                <w:sz w:val="20"/>
                <w:szCs w:val="20"/>
                <w:lang w:eastAsia="en-AU"/>
              </w:rPr>
            </w:pPr>
            <w:r w:rsidRPr="006B4ED5">
              <w:rPr>
                <w:color w:val="000000"/>
                <w:sz w:val="20"/>
                <w:szCs w:val="20"/>
                <w:lang w:eastAsia="en-AU"/>
              </w:rPr>
              <w:t> </w:t>
            </w:r>
          </w:p>
        </w:tc>
      </w:tr>
      <w:tr w:rsidR="006B4ED5" w:rsidRPr="006B4ED5" w:rsidTr="006B4ED5">
        <w:trPr>
          <w:trHeight w:val="300"/>
        </w:trPr>
        <w:tc>
          <w:tcPr>
            <w:tcW w:w="2819" w:type="pct"/>
            <w:tcBorders>
              <w:top w:val="nil"/>
              <w:left w:val="single" w:sz="4" w:space="0" w:color="auto"/>
              <w:bottom w:val="single" w:sz="4" w:space="0" w:color="auto"/>
              <w:right w:val="single" w:sz="4" w:space="0" w:color="auto"/>
            </w:tcBorders>
            <w:shd w:val="clear" w:color="auto" w:fill="auto"/>
            <w:vAlign w:val="bottom"/>
            <w:hideMark/>
          </w:tcPr>
          <w:p w:rsidR="006B4ED5" w:rsidRPr="006B4ED5" w:rsidRDefault="006B4ED5" w:rsidP="007C09FE">
            <w:pPr>
              <w:ind w:firstLineChars="200" w:firstLine="400"/>
              <w:rPr>
                <w:color w:val="000000"/>
                <w:sz w:val="20"/>
                <w:szCs w:val="20"/>
                <w:lang w:eastAsia="en-AU"/>
              </w:rPr>
            </w:pPr>
            <w:r w:rsidRPr="006B4ED5">
              <w:rPr>
                <w:color w:val="000000"/>
                <w:sz w:val="20"/>
                <w:szCs w:val="20"/>
                <w:lang w:eastAsia="en-AU"/>
              </w:rPr>
              <w:t xml:space="preserve"> Inpatients  (</w:t>
            </w:r>
            <w:proofErr w:type="spellStart"/>
            <w:r w:rsidRPr="006B4ED5">
              <w:rPr>
                <w:color w:val="000000"/>
                <w:sz w:val="20"/>
                <w:szCs w:val="20"/>
                <w:lang w:eastAsia="en-AU"/>
              </w:rPr>
              <w:t>Excl</w:t>
            </w:r>
            <w:proofErr w:type="spellEnd"/>
            <w:r w:rsidRPr="006B4ED5">
              <w:rPr>
                <w:color w:val="000000"/>
                <w:sz w:val="20"/>
                <w:szCs w:val="20"/>
                <w:lang w:eastAsia="en-AU"/>
              </w:rPr>
              <w:t xml:space="preserve"> Elective Surgery) </w:t>
            </w:r>
          </w:p>
        </w:tc>
        <w:tc>
          <w:tcPr>
            <w:tcW w:w="844" w:type="pct"/>
            <w:tcBorders>
              <w:top w:val="nil"/>
              <w:left w:val="nil"/>
              <w:bottom w:val="single" w:sz="4" w:space="0" w:color="auto"/>
              <w:right w:val="single" w:sz="4" w:space="0" w:color="auto"/>
            </w:tcBorders>
            <w:shd w:val="clear" w:color="auto" w:fill="auto"/>
            <w:vAlign w:val="bottom"/>
            <w:hideMark/>
          </w:tcPr>
          <w:p w:rsidR="006B4ED5" w:rsidRPr="006B4ED5" w:rsidRDefault="006B4ED5" w:rsidP="007C09FE">
            <w:pPr>
              <w:rPr>
                <w:color w:val="000000"/>
                <w:sz w:val="20"/>
                <w:szCs w:val="20"/>
                <w:lang w:eastAsia="en-AU"/>
              </w:rPr>
            </w:pPr>
            <w:r w:rsidRPr="006B4ED5">
              <w:rPr>
                <w:color w:val="000000"/>
                <w:sz w:val="20"/>
                <w:szCs w:val="20"/>
                <w:lang w:eastAsia="en-AU"/>
              </w:rPr>
              <w:t xml:space="preserve"> NWAU </w:t>
            </w:r>
          </w:p>
        </w:tc>
        <w:tc>
          <w:tcPr>
            <w:tcW w:w="690" w:type="pct"/>
            <w:tcBorders>
              <w:top w:val="nil"/>
              <w:left w:val="nil"/>
              <w:bottom w:val="single" w:sz="4" w:space="0" w:color="auto"/>
              <w:right w:val="single" w:sz="4" w:space="0" w:color="auto"/>
            </w:tcBorders>
            <w:shd w:val="clear" w:color="auto" w:fill="auto"/>
            <w:vAlign w:val="bottom"/>
            <w:hideMark/>
          </w:tcPr>
          <w:p w:rsidR="006B4ED5" w:rsidRPr="006B4ED5" w:rsidRDefault="006B4ED5" w:rsidP="007C09FE">
            <w:pPr>
              <w:jc w:val="right"/>
              <w:rPr>
                <w:color w:val="000000"/>
                <w:sz w:val="20"/>
                <w:szCs w:val="20"/>
                <w:lang w:eastAsia="en-AU"/>
              </w:rPr>
            </w:pPr>
            <w:r w:rsidRPr="006B4ED5">
              <w:rPr>
                <w:color w:val="000000"/>
                <w:sz w:val="20"/>
                <w:szCs w:val="20"/>
                <w:lang w:eastAsia="en-AU"/>
              </w:rPr>
              <w:t xml:space="preserve">75,531 </w:t>
            </w:r>
          </w:p>
        </w:tc>
        <w:tc>
          <w:tcPr>
            <w:tcW w:w="647" w:type="pct"/>
            <w:tcBorders>
              <w:top w:val="nil"/>
              <w:left w:val="nil"/>
              <w:bottom w:val="single" w:sz="4" w:space="0" w:color="auto"/>
              <w:right w:val="single" w:sz="4" w:space="0" w:color="auto"/>
            </w:tcBorders>
            <w:shd w:val="clear" w:color="auto" w:fill="auto"/>
            <w:vAlign w:val="bottom"/>
            <w:hideMark/>
          </w:tcPr>
          <w:p w:rsidR="006B4ED5" w:rsidRPr="006B4ED5" w:rsidRDefault="006B4ED5" w:rsidP="007C09FE">
            <w:pPr>
              <w:jc w:val="right"/>
              <w:rPr>
                <w:color w:val="000000"/>
                <w:sz w:val="20"/>
                <w:szCs w:val="20"/>
                <w:lang w:eastAsia="en-AU"/>
              </w:rPr>
            </w:pPr>
            <w:r w:rsidRPr="006B4ED5">
              <w:rPr>
                <w:color w:val="000000"/>
                <w:sz w:val="20"/>
                <w:szCs w:val="20"/>
                <w:lang w:eastAsia="en-AU"/>
              </w:rPr>
              <w:t xml:space="preserve">370,855 </w:t>
            </w:r>
          </w:p>
        </w:tc>
      </w:tr>
      <w:tr w:rsidR="006B4ED5" w:rsidRPr="006B4ED5" w:rsidTr="006B4ED5">
        <w:trPr>
          <w:trHeight w:val="300"/>
        </w:trPr>
        <w:tc>
          <w:tcPr>
            <w:tcW w:w="2819" w:type="pct"/>
            <w:tcBorders>
              <w:top w:val="nil"/>
              <w:left w:val="single" w:sz="4" w:space="0" w:color="auto"/>
              <w:bottom w:val="single" w:sz="4" w:space="0" w:color="auto"/>
              <w:right w:val="single" w:sz="4" w:space="0" w:color="auto"/>
            </w:tcBorders>
            <w:shd w:val="clear" w:color="auto" w:fill="auto"/>
            <w:vAlign w:val="bottom"/>
            <w:hideMark/>
          </w:tcPr>
          <w:p w:rsidR="006B4ED5" w:rsidRPr="006B4ED5" w:rsidRDefault="006B4ED5" w:rsidP="007C09FE">
            <w:pPr>
              <w:ind w:firstLineChars="200" w:firstLine="400"/>
              <w:rPr>
                <w:color w:val="000000"/>
                <w:sz w:val="20"/>
                <w:szCs w:val="20"/>
                <w:lang w:eastAsia="en-AU"/>
              </w:rPr>
            </w:pPr>
            <w:r w:rsidRPr="006B4ED5">
              <w:rPr>
                <w:color w:val="000000"/>
                <w:sz w:val="20"/>
                <w:szCs w:val="20"/>
                <w:lang w:eastAsia="en-AU"/>
              </w:rPr>
              <w:t xml:space="preserve"> Inpatients Elective Surgery  </w:t>
            </w:r>
          </w:p>
        </w:tc>
        <w:tc>
          <w:tcPr>
            <w:tcW w:w="844" w:type="pct"/>
            <w:tcBorders>
              <w:top w:val="nil"/>
              <w:left w:val="nil"/>
              <w:bottom w:val="single" w:sz="4" w:space="0" w:color="auto"/>
              <w:right w:val="single" w:sz="4" w:space="0" w:color="auto"/>
            </w:tcBorders>
            <w:shd w:val="clear" w:color="auto" w:fill="auto"/>
            <w:vAlign w:val="bottom"/>
            <w:hideMark/>
          </w:tcPr>
          <w:p w:rsidR="006B4ED5" w:rsidRPr="006B4ED5" w:rsidRDefault="006B4ED5" w:rsidP="007C09FE">
            <w:pPr>
              <w:rPr>
                <w:color w:val="000000"/>
                <w:sz w:val="20"/>
                <w:szCs w:val="20"/>
                <w:lang w:eastAsia="en-AU"/>
              </w:rPr>
            </w:pPr>
            <w:r w:rsidRPr="006B4ED5">
              <w:rPr>
                <w:color w:val="000000"/>
                <w:sz w:val="20"/>
                <w:szCs w:val="20"/>
                <w:lang w:eastAsia="en-AU"/>
              </w:rPr>
              <w:t xml:space="preserve"> NWAU </w:t>
            </w:r>
          </w:p>
        </w:tc>
        <w:tc>
          <w:tcPr>
            <w:tcW w:w="690" w:type="pct"/>
            <w:tcBorders>
              <w:top w:val="nil"/>
              <w:left w:val="nil"/>
              <w:bottom w:val="single" w:sz="4" w:space="0" w:color="auto"/>
              <w:right w:val="single" w:sz="4" w:space="0" w:color="auto"/>
            </w:tcBorders>
            <w:shd w:val="clear" w:color="auto" w:fill="auto"/>
            <w:vAlign w:val="bottom"/>
            <w:hideMark/>
          </w:tcPr>
          <w:p w:rsidR="006B4ED5" w:rsidRPr="006B4ED5" w:rsidRDefault="006B4ED5" w:rsidP="007C09FE">
            <w:pPr>
              <w:jc w:val="right"/>
              <w:rPr>
                <w:color w:val="000000"/>
                <w:sz w:val="20"/>
                <w:szCs w:val="20"/>
                <w:lang w:eastAsia="en-AU"/>
              </w:rPr>
            </w:pPr>
            <w:r w:rsidRPr="006B4ED5">
              <w:rPr>
                <w:color w:val="000000"/>
                <w:sz w:val="20"/>
                <w:szCs w:val="20"/>
                <w:lang w:eastAsia="en-AU"/>
              </w:rPr>
              <w:t xml:space="preserve">17,443 </w:t>
            </w:r>
          </w:p>
        </w:tc>
        <w:tc>
          <w:tcPr>
            <w:tcW w:w="647" w:type="pct"/>
            <w:tcBorders>
              <w:top w:val="nil"/>
              <w:left w:val="nil"/>
              <w:bottom w:val="single" w:sz="4" w:space="0" w:color="auto"/>
              <w:right w:val="single" w:sz="4" w:space="0" w:color="auto"/>
            </w:tcBorders>
            <w:shd w:val="clear" w:color="auto" w:fill="auto"/>
            <w:vAlign w:val="bottom"/>
            <w:hideMark/>
          </w:tcPr>
          <w:p w:rsidR="006B4ED5" w:rsidRPr="006B4ED5" w:rsidRDefault="006B4ED5" w:rsidP="007C09FE">
            <w:pPr>
              <w:jc w:val="right"/>
              <w:rPr>
                <w:color w:val="000000"/>
                <w:sz w:val="20"/>
                <w:szCs w:val="20"/>
                <w:lang w:eastAsia="en-AU"/>
              </w:rPr>
            </w:pPr>
            <w:r w:rsidRPr="006B4ED5">
              <w:rPr>
                <w:color w:val="000000"/>
                <w:sz w:val="20"/>
                <w:szCs w:val="20"/>
                <w:lang w:eastAsia="en-AU"/>
              </w:rPr>
              <w:t xml:space="preserve"> 85,643 </w:t>
            </w:r>
          </w:p>
        </w:tc>
      </w:tr>
      <w:tr w:rsidR="006B4ED5" w:rsidRPr="006B4ED5" w:rsidTr="006B4ED5">
        <w:trPr>
          <w:trHeight w:val="300"/>
        </w:trPr>
        <w:tc>
          <w:tcPr>
            <w:tcW w:w="2819" w:type="pct"/>
            <w:tcBorders>
              <w:top w:val="nil"/>
              <w:left w:val="single" w:sz="4" w:space="0" w:color="auto"/>
              <w:bottom w:val="single" w:sz="4" w:space="0" w:color="auto"/>
              <w:right w:val="single" w:sz="4" w:space="0" w:color="auto"/>
            </w:tcBorders>
            <w:shd w:val="clear" w:color="auto" w:fill="auto"/>
            <w:vAlign w:val="bottom"/>
            <w:hideMark/>
          </w:tcPr>
          <w:p w:rsidR="006B4ED5" w:rsidRPr="006B4ED5" w:rsidRDefault="006B4ED5" w:rsidP="007C09FE">
            <w:pPr>
              <w:ind w:firstLineChars="200" w:firstLine="400"/>
              <w:rPr>
                <w:color w:val="000000"/>
                <w:sz w:val="20"/>
                <w:szCs w:val="20"/>
                <w:lang w:eastAsia="en-AU"/>
              </w:rPr>
            </w:pPr>
            <w:r w:rsidRPr="006B4ED5">
              <w:rPr>
                <w:color w:val="000000"/>
                <w:sz w:val="20"/>
                <w:szCs w:val="20"/>
                <w:lang w:eastAsia="en-AU"/>
              </w:rPr>
              <w:t xml:space="preserve"> Inpatients RHST Elective Surgery </w:t>
            </w:r>
          </w:p>
        </w:tc>
        <w:tc>
          <w:tcPr>
            <w:tcW w:w="844" w:type="pct"/>
            <w:tcBorders>
              <w:top w:val="nil"/>
              <w:left w:val="nil"/>
              <w:bottom w:val="single" w:sz="4" w:space="0" w:color="auto"/>
              <w:right w:val="single" w:sz="4" w:space="0" w:color="auto"/>
            </w:tcBorders>
            <w:shd w:val="clear" w:color="auto" w:fill="auto"/>
            <w:vAlign w:val="bottom"/>
            <w:hideMark/>
          </w:tcPr>
          <w:p w:rsidR="006B4ED5" w:rsidRPr="006B4ED5" w:rsidRDefault="006B4ED5" w:rsidP="007C09FE">
            <w:pPr>
              <w:rPr>
                <w:color w:val="000000"/>
                <w:sz w:val="20"/>
                <w:szCs w:val="20"/>
                <w:lang w:eastAsia="en-AU"/>
              </w:rPr>
            </w:pPr>
            <w:r w:rsidRPr="006B4ED5">
              <w:rPr>
                <w:color w:val="000000"/>
                <w:sz w:val="20"/>
                <w:szCs w:val="20"/>
                <w:lang w:eastAsia="en-AU"/>
              </w:rPr>
              <w:t xml:space="preserve"> NWAU </w:t>
            </w:r>
          </w:p>
        </w:tc>
        <w:tc>
          <w:tcPr>
            <w:tcW w:w="690" w:type="pct"/>
            <w:tcBorders>
              <w:top w:val="nil"/>
              <w:left w:val="nil"/>
              <w:bottom w:val="single" w:sz="4" w:space="0" w:color="auto"/>
              <w:right w:val="single" w:sz="4" w:space="0" w:color="auto"/>
            </w:tcBorders>
            <w:shd w:val="clear" w:color="auto" w:fill="auto"/>
            <w:vAlign w:val="bottom"/>
            <w:hideMark/>
          </w:tcPr>
          <w:p w:rsidR="006B4ED5" w:rsidRPr="006B4ED5" w:rsidRDefault="006B4ED5" w:rsidP="007C09FE">
            <w:pPr>
              <w:jc w:val="right"/>
              <w:rPr>
                <w:color w:val="000000"/>
                <w:sz w:val="20"/>
                <w:szCs w:val="20"/>
                <w:lang w:eastAsia="en-AU"/>
              </w:rPr>
            </w:pPr>
            <w:r w:rsidRPr="006B4ED5">
              <w:rPr>
                <w:color w:val="000000"/>
                <w:sz w:val="20"/>
                <w:szCs w:val="20"/>
                <w:lang w:eastAsia="en-AU"/>
              </w:rPr>
              <w:t xml:space="preserve">4,073 </w:t>
            </w:r>
          </w:p>
        </w:tc>
        <w:tc>
          <w:tcPr>
            <w:tcW w:w="647" w:type="pct"/>
            <w:tcBorders>
              <w:top w:val="nil"/>
              <w:left w:val="nil"/>
              <w:bottom w:val="single" w:sz="4" w:space="0" w:color="auto"/>
              <w:right w:val="single" w:sz="4" w:space="0" w:color="auto"/>
            </w:tcBorders>
            <w:shd w:val="clear" w:color="auto" w:fill="auto"/>
            <w:vAlign w:val="bottom"/>
            <w:hideMark/>
          </w:tcPr>
          <w:p w:rsidR="006B4ED5" w:rsidRPr="006B4ED5" w:rsidRDefault="006B4ED5" w:rsidP="007C09FE">
            <w:pPr>
              <w:jc w:val="right"/>
              <w:rPr>
                <w:color w:val="000000"/>
                <w:sz w:val="20"/>
                <w:szCs w:val="20"/>
                <w:lang w:eastAsia="en-AU"/>
              </w:rPr>
            </w:pPr>
            <w:r w:rsidRPr="006B4ED5">
              <w:rPr>
                <w:color w:val="000000"/>
                <w:sz w:val="20"/>
                <w:szCs w:val="20"/>
                <w:lang w:eastAsia="en-AU"/>
              </w:rPr>
              <w:t xml:space="preserve">20,000 </w:t>
            </w:r>
          </w:p>
        </w:tc>
      </w:tr>
      <w:tr w:rsidR="006B4ED5" w:rsidRPr="006B4ED5" w:rsidTr="006B4ED5">
        <w:trPr>
          <w:trHeight w:val="300"/>
        </w:trPr>
        <w:tc>
          <w:tcPr>
            <w:tcW w:w="2819" w:type="pct"/>
            <w:tcBorders>
              <w:top w:val="nil"/>
              <w:left w:val="single" w:sz="4" w:space="0" w:color="auto"/>
              <w:bottom w:val="single" w:sz="4" w:space="0" w:color="auto"/>
              <w:right w:val="single" w:sz="4" w:space="0" w:color="auto"/>
            </w:tcBorders>
            <w:shd w:val="clear" w:color="auto" w:fill="auto"/>
            <w:vAlign w:val="bottom"/>
            <w:hideMark/>
          </w:tcPr>
          <w:p w:rsidR="006B4ED5" w:rsidRPr="006B4ED5" w:rsidRDefault="006B4ED5" w:rsidP="007C09FE">
            <w:pPr>
              <w:ind w:firstLineChars="200" w:firstLine="400"/>
              <w:rPr>
                <w:color w:val="000000"/>
                <w:sz w:val="20"/>
                <w:szCs w:val="20"/>
                <w:lang w:eastAsia="en-AU"/>
              </w:rPr>
            </w:pPr>
            <w:r w:rsidRPr="006B4ED5">
              <w:rPr>
                <w:color w:val="000000"/>
                <w:sz w:val="20"/>
                <w:szCs w:val="20"/>
                <w:lang w:eastAsia="en-AU"/>
              </w:rPr>
              <w:t xml:space="preserve"> Inpatients Mental Health </w:t>
            </w:r>
          </w:p>
        </w:tc>
        <w:tc>
          <w:tcPr>
            <w:tcW w:w="844" w:type="pct"/>
            <w:tcBorders>
              <w:top w:val="nil"/>
              <w:left w:val="nil"/>
              <w:bottom w:val="single" w:sz="4" w:space="0" w:color="auto"/>
              <w:right w:val="single" w:sz="4" w:space="0" w:color="auto"/>
            </w:tcBorders>
            <w:shd w:val="clear" w:color="auto" w:fill="auto"/>
            <w:vAlign w:val="bottom"/>
            <w:hideMark/>
          </w:tcPr>
          <w:p w:rsidR="006B4ED5" w:rsidRPr="006B4ED5" w:rsidRDefault="006B4ED5" w:rsidP="007C09FE">
            <w:pPr>
              <w:rPr>
                <w:color w:val="000000"/>
                <w:sz w:val="20"/>
                <w:szCs w:val="20"/>
                <w:lang w:eastAsia="en-AU"/>
              </w:rPr>
            </w:pPr>
            <w:r w:rsidRPr="006B4ED5">
              <w:rPr>
                <w:color w:val="000000"/>
                <w:sz w:val="20"/>
                <w:szCs w:val="20"/>
                <w:lang w:eastAsia="en-AU"/>
              </w:rPr>
              <w:t xml:space="preserve"> NWAU </w:t>
            </w:r>
          </w:p>
        </w:tc>
        <w:tc>
          <w:tcPr>
            <w:tcW w:w="690" w:type="pct"/>
            <w:tcBorders>
              <w:top w:val="nil"/>
              <w:left w:val="nil"/>
              <w:bottom w:val="single" w:sz="4" w:space="0" w:color="auto"/>
              <w:right w:val="single" w:sz="4" w:space="0" w:color="auto"/>
            </w:tcBorders>
            <w:shd w:val="clear" w:color="auto" w:fill="auto"/>
            <w:vAlign w:val="bottom"/>
            <w:hideMark/>
          </w:tcPr>
          <w:p w:rsidR="006B4ED5" w:rsidRPr="006B4ED5" w:rsidRDefault="006B4ED5" w:rsidP="007C09FE">
            <w:pPr>
              <w:jc w:val="right"/>
              <w:rPr>
                <w:color w:val="000000"/>
                <w:sz w:val="20"/>
                <w:szCs w:val="20"/>
                <w:lang w:eastAsia="en-AU"/>
              </w:rPr>
            </w:pPr>
            <w:r w:rsidRPr="006B4ED5">
              <w:rPr>
                <w:color w:val="000000"/>
                <w:sz w:val="20"/>
                <w:szCs w:val="20"/>
                <w:lang w:eastAsia="en-AU"/>
              </w:rPr>
              <w:t xml:space="preserve">6,817 </w:t>
            </w:r>
          </w:p>
        </w:tc>
        <w:tc>
          <w:tcPr>
            <w:tcW w:w="647" w:type="pct"/>
            <w:tcBorders>
              <w:top w:val="nil"/>
              <w:left w:val="nil"/>
              <w:bottom w:val="single" w:sz="4" w:space="0" w:color="auto"/>
              <w:right w:val="single" w:sz="4" w:space="0" w:color="auto"/>
            </w:tcBorders>
            <w:shd w:val="clear" w:color="auto" w:fill="auto"/>
            <w:vAlign w:val="bottom"/>
            <w:hideMark/>
          </w:tcPr>
          <w:p w:rsidR="006B4ED5" w:rsidRPr="006B4ED5" w:rsidRDefault="006B4ED5" w:rsidP="007C09FE">
            <w:pPr>
              <w:jc w:val="right"/>
              <w:rPr>
                <w:color w:val="000000"/>
                <w:sz w:val="20"/>
                <w:szCs w:val="20"/>
                <w:lang w:eastAsia="en-AU"/>
              </w:rPr>
            </w:pPr>
            <w:r w:rsidRPr="006B4ED5">
              <w:rPr>
                <w:color w:val="000000"/>
                <w:sz w:val="20"/>
                <w:szCs w:val="20"/>
                <w:lang w:eastAsia="en-AU"/>
              </w:rPr>
              <w:t xml:space="preserve">33,473 </w:t>
            </w:r>
          </w:p>
        </w:tc>
      </w:tr>
      <w:tr w:rsidR="006B4ED5" w:rsidRPr="006B4ED5" w:rsidTr="006B4ED5">
        <w:trPr>
          <w:trHeight w:val="300"/>
        </w:trPr>
        <w:tc>
          <w:tcPr>
            <w:tcW w:w="2819" w:type="pct"/>
            <w:tcBorders>
              <w:top w:val="nil"/>
              <w:left w:val="single" w:sz="4" w:space="0" w:color="auto"/>
              <w:bottom w:val="single" w:sz="4" w:space="0" w:color="auto"/>
              <w:right w:val="single" w:sz="4" w:space="0" w:color="auto"/>
            </w:tcBorders>
            <w:shd w:val="clear" w:color="auto" w:fill="auto"/>
            <w:vAlign w:val="bottom"/>
            <w:hideMark/>
          </w:tcPr>
          <w:p w:rsidR="006B4ED5" w:rsidRPr="006B4ED5" w:rsidRDefault="006B4ED5" w:rsidP="007C09FE">
            <w:pPr>
              <w:ind w:firstLineChars="200" w:firstLine="400"/>
              <w:rPr>
                <w:color w:val="000000"/>
                <w:sz w:val="20"/>
                <w:szCs w:val="20"/>
                <w:lang w:eastAsia="en-AU"/>
              </w:rPr>
            </w:pPr>
            <w:r w:rsidRPr="006B4ED5">
              <w:rPr>
                <w:color w:val="000000"/>
                <w:sz w:val="20"/>
                <w:szCs w:val="20"/>
                <w:lang w:eastAsia="en-AU"/>
              </w:rPr>
              <w:t xml:space="preserve"> Emergency Department  </w:t>
            </w:r>
          </w:p>
        </w:tc>
        <w:tc>
          <w:tcPr>
            <w:tcW w:w="844" w:type="pct"/>
            <w:tcBorders>
              <w:top w:val="nil"/>
              <w:left w:val="nil"/>
              <w:bottom w:val="single" w:sz="4" w:space="0" w:color="auto"/>
              <w:right w:val="single" w:sz="4" w:space="0" w:color="auto"/>
            </w:tcBorders>
            <w:shd w:val="clear" w:color="auto" w:fill="auto"/>
            <w:vAlign w:val="bottom"/>
            <w:hideMark/>
          </w:tcPr>
          <w:p w:rsidR="006B4ED5" w:rsidRPr="006B4ED5" w:rsidRDefault="006B4ED5" w:rsidP="007C09FE">
            <w:pPr>
              <w:rPr>
                <w:color w:val="000000"/>
                <w:sz w:val="20"/>
                <w:szCs w:val="20"/>
                <w:lang w:eastAsia="en-AU"/>
              </w:rPr>
            </w:pPr>
            <w:r w:rsidRPr="006B4ED5">
              <w:rPr>
                <w:color w:val="000000"/>
                <w:sz w:val="20"/>
                <w:szCs w:val="20"/>
                <w:lang w:eastAsia="en-AU"/>
              </w:rPr>
              <w:t xml:space="preserve"> NWAU </w:t>
            </w:r>
          </w:p>
        </w:tc>
        <w:tc>
          <w:tcPr>
            <w:tcW w:w="690" w:type="pct"/>
            <w:tcBorders>
              <w:top w:val="nil"/>
              <w:left w:val="nil"/>
              <w:bottom w:val="single" w:sz="4" w:space="0" w:color="auto"/>
              <w:right w:val="single" w:sz="4" w:space="0" w:color="auto"/>
            </w:tcBorders>
            <w:shd w:val="clear" w:color="auto" w:fill="auto"/>
            <w:vAlign w:val="bottom"/>
            <w:hideMark/>
          </w:tcPr>
          <w:p w:rsidR="006B4ED5" w:rsidRPr="006B4ED5" w:rsidRDefault="006B4ED5" w:rsidP="007C09FE">
            <w:pPr>
              <w:jc w:val="right"/>
              <w:rPr>
                <w:color w:val="000000"/>
                <w:sz w:val="20"/>
                <w:szCs w:val="20"/>
                <w:lang w:eastAsia="en-AU"/>
              </w:rPr>
            </w:pPr>
            <w:r w:rsidRPr="006B4ED5">
              <w:rPr>
                <w:color w:val="000000"/>
                <w:sz w:val="20"/>
                <w:szCs w:val="20"/>
                <w:lang w:eastAsia="en-AU"/>
              </w:rPr>
              <w:t xml:space="preserve">15,764 </w:t>
            </w:r>
          </w:p>
        </w:tc>
        <w:tc>
          <w:tcPr>
            <w:tcW w:w="647" w:type="pct"/>
            <w:tcBorders>
              <w:top w:val="nil"/>
              <w:left w:val="nil"/>
              <w:bottom w:val="single" w:sz="4" w:space="0" w:color="auto"/>
              <w:right w:val="single" w:sz="4" w:space="0" w:color="auto"/>
            </w:tcBorders>
            <w:shd w:val="clear" w:color="auto" w:fill="auto"/>
            <w:vAlign w:val="bottom"/>
            <w:hideMark/>
          </w:tcPr>
          <w:p w:rsidR="006B4ED5" w:rsidRPr="006B4ED5" w:rsidRDefault="006B4ED5" w:rsidP="007C09FE">
            <w:pPr>
              <w:jc w:val="right"/>
              <w:rPr>
                <w:color w:val="000000"/>
                <w:sz w:val="20"/>
                <w:szCs w:val="20"/>
                <w:lang w:eastAsia="en-AU"/>
              </w:rPr>
            </w:pPr>
            <w:r w:rsidRPr="006B4ED5">
              <w:rPr>
                <w:color w:val="000000"/>
                <w:sz w:val="20"/>
                <w:szCs w:val="20"/>
                <w:lang w:eastAsia="en-AU"/>
              </w:rPr>
              <w:t xml:space="preserve">77,400 </w:t>
            </w:r>
          </w:p>
        </w:tc>
      </w:tr>
      <w:tr w:rsidR="006B4ED5" w:rsidRPr="006B4ED5" w:rsidTr="006B4ED5">
        <w:trPr>
          <w:trHeight w:val="300"/>
        </w:trPr>
        <w:tc>
          <w:tcPr>
            <w:tcW w:w="2819" w:type="pct"/>
            <w:tcBorders>
              <w:top w:val="nil"/>
              <w:left w:val="single" w:sz="4" w:space="0" w:color="auto"/>
              <w:bottom w:val="single" w:sz="4" w:space="0" w:color="auto"/>
              <w:right w:val="single" w:sz="4" w:space="0" w:color="auto"/>
            </w:tcBorders>
            <w:shd w:val="clear" w:color="auto" w:fill="auto"/>
            <w:vAlign w:val="bottom"/>
            <w:hideMark/>
          </w:tcPr>
          <w:p w:rsidR="006B4ED5" w:rsidRPr="006B4ED5" w:rsidRDefault="006B4ED5" w:rsidP="007C09FE">
            <w:pPr>
              <w:ind w:firstLineChars="200" w:firstLine="400"/>
              <w:rPr>
                <w:color w:val="000000"/>
                <w:sz w:val="20"/>
                <w:szCs w:val="20"/>
                <w:lang w:eastAsia="en-AU"/>
              </w:rPr>
            </w:pPr>
            <w:r w:rsidRPr="006B4ED5">
              <w:rPr>
                <w:color w:val="000000"/>
                <w:sz w:val="20"/>
                <w:szCs w:val="20"/>
                <w:lang w:eastAsia="en-AU"/>
              </w:rPr>
              <w:t xml:space="preserve"> Outpatients - Non Admitted Patients </w:t>
            </w:r>
          </w:p>
        </w:tc>
        <w:tc>
          <w:tcPr>
            <w:tcW w:w="844" w:type="pct"/>
            <w:tcBorders>
              <w:top w:val="nil"/>
              <w:left w:val="nil"/>
              <w:bottom w:val="single" w:sz="4" w:space="0" w:color="auto"/>
              <w:right w:val="single" w:sz="4" w:space="0" w:color="auto"/>
            </w:tcBorders>
            <w:shd w:val="clear" w:color="auto" w:fill="auto"/>
            <w:vAlign w:val="bottom"/>
            <w:hideMark/>
          </w:tcPr>
          <w:p w:rsidR="006B4ED5" w:rsidRPr="006B4ED5" w:rsidRDefault="006B4ED5" w:rsidP="007C09FE">
            <w:pPr>
              <w:rPr>
                <w:color w:val="000000"/>
                <w:sz w:val="20"/>
                <w:szCs w:val="20"/>
                <w:lang w:eastAsia="en-AU"/>
              </w:rPr>
            </w:pPr>
            <w:r w:rsidRPr="006B4ED5">
              <w:rPr>
                <w:color w:val="000000"/>
                <w:sz w:val="20"/>
                <w:szCs w:val="20"/>
                <w:lang w:eastAsia="en-AU"/>
              </w:rPr>
              <w:t xml:space="preserve"> NWAU </w:t>
            </w:r>
          </w:p>
        </w:tc>
        <w:tc>
          <w:tcPr>
            <w:tcW w:w="690" w:type="pct"/>
            <w:tcBorders>
              <w:top w:val="nil"/>
              <w:left w:val="nil"/>
              <w:bottom w:val="single" w:sz="4" w:space="0" w:color="auto"/>
              <w:right w:val="single" w:sz="4" w:space="0" w:color="auto"/>
            </w:tcBorders>
            <w:shd w:val="clear" w:color="auto" w:fill="auto"/>
            <w:vAlign w:val="bottom"/>
            <w:hideMark/>
          </w:tcPr>
          <w:p w:rsidR="006B4ED5" w:rsidRPr="006B4ED5" w:rsidRDefault="006B4ED5" w:rsidP="007C09FE">
            <w:pPr>
              <w:jc w:val="right"/>
              <w:rPr>
                <w:color w:val="000000"/>
                <w:sz w:val="20"/>
                <w:szCs w:val="20"/>
                <w:lang w:eastAsia="en-AU"/>
              </w:rPr>
            </w:pPr>
            <w:r w:rsidRPr="006B4ED5">
              <w:rPr>
                <w:color w:val="000000"/>
                <w:sz w:val="20"/>
                <w:szCs w:val="20"/>
                <w:lang w:eastAsia="en-AU"/>
              </w:rPr>
              <w:t xml:space="preserve">16,792 </w:t>
            </w:r>
          </w:p>
        </w:tc>
        <w:tc>
          <w:tcPr>
            <w:tcW w:w="647" w:type="pct"/>
            <w:tcBorders>
              <w:top w:val="nil"/>
              <w:left w:val="nil"/>
              <w:bottom w:val="single" w:sz="4" w:space="0" w:color="auto"/>
              <w:right w:val="single" w:sz="4" w:space="0" w:color="auto"/>
            </w:tcBorders>
            <w:shd w:val="clear" w:color="auto" w:fill="auto"/>
            <w:vAlign w:val="bottom"/>
            <w:hideMark/>
          </w:tcPr>
          <w:p w:rsidR="006B4ED5" w:rsidRPr="006B4ED5" w:rsidRDefault="006B4ED5" w:rsidP="007C09FE">
            <w:pPr>
              <w:jc w:val="right"/>
              <w:rPr>
                <w:color w:val="000000"/>
                <w:sz w:val="20"/>
                <w:szCs w:val="20"/>
                <w:lang w:eastAsia="en-AU"/>
              </w:rPr>
            </w:pPr>
            <w:r w:rsidRPr="006B4ED5">
              <w:rPr>
                <w:color w:val="000000"/>
                <w:sz w:val="20"/>
                <w:szCs w:val="20"/>
                <w:lang w:eastAsia="en-AU"/>
              </w:rPr>
              <w:t xml:space="preserve">82,447 </w:t>
            </w:r>
          </w:p>
        </w:tc>
      </w:tr>
      <w:tr w:rsidR="006B4ED5" w:rsidRPr="006B4ED5" w:rsidTr="006B4ED5">
        <w:trPr>
          <w:trHeight w:val="300"/>
        </w:trPr>
        <w:tc>
          <w:tcPr>
            <w:tcW w:w="2819" w:type="pct"/>
            <w:tcBorders>
              <w:top w:val="nil"/>
              <w:left w:val="single" w:sz="4" w:space="0" w:color="auto"/>
              <w:bottom w:val="single" w:sz="4" w:space="0" w:color="auto"/>
              <w:right w:val="single" w:sz="4" w:space="0" w:color="auto"/>
            </w:tcBorders>
            <w:shd w:val="clear" w:color="auto" w:fill="auto"/>
            <w:vAlign w:val="bottom"/>
            <w:hideMark/>
          </w:tcPr>
          <w:p w:rsidR="006B4ED5" w:rsidRPr="006B4ED5" w:rsidRDefault="006B4ED5" w:rsidP="007C09FE">
            <w:pPr>
              <w:ind w:firstLineChars="200" w:firstLine="400"/>
              <w:rPr>
                <w:color w:val="000000"/>
                <w:sz w:val="20"/>
                <w:szCs w:val="20"/>
                <w:lang w:eastAsia="en-AU"/>
              </w:rPr>
            </w:pPr>
            <w:r w:rsidRPr="006B4ED5">
              <w:rPr>
                <w:color w:val="000000"/>
                <w:sz w:val="20"/>
                <w:szCs w:val="20"/>
                <w:lang w:eastAsia="en-AU"/>
              </w:rPr>
              <w:t xml:space="preserve"> Sub &amp; Non-Acute Inpatients </w:t>
            </w:r>
          </w:p>
        </w:tc>
        <w:tc>
          <w:tcPr>
            <w:tcW w:w="844" w:type="pct"/>
            <w:tcBorders>
              <w:top w:val="nil"/>
              <w:left w:val="nil"/>
              <w:bottom w:val="single" w:sz="4" w:space="0" w:color="auto"/>
              <w:right w:val="single" w:sz="4" w:space="0" w:color="auto"/>
            </w:tcBorders>
            <w:shd w:val="clear" w:color="auto" w:fill="auto"/>
            <w:vAlign w:val="bottom"/>
            <w:hideMark/>
          </w:tcPr>
          <w:p w:rsidR="006B4ED5" w:rsidRPr="006B4ED5" w:rsidRDefault="006B4ED5" w:rsidP="007C09FE">
            <w:pPr>
              <w:rPr>
                <w:color w:val="000000"/>
                <w:sz w:val="20"/>
                <w:szCs w:val="20"/>
                <w:lang w:eastAsia="en-AU"/>
              </w:rPr>
            </w:pPr>
            <w:r w:rsidRPr="006B4ED5">
              <w:rPr>
                <w:color w:val="000000"/>
                <w:sz w:val="20"/>
                <w:szCs w:val="20"/>
                <w:lang w:eastAsia="en-AU"/>
              </w:rPr>
              <w:t xml:space="preserve"> NWAU </w:t>
            </w:r>
          </w:p>
        </w:tc>
        <w:tc>
          <w:tcPr>
            <w:tcW w:w="690" w:type="pct"/>
            <w:tcBorders>
              <w:top w:val="nil"/>
              <w:left w:val="nil"/>
              <w:bottom w:val="single" w:sz="4" w:space="0" w:color="auto"/>
              <w:right w:val="single" w:sz="4" w:space="0" w:color="auto"/>
            </w:tcBorders>
            <w:shd w:val="clear" w:color="auto" w:fill="auto"/>
            <w:vAlign w:val="bottom"/>
            <w:hideMark/>
          </w:tcPr>
          <w:p w:rsidR="006B4ED5" w:rsidRPr="006B4ED5" w:rsidRDefault="006B4ED5" w:rsidP="007C09FE">
            <w:pPr>
              <w:jc w:val="right"/>
              <w:rPr>
                <w:color w:val="000000"/>
                <w:sz w:val="20"/>
                <w:szCs w:val="20"/>
                <w:lang w:eastAsia="en-AU"/>
              </w:rPr>
            </w:pPr>
            <w:r w:rsidRPr="006B4ED5">
              <w:rPr>
                <w:color w:val="000000"/>
                <w:sz w:val="20"/>
                <w:szCs w:val="20"/>
                <w:lang w:eastAsia="en-AU"/>
              </w:rPr>
              <w:t xml:space="preserve">6,124 </w:t>
            </w:r>
          </w:p>
        </w:tc>
        <w:tc>
          <w:tcPr>
            <w:tcW w:w="647" w:type="pct"/>
            <w:tcBorders>
              <w:top w:val="nil"/>
              <w:left w:val="nil"/>
              <w:bottom w:val="single" w:sz="4" w:space="0" w:color="auto"/>
              <w:right w:val="single" w:sz="4" w:space="0" w:color="auto"/>
            </w:tcBorders>
            <w:shd w:val="clear" w:color="auto" w:fill="auto"/>
            <w:vAlign w:val="bottom"/>
            <w:hideMark/>
          </w:tcPr>
          <w:p w:rsidR="006B4ED5" w:rsidRPr="006B4ED5" w:rsidRDefault="006B4ED5" w:rsidP="007C09FE">
            <w:pPr>
              <w:jc w:val="right"/>
              <w:rPr>
                <w:color w:val="000000"/>
                <w:sz w:val="20"/>
                <w:szCs w:val="20"/>
                <w:lang w:eastAsia="en-AU"/>
              </w:rPr>
            </w:pPr>
            <w:r w:rsidRPr="006B4ED5">
              <w:rPr>
                <w:color w:val="000000"/>
                <w:sz w:val="20"/>
                <w:szCs w:val="20"/>
                <w:lang w:eastAsia="en-AU"/>
              </w:rPr>
              <w:t xml:space="preserve">30,068 </w:t>
            </w:r>
          </w:p>
        </w:tc>
      </w:tr>
      <w:tr w:rsidR="006B4ED5" w:rsidRPr="006B4ED5" w:rsidTr="006B4ED5">
        <w:trPr>
          <w:trHeight w:val="255"/>
        </w:trPr>
        <w:tc>
          <w:tcPr>
            <w:tcW w:w="2819" w:type="pct"/>
            <w:tcBorders>
              <w:top w:val="nil"/>
              <w:left w:val="single" w:sz="4" w:space="0" w:color="auto"/>
              <w:bottom w:val="single" w:sz="4" w:space="0" w:color="auto"/>
              <w:right w:val="single" w:sz="4" w:space="0" w:color="auto"/>
            </w:tcBorders>
            <w:shd w:val="clear" w:color="000000" w:fill="FFFFFF"/>
            <w:noWrap/>
            <w:vAlign w:val="bottom"/>
            <w:hideMark/>
          </w:tcPr>
          <w:p w:rsidR="006B4ED5" w:rsidRPr="006B4ED5" w:rsidRDefault="006B4ED5" w:rsidP="007C09FE">
            <w:pPr>
              <w:rPr>
                <w:b/>
                <w:bCs/>
                <w:color w:val="000000"/>
                <w:sz w:val="20"/>
                <w:szCs w:val="20"/>
                <w:lang w:eastAsia="en-AU"/>
              </w:rPr>
            </w:pPr>
            <w:r w:rsidRPr="006B4ED5">
              <w:rPr>
                <w:b/>
                <w:bCs/>
                <w:color w:val="000000"/>
                <w:sz w:val="20"/>
                <w:szCs w:val="20"/>
                <w:lang w:eastAsia="en-AU"/>
              </w:rPr>
              <w:t xml:space="preserve"> Total Activity Funding </w:t>
            </w:r>
          </w:p>
        </w:tc>
        <w:tc>
          <w:tcPr>
            <w:tcW w:w="844" w:type="pct"/>
            <w:tcBorders>
              <w:top w:val="nil"/>
              <w:left w:val="nil"/>
              <w:bottom w:val="single" w:sz="4" w:space="0" w:color="auto"/>
              <w:right w:val="single" w:sz="4" w:space="0" w:color="auto"/>
            </w:tcBorders>
            <w:shd w:val="clear" w:color="000000" w:fill="FFFFFF"/>
            <w:noWrap/>
            <w:vAlign w:val="bottom"/>
            <w:hideMark/>
          </w:tcPr>
          <w:p w:rsidR="006B4ED5" w:rsidRPr="006B4ED5" w:rsidRDefault="006B4ED5" w:rsidP="007C09FE">
            <w:pPr>
              <w:rPr>
                <w:b/>
                <w:bCs/>
                <w:color w:val="000000"/>
                <w:sz w:val="20"/>
                <w:szCs w:val="20"/>
                <w:lang w:eastAsia="en-AU"/>
              </w:rPr>
            </w:pPr>
            <w:r w:rsidRPr="006B4ED5">
              <w:rPr>
                <w:b/>
                <w:bCs/>
                <w:color w:val="000000"/>
                <w:sz w:val="20"/>
                <w:szCs w:val="20"/>
                <w:lang w:eastAsia="en-AU"/>
              </w:rPr>
              <w:t> </w:t>
            </w:r>
          </w:p>
        </w:tc>
        <w:tc>
          <w:tcPr>
            <w:tcW w:w="690" w:type="pct"/>
            <w:tcBorders>
              <w:top w:val="nil"/>
              <w:left w:val="nil"/>
              <w:bottom w:val="single" w:sz="4" w:space="0" w:color="auto"/>
              <w:right w:val="single" w:sz="4" w:space="0" w:color="auto"/>
            </w:tcBorders>
            <w:shd w:val="clear" w:color="000000" w:fill="FFFFFF"/>
            <w:noWrap/>
            <w:vAlign w:val="bottom"/>
            <w:hideMark/>
          </w:tcPr>
          <w:p w:rsidR="006B4ED5" w:rsidRPr="006B4ED5" w:rsidRDefault="006B4ED5" w:rsidP="007C09FE">
            <w:pPr>
              <w:jc w:val="right"/>
              <w:rPr>
                <w:b/>
                <w:bCs/>
                <w:color w:val="000000"/>
                <w:sz w:val="20"/>
                <w:szCs w:val="20"/>
                <w:lang w:eastAsia="en-AU"/>
              </w:rPr>
            </w:pPr>
            <w:r w:rsidRPr="006B4ED5">
              <w:rPr>
                <w:b/>
                <w:bCs/>
                <w:color w:val="000000"/>
                <w:sz w:val="20"/>
                <w:szCs w:val="20"/>
                <w:lang w:eastAsia="en-AU"/>
              </w:rPr>
              <w:t>142,543</w:t>
            </w:r>
          </w:p>
        </w:tc>
        <w:tc>
          <w:tcPr>
            <w:tcW w:w="647" w:type="pct"/>
            <w:tcBorders>
              <w:top w:val="nil"/>
              <w:left w:val="nil"/>
              <w:bottom w:val="single" w:sz="4" w:space="0" w:color="auto"/>
              <w:right w:val="single" w:sz="4" w:space="0" w:color="auto"/>
            </w:tcBorders>
            <w:shd w:val="clear" w:color="auto" w:fill="auto"/>
            <w:noWrap/>
            <w:vAlign w:val="bottom"/>
            <w:hideMark/>
          </w:tcPr>
          <w:p w:rsidR="006B4ED5" w:rsidRPr="006B4ED5" w:rsidRDefault="006B4ED5" w:rsidP="007C09FE">
            <w:pPr>
              <w:jc w:val="right"/>
              <w:rPr>
                <w:b/>
                <w:bCs/>
                <w:color w:val="000000"/>
                <w:sz w:val="20"/>
                <w:szCs w:val="20"/>
                <w:lang w:eastAsia="en-AU"/>
              </w:rPr>
            </w:pPr>
            <w:r w:rsidRPr="006B4ED5">
              <w:rPr>
                <w:b/>
                <w:bCs/>
                <w:color w:val="000000"/>
                <w:sz w:val="20"/>
                <w:szCs w:val="20"/>
                <w:lang w:eastAsia="en-AU"/>
              </w:rPr>
              <w:t>699,886</w:t>
            </w:r>
          </w:p>
        </w:tc>
      </w:tr>
      <w:tr w:rsidR="006B4ED5" w:rsidRPr="006B4ED5" w:rsidTr="006B4ED5">
        <w:trPr>
          <w:trHeight w:val="510"/>
        </w:trPr>
        <w:tc>
          <w:tcPr>
            <w:tcW w:w="2819" w:type="pct"/>
            <w:tcBorders>
              <w:top w:val="nil"/>
              <w:left w:val="single" w:sz="4" w:space="0" w:color="auto"/>
              <w:bottom w:val="single" w:sz="4" w:space="0" w:color="auto"/>
              <w:right w:val="single" w:sz="4" w:space="0" w:color="auto"/>
            </w:tcBorders>
            <w:shd w:val="clear" w:color="000000" w:fill="FFFFFF"/>
            <w:vAlign w:val="bottom"/>
            <w:hideMark/>
          </w:tcPr>
          <w:p w:rsidR="006B4ED5" w:rsidRPr="006B4ED5" w:rsidRDefault="006B4ED5" w:rsidP="007C09FE">
            <w:pPr>
              <w:rPr>
                <w:b/>
                <w:bCs/>
                <w:color w:val="000000"/>
                <w:sz w:val="20"/>
                <w:szCs w:val="20"/>
                <w:lang w:eastAsia="en-AU"/>
              </w:rPr>
            </w:pPr>
            <w:r w:rsidRPr="006B4ED5">
              <w:rPr>
                <w:b/>
                <w:bCs/>
                <w:color w:val="000000"/>
                <w:sz w:val="20"/>
                <w:szCs w:val="20"/>
                <w:lang w:eastAsia="en-AU"/>
              </w:rPr>
              <w:t xml:space="preserve">Block Grants for Activity Based Funded Hospitals </w:t>
            </w:r>
          </w:p>
        </w:tc>
        <w:tc>
          <w:tcPr>
            <w:tcW w:w="844" w:type="pct"/>
            <w:tcBorders>
              <w:top w:val="nil"/>
              <w:left w:val="nil"/>
              <w:bottom w:val="single" w:sz="4" w:space="0" w:color="auto"/>
              <w:right w:val="single" w:sz="4" w:space="0" w:color="auto"/>
            </w:tcBorders>
            <w:shd w:val="clear" w:color="000000" w:fill="FFFFFF"/>
            <w:vAlign w:val="bottom"/>
            <w:hideMark/>
          </w:tcPr>
          <w:p w:rsidR="006B4ED5" w:rsidRPr="006B4ED5" w:rsidRDefault="006B4ED5" w:rsidP="007C09FE">
            <w:pPr>
              <w:rPr>
                <w:color w:val="000000"/>
                <w:sz w:val="20"/>
                <w:szCs w:val="20"/>
                <w:lang w:eastAsia="en-AU"/>
              </w:rPr>
            </w:pPr>
            <w:r w:rsidRPr="006B4ED5">
              <w:rPr>
                <w:color w:val="000000"/>
                <w:sz w:val="20"/>
                <w:szCs w:val="20"/>
                <w:lang w:eastAsia="en-AU"/>
              </w:rPr>
              <w:t> </w:t>
            </w:r>
          </w:p>
        </w:tc>
        <w:tc>
          <w:tcPr>
            <w:tcW w:w="690" w:type="pct"/>
            <w:tcBorders>
              <w:top w:val="nil"/>
              <w:left w:val="nil"/>
              <w:bottom w:val="single" w:sz="4" w:space="0" w:color="auto"/>
              <w:right w:val="single" w:sz="4" w:space="0" w:color="auto"/>
            </w:tcBorders>
            <w:shd w:val="clear" w:color="000000" w:fill="FFFFFF"/>
            <w:vAlign w:val="bottom"/>
            <w:hideMark/>
          </w:tcPr>
          <w:p w:rsidR="006B4ED5" w:rsidRPr="006B4ED5" w:rsidRDefault="006B4ED5" w:rsidP="007C09FE">
            <w:pPr>
              <w:jc w:val="right"/>
              <w:rPr>
                <w:b/>
                <w:bCs/>
                <w:color w:val="000000"/>
                <w:sz w:val="20"/>
                <w:szCs w:val="20"/>
                <w:lang w:eastAsia="en-AU"/>
              </w:rPr>
            </w:pPr>
            <w:r w:rsidRPr="006B4ED5">
              <w:rPr>
                <w:b/>
                <w:bCs/>
                <w:color w:val="000000"/>
                <w:sz w:val="20"/>
                <w:szCs w:val="20"/>
                <w:lang w:eastAsia="en-AU"/>
              </w:rPr>
              <w:t> </w:t>
            </w:r>
          </w:p>
        </w:tc>
        <w:tc>
          <w:tcPr>
            <w:tcW w:w="647" w:type="pct"/>
            <w:tcBorders>
              <w:top w:val="nil"/>
              <w:left w:val="nil"/>
              <w:bottom w:val="single" w:sz="4" w:space="0" w:color="auto"/>
              <w:right w:val="single" w:sz="4" w:space="0" w:color="auto"/>
            </w:tcBorders>
            <w:shd w:val="clear" w:color="auto" w:fill="auto"/>
            <w:vAlign w:val="bottom"/>
            <w:hideMark/>
          </w:tcPr>
          <w:p w:rsidR="006B4ED5" w:rsidRPr="006B4ED5" w:rsidRDefault="006B4ED5" w:rsidP="007C09FE">
            <w:pPr>
              <w:jc w:val="right"/>
              <w:rPr>
                <w:b/>
                <w:bCs/>
                <w:color w:val="000000"/>
                <w:sz w:val="20"/>
                <w:szCs w:val="20"/>
                <w:lang w:eastAsia="en-AU"/>
              </w:rPr>
            </w:pPr>
            <w:r w:rsidRPr="006B4ED5">
              <w:rPr>
                <w:b/>
                <w:bCs/>
                <w:color w:val="000000"/>
                <w:sz w:val="20"/>
                <w:szCs w:val="20"/>
                <w:lang w:eastAsia="en-AU"/>
              </w:rPr>
              <w:t> </w:t>
            </w:r>
          </w:p>
        </w:tc>
      </w:tr>
      <w:tr w:rsidR="006B4ED5" w:rsidRPr="006B4ED5" w:rsidTr="006B4ED5">
        <w:trPr>
          <w:trHeight w:val="300"/>
        </w:trPr>
        <w:tc>
          <w:tcPr>
            <w:tcW w:w="2819" w:type="pct"/>
            <w:tcBorders>
              <w:top w:val="nil"/>
              <w:left w:val="single" w:sz="4" w:space="0" w:color="auto"/>
              <w:bottom w:val="single" w:sz="4" w:space="0" w:color="auto"/>
              <w:right w:val="single" w:sz="4" w:space="0" w:color="auto"/>
            </w:tcBorders>
            <w:shd w:val="clear" w:color="000000" w:fill="FFFFFF"/>
            <w:noWrap/>
            <w:vAlign w:val="bottom"/>
            <w:hideMark/>
          </w:tcPr>
          <w:p w:rsidR="006B4ED5" w:rsidRPr="006B4ED5" w:rsidRDefault="006B4ED5" w:rsidP="007C09FE">
            <w:pPr>
              <w:ind w:firstLineChars="200" w:firstLine="400"/>
              <w:rPr>
                <w:color w:val="000000"/>
                <w:sz w:val="20"/>
                <w:szCs w:val="20"/>
                <w:lang w:eastAsia="en-AU"/>
              </w:rPr>
            </w:pPr>
            <w:r w:rsidRPr="006B4ED5">
              <w:rPr>
                <w:color w:val="000000"/>
                <w:sz w:val="20"/>
                <w:szCs w:val="20"/>
                <w:lang w:eastAsia="en-AU"/>
              </w:rPr>
              <w:t xml:space="preserve"> Sub &amp; Non-Acute Inpatients Supplementation </w:t>
            </w:r>
            <w:r w:rsidRPr="006B4ED5">
              <w:rPr>
                <w:color w:val="000000"/>
                <w:sz w:val="20"/>
                <w:szCs w:val="20"/>
                <w:vertAlign w:val="superscript"/>
                <w:lang w:eastAsia="en-AU"/>
              </w:rPr>
              <w:t>1</w:t>
            </w:r>
          </w:p>
        </w:tc>
        <w:tc>
          <w:tcPr>
            <w:tcW w:w="844" w:type="pct"/>
            <w:tcBorders>
              <w:top w:val="nil"/>
              <w:left w:val="nil"/>
              <w:bottom w:val="single" w:sz="4" w:space="0" w:color="auto"/>
              <w:right w:val="single" w:sz="4" w:space="0" w:color="auto"/>
            </w:tcBorders>
            <w:shd w:val="clear" w:color="000000" w:fill="FFFFFF"/>
            <w:vAlign w:val="bottom"/>
            <w:hideMark/>
          </w:tcPr>
          <w:p w:rsidR="006B4ED5" w:rsidRPr="006B4ED5" w:rsidRDefault="006B4ED5" w:rsidP="007C09FE">
            <w:pPr>
              <w:rPr>
                <w:color w:val="000000"/>
                <w:sz w:val="20"/>
                <w:szCs w:val="20"/>
                <w:lang w:eastAsia="en-AU"/>
              </w:rPr>
            </w:pPr>
            <w:r w:rsidRPr="006B4ED5">
              <w:rPr>
                <w:color w:val="000000"/>
                <w:sz w:val="20"/>
                <w:szCs w:val="20"/>
                <w:lang w:eastAsia="en-AU"/>
              </w:rPr>
              <w:t xml:space="preserve"> Block Funded </w:t>
            </w:r>
          </w:p>
        </w:tc>
        <w:tc>
          <w:tcPr>
            <w:tcW w:w="690" w:type="pct"/>
            <w:tcBorders>
              <w:top w:val="nil"/>
              <w:left w:val="nil"/>
              <w:bottom w:val="single" w:sz="4" w:space="0" w:color="auto"/>
              <w:right w:val="single" w:sz="4" w:space="0" w:color="auto"/>
            </w:tcBorders>
            <w:shd w:val="clear" w:color="000000" w:fill="FFFFFF"/>
            <w:vAlign w:val="bottom"/>
            <w:hideMark/>
          </w:tcPr>
          <w:p w:rsidR="006B4ED5" w:rsidRPr="006B4ED5" w:rsidRDefault="006B4ED5" w:rsidP="007C09FE">
            <w:pPr>
              <w:jc w:val="right"/>
              <w:rPr>
                <w:color w:val="000000"/>
                <w:sz w:val="20"/>
                <w:szCs w:val="20"/>
                <w:lang w:eastAsia="en-AU"/>
              </w:rPr>
            </w:pPr>
            <w:r w:rsidRPr="006B4ED5">
              <w:rPr>
                <w:color w:val="000000"/>
                <w:sz w:val="20"/>
                <w:szCs w:val="20"/>
                <w:lang w:eastAsia="en-AU"/>
              </w:rPr>
              <w:t> </w:t>
            </w:r>
          </w:p>
        </w:tc>
        <w:tc>
          <w:tcPr>
            <w:tcW w:w="647" w:type="pct"/>
            <w:tcBorders>
              <w:top w:val="nil"/>
              <w:left w:val="nil"/>
              <w:bottom w:val="single" w:sz="4" w:space="0" w:color="auto"/>
              <w:right w:val="single" w:sz="4" w:space="0" w:color="auto"/>
            </w:tcBorders>
            <w:shd w:val="clear" w:color="auto" w:fill="auto"/>
            <w:vAlign w:val="bottom"/>
            <w:hideMark/>
          </w:tcPr>
          <w:p w:rsidR="006B4ED5" w:rsidRPr="006B4ED5" w:rsidRDefault="006B4ED5" w:rsidP="007C09FE">
            <w:pPr>
              <w:jc w:val="right"/>
              <w:rPr>
                <w:color w:val="000000"/>
                <w:sz w:val="20"/>
                <w:szCs w:val="20"/>
                <w:lang w:eastAsia="en-AU"/>
              </w:rPr>
            </w:pPr>
            <w:r w:rsidRPr="006B4ED5">
              <w:rPr>
                <w:color w:val="000000"/>
                <w:sz w:val="20"/>
                <w:szCs w:val="20"/>
                <w:lang w:eastAsia="en-AU"/>
              </w:rPr>
              <w:t xml:space="preserve">13,647 </w:t>
            </w:r>
          </w:p>
        </w:tc>
      </w:tr>
      <w:tr w:rsidR="006B4ED5" w:rsidRPr="006B4ED5" w:rsidTr="006B4ED5">
        <w:trPr>
          <w:trHeight w:val="300"/>
        </w:trPr>
        <w:tc>
          <w:tcPr>
            <w:tcW w:w="2819" w:type="pct"/>
            <w:tcBorders>
              <w:top w:val="nil"/>
              <w:left w:val="single" w:sz="4" w:space="0" w:color="auto"/>
              <w:bottom w:val="single" w:sz="4" w:space="0" w:color="auto"/>
              <w:right w:val="single" w:sz="4" w:space="0" w:color="auto"/>
            </w:tcBorders>
            <w:shd w:val="clear" w:color="000000" w:fill="FFFFFF"/>
            <w:vAlign w:val="bottom"/>
            <w:hideMark/>
          </w:tcPr>
          <w:p w:rsidR="006B4ED5" w:rsidRPr="006B4ED5" w:rsidRDefault="006B4ED5" w:rsidP="007C09FE">
            <w:pPr>
              <w:ind w:firstLineChars="200" w:firstLine="400"/>
              <w:rPr>
                <w:color w:val="000000"/>
                <w:sz w:val="20"/>
                <w:szCs w:val="20"/>
                <w:lang w:eastAsia="en-AU"/>
              </w:rPr>
            </w:pPr>
            <w:r w:rsidRPr="006B4ED5">
              <w:rPr>
                <w:color w:val="000000"/>
                <w:sz w:val="20"/>
                <w:szCs w:val="20"/>
                <w:lang w:eastAsia="en-AU"/>
              </w:rPr>
              <w:t>Teaching, Training and Research Grant</w:t>
            </w:r>
          </w:p>
        </w:tc>
        <w:tc>
          <w:tcPr>
            <w:tcW w:w="844" w:type="pct"/>
            <w:tcBorders>
              <w:top w:val="nil"/>
              <w:left w:val="nil"/>
              <w:bottom w:val="single" w:sz="4" w:space="0" w:color="auto"/>
              <w:right w:val="single" w:sz="4" w:space="0" w:color="auto"/>
            </w:tcBorders>
            <w:shd w:val="clear" w:color="000000" w:fill="FFFFFF"/>
            <w:vAlign w:val="bottom"/>
            <w:hideMark/>
          </w:tcPr>
          <w:p w:rsidR="006B4ED5" w:rsidRPr="006B4ED5" w:rsidRDefault="006B4ED5" w:rsidP="007C09FE">
            <w:pPr>
              <w:rPr>
                <w:color w:val="000000"/>
                <w:sz w:val="20"/>
                <w:szCs w:val="20"/>
                <w:lang w:eastAsia="en-AU"/>
              </w:rPr>
            </w:pPr>
            <w:r w:rsidRPr="006B4ED5">
              <w:rPr>
                <w:color w:val="000000"/>
                <w:sz w:val="20"/>
                <w:szCs w:val="20"/>
                <w:lang w:eastAsia="en-AU"/>
              </w:rPr>
              <w:t xml:space="preserve"> Block Funded </w:t>
            </w:r>
          </w:p>
        </w:tc>
        <w:tc>
          <w:tcPr>
            <w:tcW w:w="690" w:type="pct"/>
            <w:tcBorders>
              <w:top w:val="nil"/>
              <w:left w:val="nil"/>
              <w:bottom w:val="single" w:sz="4" w:space="0" w:color="auto"/>
              <w:right w:val="single" w:sz="4" w:space="0" w:color="auto"/>
            </w:tcBorders>
            <w:shd w:val="clear" w:color="000000" w:fill="FFFFFF"/>
            <w:vAlign w:val="bottom"/>
            <w:hideMark/>
          </w:tcPr>
          <w:p w:rsidR="006B4ED5" w:rsidRPr="006B4ED5" w:rsidRDefault="006B4ED5" w:rsidP="007C09FE">
            <w:pPr>
              <w:jc w:val="right"/>
              <w:rPr>
                <w:color w:val="000000"/>
                <w:sz w:val="20"/>
                <w:szCs w:val="20"/>
                <w:lang w:eastAsia="en-AU"/>
              </w:rPr>
            </w:pPr>
            <w:r w:rsidRPr="006B4ED5">
              <w:rPr>
                <w:color w:val="000000"/>
                <w:sz w:val="20"/>
                <w:szCs w:val="20"/>
                <w:lang w:eastAsia="en-AU"/>
              </w:rPr>
              <w:t> </w:t>
            </w:r>
          </w:p>
        </w:tc>
        <w:tc>
          <w:tcPr>
            <w:tcW w:w="647" w:type="pct"/>
            <w:tcBorders>
              <w:top w:val="nil"/>
              <w:left w:val="nil"/>
              <w:bottom w:val="single" w:sz="4" w:space="0" w:color="auto"/>
              <w:right w:val="single" w:sz="4" w:space="0" w:color="auto"/>
            </w:tcBorders>
            <w:shd w:val="clear" w:color="auto" w:fill="auto"/>
            <w:vAlign w:val="bottom"/>
            <w:hideMark/>
          </w:tcPr>
          <w:p w:rsidR="006B4ED5" w:rsidRPr="006B4ED5" w:rsidRDefault="006B4ED5" w:rsidP="007C09FE">
            <w:pPr>
              <w:jc w:val="right"/>
              <w:rPr>
                <w:color w:val="000000"/>
                <w:sz w:val="20"/>
                <w:szCs w:val="20"/>
                <w:lang w:eastAsia="en-AU"/>
              </w:rPr>
            </w:pPr>
            <w:r w:rsidRPr="006B4ED5">
              <w:rPr>
                <w:color w:val="000000"/>
                <w:sz w:val="20"/>
                <w:szCs w:val="20"/>
                <w:lang w:eastAsia="en-AU"/>
              </w:rPr>
              <w:t xml:space="preserve">37,310 </w:t>
            </w:r>
          </w:p>
        </w:tc>
      </w:tr>
      <w:tr w:rsidR="006B4ED5" w:rsidRPr="006B4ED5" w:rsidTr="006B4ED5">
        <w:trPr>
          <w:trHeight w:val="300"/>
        </w:trPr>
        <w:tc>
          <w:tcPr>
            <w:tcW w:w="2819" w:type="pct"/>
            <w:tcBorders>
              <w:top w:val="nil"/>
              <w:left w:val="single" w:sz="4" w:space="0" w:color="auto"/>
              <w:bottom w:val="single" w:sz="4" w:space="0" w:color="auto"/>
              <w:right w:val="single" w:sz="4" w:space="0" w:color="auto"/>
            </w:tcBorders>
            <w:shd w:val="clear" w:color="000000" w:fill="FFFFFF"/>
            <w:vAlign w:val="bottom"/>
            <w:hideMark/>
          </w:tcPr>
          <w:p w:rsidR="006B4ED5" w:rsidRPr="006B4ED5" w:rsidRDefault="006B4ED5" w:rsidP="007C09FE">
            <w:pPr>
              <w:ind w:firstLineChars="200" w:firstLine="400"/>
              <w:rPr>
                <w:color w:val="000000"/>
                <w:sz w:val="20"/>
                <w:szCs w:val="20"/>
                <w:lang w:eastAsia="en-AU"/>
              </w:rPr>
            </w:pPr>
            <w:r w:rsidRPr="006B4ED5">
              <w:rPr>
                <w:color w:val="000000"/>
                <w:sz w:val="20"/>
                <w:szCs w:val="20"/>
                <w:lang w:eastAsia="en-AU"/>
              </w:rPr>
              <w:t>Blood Products</w:t>
            </w:r>
          </w:p>
        </w:tc>
        <w:tc>
          <w:tcPr>
            <w:tcW w:w="844" w:type="pct"/>
            <w:tcBorders>
              <w:top w:val="nil"/>
              <w:left w:val="nil"/>
              <w:bottom w:val="single" w:sz="4" w:space="0" w:color="auto"/>
              <w:right w:val="single" w:sz="4" w:space="0" w:color="auto"/>
            </w:tcBorders>
            <w:shd w:val="clear" w:color="000000" w:fill="FFFFFF"/>
            <w:vAlign w:val="bottom"/>
            <w:hideMark/>
          </w:tcPr>
          <w:p w:rsidR="006B4ED5" w:rsidRPr="006B4ED5" w:rsidRDefault="006B4ED5" w:rsidP="007C09FE">
            <w:pPr>
              <w:rPr>
                <w:color w:val="000000"/>
                <w:sz w:val="20"/>
                <w:szCs w:val="20"/>
                <w:lang w:eastAsia="en-AU"/>
              </w:rPr>
            </w:pPr>
            <w:r w:rsidRPr="006B4ED5">
              <w:rPr>
                <w:color w:val="000000"/>
                <w:sz w:val="20"/>
                <w:szCs w:val="20"/>
                <w:lang w:eastAsia="en-AU"/>
              </w:rPr>
              <w:t xml:space="preserve"> Block Funded </w:t>
            </w:r>
          </w:p>
        </w:tc>
        <w:tc>
          <w:tcPr>
            <w:tcW w:w="690" w:type="pct"/>
            <w:tcBorders>
              <w:top w:val="nil"/>
              <w:left w:val="nil"/>
              <w:bottom w:val="single" w:sz="4" w:space="0" w:color="auto"/>
              <w:right w:val="single" w:sz="4" w:space="0" w:color="auto"/>
            </w:tcBorders>
            <w:shd w:val="clear" w:color="000000" w:fill="FFFFFF"/>
            <w:vAlign w:val="bottom"/>
            <w:hideMark/>
          </w:tcPr>
          <w:p w:rsidR="006B4ED5" w:rsidRPr="006B4ED5" w:rsidRDefault="006B4ED5" w:rsidP="007C09FE">
            <w:pPr>
              <w:jc w:val="right"/>
              <w:rPr>
                <w:color w:val="000000"/>
                <w:sz w:val="20"/>
                <w:szCs w:val="20"/>
                <w:lang w:eastAsia="en-AU"/>
              </w:rPr>
            </w:pPr>
            <w:r w:rsidRPr="006B4ED5">
              <w:rPr>
                <w:color w:val="000000"/>
                <w:sz w:val="20"/>
                <w:szCs w:val="20"/>
                <w:lang w:eastAsia="en-AU"/>
              </w:rPr>
              <w:t> </w:t>
            </w:r>
          </w:p>
        </w:tc>
        <w:tc>
          <w:tcPr>
            <w:tcW w:w="647" w:type="pct"/>
            <w:tcBorders>
              <w:top w:val="nil"/>
              <w:left w:val="nil"/>
              <w:bottom w:val="single" w:sz="4" w:space="0" w:color="auto"/>
              <w:right w:val="single" w:sz="4" w:space="0" w:color="auto"/>
            </w:tcBorders>
            <w:shd w:val="clear" w:color="auto" w:fill="auto"/>
            <w:vAlign w:val="bottom"/>
            <w:hideMark/>
          </w:tcPr>
          <w:p w:rsidR="006B4ED5" w:rsidRPr="006B4ED5" w:rsidRDefault="006B4ED5" w:rsidP="007C09FE">
            <w:pPr>
              <w:jc w:val="right"/>
              <w:rPr>
                <w:color w:val="000000"/>
                <w:sz w:val="20"/>
                <w:szCs w:val="20"/>
                <w:lang w:eastAsia="en-AU"/>
              </w:rPr>
            </w:pPr>
            <w:r w:rsidRPr="006B4ED5">
              <w:rPr>
                <w:color w:val="000000"/>
                <w:sz w:val="20"/>
                <w:szCs w:val="20"/>
                <w:lang w:eastAsia="en-AU"/>
              </w:rPr>
              <w:t xml:space="preserve">  7,897 </w:t>
            </w:r>
          </w:p>
        </w:tc>
      </w:tr>
      <w:tr w:rsidR="006B4ED5" w:rsidRPr="006B4ED5" w:rsidTr="006B4ED5">
        <w:trPr>
          <w:trHeight w:val="300"/>
        </w:trPr>
        <w:tc>
          <w:tcPr>
            <w:tcW w:w="2819" w:type="pct"/>
            <w:tcBorders>
              <w:top w:val="nil"/>
              <w:left w:val="single" w:sz="4" w:space="0" w:color="auto"/>
              <w:bottom w:val="single" w:sz="4" w:space="0" w:color="auto"/>
              <w:right w:val="single" w:sz="4" w:space="0" w:color="auto"/>
            </w:tcBorders>
            <w:shd w:val="clear" w:color="000000" w:fill="FFFFFF"/>
            <w:vAlign w:val="bottom"/>
            <w:hideMark/>
          </w:tcPr>
          <w:p w:rsidR="006B4ED5" w:rsidRPr="006B4ED5" w:rsidRDefault="006B4ED5" w:rsidP="007C09FE">
            <w:pPr>
              <w:ind w:firstLineChars="200" w:firstLine="400"/>
              <w:rPr>
                <w:color w:val="000000"/>
                <w:sz w:val="20"/>
                <w:szCs w:val="20"/>
                <w:lang w:eastAsia="en-AU"/>
              </w:rPr>
            </w:pPr>
            <w:r w:rsidRPr="006B4ED5">
              <w:rPr>
                <w:color w:val="000000"/>
                <w:sz w:val="20"/>
                <w:szCs w:val="20"/>
                <w:lang w:eastAsia="en-AU"/>
              </w:rPr>
              <w:t>Interstate Charging</w:t>
            </w:r>
          </w:p>
        </w:tc>
        <w:tc>
          <w:tcPr>
            <w:tcW w:w="844" w:type="pct"/>
            <w:tcBorders>
              <w:top w:val="nil"/>
              <w:left w:val="nil"/>
              <w:bottom w:val="single" w:sz="4" w:space="0" w:color="auto"/>
              <w:right w:val="single" w:sz="4" w:space="0" w:color="auto"/>
            </w:tcBorders>
            <w:shd w:val="clear" w:color="000000" w:fill="FFFFFF"/>
            <w:vAlign w:val="bottom"/>
            <w:hideMark/>
          </w:tcPr>
          <w:p w:rsidR="006B4ED5" w:rsidRPr="006B4ED5" w:rsidRDefault="006B4ED5" w:rsidP="007C09FE">
            <w:pPr>
              <w:rPr>
                <w:color w:val="000000"/>
                <w:sz w:val="20"/>
                <w:szCs w:val="20"/>
                <w:lang w:eastAsia="en-AU"/>
              </w:rPr>
            </w:pPr>
            <w:r w:rsidRPr="006B4ED5">
              <w:rPr>
                <w:color w:val="000000"/>
                <w:sz w:val="20"/>
                <w:szCs w:val="20"/>
                <w:lang w:eastAsia="en-AU"/>
              </w:rPr>
              <w:t xml:space="preserve"> Block Funded </w:t>
            </w:r>
          </w:p>
        </w:tc>
        <w:tc>
          <w:tcPr>
            <w:tcW w:w="690" w:type="pct"/>
            <w:tcBorders>
              <w:top w:val="nil"/>
              <w:left w:val="nil"/>
              <w:bottom w:val="single" w:sz="4" w:space="0" w:color="auto"/>
              <w:right w:val="single" w:sz="4" w:space="0" w:color="auto"/>
            </w:tcBorders>
            <w:shd w:val="clear" w:color="000000" w:fill="FFFFFF"/>
            <w:noWrap/>
            <w:vAlign w:val="bottom"/>
            <w:hideMark/>
          </w:tcPr>
          <w:p w:rsidR="006B4ED5" w:rsidRPr="006B4ED5" w:rsidRDefault="006B4ED5" w:rsidP="007C09FE">
            <w:pPr>
              <w:jc w:val="right"/>
              <w:rPr>
                <w:color w:val="000000"/>
                <w:sz w:val="20"/>
                <w:szCs w:val="20"/>
                <w:lang w:eastAsia="en-AU"/>
              </w:rPr>
            </w:pPr>
            <w:r w:rsidRPr="006B4ED5">
              <w:rPr>
                <w:color w:val="000000"/>
                <w:sz w:val="20"/>
                <w:szCs w:val="20"/>
                <w:lang w:eastAsia="en-AU"/>
              </w:rPr>
              <w:t> </w:t>
            </w:r>
          </w:p>
        </w:tc>
        <w:tc>
          <w:tcPr>
            <w:tcW w:w="647" w:type="pct"/>
            <w:tcBorders>
              <w:top w:val="nil"/>
              <w:left w:val="nil"/>
              <w:bottom w:val="single" w:sz="4" w:space="0" w:color="auto"/>
              <w:right w:val="single" w:sz="4" w:space="0" w:color="auto"/>
            </w:tcBorders>
            <w:shd w:val="clear" w:color="auto" w:fill="auto"/>
            <w:vAlign w:val="bottom"/>
            <w:hideMark/>
          </w:tcPr>
          <w:p w:rsidR="006B4ED5" w:rsidRPr="006B4ED5" w:rsidRDefault="006B4ED5" w:rsidP="007C09FE">
            <w:pPr>
              <w:jc w:val="right"/>
              <w:rPr>
                <w:color w:val="000000"/>
                <w:sz w:val="20"/>
                <w:szCs w:val="20"/>
                <w:lang w:eastAsia="en-AU"/>
              </w:rPr>
            </w:pPr>
            <w:r w:rsidRPr="006B4ED5">
              <w:rPr>
                <w:color w:val="000000"/>
                <w:sz w:val="20"/>
                <w:szCs w:val="20"/>
                <w:lang w:eastAsia="en-AU"/>
              </w:rPr>
              <w:t xml:space="preserve">20,000 </w:t>
            </w:r>
          </w:p>
        </w:tc>
      </w:tr>
      <w:tr w:rsidR="006B4ED5" w:rsidRPr="006B4ED5" w:rsidTr="006B4ED5">
        <w:trPr>
          <w:trHeight w:val="300"/>
        </w:trPr>
        <w:tc>
          <w:tcPr>
            <w:tcW w:w="2819" w:type="pct"/>
            <w:tcBorders>
              <w:top w:val="nil"/>
              <w:left w:val="single" w:sz="4" w:space="0" w:color="auto"/>
              <w:bottom w:val="single" w:sz="4" w:space="0" w:color="auto"/>
              <w:right w:val="single" w:sz="4" w:space="0" w:color="auto"/>
            </w:tcBorders>
            <w:shd w:val="clear" w:color="000000" w:fill="FFFFFF"/>
            <w:vAlign w:val="bottom"/>
            <w:hideMark/>
          </w:tcPr>
          <w:p w:rsidR="006B4ED5" w:rsidRPr="006B4ED5" w:rsidRDefault="006B4ED5" w:rsidP="007C09FE">
            <w:pPr>
              <w:ind w:firstLineChars="200" w:firstLine="400"/>
              <w:rPr>
                <w:color w:val="000000"/>
                <w:sz w:val="20"/>
                <w:szCs w:val="20"/>
                <w:lang w:eastAsia="en-AU"/>
              </w:rPr>
            </w:pPr>
            <w:r w:rsidRPr="006B4ED5">
              <w:rPr>
                <w:color w:val="000000"/>
                <w:sz w:val="20"/>
                <w:szCs w:val="20"/>
                <w:lang w:eastAsia="en-AU"/>
              </w:rPr>
              <w:t>North West Cancer Centre</w:t>
            </w:r>
          </w:p>
        </w:tc>
        <w:tc>
          <w:tcPr>
            <w:tcW w:w="844" w:type="pct"/>
            <w:tcBorders>
              <w:top w:val="nil"/>
              <w:left w:val="nil"/>
              <w:bottom w:val="single" w:sz="4" w:space="0" w:color="auto"/>
              <w:right w:val="single" w:sz="4" w:space="0" w:color="auto"/>
            </w:tcBorders>
            <w:shd w:val="clear" w:color="000000" w:fill="FFFFFF"/>
            <w:vAlign w:val="bottom"/>
            <w:hideMark/>
          </w:tcPr>
          <w:p w:rsidR="006B4ED5" w:rsidRPr="006B4ED5" w:rsidRDefault="006B4ED5" w:rsidP="007C09FE">
            <w:pPr>
              <w:rPr>
                <w:color w:val="000000"/>
                <w:sz w:val="20"/>
                <w:szCs w:val="20"/>
                <w:lang w:eastAsia="en-AU"/>
              </w:rPr>
            </w:pPr>
            <w:r w:rsidRPr="006B4ED5">
              <w:rPr>
                <w:color w:val="000000"/>
                <w:sz w:val="20"/>
                <w:szCs w:val="20"/>
                <w:lang w:eastAsia="en-AU"/>
              </w:rPr>
              <w:t xml:space="preserve"> Block Funded </w:t>
            </w:r>
          </w:p>
        </w:tc>
        <w:tc>
          <w:tcPr>
            <w:tcW w:w="690" w:type="pct"/>
            <w:tcBorders>
              <w:top w:val="nil"/>
              <w:left w:val="nil"/>
              <w:bottom w:val="single" w:sz="4" w:space="0" w:color="auto"/>
              <w:right w:val="single" w:sz="4" w:space="0" w:color="auto"/>
            </w:tcBorders>
            <w:shd w:val="clear" w:color="000000" w:fill="FFFFFF"/>
            <w:noWrap/>
            <w:vAlign w:val="bottom"/>
            <w:hideMark/>
          </w:tcPr>
          <w:p w:rsidR="006B4ED5" w:rsidRPr="006B4ED5" w:rsidRDefault="006B4ED5" w:rsidP="007C09FE">
            <w:pPr>
              <w:jc w:val="right"/>
              <w:rPr>
                <w:color w:val="000000"/>
                <w:sz w:val="20"/>
                <w:szCs w:val="20"/>
                <w:lang w:eastAsia="en-AU"/>
              </w:rPr>
            </w:pPr>
            <w:r w:rsidRPr="006B4ED5">
              <w:rPr>
                <w:color w:val="000000"/>
                <w:sz w:val="20"/>
                <w:szCs w:val="20"/>
                <w:lang w:eastAsia="en-AU"/>
              </w:rPr>
              <w:t> </w:t>
            </w:r>
          </w:p>
        </w:tc>
        <w:tc>
          <w:tcPr>
            <w:tcW w:w="647" w:type="pct"/>
            <w:tcBorders>
              <w:top w:val="nil"/>
              <w:left w:val="nil"/>
              <w:bottom w:val="single" w:sz="4" w:space="0" w:color="auto"/>
              <w:right w:val="single" w:sz="4" w:space="0" w:color="auto"/>
            </w:tcBorders>
            <w:shd w:val="clear" w:color="auto" w:fill="auto"/>
            <w:vAlign w:val="bottom"/>
            <w:hideMark/>
          </w:tcPr>
          <w:p w:rsidR="006B4ED5" w:rsidRPr="006B4ED5" w:rsidRDefault="006B4ED5" w:rsidP="007C09FE">
            <w:pPr>
              <w:jc w:val="right"/>
              <w:rPr>
                <w:color w:val="000000"/>
                <w:sz w:val="20"/>
                <w:szCs w:val="20"/>
                <w:lang w:eastAsia="en-AU"/>
              </w:rPr>
            </w:pPr>
            <w:r w:rsidRPr="006B4ED5">
              <w:rPr>
                <w:color w:val="000000"/>
                <w:sz w:val="20"/>
                <w:szCs w:val="20"/>
                <w:lang w:eastAsia="en-AU"/>
              </w:rPr>
              <w:t xml:space="preserve">  5,886 </w:t>
            </w:r>
          </w:p>
        </w:tc>
      </w:tr>
      <w:tr w:rsidR="006B4ED5" w:rsidRPr="006B4ED5" w:rsidTr="006B4ED5">
        <w:trPr>
          <w:trHeight w:val="300"/>
        </w:trPr>
        <w:tc>
          <w:tcPr>
            <w:tcW w:w="2819" w:type="pct"/>
            <w:tcBorders>
              <w:top w:val="nil"/>
              <w:left w:val="single" w:sz="4" w:space="0" w:color="auto"/>
              <w:bottom w:val="single" w:sz="4" w:space="0" w:color="auto"/>
              <w:right w:val="single" w:sz="4" w:space="0" w:color="auto"/>
            </w:tcBorders>
            <w:shd w:val="clear" w:color="000000" w:fill="FFFFFF"/>
            <w:vAlign w:val="bottom"/>
            <w:hideMark/>
          </w:tcPr>
          <w:p w:rsidR="006B4ED5" w:rsidRPr="006B4ED5" w:rsidRDefault="006B4ED5" w:rsidP="007C09FE">
            <w:pPr>
              <w:ind w:firstLineChars="200" w:firstLine="400"/>
              <w:rPr>
                <w:color w:val="000000"/>
                <w:sz w:val="20"/>
                <w:szCs w:val="20"/>
                <w:lang w:eastAsia="en-AU"/>
              </w:rPr>
            </w:pPr>
            <w:r w:rsidRPr="006B4ED5">
              <w:rPr>
                <w:color w:val="000000"/>
                <w:sz w:val="20"/>
                <w:szCs w:val="20"/>
                <w:lang w:eastAsia="en-AU"/>
              </w:rPr>
              <w:t>Nurse Graduates - Additional Transition to Practice</w:t>
            </w:r>
          </w:p>
        </w:tc>
        <w:tc>
          <w:tcPr>
            <w:tcW w:w="844" w:type="pct"/>
            <w:tcBorders>
              <w:top w:val="nil"/>
              <w:left w:val="nil"/>
              <w:bottom w:val="single" w:sz="4" w:space="0" w:color="auto"/>
              <w:right w:val="single" w:sz="4" w:space="0" w:color="auto"/>
            </w:tcBorders>
            <w:shd w:val="clear" w:color="000000" w:fill="FFFFFF"/>
            <w:vAlign w:val="bottom"/>
            <w:hideMark/>
          </w:tcPr>
          <w:p w:rsidR="006B4ED5" w:rsidRPr="006B4ED5" w:rsidRDefault="006B4ED5" w:rsidP="007C09FE">
            <w:pPr>
              <w:rPr>
                <w:color w:val="000000"/>
                <w:sz w:val="20"/>
                <w:szCs w:val="20"/>
                <w:lang w:eastAsia="en-AU"/>
              </w:rPr>
            </w:pPr>
            <w:r w:rsidRPr="006B4ED5">
              <w:rPr>
                <w:color w:val="000000"/>
                <w:sz w:val="20"/>
                <w:szCs w:val="20"/>
                <w:lang w:eastAsia="en-AU"/>
              </w:rPr>
              <w:t xml:space="preserve"> Block Funded </w:t>
            </w:r>
          </w:p>
        </w:tc>
        <w:tc>
          <w:tcPr>
            <w:tcW w:w="690" w:type="pct"/>
            <w:tcBorders>
              <w:top w:val="nil"/>
              <w:left w:val="nil"/>
              <w:bottom w:val="single" w:sz="4" w:space="0" w:color="auto"/>
              <w:right w:val="single" w:sz="4" w:space="0" w:color="auto"/>
            </w:tcBorders>
            <w:shd w:val="clear" w:color="000000" w:fill="FFFFFF"/>
            <w:noWrap/>
            <w:vAlign w:val="bottom"/>
            <w:hideMark/>
          </w:tcPr>
          <w:p w:rsidR="006B4ED5" w:rsidRPr="006B4ED5" w:rsidRDefault="006B4ED5" w:rsidP="007C09FE">
            <w:pPr>
              <w:jc w:val="right"/>
              <w:rPr>
                <w:color w:val="000000"/>
                <w:sz w:val="20"/>
                <w:szCs w:val="20"/>
                <w:lang w:eastAsia="en-AU"/>
              </w:rPr>
            </w:pPr>
            <w:r w:rsidRPr="006B4ED5">
              <w:rPr>
                <w:color w:val="000000"/>
                <w:sz w:val="20"/>
                <w:szCs w:val="20"/>
                <w:lang w:eastAsia="en-AU"/>
              </w:rPr>
              <w:t> </w:t>
            </w:r>
          </w:p>
        </w:tc>
        <w:tc>
          <w:tcPr>
            <w:tcW w:w="647" w:type="pct"/>
            <w:tcBorders>
              <w:top w:val="nil"/>
              <w:left w:val="nil"/>
              <w:bottom w:val="single" w:sz="4" w:space="0" w:color="auto"/>
              <w:right w:val="single" w:sz="4" w:space="0" w:color="auto"/>
            </w:tcBorders>
            <w:shd w:val="clear" w:color="auto" w:fill="auto"/>
            <w:vAlign w:val="bottom"/>
            <w:hideMark/>
          </w:tcPr>
          <w:p w:rsidR="006B4ED5" w:rsidRPr="006B4ED5" w:rsidRDefault="006B4ED5" w:rsidP="007C09FE">
            <w:pPr>
              <w:jc w:val="right"/>
              <w:rPr>
                <w:color w:val="000000"/>
                <w:sz w:val="20"/>
                <w:szCs w:val="20"/>
                <w:lang w:eastAsia="en-AU"/>
              </w:rPr>
            </w:pPr>
            <w:r w:rsidRPr="006B4ED5">
              <w:rPr>
                <w:color w:val="000000"/>
                <w:sz w:val="20"/>
                <w:szCs w:val="20"/>
                <w:lang w:eastAsia="en-AU"/>
              </w:rPr>
              <w:t xml:space="preserve">  2,610 </w:t>
            </w:r>
          </w:p>
        </w:tc>
      </w:tr>
      <w:tr w:rsidR="006B4ED5" w:rsidRPr="006B4ED5" w:rsidTr="006B4ED5">
        <w:trPr>
          <w:trHeight w:val="300"/>
        </w:trPr>
        <w:tc>
          <w:tcPr>
            <w:tcW w:w="2819" w:type="pct"/>
            <w:tcBorders>
              <w:top w:val="nil"/>
              <w:left w:val="single" w:sz="4" w:space="0" w:color="auto"/>
              <w:bottom w:val="single" w:sz="4" w:space="0" w:color="auto"/>
              <w:right w:val="single" w:sz="4" w:space="0" w:color="auto"/>
            </w:tcBorders>
            <w:shd w:val="clear" w:color="000000" w:fill="FFFFFF"/>
            <w:vAlign w:val="bottom"/>
            <w:hideMark/>
          </w:tcPr>
          <w:p w:rsidR="006B4ED5" w:rsidRPr="006B4ED5" w:rsidRDefault="006B4ED5" w:rsidP="007C09FE">
            <w:pPr>
              <w:ind w:firstLineChars="200" w:firstLine="400"/>
              <w:rPr>
                <w:color w:val="000000"/>
                <w:sz w:val="20"/>
                <w:szCs w:val="20"/>
                <w:lang w:eastAsia="en-AU"/>
              </w:rPr>
            </w:pPr>
            <w:r w:rsidRPr="006B4ED5">
              <w:rPr>
                <w:color w:val="000000"/>
                <w:sz w:val="20"/>
                <w:szCs w:val="20"/>
                <w:lang w:eastAsia="en-AU"/>
              </w:rPr>
              <w:t>PTS BC Enhancing Retrieval and Referral Services</w:t>
            </w:r>
          </w:p>
        </w:tc>
        <w:tc>
          <w:tcPr>
            <w:tcW w:w="844" w:type="pct"/>
            <w:tcBorders>
              <w:top w:val="nil"/>
              <w:left w:val="nil"/>
              <w:bottom w:val="single" w:sz="4" w:space="0" w:color="auto"/>
              <w:right w:val="single" w:sz="4" w:space="0" w:color="auto"/>
            </w:tcBorders>
            <w:shd w:val="clear" w:color="000000" w:fill="FFFFFF"/>
            <w:vAlign w:val="bottom"/>
            <w:hideMark/>
          </w:tcPr>
          <w:p w:rsidR="006B4ED5" w:rsidRPr="006B4ED5" w:rsidRDefault="006B4ED5" w:rsidP="007C09FE">
            <w:pPr>
              <w:rPr>
                <w:color w:val="000000"/>
                <w:sz w:val="20"/>
                <w:szCs w:val="20"/>
                <w:lang w:eastAsia="en-AU"/>
              </w:rPr>
            </w:pPr>
            <w:r w:rsidRPr="006B4ED5">
              <w:rPr>
                <w:color w:val="000000"/>
                <w:sz w:val="20"/>
                <w:szCs w:val="20"/>
                <w:lang w:eastAsia="en-AU"/>
              </w:rPr>
              <w:t xml:space="preserve"> Block Funded </w:t>
            </w:r>
          </w:p>
        </w:tc>
        <w:tc>
          <w:tcPr>
            <w:tcW w:w="690" w:type="pct"/>
            <w:tcBorders>
              <w:top w:val="nil"/>
              <w:left w:val="nil"/>
              <w:bottom w:val="single" w:sz="4" w:space="0" w:color="auto"/>
              <w:right w:val="single" w:sz="4" w:space="0" w:color="auto"/>
            </w:tcBorders>
            <w:shd w:val="clear" w:color="000000" w:fill="FFFFFF"/>
            <w:noWrap/>
            <w:vAlign w:val="bottom"/>
            <w:hideMark/>
          </w:tcPr>
          <w:p w:rsidR="006B4ED5" w:rsidRPr="006B4ED5" w:rsidRDefault="006B4ED5" w:rsidP="007C09FE">
            <w:pPr>
              <w:jc w:val="right"/>
              <w:rPr>
                <w:color w:val="000000"/>
                <w:sz w:val="20"/>
                <w:szCs w:val="20"/>
                <w:lang w:eastAsia="en-AU"/>
              </w:rPr>
            </w:pPr>
            <w:r w:rsidRPr="006B4ED5">
              <w:rPr>
                <w:color w:val="000000"/>
                <w:sz w:val="20"/>
                <w:szCs w:val="20"/>
                <w:lang w:eastAsia="en-AU"/>
              </w:rPr>
              <w:t> </w:t>
            </w:r>
          </w:p>
        </w:tc>
        <w:tc>
          <w:tcPr>
            <w:tcW w:w="647" w:type="pct"/>
            <w:tcBorders>
              <w:top w:val="nil"/>
              <w:left w:val="nil"/>
              <w:bottom w:val="single" w:sz="4" w:space="0" w:color="auto"/>
              <w:right w:val="single" w:sz="4" w:space="0" w:color="auto"/>
            </w:tcBorders>
            <w:shd w:val="clear" w:color="auto" w:fill="auto"/>
            <w:vAlign w:val="bottom"/>
            <w:hideMark/>
          </w:tcPr>
          <w:p w:rsidR="006B4ED5" w:rsidRPr="006B4ED5" w:rsidRDefault="006B4ED5" w:rsidP="007C09FE">
            <w:pPr>
              <w:jc w:val="right"/>
              <w:rPr>
                <w:color w:val="000000"/>
                <w:sz w:val="20"/>
                <w:szCs w:val="20"/>
                <w:lang w:eastAsia="en-AU"/>
              </w:rPr>
            </w:pPr>
            <w:r w:rsidRPr="006B4ED5">
              <w:rPr>
                <w:color w:val="000000"/>
                <w:sz w:val="20"/>
                <w:szCs w:val="20"/>
                <w:lang w:eastAsia="en-AU"/>
              </w:rPr>
              <w:t xml:space="preserve">269 </w:t>
            </w:r>
          </w:p>
        </w:tc>
      </w:tr>
      <w:tr w:rsidR="006B4ED5" w:rsidRPr="006B4ED5" w:rsidTr="006B4ED5">
        <w:trPr>
          <w:trHeight w:val="300"/>
        </w:trPr>
        <w:tc>
          <w:tcPr>
            <w:tcW w:w="2819" w:type="pct"/>
            <w:tcBorders>
              <w:top w:val="nil"/>
              <w:left w:val="single" w:sz="4" w:space="0" w:color="auto"/>
              <w:bottom w:val="single" w:sz="4" w:space="0" w:color="auto"/>
              <w:right w:val="single" w:sz="4" w:space="0" w:color="auto"/>
            </w:tcBorders>
            <w:shd w:val="clear" w:color="000000" w:fill="FFFFFF"/>
            <w:noWrap/>
            <w:vAlign w:val="bottom"/>
            <w:hideMark/>
          </w:tcPr>
          <w:p w:rsidR="006B4ED5" w:rsidRPr="006B4ED5" w:rsidRDefault="006B4ED5" w:rsidP="007C09FE">
            <w:pPr>
              <w:ind w:firstLineChars="200" w:firstLine="400"/>
              <w:rPr>
                <w:color w:val="000000"/>
                <w:sz w:val="20"/>
                <w:szCs w:val="20"/>
                <w:lang w:eastAsia="en-AU"/>
              </w:rPr>
            </w:pPr>
            <w:r w:rsidRPr="006B4ED5">
              <w:rPr>
                <w:color w:val="000000"/>
                <w:sz w:val="20"/>
                <w:szCs w:val="20"/>
                <w:lang w:eastAsia="en-AU"/>
              </w:rPr>
              <w:t>Organ Donor</w:t>
            </w:r>
          </w:p>
        </w:tc>
        <w:tc>
          <w:tcPr>
            <w:tcW w:w="844" w:type="pct"/>
            <w:tcBorders>
              <w:top w:val="nil"/>
              <w:left w:val="nil"/>
              <w:bottom w:val="single" w:sz="4" w:space="0" w:color="auto"/>
              <w:right w:val="single" w:sz="4" w:space="0" w:color="auto"/>
            </w:tcBorders>
            <w:shd w:val="clear" w:color="000000" w:fill="FFFFFF"/>
            <w:vAlign w:val="bottom"/>
            <w:hideMark/>
          </w:tcPr>
          <w:p w:rsidR="006B4ED5" w:rsidRPr="006B4ED5" w:rsidRDefault="006B4ED5" w:rsidP="007C09FE">
            <w:pPr>
              <w:rPr>
                <w:color w:val="000000"/>
                <w:sz w:val="20"/>
                <w:szCs w:val="20"/>
                <w:lang w:eastAsia="en-AU"/>
              </w:rPr>
            </w:pPr>
            <w:r w:rsidRPr="006B4ED5">
              <w:rPr>
                <w:color w:val="000000"/>
                <w:sz w:val="20"/>
                <w:szCs w:val="20"/>
                <w:lang w:eastAsia="en-AU"/>
              </w:rPr>
              <w:t xml:space="preserve"> Block Funded </w:t>
            </w:r>
          </w:p>
        </w:tc>
        <w:tc>
          <w:tcPr>
            <w:tcW w:w="690" w:type="pct"/>
            <w:tcBorders>
              <w:top w:val="nil"/>
              <w:left w:val="nil"/>
              <w:bottom w:val="single" w:sz="4" w:space="0" w:color="auto"/>
              <w:right w:val="single" w:sz="4" w:space="0" w:color="auto"/>
            </w:tcBorders>
            <w:shd w:val="clear" w:color="000000" w:fill="FFFFFF"/>
            <w:vAlign w:val="bottom"/>
            <w:hideMark/>
          </w:tcPr>
          <w:p w:rsidR="006B4ED5" w:rsidRPr="006B4ED5" w:rsidRDefault="006B4ED5" w:rsidP="007C09FE">
            <w:pPr>
              <w:jc w:val="right"/>
              <w:rPr>
                <w:color w:val="000000"/>
                <w:sz w:val="20"/>
                <w:szCs w:val="20"/>
                <w:lang w:eastAsia="en-AU"/>
              </w:rPr>
            </w:pPr>
            <w:r w:rsidRPr="006B4ED5">
              <w:rPr>
                <w:color w:val="000000"/>
                <w:sz w:val="20"/>
                <w:szCs w:val="20"/>
                <w:lang w:eastAsia="en-AU"/>
              </w:rPr>
              <w:t> </w:t>
            </w:r>
          </w:p>
        </w:tc>
        <w:tc>
          <w:tcPr>
            <w:tcW w:w="647" w:type="pct"/>
            <w:tcBorders>
              <w:top w:val="nil"/>
              <w:left w:val="nil"/>
              <w:bottom w:val="single" w:sz="4" w:space="0" w:color="auto"/>
              <w:right w:val="single" w:sz="4" w:space="0" w:color="auto"/>
            </w:tcBorders>
            <w:shd w:val="clear" w:color="auto" w:fill="auto"/>
            <w:vAlign w:val="bottom"/>
            <w:hideMark/>
          </w:tcPr>
          <w:p w:rsidR="006B4ED5" w:rsidRPr="006B4ED5" w:rsidRDefault="006B4ED5" w:rsidP="007C09FE">
            <w:pPr>
              <w:jc w:val="right"/>
              <w:rPr>
                <w:color w:val="000000"/>
                <w:sz w:val="20"/>
                <w:szCs w:val="20"/>
                <w:lang w:eastAsia="en-AU"/>
              </w:rPr>
            </w:pPr>
            <w:r w:rsidRPr="006B4ED5">
              <w:rPr>
                <w:color w:val="000000"/>
                <w:sz w:val="20"/>
                <w:szCs w:val="20"/>
                <w:lang w:eastAsia="en-AU"/>
              </w:rPr>
              <w:t xml:space="preserve">146 </w:t>
            </w:r>
          </w:p>
        </w:tc>
      </w:tr>
      <w:tr w:rsidR="006B4ED5" w:rsidRPr="006B4ED5" w:rsidTr="006B4ED5">
        <w:trPr>
          <w:trHeight w:val="300"/>
        </w:trPr>
        <w:tc>
          <w:tcPr>
            <w:tcW w:w="2819" w:type="pct"/>
            <w:tcBorders>
              <w:top w:val="nil"/>
              <w:left w:val="single" w:sz="4" w:space="0" w:color="auto"/>
              <w:bottom w:val="single" w:sz="4" w:space="0" w:color="auto"/>
              <w:right w:val="single" w:sz="4" w:space="0" w:color="auto"/>
            </w:tcBorders>
            <w:shd w:val="clear" w:color="000000" w:fill="FFFFFF"/>
            <w:noWrap/>
            <w:vAlign w:val="bottom"/>
            <w:hideMark/>
          </w:tcPr>
          <w:p w:rsidR="006B4ED5" w:rsidRPr="006B4ED5" w:rsidRDefault="006B4ED5" w:rsidP="007C09FE">
            <w:pPr>
              <w:ind w:firstLineChars="200" w:firstLine="400"/>
              <w:rPr>
                <w:color w:val="000000"/>
                <w:sz w:val="20"/>
                <w:szCs w:val="20"/>
                <w:lang w:eastAsia="en-AU"/>
              </w:rPr>
            </w:pPr>
            <w:r w:rsidRPr="006B4ED5">
              <w:rPr>
                <w:color w:val="000000"/>
                <w:sz w:val="20"/>
                <w:szCs w:val="20"/>
                <w:lang w:eastAsia="en-AU"/>
              </w:rPr>
              <w:t>Boarders</w:t>
            </w:r>
          </w:p>
        </w:tc>
        <w:tc>
          <w:tcPr>
            <w:tcW w:w="844" w:type="pct"/>
            <w:tcBorders>
              <w:top w:val="nil"/>
              <w:left w:val="nil"/>
              <w:bottom w:val="single" w:sz="4" w:space="0" w:color="auto"/>
              <w:right w:val="single" w:sz="4" w:space="0" w:color="auto"/>
            </w:tcBorders>
            <w:shd w:val="clear" w:color="000000" w:fill="FFFFFF"/>
            <w:vAlign w:val="bottom"/>
            <w:hideMark/>
          </w:tcPr>
          <w:p w:rsidR="006B4ED5" w:rsidRPr="006B4ED5" w:rsidRDefault="006B4ED5" w:rsidP="007C09FE">
            <w:pPr>
              <w:rPr>
                <w:color w:val="000000"/>
                <w:sz w:val="20"/>
                <w:szCs w:val="20"/>
                <w:lang w:eastAsia="en-AU"/>
              </w:rPr>
            </w:pPr>
            <w:r w:rsidRPr="006B4ED5">
              <w:rPr>
                <w:color w:val="000000"/>
                <w:sz w:val="20"/>
                <w:szCs w:val="20"/>
                <w:lang w:eastAsia="en-AU"/>
              </w:rPr>
              <w:t xml:space="preserve"> Block Funded </w:t>
            </w:r>
          </w:p>
        </w:tc>
        <w:tc>
          <w:tcPr>
            <w:tcW w:w="690" w:type="pct"/>
            <w:tcBorders>
              <w:top w:val="nil"/>
              <w:left w:val="nil"/>
              <w:bottom w:val="single" w:sz="4" w:space="0" w:color="auto"/>
              <w:right w:val="single" w:sz="4" w:space="0" w:color="auto"/>
            </w:tcBorders>
            <w:shd w:val="clear" w:color="000000" w:fill="FFFFFF"/>
            <w:vAlign w:val="bottom"/>
            <w:hideMark/>
          </w:tcPr>
          <w:p w:rsidR="006B4ED5" w:rsidRPr="006B4ED5" w:rsidRDefault="006B4ED5" w:rsidP="007C09FE">
            <w:pPr>
              <w:jc w:val="right"/>
              <w:rPr>
                <w:color w:val="000000"/>
                <w:sz w:val="20"/>
                <w:szCs w:val="20"/>
                <w:lang w:eastAsia="en-AU"/>
              </w:rPr>
            </w:pPr>
            <w:r w:rsidRPr="006B4ED5">
              <w:rPr>
                <w:color w:val="000000"/>
                <w:sz w:val="20"/>
                <w:szCs w:val="20"/>
                <w:lang w:eastAsia="en-AU"/>
              </w:rPr>
              <w:t> </w:t>
            </w:r>
          </w:p>
        </w:tc>
        <w:tc>
          <w:tcPr>
            <w:tcW w:w="647" w:type="pct"/>
            <w:tcBorders>
              <w:top w:val="nil"/>
              <w:left w:val="nil"/>
              <w:bottom w:val="single" w:sz="4" w:space="0" w:color="auto"/>
              <w:right w:val="single" w:sz="4" w:space="0" w:color="auto"/>
            </w:tcBorders>
            <w:shd w:val="clear" w:color="auto" w:fill="auto"/>
            <w:vAlign w:val="bottom"/>
            <w:hideMark/>
          </w:tcPr>
          <w:p w:rsidR="006B4ED5" w:rsidRPr="006B4ED5" w:rsidRDefault="006B4ED5" w:rsidP="007C09FE">
            <w:pPr>
              <w:jc w:val="right"/>
              <w:rPr>
                <w:color w:val="000000"/>
                <w:sz w:val="20"/>
                <w:szCs w:val="20"/>
                <w:lang w:eastAsia="en-AU"/>
              </w:rPr>
            </w:pPr>
            <w:r w:rsidRPr="006B4ED5">
              <w:rPr>
                <w:color w:val="000000"/>
                <w:sz w:val="20"/>
                <w:szCs w:val="20"/>
                <w:lang w:eastAsia="en-AU"/>
              </w:rPr>
              <w:t xml:space="preserve">216 </w:t>
            </w:r>
          </w:p>
        </w:tc>
      </w:tr>
      <w:tr w:rsidR="006B4ED5" w:rsidRPr="006B4ED5" w:rsidTr="006B4ED5">
        <w:trPr>
          <w:trHeight w:val="300"/>
        </w:trPr>
        <w:tc>
          <w:tcPr>
            <w:tcW w:w="2819" w:type="pct"/>
            <w:tcBorders>
              <w:top w:val="nil"/>
              <w:left w:val="single" w:sz="4" w:space="0" w:color="auto"/>
              <w:bottom w:val="single" w:sz="4" w:space="0" w:color="auto"/>
              <w:right w:val="single" w:sz="4" w:space="0" w:color="auto"/>
            </w:tcBorders>
            <w:shd w:val="clear" w:color="000000" w:fill="FFFFFF"/>
            <w:vAlign w:val="bottom"/>
            <w:hideMark/>
          </w:tcPr>
          <w:p w:rsidR="006B4ED5" w:rsidRPr="006B4ED5" w:rsidRDefault="006B4ED5" w:rsidP="007C09FE">
            <w:pPr>
              <w:ind w:firstLineChars="200" w:firstLine="400"/>
              <w:rPr>
                <w:color w:val="000000"/>
                <w:sz w:val="20"/>
                <w:szCs w:val="20"/>
                <w:lang w:eastAsia="en-AU"/>
              </w:rPr>
            </w:pPr>
            <w:r w:rsidRPr="006B4ED5">
              <w:rPr>
                <w:color w:val="000000"/>
                <w:sz w:val="20"/>
                <w:szCs w:val="20"/>
                <w:lang w:eastAsia="en-AU"/>
              </w:rPr>
              <w:t xml:space="preserve">Non-activity Based Services </w:t>
            </w:r>
            <w:r w:rsidRPr="006B4ED5">
              <w:rPr>
                <w:color w:val="000000"/>
                <w:sz w:val="20"/>
                <w:szCs w:val="20"/>
                <w:vertAlign w:val="superscript"/>
                <w:lang w:eastAsia="en-AU"/>
              </w:rPr>
              <w:t>2</w:t>
            </w:r>
          </w:p>
        </w:tc>
        <w:tc>
          <w:tcPr>
            <w:tcW w:w="844" w:type="pct"/>
            <w:tcBorders>
              <w:top w:val="nil"/>
              <w:left w:val="nil"/>
              <w:bottom w:val="single" w:sz="4" w:space="0" w:color="auto"/>
              <w:right w:val="single" w:sz="4" w:space="0" w:color="auto"/>
            </w:tcBorders>
            <w:shd w:val="clear" w:color="000000" w:fill="FFFFFF"/>
            <w:vAlign w:val="bottom"/>
            <w:hideMark/>
          </w:tcPr>
          <w:p w:rsidR="006B4ED5" w:rsidRPr="006B4ED5" w:rsidRDefault="006B4ED5" w:rsidP="007C09FE">
            <w:pPr>
              <w:rPr>
                <w:color w:val="000000"/>
                <w:sz w:val="20"/>
                <w:szCs w:val="20"/>
                <w:lang w:eastAsia="en-AU"/>
              </w:rPr>
            </w:pPr>
            <w:r w:rsidRPr="006B4ED5">
              <w:rPr>
                <w:color w:val="000000"/>
                <w:sz w:val="20"/>
                <w:szCs w:val="20"/>
                <w:lang w:eastAsia="en-AU"/>
              </w:rPr>
              <w:t xml:space="preserve"> Block Funded </w:t>
            </w:r>
          </w:p>
        </w:tc>
        <w:tc>
          <w:tcPr>
            <w:tcW w:w="690" w:type="pct"/>
            <w:tcBorders>
              <w:top w:val="nil"/>
              <w:left w:val="nil"/>
              <w:bottom w:val="single" w:sz="4" w:space="0" w:color="auto"/>
              <w:right w:val="single" w:sz="4" w:space="0" w:color="auto"/>
            </w:tcBorders>
            <w:shd w:val="clear" w:color="000000" w:fill="FFFFFF"/>
            <w:vAlign w:val="bottom"/>
            <w:hideMark/>
          </w:tcPr>
          <w:p w:rsidR="006B4ED5" w:rsidRPr="006B4ED5" w:rsidRDefault="006B4ED5" w:rsidP="007C09FE">
            <w:pPr>
              <w:jc w:val="right"/>
              <w:rPr>
                <w:color w:val="000000"/>
                <w:sz w:val="20"/>
                <w:szCs w:val="20"/>
                <w:lang w:eastAsia="en-AU"/>
              </w:rPr>
            </w:pPr>
            <w:r w:rsidRPr="006B4ED5">
              <w:rPr>
                <w:color w:val="000000"/>
                <w:sz w:val="20"/>
                <w:szCs w:val="20"/>
                <w:lang w:eastAsia="en-AU"/>
              </w:rPr>
              <w:t> </w:t>
            </w:r>
          </w:p>
        </w:tc>
        <w:tc>
          <w:tcPr>
            <w:tcW w:w="647" w:type="pct"/>
            <w:tcBorders>
              <w:top w:val="nil"/>
              <w:left w:val="nil"/>
              <w:bottom w:val="single" w:sz="4" w:space="0" w:color="auto"/>
              <w:right w:val="single" w:sz="4" w:space="0" w:color="auto"/>
            </w:tcBorders>
            <w:shd w:val="clear" w:color="auto" w:fill="auto"/>
            <w:vAlign w:val="bottom"/>
            <w:hideMark/>
          </w:tcPr>
          <w:p w:rsidR="006B4ED5" w:rsidRPr="006B4ED5" w:rsidRDefault="006B4ED5" w:rsidP="007C09FE">
            <w:pPr>
              <w:jc w:val="right"/>
              <w:rPr>
                <w:color w:val="000000"/>
                <w:sz w:val="20"/>
                <w:szCs w:val="20"/>
                <w:lang w:eastAsia="en-AU"/>
              </w:rPr>
            </w:pPr>
            <w:r w:rsidRPr="006B4ED5">
              <w:rPr>
                <w:color w:val="000000"/>
                <w:sz w:val="20"/>
                <w:szCs w:val="20"/>
                <w:lang w:eastAsia="en-AU"/>
              </w:rPr>
              <w:t xml:space="preserve">49,794 </w:t>
            </w:r>
          </w:p>
        </w:tc>
      </w:tr>
      <w:tr w:rsidR="006B4ED5" w:rsidRPr="006B4ED5" w:rsidTr="006B4ED5">
        <w:trPr>
          <w:trHeight w:val="300"/>
        </w:trPr>
        <w:tc>
          <w:tcPr>
            <w:tcW w:w="2819" w:type="pct"/>
            <w:tcBorders>
              <w:top w:val="nil"/>
              <w:left w:val="single" w:sz="4" w:space="0" w:color="auto"/>
              <w:bottom w:val="single" w:sz="4" w:space="0" w:color="auto"/>
              <w:right w:val="single" w:sz="4" w:space="0" w:color="auto"/>
            </w:tcBorders>
            <w:shd w:val="clear" w:color="000000" w:fill="FFFFFF"/>
            <w:vAlign w:val="bottom"/>
            <w:hideMark/>
          </w:tcPr>
          <w:p w:rsidR="006B4ED5" w:rsidRPr="006B4ED5" w:rsidRDefault="006B4ED5" w:rsidP="007C09FE">
            <w:pPr>
              <w:ind w:firstLineChars="200" w:firstLine="400"/>
              <w:rPr>
                <w:color w:val="000000"/>
                <w:sz w:val="20"/>
                <w:szCs w:val="20"/>
                <w:lang w:eastAsia="en-AU"/>
              </w:rPr>
            </w:pPr>
            <w:r w:rsidRPr="006B4ED5">
              <w:rPr>
                <w:color w:val="000000"/>
                <w:sz w:val="20"/>
                <w:szCs w:val="20"/>
                <w:lang w:eastAsia="en-AU"/>
              </w:rPr>
              <w:t xml:space="preserve">Transition Grant </w:t>
            </w:r>
          </w:p>
        </w:tc>
        <w:tc>
          <w:tcPr>
            <w:tcW w:w="844" w:type="pct"/>
            <w:tcBorders>
              <w:top w:val="nil"/>
              <w:left w:val="nil"/>
              <w:bottom w:val="single" w:sz="4" w:space="0" w:color="auto"/>
              <w:right w:val="single" w:sz="4" w:space="0" w:color="auto"/>
            </w:tcBorders>
            <w:shd w:val="clear" w:color="000000" w:fill="FFFFFF"/>
            <w:vAlign w:val="bottom"/>
            <w:hideMark/>
          </w:tcPr>
          <w:p w:rsidR="006B4ED5" w:rsidRPr="006B4ED5" w:rsidRDefault="006B4ED5" w:rsidP="007C09FE">
            <w:pPr>
              <w:rPr>
                <w:color w:val="000000"/>
                <w:sz w:val="20"/>
                <w:szCs w:val="20"/>
                <w:lang w:eastAsia="en-AU"/>
              </w:rPr>
            </w:pPr>
            <w:r w:rsidRPr="006B4ED5">
              <w:rPr>
                <w:color w:val="000000"/>
                <w:sz w:val="20"/>
                <w:szCs w:val="20"/>
                <w:lang w:eastAsia="en-AU"/>
              </w:rPr>
              <w:t xml:space="preserve"> Block Funded </w:t>
            </w:r>
          </w:p>
        </w:tc>
        <w:tc>
          <w:tcPr>
            <w:tcW w:w="690" w:type="pct"/>
            <w:tcBorders>
              <w:top w:val="nil"/>
              <w:left w:val="nil"/>
              <w:bottom w:val="single" w:sz="4" w:space="0" w:color="auto"/>
              <w:right w:val="single" w:sz="4" w:space="0" w:color="auto"/>
            </w:tcBorders>
            <w:shd w:val="clear" w:color="000000" w:fill="FFFFFF"/>
            <w:vAlign w:val="bottom"/>
            <w:hideMark/>
          </w:tcPr>
          <w:p w:rsidR="006B4ED5" w:rsidRPr="006B4ED5" w:rsidRDefault="006B4ED5" w:rsidP="007C09FE">
            <w:pPr>
              <w:jc w:val="right"/>
              <w:rPr>
                <w:color w:val="000000"/>
                <w:sz w:val="20"/>
                <w:szCs w:val="20"/>
                <w:lang w:eastAsia="en-AU"/>
              </w:rPr>
            </w:pPr>
            <w:r w:rsidRPr="006B4ED5">
              <w:rPr>
                <w:color w:val="000000"/>
                <w:sz w:val="20"/>
                <w:szCs w:val="20"/>
                <w:lang w:eastAsia="en-AU"/>
              </w:rPr>
              <w:t> </w:t>
            </w:r>
          </w:p>
        </w:tc>
        <w:tc>
          <w:tcPr>
            <w:tcW w:w="647" w:type="pct"/>
            <w:tcBorders>
              <w:top w:val="nil"/>
              <w:left w:val="nil"/>
              <w:bottom w:val="single" w:sz="4" w:space="0" w:color="auto"/>
              <w:right w:val="single" w:sz="4" w:space="0" w:color="auto"/>
            </w:tcBorders>
            <w:shd w:val="clear" w:color="auto" w:fill="auto"/>
            <w:vAlign w:val="bottom"/>
            <w:hideMark/>
          </w:tcPr>
          <w:p w:rsidR="006B4ED5" w:rsidRPr="006B4ED5" w:rsidRDefault="006B4ED5" w:rsidP="007C09FE">
            <w:pPr>
              <w:jc w:val="right"/>
              <w:rPr>
                <w:color w:val="000000"/>
                <w:sz w:val="20"/>
                <w:szCs w:val="20"/>
                <w:lang w:eastAsia="en-AU"/>
              </w:rPr>
            </w:pPr>
            <w:r w:rsidRPr="006B4ED5">
              <w:rPr>
                <w:color w:val="000000"/>
                <w:sz w:val="20"/>
                <w:szCs w:val="20"/>
                <w:lang w:eastAsia="en-AU"/>
              </w:rPr>
              <w:t xml:space="preserve">37,914 </w:t>
            </w:r>
          </w:p>
        </w:tc>
      </w:tr>
      <w:tr w:rsidR="006B4ED5" w:rsidRPr="006B4ED5" w:rsidTr="006B4ED5">
        <w:trPr>
          <w:trHeight w:val="255"/>
        </w:trPr>
        <w:tc>
          <w:tcPr>
            <w:tcW w:w="2819" w:type="pct"/>
            <w:tcBorders>
              <w:top w:val="nil"/>
              <w:left w:val="single" w:sz="4" w:space="0" w:color="auto"/>
              <w:bottom w:val="single" w:sz="4" w:space="0" w:color="auto"/>
              <w:right w:val="single" w:sz="4" w:space="0" w:color="auto"/>
            </w:tcBorders>
            <w:shd w:val="clear" w:color="000000" w:fill="FFFFFF"/>
            <w:noWrap/>
            <w:vAlign w:val="bottom"/>
            <w:hideMark/>
          </w:tcPr>
          <w:p w:rsidR="006B4ED5" w:rsidRPr="006B4ED5" w:rsidRDefault="006B4ED5" w:rsidP="007C09FE">
            <w:pPr>
              <w:rPr>
                <w:b/>
                <w:bCs/>
                <w:color w:val="000000"/>
                <w:sz w:val="20"/>
                <w:szCs w:val="20"/>
                <w:lang w:eastAsia="en-AU"/>
              </w:rPr>
            </w:pPr>
            <w:r w:rsidRPr="006B4ED5">
              <w:rPr>
                <w:b/>
                <w:bCs/>
                <w:color w:val="000000"/>
                <w:sz w:val="20"/>
                <w:szCs w:val="20"/>
                <w:lang w:eastAsia="en-AU"/>
              </w:rPr>
              <w:t xml:space="preserve"> Total Block grants for Activity Based Funded Hospitals </w:t>
            </w:r>
          </w:p>
        </w:tc>
        <w:tc>
          <w:tcPr>
            <w:tcW w:w="844" w:type="pct"/>
            <w:tcBorders>
              <w:top w:val="nil"/>
              <w:left w:val="nil"/>
              <w:bottom w:val="single" w:sz="4" w:space="0" w:color="auto"/>
              <w:right w:val="single" w:sz="4" w:space="0" w:color="auto"/>
            </w:tcBorders>
            <w:shd w:val="clear" w:color="000000" w:fill="FFFFFF"/>
            <w:noWrap/>
            <w:vAlign w:val="bottom"/>
            <w:hideMark/>
          </w:tcPr>
          <w:p w:rsidR="006B4ED5" w:rsidRPr="006B4ED5" w:rsidRDefault="006B4ED5" w:rsidP="007C09FE">
            <w:pPr>
              <w:rPr>
                <w:b/>
                <w:bCs/>
                <w:color w:val="000000"/>
                <w:sz w:val="20"/>
                <w:szCs w:val="20"/>
                <w:lang w:eastAsia="en-AU"/>
              </w:rPr>
            </w:pPr>
            <w:r w:rsidRPr="006B4ED5">
              <w:rPr>
                <w:b/>
                <w:bCs/>
                <w:color w:val="000000"/>
                <w:sz w:val="20"/>
                <w:szCs w:val="20"/>
                <w:lang w:eastAsia="en-AU"/>
              </w:rPr>
              <w:t> </w:t>
            </w:r>
          </w:p>
        </w:tc>
        <w:tc>
          <w:tcPr>
            <w:tcW w:w="690" w:type="pct"/>
            <w:tcBorders>
              <w:top w:val="nil"/>
              <w:left w:val="nil"/>
              <w:bottom w:val="single" w:sz="4" w:space="0" w:color="auto"/>
              <w:right w:val="single" w:sz="4" w:space="0" w:color="auto"/>
            </w:tcBorders>
            <w:shd w:val="clear" w:color="000000" w:fill="FFFFFF"/>
            <w:noWrap/>
            <w:vAlign w:val="bottom"/>
            <w:hideMark/>
          </w:tcPr>
          <w:p w:rsidR="006B4ED5" w:rsidRPr="006B4ED5" w:rsidRDefault="006B4ED5" w:rsidP="007C09FE">
            <w:pPr>
              <w:jc w:val="right"/>
              <w:rPr>
                <w:b/>
                <w:bCs/>
                <w:color w:val="000000"/>
                <w:sz w:val="20"/>
                <w:szCs w:val="20"/>
                <w:lang w:eastAsia="en-AU"/>
              </w:rPr>
            </w:pPr>
            <w:r w:rsidRPr="006B4ED5">
              <w:rPr>
                <w:b/>
                <w:bCs/>
                <w:color w:val="000000"/>
                <w:sz w:val="20"/>
                <w:szCs w:val="20"/>
                <w:lang w:eastAsia="en-AU"/>
              </w:rPr>
              <w:t> </w:t>
            </w:r>
          </w:p>
        </w:tc>
        <w:tc>
          <w:tcPr>
            <w:tcW w:w="647" w:type="pct"/>
            <w:tcBorders>
              <w:top w:val="nil"/>
              <w:left w:val="nil"/>
              <w:bottom w:val="single" w:sz="4" w:space="0" w:color="auto"/>
              <w:right w:val="single" w:sz="4" w:space="0" w:color="auto"/>
            </w:tcBorders>
            <w:shd w:val="clear" w:color="auto" w:fill="auto"/>
            <w:noWrap/>
            <w:vAlign w:val="bottom"/>
            <w:hideMark/>
          </w:tcPr>
          <w:p w:rsidR="006B4ED5" w:rsidRPr="006B4ED5" w:rsidRDefault="006B4ED5" w:rsidP="007C09FE">
            <w:pPr>
              <w:jc w:val="right"/>
              <w:rPr>
                <w:b/>
                <w:bCs/>
                <w:color w:val="000000"/>
                <w:sz w:val="20"/>
                <w:szCs w:val="20"/>
                <w:lang w:eastAsia="en-AU"/>
              </w:rPr>
            </w:pPr>
            <w:r w:rsidRPr="006B4ED5">
              <w:rPr>
                <w:b/>
                <w:bCs/>
                <w:color w:val="000000"/>
                <w:sz w:val="20"/>
                <w:szCs w:val="20"/>
                <w:lang w:eastAsia="en-AU"/>
              </w:rPr>
              <w:t>175,689</w:t>
            </w:r>
          </w:p>
        </w:tc>
      </w:tr>
      <w:tr w:rsidR="006B4ED5" w:rsidRPr="006B4ED5" w:rsidTr="006B4ED5">
        <w:trPr>
          <w:trHeight w:val="495"/>
        </w:trPr>
        <w:tc>
          <w:tcPr>
            <w:tcW w:w="2819" w:type="pct"/>
            <w:tcBorders>
              <w:top w:val="nil"/>
              <w:left w:val="single" w:sz="4" w:space="0" w:color="auto"/>
              <w:bottom w:val="single" w:sz="4" w:space="0" w:color="auto"/>
              <w:right w:val="single" w:sz="4" w:space="0" w:color="auto"/>
            </w:tcBorders>
            <w:shd w:val="clear" w:color="000000" w:fill="FFFFFF"/>
            <w:vAlign w:val="bottom"/>
            <w:hideMark/>
          </w:tcPr>
          <w:p w:rsidR="006B4ED5" w:rsidRPr="006B4ED5" w:rsidRDefault="006B4ED5" w:rsidP="007C09FE">
            <w:pPr>
              <w:rPr>
                <w:b/>
                <w:bCs/>
                <w:color w:val="000000"/>
                <w:sz w:val="20"/>
                <w:szCs w:val="20"/>
                <w:lang w:eastAsia="en-AU"/>
              </w:rPr>
            </w:pPr>
            <w:r w:rsidRPr="006B4ED5">
              <w:rPr>
                <w:b/>
                <w:bCs/>
                <w:color w:val="000000"/>
                <w:sz w:val="20"/>
                <w:szCs w:val="20"/>
                <w:lang w:eastAsia="en-AU"/>
              </w:rPr>
              <w:t xml:space="preserve"> THS Operational Grants </w:t>
            </w:r>
          </w:p>
        </w:tc>
        <w:tc>
          <w:tcPr>
            <w:tcW w:w="844" w:type="pct"/>
            <w:tcBorders>
              <w:top w:val="nil"/>
              <w:left w:val="nil"/>
              <w:bottom w:val="single" w:sz="4" w:space="0" w:color="auto"/>
              <w:right w:val="single" w:sz="4" w:space="0" w:color="auto"/>
            </w:tcBorders>
            <w:shd w:val="clear" w:color="000000" w:fill="FFFFFF"/>
            <w:vAlign w:val="bottom"/>
            <w:hideMark/>
          </w:tcPr>
          <w:p w:rsidR="006B4ED5" w:rsidRPr="006B4ED5" w:rsidRDefault="006B4ED5" w:rsidP="007C09FE">
            <w:pPr>
              <w:rPr>
                <w:color w:val="000000"/>
                <w:sz w:val="20"/>
                <w:szCs w:val="20"/>
                <w:lang w:eastAsia="en-AU"/>
              </w:rPr>
            </w:pPr>
            <w:r w:rsidRPr="006B4ED5">
              <w:rPr>
                <w:color w:val="000000"/>
                <w:sz w:val="20"/>
                <w:szCs w:val="20"/>
                <w:lang w:eastAsia="en-AU"/>
              </w:rPr>
              <w:t> </w:t>
            </w:r>
          </w:p>
        </w:tc>
        <w:tc>
          <w:tcPr>
            <w:tcW w:w="690" w:type="pct"/>
            <w:tcBorders>
              <w:top w:val="nil"/>
              <w:left w:val="nil"/>
              <w:bottom w:val="single" w:sz="4" w:space="0" w:color="auto"/>
              <w:right w:val="single" w:sz="4" w:space="0" w:color="auto"/>
            </w:tcBorders>
            <w:shd w:val="clear" w:color="000000" w:fill="FFFFFF"/>
            <w:vAlign w:val="bottom"/>
            <w:hideMark/>
          </w:tcPr>
          <w:p w:rsidR="006B4ED5" w:rsidRPr="006B4ED5" w:rsidRDefault="006B4ED5" w:rsidP="007C09FE">
            <w:pPr>
              <w:jc w:val="right"/>
              <w:rPr>
                <w:color w:val="000000"/>
                <w:sz w:val="20"/>
                <w:szCs w:val="20"/>
                <w:lang w:eastAsia="en-AU"/>
              </w:rPr>
            </w:pPr>
            <w:r w:rsidRPr="006B4ED5">
              <w:rPr>
                <w:color w:val="000000"/>
                <w:sz w:val="20"/>
                <w:szCs w:val="20"/>
                <w:lang w:eastAsia="en-AU"/>
              </w:rPr>
              <w:t> </w:t>
            </w:r>
          </w:p>
        </w:tc>
        <w:tc>
          <w:tcPr>
            <w:tcW w:w="647" w:type="pct"/>
            <w:tcBorders>
              <w:top w:val="nil"/>
              <w:left w:val="nil"/>
              <w:bottom w:val="single" w:sz="4" w:space="0" w:color="auto"/>
              <w:right w:val="single" w:sz="4" w:space="0" w:color="auto"/>
            </w:tcBorders>
            <w:shd w:val="clear" w:color="auto" w:fill="auto"/>
            <w:vAlign w:val="bottom"/>
            <w:hideMark/>
          </w:tcPr>
          <w:p w:rsidR="006B4ED5" w:rsidRPr="006B4ED5" w:rsidRDefault="006B4ED5" w:rsidP="007C09FE">
            <w:pPr>
              <w:jc w:val="right"/>
              <w:rPr>
                <w:color w:val="000000"/>
                <w:sz w:val="20"/>
                <w:szCs w:val="20"/>
                <w:lang w:eastAsia="en-AU"/>
              </w:rPr>
            </w:pPr>
            <w:r w:rsidRPr="006B4ED5">
              <w:rPr>
                <w:color w:val="000000"/>
                <w:sz w:val="20"/>
                <w:szCs w:val="20"/>
                <w:lang w:eastAsia="en-AU"/>
              </w:rPr>
              <w:t> </w:t>
            </w:r>
          </w:p>
        </w:tc>
      </w:tr>
      <w:tr w:rsidR="006B4ED5" w:rsidRPr="006B4ED5" w:rsidTr="006B4ED5">
        <w:trPr>
          <w:trHeight w:val="300"/>
        </w:trPr>
        <w:tc>
          <w:tcPr>
            <w:tcW w:w="2819" w:type="pct"/>
            <w:tcBorders>
              <w:top w:val="nil"/>
              <w:left w:val="single" w:sz="4" w:space="0" w:color="auto"/>
              <w:bottom w:val="single" w:sz="4" w:space="0" w:color="auto"/>
              <w:right w:val="single" w:sz="4" w:space="0" w:color="auto"/>
            </w:tcBorders>
            <w:shd w:val="clear" w:color="000000" w:fill="FFFFFF"/>
            <w:vAlign w:val="bottom"/>
            <w:hideMark/>
          </w:tcPr>
          <w:p w:rsidR="006B4ED5" w:rsidRPr="006B4ED5" w:rsidRDefault="006B4ED5" w:rsidP="007C09FE">
            <w:pPr>
              <w:ind w:firstLineChars="200" w:firstLine="400"/>
              <w:rPr>
                <w:color w:val="000000"/>
                <w:sz w:val="20"/>
                <w:szCs w:val="20"/>
                <w:lang w:eastAsia="en-AU"/>
              </w:rPr>
            </w:pPr>
            <w:r w:rsidRPr="006B4ED5">
              <w:rPr>
                <w:color w:val="000000"/>
                <w:sz w:val="20"/>
                <w:szCs w:val="20"/>
                <w:lang w:eastAsia="en-AU"/>
              </w:rPr>
              <w:t>Mersey Community Hospital</w:t>
            </w:r>
          </w:p>
        </w:tc>
        <w:tc>
          <w:tcPr>
            <w:tcW w:w="844" w:type="pct"/>
            <w:tcBorders>
              <w:top w:val="nil"/>
              <w:left w:val="nil"/>
              <w:bottom w:val="single" w:sz="4" w:space="0" w:color="auto"/>
              <w:right w:val="single" w:sz="4" w:space="0" w:color="auto"/>
            </w:tcBorders>
            <w:shd w:val="clear" w:color="000000" w:fill="FFFFFF"/>
            <w:vAlign w:val="bottom"/>
            <w:hideMark/>
          </w:tcPr>
          <w:p w:rsidR="006B4ED5" w:rsidRPr="006B4ED5" w:rsidRDefault="006B4ED5" w:rsidP="007C09FE">
            <w:pPr>
              <w:rPr>
                <w:color w:val="000000"/>
                <w:sz w:val="20"/>
                <w:szCs w:val="20"/>
                <w:lang w:eastAsia="en-AU"/>
              </w:rPr>
            </w:pPr>
            <w:r w:rsidRPr="006B4ED5">
              <w:rPr>
                <w:color w:val="000000"/>
                <w:sz w:val="20"/>
                <w:szCs w:val="20"/>
                <w:lang w:eastAsia="en-AU"/>
              </w:rPr>
              <w:t xml:space="preserve"> Grant </w:t>
            </w:r>
          </w:p>
        </w:tc>
        <w:tc>
          <w:tcPr>
            <w:tcW w:w="690" w:type="pct"/>
            <w:tcBorders>
              <w:top w:val="nil"/>
              <w:left w:val="nil"/>
              <w:bottom w:val="single" w:sz="4" w:space="0" w:color="auto"/>
              <w:right w:val="single" w:sz="4" w:space="0" w:color="auto"/>
            </w:tcBorders>
            <w:shd w:val="clear" w:color="000000" w:fill="FFFFFF"/>
            <w:noWrap/>
            <w:vAlign w:val="bottom"/>
            <w:hideMark/>
          </w:tcPr>
          <w:p w:rsidR="006B4ED5" w:rsidRPr="006B4ED5" w:rsidRDefault="006B4ED5" w:rsidP="007C09FE">
            <w:pPr>
              <w:jc w:val="right"/>
              <w:rPr>
                <w:color w:val="000000"/>
                <w:sz w:val="20"/>
                <w:szCs w:val="20"/>
                <w:lang w:eastAsia="en-AU"/>
              </w:rPr>
            </w:pPr>
            <w:r w:rsidRPr="006B4ED5">
              <w:rPr>
                <w:color w:val="000000"/>
                <w:sz w:val="20"/>
                <w:szCs w:val="20"/>
                <w:lang w:eastAsia="en-AU"/>
              </w:rPr>
              <w:t> </w:t>
            </w:r>
          </w:p>
        </w:tc>
        <w:tc>
          <w:tcPr>
            <w:tcW w:w="647" w:type="pct"/>
            <w:tcBorders>
              <w:top w:val="nil"/>
              <w:left w:val="nil"/>
              <w:bottom w:val="single" w:sz="4" w:space="0" w:color="auto"/>
              <w:right w:val="single" w:sz="4" w:space="0" w:color="auto"/>
            </w:tcBorders>
            <w:shd w:val="clear" w:color="auto" w:fill="auto"/>
            <w:vAlign w:val="bottom"/>
            <w:hideMark/>
          </w:tcPr>
          <w:p w:rsidR="006B4ED5" w:rsidRPr="006B4ED5" w:rsidRDefault="006B4ED5" w:rsidP="007C09FE">
            <w:pPr>
              <w:jc w:val="right"/>
              <w:rPr>
                <w:color w:val="000000"/>
                <w:sz w:val="20"/>
                <w:szCs w:val="20"/>
                <w:lang w:eastAsia="en-AU"/>
              </w:rPr>
            </w:pPr>
            <w:r w:rsidRPr="006B4ED5">
              <w:rPr>
                <w:color w:val="000000"/>
                <w:sz w:val="20"/>
                <w:szCs w:val="20"/>
                <w:lang w:eastAsia="en-AU"/>
              </w:rPr>
              <w:t xml:space="preserve">78,140 </w:t>
            </w:r>
          </w:p>
        </w:tc>
      </w:tr>
      <w:tr w:rsidR="006B4ED5" w:rsidRPr="006B4ED5" w:rsidTr="006B4ED5">
        <w:trPr>
          <w:trHeight w:val="300"/>
        </w:trPr>
        <w:tc>
          <w:tcPr>
            <w:tcW w:w="2819" w:type="pct"/>
            <w:tcBorders>
              <w:top w:val="nil"/>
              <w:left w:val="single" w:sz="4" w:space="0" w:color="auto"/>
              <w:bottom w:val="single" w:sz="4" w:space="0" w:color="auto"/>
              <w:right w:val="single" w:sz="4" w:space="0" w:color="auto"/>
            </w:tcBorders>
            <w:shd w:val="clear" w:color="000000" w:fill="FFFFFF"/>
            <w:vAlign w:val="bottom"/>
            <w:hideMark/>
          </w:tcPr>
          <w:p w:rsidR="006B4ED5" w:rsidRPr="006B4ED5" w:rsidRDefault="006B4ED5" w:rsidP="007C09FE">
            <w:pPr>
              <w:ind w:firstLineChars="200" w:firstLine="400"/>
              <w:rPr>
                <w:color w:val="000000"/>
                <w:sz w:val="20"/>
                <w:szCs w:val="20"/>
                <w:lang w:eastAsia="en-AU"/>
              </w:rPr>
            </w:pPr>
            <w:r w:rsidRPr="006B4ED5">
              <w:rPr>
                <w:color w:val="000000"/>
                <w:sz w:val="20"/>
                <w:szCs w:val="20"/>
                <w:lang w:eastAsia="en-AU"/>
              </w:rPr>
              <w:t xml:space="preserve">Primary Health </w:t>
            </w:r>
          </w:p>
        </w:tc>
        <w:tc>
          <w:tcPr>
            <w:tcW w:w="844" w:type="pct"/>
            <w:tcBorders>
              <w:top w:val="nil"/>
              <w:left w:val="nil"/>
              <w:bottom w:val="single" w:sz="4" w:space="0" w:color="auto"/>
              <w:right w:val="single" w:sz="4" w:space="0" w:color="auto"/>
            </w:tcBorders>
            <w:shd w:val="clear" w:color="000000" w:fill="FFFFFF"/>
            <w:vAlign w:val="bottom"/>
            <w:hideMark/>
          </w:tcPr>
          <w:p w:rsidR="006B4ED5" w:rsidRPr="006B4ED5" w:rsidRDefault="006B4ED5" w:rsidP="007C09FE">
            <w:pPr>
              <w:rPr>
                <w:color w:val="000000"/>
                <w:sz w:val="20"/>
                <w:szCs w:val="20"/>
                <w:lang w:eastAsia="en-AU"/>
              </w:rPr>
            </w:pPr>
            <w:r w:rsidRPr="006B4ED5">
              <w:rPr>
                <w:color w:val="000000"/>
                <w:sz w:val="20"/>
                <w:szCs w:val="20"/>
                <w:lang w:eastAsia="en-AU"/>
              </w:rPr>
              <w:t xml:space="preserve"> Grant </w:t>
            </w:r>
          </w:p>
        </w:tc>
        <w:tc>
          <w:tcPr>
            <w:tcW w:w="690" w:type="pct"/>
            <w:tcBorders>
              <w:top w:val="nil"/>
              <w:left w:val="nil"/>
              <w:bottom w:val="single" w:sz="4" w:space="0" w:color="auto"/>
              <w:right w:val="single" w:sz="4" w:space="0" w:color="auto"/>
            </w:tcBorders>
            <w:shd w:val="clear" w:color="000000" w:fill="FFFFFF"/>
            <w:noWrap/>
            <w:vAlign w:val="bottom"/>
            <w:hideMark/>
          </w:tcPr>
          <w:p w:rsidR="006B4ED5" w:rsidRPr="006B4ED5" w:rsidRDefault="006B4ED5" w:rsidP="007C09FE">
            <w:pPr>
              <w:jc w:val="right"/>
              <w:rPr>
                <w:color w:val="000000"/>
                <w:sz w:val="20"/>
                <w:szCs w:val="20"/>
                <w:lang w:eastAsia="en-AU"/>
              </w:rPr>
            </w:pPr>
            <w:r w:rsidRPr="006B4ED5">
              <w:rPr>
                <w:color w:val="000000"/>
                <w:sz w:val="20"/>
                <w:szCs w:val="20"/>
                <w:lang w:eastAsia="en-AU"/>
              </w:rPr>
              <w:t> </w:t>
            </w:r>
          </w:p>
        </w:tc>
        <w:tc>
          <w:tcPr>
            <w:tcW w:w="647" w:type="pct"/>
            <w:tcBorders>
              <w:top w:val="nil"/>
              <w:left w:val="nil"/>
              <w:bottom w:val="single" w:sz="4" w:space="0" w:color="auto"/>
              <w:right w:val="single" w:sz="4" w:space="0" w:color="auto"/>
            </w:tcBorders>
            <w:shd w:val="clear" w:color="auto" w:fill="auto"/>
            <w:vAlign w:val="bottom"/>
            <w:hideMark/>
          </w:tcPr>
          <w:p w:rsidR="006B4ED5" w:rsidRPr="006B4ED5" w:rsidRDefault="006B4ED5" w:rsidP="007C09FE">
            <w:pPr>
              <w:jc w:val="right"/>
              <w:rPr>
                <w:color w:val="000000"/>
                <w:sz w:val="20"/>
                <w:szCs w:val="20"/>
                <w:lang w:eastAsia="en-AU"/>
              </w:rPr>
            </w:pPr>
            <w:r w:rsidRPr="006B4ED5">
              <w:rPr>
                <w:color w:val="000000"/>
                <w:sz w:val="20"/>
                <w:szCs w:val="20"/>
                <w:lang w:eastAsia="en-AU"/>
              </w:rPr>
              <w:t xml:space="preserve">127,102 </w:t>
            </w:r>
          </w:p>
        </w:tc>
      </w:tr>
      <w:tr w:rsidR="006B4ED5" w:rsidRPr="006B4ED5" w:rsidTr="006B4ED5">
        <w:trPr>
          <w:trHeight w:val="300"/>
        </w:trPr>
        <w:tc>
          <w:tcPr>
            <w:tcW w:w="2819" w:type="pct"/>
            <w:tcBorders>
              <w:top w:val="nil"/>
              <w:left w:val="single" w:sz="4" w:space="0" w:color="auto"/>
              <w:bottom w:val="single" w:sz="4" w:space="0" w:color="auto"/>
              <w:right w:val="single" w:sz="4" w:space="0" w:color="auto"/>
            </w:tcBorders>
            <w:shd w:val="clear" w:color="000000" w:fill="FFFFFF"/>
            <w:vAlign w:val="bottom"/>
            <w:hideMark/>
          </w:tcPr>
          <w:p w:rsidR="006B4ED5" w:rsidRPr="006B4ED5" w:rsidRDefault="006B4ED5" w:rsidP="007C09FE">
            <w:pPr>
              <w:ind w:firstLineChars="200" w:firstLine="400"/>
              <w:rPr>
                <w:color w:val="000000"/>
                <w:sz w:val="20"/>
                <w:szCs w:val="20"/>
                <w:lang w:eastAsia="en-AU"/>
              </w:rPr>
            </w:pPr>
            <w:r w:rsidRPr="006B4ED5">
              <w:rPr>
                <w:color w:val="000000"/>
                <w:sz w:val="20"/>
                <w:szCs w:val="20"/>
                <w:lang w:eastAsia="en-AU"/>
              </w:rPr>
              <w:t>Mental Health (</w:t>
            </w:r>
            <w:proofErr w:type="spellStart"/>
            <w:r w:rsidRPr="006B4ED5">
              <w:rPr>
                <w:color w:val="000000"/>
                <w:sz w:val="20"/>
                <w:szCs w:val="20"/>
                <w:lang w:eastAsia="en-AU"/>
              </w:rPr>
              <w:t>Excl</w:t>
            </w:r>
            <w:proofErr w:type="spellEnd"/>
            <w:r w:rsidRPr="006B4ED5">
              <w:rPr>
                <w:color w:val="000000"/>
                <w:sz w:val="20"/>
                <w:szCs w:val="20"/>
                <w:lang w:eastAsia="en-AU"/>
              </w:rPr>
              <w:t xml:space="preserve"> Mental Health Inpatient Services) </w:t>
            </w:r>
          </w:p>
        </w:tc>
        <w:tc>
          <w:tcPr>
            <w:tcW w:w="844" w:type="pct"/>
            <w:tcBorders>
              <w:top w:val="nil"/>
              <w:left w:val="nil"/>
              <w:bottom w:val="single" w:sz="4" w:space="0" w:color="auto"/>
              <w:right w:val="single" w:sz="4" w:space="0" w:color="auto"/>
            </w:tcBorders>
            <w:shd w:val="clear" w:color="000000" w:fill="FFFFFF"/>
            <w:vAlign w:val="bottom"/>
            <w:hideMark/>
          </w:tcPr>
          <w:p w:rsidR="006B4ED5" w:rsidRPr="006B4ED5" w:rsidRDefault="006B4ED5" w:rsidP="007C09FE">
            <w:pPr>
              <w:rPr>
                <w:color w:val="000000"/>
                <w:sz w:val="20"/>
                <w:szCs w:val="20"/>
                <w:lang w:eastAsia="en-AU"/>
              </w:rPr>
            </w:pPr>
            <w:r w:rsidRPr="006B4ED5">
              <w:rPr>
                <w:color w:val="000000"/>
                <w:sz w:val="20"/>
                <w:szCs w:val="20"/>
                <w:lang w:eastAsia="en-AU"/>
              </w:rPr>
              <w:t xml:space="preserve"> Grant </w:t>
            </w:r>
          </w:p>
        </w:tc>
        <w:tc>
          <w:tcPr>
            <w:tcW w:w="690" w:type="pct"/>
            <w:tcBorders>
              <w:top w:val="nil"/>
              <w:left w:val="nil"/>
              <w:bottom w:val="single" w:sz="4" w:space="0" w:color="auto"/>
              <w:right w:val="single" w:sz="4" w:space="0" w:color="auto"/>
            </w:tcBorders>
            <w:shd w:val="clear" w:color="000000" w:fill="FFFFFF"/>
            <w:noWrap/>
            <w:vAlign w:val="bottom"/>
            <w:hideMark/>
          </w:tcPr>
          <w:p w:rsidR="006B4ED5" w:rsidRPr="006B4ED5" w:rsidRDefault="006B4ED5" w:rsidP="007C09FE">
            <w:pPr>
              <w:jc w:val="right"/>
              <w:rPr>
                <w:color w:val="000000"/>
                <w:sz w:val="20"/>
                <w:szCs w:val="20"/>
                <w:lang w:eastAsia="en-AU"/>
              </w:rPr>
            </w:pPr>
            <w:r w:rsidRPr="006B4ED5">
              <w:rPr>
                <w:color w:val="000000"/>
                <w:sz w:val="20"/>
                <w:szCs w:val="20"/>
                <w:lang w:eastAsia="en-AU"/>
              </w:rPr>
              <w:t> </w:t>
            </w:r>
          </w:p>
        </w:tc>
        <w:tc>
          <w:tcPr>
            <w:tcW w:w="647" w:type="pct"/>
            <w:tcBorders>
              <w:top w:val="nil"/>
              <w:left w:val="nil"/>
              <w:bottom w:val="single" w:sz="4" w:space="0" w:color="auto"/>
              <w:right w:val="single" w:sz="4" w:space="0" w:color="auto"/>
            </w:tcBorders>
            <w:shd w:val="clear" w:color="auto" w:fill="auto"/>
            <w:vAlign w:val="bottom"/>
            <w:hideMark/>
          </w:tcPr>
          <w:p w:rsidR="006B4ED5" w:rsidRPr="006B4ED5" w:rsidRDefault="006B4ED5" w:rsidP="007C09FE">
            <w:pPr>
              <w:jc w:val="right"/>
              <w:rPr>
                <w:color w:val="000000"/>
                <w:sz w:val="20"/>
                <w:szCs w:val="20"/>
                <w:lang w:eastAsia="en-AU"/>
              </w:rPr>
            </w:pPr>
            <w:r w:rsidRPr="006B4ED5">
              <w:rPr>
                <w:color w:val="000000"/>
                <w:sz w:val="20"/>
                <w:szCs w:val="20"/>
                <w:lang w:eastAsia="en-AU"/>
              </w:rPr>
              <w:t xml:space="preserve">68,113 </w:t>
            </w:r>
          </w:p>
        </w:tc>
      </w:tr>
      <w:tr w:rsidR="006B4ED5" w:rsidRPr="006B4ED5" w:rsidTr="006B4ED5">
        <w:trPr>
          <w:trHeight w:val="300"/>
        </w:trPr>
        <w:tc>
          <w:tcPr>
            <w:tcW w:w="2819" w:type="pct"/>
            <w:tcBorders>
              <w:top w:val="nil"/>
              <w:left w:val="single" w:sz="4" w:space="0" w:color="auto"/>
              <w:bottom w:val="single" w:sz="4" w:space="0" w:color="auto"/>
              <w:right w:val="single" w:sz="4" w:space="0" w:color="auto"/>
            </w:tcBorders>
            <w:shd w:val="clear" w:color="000000" w:fill="FFFFFF"/>
            <w:vAlign w:val="bottom"/>
            <w:hideMark/>
          </w:tcPr>
          <w:p w:rsidR="006B4ED5" w:rsidRPr="006B4ED5" w:rsidRDefault="006B4ED5" w:rsidP="007C09FE">
            <w:pPr>
              <w:ind w:firstLineChars="200" w:firstLine="400"/>
              <w:rPr>
                <w:color w:val="000000"/>
                <w:sz w:val="20"/>
                <w:szCs w:val="20"/>
                <w:lang w:eastAsia="en-AU"/>
              </w:rPr>
            </w:pPr>
            <w:r w:rsidRPr="006B4ED5">
              <w:rPr>
                <w:color w:val="000000"/>
                <w:sz w:val="20"/>
                <w:szCs w:val="20"/>
                <w:lang w:eastAsia="en-AU"/>
              </w:rPr>
              <w:t>Alcohol and Drug Services</w:t>
            </w:r>
          </w:p>
        </w:tc>
        <w:tc>
          <w:tcPr>
            <w:tcW w:w="844" w:type="pct"/>
            <w:tcBorders>
              <w:top w:val="nil"/>
              <w:left w:val="nil"/>
              <w:bottom w:val="single" w:sz="4" w:space="0" w:color="auto"/>
              <w:right w:val="single" w:sz="4" w:space="0" w:color="auto"/>
            </w:tcBorders>
            <w:shd w:val="clear" w:color="000000" w:fill="FFFFFF"/>
            <w:vAlign w:val="bottom"/>
            <w:hideMark/>
          </w:tcPr>
          <w:p w:rsidR="006B4ED5" w:rsidRPr="006B4ED5" w:rsidRDefault="006B4ED5" w:rsidP="007C09FE">
            <w:pPr>
              <w:rPr>
                <w:color w:val="000000"/>
                <w:sz w:val="20"/>
                <w:szCs w:val="20"/>
                <w:lang w:eastAsia="en-AU"/>
              </w:rPr>
            </w:pPr>
            <w:r w:rsidRPr="006B4ED5">
              <w:rPr>
                <w:color w:val="000000"/>
                <w:sz w:val="20"/>
                <w:szCs w:val="20"/>
                <w:lang w:eastAsia="en-AU"/>
              </w:rPr>
              <w:t xml:space="preserve"> Grant </w:t>
            </w:r>
          </w:p>
        </w:tc>
        <w:tc>
          <w:tcPr>
            <w:tcW w:w="690" w:type="pct"/>
            <w:tcBorders>
              <w:top w:val="nil"/>
              <w:left w:val="nil"/>
              <w:bottom w:val="single" w:sz="4" w:space="0" w:color="auto"/>
              <w:right w:val="single" w:sz="4" w:space="0" w:color="auto"/>
            </w:tcBorders>
            <w:shd w:val="clear" w:color="000000" w:fill="FFFFFF"/>
            <w:noWrap/>
            <w:vAlign w:val="bottom"/>
            <w:hideMark/>
          </w:tcPr>
          <w:p w:rsidR="006B4ED5" w:rsidRPr="006B4ED5" w:rsidRDefault="006B4ED5" w:rsidP="007C09FE">
            <w:pPr>
              <w:jc w:val="right"/>
              <w:rPr>
                <w:color w:val="000000"/>
                <w:sz w:val="20"/>
                <w:szCs w:val="20"/>
                <w:lang w:eastAsia="en-AU"/>
              </w:rPr>
            </w:pPr>
            <w:r w:rsidRPr="006B4ED5">
              <w:rPr>
                <w:color w:val="000000"/>
                <w:sz w:val="20"/>
                <w:szCs w:val="20"/>
                <w:lang w:eastAsia="en-AU"/>
              </w:rPr>
              <w:t> </w:t>
            </w:r>
          </w:p>
        </w:tc>
        <w:tc>
          <w:tcPr>
            <w:tcW w:w="647" w:type="pct"/>
            <w:tcBorders>
              <w:top w:val="nil"/>
              <w:left w:val="nil"/>
              <w:bottom w:val="single" w:sz="4" w:space="0" w:color="auto"/>
              <w:right w:val="single" w:sz="4" w:space="0" w:color="auto"/>
            </w:tcBorders>
            <w:shd w:val="clear" w:color="auto" w:fill="auto"/>
            <w:vAlign w:val="bottom"/>
            <w:hideMark/>
          </w:tcPr>
          <w:p w:rsidR="006B4ED5" w:rsidRPr="006B4ED5" w:rsidRDefault="006B4ED5" w:rsidP="007C09FE">
            <w:pPr>
              <w:jc w:val="right"/>
              <w:rPr>
                <w:color w:val="000000"/>
                <w:sz w:val="20"/>
                <w:szCs w:val="20"/>
                <w:lang w:eastAsia="en-AU"/>
              </w:rPr>
            </w:pPr>
            <w:r w:rsidRPr="006B4ED5">
              <w:rPr>
                <w:color w:val="000000"/>
                <w:sz w:val="20"/>
                <w:szCs w:val="20"/>
                <w:lang w:eastAsia="en-AU"/>
              </w:rPr>
              <w:t xml:space="preserve">15,086 </w:t>
            </w:r>
          </w:p>
        </w:tc>
      </w:tr>
      <w:tr w:rsidR="006B4ED5" w:rsidRPr="006B4ED5" w:rsidTr="006B4ED5">
        <w:trPr>
          <w:trHeight w:val="300"/>
        </w:trPr>
        <w:tc>
          <w:tcPr>
            <w:tcW w:w="2819" w:type="pct"/>
            <w:tcBorders>
              <w:top w:val="nil"/>
              <w:left w:val="single" w:sz="4" w:space="0" w:color="auto"/>
              <w:bottom w:val="single" w:sz="4" w:space="0" w:color="auto"/>
              <w:right w:val="single" w:sz="4" w:space="0" w:color="auto"/>
            </w:tcBorders>
            <w:shd w:val="clear" w:color="000000" w:fill="FFFFFF"/>
            <w:vAlign w:val="bottom"/>
            <w:hideMark/>
          </w:tcPr>
          <w:p w:rsidR="006B4ED5" w:rsidRPr="006B4ED5" w:rsidRDefault="006B4ED5" w:rsidP="007C09FE">
            <w:pPr>
              <w:ind w:firstLineChars="200" w:firstLine="400"/>
              <w:rPr>
                <w:color w:val="000000"/>
                <w:sz w:val="20"/>
                <w:szCs w:val="20"/>
                <w:lang w:eastAsia="en-AU"/>
              </w:rPr>
            </w:pPr>
            <w:r w:rsidRPr="006B4ED5">
              <w:rPr>
                <w:color w:val="000000"/>
                <w:sz w:val="20"/>
                <w:szCs w:val="20"/>
                <w:lang w:eastAsia="en-AU"/>
              </w:rPr>
              <w:t>Oral Health</w:t>
            </w:r>
          </w:p>
        </w:tc>
        <w:tc>
          <w:tcPr>
            <w:tcW w:w="844" w:type="pct"/>
            <w:tcBorders>
              <w:top w:val="nil"/>
              <w:left w:val="nil"/>
              <w:bottom w:val="single" w:sz="4" w:space="0" w:color="auto"/>
              <w:right w:val="single" w:sz="4" w:space="0" w:color="auto"/>
            </w:tcBorders>
            <w:shd w:val="clear" w:color="000000" w:fill="FFFFFF"/>
            <w:vAlign w:val="bottom"/>
            <w:hideMark/>
          </w:tcPr>
          <w:p w:rsidR="006B4ED5" w:rsidRPr="006B4ED5" w:rsidRDefault="006B4ED5" w:rsidP="007C09FE">
            <w:pPr>
              <w:rPr>
                <w:color w:val="000000"/>
                <w:sz w:val="20"/>
                <w:szCs w:val="20"/>
                <w:lang w:eastAsia="en-AU"/>
              </w:rPr>
            </w:pPr>
            <w:r w:rsidRPr="006B4ED5">
              <w:rPr>
                <w:color w:val="000000"/>
                <w:sz w:val="20"/>
                <w:szCs w:val="20"/>
                <w:lang w:eastAsia="en-AU"/>
              </w:rPr>
              <w:t xml:space="preserve"> Grant </w:t>
            </w:r>
          </w:p>
        </w:tc>
        <w:tc>
          <w:tcPr>
            <w:tcW w:w="690" w:type="pct"/>
            <w:tcBorders>
              <w:top w:val="nil"/>
              <w:left w:val="nil"/>
              <w:bottom w:val="single" w:sz="4" w:space="0" w:color="auto"/>
              <w:right w:val="single" w:sz="4" w:space="0" w:color="auto"/>
            </w:tcBorders>
            <w:shd w:val="clear" w:color="000000" w:fill="FFFFFF"/>
            <w:noWrap/>
            <w:vAlign w:val="bottom"/>
            <w:hideMark/>
          </w:tcPr>
          <w:p w:rsidR="006B4ED5" w:rsidRPr="006B4ED5" w:rsidRDefault="006B4ED5" w:rsidP="007C09FE">
            <w:pPr>
              <w:jc w:val="right"/>
              <w:rPr>
                <w:color w:val="000000"/>
                <w:sz w:val="20"/>
                <w:szCs w:val="20"/>
                <w:lang w:eastAsia="en-AU"/>
              </w:rPr>
            </w:pPr>
            <w:r w:rsidRPr="006B4ED5">
              <w:rPr>
                <w:color w:val="000000"/>
                <w:sz w:val="20"/>
                <w:szCs w:val="20"/>
                <w:lang w:eastAsia="en-AU"/>
              </w:rPr>
              <w:t> </w:t>
            </w:r>
          </w:p>
        </w:tc>
        <w:tc>
          <w:tcPr>
            <w:tcW w:w="647" w:type="pct"/>
            <w:tcBorders>
              <w:top w:val="nil"/>
              <w:left w:val="nil"/>
              <w:bottom w:val="single" w:sz="4" w:space="0" w:color="auto"/>
              <w:right w:val="single" w:sz="4" w:space="0" w:color="auto"/>
            </w:tcBorders>
            <w:shd w:val="clear" w:color="auto" w:fill="auto"/>
            <w:vAlign w:val="bottom"/>
            <w:hideMark/>
          </w:tcPr>
          <w:p w:rsidR="006B4ED5" w:rsidRPr="006B4ED5" w:rsidRDefault="006B4ED5" w:rsidP="007C09FE">
            <w:pPr>
              <w:jc w:val="right"/>
              <w:rPr>
                <w:color w:val="000000"/>
                <w:sz w:val="20"/>
                <w:szCs w:val="20"/>
                <w:lang w:eastAsia="en-AU"/>
              </w:rPr>
            </w:pPr>
            <w:r w:rsidRPr="006B4ED5">
              <w:rPr>
                <w:color w:val="000000"/>
                <w:sz w:val="20"/>
                <w:szCs w:val="20"/>
                <w:lang w:eastAsia="en-AU"/>
              </w:rPr>
              <w:t xml:space="preserve">25,739 </w:t>
            </w:r>
          </w:p>
        </w:tc>
      </w:tr>
      <w:tr w:rsidR="006B4ED5" w:rsidRPr="006B4ED5" w:rsidTr="006B4ED5">
        <w:trPr>
          <w:trHeight w:val="300"/>
        </w:trPr>
        <w:tc>
          <w:tcPr>
            <w:tcW w:w="2819" w:type="pct"/>
            <w:tcBorders>
              <w:top w:val="nil"/>
              <w:left w:val="single" w:sz="4" w:space="0" w:color="auto"/>
              <w:bottom w:val="single" w:sz="4" w:space="0" w:color="auto"/>
              <w:right w:val="single" w:sz="4" w:space="0" w:color="auto"/>
            </w:tcBorders>
            <w:shd w:val="clear" w:color="000000" w:fill="FFFFFF"/>
            <w:vAlign w:val="bottom"/>
            <w:hideMark/>
          </w:tcPr>
          <w:p w:rsidR="006B4ED5" w:rsidRPr="006B4ED5" w:rsidRDefault="006B4ED5" w:rsidP="007C09FE">
            <w:pPr>
              <w:ind w:firstLineChars="200" w:firstLine="400"/>
              <w:rPr>
                <w:color w:val="000000"/>
                <w:sz w:val="20"/>
                <w:szCs w:val="20"/>
                <w:lang w:eastAsia="en-AU"/>
              </w:rPr>
            </w:pPr>
            <w:r w:rsidRPr="006B4ED5">
              <w:rPr>
                <w:color w:val="000000"/>
                <w:sz w:val="20"/>
                <w:szCs w:val="20"/>
                <w:lang w:eastAsia="en-AU"/>
              </w:rPr>
              <w:t>Forensic Medical Service</w:t>
            </w:r>
          </w:p>
        </w:tc>
        <w:tc>
          <w:tcPr>
            <w:tcW w:w="844" w:type="pct"/>
            <w:tcBorders>
              <w:top w:val="nil"/>
              <w:left w:val="nil"/>
              <w:bottom w:val="single" w:sz="4" w:space="0" w:color="auto"/>
              <w:right w:val="single" w:sz="4" w:space="0" w:color="auto"/>
            </w:tcBorders>
            <w:shd w:val="clear" w:color="000000" w:fill="FFFFFF"/>
            <w:vAlign w:val="bottom"/>
            <w:hideMark/>
          </w:tcPr>
          <w:p w:rsidR="006B4ED5" w:rsidRPr="006B4ED5" w:rsidRDefault="006B4ED5" w:rsidP="007C09FE">
            <w:pPr>
              <w:rPr>
                <w:color w:val="000000"/>
                <w:sz w:val="20"/>
                <w:szCs w:val="20"/>
                <w:lang w:eastAsia="en-AU"/>
              </w:rPr>
            </w:pPr>
            <w:r w:rsidRPr="006B4ED5">
              <w:rPr>
                <w:color w:val="000000"/>
                <w:sz w:val="20"/>
                <w:szCs w:val="20"/>
                <w:lang w:eastAsia="en-AU"/>
              </w:rPr>
              <w:t xml:space="preserve"> Grant </w:t>
            </w:r>
          </w:p>
        </w:tc>
        <w:tc>
          <w:tcPr>
            <w:tcW w:w="690" w:type="pct"/>
            <w:tcBorders>
              <w:top w:val="nil"/>
              <w:left w:val="nil"/>
              <w:bottom w:val="single" w:sz="4" w:space="0" w:color="auto"/>
              <w:right w:val="single" w:sz="4" w:space="0" w:color="auto"/>
            </w:tcBorders>
            <w:shd w:val="clear" w:color="000000" w:fill="FFFFFF"/>
            <w:noWrap/>
            <w:vAlign w:val="bottom"/>
            <w:hideMark/>
          </w:tcPr>
          <w:p w:rsidR="006B4ED5" w:rsidRPr="006B4ED5" w:rsidRDefault="006B4ED5" w:rsidP="007C09FE">
            <w:pPr>
              <w:jc w:val="right"/>
              <w:rPr>
                <w:color w:val="000000"/>
                <w:sz w:val="20"/>
                <w:szCs w:val="20"/>
                <w:lang w:eastAsia="en-AU"/>
              </w:rPr>
            </w:pPr>
            <w:r w:rsidRPr="006B4ED5">
              <w:rPr>
                <w:color w:val="000000"/>
                <w:sz w:val="20"/>
                <w:szCs w:val="20"/>
                <w:lang w:eastAsia="en-AU"/>
              </w:rPr>
              <w:t> </w:t>
            </w:r>
          </w:p>
        </w:tc>
        <w:tc>
          <w:tcPr>
            <w:tcW w:w="647" w:type="pct"/>
            <w:tcBorders>
              <w:top w:val="nil"/>
              <w:left w:val="nil"/>
              <w:bottom w:val="single" w:sz="4" w:space="0" w:color="auto"/>
              <w:right w:val="single" w:sz="4" w:space="0" w:color="auto"/>
            </w:tcBorders>
            <w:shd w:val="clear" w:color="auto" w:fill="auto"/>
            <w:vAlign w:val="bottom"/>
            <w:hideMark/>
          </w:tcPr>
          <w:p w:rsidR="006B4ED5" w:rsidRPr="006B4ED5" w:rsidRDefault="006B4ED5" w:rsidP="007C09FE">
            <w:pPr>
              <w:jc w:val="right"/>
              <w:rPr>
                <w:color w:val="000000"/>
                <w:sz w:val="20"/>
                <w:szCs w:val="20"/>
                <w:lang w:eastAsia="en-AU"/>
              </w:rPr>
            </w:pPr>
            <w:r w:rsidRPr="006B4ED5">
              <w:rPr>
                <w:color w:val="000000"/>
                <w:sz w:val="20"/>
                <w:szCs w:val="20"/>
                <w:lang w:eastAsia="en-AU"/>
              </w:rPr>
              <w:t xml:space="preserve">  1,478 </w:t>
            </w:r>
          </w:p>
        </w:tc>
      </w:tr>
      <w:tr w:rsidR="006B4ED5" w:rsidRPr="006B4ED5" w:rsidTr="006B4ED5">
        <w:trPr>
          <w:trHeight w:val="300"/>
        </w:trPr>
        <w:tc>
          <w:tcPr>
            <w:tcW w:w="2819" w:type="pct"/>
            <w:tcBorders>
              <w:top w:val="nil"/>
              <w:left w:val="single" w:sz="4" w:space="0" w:color="auto"/>
              <w:bottom w:val="single" w:sz="4" w:space="0" w:color="auto"/>
              <w:right w:val="single" w:sz="4" w:space="0" w:color="auto"/>
            </w:tcBorders>
            <w:shd w:val="clear" w:color="000000" w:fill="FFFFFF"/>
            <w:vAlign w:val="bottom"/>
            <w:hideMark/>
          </w:tcPr>
          <w:p w:rsidR="006B4ED5" w:rsidRPr="006B4ED5" w:rsidRDefault="006B4ED5" w:rsidP="007C09FE">
            <w:pPr>
              <w:ind w:firstLineChars="200" w:firstLine="400"/>
              <w:rPr>
                <w:color w:val="000000"/>
                <w:sz w:val="20"/>
                <w:szCs w:val="20"/>
                <w:lang w:eastAsia="en-AU"/>
              </w:rPr>
            </w:pPr>
            <w:r w:rsidRPr="006B4ED5">
              <w:rPr>
                <w:color w:val="000000"/>
                <w:sz w:val="20"/>
                <w:szCs w:val="20"/>
                <w:lang w:eastAsia="en-AU"/>
              </w:rPr>
              <w:t>Cancer Screening and Control</w:t>
            </w:r>
          </w:p>
        </w:tc>
        <w:tc>
          <w:tcPr>
            <w:tcW w:w="844" w:type="pct"/>
            <w:tcBorders>
              <w:top w:val="nil"/>
              <w:left w:val="nil"/>
              <w:bottom w:val="single" w:sz="4" w:space="0" w:color="auto"/>
              <w:right w:val="single" w:sz="4" w:space="0" w:color="auto"/>
            </w:tcBorders>
            <w:shd w:val="clear" w:color="000000" w:fill="FFFFFF"/>
            <w:vAlign w:val="bottom"/>
            <w:hideMark/>
          </w:tcPr>
          <w:p w:rsidR="006B4ED5" w:rsidRPr="006B4ED5" w:rsidRDefault="006B4ED5" w:rsidP="007C09FE">
            <w:pPr>
              <w:rPr>
                <w:color w:val="000000"/>
                <w:sz w:val="20"/>
                <w:szCs w:val="20"/>
                <w:lang w:eastAsia="en-AU"/>
              </w:rPr>
            </w:pPr>
            <w:r w:rsidRPr="006B4ED5">
              <w:rPr>
                <w:color w:val="000000"/>
                <w:sz w:val="20"/>
                <w:szCs w:val="20"/>
                <w:lang w:eastAsia="en-AU"/>
              </w:rPr>
              <w:t xml:space="preserve"> Grant </w:t>
            </w:r>
          </w:p>
        </w:tc>
        <w:tc>
          <w:tcPr>
            <w:tcW w:w="690" w:type="pct"/>
            <w:tcBorders>
              <w:top w:val="nil"/>
              <w:left w:val="nil"/>
              <w:bottom w:val="single" w:sz="4" w:space="0" w:color="auto"/>
              <w:right w:val="single" w:sz="4" w:space="0" w:color="auto"/>
            </w:tcBorders>
            <w:shd w:val="clear" w:color="000000" w:fill="FFFFFF"/>
            <w:noWrap/>
            <w:vAlign w:val="bottom"/>
            <w:hideMark/>
          </w:tcPr>
          <w:p w:rsidR="006B4ED5" w:rsidRPr="006B4ED5" w:rsidRDefault="006B4ED5" w:rsidP="007C09FE">
            <w:pPr>
              <w:jc w:val="right"/>
              <w:rPr>
                <w:color w:val="000000"/>
                <w:sz w:val="20"/>
                <w:szCs w:val="20"/>
                <w:lang w:eastAsia="en-AU"/>
              </w:rPr>
            </w:pPr>
            <w:r w:rsidRPr="006B4ED5">
              <w:rPr>
                <w:color w:val="000000"/>
                <w:sz w:val="20"/>
                <w:szCs w:val="20"/>
                <w:lang w:eastAsia="en-AU"/>
              </w:rPr>
              <w:t> </w:t>
            </w:r>
          </w:p>
        </w:tc>
        <w:tc>
          <w:tcPr>
            <w:tcW w:w="647" w:type="pct"/>
            <w:tcBorders>
              <w:top w:val="nil"/>
              <w:left w:val="nil"/>
              <w:bottom w:val="single" w:sz="4" w:space="0" w:color="auto"/>
              <w:right w:val="single" w:sz="4" w:space="0" w:color="auto"/>
            </w:tcBorders>
            <w:shd w:val="clear" w:color="auto" w:fill="auto"/>
            <w:vAlign w:val="bottom"/>
            <w:hideMark/>
          </w:tcPr>
          <w:p w:rsidR="006B4ED5" w:rsidRPr="006B4ED5" w:rsidRDefault="006B4ED5" w:rsidP="007C09FE">
            <w:pPr>
              <w:jc w:val="right"/>
              <w:rPr>
                <w:color w:val="000000"/>
                <w:sz w:val="20"/>
                <w:szCs w:val="20"/>
                <w:lang w:eastAsia="en-AU"/>
              </w:rPr>
            </w:pPr>
            <w:r w:rsidRPr="006B4ED5">
              <w:rPr>
                <w:color w:val="000000"/>
                <w:sz w:val="20"/>
                <w:szCs w:val="20"/>
                <w:lang w:eastAsia="en-AU"/>
              </w:rPr>
              <w:t xml:space="preserve">  7,097 </w:t>
            </w:r>
          </w:p>
        </w:tc>
      </w:tr>
      <w:tr w:rsidR="006B4ED5" w:rsidRPr="006B4ED5" w:rsidTr="006B4ED5">
        <w:trPr>
          <w:trHeight w:val="300"/>
        </w:trPr>
        <w:tc>
          <w:tcPr>
            <w:tcW w:w="2819" w:type="pct"/>
            <w:tcBorders>
              <w:top w:val="nil"/>
              <w:left w:val="single" w:sz="4" w:space="0" w:color="auto"/>
              <w:bottom w:val="single" w:sz="4" w:space="0" w:color="auto"/>
              <w:right w:val="single" w:sz="4" w:space="0" w:color="auto"/>
            </w:tcBorders>
            <w:shd w:val="clear" w:color="000000" w:fill="FFFFFF"/>
            <w:vAlign w:val="bottom"/>
            <w:hideMark/>
          </w:tcPr>
          <w:p w:rsidR="006B4ED5" w:rsidRPr="006B4ED5" w:rsidRDefault="006B4ED5" w:rsidP="007C09FE">
            <w:pPr>
              <w:ind w:firstLineChars="200" w:firstLine="400"/>
              <w:rPr>
                <w:color w:val="000000"/>
                <w:sz w:val="20"/>
                <w:szCs w:val="20"/>
                <w:lang w:eastAsia="en-AU"/>
              </w:rPr>
            </w:pPr>
            <w:r w:rsidRPr="006B4ED5">
              <w:rPr>
                <w:color w:val="000000"/>
                <w:sz w:val="20"/>
                <w:szCs w:val="20"/>
                <w:lang w:eastAsia="en-AU"/>
              </w:rPr>
              <w:t>Organ Donation Promotion</w:t>
            </w:r>
          </w:p>
        </w:tc>
        <w:tc>
          <w:tcPr>
            <w:tcW w:w="844" w:type="pct"/>
            <w:tcBorders>
              <w:top w:val="nil"/>
              <w:left w:val="nil"/>
              <w:bottom w:val="single" w:sz="4" w:space="0" w:color="auto"/>
              <w:right w:val="single" w:sz="4" w:space="0" w:color="auto"/>
            </w:tcBorders>
            <w:shd w:val="clear" w:color="000000" w:fill="FFFFFF"/>
            <w:vAlign w:val="bottom"/>
            <w:hideMark/>
          </w:tcPr>
          <w:p w:rsidR="006B4ED5" w:rsidRPr="006B4ED5" w:rsidRDefault="006B4ED5" w:rsidP="007C09FE">
            <w:pPr>
              <w:rPr>
                <w:color w:val="000000"/>
                <w:sz w:val="20"/>
                <w:szCs w:val="20"/>
                <w:lang w:eastAsia="en-AU"/>
              </w:rPr>
            </w:pPr>
            <w:r w:rsidRPr="006B4ED5">
              <w:rPr>
                <w:color w:val="000000"/>
                <w:sz w:val="20"/>
                <w:szCs w:val="20"/>
                <w:lang w:eastAsia="en-AU"/>
              </w:rPr>
              <w:t xml:space="preserve"> Grant </w:t>
            </w:r>
          </w:p>
        </w:tc>
        <w:tc>
          <w:tcPr>
            <w:tcW w:w="690" w:type="pct"/>
            <w:tcBorders>
              <w:top w:val="nil"/>
              <w:left w:val="nil"/>
              <w:bottom w:val="single" w:sz="4" w:space="0" w:color="auto"/>
              <w:right w:val="single" w:sz="4" w:space="0" w:color="auto"/>
            </w:tcBorders>
            <w:shd w:val="clear" w:color="000000" w:fill="FFFFFF"/>
            <w:noWrap/>
            <w:vAlign w:val="bottom"/>
            <w:hideMark/>
          </w:tcPr>
          <w:p w:rsidR="006B4ED5" w:rsidRPr="006B4ED5" w:rsidRDefault="006B4ED5" w:rsidP="007C09FE">
            <w:pPr>
              <w:jc w:val="right"/>
              <w:rPr>
                <w:color w:val="000000"/>
                <w:sz w:val="20"/>
                <w:szCs w:val="20"/>
                <w:lang w:eastAsia="en-AU"/>
              </w:rPr>
            </w:pPr>
            <w:r w:rsidRPr="006B4ED5">
              <w:rPr>
                <w:color w:val="000000"/>
                <w:sz w:val="20"/>
                <w:szCs w:val="20"/>
                <w:lang w:eastAsia="en-AU"/>
              </w:rPr>
              <w:t> </w:t>
            </w:r>
          </w:p>
        </w:tc>
        <w:tc>
          <w:tcPr>
            <w:tcW w:w="647" w:type="pct"/>
            <w:tcBorders>
              <w:top w:val="nil"/>
              <w:left w:val="nil"/>
              <w:bottom w:val="single" w:sz="4" w:space="0" w:color="auto"/>
              <w:right w:val="single" w:sz="4" w:space="0" w:color="auto"/>
            </w:tcBorders>
            <w:shd w:val="clear" w:color="auto" w:fill="auto"/>
            <w:vAlign w:val="bottom"/>
            <w:hideMark/>
          </w:tcPr>
          <w:p w:rsidR="006B4ED5" w:rsidRPr="006B4ED5" w:rsidRDefault="006B4ED5" w:rsidP="007C09FE">
            <w:pPr>
              <w:jc w:val="right"/>
              <w:rPr>
                <w:color w:val="000000"/>
                <w:sz w:val="20"/>
                <w:szCs w:val="20"/>
                <w:lang w:eastAsia="en-AU"/>
              </w:rPr>
            </w:pPr>
            <w:r w:rsidRPr="006B4ED5">
              <w:rPr>
                <w:color w:val="000000"/>
                <w:sz w:val="20"/>
                <w:szCs w:val="20"/>
                <w:lang w:eastAsia="en-AU"/>
              </w:rPr>
              <w:t xml:space="preserve">  1,374 </w:t>
            </w:r>
          </w:p>
        </w:tc>
      </w:tr>
      <w:tr w:rsidR="006B4ED5" w:rsidRPr="006B4ED5" w:rsidTr="006B4ED5">
        <w:trPr>
          <w:trHeight w:val="300"/>
        </w:trPr>
        <w:tc>
          <w:tcPr>
            <w:tcW w:w="2819" w:type="pct"/>
            <w:tcBorders>
              <w:top w:val="nil"/>
              <w:left w:val="single" w:sz="4" w:space="0" w:color="auto"/>
              <w:bottom w:val="single" w:sz="4" w:space="0" w:color="auto"/>
              <w:right w:val="single" w:sz="4" w:space="0" w:color="auto"/>
            </w:tcBorders>
            <w:shd w:val="clear" w:color="000000" w:fill="FFFFFF"/>
            <w:vAlign w:val="bottom"/>
            <w:hideMark/>
          </w:tcPr>
          <w:p w:rsidR="006B4ED5" w:rsidRPr="006B4ED5" w:rsidRDefault="006B4ED5" w:rsidP="007C09FE">
            <w:pPr>
              <w:ind w:firstLineChars="200" w:firstLine="400"/>
              <w:rPr>
                <w:color w:val="000000"/>
                <w:sz w:val="20"/>
                <w:szCs w:val="20"/>
                <w:lang w:eastAsia="en-AU"/>
              </w:rPr>
            </w:pPr>
            <w:r w:rsidRPr="006B4ED5">
              <w:rPr>
                <w:color w:val="000000"/>
                <w:sz w:val="20"/>
                <w:szCs w:val="20"/>
                <w:lang w:eastAsia="en-AU"/>
              </w:rPr>
              <w:t xml:space="preserve">Patient Transport Assistance Scheme (PTAS) </w:t>
            </w:r>
            <w:r w:rsidRPr="006B4ED5">
              <w:rPr>
                <w:color w:val="000000"/>
                <w:sz w:val="20"/>
                <w:szCs w:val="20"/>
                <w:vertAlign w:val="superscript"/>
                <w:lang w:eastAsia="en-AU"/>
              </w:rPr>
              <w:t>3</w:t>
            </w:r>
          </w:p>
        </w:tc>
        <w:tc>
          <w:tcPr>
            <w:tcW w:w="844" w:type="pct"/>
            <w:tcBorders>
              <w:top w:val="nil"/>
              <w:left w:val="nil"/>
              <w:bottom w:val="single" w:sz="4" w:space="0" w:color="auto"/>
              <w:right w:val="single" w:sz="4" w:space="0" w:color="auto"/>
            </w:tcBorders>
            <w:shd w:val="clear" w:color="000000" w:fill="FFFFFF"/>
            <w:vAlign w:val="bottom"/>
            <w:hideMark/>
          </w:tcPr>
          <w:p w:rsidR="006B4ED5" w:rsidRPr="006B4ED5" w:rsidRDefault="006B4ED5" w:rsidP="007C09FE">
            <w:pPr>
              <w:rPr>
                <w:color w:val="000000"/>
                <w:sz w:val="20"/>
                <w:szCs w:val="20"/>
                <w:lang w:eastAsia="en-AU"/>
              </w:rPr>
            </w:pPr>
            <w:r w:rsidRPr="006B4ED5">
              <w:rPr>
                <w:color w:val="000000"/>
                <w:sz w:val="20"/>
                <w:szCs w:val="20"/>
                <w:lang w:eastAsia="en-AU"/>
              </w:rPr>
              <w:t xml:space="preserve"> Grant </w:t>
            </w:r>
          </w:p>
        </w:tc>
        <w:tc>
          <w:tcPr>
            <w:tcW w:w="690" w:type="pct"/>
            <w:tcBorders>
              <w:top w:val="nil"/>
              <w:left w:val="nil"/>
              <w:bottom w:val="single" w:sz="4" w:space="0" w:color="auto"/>
              <w:right w:val="single" w:sz="4" w:space="0" w:color="auto"/>
            </w:tcBorders>
            <w:shd w:val="clear" w:color="000000" w:fill="FFFFFF"/>
            <w:noWrap/>
            <w:vAlign w:val="bottom"/>
            <w:hideMark/>
          </w:tcPr>
          <w:p w:rsidR="006B4ED5" w:rsidRPr="006B4ED5" w:rsidRDefault="006B4ED5" w:rsidP="007C09FE">
            <w:pPr>
              <w:jc w:val="right"/>
              <w:rPr>
                <w:color w:val="000000"/>
                <w:sz w:val="20"/>
                <w:szCs w:val="20"/>
                <w:lang w:eastAsia="en-AU"/>
              </w:rPr>
            </w:pPr>
            <w:r w:rsidRPr="006B4ED5">
              <w:rPr>
                <w:color w:val="000000"/>
                <w:sz w:val="20"/>
                <w:szCs w:val="20"/>
                <w:lang w:eastAsia="en-AU"/>
              </w:rPr>
              <w:t> </w:t>
            </w:r>
          </w:p>
        </w:tc>
        <w:tc>
          <w:tcPr>
            <w:tcW w:w="647" w:type="pct"/>
            <w:tcBorders>
              <w:top w:val="nil"/>
              <w:left w:val="nil"/>
              <w:bottom w:val="single" w:sz="4" w:space="0" w:color="auto"/>
              <w:right w:val="single" w:sz="4" w:space="0" w:color="auto"/>
            </w:tcBorders>
            <w:shd w:val="clear" w:color="auto" w:fill="auto"/>
            <w:vAlign w:val="bottom"/>
            <w:hideMark/>
          </w:tcPr>
          <w:p w:rsidR="006B4ED5" w:rsidRPr="006B4ED5" w:rsidRDefault="006B4ED5" w:rsidP="007C09FE">
            <w:pPr>
              <w:jc w:val="right"/>
              <w:rPr>
                <w:color w:val="000000"/>
                <w:sz w:val="20"/>
                <w:szCs w:val="20"/>
                <w:lang w:eastAsia="en-AU"/>
              </w:rPr>
            </w:pPr>
            <w:r w:rsidRPr="006B4ED5">
              <w:rPr>
                <w:color w:val="000000"/>
                <w:sz w:val="20"/>
                <w:szCs w:val="20"/>
                <w:lang w:eastAsia="en-AU"/>
              </w:rPr>
              <w:t xml:space="preserve">  8,684 </w:t>
            </w:r>
          </w:p>
        </w:tc>
      </w:tr>
      <w:tr w:rsidR="006B4ED5" w:rsidRPr="006B4ED5" w:rsidTr="006B4ED5">
        <w:trPr>
          <w:trHeight w:val="300"/>
        </w:trPr>
        <w:tc>
          <w:tcPr>
            <w:tcW w:w="2819" w:type="pct"/>
            <w:tcBorders>
              <w:top w:val="nil"/>
              <w:left w:val="single" w:sz="4" w:space="0" w:color="auto"/>
              <w:bottom w:val="single" w:sz="4" w:space="0" w:color="auto"/>
              <w:right w:val="single" w:sz="4" w:space="0" w:color="auto"/>
            </w:tcBorders>
            <w:shd w:val="clear" w:color="000000" w:fill="FFFFFF"/>
            <w:vAlign w:val="bottom"/>
            <w:hideMark/>
          </w:tcPr>
          <w:p w:rsidR="006B4ED5" w:rsidRPr="006B4ED5" w:rsidRDefault="006B4ED5" w:rsidP="007C09FE">
            <w:pPr>
              <w:ind w:firstLineChars="200" w:firstLine="400"/>
              <w:rPr>
                <w:color w:val="000000"/>
                <w:sz w:val="20"/>
                <w:szCs w:val="20"/>
                <w:lang w:eastAsia="en-AU"/>
              </w:rPr>
            </w:pPr>
            <w:r w:rsidRPr="006B4ED5">
              <w:rPr>
                <w:color w:val="000000"/>
                <w:sz w:val="20"/>
                <w:szCs w:val="20"/>
                <w:lang w:eastAsia="en-AU"/>
              </w:rPr>
              <w:t>One THS</w:t>
            </w:r>
          </w:p>
        </w:tc>
        <w:tc>
          <w:tcPr>
            <w:tcW w:w="844" w:type="pct"/>
            <w:tcBorders>
              <w:top w:val="nil"/>
              <w:left w:val="nil"/>
              <w:bottom w:val="single" w:sz="4" w:space="0" w:color="auto"/>
              <w:right w:val="single" w:sz="4" w:space="0" w:color="auto"/>
            </w:tcBorders>
            <w:shd w:val="clear" w:color="000000" w:fill="FFFFFF"/>
            <w:vAlign w:val="bottom"/>
            <w:hideMark/>
          </w:tcPr>
          <w:p w:rsidR="006B4ED5" w:rsidRPr="006B4ED5" w:rsidRDefault="006B4ED5" w:rsidP="007C09FE">
            <w:pPr>
              <w:rPr>
                <w:color w:val="000000"/>
                <w:sz w:val="20"/>
                <w:szCs w:val="20"/>
                <w:lang w:eastAsia="en-AU"/>
              </w:rPr>
            </w:pPr>
            <w:r w:rsidRPr="006B4ED5">
              <w:rPr>
                <w:color w:val="000000"/>
                <w:sz w:val="20"/>
                <w:szCs w:val="20"/>
                <w:lang w:eastAsia="en-AU"/>
              </w:rPr>
              <w:t xml:space="preserve"> Grant </w:t>
            </w:r>
          </w:p>
        </w:tc>
        <w:tc>
          <w:tcPr>
            <w:tcW w:w="690" w:type="pct"/>
            <w:tcBorders>
              <w:top w:val="nil"/>
              <w:left w:val="nil"/>
              <w:bottom w:val="single" w:sz="4" w:space="0" w:color="auto"/>
              <w:right w:val="single" w:sz="4" w:space="0" w:color="auto"/>
            </w:tcBorders>
            <w:shd w:val="clear" w:color="000000" w:fill="FFFFFF"/>
            <w:noWrap/>
            <w:vAlign w:val="bottom"/>
            <w:hideMark/>
          </w:tcPr>
          <w:p w:rsidR="006B4ED5" w:rsidRPr="006B4ED5" w:rsidRDefault="006B4ED5" w:rsidP="007C09FE">
            <w:pPr>
              <w:jc w:val="right"/>
              <w:rPr>
                <w:color w:val="000000"/>
                <w:sz w:val="20"/>
                <w:szCs w:val="20"/>
                <w:lang w:eastAsia="en-AU"/>
              </w:rPr>
            </w:pPr>
            <w:r w:rsidRPr="006B4ED5">
              <w:rPr>
                <w:color w:val="000000"/>
                <w:sz w:val="20"/>
                <w:szCs w:val="20"/>
                <w:lang w:eastAsia="en-AU"/>
              </w:rPr>
              <w:t> </w:t>
            </w:r>
          </w:p>
        </w:tc>
        <w:tc>
          <w:tcPr>
            <w:tcW w:w="647" w:type="pct"/>
            <w:tcBorders>
              <w:top w:val="nil"/>
              <w:left w:val="nil"/>
              <w:bottom w:val="single" w:sz="4" w:space="0" w:color="auto"/>
              <w:right w:val="single" w:sz="4" w:space="0" w:color="auto"/>
            </w:tcBorders>
            <w:shd w:val="clear" w:color="auto" w:fill="auto"/>
            <w:vAlign w:val="bottom"/>
            <w:hideMark/>
          </w:tcPr>
          <w:p w:rsidR="006B4ED5" w:rsidRPr="006B4ED5" w:rsidRDefault="006B4ED5" w:rsidP="007C09FE">
            <w:pPr>
              <w:jc w:val="right"/>
              <w:rPr>
                <w:color w:val="000000"/>
                <w:sz w:val="20"/>
                <w:szCs w:val="20"/>
                <w:lang w:eastAsia="en-AU"/>
              </w:rPr>
            </w:pPr>
            <w:r w:rsidRPr="006B4ED5">
              <w:rPr>
                <w:color w:val="000000"/>
                <w:sz w:val="20"/>
                <w:szCs w:val="20"/>
                <w:lang w:eastAsia="en-AU"/>
              </w:rPr>
              <w:t xml:space="preserve">  7,500 </w:t>
            </w:r>
          </w:p>
        </w:tc>
      </w:tr>
      <w:tr w:rsidR="006B4ED5" w:rsidRPr="006B4ED5" w:rsidTr="006B4ED5">
        <w:trPr>
          <w:trHeight w:val="300"/>
        </w:trPr>
        <w:tc>
          <w:tcPr>
            <w:tcW w:w="2819" w:type="pct"/>
            <w:tcBorders>
              <w:top w:val="nil"/>
              <w:left w:val="single" w:sz="4" w:space="0" w:color="auto"/>
              <w:bottom w:val="single" w:sz="4" w:space="0" w:color="auto"/>
              <w:right w:val="single" w:sz="4" w:space="0" w:color="auto"/>
            </w:tcBorders>
            <w:shd w:val="clear" w:color="000000" w:fill="FFFFFF"/>
            <w:vAlign w:val="bottom"/>
            <w:hideMark/>
          </w:tcPr>
          <w:p w:rsidR="006B4ED5" w:rsidRPr="006B4ED5" w:rsidRDefault="006B4ED5" w:rsidP="007C09FE">
            <w:pPr>
              <w:ind w:firstLineChars="200" w:firstLine="400"/>
              <w:rPr>
                <w:color w:val="000000"/>
                <w:sz w:val="20"/>
                <w:szCs w:val="20"/>
                <w:lang w:eastAsia="en-AU"/>
              </w:rPr>
            </w:pPr>
            <w:r w:rsidRPr="006B4ED5">
              <w:rPr>
                <w:color w:val="000000"/>
                <w:sz w:val="20"/>
                <w:szCs w:val="20"/>
                <w:lang w:eastAsia="en-AU"/>
              </w:rPr>
              <w:t xml:space="preserve">Equipment Replacement </w:t>
            </w:r>
            <w:r w:rsidRPr="006B4ED5">
              <w:rPr>
                <w:color w:val="000000"/>
                <w:sz w:val="20"/>
                <w:szCs w:val="20"/>
                <w:vertAlign w:val="superscript"/>
                <w:lang w:eastAsia="en-AU"/>
              </w:rPr>
              <w:t xml:space="preserve"> 4</w:t>
            </w:r>
          </w:p>
        </w:tc>
        <w:tc>
          <w:tcPr>
            <w:tcW w:w="844" w:type="pct"/>
            <w:tcBorders>
              <w:top w:val="nil"/>
              <w:left w:val="nil"/>
              <w:bottom w:val="single" w:sz="4" w:space="0" w:color="auto"/>
              <w:right w:val="single" w:sz="4" w:space="0" w:color="auto"/>
            </w:tcBorders>
            <w:shd w:val="clear" w:color="000000" w:fill="FFFFFF"/>
            <w:vAlign w:val="bottom"/>
            <w:hideMark/>
          </w:tcPr>
          <w:p w:rsidR="006B4ED5" w:rsidRPr="006B4ED5" w:rsidRDefault="006B4ED5" w:rsidP="007C09FE">
            <w:pPr>
              <w:rPr>
                <w:color w:val="000000"/>
                <w:sz w:val="20"/>
                <w:szCs w:val="20"/>
                <w:lang w:eastAsia="en-AU"/>
              </w:rPr>
            </w:pPr>
            <w:r w:rsidRPr="006B4ED5">
              <w:rPr>
                <w:color w:val="000000"/>
                <w:sz w:val="20"/>
                <w:szCs w:val="20"/>
                <w:lang w:eastAsia="en-AU"/>
              </w:rPr>
              <w:t xml:space="preserve"> Grant </w:t>
            </w:r>
          </w:p>
        </w:tc>
        <w:tc>
          <w:tcPr>
            <w:tcW w:w="690" w:type="pct"/>
            <w:tcBorders>
              <w:top w:val="nil"/>
              <w:left w:val="nil"/>
              <w:bottom w:val="single" w:sz="4" w:space="0" w:color="auto"/>
              <w:right w:val="single" w:sz="4" w:space="0" w:color="auto"/>
            </w:tcBorders>
            <w:shd w:val="clear" w:color="000000" w:fill="FFFFFF"/>
            <w:noWrap/>
            <w:vAlign w:val="bottom"/>
            <w:hideMark/>
          </w:tcPr>
          <w:p w:rsidR="006B4ED5" w:rsidRPr="006B4ED5" w:rsidRDefault="006B4ED5" w:rsidP="007C09FE">
            <w:pPr>
              <w:jc w:val="right"/>
              <w:rPr>
                <w:color w:val="000000"/>
                <w:sz w:val="20"/>
                <w:szCs w:val="20"/>
                <w:lang w:eastAsia="en-AU"/>
              </w:rPr>
            </w:pPr>
            <w:r w:rsidRPr="006B4ED5">
              <w:rPr>
                <w:color w:val="000000"/>
                <w:sz w:val="20"/>
                <w:szCs w:val="20"/>
                <w:lang w:eastAsia="en-AU"/>
              </w:rPr>
              <w:t> </w:t>
            </w:r>
          </w:p>
        </w:tc>
        <w:tc>
          <w:tcPr>
            <w:tcW w:w="647" w:type="pct"/>
            <w:tcBorders>
              <w:top w:val="nil"/>
              <w:left w:val="nil"/>
              <w:bottom w:val="single" w:sz="4" w:space="0" w:color="auto"/>
              <w:right w:val="single" w:sz="4" w:space="0" w:color="auto"/>
            </w:tcBorders>
            <w:shd w:val="clear" w:color="auto" w:fill="auto"/>
            <w:vAlign w:val="bottom"/>
            <w:hideMark/>
          </w:tcPr>
          <w:p w:rsidR="006B4ED5" w:rsidRPr="006B4ED5" w:rsidRDefault="006B4ED5" w:rsidP="007C09FE">
            <w:pPr>
              <w:jc w:val="right"/>
              <w:rPr>
                <w:color w:val="000000"/>
                <w:sz w:val="20"/>
                <w:szCs w:val="20"/>
                <w:lang w:eastAsia="en-AU"/>
              </w:rPr>
            </w:pPr>
            <w:r w:rsidRPr="006B4ED5">
              <w:rPr>
                <w:color w:val="000000"/>
                <w:sz w:val="20"/>
                <w:szCs w:val="20"/>
                <w:lang w:eastAsia="en-AU"/>
              </w:rPr>
              <w:t xml:space="preserve">  7,500 </w:t>
            </w:r>
          </w:p>
        </w:tc>
      </w:tr>
      <w:tr w:rsidR="006B4ED5" w:rsidRPr="006B4ED5" w:rsidTr="006B4ED5">
        <w:trPr>
          <w:trHeight w:val="300"/>
        </w:trPr>
        <w:tc>
          <w:tcPr>
            <w:tcW w:w="2819" w:type="pct"/>
            <w:tcBorders>
              <w:top w:val="nil"/>
              <w:left w:val="single" w:sz="4" w:space="0" w:color="auto"/>
              <w:bottom w:val="single" w:sz="4" w:space="0" w:color="auto"/>
              <w:right w:val="single" w:sz="4" w:space="0" w:color="auto"/>
            </w:tcBorders>
            <w:shd w:val="clear" w:color="000000" w:fill="FFFFFF"/>
            <w:vAlign w:val="bottom"/>
            <w:hideMark/>
          </w:tcPr>
          <w:p w:rsidR="006B4ED5" w:rsidRPr="006B4ED5" w:rsidRDefault="006B4ED5" w:rsidP="007C09FE">
            <w:pPr>
              <w:ind w:firstLineChars="200" w:firstLine="400"/>
              <w:rPr>
                <w:color w:val="000000"/>
                <w:sz w:val="20"/>
                <w:szCs w:val="20"/>
                <w:lang w:eastAsia="en-AU"/>
              </w:rPr>
            </w:pPr>
            <w:r w:rsidRPr="006B4ED5">
              <w:rPr>
                <w:color w:val="000000"/>
                <w:sz w:val="20"/>
                <w:szCs w:val="20"/>
                <w:lang w:eastAsia="en-AU"/>
              </w:rPr>
              <w:t>Child Health and Parenting Service</w:t>
            </w:r>
          </w:p>
        </w:tc>
        <w:tc>
          <w:tcPr>
            <w:tcW w:w="844" w:type="pct"/>
            <w:tcBorders>
              <w:top w:val="nil"/>
              <w:left w:val="nil"/>
              <w:bottom w:val="single" w:sz="4" w:space="0" w:color="auto"/>
              <w:right w:val="single" w:sz="4" w:space="0" w:color="auto"/>
            </w:tcBorders>
            <w:shd w:val="clear" w:color="000000" w:fill="FFFFFF"/>
            <w:vAlign w:val="bottom"/>
            <w:hideMark/>
          </w:tcPr>
          <w:p w:rsidR="006B4ED5" w:rsidRPr="006B4ED5" w:rsidRDefault="006B4ED5" w:rsidP="007C09FE">
            <w:pPr>
              <w:rPr>
                <w:color w:val="000000"/>
                <w:sz w:val="20"/>
                <w:szCs w:val="20"/>
                <w:lang w:eastAsia="en-AU"/>
              </w:rPr>
            </w:pPr>
            <w:r w:rsidRPr="006B4ED5">
              <w:rPr>
                <w:color w:val="000000"/>
                <w:sz w:val="20"/>
                <w:szCs w:val="20"/>
                <w:lang w:eastAsia="en-AU"/>
              </w:rPr>
              <w:t xml:space="preserve"> Grant </w:t>
            </w:r>
          </w:p>
        </w:tc>
        <w:tc>
          <w:tcPr>
            <w:tcW w:w="690" w:type="pct"/>
            <w:tcBorders>
              <w:top w:val="nil"/>
              <w:left w:val="nil"/>
              <w:bottom w:val="single" w:sz="4" w:space="0" w:color="auto"/>
              <w:right w:val="single" w:sz="4" w:space="0" w:color="auto"/>
            </w:tcBorders>
            <w:shd w:val="clear" w:color="000000" w:fill="FFFFFF"/>
            <w:noWrap/>
            <w:vAlign w:val="bottom"/>
            <w:hideMark/>
          </w:tcPr>
          <w:p w:rsidR="006B4ED5" w:rsidRPr="006B4ED5" w:rsidRDefault="006B4ED5" w:rsidP="007C09FE">
            <w:pPr>
              <w:jc w:val="right"/>
              <w:rPr>
                <w:color w:val="000000"/>
                <w:sz w:val="20"/>
                <w:szCs w:val="20"/>
                <w:lang w:eastAsia="en-AU"/>
              </w:rPr>
            </w:pPr>
            <w:r w:rsidRPr="006B4ED5">
              <w:rPr>
                <w:color w:val="000000"/>
                <w:sz w:val="20"/>
                <w:szCs w:val="20"/>
                <w:lang w:eastAsia="en-AU"/>
              </w:rPr>
              <w:t> </w:t>
            </w:r>
          </w:p>
        </w:tc>
        <w:tc>
          <w:tcPr>
            <w:tcW w:w="647" w:type="pct"/>
            <w:tcBorders>
              <w:top w:val="nil"/>
              <w:left w:val="nil"/>
              <w:bottom w:val="single" w:sz="4" w:space="0" w:color="auto"/>
              <w:right w:val="single" w:sz="4" w:space="0" w:color="auto"/>
            </w:tcBorders>
            <w:shd w:val="clear" w:color="auto" w:fill="auto"/>
            <w:vAlign w:val="bottom"/>
            <w:hideMark/>
          </w:tcPr>
          <w:p w:rsidR="006B4ED5" w:rsidRPr="006B4ED5" w:rsidRDefault="006B4ED5" w:rsidP="007C09FE">
            <w:pPr>
              <w:jc w:val="right"/>
              <w:rPr>
                <w:color w:val="000000"/>
                <w:sz w:val="20"/>
                <w:szCs w:val="20"/>
                <w:lang w:eastAsia="en-AU"/>
              </w:rPr>
            </w:pPr>
            <w:r w:rsidRPr="006B4ED5">
              <w:rPr>
                <w:color w:val="000000"/>
                <w:sz w:val="20"/>
                <w:szCs w:val="20"/>
                <w:lang w:eastAsia="en-AU"/>
              </w:rPr>
              <w:t xml:space="preserve">12,004 </w:t>
            </w:r>
          </w:p>
        </w:tc>
      </w:tr>
      <w:tr w:rsidR="006B4ED5" w:rsidRPr="006B4ED5" w:rsidTr="006B4ED5">
        <w:trPr>
          <w:trHeight w:val="300"/>
        </w:trPr>
        <w:tc>
          <w:tcPr>
            <w:tcW w:w="2819" w:type="pct"/>
            <w:tcBorders>
              <w:top w:val="nil"/>
              <w:left w:val="single" w:sz="4" w:space="0" w:color="auto"/>
              <w:bottom w:val="single" w:sz="4" w:space="0" w:color="auto"/>
              <w:right w:val="single" w:sz="4" w:space="0" w:color="auto"/>
            </w:tcBorders>
            <w:shd w:val="clear" w:color="000000" w:fill="FFFFFF"/>
            <w:vAlign w:val="bottom"/>
            <w:hideMark/>
          </w:tcPr>
          <w:p w:rsidR="006B4ED5" w:rsidRPr="006B4ED5" w:rsidRDefault="006B4ED5" w:rsidP="007C09FE">
            <w:pPr>
              <w:ind w:firstLineChars="200" w:firstLine="400"/>
              <w:rPr>
                <w:color w:val="000000"/>
                <w:sz w:val="20"/>
                <w:szCs w:val="20"/>
                <w:lang w:eastAsia="en-AU"/>
              </w:rPr>
            </w:pPr>
            <w:r w:rsidRPr="006B4ED5">
              <w:rPr>
                <w:color w:val="000000"/>
                <w:sz w:val="20"/>
                <w:szCs w:val="20"/>
                <w:lang w:eastAsia="en-AU"/>
              </w:rPr>
              <w:t>Medical Cannabis Controlled Access Scheme - Paediatric Epilepsy</w:t>
            </w:r>
          </w:p>
        </w:tc>
        <w:tc>
          <w:tcPr>
            <w:tcW w:w="844" w:type="pct"/>
            <w:tcBorders>
              <w:top w:val="nil"/>
              <w:left w:val="nil"/>
              <w:bottom w:val="single" w:sz="4" w:space="0" w:color="auto"/>
              <w:right w:val="single" w:sz="4" w:space="0" w:color="auto"/>
            </w:tcBorders>
            <w:shd w:val="clear" w:color="000000" w:fill="FFFFFF"/>
            <w:vAlign w:val="bottom"/>
            <w:hideMark/>
          </w:tcPr>
          <w:p w:rsidR="006B4ED5" w:rsidRPr="006B4ED5" w:rsidRDefault="006B4ED5" w:rsidP="007C09FE">
            <w:pPr>
              <w:rPr>
                <w:color w:val="000000"/>
                <w:sz w:val="20"/>
                <w:szCs w:val="20"/>
                <w:lang w:eastAsia="en-AU"/>
              </w:rPr>
            </w:pPr>
            <w:r w:rsidRPr="006B4ED5">
              <w:rPr>
                <w:color w:val="000000"/>
                <w:sz w:val="20"/>
                <w:szCs w:val="20"/>
                <w:lang w:eastAsia="en-AU"/>
              </w:rPr>
              <w:t xml:space="preserve"> Grant </w:t>
            </w:r>
          </w:p>
        </w:tc>
        <w:tc>
          <w:tcPr>
            <w:tcW w:w="690" w:type="pct"/>
            <w:tcBorders>
              <w:top w:val="nil"/>
              <w:left w:val="nil"/>
              <w:bottom w:val="single" w:sz="4" w:space="0" w:color="auto"/>
              <w:right w:val="single" w:sz="4" w:space="0" w:color="auto"/>
            </w:tcBorders>
            <w:shd w:val="clear" w:color="000000" w:fill="FFFFFF"/>
            <w:noWrap/>
            <w:vAlign w:val="bottom"/>
            <w:hideMark/>
          </w:tcPr>
          <w:p w:rsidR="006B4ED5" w:rsidRPr="006B4ED5" w:rsidRDefault="006B4ED5" w:rsidP="007C09FE">
            <w:pPr>
              <w:jc w:val="right"/>
              <w:rPr>
                <w:color w:val="000000"/>
                <w:sz w:val="20"/>
                <w:szCs w:val="20"/>
                <w:lang w:eastAsia="en-AU"/>
              </w:rPr>
            </w:pPr>
            <w:r w:rsidRPr="006B4ED5">
              <w:rPr>
                <w:color w:val="000000"/>
                <w:sz w:val="20"/>
                <w:szCs w:val="20"/>
                <w:lang w:eastAsia="en-AU"/>
              </w:rPr>
              <w:t> </w:t>
            </w:r>
          </w:p>
        </w:tc>
        <w:tc>
          <w:tcPr>
            <w:tcW w:w="647" w:type="pct"/>
            <w:tcBorders>
              <w:top w:val="nil"/>
              <w:left w:val="nil"/>
              <w:bottom w:val="single" w:sz="4" w:space="0" w:color="auto"/>
              <w:right w:val="single" w:sz="4" w:space="0" w:color="auto"/>
            </w:tcBorders>
            <w:shd w:val="clear" w:color="auto" w:fill="auto"/>
            <w:vAlign w:val="bottom"/>
            <w:hideMark/>
          </w:tcPr>
          <w:p w:rsidR="006B4ED5" w:rsidRPr="006B4ED5" w:rsidRDefault="006B4ED5" w:rsidP="007C09FE">
            <w:pPr>
              <w:jc w:val="right"/>
              <w:rPr>
                <w:color w:val="000000"/>
                <w:sz w:val="20"/>
                <w:szCs w:val="20"/>
                <w:lang w:eastAsia="en-AU"/>
              </w:rPr>
            </w:pPr>
            <w:r w:rsidRPr="006B4ED5">
              <w:rPr>
                <w:color w:val="000000"/>
                <w:sz w:val="20"/>
                <w:szCs w:val="20"/>
                <w:lang w:eastAsia="en-AU"/>
              </w:rPr>
              <w:t xml:space="preserve">990 </w:t>
            </w:r>
          </w:p>
        </w:tc>
      </w:tr>
      <w:tr w:rsidR="006B4ED5" w:rsidRPr="006B4ED5" w:rsidTr="006B4ED5">
        <w:trPr>
          <w:trHeight w:val="255"/>
        </w:trPr>
        <w:tc>
          <w:tcPr>
            <w:tcW w:w="2819" w:type="pct"/>
            <w:tcBorders>
              <w:top w:val="nil"/>
              <w:left w:val="single" w:sz="4" w:space="0" w:color="auto"/>
              <w:bottom w:val="single" w:sz="4" w:space="0" w:color="auto"/>
              <w:right w:val="single" w:sz="4" w:space="0" w:color="auto"/>
            </w:tcBorders>
            <w:shd w:val="clear" w:color="000000" w:fill="FFFFFF"/>
            <w:noWrap/>
            <w:vAlign w:val="bottom"/>
            <w:hideMark/>
          </w:tcPr>
          <w:p w:rsidR="006B4ED5" w:rsidRPr="006B4ED5" w:rsidRDefault="006B4ED5" w:rsidP="007C09FE">
            <w:pPr>
              <w:rPr>
                <w:b/>
                <w:bCs/>
                <w:color w:val="000000"/>
                <w:sz w:val="20"/>
                <w:szCs w:val="20"/>
                <w:lang w:eastAsia="en-AU"/>
              </w:rPr>
            </w:pPr>
            <w:r w:rsidRPr="006B4ED5">
              <w:rPr>
                <w:b/>
                <w:bCs/>
                <w:color w:val="000000"/>
                <w:sz w:val="20"/>
                <w:szCs w:val="20"/>
                <w:lang w:eastAsia="en-AU"/>
              </w:rPr>
              <w:t xml:space="preserve"> Total Operational Grants </w:t>
            </w:r>
          </w:p>
        </w:tc>
        <w:tc>
          <w:tcPr>
            <w:tcW w:w="844" w:type="pct"/>
            <w:tcBorders>
              <w:top w:val="nil"/>
              <w:left w:val="nil"/>
              <w:bottom w:val="single" w:sz="4" w:space="0" w:color="auto"/>
              <w:right w:val="single" w:sz="4" w:space="0" w:color="auto"/>
            </w:tcBorders>
            <w:shd w:val="clear" w:color="000000" w:fill="FFFFFF"/>
            <w:noWrap/>
            <w:vAlign w:val="bottom"/>
            <w:hideMark/>
          </w:tcPr>
          <w:p w:rsidR="006B4ED5" w:rsidRPr="006B4ED5" w:rsidRDefault="006B4ED5" w:rsidP="007C09FE">
            <w:pPr>
              <w:rPr>
                <w:b/>
                <w:bCs/>
                <w:color w:val="000000"/>
                <w:sz w:val="20"/>
                <w:szCs w:val="20"/>
                <w:lang w:eastAsia="en-AU"/>
              </w:rPr>
            </w:pPr>
            <w:r w:rsidRPr="006B4ED5">
              <w:rPr>
                <w:b/>
                <w:bCs/>
                <w:color w:val="000000"/>
                <w:sz w:val="20"/>
                <w:szCs w:val="20"/>
                <w:lang w:eastAsia="en-AU"/>
              </w:rPr>
              <w:t> </w:t>
            </w:r>
          </w:p>
        </w:tc>
        <w:tc>
          <w:tcPr>
            <w:tcW w:w="690" w:type="pct"/>
            <w:tcBorders>
              <w:top w:val="nil"/>
              <w:left w:val="nil"/>
              <w:bottom w:val="single" w:sz="4" w:space="0" w:color="auto"/>
              <w:right w:val="single" w:sz="4" w:space="0" w:color="auto"/>
            </w:tcBorders>
            <w:shd w:val="clear" w:color="000000" w:fill="FFFFFF"/>
            <w:noWrap/>
            <w:vAlign w:val="bottom"/>
            <w:hideMark/>
          </w:tcPr>
          <w:p w:rsidR="006B4ED5" w:rsidRPr="006B4ED5" w:rsidRDefault="006B4ED5" w:rsidP="007C09FE">
            <w:pPr>
              <w:jc w:val="right"/>
              <w:rPr>
                <w:b/>
                <w:bCs/>
                <w:color w:val="000000"/>
                <w:sz w:val="20"/>
                <w:szCs w:val="20"/>
                <w:lang w:eastAsia="en-AU"/>
              </w:rPr>
            </w:pPr>
            <w:r w:rsidRPr="006B4ED5">
              <w:rPr>
                <w:b/>
                <w:bCs/>
                <w:color w:val="000000"/>
                <w:sz w:val="20"/>
                <w:szCs w:val="20"/>
                <w:lang w:eastAsia="en-AU"/>
              </w:rPr>
              <w:t> </w:t>
            </w:r>
          </w:p>
        </w:tc>
        <w:tc>
          <w:tcPr>
            <w:tcW w:w="647" w:type="pct"/>
            <w:tcBorders>
              <w:top w:val="nil"/>
              <w:left w:val="nil"/>
              <w:bottom w:val="single" w:sz="4" w:space="0" w:color="auto"/>
              <w:right w:val="single" w:sz="4" w:space="0" w:color="auto"/>
            </w:tcBorders>
            <w:shd w:val="clear" w:color="auto" w:fill="auto"/>
            <w:noWrap/>
            <w:vAlign w:val="bottom"/>
            <w:hideMark/>
          </w:tcPr>
          <w:p w:rsidR="006B4ED5" w:rsidRPr="006B4ED5" w:rsidRDefault="006B4ED5" w:rsidP="007C09FE">
            <w:pPr>
              <w:jc w:val="right"/>
              <w:rPr>
                <w:b/>
                <w:bCs/>
                <w:color w:val="000000"/>
                <w:sz w:val="20"/>
                <w:szCs w:val="20"/>
                <w:lang w:eastAsia="en-AU"/>
              </w:rPr>
            </w:pPr>
            <w:r w:rsidRPr="006B4ED5">
              <w:rPr>
                <w:b/>
                <w:bCs/>
                <w:color w:val="000000"/>
                <w:sz w:val="20"/>
                <w:szCs w:val="20"/>
                <w:lang w:eastAsia="en-AU"/>
              </w:rPr>
              <w:t>360,805</w:t>
            </w:r>
          </w:p>
        </w:tc>
      </w:tr>
      <w:tr w:rsidR="006B4ED5" w:rsidRPr="006B4ED5" w:rsidTr="006B4ED5">
        <w:trPr>
          <w:trHeight w:val="480"/>
        </w:trPr>
        <w:tc>
          <w:tcPr>
            <w:tcW w:w="2819" w:type="pct"/>
            <w:tcBorders>
              <w:top w:val="nil"/>
              <w:left w:val="single" w:sz="4" w:space="0" w:color="auto"/>
              <w:bottom w:val="single" w:sz="4" w:space="0" w:color="auto"/>
              <w:right w:val="single" w:sz="4" w:space="0" w:color="auto"/>
            </w:tcBorders>
            <w:shd w:val="clear" w:color="auto" w:fill="auto"/>
            <w:noWrap/>
            <w:vAlign w:val="bottom"/>
            <w:hideMark/>
          </w:tcPr>
          <w:p w:rsidR="006B4ED5" w:rsidRPr="006B4ED5" w:rsidRDefault="006B4ED5" w:rsidP="007C09FE">
            <w:pPr>
              <w:rPr>
                <w:b/>
                <w:bCs/>
                <w:sz w:val="20"/>
                <w:szCs w:val="20"/>
                <w:lang w:eastAsia="en-AU"/>
              </w:rPr>
            </w:pPr>
            <w:r w:rsidRPr="006B4ED5">
              <w:rPr>
                <w:b/>
                <w:bCs/>
                <w:sz w:val="20"/>
                <w:szCs w:val="20"/>
                <w:lang w:eastAsia="en-AU"/>
              </w:rPr>
              <w:t>TOTAL Tasmanian Health Service</w:t>
            </w:r>
          </w:p>
        </w:tc>
        <w:tc>
          <w:tcPr>
            <w:tcW w:w="844" w:type="pct"/>
            <w:tcBorders>
              <w:top w:val="nil"/>
              <w:left w:val="nil"/>
              <w:bottom w:val="single" w:sz="4" w:space="0" w:color="auto"/>
              <w:right w:val="single" w:sz="4" w:space="0" w:color="auto"/>
            </w:tcBorders>
            <w:shd w:val="clear" w:color="auto" w:fill="auto"/>
            <w:noWrap/>
            <w:vAlign w:val="bottom"/>
            <w:hideMark/>
          </w:tcPr>
          <w:p w:rsidR="006B4ED5" w:rsidRPr="006B4ED5" w:rsidRDefault="006B4ED5" w:rsidP="007C09FE">
            <w:pPr>
              <w:rPr>
                <w:b/>
                <w:bCs/>
                <w:sz w:val="20"/>
                <w:szCs w:val="20"/>
                <w:lang w:eastAsia="en-AU"/>
              </w:rPr>
            </w:pPr>
            <w:r w:rsidRPr="006B4ED5">
              <w:rPr>
                <w:b/>
                <w:bCs/>
                <w:sz w:val="20"/>
                <w:szCs w:val="20"/>
                <w:lang w:eastAsia="en-AU"/>
              </w:rPr>
              <w:t> </w:t>
            </w:r>
          </w:p>
        </w:tc>
        <w:tc>
          <w:tcPr>
            <w:tcW w:w="690" w:type="pct"/>
            <w:tcBorders>
              <w:top w:val="nil"/>
              <w:left w:val="nil"/>
              <w:bottom w:val="single" w:sz="4" w:space="0" w:color="auto"/>
              <w:right w:val="single" w:sz="4" w:space="0" w:color="auto"/>
            </w:tcBorders>
            <w:shd w:val="clear" w:color="auto" w:fill="auto"/>
            <w:noWrap/>
            <w:vAlign w:val="bottom"/>
            <w:hideMark/>
          </w:tcPr>
          <w:p w:rsidR="006B4ED5" w:rsidRPr="006B4ED5" w:rsidRDefault="006B4ED5" w:rsidP="007C09FE">
            <w:pPr>
              <w:jc w:val="right"/>
              <w:rPr>
                <w:b/>
                <w:bCs/>
                <w:sz w:val="20"/>
                <w:szCs w:val="20"/>
                <w:lang w:eastAsia="en-AU"/>
              </w:rPr>
            </w:pPr>
            <w:r w:rsidRPr="006B4ED5">
              <w:rPr>
                <w:b/>
                <w:bCs/>
                <w:sz w:val="20"/>
                <w:szCs w:val="20"/>
                <w:lang w:eastAsia="en-AU"/>
              </w:rPr>
              <w:t> </w:t>
            </w:r>
          </w:p>
        </w:tc>
        <w:tc>
          <w:tcPr>
            <w:tcW w:w="647" w:type="pct"/>
            <w:tcBorders>
              <w:top w:val="nil"/>
              <w:left w:val="nil"/>
              <w:bottom w:val="single" w:sz="4" w:space="0" w:color="auto"/>
              <w:right w:val="single" w:sz="4" w:space="0" w:color="auto"/>
            </w:tcBorders>
            <w:shd w:val="clear" w:color="auto" w:fill="auto"/>
            <w:noWrap/>
            <w:vAlign w:val="bottom"/>
            <w:hideMark/>
          </w:tcPr>
          <w:p w:rsidR="006B4ED5" w:rsidRPr="006B4ED5" w:rsidRDefault="006B4ED5" w:rsidP="007C09FE">
            <w:pPr>
              <w:jc w:val="right"/>
              <w:rPr>
                <w:b/>
                <w:bCs/>
                <w:sz w:val="20"/>
                <w:szCs w:val="20"/>
                <w:lang w:eastAsia="en-AU"/>
              </w:rPr>
            </w:pPr>
            <w:r w:rsidRPr="006B4ED5">
              <w:rPr>
                <w:b/>
                <w:bCs/>
                <w:sz w:val="20"/>
                <w:szCs w:val="20"/>
                <w:lang w:eastAsia="en-AU"/>
              </w:rPr>
              <w:t>1,236,381</w:t>
            </w:r>
          </w:p>
        </w:tc>
      </w:tr>
    </w:tbl>
    <w:p w:rsidR="00731265" w:rsidRDefault="00731265" w:rsidP="00731265">
      <w:pPr>
        <w:spacing w:after="140" w:line="300" w:lineRule="atLeast"/>
      </w:pPr>
    </w:p>
    <w:p w:rsidR="00011FDC" w:rsidRPr="00731265" w:rsidRDefault="00731265" w:rsidP="00731265">
      <w:pPr>
        <w:spacing w:after="140" w:line="300" w:lineRule="atLeast"/>
      </w:pPr>
      <w:r>
        <w:t>Notes:</w:t>
      </w:r>
    </w:p>
    <w:p w:rsidR="00731265" w:rsidRDefault="00731265" w:rsidP="00731265">
      <w:pPr>
        <w:spacing w:after="140" w:line="300" w:lineRule="atLeast"/>
      </w:pPr>
      <w:r w:rsidRPr="00731265">
        <w:rPr>
          <w:vertAlign w:val="superscript"/>
        </w:rPr>
        <w:t>1</w:t>
      </w:r>
      <w:r w:rsidRPr="00731265">
        <w:t xml:space="preserve"> Supplementation provided in recognition that the cost for the THS to deliver Sub &amp; Non-Acute services is higher than the NEP</w:t>
      </w:r>
    </w:p>
    <w:p w:rsidR="00731265" w:rsidRDefault="00731265" w:rsidP="00731265">
      <w:pPr>
        <w:spacing w:after="140" w:line="300" w:lineRule="atLeast"/>
      </w:pPr>
      <w:r w:rsidRPr="00731265">
        <w:rPr>
          <w:sz w:val="24"/>
          <w:vertAlign w:val="superscript"/>
        </w:rPr>
        <w:t>2</w:t>
      </w:r>
      <w:r w:rsidRPr="00731265">
        <w:t xml:space="preserve"> Block funding for Non-activity based services, see table 'Non-activity Based Services' for breakdown.</w:t>
      </w:r>
    </w:p>
    <w:p w:rsidR="00731265" w:rsidRDefault="00731265" w:rsidP="00731265">
      <w:pPr>
        <w:spacing w:after="140" w:line="300" w:lineRule="atLeast"/>
      </w:pPr>
      <w:r w:rsidRPr="00731265">
        <w:rPr>
          <w:vertAlign w:val="superscript"/>
        </w:rPr>
        <w:t>3</w:t>
      </w:r>
      <w:r w:rsidRPr="00731265">
        <w:t xml:space="preserve"> PTAS includes funding for both service delivery and administration.</w:t>
      </w:r>
    </w:p>
    <w:p w:rsidR="00731265" w:rsidRPr="00731265" w:rsidRDefault="00731265" w:rsidP="00731265">
      <w:pPr>
        <w:spacing w:after="140" w:line="300" w:lineRule="atLeast"/>
      </w:pPr>
      <w:proofErr w:type="gramStart"/>
      <w:r w:rsidRPr="00731265">
        <w:rPr>
          <w:vertAlign w:val="superscript"/>
        </w:rPr>
        <w:t>4</w:t>
      </w:r>
      <w:r w:rsidRPr="00731265">
        <w:t xml:space="preserve"> Replacement cost for plant and equipment items with a value over $10 000.</w:t>
      </w:r>
      <w:proofErr w:type="gramEnd"/>
      <w:r w:rsidRPr="00731265">
        <w:t xml:space="preserve">  These replacement costs are not included in the activity NWAU funding.</w:t>
      </w:r>
    </w:p>
    <w:p w:rsidR="00FE46F4" w:rsidRDefault="00FE46F4">
      <w:r>
        <w:br w:type="page"/>
      </w:r>
    </w:p>
    <w:p w:rsidR="007F563C" w:rsidRDefault="007F563C" w:rsidP="007F563C">
      <w:r>
        <w:rPr>
          <w:b/>
          <w:sz w:val="24"/>
          <w:szCs w:val="24"/>
        </w:rPr>
        <w:t>Funding Sources</w:t>
      </w:r>
    </w:p>
    <w:p w:rsidR="007F563C" w:rsidRPr="00123A32" w:rsidRDefault="007F563C" w:rsidP="007F563C">
      <w:pPr>
        <w:spacing w:after="140" w:line="300" w:lineRule="atLeast"/>
        <w:ind w:left="142" w:right="187" w:hanging="142"/>
      </w:pPr>
      <w:r>
        <w:t>Th</w:t>
      </w:r>
      <w:r w:rsidRPr="00123A32">
        <w:t>e four main fundin</w:t>
      </w:r>
      <w:r w:rsidR="007E39DF" w:rsidRPr="00123A32">
        <w:t>g sources contributing to the T</w:t>
      </w:r>
      <w:r w:rsidRPr="00123A32">
        <w:t>HS Service Agreement funding are:</w:t>
      </w:r>
    </w:p>
    <w:p w:rsidR="007F563C" w:rsidRPr="00123A32" w:rsidRDefault="007F563C" w:rsidP="007F563C">
      <w:pPr>
        <w:pStyle w:val="ListParagraph"/>
        <w:numPr>
          <w:ilvl w:val="0"/>
          <w:numId w:val="31"/>
        </w:numPr>
        <w:spacing w:after="140" w:line="300" w:lineRule="atLeast"/>
        <w:ind w:right="187"/>
        <w:rPr>
          <w:rFonts w:ascii="Gill Sans MT" w:hAnsi="Gill Sans MT"/>
        </w:rPr>
      </w:pPr>
      <w:r w:rsidRPr="00123A32">
        <w:rPr>
          <w:rFonts w:ascii="Gill Sans MT" w:hAnsi="Gill Sans MT"/>
        </w:rPr>
        <w:t>State Funding</w:t>
      </w:r>
    </w:p>
    <w:p w:rsidR="007F563C" w:rsidRPr="00123A32" w:rsidRDefault="007F563C" w:rsidP="007F563C">
      <w:pPr>
        <w:pStyle w:val="ListParagraph"/>
        <w:numPr>
          <w:ilvl w:val="0"/>
          <w:numId w:val="31"/>
        </w:numPr>
        <w:spacing w:after="140" w:line="300" w:lineRule="atLeast"/>
        <w:ind w:right="187"/>
        <w:rPr>
          <w:rFonts w:ascii="Gill Sans MT" w:hAnsi="Gill Sans MT"/>
        </w:rPr>
      </w:pPr>
      <w:r w:rsidRPr="00123A32">
        <w:rPr>
          <w:rFonts w:ascii="Gill Sans MT" w:hAnsi="Gill Sans MT"/>
        </w:rPr>
        <w:t>Australian Government funding</w:t>
      </w:r>
    </w:p>
    <w:p w:rsidR="007F563C" w:rsidRPr="00123A32" w:rsidRDefault="007F563C" w:rsidP="007F563C">
      <w:pPr>
        <w:pStyle w:val="ListParagraph"/>
        <w:numPr>
          <w:ilvl w:val="0"/>
          <w:numId w:val="31"/>
        </w:numPr>
        <w:spacing w:after="140" w:line="300" w:lineRule="atLeast"/>
        <w:ind w:right="187"/>
        <w:rPr>
          <w:rFonts w:ascii="Gill Sans MT" w:hAnsi="Gill Sans MT"/>
        </w:rPr>
      </w:pPr>
      <w:r w:rsidRPr="00123A32">
        <w:rPr>
          <w:rFonts w:ascii="Gill Sans MT" w:hAnsi="Gill Sans MT"/>
        </w:rPr>
        <w:t>THS Retained Revenue</w:t>
      </w:r>
    </w:p>
    <w:p w:rsidR="007F563C" w:rsidRPr="00123A32" w:rsidRDefault="007F563C" w:rsidP="007F563C">
      <w:pPr>
        <w:pStyle w:val="ListParagraph"/>
        <w:numPr>
          <w:ilvl w:val="0"/>
          <w:numId w:val="31"/>
        </w:numPr>
        <w:spacing w:after="140" w:line="300" w:lineRule="atLeast"/>
        <w:ind w:right="187"/>
        <w:rPr>
          <w:rFonts w:ascii="Gill Sans MT" w:hAnsi="Gill Sans MT"/>
        </w:rPr>
      </w:pPr>
      <w:r w:rsidRPr="00123A32">
        <w:rPr>
          <w:rFonts w:ascii="Gill Sans MT" w:hAnsi="Gill Sans MT"/>
        </w:rPr>
        <w:t>Pharmaceutical Benefits Scheme</w:t>
      </w:r>
    </w:p>
    <w:p w:rsidR="007F563C" w:rsidRDefault="007F563C" w:rsidP="007F563C">
      <w:pPr>
        <w:spacing w:after="140" w:line="300" w:lineRule="atLeast"/>
        <w:ind w:left="142" w:right="187" w:hanging="142"/>
      </w:pPr>
      <w:r>
        <w:t>The funding source table displays the</w:t>
      </w:r>
      <w:r w:rsidRPr="003B54B9">
        <w:t xml:space="preserve"> funding available to the THS.</w:t>
      </w:r>
    </w:p>
    <w:tbl>
      <w:tblPr>
        <w:tblStyle w:val="TableGrid"/>
        <w:tblW w:w="5000" w:type="pct"/>
        <w:tblLook w:val="04A0" w:firstRow="1" w:lastRow="0" w:firstColumn="1" w:lastColumn="0" w:noHBand="0" w:noVBand="1"/>
        <w:tblCaption w:val="Funding Source"/>
        <w:tblDescription w:val="Shows funding available to the THS"/>
      </w:tblPr>
      <w:tblGrid>
        <w:gridCol w:w="7053"/>
        <w:gridCol w:w="2189"/>
      </w:tblGrid>
      <w:tr w:rsidR="00BD2479" w:rsidRPr="00BD2479" w:rsidTr="00073773">
        <w:trPr>
          <w:trHeight w:val="255"/>
          <w:tblHeader/>
        </w:trPr>
        <w:tc>
          <w:tcPr>
            <w:tcW w:w="3816" w:type="pct"/>
            <w:shd w:val="clear" w:color="auto" w:fill="D9D9D9" w:themeFill="background1" w:themeFillShade="D9"/>
            <w:noWrap/>
            <w:vAlign w:val="center"/>
            <w:hideMark/>
          </w:tcPr>
          <w:p w:rsidR="00BD2479" w:rsidRPr="00BD2479" w:rsidRDefault="00BD2479" w:rsidP="00B277CE">
            <w:pPr>
              <w:spacing w:after="0" w:line="300" w:lineRule="atLeast"/>
              <w:ind w:left="142" w:right="187" w:hanging="142"/>
              <w:rPr>
                <w:b/>
                <w:bCs/>
                <w:sz w:val="20"/>
                <w:szCs w:val="20"/>
              </w:rPr>
            </w:pPr>
            <w:r w:rsidRPr="00BD2479">
              <w:rPr>
                <w:b/>
                <w:bCs/>
                <w:sz w:val="20"/>
                <w:szCs w:val="20"/>
              </w:rPr>
              <w:t xml:space="preserve">Funding Source </w:t>
            </w:r>
          </w:p>
        </w:tc>
        <w:tc>
          <w:tcPr>
            <w:tcW w:w="1184" w:type="pct"/>
            <w:shd w:val="clear" w:color="auto" w:fill="D9D9D9" w:themeFill="background1" w:themeFillShade="D9"/>
            <w:vAlign w:val="center"/>
            <w:hideMark/>
          </w:tcPr>
          <w:p w:rsidR="00BD2479" w:rsidRPr="00BD2479" w:rsidRDefault="00BD2479" w:rsidP="00B277CE">
            <w:pPr>
              <w:spacing w:after="0" w:line="300" w:lineRule="atLeast"/>
              <w:ind w:left="142" w:right="187" w:hanging="142"/>
              <w:jc w:val="right"/>
              <w:rPr>
                <w:b/>
                <w:bCs/>
                <w:sz w:val="20"/>
                <w:szCs w:val="20"/>
              </w:rPr>
            </w:pPr>
            <w:r w:rsidRPr="00BD2479">
              <w:rPr>
                <w:b/>
                <w:bCs/>
                <w:sz w:val="20"/>
                <w:szCs w:val="20"/>
              </w:rPr>
              <w:t xml:space="preserve"> Funding ($'000) </w:t>
            </w:r>
          </w:p>
        </w:tc>
      </w:tr>
      <w:tr w:rsidR="00BD2479" w:rsidRPr="00BD2479" w:rsidTr="00073773">
        <w:trPr>
          <w:trHeight w:val="360"/>
        </w:trPr>
        <w:tc>
          <w:tcPr>
            <w:tcW w:w="3816" w:type="pct"/>
            <w:noWrap/>
            <w:vAlign w:val="center"/>
            <w:hideMark/>
          </w:tcPr>
          <w:p w:rsidR="00BD2479" w:rsidRPr="00073773" w:rsidRDefault="00BD2479" w:rsidP="00B277CE">
            <w:pPr>
              <w:spacing w:after="0" w:line="300" w:lineRule="atLeast"/>
              <w:ind w:left="142" w:right="187" w:hanging="142"/>
              <w:rPr>
                <w:b/>
                <w:bCs/>
                <w:sz w:val="20"/>
                <w:szCs w:val="20"/>
              </w:rPr>
            </w:pPr>
            <w:r w:rsidRPr="00073773">
              <w:rPr>
                <w:b/>
                <w:bCs/>
                <w:sz w:val="20"/>
                <w:szCs w:val="20"/>
              </w:rPr>
              <w:t>Revenue from the Tasmanian Government</w:t>
            </w:r>
          </w:p>
        </w:tc>
        <w:tc>
          <w:tcPr>
            <w:tcW w:w="1184" w:type="pct"/>
            <w:vAlign w:val="center"/>
            <w:hideMark/>
          </w:tcPr>
          <w:p w:rsidR="00BD2479" w:rsidRPr="00BD2479" w:rsidRDefault="00BD2479" w:rsidP="00B277CE">
            <w:pPr>
              <w:spacing w:after="0" w:line="300" w:lineRule="atLeast"/>
              <w:ind w:left="142" w:right="187" w:hanging="142"/>
              <w:jc w:val="right"/>
              <w:rPr>
                <w:sz w:val="20"/>
                <w:szCs w:val="20"/>
              </w:rPr>
            </w:pPr>
            <w:r w:rsidRPr="00BD2479">
              <w:rPr>
                <w:sz w:val="20"/>
                <w:szCs w:val="20"/>
              </w:rPr>
              <w:t> </w:t>
            </w:r>
          </w:p>
        </w:tc>
      </w:tr>
      <w:tr w:rsidR="00BD2479" w:rsidRPr="00BD2479" w:rsidTr="00073773">
        <w:trPr>
          <w:trHeight w:val="285"/>
        </w:trPr>
        <w:tc>
          <w:tcPr>
            <w:tcW w:w="3816" w:type="pct"/>
            <w:vAlign w:val="center"/>
            <w:hideMark/>
          </w:tcPr>
          <w:p w:rsidR="00BD2479" w:rsidRPr="00BD2479" w:rsidRDefault="00BD2479" w:rsidP="00B277CE">
            <w:pPr>
              <w:spacing w:after="0" w:line="300" w:lineRule="atLeast"/>
              <w:ind w:left="142" w:right="187" w:hanging="142"/>
              <w:rPr>
                <w:sz w:val="20"/>
                <w:szCs w:val="20"/>
              </w:rPr>
            </w:pPr>
            <w:r w:rsidRPr="00BD2479">
              <w:rPr>
                <w:sz w:val="20"/>
                <w:szCs w:val="20"/>
              </w:rPr>
              <w:t xml:space="preserve">Activity and Block Funding </w:t>
            </w:r>
            <w:r w:rsidRPr="00BD2479">
              <w:rPr>
                <w:sz w:val="20"/>
                <w:szCs w:val="20"/>
                <w:vertAlign w:val="superscript"/>
              </w:rPr>
              <w:t>1</w:t>
            </w:r>
          </w:p>
        </w:tc>
        <w:tc>
          <w:tcPr>
            <w:tcW w:w="1184" w:type="pct"/>
            <w:vAlign w:val="center"/>
            <w:hideMark/>
          </w:tcPr>
          <w:p w:rsidR="00BD2479" w:rsidRPr="00BD2479" w:rsidRDefault="00BD2479" w:rsidP="00B277CE">
            <w:pPr>
              <w:spacing w:after="0" w:line="300" w:lineRule="atLeast"/>
              <w:ind w:left="142" w:right="187" w:hanging="142"/>
              <w:jc w:val="right"/>
              <w:rPr>
                <w:sz w:val="20"/>
                <w:szCs w:val="20"/>
              </w:rPr>
            </w:pPr>
            <w:r w:rsidRPr="00BD2479">
              <w:rPr>
                <w:sz w:val="20"/>
                <w:szCs w:val="20"/>
              </w:rPr>
              <w:t xml:space="preserve">725,873 </w:t>
            </w:r>
          </w:p>
        </w:tc>
      </w:tr>
      <w:tr w:rsidR="00BD2479" w:rsidRPr="00BD2479" w:rsidTr="00073773">
        <w:trPr>
          <w:trHeight w:val="255"/>
        </w:trPr>
        <w:tc>
          <w:tcPr>
            <w:tcW w:w="3816" w:type="pct"/>
            <w:vAlign w:val="center"/>
            <w:hideMark/>
          </w:tcPr>
          <w:p w:rsidR="00BD2479" w:rsidRPr="00BD2479" w:rsidRDefault="00BD2479" w:rsidP="00B277CE">
            <w:pPr>
              <w:spacing w:after="0" w:line="300" w:lineRule="atLeast"/>
              <w:ind w:left="142" w:right="187" w:hanging="142"/>
              <w:rPr>
                <w:sz w:val="20"/>
                <w:szCs w:val="20"/>
              </w:rPr>
            </w:pPr>
            <w:r w:rsidRPr="00BD2479">
              <w:rPr>
                <w:sz w:val="20"/>
                <w:szCs w:val="20"/>
              </w:rPr>
              <w:t>Mersey Community Hospital Funding</w:t>
            </w:r>
          </w:p>
        </w:tc>
        <w:tc>
          <w:tcPr>
            <w:tcW w:w="1184" w:type="pct"/>
            <w:vAlign w:val="center"/>
            <w:hideMark/>
          </w:tcPr>
          <w:p w:rsidR="00BD2479" w:rsidRPr="00BD2479" w:rsidRDefault="00BD2479" w:rsidP="00B277CE">
            <w:pPr>
              <w:spacing w:after="0" w:line="300" w:lineRule="atLeast"/>
              <w:ind w:left="142" w:right="187" w:hanging="142"/>
              <w:jc w:val="right"/>
              <w:rPr>
                <w:sz w:val="20"/>
                <w:szCs w:val="20"/>
              </w:rPr>
            </w:pPr>
            <w:r w:rsidRPr="00BD2479">
              <w:rPr>
                <w:sz w:val="20"/>
                <w:szCs w:val="20"/>
              </w:rPr>
              <w:t xml:space="preserve">78,140 </w:t>
            </w:r>
          </w:p>
        </w:tc>
      </w:tr>
      <w:tr w:rsidR="00BD2479" w:rsidRPr="00BD2479" w:rsidTr="00073773">
        <w:trPr>
          <w:trHeight w:val="255"/>
        </w:trPr>
        <w:tc>
          <w:tcPr>
            <w:tcW w:w="3816" w:type="pct"/>
            <w:noWrap/>
            <w:vAlign w:val="center"/>
            <w:hideMark/>
          </w:tcPr>
          <w:p w:rsidR="00BD2479" w:rsidRPr="00BD2479" w:rsidRDefault="00BD2479" w:rsidP="00B277CE">
            <w:pPr>
              <w:spacing w:after="0" w:line="300" w:lineRule="atLeast"/>
              <w:ind w:left="142" w:right="187" w:hanging="142"/>
              <w:rPr>
                <w:bCs/>
                <w:sz w:val="20"/>
                <w:szCs w:val="20"/>
              </w:rPr>
            </w:pPr>
            <w:r w:rsidRPr="00BD2479">
              <w:rPr>
                <w:bCs/>
                <w:sz w:val="20"/>
                <w:szCs w:val="20"/>
              </w:rPr>
              <w:t>Total Revenue from the Tasmanian Government</w:t>
            </w:r>
          </w:p>
        </w:tc>
        <w:tc>
          <w:tcPr>
            <w:tcW w:w="1184" w:type="pct"/>
            <w:vAlign w:val="center"/>
            <w:hideMark/>
          </w:tcPr>
          <w:p w:rsidR="00BD2479" w:rsidRPr="00BD2479" w:rsidRDefault="00BD2479" w:rsidP="00B277CE">
            <w:pPr>
              <w:spacing w:after="0" w:line="300" w:lineRule="atLeast"/>
              <w:ind w:left="142" w:right="187" w:hanging="142"/>
              <w:jc w:val="right"/>
              <w:rPr>
                <w:bCs/>
                <w:sz w:val="20"/>
                <w:szCs w:val="20"/>
              </w:rPr>
            </w:pPr>
            <w:r w:rsidRPr="00BD2479">
              <w:rPr>
                <w:bCs/>
                <w:sz w:val="20"/>
                <w:szCs w:val="20"/>
              </w:rPr>
              <w:t xml:space="preserve">804,013 </w:t>
            </w:r>
          </w:p>
        </w:tc>
      </w:tr>
      <w:tr w:rsidR="00BD2479" w:rsidRPr="00BD2479" w:rsidTr="00073773">
        <w:trPr>
          <w:trHeight w:val="420"/>
        </w:trPr>
        <w:tc>
          <w:tcPr>
            <w:tcW w:w="3816" w:type="pct"/>
            <w:noWrap/>
            <w:vAlign w:val="center"/>
            <w:hideMark/>
          </w:tcPr>
          <w:p w:rsidR="00BD2479" w:rsidRPr="00073773" w:rsidRDefault="00BD2479" w:rsidP="00B277CE">
            <w:pPr>
              <w:spacing w:after="0" w:line="300" w:lineRule="atLeast"/>
              <w:ind w:left="142" w:right="187" w:hanging="142"/>
              <w:rPr>
                <w:b/>
                <w:bCs/>
                <w:sz w:val="20"/>
                <w:szCs w:val="20"/>
              </w:rPr>
            </w:pPr>
            <w:r w:rsidRPr="00073773">
              <w:rPr>
                <w:b/>
                <w:bCs/>
                <w:sz w:val="20"/>
                <w:szCs w:val="20"/>
              </w:rPr>
              <w:t>Revenue from the Australian Government</w:t>
            </w:r>
          </w:p>
        </w:tc>
        <w:tc>
          <w:tcPr>
            <w:tcW w:w="1184" w:type="pct"/>
            <w:vAlign w:val="center"/>
            <w:hideMark/>
          </w:tcPr>
          <w:p w:rsidR="00BD2479" w:rsidRPr="00BD2479" w:rsidRDefault="00BD2479" w:rsidP="00B277CE">
            <w:pPr>
              <w:spacing w:after="0" w:line="300" w:lineRule="atLeast"/>
              <w:ind w:left="142" w:right="187" w:hanging="142"/>
              <w:jc w:val="right"/>
              <w:rPr>
                <w:bCs/>
                <w:sz w:val="20"/>
                <w:szCs w:val="20"/>
              </w:rPr>
            </w:pPr>
            <w:r w:rsidRPr="00BD2479">
              <w:rPr>
                <w:bCs/>
                <w:sz w:val="20"/>
                <w:szCs w:val="20"/>
              </w:rPr>
              <w:t> </w:t>
            </w:r>
          </w:p>
        </w:tc>
      </w:tr>
      <w:tr w:rsidR="00BD2479" w:rsidRPr="00BD2479" w:rsidTr="00073773">
        <w:trPr>
          <w:trHeight w:val="300"/>
        </w:trPr>
        <w:tc>
          <w:tcPr>
            <w:tcW w:w="3816" w:type="pct"/>
            <w:vAlign w:val="center"/>
            <w:hideMark/>
          </w:tcPr>
          <w:p w:rsidR="00BD2479" w:rsidRPr="00BD2479" w:rsidRDefault="00BD2479" w:rsidP="00B277CE">
            <w:pPr>
              <w:spacing w:after="0" w:line="300" w:lineRule="atLeast"/>
              <w:ind w:left="142" w:right="187" w:hanging="142"/>
              <w:rPr>
                <w:sz w:val="20"/>
                <w:szCs w:val="20"/>
              </w:rPr>
            </w:pPr>
            <w:r w:rsidRPr="00BD2479">
              <w:rPr>
                <w:sz w:val="20"/>
                <w:szCs w:val="20"/>
              </w:rPr>
              <w:t xml:space="preserve">Activity Based Funding </w:t>
            </w:r>
            <w:r w:rsidRPr="00BD2479">
              <w:rPr>
                <w:sz w:val="20"/>
                <w:szCs w:val="20"/>
                <w:vertAlign w:val="superscript"/>
              </w:rPr>
              <w:t>2</w:t>
            </w:r>
          </w:p>
        </w:tc>
        <w:tc>
          <w:tcPr>
            <w:tcW w:w="1184" w:type="pct"/>
            <w:vAlign w:val="center"/>
            <w:hideMark/>
          </w:tcPr>
          <w:p w:rsidR="00BD2479" w:rsidRPr="00BD2479" w:rsidRDefault="00BD2479" w:rsidP="00B277CE">
            <w:pPr>
              <w:spacing w:after="0" w:line="300" w:lineRule="atLeast"/>
              <w:ind w:left="142" w:right="187" w:hanging="142"/>
              <w:jc w:val="right"/>
              <w:rPr>
                <w:sz w:val="20"/>
                <w:szCs w:val="20"/>
              </w:rPr>
            </w:pPr>
            <w:r w:rsidRPr="00BD2479">
              <w:rPr>
                <w:sz w:val="20"/>
                <w:szCs w:val="20"/>
              </w:rPr>
              <w:t xml:space="preserve">332,621 </w:t>
            </w:r>
          </w:p>
        </w:tc>
      </w:tr>
      <w:tr w:rsidR="00BD2479" w:rsidRPr="00BD2479" w:rsidTr="00073773">
        <w:trPr>
          <w:trHeight w:val="300"/>
        </w:trPr>
        <w:tc>
          <w:tcPr>
            <w:tcW w:w="3816" w:type="pct"/>
            <w:vAlign w:val="center"/>
            <w:hideMark/>
          </w:tcPr>
          <w:p w:rsidR="00BD2479" w:rsidRPr="00BD2479" w:rsidRDefault="00BD2479" w:rsidP="00B277CE">
            <w:pPr>
              <w:spacing w:after="0" w:line="300" w:lineRule="atLeast"/>
              <w:ind w:left="142" w:right="187" w:hanging="142"/>
              <w:rPr>
                <w:sz w:val="20"/>
                <w:szCs w:val="20"/>
              </w:rPr>
            </w:pPr>
            <w:r w:rsidRPr="00BD2479">
              <w:rPr>
                <w:sz w:val="20"/>
                <w:szCs w:val="20"/>
              </w:rPr>
              <w:t xml:space="preserve">Block Funding </w:t>
            </w:r>
            <w:r w:rsidRPr="00BD2479">
              <w:rPr>
                <w:sz w:val="20"/>
                <w:szCs w:val="20"/>
                <w:vertAlign w:val="superscript"/>
              </w:rPr>
              <w:t>3</w:t>
            </w:r>
          </w:p>
        </w:tc>
        <w:tc>
          <w:tcPr>
            <w:tcW w:w="1184" w:type="pct"/>
            <w:vAlign w:val="center"/>
            <w:hideMark/>
          </w:tcPr>
          <w:p w:rsidR="00BD2479" w:rsidRPr="00BD2479" w:rsidRDefault="00BD2479" w:rsidP="00B277CE">
            <w:pPr>
              <w:spacing w:after="0" w:line="300" w:lineRule="atLeast"/>
              <w:ind w:left="142" w:right="187" w:hanging="142"/>
              <w:jc w:val="right"/>
              <w:rPr>
                <w:sz w:val="20"/>
                <w:szCs w:val="20"/>
              </w:rPr>
            </w:pPr>
            <w:r w:rsidRPr="00BD2479">
              <w:rPr>
                <w:sz w:val="20"/>
                <w:szCs w:val="20"/>
              </w:rPr>
              <w:t xml:space="preserve">61,739 </w:t>
            </w:r>
          </w:p>
        </w:tc>
      </w:tr>
      <w:tr w:rsidR="00BD2479" w:rsidRPr="00BD2479" w:rsidTr="00073773">
        <w:trPr>
          <w:trHeight w:val="255"/>
        </w:trPr>
        <w:tc>
          <w:tcPr>
            <w:tcW w:w="3816" w:type="pct"/>
            <w:vAlign w:val="center"/>
            <w:hideMark/>
          </w:tcPr>
          <w:p w:rsidR="00BD2479" w:rsidRPr="00BD2479" w:rsidRDefault="00BD2479" w:rsidP="00B277CE">
            <w:pPr>
              <w:spacing w:after="0" w:line="300" w:lineRule="atLeast"/>
              <w:ind w:left="142" w:right="187" w:hanging="142"/>
              <w:rPr>
                <w:sz w:val="20"/>
                <w:szCs w:val="20"/>
              </w:rPr>
            </w:pPr>
            <w:r w:rsidRPr="00BD2479">
              <w:rPr>
                <w:sz w:val="20"/>
                <w:szCs w:val="20"/>
              </w:rPr>
              <w:t>National Partnership Funding</w:t>
            </w:r>
          </w:p>
        </w:tc>
        <w:tc>
          <w:tcPr>
            <w:tcW w:w="1184" w:type="pct"/>
            <w:vAlign w:val="center"/>
            <w:hideMark/>
          </w:tcPr>
          <w:p w:rsidR="00BD2479" w:rsidRPr="00BD2479" w:rsidRDefault="00BD2479" w:rsidP="00B277CE">
            <w:pPr>
              <w:spacing w:after="0" w:line="300" w:lineRule="atLeast"/>
              <w:ind w:left="142" w:right="187" w:hanging="142"/>
              <w:jc w:val="right"/>
              <w:rPr>
                <w:sz w:val="20"/>
                <w:szCs w:val="20"/>
              </w:rPr>
            </w:pPr>
            <w:r w:rsidRPr="00BD2479">
              <w:rPr>
                <w:sz w:val="20"/>
                <w:szCs w:val="20"/>
              </w:rPr>
              <w:t xml:space="preserve">4,223 </w:t>
            </w:r>
          </w:p>
        </w:tc>
      </w:tr>
      <w:tr w:rsidR="00BD2479" w:rsidRPr="00BD2479" w:rsidTr="00073773">
        <w:trPr>
          <w:trHeight w:val="255"/>
        </w:trPr>
        <w:tc>
          <w:tcPr>
            <w:tcW w:w="3816" w:type="pct"/>
            <w:vAlign w:val="center"/>
            <w:hideMark/>
          </w:tcPr>
          <w:p w:rsidR="00BD2479" w:rsidRPr="00BD2479" w:rsidRDefault="00BD2479" w:rsidP="00B277CE">
            <w:pPr>
              <w:spacing w:after="0" w:line="300" w:lineRule="atLeast"/>
              <w:ind w:left="142" w:right="187" w:hanging="142"/>
              <w:rPr>
                <w:sz w:val="20"/>
                <w:szCs w:val="20"/>
              </w:rPr>
            </w:pPr>
            <w:r w:rsidRPr="00BD2479">
              <w:rPr>
                <w:sz w:val="20"/>
                <w:szCs w:val="20"/>
              </w:rPr>
              <w:t>Commonwealth Own Purpose Expenditure</w:t>
            </w:r>
          </w:p>
        </w:tc>
        <w:tc>
          <w:tcPr>
            <w:tcW w:w="1184" w:type="pct"/>
            <w:vAlign w:val="center"/>
            <w:hideMark/>
          </w:tcPr>
          <w:p w:rsidR="00BD2479" w:rsidRPr="00BD2479" w:rsidRDefault="00BD2479" w:rsidP="00B277CE">
            <w:pPr>
              <w:spacing w:after="0" w:line="300" w:lineRule="atLeast"/>
              <w:ind w:left="142" w:right="187" w:hanging="142"/>
              <w:jc w:val="right"/>
              <w:rPr>
                <w:sz w:val="20"/>
                <w:szCs w:val="20"/>
              </w:rPr>
            </w:pPr>
            <w:r w:rsidRPr="00BD2479">
              <w:rPr>
                <w:sz w:val="20"/>
                <w:szCs w:val="20"/>
              </w:rPr>
              <w:t xml:space="preserve">33,785 </w:t>
            </w:r>
          </w:p>
        </w:tc>
      </w:tr>
      <w:tr w:rsidR="00BD2479" w:rsidRPr="00BD2479" w:rsidTr="00073773">
        <w:trPr>
          <w:trHeight w:val="255"/>
        </w:trPr>
        <w:tc>
          <w:tcPr>
            <w:tcW w:w="3816" w:type="pct"/>
            <w:noWrap/>
            <w:vAlign w:val="center"/>
            <w:hideMark/>
          </w:tcPr>
          <w:p w:rsidR="00BD2479" w:rsidRPr="00BD2479" w:rsidRDefault="00BD2479" w:rsidP="00B277CE">
            <w:pPr>
              <w:spacing w:after="0" w:line="300" w:lineRule="atLeast"/>
              <w:ind w:left="142" w:right="187" w:hanging="142"/>
              <w:rPr>
                <w:bCs/>
                <w:sz w:val="20"/>
                <w:szCs w:val="20"/>
              </w:rPr>
            </w:pPr>
            <w:r w:rsidRPr="00BD2479">
              <w:rPr>
                <w:bCs/>
                <w:sz w:val="20"/>
                <w:szCs w:val="20"/>
              </w:rPr>
              <w:t>Total Revenue from the Australian Government</w:t>
            </w:r>
          </w:p>
        </w:tc>
        <w:tc>
          <w:tcPr>
            <w:tcW w:w="1184" w:type="pct"/>
            <w:vAlign w:val="center"/>
            <w:hideMark/>
          </w:tcPr>
          <w:p w:rsidR="00BD2479" w:rsidRPr="00BD2479" w:rsidRDefault="00BD2479" w:rsidP="00B277CE">
            <w:pPr>
              <w:spacing w:after="0" w:line="300" w:lineRule="atLeast"/>
              <w:ind w:left="142" w:right="187" w:hanging="142"/>
              <w:jc w:val="right"/>
              <w:rPr>
                <w:bCs/>
                <w:sz w:val="20"/>
                <w:szCs w:val="20"/>
              </w:rPr>
            </w:pPr>
            <w:r w:rsidRPr="00BD2479">
              <w:rPr>
                <w:bCs/>
                <w:sz w:val="20"/>
                <w:szCs w:val="20"/>
              </w:rPr>
              <w:t xml:space="preserve">432,368 </w:t>
            </w:r>
          </w:p>
        </w:tc>
      </w:tr>
      <w:tr w:rsidR="00BD2479" w:rsidRPr="00BD2479" w:rsidTr="00073773">
        <w:trPr>
          <w:trHeight w:val="390"/>
        </w:trPr>
        <w:tc>
          <w:tcPr>
            <w:tcW w:w="3816" w:type="pct"/>
            <w:noWrap/>
            <w:vAlign w:val="center"/>
            <w:hideMark/>
          </w:tcPr>
          <w:p w:rsidR="00BD2479" w:rsidRPr="00BD2479" w:rsidRDefault="00BD2479" w:rsidP="00B277CE">
            <w:pPr>
              <w:spacing w:after="0" w:line="300" w:lineRule="atLeast"/>
              <w:ind w:left="142" w:right="187" w:hanging="142"/>
              <w:rPr>
                <w:bCs/>
                <w:sz w:val="20"/>
                <w:szCs w:val="20"/>
              </w:rPr>
            </w:pPr>
            <w:r w:rsidRPr="00BD2479">
              <w:rPr>
                <w:bCs/>
                <w:sz w:val="20"/>
                <w:szCs w:val="20"/>
              </w:rPr>
              <w:t>Total Tasmanian and Australian Government Revenue</w:t>
            </w:r>
          </w:p>
        </w:tc>
        <w:tc>
          <w:tcPr>
            <w:tcW w:w="1184" w:type="pct"/>
            <w:vAlign w:val="center"/>
            <w:hideMark/>
          </w:tcPr>
          <w:p w:rsidR="00BD2479" w:rsidRPr="00BD2479" w:rsidRDefault="00BD2479" w:rsidP="00B277CE">
            <w:pPr>
              <w:spacing w:after="0" w:line="300" w:lineRule="atLeast"/>
              <w:ind w:left="142" w:right="187" w:hanging="142"/>
              <w:jc w:val="right"/>
              <w:rPr>
                <w:bCs/>
                <w:sz w:val="20"/>
                <w:szCs w:val="20"/>
              </w:rPr>
            </w:pPr>
            <w:r w:rsidRPr="00BD2479">
              <w:rPr>
                <w:bCs/>
                <w:sz w:val="20"/>
                <w:szCs w:val="20"/>
              </w:rPr>
              <w:t xml:space="preserve">1,236,381 </w:t>
            </w:r>
          </w:p>
        </w:tc>
      </w:tr>
      <w:tr w:rsidR="00BD2479" w:rsidRPr="00BD2479" w:rsidTr="00073773">
        <w:trPr>
          <w:trHeight w:val="450"/>
        </w:trPr>
        <w:tc>
          <w:tcPr>
            <w:tcW w:w="3816" w:type="pct"/>
            <w:noWrap/>
            <w:vAlign w:val="center"/>
            <w:hideMark/>
          </w:tcPr>
          <w:p w:rsidR="00BD2479" w:rsidRPr="00073773" w:rsidRDefault="00BD2479" w:rsidP="00B277CE">
            <w:pPr>
              <w:spacing w:after="0" w:line="300" w:lineRule="atLeast"/>
              <w:ind w:left="142" w:right="187" w:hanging="142"/>
              <w:rPr>
                <w:b/>
                <w:bCs/>
                <w:sz w:val="20"/>
                <w:szCs w:val="20"/>
              </w:rPr>
            </w:pPr>
            <w:r w:rsidRPr="00073773">
              <w:rPr>
                <w:b/>
                <w:bCs/>
                <w:sz w:val="20"/>
                <w:szCs w:val="20"/>
              </w:rPr>
              <w:t>Other Source of Revenue</w:t>
            </w:r>
          </w:p>
        </w:tc>
        <w:tc>
          <w:tcPr>
            <w:tcW w:w="1184" w:type="pct"/>
            <w:vAlign w:val="center"/>
            <w:hideMark/>
          </w:tcPr>
          <w:p w:rsidR="00BD2479" w:rsidRPr="00BD2479" w:rsidRDefault="00BD2479" w:rsidP="00B277CE">
            <w:pPr>
              <w:spacing w:after="0" w:line="300" w:lineRule="atLeast"/>
              <w:ind w:left="142" w:right="187" w:hanging="142"/>
              <w:rPr>
                <w:sz w:val="20"/>
                <w:szCs w:val="20"/>
              </w:rPr>
            </w:pPr>
            <w:r w:rsidRPr="00BD2479">
              <w:rPr>
                <w:sz w:val="20"/>
                <w:szCs w:val="20"/>
              </w:rPr>
              <w:t> </w:t>
            </w:r>
          </w:p>
        </w:tc>
      </w:tr>
      <w:tr w:rsidR="00BD2479" w:rsidRPr="00BD2479" w:rsidTr="00073773">
        <w:trPr>
          <w:trHeight w:val="255"/>
        </w:trPr>
        <w:tc>
          <w:tcPr>
            <w:tcW w:w="3816" w:type="pct"/>
            <w:vAlign w:val="center"/>
            <w:hideMark/>
          </w:tcPr>
          <w:p w:rsidR="00BD2479" w:rsidRPr="00BD2479" w:rsidRDefault="00BD2479" w:rsidP="00B277CE">
            <w:pPr>
              <w:spacing w:after="0" w:line="300" w:lineRule="atLeast"/>
              <w:ind w:left="142" w:right="187" w:hanging="142"/>
              <w:rPr>
                <w:sz w:val="20"/>
                <w:szCs w:val="20"/>
              </w:rPr>
            </w:pPr>
            <w:r w:rsidRPr="00BD2479">
              <w:rPr>
                <w:sz w:val="20"/>
                <w:szCs w:val="20"/>
              </w:rPr>
              <w:t xml:space="preserve">THS Own Source </w:t>
            </w:r>
            <w:r w:rsidRPr="00BD2479">
              <w:rPr>
                <w:sz w:val="20"/>
                <w:szCs w:val="20"/>
                <w:vertAlign w:val="superscript"/>
              </w:rPr>
              <w:t>4</w:t>
            </w:r>
          </w:p>
        </w:tc>
        <w:tc>
          <w:tcPr>
            <w:tcW w:w="1184" w:type="pct"/>
            <w:vAlign w:val="center"/>
            <w:hideMark/>
          </w:tcPr>
          <w:p w:rsidR="00BD2479" w:rsidRPr="00BD2479" w:rsidRDefault="00BD2479" w:rsidP="00B277CE">
            <w:pPr>
              <w:spacing w:after="0" w:line="300" w:lineRule="atLeast"/>
              <w:ind w:left="142" w:right="187" w:hanging="142"/>
              <w:jc w:val="right"/>
              <w:rPr>
                <w:sz w:val="20"/>
                <w:szCs w:val="20"/>
              </w:rPr>
            </w:pPr>
            <w:r w:rsidRPr="00BD2479">
              <w:rPr>
                <w:sz w:val="20"/>
                <w:szCs w:val="20"/>
              </w:rPr>
              <w:t xml:space="preserve"> 150,307 </w:t>
            </w:r>
          </w:p>
        </w:tc>
      </w:tr>
      <w:tr w:rsidR="00BD2479" w:rsidRPr="00BD2479" w:rsidTr="00073773">
        <w:trPr>
          <w:trHeight w:val="255"/>
        </w:trPr>
        <w:tc>
          <w:tcPr>
            <w:tcW w:w="3816" w:type="pct"/>
            <w:vAlign w:val="center"/>
            <w:hideMark/>
          </w:tcPr>
          <w:p w:rsidR="00BD2479" w:rsidRPr="00BD2479" w:rsidRDefault="00BD2479" w:rsidP="00B277CE">
            <w:pPr>
              <w:spacing w:after="0" w:line="300" w:lineRule="atLeast"/>
              <w:ind w:left="142" w:right="187" w:hanging="142"/>
              <w:rPr>
                <w:sz w:val="20"/>
                <w:szCs w:val="20"/>
              </w:rPr>
            </w:pPr>
            <w:r w:rsidRPr="00BD2479">
              <w:rPr>
                <w:sz w:val="20"/>
                <w:szCs w:val="20"/>
              </w:rPr>
              <w:t xml:space="preserve">Pharmaceutical Benefits Scheme </w:t>
            </w:r>
          </w:p>
        </w:tc>
        <w:tc>
          <w:tcPr>
            <w:tcW w:w="1184" w:type="pct"/>
            <w:vAlign w:val="center"/>
            <w:hideMark/>
          </w:tcPr>
          <w:p w:rsidR="00BD2479" w:rsidRPr="00BD2479" w:rsidRDefault="00BD2479" w:rsidP="00B277CE">
            <w:pPr>
              <w:spacing w:after="0" w:line="300" w:lineRule="atLeast"/>
              <w:ind w:left="142" w:right="187" w:hanging="142"/>
              <w:jc w:val="right"/>
              <w:rPr>
                <w:sz w:val="20"/>
                <w:szCs w:val="20"/>
              </w:rPr>
            </w:pPr>
            <w:r w:rsidRPr="00BD2479">
              <w:rPr>
                <w:sz w:val="20"/>
                <w:szCs w:val="20"/>
              </w:rPr>
              <w:t xml:space="preserve"> 43,549 </w:t>
            </w:r>
          </w:p>
        </w:tc>
      </w:tr>
      <w:tr w:rsidR="00BD2479" w:rsidRPr="00BD2479" w:rsidTr="00073773">
        <w:trPr>
          <w:trHeight w:val="255"/>
        </w:trPr>
        <w:tc>
          <w:tcPr>
            <w:tcW w:w="3816" w:type="pct"/>
            <w:noWrap/>
            <w:vAlign w:val="center"/>
            <w:hideMark/>
          </w:tcPr>
          <w:p w:rsidR="00BD2479" w:rsidRPr="00BD2479" w:rsidRDefault="00BD2479" w:rsidP="00B277CE">
            <w:pPr>
              <w:spacing w:after="0" w:line="300" w:lineRule="atLeast"/>
              <w:ind w:left="142" w:right="187" w:hanging="142"/>
              <w:rPr>
                <w:bCs/>
                <w:sz w:val="20"/>
                <w:szCs w:val="20"/>
              </w:rPr>
            </w:pPr>
            <w:r w:rsidRPr="00BD2479">
              <w:rPr>
                <w:bCs/>
                <w:sz w:val="20"/>
                <w:szCs w:val="20"/>
              </w:rPr>
              <w:t>Total Other Source of Revenue</w:t>
            </w:r>
          </w:p>
        </w:tc>
        <w:tc>
          <w:tcPr>
            <w:tcW w:w="1184" w:type="pct"/>
            <w:vAlign w:val="center"/>
            <w:hideMark/>
          </w:tcPr>
          <w:p w:rsidR="00BD2479" w:rsidRPr="00BD2479" w:rsidRDefault="00BD2479" w:rsidP="00B277CE">
            <w:pPr>
              <w:spacing w:after="0" w:line="300" w:lineRule="atLeast"/>
              <w:ind w:left="142" w:right="187" w:hanging="142"/>
              <w:jc w:val="right"/>
              <w:rPr>
                <w:bCs/>
                <w:sz w:val="20"/>
                <w:szCs w:val="20"/>
              </w:rPr>
            </w:pPr>
            <w:r w:rsidRPr="00BD2479">
              <w:rPr>
                <w:bCs/>
                <w:sz w:val="20"/>
                <w:szCs w:val="20"/>
              </w:rPr>
              <w:t xml:space="preserve">193,855 </w:t>
            </w:r>
          </w:p>
        </w:tc>
      </w:tr>
      <w:tr w:rsidR="00BD2479" w:rsidRPr="00BD2479" w:rsidTr="00073773">
        <w:trPr>
          <w:trHeight w:val="405"/>
        </w:trPr>
        <w:tc>
          <w:tcPr>
            <w:tcW w:w="3816" w:type="pct"/>
            <w:noWrap/>
            <w:vAlign w:val="center"/>
            <w:hideMark/>
          </w:tcPr>
          <w:p w:rsidR="00BD2479" w:rsidRPr="00BD2479" w:rsidRDefault="00BD2479" w:rsidP="00B277CE">
            <w:pPr>
              <w:spacing w:after="0" w:line="300" w:lineRule="atLeast"/>
              <w:ind w:left="142" w:right="187" w:hanging="142"/>
              <w:rPr>
                <w:bCs/>
                <w:sz w:val="20"/>
                <w:szCs w:val="20"/>
              </w:rPr>
            </w:pPr>
            <w:r w:rsidRPr="00BD2479">
              <w:rPr>
                <w:bCs/>
                <w:sz w:val="20"/>
                <w:szCs w:val="20"/>
              </w:rPr>
              <w:t>Total Funding</w:t>
            </w:r>
          </w:p>
        </w:tc>
        <w:tc>
          <w:tcPr>
            <w:tcW w:w="1184" w:type="pct"/>
            <w:noWrap/>
            <w:vAlign w:val="center"/>
            <w:hideMark/>
          </w:tcPr>
          <w:p w:rsidR="00BD2479" w:rsidRPr="00BD2479" w:rsidRDefault="00BD2479" w:rsidP="00B277CE">
            <w:pPr>
              <w:spacing w:after="0" w:line="300" w:lineRule="atLeast"/>
              <w:ind w:left="142" w:right="187" w:hanging="142"/>
              <w:jc w:val="right"/>
              <w:rPr>
                <w:bCs/>
                <w:sz w:val="20"/>
                <w:szCs w:val="20"/>
              </w:rPr>
            </w:pPr>
            <w:r w:rsidRPr="00BD2479">
              <w:rPr>
                <w:bCs/>
                <w:sz w:val="20"/>
                <w:szCs w:val="20"/>
              </w:rPr>
              <w:t xml:space="preserve"> 1,430,236</w:t>
            </w:r>
          </w:p>
        </w:tc>
      </w:tr>
    </w:tbl>
    <w:p w:rsidR="00FF7B4C" w:rsidRDefault="00FF7B4C" w:rsidP="00EE2B3E">
      <w:pPr>
        <w:spacing w:after="140" w:line="300" w:lineRule="atLeast"/>
        <w:ind w:left="142" w:right="187" w:hanging="142"/>
        <w:rPr>
          <w:b/>
          <w:sz w:val="20"/>
          <w:szCs w:val="20"/>
        </w:rPr>
      </w:pPr>
    </w:p>
    <w:p w:rsidR="00B277CE" w:rsidRPr="00B277CE" w:rsidRDefault="00B277CE" w:rsidP="00EE2B3E">
      <w:pPr>
        <w:spacing w:after="140" w:line="300" w:lineRule="atLeast"/>
        <w:ind w:left="142" w:right="187" w:hanging="142"/>
        <w:rPr>
          <w:b/>
          <w:szCs w:val="20"/>
        </w:rPr>
      </w:pPr>
      <w:r w:rsidRPr="00B277CE">
        <w:rPr>
          <w:b/>
          <w:szCs w:val="20"/>
        </w:rPr>
        <w:t>Notes:</w:t>
      </w:r>
    </w:p>
    <w:p w:rsidR="00073773" w:rsidRPr="00073773" w:rsidRDefault="00073773" w:rsidP="00EE2B3E">
      <w:pPr>
        <w:spacing w:after="140" w:line="300" w:lineRule="atLeast"/>
        <w:ind w:left="142" w:right="187" w:hanging="142"/>
        <w:rPr>
          <w:sz w:val="20"/>
        </w:rPr>
      </w:pPr>
      <w:r w:rsidRPr="00073773">
        <w:rPr>
          <w:sz w:val="20"/>
          <w:vertAlign w:val="superscript"/>
        </w:rPr>
        <w:t xml:space="preserve">1 </w:t>
      </w:r>
      <w:r w:rsidRPr="00073773">
        <w:rPr>
          <w:sz w:val="20"/>
        </w:rPr>
        <w:t>The 2017 18 Budget Papers included a provision of $20 million within Finance General for a range of health initiatives to be delivered by the THS.  These are the Statewide Operations and Command Centre ($1.5 million), the Launceston General Hospital Ward 4D Boost ($2.14 Million), Royal Hobart Hospital Repatriation Hospital Support Package $11.36 million and the John L. Grove Rehabilitation Centre ($5 million).   The Activity and Block Funding Component of the Revenue from the Tasmanian Government includes the $5 million for the John L. Grove Rehabilitation Centre.  The remainder of the initiatives funded through Finance General will be included via an amendment to the 2017 18 Service Agreement during the course of the year in accordance with section 44 of Tasmanian Health Organisations Act 2011. The Activity and Block Funding Component of the Revenue from the Tasmanian Government excludes the $5.4million for the Purchaser’s Reserve.</w:t>
      </w:r>
    </w:p>
    <w:p w:rsidR="00073773" w:rsidRPr="00073773" w:rsidRDefault="00073773" w:rsidP="00073773">
      <w:pPr>
        <w:spacing w:after="140" w:line="300" w:lineRule="atLeast"/>
        <w:ind w:left="142" w:right="187" w:hanging="142"/>
        <w:rPr>
          <w:sz w:val="20"/>
        </w:rPr>
      </w:pPr>
      <w:proofErr w:type="gramStart"/>
      <w:r w:rsidRPr="00073773">
        <w:rPr>
          <w:sz w:val="20"/>
          <w:vertAlign w:val="superscript"/>
        </w:rPr>
        <w:t xml:space="preserve">2 </w:t>
      </w:r>
      <w:r w:rsidRPr="00073773">
        <w:rPr>
          <w:sz w:val="20"/>
        </w:rPr>
        <w:t>The Australian Government ABF revenue</w:t>
      </w:r>
      <w:proofErr w:type="gramEnd"/>
      <w:r w:rsidRPr="00073773">
        <w:rPr>
          <w:sz w:val="20"/>
        </w:rPr>
        <w:t xml:space="preserve"> has been adjusted to reflect the NWAU </w:t>
      </w:r>
      <w:r w:rsidR="00B277CE" w:rsidRPr="00073773">
        <w:rPr>
          <w:sz w:val="20"/>
        </w:rPr>
        <w:t>volumes that</w:t>
      </w:r>
      <w:r w:rsidRPr="00073773">
        <w:rPr>
          <w:sz w:val="20"/>
        </w:rPr>
        <w:t xml:space="preserve"> have been purchased in the 2017-18 service agreement.</w:t>
      </w:r>
    </w:p>
    <w:p w:rsidR="00073773" w:rsidRPr="00073773" w:rsidRDefault="00073773" w:rsidP="00073773">
      <w:pPr>
        <w:spacing w:after="140" w:line="300" w:lineRule="atLeast"/>
        <w:ind w:left="142" w:right="187" w:hanging="142"/>
        <w:rPr>
          <w:sz w:val="20"/>
        </w:rPr>
      </w:pPr>
      <w:r w:rsidRPr="00073773">
        <w:rPr>
          <w:sz w:val="20"/>
          <w:vertAlign w:val="superscript"/>
        </w:rPr>
        <w:t>3</w:t>
      </w:r>
      <w:r w:rsidRPr="00073773">
        <w:rPr>
          <w:sz w:val="20"/>
        </w:rPr>
        <w:t xml:space="preserve"> Funding </w:t>
      </w:r>
      <w:r w:rsidR="00B277CE" w:rsidRPr="00073773">
        <w:rPr>
          <w:sz w:val="20"/>
        </w:rPr>
        <w:t>adjusted to</w:t>
      </w:r>
      <w:r w:rsidRPr="00073773">
        <w:rPr>
          <w:sz w:val="20"/>
        </w:rPr>
        <w:t xml:space="preserve"> reflect a revised amount provided by the Australian Government.</w:t>
      </w:r>
    </w:p>
    <w:p w:rsidR="00073773" w:rsidRDefault="00073773" w:rsidP="00073773">
      <w:pPr>
        <w:spacing w:after="140" w:line="300" w:lineRule="atLeast"/>
        <w:ind w:left="142" w:right="187" w:hanging="142"/>
        <w:rPr>
          <w:sz w:val="20"/>
        </w:rPr>
      </w:pPr>
      <w:r w:rsidRPr="00073773">
        <w:rPr>
          <w:sz w:val="20"/>
          <w:vertAlign w:val="superscript"/>
        </w:rPr>
        <w:t xml:space="preserve">4 </w:t>
      </w:r>
      <w:r w:rsidRPr="00073773">
        <w:rPr>
          <w:sz w:val="20"/>
        </w:rPr>
        <w:t>THS own source revenue differs from the budget papers.  It is a projection based on actual revenue flows with adjustments for inflation and other known changes.  It includes an additional $1.4 million which is a target for the THS to generate additional own source revenue in 2017-18.</w:t>
      </w:r>
    </w:p>
    <w:p w:rsidR="007F563C" w:rsidRDefault="007F563C">
      <w:pPr>
        <w:rPr>
          <w:b/>
          <w:sz w:val="24"/>
          <w:szCs w:val="24"/>
        </w:rPr>
      </w:pPr>
    </w:p>
    <w:p w:rsidR="00EE2B3E" w:rsidRDefault="003B54B9" w:rsidP="00EE2B3E">
      <w:pPr>
        <w:spacing w:after="140" w:line="300" w:lineRule="atLeast"/>
        <w:ind w:right="185"/>
        <w:jc w:val="both"/>
        <w:rPr>
          <w:b/>
        </w:rPr>
      </w:pPr>
      <w:r>
        <w:rPr>
          <w:b/>
          <w:sz w:val="24"/>
          <w:szCs w:val="24"/>
        </w:rPr>
        <w:t xml:space="preserve">Tasmanian Health Service </w:t>
      </w:r>
      <w:r w:rsidRPr="008043FC">
        <w:rPr>
          <w:b/>
          <w:sz w:val="24"/>
          <w:szCs w:val="24"/>
        </w:rPr>
        <w:t>Budget Commitments</w:t>
      </w:r>
    </w:p>
    <w:tbl>
      <w:tblPr>
        <w:tblStyle w:val="TableGrid"/>
        <w:tblW w:w="5000" w:type="pct"/>
        <w:tblLook w:val="04A0" w:firstRow="1" w:lastRow="0" w:firstColumn="1" w:lastColumn="0" w:noHBand="0" w:noVBand="1"/>
        <w:tblCaption w:val="Budget Committments"/>
        <w:tblDescription w:val="Shows Block Funded and Activity Based Funding Commitment allocations"/>
      </w:tblPr>
      <w:tblGrid>
        <w:gridCol w:w="7053"/>
        <w:gridCol w:w="2189"/>
      </w:tblGrid>
      <w:tr w:rsidR="00B277CE" w:rsidRPr="009614ED" w:rsidTr="00B277CE">
        <w:trPr>
          <w:trHeight w:val="480"/>
          <w:tblHeader/>
        </w:trPr>
        <w:tc>
          <w:tcPr>
            <w:tcW w:w="3816" w:type="pct"/>
            <w:shd w:val="clear" w:color="auto" w:fill="D9D9D9" w:themeFill="background1" w:themeFillShade="D9"/>
            <w:noWrap/>
            <w:hideMark/>
          </w:tcPr>
          <w:p w:rsidR="009614ED" w:rsidRPr="009614ED" w:rsidRDefault="009614ED" w:rsidP="00B277CE">
            <w:pPr>
              <w:spacing w:after="0" w:line="300" w:lineRule="atLeast"/>
              <w:ind w:right="185"/>
              <w:jc w:val="both"/>
              <w:rPr>
                <w:b/>
                <w:bCs/>
              </w:rPr>
            </w:pPr>
            <w:r w:rsidRPr="009614ED">
              <w:rPr>
                <w:b/>
                <w:bCs/>
              </w:rPr>
              <w:t xml:space="preserve">Budget Commitments  </w:t>
            </w:r>
          </w:p>
        </w:tc>
        <w:tc>
          <w:tcPr>
            <w:tcW w:w="1184" w:type="pct"/>
            <w:shd w:val="clear" w:color="auto" w:fill="D9D9D9" w:themeFill="background1" w:themeFillShade="D9"/>
            <w:hideMark/>
          </w:tcPr>
          <w:p w:rsidR="009614ED" w:rsidRPr="009614ED" w:rsidRDefault="009614ED" w:rsidP="00B277CE">
            <w:pPr>
              <w:spacing w:after="0" w:line="300" w:lineRule="atLeast"/>
              <w:ind w:right="185"/>
              <w:jc w:val="right"/>
              <w:rPr>
                <w:b/>
                <w:bCs/>
              </w:rPr>
            </w:pPr>
            <w:r w:rsidRPr="009614ED">
              <w:rPr>
                <w:b/>
                <w:bCs/>
              </w:rPr>
              <w:t xml:space="preserve"> Funding  ($'000) </w:t>
            </w:r>
          </w:p>
        </w:tc>
      </w:tr>
      <w:tr w:rsidR="009614ED" w:rsidRPr="009614ED" w:rsidTr="00B277CE">
        <w:trPr>
          <w:trHeight w:val="480"/>
        </w:trPr>
        <w:tc>
          <w:tcPr>
            <w:tcW w:w="3816" w:type="pct"/>
            <w:hideMark/>
          </w:tcPr>
          <w:p w:rsidR="009614ED" w:rsidRPr="009614ED" w:rsidRDefault="009614ED" w:rsidP="00B277CE">
            <w:pPr>
              <w:spacing w:after="0" w:line="300" w:lineRule="atLeast"/>
              <w:ind w:right="185"/>
              <w:jc w:val="both"/>
              <w:rPr>
                <w:b/>
                <w:bCs/>
              </w:rPr>
            </w:pPr>
            <w:r w:rsidRPr="009614ED">
              <w:rPr>
                <w:b/>
                <w:bCs/>
              </w:rPr>
              <w:t xml:space="preserve"> Block Funded </w:t>
            </w:r>
          </w:p>
        </w:tc>
        <w:tc>
          <w:tcPr>
            <w:tcW w:w="1184" w:type="pct"/>
            <w:hideMark/>
          </w:tcPr>
          <w:p w:rsidR="009614ED" w:rsidRPr="009614ED" w:rsidRDefault="009614ED" w:rsidP="00B277CE">
            <w:pPr>
              <w:spacing w:after="0" w:line="300" w:lineRule="atLeast"/>
              <w:ind w:right="185"/>
              <w:jc w:val="right"/>
              <w:rPr>
                <w:b/>
              </w:rPr>
            </w:pPr>
            <w:r w:rsidRPr="009614ED">
              <w:rPr>
                <w:b/>
              </w:rPr>
              <w:t> </w:t>
            </w:r>
          </w:p>
        </w:tc>
      </w:tr>
      <w:tr w:rsidR="009614ED" w:rsidRPr="009614ED" w:rsidTr="00B277CE">
        <w:trPr>
          <w:trHeight w:val="255"/>
        </w:trPr>
        <w:tc>
          <w:tcPr>
            <w:tcW w:w="3816" w:type="pct"/>
            <w:hideMark/>
          </w:tcPr>
          <w:p w:rsidR="009614ED" w:rsidRPr="009614ED" w:rsidRDefault="009614ED" w:rsidP="00B277CE">
            <w:pPr>
              <w:spacing w:after="0" w:line="300" w:lineRule="atLeast"/>
              <w:ind w:right="185"/>
              <w:jc w:val="both"/>
            </w:pPr>
            <w:r w:rsidRPr="009614ED">
              <w:t xml:space="preserve"> John L Grove </w:t>
            </w:r>
          </w:p>
        </w:tc>
        <w:tc>
          <w:tcPr>
            <w:tcW w:w="1184" w:type="pct"/>
            <w:hideMark/>
          </w:tcPr>
          <w:p w:rsidR="009614ED" w:rsidRPr="009614ED" w:rsidRDefault="009614ED" w:rsidP="00B277CE">
            <w:pPr>
              <w:spacing w:after="0" w:line="300" w:lineRule="atLeast"/>
              <w:ind w:right="185"/>
              <w:jc w:val="right"/>
            </w:pPr>
            <w:r w:rsidRPr="009614ED">
              <w:t xml:space="preserve">5,000 </w:t>
            </w:r>
          </w:p>
        </w:tc>
      </w:tr>
      <w:tr w:rsidR="009614ED" w:rsidRPr="009614ED" w:rsidTr="00B277CE">
        <w:trPr>
          <w:trHeight w:val="255"/>
        </w:trPr>
        <w:tc>
          <w:tcPr>
            <w:tcW w:w="3816" w:type="pct"/>
            <w:hideMark/>
          </w:tcPr>
          <w:p w:rsidR="009614ED" w:rsidRPr="009614ED" w:rsidRDefault="009614ED" w:rsidP="00B277CE">
            <w:pPr>
              <w:spacing w:after="0" w:line="300" w:lineRule="atLeast"/>
              <w:ind w:right="185"/>
              <w:jc w:val="both"/>
            </w:pPr>
            <w:r w:rsidRPr="009614ED">
              <w:t xml:space="preserve"> Patients First Roy Fagan 10 x Beds </w:t>
            </w:r>
          </w:p>
        </w:tc>
        <w:tc>
          <w:tcPr>
            <w:tcW w:w="1184" w:type="pct"/>
            <w:hideMark/>
          </w:tcPr>
          <w:p w:rsidR="009614ED" w:rsidRPr="009614ED" w:rsidRDefault="009614ED" w:rsidP="00B277CE">
            <w:pPr>
              <w:spacing w:after="0" w:line="300" w:lineRule="atLeast"/>
              <w:ind w:right="185"/>
              <w:jc w:val="right"/>
            </w:pPr>
            <w:r w:rsidRPr="009614ED">
              <w:t xml:space="preserve">2,500 </w:t>
            </w:r>
          </w:p>
        </w:tc>
      </w:tr>
      <w:tr w:rsidR="009614ED" w:rsidRPr="009614ED" w:rsidTr="00B277CE">
        <w:trPr>
          <w:trHeight w:val="255"/>
        </w:trPr>
        <w:tc>
          <w:tcPr>
            <w:tcW w:w="3816" w:type="pct"/>
            <w:hideMark/>
          </w:tcPr>
          <w:p w:rsidR="009614ED" w:rsidRPr="009614ED" w:rsidRDefault="009614ED" w:rsidP="00B277CE">
            <w:pPr>
              <w:spacing w:after="0" w:line="300" w:lineRule="atLeast"/>
              <w:ind w:right="185"/>
              <w:jc w:val="both"/>
            </w:pPr>
            <w:r w:rsidRPr="009614ED">
              <w:t xml:space="preserve"> Patients First New Norfolk 7 x Beds </w:t>
            </w:r>
          </w:p>
        </w:tc>
        <w:tc>
          <w:tcPr>
            <w:tcW w:w="1184" w:type="pct"/>
            <w:hideMark/>
          </w:tcPr>
          <w:p w:rsidR="009614ED" w:rsidRPr="009614ED" w:rsidRDefault="009614ED" w:rsidP="00B277CE">
            <w:pPr>
              <w:spacing w:after="0" w:line="300" w:lineRule="atLeast"/>
              <w:ind w:right="185"/>
              <w:jc w:val="right"/>
            </w:pPr>
            <w:r w:rsidRPr="009614ED">
              <w:t xml:space="preserve">430 </w:t>
            </w:r>
          </w:p>
        </w:tc>
      </w:tr>
      <w:tr w:rsidR="009614ED" w:rsidRPr="009614ED" w:rsidTr="00B277CE">
        <w:trPr>
          <w:trHeight w:val="255"/>
        </w:trPr>
        <w:tc>
          <w:tcPr>
            <w:tcW w:w="3816" w:type="pct"/>
            <w:hideMark/>
          </w:tcPr>
          <w:p w:rsidR="009614ED" w:rsidRPr="009614ED" w:rsidRDefault="009614ED" w:rsidP="00B277CE">
            <w:pPr>
              <w:spacing w:after="0" w:line="300" w:lineRule="atLeast"/>
              <w:ind w:right="185"/>
              <w:jc w:val="both"/>
            </w:pPr>
            <w:r w:rsidRPr="009614ED">
              <w:t xml:space="preserve"> Medical Cannabis Controlled Access Scheme - Paediatric Epilepsy </w:t>
            </w:r>
          </w:p>
        </w:tc>
        <w:tc>
          <w:tcPr>
            <w:tcW w:w="1184" w:type="pct"/>
            <w:hideMark/>
          </w:tcPr>
          <w:p w:rsidR="009614ED" w:rsidRPr="009614ED" w:rsidRDefault="009614ED" w:rsidP="00B277CE">
            <w:pPr>
              <w:spacing w:after="0" w:line="300" w:lineRule="atLeast"/>
              <w:ind w:right="185"/>
              <w:jc w:val="right"/>
            </w:pPr>
            <w:r w:rsidRPr="009614ED">
              <w:t xml:space="preserve">990 </w:t>
            </w:r>
          </w:p>
        </w:tc>
      </w:tr>
      <w:tr w:rsidR="009614ED" w:rsidRPr="009614ED" w:rsidTr="00B277CE">
        <w:trPr>
          <w:trHeight w:val="255"/>
        </w:trPr>
        <w:tc>
          <w:tcPr>
            <w:tcW w:w="3816" w:type="pct"/>
            <w:hideMark/>
          </w:tcPr>
          <w:p w:rsidR="009614ED" w:rsidRPr="009614ED" w:rsidRDefault="009614ED" w:rsidP="00B277CE">
            <w:pPr>
              <w:spacing w:after="0" w:line="300" w:lineRule="atLeast"/>
              <w:ind w:right="185"/>
              <w:jc w:val="both"/>
            </w:pPr>
            <w:r w:rsidRPr="009614ED">
              <w:t xml:space="preserve"> Frontline Staff Costs </w:t>
            </w:r>
          </w:p>
        </w:tc>
        <w:tc>
          <w:tcPr>
            <w:tcW w:w="1184" w:type="pct"/>
            <w:hideMark/>
          </w:tcPr>
          <w:p w:rsidR="009614ED" w:rsidRPr="009614ED" w:rsidRDefault="009614ED" w:rsidP="00B277CE">
            <w:pPr>
              <w:spacing w:after="0" w:line="300" w:lineRule="atLeast"/>
              <w:ind w:right="185"/>
              <w:jc w:val="right"/>
            </w:pPr>
            <w:r w:rsidRPr="009614ED">
              <w:t xml:space="preserve">3,600 </w:t>
            </w:r>
          </w:p>
        </w:tc>
      </w:tr>
      <w:tr w:rsidR="009614ED" w:rsidRPr="009614ED" w:rsidTr="00B277CE">
        <w:trPr>
          <w:trHeight w:val="255"/>
        </w:trPr>
        <w:tc>
          <w:tcPr>
            <w:tcW w:w="3816" w:type="pct"/>
            <w:hideMark/>
          </w:tcPr>
          <w:p w:rsidR="009614ED" w:rsidRPr="009614ED" w:rsidRDefault="009614ED" w:rsidP="00B277CE">
            <w:pPr>
              <w:spacing w:after="0" w:line="300" w:lineRule="atLeast"/>
              <w:ind w:right="185"/>
              <w:jc w:val="both"/>
              <w:rPr>
                <w:bCs/>
              </w:rPr>
            </w:pPr>
            <w:r w:rsidRPr="009614ED">
              <w:rPr>
                <w:bCs/>
              </w:rPr>
              <w:t xml:space="preserve"> Total Block Funded </w:t>
            </w:r>
          </w:p>
        </w:tc>
        <w:tc>
          <w:tcPr>
            <w:tcW w:w="1184" w:type="pct"/>
            <w:hideMark/>
          </w:tcPr>
          <w:p w:rsidR="009614ED" w:rsidRPr="009614ED" w:rsidRDefault="009614ED" w:rsidP="00B277CE">
            <w:pPr>
              <w:spacing w:after="0" w:line="300" w:lineRule="atLeast"/>
              <w:ind w:right="185"/>
              <w:jc w:val="right"/>
              <w:rPr>
                <w:bCs/>
              </w:rPr>
            </w:pPr>
            <w:r w:rsidRPr="009614ED">
              <w:rPr>
                <w:bCs/>
              </w:rPr>
              <w:t xml:space="preserve">12,520 </w:t>
            </w:r>
          </w:p>
        </w:tc>
      </w:tr>
      <w:tr w:rsidR="009614ED" w:rsidRPr="009614ED" w:rsidTr="00B277CE">
        <w:trPr>
          <w:trHeight w:val="435"/>
        </w:trPr>
        <w:tc>
          <w:tcPr>
            <w:tcW w:w="3816" w:type="pct"/>
            <w:hideMark/>
          </w:tcPr>
          <w:p w:rsidR="009614ED" w:rsidRPr="009614ED" w:rsidRDefault="009614ED" w:rsidP="00B277CE">
            <w:pPr>
              <w:spacing w:after="0" w:line="300" w:lineRule="atLeast"/>
              <w:ind w:right="185"/>
              <w:jc w:val="both"/>
              <w:rPr>
                <w:b/>
                <w:bCs/>
              </w:rPr>
            </w:pPr>
            <w:r w:rsidRPr="009614ED">
              <w:rPr>
                <w:b/>
                <w:bCs/>
              </w:rPr>
              <w:t xml:space="preserve"> Activity Based Funding </w:t>
            </w:r>
          </w:p>
        </w:tc>
        <w:tc>
          <w:tcPr>
            <w:tcW w:w="1184" w:type="pct"/>
            <w:hideMark/>
          </w:tcPr>
          <w:p w:rsidR="009614ED" w:rsidRPr="009614ED" w:rsidRDefault="009614ED" w:rsidP="00B277CE">
            <w:pPr>
              <w:spacing w:after="0" w:line="300" w:lineRule="atLeast"/>
              <w:ind w:right="185"/>
              <w:jc w:val="right"/>
              <w:rPr>
                <w:b/>
              </w:rPr>
            </w:pPr>
            <w:r w:rsidRPr="009614ED">
              <w:rPr>
                <w:b/>
              </w:rPr>
              <w:t> </w:t>
            </w:r>
          </w:p>
        </w:tc>
      </w:tr>
      <w:tr w:rsidR="009614ED" w:rsidRPr="009614ED" w:rsidTr="00B277CE">
        <w:trPr>
          <w:trHeight w:val="255"/>
        </w:trPr>
        <w:tc>
          <w:tcPr>
            <w:tcW w:w="3816" w:type="pct"/>
            <w:hideMark/>
          </w:tcPr>
          <w:p w:rsidR="009614ED" w:rsidRPr="009614ED" w:rsidRDefault="009614ED" w:rsidP="00B277CE">
            <w:pPr>
              <w:spacing w:after="0" w:line="300" w:lineRule="atLeast"/>
              <w:ind w:right="185"/>
              <w:jc w:val="both"/>
            </w:pPr>
            <w:r w:rsidRPr="009614ED">
              <w:t xml:space="preserve"> Patients First LGH Ward 4D 12 x Beds </w:t>
            </w:r>
          </w:p>
        </w:tc>
        <w:tc>
          <w:tcPr>
            <w:tcW w:w="1184" w:type="pct"/>
            <w:hideMark/>
          </w:tcPr>
          <w:p w:rsidR="009614ED" w:rsidRPr="009614ED" w:rsidRDefault="009614ED" w:rsidP="00B277CE">
            <w:pPr>
              <w:spacing w:after="0" w:line="300" w:lineRule="atLeast"/>
              <w:ind w:right="185"/>
              <w:jc w:val="right"/>
            </w:pPr>
            <w:r w:rsidRPr="009614ED">
              <w:t xml:space="preserve">4,200 </w:t>
            </w:r>
          </w:p>
        </w:tc>
      </w:tr>
      <w:tr w:rsidR="009614ED" w:rsidRPr="009614ED" w:rsidTr="00B277CE">
        <w:trPr>
          <w:trHeight w:val="255"/>
        </w:trPr>
        <w:tc>
          <w:tcPr>
            <w:tcW w:w="3816" w:type="pct"/>
            <w:hideMark/>
          </w:tcPr>
          <w:p w:rsidR="009614ED" w:rsidRPr="009614ED" w:rsidRDefault="009614ED" w:rsidP="00B277CE">
            <w:pPr>
              <w:spacing w:after="0" w:line="300" w:lineRule="atLeast"/>
              <w:ind w:right="185"/>
              <w:jc w:val="both"/>
            </w:pPr>
            <w:r w:rsidRPr="009614ED">
              <w:t xml:space="preserve"> Patients First LGH 3 x Isolation Beds </w:t>
            </w:r>
          </w:p>
        </w:tc>
        <w:tc>
          <w:tcPr>
            <w:tcW w:w="1184" w:type="pct"/>
            <w:hideMark/>
          </w:tcPr>
          <w:p w:rsidR="009614ED" w:rsidRPr="009614ED" w:rsidRDefault="009614ED" w:rsidP="00B277CE">
            <w:pPr>
              <w:spacing w:after="0" w:line="300" w:lineRule="atLeast"/>
              <w:ind w:right="185"/>
              <w:jc w:val="right"/>
            </w:pPr>
            <w:r w:rsidRPr="009614ED">
              <w:t xml:space="preserve">2,600 </w:t>
            </w:r>
          </w:p>
        </w:tc>
      </w:tr>
      <w:tr w:rsidR="009614ED" w:rsidRPr="009614ED" w:rsidTr="00B277CE">
        <w:trPr>
          <w:trHeight w:val="255"/>
        </w:trPr>
        <w:tc>
          <w:tcPr>
            <w:tcW w:w="3816" w:type="pct"/>
            <w:hideMark/>
          </w:tcPr>
          <w:p w:rsidR="009614ED" w:rsidRPr="009614ED" w:rsidRDefault="009614ED" w:rsidP="00B277CE">
            <w:pPr>
              <w:spacing w:after="0" w:line="300" w:lineRule="atLeast"/>
              <w:ind w:right="185"/>
              <w:jc w:val="both"/>
            </w:pPr>
            <w:r w:rsidRPr="009614ED">
              <w:t xml:space="preserve"> Patients First RHH 2 x ICU Beds </w:t>
            </w:r>
          </w:p>
        </w:tc>
        <w:tc>
          <w:tcPr>
            <w:tcW w:w="1184" w:type="pct"/>
            <w:hideMark/>
          </w:tcPr>
          <w:p w:rsidR="009614ED" w:rsidRPr="009614ED" w:rsidRDefault="009614ED" w:rsidP="00B277CE">
            <w:pPr>
              <w:spacing w:after="0" w:line="300" w:lineRule="atLeast"/>
              <w:ind w:right="185"/>
              <w:jc w:val="right"/>
            </w:pPr>
            <w:r w:rsidRPr="009614ED">
              <w:t xml:space="preserve"> 3,600 </w:t>
            </w:r>
          </w:p>
        </w:tc>
      </w:tr>
      <w:tr w:rsidR="009614ED" w:rsidRPr="009614ED" w:rsidTr="00B277CE">
        <w:trPr>
          <w:trHeight w:val="255"/>
        </w:trPr>
        <w:tc>
          <w:tcPr>
            <w:tcW w:w="3816" w:type="pct"/>
            <w:hideMark/>
          </w:tcPr>
          <w:p w:rsidR="009614ED" w:rsidRPr="009614ED" w:rsidRDefault="009614ED" w:rsidP="00B277CE">
            <w:pPr>
              <w:spacing w:after="0" w:line="300" w:lineRule="atLeast"/>
              <w:ind w:right="185"/>
              <w:jc w:val="both"/>
            </w:pPr>
            <w:r w:rsidRPr="009614ED">
              <w:t xml:space="preserve"> Patients First Hobart Private 8 x Beds </w:t>
            </w:r>
          </w:p>
        </w:tc>
        <w:tc>
          <w:tcPr>
            <w:tcW w:w="1184" w:type="pct"/>
            <w:hideMark/>
          </w:tcPr>
          <w:p w:rsidR="009614ED" w:rsidRPr="009614ED" w:rsidRDefault="009614ED" w:rsidP="00B277CE">
            <w:pPr>
              <w:spacing w:after="0" w:line="300" w:lineRule="atLeast"/>
              <w:ind w:right="185"/>
              <w:jc w:val="right"/>
            </w:pPr>
            <w:r w:rsidRPr="009614ED">
              <w:t xml:space="preserve">1,770 </w:t>
            </w:r>
          </w:p>
        </w:tc>
      </w:tr>
      <w:tr w:rsidR="009614ED" w:rsidRPr="009614ED" w:rsidTr="00B277CE">
        <w:trPr>
          <w:trHeight w:val="255"/>
        </w:trPr>
        <w:tc>
          <w:tcPr>
            <w:tcW w:w="3816" w:type="pct"/>
            <w:hideMark/>
          </w:tcPr>
          <w:p w:rsidR="009614ED" w:rsidRPr="009614ED" w:rsidRDefault="009614ED" w:rsidP="00B277CE">
            <w:pPr>
              <w:spacing w:after="0" w:line="300" w:lineRule="atLeast"/>
              <w:ind w:right="185"/>
              <w:jc w:val="both"/>
            </w:pPr>
            <w:r w:rsidRPr="009614ED">
              <w:t xml:space="preserve"> Patients First NWRH 4 x Short Stay Beds </w:t>
            </w:r>
          </w:p>
        </w:tc>
        <w:tc>
          <w:tcPr>
            <w:tcW w:w="1184" w:type="pct"/>
            <w:hideMark/>
          </w:tcPr>
          <w:p w:rsidR="009614ED" w:rsidRPr="009614ED" w:rsidRDefault="009614ED" w:rsidP="00B277CE">
            <w:pPr>
              <w:spacing w:after="0" w:line="300" w:lineRule="atLeast"/>
              <w:ind w:right="185"/>
              <w:jc w:val="right"/>
            </w:pPr>
            <w:r w:rsidRPr="009614ED">
              <w:t xml:space="preserve">1,600 </w:t>
            </w:r>
          </w:p>
        </w:tc>
      </w:tr>
      <w:tr w:rsidR="009614ED" w:rsidRPr="009614ED" w:rsidTr="00B277CE">
        <w:trPr>
          <w:trHeight w:val="255"/>
        </w:trPr>
        <w:tc>
          <w:tcPr>
            <w:tcW w:w="3816" w:type="pct"/>
            <w:hideMark/>
          </w:tcPr>
          <w:p w:rsidR="009614ED" w:rsidRPr="009614ED" w:rsidRDefault="009614ED" w:rsidP="00B277CE">
            <w:pPr>
              <w:spacing w:after="0" w:line="300" w:lineRule="atLeast"/>
              <w:ind w:right="185"/>
              <w:jc w:val="both"/>
            </w:pPr>
            <w:r w:rsidRPr="009614ED">
              <w:t xml:space="preserve"> Patients First NWRH 4 x Surgical Beds </w:t>
            </w:r>
          </w:p>
        </w:tc>
        <w:tc>
          <w:tcPr>
            <w:tcW w:w="1184" w:type="pct"/>
            <w:hideMark/>
          </w:tcPr>
          <w:p w:rsidR="009614ED" w:rsidRPr="009614ED" w:rsidRDefault="009614ED" w:rsidP="00B277CE">
            <w:pPr>
              <w:spacing w:after="0" w:line="300" w:lineRule="atLeast"/>
              <w:ind w:right="185"/>
              <w:jc w:val="right"/>
            </w:pPr>
            <w:r w:rsidRPr="009614ED">
              <w:t xml:space="preserve"> 1,400 </w:t>
            </w:r>
          </w:p>
        </w:tc>
      </w:tr>
      <w:tr w:rsidR="009614ED" w:rsidRPr="009614ED" w:rsidTr="00B277CE">
        <w:trPr>
          <w:trHeight w:val="255"/>
        </w:trPr>
        <w:tc>
          <w:tcPr>
            <w:tcW w:w="3816" w:type="pct"/>
            <w:hideMark/>
          </w:tcPr>
          <w:p w:rsidR="009614ED" w:rsidRPr="009614ED" w:rsidRDefault="009614ED" w:rsidP="00B277CE">
            <w:pPr>
              <w:spacing w:after="0" w:line="300" w:lineRule="atLeast"/>
              <w:ind w:right="185"/>
              <w:jc w:val="both"/>
              <w:rPr>
                <w:bCs/>
              </w:rPr>
            </w:pPr>
            <w:r w:rsidRPr="009614ED">
              <w:rPr>
                <w:bCs/>
              </w:rPr>
              <w:t xml:space="preserve"> Total Activity Based Funding </w:t>
            </w:r>
          </w:p>
        </w:tc>
        <w:tc>
          <w:tcPr>
            <w:tcW w:w="1184" w:type="pct"/>
            <w:hideMark/>
          </w:tcPr>
          <w:p w:rsidR="009614ED" w:rsidRPr="009614ED" w:rsidRDefault="009614ED" w:rsidP="00B277CE">
            <w:pPr>
              <w:spacing w:after="0" w:line="300" w:lineRule="atLeast"/>
              <w:ind w:right="185"/>
              <w:jc w:val="right"/>
              <w:rPr>
                <w:bCs/>
              </w:rPr>
            </w:pPr>
            <w:r w:rsidRPr="009614ED">
              <w:rPr>
                <w:bCs/>
              </w:rPr>
              <w:t xml:space="preserve">15,170 </w:t>
            </w:r>
          </w:p>
        </w:tc>
      </w:tr>
      <w:tr w:rsidR="009614ED" w:rsidRPr="009614ED" w:rsidTr="00B277CE">
        <w:trPr>
          <w:trHeight w:val="405"/>
        </w:trPr>
        <w:tc>
          <w:tcPr>
            <w:tcW w:w="3816" w:type="pct"/>
            <w:noWrap/>
            <w:hideMark/>
          </w:tcPr>
          <w:p w:rsidR="009614ED" w:rsidRPr="009614ED" w:rsidRDefault="009614ED" w:rsidP="00B277CE">
            <w:pPr>
              <w:spacing w:after="0" w:line="300" w:lineRule="atLeast"/>
              <w:ind w:right="185"/>
              <w:jc w:val="both"/>
              <w:rPr>
                <w:b/>
                <w:bCs/>
              </w:rPr>
            </w:pPr>
            <w:r w:rsidRPr="009614ED">
              <w:rPr>
                <w:b/>
                <w:bCs/>
              </w:rPr>
              <w:t xml:space="preserve">Total Budget Commitments </w:t>
            </w:r>
            <w:r w:rsidRPr="009614ED">
              <w:rPr>
                <w:b/>
                <w:bCs/>
                <w:vertAlign w:val="superscript"/>
              </w:rPr>
              <w:t>1</w:t>
            </w:r>
          </w:p>
        </w:tc>
        <w:tc>
          <w:tcPr>
            <w:tcW w:w="1184" w:type="pct"/>
            <w:noWrap/>
            <w:hideMark/>
          </w:tcPr>
          <w:p w:rsidR="009614ED" w:rsidRPr="009614ED" w:rsidRDefault="009614ED" w:rsidP="00B277CE">
            <w:pPr>
              <w:spacing w:after="0" w:line="300" w:lineRule="atLeast"/>
              <w:ind w:right="185"/>
              <w:jc w:val="right"/>
              <w:rPr>
                <w:b/>
                <w:bCs/>
              </w:rPr>
            </w:pPr>
            <w:r w:rsidRPr="009614ED">
              <w:rPr>
                <w:b/>
                <w:bCs/>
              </w:rPr>
              <w:t>27,690</w:t>
            </w:r>
          </w:p>
        </w:tc>
      </w:tr>
    </w:tbl>
    <w:p w:rsidR="00790394" w:rsidRPr="00B277CE" w:rsidRDefault="00790394" w:rsidP="00EE2B3E">
      <w:pPr>
        <w:spacing w:after="140" w:line="300" w:lineRule="atLeast"/>
        <w:ind w:right="185"/>
        <w:jc w:val="both"/>
        <w:rPr>
          <w:b/>
          <w:sz w:val="16"/>
        </w:rPr>
      </w:pPr>
    </w:p>
    <w:p w:rsidR="00B277CE" w:rsidRDefault="00B277CE" w:rsidP="00EE2B3E">
      <w:pPr>
        <w:spacing w:after="140" w:line="300" w:lineRule="atLeast"/>
        <w:ind w:right="185"/>
        <w:jc w:val="both"/>
        <w:rPr>
          <w:b/>
        </w:rPr>
      </w:pPr>
      <w:r>
        <w:rPr>
          <w:b/>
        </w:rPr>
        <w:t>Notes:</w:t>
      </w:r>
    </w:p>
    <w:p w:rsidR="00B277CE" w:rsidRDefault="00B277CE" w:rsidP="00B277CE">
      <w:pPr>
        <w:spacing w:after="140" w:line="300" w:lineRule="atLeast"/>
        <w:ind w:right="185"/>
        <w:jc w:val="both"/>
        <w:rPr>
          <w:sz w:val="20"/>
        </w:rPr>
      </w:pPr>
      <w:r w:rsidRPr="00B277CE">
        <w:rPr>
          <w:sz w:val="20"/>
          <w:vertAlign w:val="superscript"/>
        </w:rPr>
        <w:t>1</w:t>
      </w:r>
      <w:r w:rsidRPr="00B277CE">
        <w:rPr>
          <w:sz w:val="20"/>
        </w:rPr>
        <w:t xml:space="preserve"> Excludes funding initiatives allocated within Finance-General section of the budget papers except for John L Grove funding of $5 million.</w:t>
      </w:r>
    </w:p>
    <w:p w:rsidR="00B277CE" w:rsidRPr="00B277CE" w:rsidRDefault="00B277CE" w:rsidP="00B277CE">
      <w:pPr>
        <w:spacing w:after="140" w:line="300" w:lineRule="atLeast"/>
        <w:ind w:right="185"/>
        <w:jc w:val="both"/>
        <w:rPr>
          <w:sz w:val="20"/>
        </w:rPr>
      </w:pPr>
    </w:p>
    <w:p w:rsidR="007F563C" w:rsidRPr="00EE2B3E" w:rsidRDefault="007F563C" w:rsidP="007F563C">
      <w:pPr>
        <w:spacing w:after="140" w:line="300" w:lineRule="atLeast"/>
        <w:ind w:left="142" w:right="187" w:hanging="142"/>
        <w:rPr>
          <w:b/>
          <w:sz w:val="24"/>
          <w:szCs w:val="24"/>
        </w:rPr>
      </w:pPr>
      <w:r w:rsidRPr="00EE2B3E">
        <w:rPr>
          <w:b/>
          <w:sz w:val="24"/>
          <w:szCs w:val="24"/>
        </w:rPr>
        <w:t>Non</w:t>
      </w:r>
      <w:r>
        <w:rPr>
          <w:b/>
          <w:sz w:val="24"/>
          <w:szCs w:val="24"/>
        </w:rPr>
        <w:t>-</w:t>
      </w:r>
      <w:r w:rsidRPr="00EE2B3E">
        <w:rPr>
          <w:b/>
          <w:sz w:val="24"/>
          <w:szCs w:val="24"/>
        </w:rPr>
        <w:t>Activity Based Funded Activity</w:t>
      </w:r>
    </w:p>
    <w:tbl>
      <w:tblPr>
        <w:tblStyle w:val="TableGrid"/>
        <w:tblW w:w="5000" w:type="pct"/>
        <w:tblLook w:val="04A0" w:firstRow="1" w:lastRow="0" w:firstColumn="1" w:lastColumn="0" w:noHBand="0" w:noVBand="1"/>
        <w:tblCaption w:val="Non-Activity Based Funding"/>
        <w:tblDescription w:val="Shows non-activity based services and allocations."/>
      </w:tblPr>
      <w:tblGrid>
        <w:gridCol w:w="7053"/>
        <w:gridCol w:w="2189"/>
      </w:tblGrid>
      <w:tr w:rsidR="00B277CE" w:rsidRPr="00B277CE" w:rsidTr="00B277CE">
        <w:trPr>
          <w:trHeight w:val="480"/>
          <w:tblHeader/>
        </w:trPr>
        <w:tc>
          <w:tcPr>
            <w:tcW w:w="3816" w:type="pct"/>
            <w:shd w:val="clear" w:color="auto" w:fill="D9D9D9" w:themeFill="background1" w:themeFillShade="D9"/>
            <w:noWrap/>
            <w:hideMark/>
          </w:tcPr>
          <w:p w:rsidR="00B277CE" w:rsidRPr="00B277CE" w:rsidRDefault="00B277CE" w:rsidP="00B277CE">
            <w:pPr>
              <w:spacing w:after="0" w:line="300" w:lineRule="atLeast"/>
              <w:ind w:right="185"/>
              <w:jc w:val="both"/>
              <w:rPr>
                <w:b/>
                <w:bCs/>
              </w:rPr>
            </w:pPr>
            <w:r w:rsidRPr="00B277CE">
              <w:rPr>
                <w:b/>
                <w:bCs/>
              </w:rPr>
              <w:t xml:space="preserve">Non-activity Based Services </w:t>
            </w:r>
          </w:p>
        </w:tc>
        <w:tc>
          <w:tcPr>
            <w:tcW w:w="1184" w:type="pct"/>
            <w:shd w:val="clear" w:color="auto" w:fill="D9D9D9" w:themeFill="background1" w:themeFillShade="D9"/>
            <w:hideMark/>
          </w:tcPr>
          <w:p w:rsidR="00B277CE" w:rsidRPr="00B277CE" w:rsidRDefault="00B277CE" w:rsidP="00B277CE">
            <w:pPr>
              <w:spacing w:after="0" w:line="300" w:lineRule="atLeast"/>
              <w:ind w:right="185"/>
              <w:jc w:val="right"/>
              <w:rPr>
                <w:b/>
                <w:bCs/>
              </w:rPr>
            </w:pPr>
            <w:r w:rsidRPr="00B277CE">
              <w:rPr>
                <w:b/>
                <w:bCs/>
              </w:rPr>
              <w:t xml:space="preserve"> Funding ($'000) </w:t>
            </w:r>
          </w:p>
        </w:tc>
      </w:tr>
      <w:tr w:rsidR="00B277CE" w:rsidRPr="00B277CE" w:rsidTr="00B277CE">
        <w:trPr>
          <w:trHeight w:val="255"/>
        </w:trPr>
        <w:tc>
          <w:tcPr>
            <w:tcW w:w="3816" w:type="pct"/>
            <w:hideMark/>
          </w:tcPr>
          <w:p w:rsidR="00B277CE" w:rsidRPr="00B277CE" w:rsidRDefault="00B277CE" w:rsidP="00B277CE">
            <w:pPr>
              <w:spacing w:after="0" w:line="300" w:lineRule="atLeast"/>
              <w:ind w:right="185"/>
              <w:jc w:val="both"/>
            </w:pPr>
            <w:r w:rsidRPr="00B277CE">
              <w:t xml:space="preserve"> Other </w:t>
            </w:r>
            <w:proofErr w:type="spellStart"/>
            <w:r w:rsidRPr="00B277CE">
              <w:t>Non Activity</w:t>
            </w:r>
            <w:proofErr w:type="spellEnd"/>
            <w:r w:rsidRPr="00B277CE">
              <w:t xml:space="preserve"> Based Funding </w:t>
            </w:r>
          </w:p>
        </w:tc>
        <w:tc>
          <w:tcPr>
            <w:tcW w:w="1184" w:type="pct"/>
            <w:hideMark/>
          </w:tcPr>
          <w:p w:rsidR="00B277CE" w:rsidRPr="00B277CE" w:rsidRDefault="00B277CE" w:rsidP="00B277CE">
            <w:pPr>
              <w:spacing w:after="0" w:line="300" w:lineRule="atLeast"/>
              <w:ind w:right="185"/>
              <w:jc w:val="right"/>
            </w:pPr>
            <w:r w:rsidRPr="00B277CE">
              <w:t xml:space="preserve"> 19,043 </w:t>
            </w:r>
          </w:p>
        </w:tc>
      </w:tr>
      <w:tr w:rsidR="00B277CE" w:rsidRPr="00B277CE" w:rsidTr="00B277CE">
        <w:trPr>
          <w:trHeight w:val="255"/>
        </w:trPr>
        <w:tc>
          <w:tcPr>
            <w:tcW w:w="3816" w:type="pct"/>
            <w:hideMark/>
          </w:tcPr>
          <w:p w:rsidR="00B277CE" w:rsidRPr="00B277CE" w:rsidRDefault="00B277CE" w:rsidP="00B277CE">
            <w:pPr>
              <w:spacing w:after="0" w:line="300" w:lineRule="atLeast"/>
              <w:ind w:right="185"/>
              <w:jc w:val="both"/>
            </w:pPr>
            <w:r w:rsidRPr="00B277CE">
              <w:t xml:space="preserve"> Community Based Services Operated from the Major Hospitals </w:t>
            </w:r>
          </w:p>
        </w:tc>
        <w:tc>
          <w:tcPr>
            <w:tcW w:w="1184" w:type="pct"/>
            <w:hideMark/>
          </w:tcPr>
          <w:p w:rsidR="00B277CE" w:rsidRPr="00B277CE" w:rsidRDefault="00B277CE" w:rsidP="00B277CE">
            <w:pPr>
              <w:spacing w:after="0" w:line="300" w:lineRule="atLeast"/>
              <w:ind w:right="185"/>
              <w:jc w:val="right"/>
            </w:pPr>
            <w:r w:rsidRPr="00B277CE">
              <w:t xml:space="preserve">13,201 </w:t>
            </w:r>
          </w:p>
        </w:tc>
      </w:tr>
      <w:tr w:rsidR="00B277CE" w:rsidRPr="00B277CE" w:rsidTr="00B277CE">
        <w:trPr>
          <w:trHeight w:val="255"/>
        </w:trPr>
        <w:tc>
          <w:tcPr>
            <w:tcW w:w="3816" w:type="pct"/>
            <w:hideMark/>
          </w:tcPr>
          <w:p w:rsidR="00B277CE" w:rsidRPr="00B277CE" w:rsidRDefault="00B277CE" w:rsidP="00B277CE">
            <w:pPr>
              <w:spacing w:after="0" w:line="300" w:lineRule="atLeast"/>
              <w:ind w:right="185"/>
            </w:pPr>
            <w:r w:rsidRPr="00B277CE">
              <w:t xml:space="preserve"> Pathology, Pharmacy, &amp; Imaging services unable to be matched to activity </w:t>
            </w:r>
          </w:p>
        </w:tc>
        <w:tc>
          <w:tcPr>
            <w:tcW w:w="1184" w:type="pct"/>
            <w:hideMark/>
          </w:tcPr>
          <w:p w:rsidR="00B277CE" w:rsidRPr="00B277CE" w:rsidRDefault="00B277CE" w:rsidP="00B277CE">
            <w:pPr>
              <w:spacing w:after="0" w:line="300" w:lineRule="atLeast"/>
              <w:ind w:right="185"/>
              <w:jc w:val="right"/>
            </w:pPr>
            <w:r w:rsidRPr="00B277CE">
              <w:t xml:space="preserve">5,465 </w:t>
            </w:r>
          </w:p>
        </w:tc>
      </w:tr>
      <w:tr w:rsidR="00B277CE" w:rsidRPr="00B277CE" w:rsidTr="00B277CE">
        <w:trPr>
          <w:trHeight w:val="255"/>
        </w:trPr>
        <w:tc>
          <w:tcPr>
            <w:tcW w:w="3816" w:type="pct"/>
            <w:hideMark/>
          </w:tcPr>
          <w:p w:rsidR="00B277CE" w:rsidRPr="00B277CE" w:rsidRDefault="00B277CE" w:rsidP="00B277CE">
            <w:pPr>
              <w:spacing w:after="0" w:line="300" w:lineRule="atLeast"/>
              <w:ind w:right="185"/>
              <w:jc w:val="both"/>
            </w:pPr>
            <w:r w:rsidRPr="00B277CE">
              <w:t xml:space="preserve"> Rural Hospital Costs Incurred by Major Hospitals </w:t>
            </w:r>
          </w:p>
        </w:tc>
        <w:tc>
          <w:tcPr>
            <w:tcW w:w="1184" w:type="pct"/>
            <w:hideMark/>
          </w:tcPr>
          <w:p w:rsidR="00B277CE" w:rsidRPr="00B277CE" w:rsidRDefault="00B277CE" w:rsidP="00B277CE">
            <w:pPr>
              <w:spacing w:after="0" w:line="300" w:lineRule="atLeast"/>
              <w:ind w:right="185"/>
              <w:jc w:val="right"/>
            </w:pPr>
            <w:r w:rsidRPr="00B277CE">
              <w:t xml:space="preserve">4,809 </w:t>
            </w:r>
          </w:p>
        </w:tc>
      </w:tr>
      <w:tr w:rsidR="00B277CE" w:rsidRPr="00B277CE" w:rsidTr="00B277CE">
        <w:trPr>
          <w:trHeight w:val="255"/>
        </w:trPr>
        <w:tc>
          <w:tcPr>
            <w:tcW w:w="3816" w:type="pct"/>
            <w:hideMark/>
          </w:tcPr>
          <w:p w:rsidR="00B277CE" w:rsidRPr="00B277CE" w:rsidRDefault="00B277CE" w:rsidP="00B277CE">
            <w:pPr>
              <w:spacing w:after="0" w:line="300" w:lineRule="atLeast"/>
              <w:ind w:right="185"/>
              <w:jc w:val="both"/>
            </w:pPr>
            <w:r w:rsidRPr="00B277CE">
              <w:t xml:space="preserve"> Special investigations Unit RHH </w:t>
            </w:r>
          </w:p>
        </w:tc>
        <w:tc>
          <w:tcPr>
            <w:tcW w:w="1184" w:type="pct"/>
            <w:hideMark/>
          </w:tcPr>
          <w:p w:rsidR="00B277CE" w:rsidRPr="00B277CE" w:rsidRDefault="00B277CE" w:rsidP="00B277CE">
            <w:pPr>
              <w:spacing w:after="0" w:line="300" w:lineRule="atLeast"/>
              <w:ind w:right="185"/>
              <w:jc w:val="right"/>
            </w:pPr>
            <w:r w:rsidRPr="00B277CE">
              <w:t xml:space="preserve">2,730 </w:t>
            </w:r>
          </w:p>
        </w:tc>
      </w:tr>
      <w:tr w:rsidR="00B277CE" w:rsidRPr="00B277CE" w:rsidTr="00B277CE">
        <w:trPr>
          <w:trHeight w:val="255"/>
        </w:trPr>
        <w:tc>
          <w:tcPr>
            <w:tcW w:w="3816" w:type="pct"/>
            <w:hideMark/>
          </w:tcPr>
          <w:p w:rsidR="00B277CE" w:rsidRPr="00B277CE" w:rsidRDefault="00B277CE" w:rsidP="00B277CE">
            <w:pPr>
              <w:spacing w:after="0" w:line="300" w:lineRule="atLeast"/>
              <w:ind w:right="185"/>
              <w:jc w:val="both"/>
            </w:pPr>
            <w:r w:rsidRPr="00B277CE">
              <w:t xml:space="preserve"> Sexual health services RHH </w:t>
            </w:r>
          </w:p>
        </w:tc>
        <w:tc>
          <w:tcPr>
            <w:tcW w:w="1184" w:type="pct"/>
            <w:hideMark/>
          </w:tcPr>
          <w:p w:rsidR="00B277CE" w:rsidRPr="00B277CE" w:rsidRDefault="00B277CE" w:rsidP="00B277CE">
            <w:pPr>
              <w:spacing w:after="0" w:line="300" w:lineRule="atLeast"/>
              <w:ind w:right="185"/>
              <w:jc w:val="right"/>
            </w:pPr>
            <w:r w:rsidRPr="00B277CE">
              <w:t xml:space="preserve">2,199 </w:t>
            </w:r>
          </w:p>
        </w:tc>
      </w:tr>
      <w:tr w:rsidR="00B277CE" w:rsidRPr="00B277CE" w:rsidTr="00B277CE">
        <w:trPr>
          <w:trHeight w:val="255"/>
        </w:trPr>
        <w:tc>
          <w:tcPr>
            <w:tcW w:w="3816" w:type="pct"/>
            <w:hideMark/>
          </w:tcPr>
          <w:p w:rsidR="00B277CE" w:rsidRPr="00B277CE" w:rsidRDefault="00B277CE" w:rsidP="00B277CE">
            <w:pPr>
              <w:spacing w:after="0" w:line="300" w:lineRule="atLeast"/>
              <w:ind w:right="185"/>
              <w:jc w:val="both"/>
            </w:pPr>
            <w:r w:rsidRPr="00B277CE">
              <w:t xml:space="preserve"> Forensic Pathology RHH </w:t>
            </w:r>
          </w:p>
        </w:tc>
        <w:tc>
          <w:tcPr>
            <w:tcW w:w="1184" w:type="pct"/>
            <w:hideMark/>
          </w:tcPr>
          <w:p w:rsidR="00B277CE" w:rsidRPr="00B277CE" w:rsidRDefault="00B277CE" w:rsidP="00B277CE">
            <w:pPr>
              <w:spacing w:after="0" w:line="300" w:lineRule="atLeast"/>
              <w:ind w:right="185"/>
              <w:jc w:val="right"/>
            </w:pPr>
            <w:r w:rsidRPr="00B277CE">
              <w:t xml:space="preserve">1,818 </w:t>
            </w:r>
          </w:p>
        </w:tc>
      </w:tr>
      <w:tr w:rsidR="00B277CE" w:rsidRPr="00B277CE" w:rsidTr="00B277CE">
        <w:trPr>
          <w:trHeight w:val="255"/>
        </w:trPr>
        <w:tc>
          <w:tcPr>
            <w:tcW w:w="3816" w:type="pct"/>
            <w:hideMark/>
          </w:tcPr>
          <w:p w:rsidR="00B277CE" w:rsidRPr="00B277CE" w:rsidRDefault="00B277CE" w:rsidP="00B277CE">
            <w:pPr>
              <w:spacing w:after="0" w:line="300" w:lineRule="atLeast"/>
              <w:ind w:right="185"/>
              <w:jc w:val="both"/>
            </w:pPr>
            <w:r w:rsidRPr="00B277CE">
              <w:t xml:space="preserve"> Community Equipment scheme </w:t>
            </w:r>
          </w:p>
        </w:tc>
        <w:tc>
          <w:tcPr>
            <w:tcW w:w="1184" w:type="pct"/>
            <w:hideMark/>
          </w:tcPr>
          <w:p w:rsidR="00B277CE" w:rsidRPr="00B277CE" w:rsidRDefault="00B277CE" w:rsidP="00B277CE">
            <w:pPr>
              <w:spacing w:after="0" w:line="300" w:lineRule="atLeast"/>
              <w:ind w:right="185"/>
              <w:jc w:val="right"/>
            </w:pPr>
            <w:r w:rsidRPr="00B277CE">
              <w:t xml:space="preserve">529 </w:t>
            </w:r>
          </w:p>
        </w:tc>
      </w:tr>
      <w:tr w:rsidR="00B277CE" w:rsidRPr="00B277CE" w:rsidTr="00B277CE">
        <w:trPr>
          <w:trHeight w:val="255"/>
        </w:trPr>
        <w:tc>
          <w:tcPr>
            <w:tcW w:w="3816" w:type="pct"/>
            <w:noWrap/>
            <w:hideMark/>
          </w:tcPr>
          <w:p w:rsidR="00B277CE" w:rsidRPr="00B277CE" w:rsidRDefault="00B277CE" w:rsidP="00B277CE">
            <w:pPr>
              <w:spacing w:after="0" w:line="300" w:lineRule="atLeast"/>
              <w:ind w:right="185"/>
              <w:jc w:val="both"/>
              <w:rPr>
                <w:bCs/>
              </w:rPr>
            </w:pPr>
            <w:r w:rsidRPr="00B277CE">
              <w:rPr>
                <w:bCs/>
              </w:rPr>
              <w:t>Total Non-activity Based Services</w:t>
            </w:r>
          </w:p>
        </w:tc>
        <w:tc>
          <w:tcPr>
            <w:tcW w:w="1184" w:type="pct"/>
            <w:noWrap/>
            <w:hideMark/>
          </w:tcPr>
          <w:p w:rsidR="00B277CE" w:rsidRPr="00B277CE" w:rsidRDefault="00B277CE" w:rsidP="00B277CE">
            <w:pPr>
              <w:spacing w:after="0" w:line="300" w:lineRule="atLeast"/>
              <w:ind w:right="185"/>
              <w:jc w:val="right"/>
              <w:rPr>
                <w:bCs/>
              </w:rPr>
            </w:pPr>
            <w:r w:rsidRPr="00B277CE">
              <w:rPr>
                <w:bCs/>
              </w:rPr>
              <w:t>49,794</w:t>
            </w:r>
          </w:p>
        </w:tc>
      </w:tr>
    </w:tbl>
    <w:p w:rsidR="007F563C" w:rsidRPr="00EE2B3E" w:rsidRDefault="007F563C" w:rsidP="00EE2B3E">
      <w:pPr>
        <w:spacing w:after="140" w:line="300" w:lineRule="atLeast"/>
        <w:ind w:right="185"/>
        <w:jc w:val="both"/>
        <w:rPr>
          <w:b/>
        </w:rPr>
      </w:pPr>
    </w:p>
    <w:p w:rsidR="003B54B9" w:rsidRDefault="003B54B9">
      <w:pPr>
        <w:rPr>
          <w:b/>
          <w:bCs/>
          <w:sz w:val="32"/>
          <w:szCs w:val="28"/>
          <w:lang w:val="x-none"/>
        </w:rPr>
      </w:pPr>
      <w:r>
        <w:br w:type="page"/>
      </w:r>
    </w:p>
    <w:p w:rsidR="00011FDC" w:rsidRPr="00011FDC" w:rsidRDefault="007F563C" w:rsidP="00EE2B3E">
      <w:pPr>
        <w:pStyle w:val="Heading2"/>
        <w:spacing w:before="0" w:after="140" w:line="300" w:lineRule="atLeast"/>
      </w:pPr>
      <w:bookmarkStart w:id="64" w:name="_Toc488068413"/>
      <w:r>
        <w:t xml:space="preserve">2017-18 NWAU </w:t>
      </w:r>
      <w:r w:rsidR="001F4897" w:rsidRPr="00011FDC">
        <w:t>estimates</w:t>
      </w:r>
      <w:bookmarkEnd w:id="64"/>
    </w:p>
    <w:p w:rsidR="007F563C" w:rsidRPr="00011FDC" w:rsidRDefault="007F563C" w:rsidP="007F563C">
      <w:pPr>
        <w:spacing w:after="140" w:line="300" w:lineRule="atLeast"/>
      </w:pPr>
      <w:r w:rsidRPr="00011FDC">
        <w:t xml:space="preserve">As part of the National Health Reform Agreement, States and Territories are required to include in Services Agreements the anticipated level of National Weighted Activity Units (NWAUs) to be produced by Local Hospital Networks (the THS in the case of Tasmania). </w:t>
      </w:r>
    </w:p>
    <w:p w:rsidR="007F563C" w:rsidRDefault="007F563C" w:rsidP="007F563C">
      <w:pPr>
        <w:spacing w:after="140" w:line="300" w:lineRule="atLeast"/>
      </w:pPr>
      <w:r w:rsidRPr="00011FDC">
        <w:t xml:space="preserve">The NWAU is a measure of Health Service activity expressed as a common unit, against which the National Efficient Price (NEP) is paid by the </w:t>
      </w:r>
      <w:r>
        <w:t xml:space="preserve">Australian Government.  </w:t>
      </w:r>
      <w:r w:rsidRPr="00011FDC">
        <w:t>It provides a way of comparing and valuing each public hospital service, whether they are admissions, emergency department presentations or outpatient episodes, weighted for clinical complexity</w:t>
      </w:r>
      <w:r>
        <w:t xml:space="preserve"> and cost</w:t>
      </w:r>
      <w:r w:rsidRPr="00011FDC">
        <w:t>.</w:t>
      </w:r>
    </w:p>
    <w:p w:rsidR="007F563C" w:rsidRDefault="007F563C" w:rsidP="00EE2B3E">
      <w:pPr>
        <w:spacing w:after="140" w:line="300" w:lineRule="atLeast"/>
      </w:pPr>
    </w:p>
    <w:p w:rsidR="00EE2B3E" w:rsidRDefault="00EE2B3E" w:rsidP="00EE2B3E">
      <w:pPr>
        <w:spacing w:after="140" w:line="300" w:lineRule="atLeast"/>
        <w:rPr>
          <w:b/>
          <w:sz w:val="24"/>
          <w:szCs w:val="24"/>
        </w:rPr>
      </w:pPr>
      <w:r w:rsidRPr="00EE2B3E">
        <w:rPr>
          <w:b/>
          <w:sz w:val="24"/>
          <w:szCs w:val="24"/>
        </w:rPr>
        <w:t>NWAU Estimates</w:t>
      </w:r>
      <w:r w:rsidR="00C8143E">
        <w:rPr>
          <w:b/>
          <w:sz w:val="24"/>
          <w:szCs w:val="24"/>
        </w:rPr>
        <w:t xml:space="preserve"> 2017-18</w:t>
      </w:r>
    </w:p>
    <w:tbl>
      <w:tblPr>
        <w:tblStyle w:val="TableGrid"/>
        <w:tblW w:w="5000" w:type="pct"/>
        <w:tblLook w:val="04A0" w:firstRow="1" w:lastRow="0" w:firstColumn="1" w:lastColumn="0" w:noHBand="0" w:noVBand="1"/>
        <w:tblCaption w:val="NWAU Estimates 2017-18"/>
        <w:tblDescription w:val="Shows annual NWAU Estimate totals for 2017-18"/>
      </w:tblPr>
      <w:tblGrid>
        <w:gridCol w:w="1440"/>
        <w:gridCol w:w="1298"/>
        <w:gridCol w:w="1298"/>
        <w:gridCol w:w="1421"/>
        <w:gridCol w:w="1475"/>
        <w:gridCol w:w="1238"/>
        <w:gridCol w:w="1072"/>
      </w:tblGrid>
      <w:tr w:rsidR="00C8143E" w:rsidRPr="00C8143E" w:rsidTr="00C8143E">
        <w:trPr>
          <w:trHeight w:val="660"/>
          <w:tblHeader/>
        </w:trPr>
        <w:tc>
          <w:tcPr>
            <w:tcW w:w="779" w:type="pct"/>
            <w:shd w:val="clear" w:color="auto" w:fill="D9D9D9" w:themeFill="background1" w:themeFillShade="D9"/>
            <w:hideMark/>
          </w:tcPr>
          <w:p w:rsidR="00C8143E" w:rsidRPr="00C8143E" w:rsidRDefault="00C8143E" w:rsidP="00C8143E">
            <w:pPr>
              <w:spacing w:after="0" w:line="300" w:lineRule="atLeast"/>
              <w:rPr>
                <w:b/>
                <w:szCs w:val="24"/>
              </w:rPr>
            </w:pPr>
            <w:r w:rsidRPr="00C8143E">
              <w:rPr>
                <w:b/>
                <w:szCs w:val="24"/>
              </w:rPr>
              <w:t xml:space="preserve">Tasmanian Health Service </w:t>
            </w:r>
          </w:p>
        </w:tc>
        <w:tc>
          <w:tcPr>
            <w:tcW w:w="702" w:type="pct"/>
            <w:shd w:val="clear" w:color="auto" w:fill="D9D9D9" w:themeFill="background1" w:themeFillShade="D9"/>
            <w:hideMark/>
          </w:tcPr>
          <w:p w:rsidR="00C8143E" w:rsidRPr="00C8143E" w:rsidRDefault="00C8143E" w:rsidP="00C8143E">
            <w:pPr>
              <w:spacing w:after="0" w:line="300" w:lineRule="atLeast"/>
              <w:jc w:val="right"/>
              <w:rPr>
                <w:b/>
                <w:szCs w:val="24"/>
              </w:rPr>
            </w:pPr>
            <w:r w:rsidRPr="00C8143E">
              <w:rPr>
                <w:b/>
                <w:szCs w:val="24"/>
              </w:rPr>
              <w:t xml:space="preserve">Acute Admitted Incl. Elective Surgery </w:t>
            </w:r>
          </w:p>
        </w:tc>
        <w:tc>
          <w:tcPr>
            <w:tcW w:w="702" w:type="pct"/>
            <w:shd w:val="clear" w:color="auto" w:fill="D9D9D9" w:themeFill="background1" w:themeFillShade="D9"/>
            <w:hideMark/>
          </w:tcPr>
          <w:p w:rsidR="00C8143E" w:rsidRPr="00C8143E" w:rsidRDefault="00C8143E" w:rsidP="00C8143E">
            <w:pPr>
              <w:spacing w:after="0" w:line="300" w:lineRule="atLeast"/>
              <w:jc w:val="right"/>
              <w:rPr>
                <w:b/>
                <w:szCs w:val="24"/>
              </w:rPr>
            </w:pPr>
            <w:r w:rsidRPr="00C8143E">
              <w:rPr>
                <w:b/>
                <w:szCs w:val="24"/>
              </w:rPr>
              <w:t xml:space="preserve">Admitted Mental Health </w:t>
            </w:r>
          </w:p>
        </w:tc>
        <w:tc>
          <w:tcPr>
            <w:tcW w:w="769" w:type="pct"/>
            <w:shd w:val="clear" w:color="auto" w:fill="D9D9D9" w:themeFill="background1" w:themeFillShade="D9"/>
            <w:hideMark/>
          </w:tcPr>
          <w:p w:rsidR="00C8143E" w:rsidRPr="00C8143E" w:rsidRDefault="00C8143E" w:rsidP="00C8143E">
            <w:pPr>
              <w:spacing w:after="0" w:line="300" w:lineRule="atLeast"/>
              <w:jc w:val="right"/>
              <w:rPr>
                <w:b/>
                <w:szCs w:val="24"/>
              </w:rPr>
            </w:pPr>
            <w:r w:rsidRPr="00C8143E">
              <w:rPr>
                <w:b/>
                <w:szCs w:val="24"/>
              </w:rPr>
              <w:t xml:space="preserve"> Sub-acute and Non-acute (admitted) </w:t>
            </w:r>
          </w:p>
        </w:tc>
        <w:tc>
          <w:tcPr>
            <w:tcW w:w="798" w:type="pct"/>
            <w:shd w:val="clear" w:color="auto" w:fill="D9D9D9" w:themeFill="background1" w:themeFillShade="D9"/>
            <w:hideMark/>
          </w:tcPr>
          <w:p w:rsidR="00C8143E" w:rsidRPr="00C8143E" w:rsidRDefault="00C8143E" w:rsidP="00C8143E">
            <w:pPr>
              <w:spacing w:after="0" w:line="300" w:lineRule="atLeast"/>
              <w:jc w:val="right"/>
              <w:rPr>
                <w:b/>
                <w:szCs w:val="24"/>
              </w:rPr>
            </w:pPr>
            <w:r w:rsidRPr="00C8143E">
              <w:rPr>
                <w:b/>
                <w:szCs w:val="24"/>
              </w:rPr>
              <w:t xml:space="preserve"> Emergency </w:t>
            </w:r>
          </w:p>
        </w:tc>
        <w:tc>
          <w:tcPr>
            <w:tcW w:w="670" w:type="pct"/>
            <w:shd w:val="clear" w:color="auto" w:fill="D9D9D9" w:themeFill="background1" w:themeFillShade="D9"/>
            <w:hideMark/>
          </w:tcPr>
          <w:p w:rsidR="00C8143E" w:rsidRPr="00C8143E" w:rsidRDefault="00C8143E" w:rsidP="00C8143E">
            <w:pPr>
              <w:spacing w:after="0" w:line="300" w:lineRule="atLeast"/>
              <w:jc w:val="right"/>
              <w:rPr>
                <w:b/>
                <w:szCs w:val="24"/>
              </w:rPr>
            </w:pPr>
            <w:r w:rsidRPr="00C8143E">
              <w:rPr>
                <w:b/>
                <w:szCs w:val="24"/>
              </w:rPr>
              <w:t xml:space="preserve"> Non-admitted </w:t>
            </w:r>
          </w:p>
        </w:tc>
        <w:tc>
          <w:tcPr>
            <w:tcW w:w="580" w:type="pct"/>
            <w:shd w:val="clear" w:color="auto" w:fill="D9D9D9" w:themeFill="background1" w:themeFillShade="D9"/>
            <w:hideMark/>
          </w:tcPr>
          <w:p w:rsidR="00C8143E" w:rsidRPr="00C8143E" w:rsidRDefault="00C8143E" w:rsidP="00C8143E">
            <w:pPr>
              <w:spacing w:after="0" w:line="300" w:lineRule="atLeast"/>
              <w:jc w:val="right"/>
              <w:rPr>
                <w:b/>
                <w:szCs w:val="24"/>
              </w:rPr>
            </w:pPr>
            <w:r w:rsidRPr="00C8143E">
              <w:rPr>
                <w:b/>
                <w:szCs w:val="24"/>
              </w:rPr>
              <w:t xml:space="preserve"> Total </w:t>
            </w:r>
          </w:p>
        </w:tc>
      </w:tr>
      <w:tr w:rsidR="00C8143E" w:rsidRPr="00C8143E" w:rsidTr="00C8143E">
        <w:trPr>
          <w:trHeight w:val="300"/>
        </w:trPr>
        <w:tc>
          <w:tcPr>
            <w:tcW w:w="779" w:type="pct"/>
            <w:hideMark/>
          </w:tcPr>
          <w:p w:rsidR="00C8143E" w:rsidRPr="00C8143E" w:rsidRDefault="00C8143E" w:rsidP="00C8143E">
            <w:pPr>
              <w:spacing w:after="0" w:line="300" w:lineRule="atLeast"/>
              <w:rPr>
                <w:bCs/>
                <w:szCs w:val="24"/>
              </w:rPr>
            </w:pPr>
            <w:r w:rsidRPr="00C8143E">
              <w:rPr>
                <w:bCs/>
                <w:szCs w:val="24"/>
              </w:rPr>
              <w:t xml:space="preserve">NWAU Total </w:t>
            </w:r>
          </w:p>
        </w:tc>
        <w:tc>
          <w:tcPr>
            <w:tcW w:w="702" w:type="pct"/>
            <w:hideMark/>
          </w:tcPr>
          <w:p w:rsidR="00C8143E" w:rsidRPr="00C8143E" w:rsidRDefault="00C8143E" w:rsidP="00C8143E">
            <w:pPr>
              <w:spacing w:after="0" w:line="300" w:lineRule="atLeast"/>
              <w:jc w:val="right"/>
              <w:rPr>
                <w:bCs/>
                <w:szCs w:val="24"/>
              </w:rPr>
            </w:pPr>
            <w:r w:rsidRPr="00C8143E">
              <w:rPr>
                <w:bCs/>
                <w:szCs w:val="24"/>
              </w:rPr>
              <w:t xml:space="preserve"> 97,047 </w:t>
            </w:r>
          </w:p>
        </w:tc>
        <w:tc>
          <w:tcPr>
            <w:tcW w:w="702" w:type="pct"/>
            <w:hideMark/>
          </w:tcPr>
          <w:p w:rsidR="00C8143E" w:rsidRPr="00C8143E" w:rsidRDefault="00C8143E" w:rsidP="00C8143E">
            <w:pPr>
              <w:spacing w:after="0" w:line="300" w:lineRule="atLeast"/>
              <w:jc w:val="right"/>
              <w:rPr>
                <w:bCs/>
                <w:szCs w:val="24"/>
              </w:rPr>
            </w:pPr>
            <w:r w:rsidRPr="00C8143E">
              <w:rPr>
                <w:bCs/>
                <w:szCs w:val="24"/>
              </w:rPr>
              <w:t xml:space="preserve">6,817 </w:t>
            </w:r>
          </w:p>
        </w:tc>
        <w:tc>
          <w:tcPr>
            <w:tcW w:w="769" w:type="pct"/>
            <w:hideMark/>
          </w:tcPr>
          <w:p w:rsidR="00C8143E" w:rsidRPr="00C8143E" w:rsidRDefault="00C8143E" w:rsidP="00C8143E">
            <w:pPr>
              <w:spacing w:after="0" w:line="300" w:lineRule="atLeast"/>
              <w:jc w:val="right"/>
              <w:rPr>
                <w:bCs/>
                <w:szCs w:val="24"/>
              </w:rPr>
            </w:pPr>
            <w:r w:rsidRPr="00C8143E">
              <w:rPr>
                <w:bCs/>
                <w:szCs w:val="24"/>
              </w:rPr>
              <w:t xml:space="preserve">6,124 </w:t>
            </w:r>
          </w:p>
        </w:tc>
        <w:tc>
          <w:tcPr>
            <w:tcW w:w="798" w:type="pct"/>
            <w:hideMark/>
          </w:tcPr>
          <w:p w:rsidR="00C8143E" w:rsidRPr="00C8143E" w:rsidRDefault="00C8143E" w:rsidP="00C8143E">
            <w:pPr>
              <w:spacing w:after="0" w:line="300" w:lineRule="atLeast"/>
              <w:jc w:val="right"/>
              <w:rPr>
                <w:bCs/>
                <w:szCs w:val="24"/>
              </w:rPr>
            </w:pPr>
            <w:r w:rsidRPr="00C8143E">
              <w:rPr>
                <w:bCs/>
                <w:szCs w:val="24"/>
              </w:rPr>
              <w:t xml:space="preserve"> 5,764 </w:t>
            </w:r>
          </w:p>
        </w:tc>
        <w:tc>
          <w:tcPr>
            <w:tcW w:w="670" w:type="pct"/>
            <w:hideMark/>
          </w:tcPr>
          <w:p w:rsidR="00C8143E" w:rsidRPr="00C8143E" w:rsidRDefault="00C8143E" w:rsidP="00C8143E">
            <w:pPr>
              <w:spacing w:after="0" w:line="300" w:lineRule="atLeast"/>
              <w:jc w:val="right"/>
              <w:rPr>
                <w:bCs/>
                <w:szCs w:val="24"/>
              </w:rPr>
            </w:pPr>
            <w:r w:rsidRPr="00C8143E">
              <w:rPr>
                <w:bCs/>
                <w:szCs w:val="24"/>
              </w:rPr>
              <w:t xml:space="preserve">16,792 </w:t>
            </w:r>
          </w:p>
        </w:tc>
        <w:tc>
          <w:tcPr>
            <w:tcW w:w="580" w:type="pct"/>
            <w:hideMark/>
          </w:tcPr>
          <w:p w:rsidR="00C8143E" w:rsidRPr="00C8143E" w:rsidRDefault="00C8143E" w:rsidP="00C8143E">
            <w:pPr>
              <w:spacing w:after="0" w:line="300" w:lineRule="atLeast"/>
              <w:jc w:val="right"/>
              <w:rPr>
                <w:bCs/>
                <w:szCs w:val="24"/>
              </w:rPr>
            </w:pPr>
            <w:r w:rsidRPr="00C8143E">
              <w:rPr>
                <w:bCs/>
                <w:szCs w:val="24"/>
              </w:rPr>
              <w:t xml:space="preserve"> 142,543 </w:t>
            </w:r>
          </w:p>
        </w:tc>
      </w:tr>
    </w:tbl>
    <w:p w:rsidR="003B54B9" w:rsidRPr="00EE2B3E" w:rsidRDefault="003B54B9" w:rsidP="00EE2B3E">
      <w:pPr>
        <w:spacing w:after="140" w:line="300" w:lineRule="atLeast"/>
        <w:rPr>
          <w:b/>
          <w:sz w:val="24"/>
          <w:szCs w:val="24"/>
        </w:rPr>
      </w:pPr>
    </w:p>
    <w:p w:rsidR="00A04062" w:rsidRPr="0059579C" w:rsidRDefault="00A04062" w:rsidP="00EE2B3E">
      <w:pPr>
        <w:pStyle w:val="Heading1"/>
        <w:spacing w:before="0" w:after="140" w:line="300" w:lineRule="atLeast"/>
        <w:rPr>
          <w:lang w:val="en-AU"/>
        </w:rPr>
      </w:pPr>
      <w:bookmarkStart w:id="65" w:name="_Toc388608663"/>
      <w:bookmarkStart w:id="66" w:name="_Toc423357991"/>
      <w:bookmarkStart w:id="67" w:name="_Toc488068414"/>
      <w:r w:rsidRPr="002B37D1">
        <w:rPr>
          <w:snapToGrid/>
        </w:rPr>
        <w:t xml:space="preserve">Appendix </w:t>
      </w:r>
      <w:r w:rsidR="00A87914">
        <w:rPr>
          <w:snapToGrid/>
          <w:lang w:val="en-AU"/>
        </w:rPr>
        <w:t>1</w:t>
      </w:r>
      <w:r w:rsidRPr="002B37D1">
        <w:rPr>
          <w:snapToGrid/>
        </w:rPr>
        <w:t>.</w:t>
      </w:r>
      <w:bookmarkEnd w:id="65"/>
      <w:bookmarkEnd w:id="66"/>
      <w:bookmarkEnd w:id="67"/>
    </w:p>
    <w:p w:rsidR="005B010B" w:rsidRDefault="005B010B" w:rsidP="00EE2B3E">
      <w:pPr>
        <w:pStyle w:val="Heading2"/>
        <w:spacing w:before="0" w:after="140" w:line="300" w:lineRule="atLeast"/>
      </w:pPr>
      <w:bookmarkStart w:id="68" w:name="_Toc465956010"/>
      <w:bookmarkStart w:id="69" w:name="_Toc488068415"/>
      <w:bookmarkStart w:id="70" w:name="_Toc419703542"/>
      <w:bookmarkStart w:id="71" w:name="_Toc419965601"/>
      <w:bookmarkStart w:id="72" w:name="_Toc423357992"/>
      <w:r>
        <w:t>Mental Health Services</w:t>
      </w:r>
      <w:bookmarkEnd w:id="68"/>
      <w:bookmarkEnd w:id="69"/>
    </w:p>
    <w:p w:rsidR="005B010B" w:rsidRDefault="005B010B" w:rsidP="00EE2B3E">
      <w:pPr>
        <w:spacing w:after="140" w:line="300" w:lineRule="atLeast"/>
        <w:rPr>
          <w:b/>
          <w:bCs/>
        </w:rPr>
      </w:pPr>
      <w:r>
        <w:rPr>
          <w:b/>
          <w:bCs/>
        </w:rPr>
        <w:t>Mental Health Reform</w:t>
      </w:r>
    </w:p>
    <w:p w:rsidR="005B010B" w:rsidRDefault="005B010B" w:rsidP="00EE2B3E">
      <w:pPr>
        <w:spacing w:after="140" w:line="300" w:lineRule="atLeast"/>
      </w:pPr>
      <w:r>
        <w:t>In Australia, there has been major mental health reform in the last 30 or more years.  This has mainly focused on the shift from institutional to community care, use of services provided by non-government organisations, recognition of mental health as equal to physical health, and efforts to support person-centred recovery.</w:t>
      </w:r>
      <w:r>
        <w:rPr>
          <w:vertAlign w:val="superscript"/>
        </w:rPr>
        <w:t>1</w:t>
      </w:r>
      <w:r w:rsidR="00FD2EB0">
        <w:t xml:space="preserve"> </w:t>
      </w:r>
    </w:p>
    <w:p w:rsidR="005B010B" w:rsidRDefault="005B010B" w:rsidP="00EE2B3E">
      <w:pPr>
        <w:spacing w:after="140" w:line="300" w:lineRule="atLeast"/>
      </w:pPr>
      <w:r>
        <w:t>In Tasmania over the last 20 years there has been a greater focus on support and care in the community and an increasing role for community sector organisations.  This has included strengthening of community based mental health teams across the state and across the life span, development of new residential, rehabilitation and psycho-social mental health services, and more recently a growth in programs that have a mental health promotion and prevention focus.</w:t>
      </w:r>
    </w:p>
    <w:p w:rsidR="005B010B" w:rsidRDefault="005B010B" w:rsidP="00EE2B3E">
      <w:pPr>
        <w:spacing w:after="140" w:line="300" w:lineRule="atLeast"/>
      </w:pPr>
      <w:r>
        <w:t xml:space="preserve">Currently there are three key reforms relevant to the Tasmanian mental health service system; the Tasmanian Government’s mental health reform as outlined in the </w:t>
      </w:r>
      <w:r>
        <w:rPr>
          <w:i/>
          <w:iCs/>
        </w:rPr>
        <w:t>Rethink Mental Health Plan 2015-2025</w:t>
      </w:r>
      <w:r>
        <w:t>, the rollout of the National Disability Insurance Scheme (NDIS) in Tasmania and the Australian Government’s mental health reforms focussed on primary mental health care and building on the role of Primary Health Networks – Primary Health Tasmania and including the development of a fifth national mental health plan</w:t>
      </w:r>
      <w:r w:rsidR="007E39DF">
        <w:t>.</w:t>
      </w:r>
      <w:r>
        <w:t xml:space="preserve"> </w:t>
      </w:r>
    </w:p>
    <w:p w:rsidR="005B010B" w:rsidRDefault="005B010B" w:rsidP="00EE2B3E">
      <w:pPr>
        <w:spacing w:after="140" w:line="300" w:lineRule="atLeast"/>
      </w:pPr>
      <w:r>
        <w:t xml:space="preserve">The fifth national mental health plan is currently being developed.  The overarching focus of the plan will be to improve both system and service level integration at the regional level. Improvements in integration will lead to people with mental illness, their </w:t>
      </w:r>
      <w:proofErr w:type="spellStart"/>
      <w:r>
        <w:t>carers</w:t>
      </w:r>
      <w:proofErr w:type="spellEnd"/>
      <w:r>
        <w:t xml:space="preserve"> and communities, experiencing higher quality, seamless care, and a more efficient use of mental health resources.</w:t>
      </w:r>
    </w:p>
    <w:p w:rsidR="005B010B" w:rsidRDefault="005B010B" w:rsidP="00EE2B3E">
      <w:pPr>
        <w:spacing w:after="140" w:line="300" w:lineRule="atLeast"/>
      </w:pPr>
      <w:r>
        <w:t xml:space="preserve">The fifth national mental health plan will not replace state and territory plans.  It looks to complement them to facilitate Commonwealth and jurisdictions working together to achieve common goals. </w:t>
      </w:r>
    </w:p>
    <w:p w:rsidR="005B010B" w:rsidRDefault="005B010B" w:rsidP="00EE2B3E">
      <w:pPr>
        <w:spacing w:after="140" w:line="300" w:lineRule="atLeast"/>
      </w:pPr>
      <w:r>
        <w:t xml:space="preserve">In October 2015, the Tasmanian Government released the </w:t>
      </w:r>
      <w:r>
        <w:rPr>
          <w:i/>
          <w:iCs/>
        </w:rPr>
        <w:t>Rethink Mental Health Plan 2015-2025</w:t>
      </w:r>
      <w:r>
        <w:t xml:space="preserve">.  This is the Government’s ten year plan to deliver a co-ordinated and integrated mental health system and to improve the mental health and wellbeing of Tasmanians.  </w:t>
      </w:r>
    </w:p>
    <w:p w:rsidR="005B010B" w:rsidRDefault="005B010B" w:rsidP="00EE2B3E">
      <w:pPr>
        <w:spacing w:after="140" w:line="300" w:lineRule="atLeast"/>
      </w:pPr>
      <w:r>
        <w:t>The Rethink Mental Health Plan brings together promotion of positive mental health, prevention of mental ill-health and care and supports for people with mental illness into one strategic framework.  It sets a reform agenda to improve the mental health and wellbeing of Tasmanians and outlines ten key directions for reform:</w:t>
      </w:r>
    </w:p>
    <w:p w:rsidR="005B010B" w:rsidRPr="00357DB9" w:rsidRDefault="005B010B" w:rsidP="00357DB9">
      <w:pPr>
        <w:pStyle w:val="ListParagraph"/>
        <w:numPr>
          <w:ilvl w:val="0"/>
          <w:numId w:val="42"/>
        </w:numPr>
        <w:spacing w:after="140" w:line="300" w:lineRule="atLeast"/>
        <w:ind w:right="0"/>
        <w:jc w:val="left"/>
        <w:rPr>
          <w:rFonts w:ascii="Gill Sans MT" w:hAnsi="Gill Sans MT"/>
        </w:rPr>
      </w:pPr>
      <w:r w:rsidRPr="00357DB9">
        <w:rPr>
          <w:rFonts w:ascii="Gill Sans MT" w:hAnsi="Gill Sans MT"/>
        </w:rPr>
        <w:t xml:space="preserve">Empowering Tasmanians to </w:t>
      </w:r>
      <w:proofErr w:type="spellStart"/>
      <w:r w:rsidRPr="00357DB9">
        <w:rPr>
          <w:rFonts w:ascii="Gill Sans MT" w:hAnsi="Gill Sans MT"/>
        </w:rPr>
        <w:t>maximise</w:t>
      </w:r>
      <w:proofErr w:type="spellEnd"/>
      <w:r w:rsidRPr="00357DB9">
        <w:rPr>
          <w:rFonts w:ascii="Gill Sans MT" w:hAnsi="Gill Sans MT"/>
        </w:rPr>
        <w:t xml:space="preserve"> their mental health and wellbeing</w:t>
      </w:r>
    </w:p>
    <w:p w:rsidR="005B010B" w:rsidRPr="00357DB9" w:rsidRDefault="005B010B" w:rsidP="00357DB9">
      <w:pPr>
        <w:pStyle w:val="ListParagraph"/>
        <w:numPr>
          <w:ilvl w:val="0"/>
          <w:numId w:val="42"/>
        </w:numPr>
        <w:spacing w:after="140" w:line="300" w:lineRule="atLeast"/>
        <w:ind w:right="0"/>
        <w:jc w:val="left"/>
        <w:rPr>
          <w:rFonts w:ascii="Gill Sans MT" w:hAnsi="Gill Sans MT"/>
        </w:rPr>
      </w:pPr>
      <w:r w:rsidRPr="00357DB9">
        <w:rPr>
          <w:rFonts w:ascii="Gill Sans MT" w:hAnsi="Gill Sans MT"/>
        </w:rPr>
        <w:t>A greater emphasis on promotion of positive mental health, prevention of mental health problems and early intervention</w:t>
      </w:r>
    </w:p>
    <w:p w:rsidR="005B010B" w:rsidRPr="00357DB9" w:rsidRDefault="005B010B" w:rsidP="00357DB9">
      <w:pPr>
        <w:pStyle w:val="ListParagraph"/>
        <w:numPr>
          <w:ilvl w:val="0"/>
          <w:numId w:val="42"/>
        </w:numPr>
        <w:spacing w:after="140" w:line="300" w:lineRule="atLeast"/>
        <w:ind w:right="0"/>
        <w:jc w:val="left"/>
        <w:rPr>
          <w:rFonts w:ascii="Gill Sans MT" w:hAnsi="Gill Sans MT"/>
        </w:rPr>
      </w:pPr>
      <w:r w:rsidRPr="00357DB9">
        <w:rPr>
          <w:rFonts w:ascii="Gill Sans MT" w:hAnsi="Gill Sans MT"/>
        </w:rPr>
        <w:t>Reducing stigma</w:t>
      </w:r>
    </w:p>
    <w:p w:rsidR="005B010B" w:rsidRPr="00357DB9" w:rsidRDefault="005B010B" w:rsidP="00357DB9">
      <w:pPr>
        <w:pStyle w:val="ListParagraph"/>
        <w:numPr>
          <w:ilvl w:val="0"/>
          <w:numId w:val="42"/>
        </w:numPr>
        <w:spacing w:after="140" w:line="300" w:lineRule="atLeast"/>
        <w:ind w:right="0"/>
        <w:jc w:val="left"/>
        <w:rPr>
          <w:rFonts w:ascii="Gill Sans MT" w:hAnsi="Gill Sans MT"/>
        </w:rPr>
      </w:pPr>
      <w:r w:rsidRPr="00357DB9">
        <w:rPr>
          <w:rFonts w:ascii="Gill Sans MT" w:hAnsi="Gill Sans MT"/>
        </w:rPr>
        <w:t>An integrated Tasmanian mental health system</w:t>
      </w:r>
    </w:p>
    <w:p w:rsidR="005B010B" w:rsidRPr="00357DB9" w:rsidRDefault="005B010B" w:rsidP="00357DB9">
      <w:pPr>
        <w:pStyle w:val="ListParagraph"/>
        <w:numPr>
          <w:ilvl w:val="0"/>
          <w:numId w:val="42"/>
        </w:numPr>
        <w:spacing w:after="140" w:line="300" w:lineRule="atLeast"/>
        <w:ind w:right="0"/>
        <w:jc w:val="left"/>
        <w:rPr>
          <w:rFonts w:ascii="Gill Sans MT" w:hAnsi="Gill Sans MT"/>
        </w:rPr>
      </w:pPr>
      <w:r w:rsidRPr="00357DB9">
        <w:rPr>
          <w:rFonts w:ascii="Gill Sans MT" w:hAnsi="Gill Sans MT"/>
        </w:rPr>
        <w:t>Shifting the focus from hospital based care to support in the community</w:t>
      </w:r>
    </w:p>
    <w:p w:rsidR="005B010B" w:rsidRDefault="005B010B" w:rsidP="00EE2B3E">
      <w:pPr>
        <w:spacing w:after="140" w:line="300" w:lineRule="atLeast"/>
        <w:rPr>
          <w:sz w:val="20"/>
          <w:szCs w:val="20"/>
        </w:rPr>
      </w:pPr>
      <w:r>
        <w:rPr>
          <w:sz w:val="20"/>
          <w:szCs w:val="20"/>
          <w:vertAlign w:val="superscript"/>
        </w:rPr>
        <w:t>1</w:t>
      </w:r>
      <w:r>
        <w:rPr>
          <w:sz w:val="20"/>
          <w:szCs w:val="20"/>
        </w:rPr>
        <w:t xml:space="preserve"> The review of policy documents and related literature – informing the development of Tasmania’s long-term plan for mental health, The University of Melbourne and The University of Queensland, August 2014.</w:t>
      </w:r>
      <w:r>
        <w:rPr>
          <w:sz w:val="20"/>
          <w:szCs w:val="20"/>
        </w:rPr>
        <w:br w:type="page"/>
      </w:r>
    </w:p>
    <w:p w:rsidR="005B010B" w:rsidRPr="00357DB9" w:rsidRDefault="005B010B" w:rsidP="00357DB9">
      <w:pPr>
        <w:pStyle w:val="ListParagraph"/>
        <w:numPr>
          <w:ilvl w:val="0"/>
          <w:numId w:val="42"/>
        </w:numPr>
        <w:spacing w:after="140" w:line="300" w:lineRule="atLeast"/>
        <w:ind w:right="0"/>
        <w:jc w:val="left"/>
        <w:rPr>
          <w:rFonts w:ascii="Gill Sans MT" w:hAnsi="Gill Sans MT"/>
        </w:rPr>
      </w:pPr>
      <w:r w:rsidRPr="00357DB9">
        <w:rPr>
          <w:rFonts w:ascii="Gill Sans MT" w:hAnsi="Gill Sans MT"/>
        </w:rPr>
        <w:t>Getting in early and improving timely access to support (early in life and early in illness)</w:t>
      </w:r>
    </w:p>
    <w:p w:rsidR="005B010B" w:rsidRPr="00357DB9" w:rsidRDefault="005B010B" w:rsidP="00357DB9">
      <w:pPr>
        <w:pStyle w:val="ListParagraph"/>
        <w:numPr>
          <w:ilvl w:val="0"/>
          <w:numId w:val="42"/>
        </w:numPr>
        <w:spacing w:after="140" w:line="300" w:lineRule="atLeast"/>
        <w:ind w:right="0"/>
        <w:jc w:val="left"/>
        <w:rPr>
          <w:rFonts w:ascii="Gill Sans MT" w:hAnsi="Gill Sans MT"/>
        </w:rPr>
      </w:pPr>
      <w:r w:rsidRPr="00357DB9">
        <w:rPr>
          <w:rFonts w:ascii="Gill Sans MT" w:hAnsi="Gill Sans MT"/>
        </w:rPr>
        <w:t>Responding to the needs of specific population groups</w:t>
      </w:r>
    </w:p>
    <w:p w:rsidR="005B010B" w:rsidRPr="00357DB9" w:rsidRDefault="005B010B" w:rsidP="00357DB9">
      <w:pPr>
        <w:pStyle w:val="ListParagraph"/>
        <w:numPr>
          <w:ilvl w:val="0"/>
          <w:numId w:val="42"/>
        </w:numPr>
        <w:spacing w:after="140" w:line="300" w:lineRule="atLeast"/>
        <w:ind w:right="0"/>
        <w:jc w:val="left"/>
        <w:rPr>
          <w:rFonts w:ascii="Gill Sans MT" w:hAnsi="Gill Sans MT"/>
        </w:rPr>
      </w:pPr>
      <w:r w:rsidRPr="00357DB9">
        <w:rPr>
          <w:rFonts w:ascii="Gill Sans MT" w:hAnsi="Gill Sans MT"/>
        </w:rPr>
        <w:t>Improving quality and safety</w:t>
      </w:r>
    </w:p>
    <w:p w:rsidR="005B010B" w:rsidRPr="00357DB9" w:rsidRDefault="005B010B" w:rsidP="00357DB9">
      <w:pPr>
        <w:pStyle w:val="ListParagraph"/>
        <w:numPr>
          <w:ilvl w:val="0"/>
          <w:numId w:val="42"/>
        </w:numPr>
        <w:spacing w:after="140" w:line="300" w:lineRule="atLeast"/>
        <w:ind w:right="0"/>
        <w:jc w:val="left"/>
        <w:rPr>
          <w:rFonts w:ascii="Gill Sans MT" w:hAnsi="Gill Sans MT"/>
        </w:rPr>
      </w:pPr>
      <w:r w:rsidRPr="00357DB9">
        <w:rPr>
          <w:rFonts w:ascii="Gill Sans MT" w:hAnsi="Gill Sans MT"/>
        </w:rPr>
        <w:t>Supporting and developing our workforce</w:t>
      </w:r>
    </w:p>
    <w:p w:rsidR="005B010B" w:rsidRPr="00357DB9" w:rsidRDefault="005B010B" w:rsidP="00357DB9">
      <w:pPr>
        <w:pStyle w:val="ListParagraph"/>
        <w:numPr>
          <w:ilvl w:val="0"/>
          <w:numId w:val="42"/>
        </w:numPr>
        <w:spacing w:after="140" w:line="300" w:lineRule="atLeast"/>
        <w:ind w:right="0"/>
        <w:jc w:val="left"/>
        <w:rPr>
          <w:rFonts w:ascii="Gill Sans MT" w:hAnsi="Gill Sans MT"/>
        </w:rPr>
      </w:pPr>
      <w:r w:rsidRPr="00357DB9">
        <w:rPr>
          <w:rFonts w:ascii="Gill Sans MT" w:hAnsi="Gill Sans MT"/>
        </w:rPr>
        <w:t>Monitoring and evaluating our action to improve mental health and wellbeing</w:t>
      </w:r>
    </w:p>
    <w:p w:rsidR="005B010B" w:rsidRDefault="005B010B" w:rsidP="00EE2B3E">
      <w:pPr>
        <w:spacing w:after="140" w:line="300" w:lineRule="atLeast"/>
      </w:pPr>
      <w:r>
        <w:t>The rollout of these reforms may necessitate a revision of the Service Agreement components relevant to the delivery of mental health services through the THS.</w:t>
      </w:r>
    </w:p>
    <w:p w:rsidR="005B010B" w:rsidRDefault="005B010B" w:rsidP="00EE2B3E">
      <w:pPr>
        <w:spacing w:after="140" w:line="300" w:lineRule="atLeast"/>
        <w:rPr>
          <w:b/>
          <w:bCs/>
        </w:rPr>
      </w:pPr>
      <w:r>
        <w:rPr>
          <w:b/>
          <w:bCs/>
        </w:rPr>
        <w:t xml:space="preserve">Services to be delivered </w:t>
      </w:r>
    </w:p>
    <w:p w:rsidR="005B010B" w:rsidRDefault="005B010B" w:rsidP="00EE2B3E">
      <w:pPr>
        <w:spacing w:after="140" w:line="300" w:lineRule="atLeast"/>
        <w:rPr>
          <w:lang w:val="x-none"/>
        </w:rPr>
      </w:pPr>
      <w:r>
        <w:t>The THS</w:t>
      </w:r>
      <w:r>
        <w:rPr>
          <w:lang w:val="x-none"/>
        </w:rPr>
        <w:t xml:space="preserve"> will deliver specialist mental health treatment services.   Specific services to be provided:</w:t>
      </w:r>
    </w:p>
    <w:p w:rsidR="005B010B" w:rsidRPr="004C308D" w:rsidRDefault="005B010B" w:rsidP="004C308D">
      <w:pPr>
        <w:pStyle w:val="ListParagraph"/>
        <w:numPr>
          <w:ilvl w:val="0"/>
          <w:numId w:val="27"/>
        </w:numPr>
        <w:spacing w:after="140" w:line="300" w:lineRule="atLeast"/>
        <w:ind w:left="357" w:right="0" w:hanging="357"/>
        <w:jc w:val="left"/>
        <w:rPr>
          <w:rFonts w:ascii="Gill Sans MT" w:hAnsi="Gill Sans MT"/>
        </w:rPr>
      </w:pPr>
      <w:r w:rsidRPr="004C308D">
        <w:rPr>
          <w:rFonts w:ascii="Gill Sans MT" w:hAnsi="Gill Sans MT"/>
        </w:rPr>
        <w:t>Acute inpatient and hospital based services (including outpatient services) provided at the Royal Hobart Hospital, Launceston General Hospital and North West Regional Hospital:</w:t>
      </w:r>
    </w:p>
    <w:p w:rsidR="005B010B" w:rsidRPr="004C308D" w:rsidRDefault="005B010B" w:rsidP="004C308D">
      <w:pPr>
        <w:pStyle w:val="ListParagraph"/>
        <w:numPr>
          <w:ilvl w:val="0"/>
          <w:numId w:val="27"/>
        </w:numPr>
        <w:spacing w:after="140" w:line="300" w:lineRule="atLeast"/>
        <w:ind w:left="357" w:right="0" w:hanging="357"/>
        <w:jc w:val="left"/>
        <w:rPr>
          <w:rFonts w:ascii="Gill Sans MT" w:hAnsi="Gill Sans MT"/>
        </w:rPr>
      </w:pPr>
      <w:r w:rsidRPr="004C308D">
        <w:rPr>
          <w:rFonts w:ascii="Gill Sans MT" w:hAnsi="Gill Sans MT"/>
        </w:rPr>
        <w:t xml:space="preserve">Inpatient and extended treatment services providing </w:t>
      </w:r>
      <w:r w:rsidR="00CE2487" w:rsidRPr="004C308D">
        <w:rPr>
          <w:rFonts w:ascii="Gill Sans MT" w:hAnsi="Gill Sans MT"/>
        </w:rPr>
        <w:t>state-wide</w:t>
      </w:r>
      <w:r w:rsidRPr="004C308D">
        <w:rPr>
          <w:rFonts w:ascii="Gill Sans MT" w:hAnsi="Gill Sans MT"/>
        </w:rPr>
        <w:t xml:space="preserve"> service capacity:</w:t>
      </w:r>
    </w:p>
    <w:p w:rsidR="005B010B" w:rsidRPr="004C308D" w:rsidRDefault="00CE2487" w:rsidP="004C308D">
      <w:pPr>
        <w:pStyle w:val="ListParagraph"/>
        <w:numPr>
          <w:ilvl w:val="0"/>
          <w:numId w:val="27"/>
        </w:numPr>
        <w:spacing w:after="140" w:line="300" w:lineRule="atLeast"/>
        <w:ind w:left="357" w:right="0" w:hanging="357"/>
        <w:jc w:val="left"/>
        <w:rPr>
          <w:rFonts w:ascii="Gill Sans MT" w:hAnsi="Gill Sans MT"/>
        </w:rPr>
      </w:pPr>
      <w:r w:rsidRPr="004C308D">
        <w:rPr>
          <w:rFonts w:ascii="Gill Sans MT" w:hAnsi="Gill Sans MT"/>
        </w:rPr>
        <w:t>State-wide</w:t>
      </w:r>
      <w:r w:rsidR="005B010B" w:rsidRPr="004C308D">
        <w:rPr>
          <w:rFonts w:ascii="Gill Sans MT" w:hAnsi="Gill Sans MT"/>
        </w:rPr>
        <w:t xml:space="preserve"> Tr</w:t>
      </w:r>
      <w:r w:rsidR="003A6043" w:rsidRPr="004C308D">
        <w:rPr>
          <w:rFonts w:ascii="Gill Sans MT" w:hAnsi="Gill Sans MT"/>
        </w:rPr>
        <w:t>iage Telephone Service</w:t>
      </w:r>
    </w:p>
    <w:p w:rsidR="005B010B" w:rsidRPr="004C308D" w:rsidRDefault="003A6043" w:rsidP="004C308D">
      <w:pPr>
        <w:pStyle w:val="ListParagraph"/>
        <w:numPr>
          <w:ilvl w:val="0"/>
          <w:numId w:val="27"/>
        </w:numPr>
        <w:spacing w:after="140" w:line="300" w:lineRule="atLeast"/>
        <w:ind w:left="357" w:right="0" w:hanging="357"/>
        <w:jc w:val="left"/>
        <w:rPr>
          <w:rFonts w:ascii="Gill Sans MT" w:hAnsi="Gill Sans MT"/>
        </w:rPr>
      </w:pPr>
      <w:r w:rsidRPr="004C308D">
        <w:rPr>
          <w:rFonts w:ascii="Gill Sans MT" w:hAnsi="Gill Sans MT"/>
        </w:rPr>
        <w:t>Community based services</w:t>
      </w:r>
    </w:p>
    <w:p w:rsidR="005B010B" w:rsidRPr="004C308D" w:rsidRDefault="005B010B" w:rsidP="004C308D">
      <w:pPr>
        <w:pStyle w:val="ListParagraph"/>
        <w:numPr>
          <w:ilvl w:val="0"/>
          <w:numId w:val="27"/>
        </w:numPr>
        <w:spacing w:after="140" w:line="300" w:lineRule="atLeast"/>
        <w:ind w:left="357" w:right="0" w:hanging="357"/>
        <w:jc w:val="left"/>
        <w:rPr>
          <w:rFonts w:ascii="Gill Sans MT" w:hAnsi="Gill Sans MT"/>
        </w:rPr>
      </w:pPr>
      <w:r w:rsidRPr="004C308D">
        <w:rPr>
          <w:rFonts w:ascii="Gill Sans MT" w:hAnsi="Gill Sans MT"/>
        </w:rPr>
        <w:t>Other services:</w:t>
      </w:r>
    </w:p>
    <w:p w:rsidR="005B010B" w:rsidRPr="004C308D" w:rsidRDefault="005B010B" w:rsidP="004C308D">
      <w:pPr>
        <w:pStyle w:val="ListParagraph"/>
        <w:numPr>
          <w:ilvl w:val="1"/>
          <w:numId w:val="27"/>
        </w:numPr>
        <w:spacing w:after="140" w:line="300" w:lineRule="atLeast"/>
        <w:ind w:right="0"/>
        <w:jc w:val="left"/>
        <w:rPr>
          <w:rFonts w:ascii="Gill Sans MT" w:hAnsi="Gill Sans MT"/>
        </w:rPr>
      </w:pPr>
      <w:r w:rsidRPr="004C308D">
        <w:rPr>
          <w:rFonts w:ascii="Gill Sans MT" w:hAnsi="Gill Sans MT"/>
        </w:rPr>
        <w:t>Huntington’s Disease Services</w:t>
      </w:r>
    </w:p>
    <w:p w:rsidR="005B010B" w:rsidRPr="004C308D" w:rsidRDefault="005B010B" w:rsidP="004C308D">
      <w:pPr>
        <w:pStyle w:val="ListParagraph"/>
        <w:numPr>
          <w:ilvl w:val="1"/>
          <w:numId w:val="27"/>
        </w:numPr>
        <w:spacing w:after="140" w:line="300" w:lineRule="atLeast"/>
        <w:ind w:right="0"/>
        <w:jc w:val="left"/>
        <w:rPr>
          <w:rFonts w:ascii="Gill Sans MT" w:hAnsi="Gill Sans MT"/>
        </w:rPr>
      </w:pPr>
      <w:r w:rsidRPr="004C308D">
        <w:rPr>
          <w:rFonts w:ascii="Gill Sans MT" w:hAnsi="Gill Sans MT"/>
        </w:rPr>
        <w:t>Consultation and Liaison</w:t>
      </w:r>
    </w:p>
    <w:p w:rsidR="005B010B" w:rsidRDefault="005B010B" w:rsidP="00EE2B3E">
      <w:pPr>
        <w:pStyle w:val="Heading2"/>
        <w:spacing w:before="0" w:after="140" w:line="300" w:lineRule="atLeast"/>
      </w:pPr>
      <w:bookmarkStart w:id="73" w:name="_Toc465956011"/>
      <w:bookmarkStart w:id="74" w:name="_Toc488068416"/>
      <w:r>
        <w:t>Forensic Mental Health Services</w:t>
      </w:r>
      <w:bookmarkEnd w:id="73"/>
      <w:bookmarkEnd w:id="74"/>
    </w:p>
    <w:p w:rsidR="005B010B" w:rsidRDefault="005B010B" w:rsidP="00EE2B3E">
      <w:pPr>
        <w:spacing w:after="140" w:line="300" w:lineRule="atLeast"/>
        <w:rPr>
          <w:b/>
          <w:bCs/>
        </w:rPr>
      </w:pPr>
      <w:r>
        <w:rPr>
          <w:b/>
          <w:bCs/>
        </w:rPr>
        <w:t>Services to be delivered</w:t>
      </w:r>
    </w:p>
    <w:p w:rsidR="005B010B" w:rsidRDefault="005B010B" w:rsidP="00EE2B3E">
      <w:pPr>
        <w:spacing w:after="140" w:line="300" w:lineRule="atLeast"/>
      </w:pPr>
      <w:r>
        <w:t xml:space="preserve">Forensic Mental Health Services (FMHS) is a specialist area of the mental health field providing highly specialised interventions and clinical activities through community and inpatient mental health care for people generally aged 18 years and over experiencing a mental health disorder.  These clients are involved with or at risk of becoming involved with the criminal justice system and in some extremely high risk </w:t>
      </w:r>
      <w:proofErr w:type="gramStart"/>
      <w:r>
        <w:t>cases,</w:t>
      </w:r>
      <w:proofErr w:type="gramEnd"/>
      <w:r>
        <w:t xml:space="preserve"> the service may also manage civil mental health patients.  Services are delivered </w:t>
      </w:r>
      <w:r w:rsidR="00CE2487">
        <w:t>state-wide</w:t>
      </w:r>
      <w:r>
        <w:t xml:space="preserve"> and in the following streams.  Operation of inpatient services is determined by the requirements of the </w:t>
      </w:r>
      <w:r>
        <w:rPr>
          <w:i/>
          <w:iCs/>
        </w:rPr>
        <w:t>Mental Health Act 2013:</w:t>
      </w:r>
    </w:p>
    <w:p w:rsidR="005B010B" w:rsidRPr="00357DB9" w:rsidRDefault="005B010B" w:rsidP="00357DB9">
      <w:pPr>
        <w:pStyle w:val="ListParagraph"/>
        <w:numPr>
          <w:ilvl w:val="0"/>
          <w:numId w:val="27"/>
        </w:numPr>
        <w:spacing w:after="140" w:line="300" w:lineRule="atLeast"/>
        <w:ind w:left="357" w:right="0" w:hanging="357"/>
        <w:jc w:val="left"/>
        <w:rPr>
          <w:rFonts w:ascii="Gill Sans MT" w:hAnsi="Gill Sans MT"/>
        </w:rPr>
      </w:pPr>
      <w:r w:rsidRPr="00357DB9">
        <w:rPr>
          <w:rFonts w:ascii="Gill Sans MT" w:hAnsi="Gill Sans MT"/>
        </w:rPr>
        <w:t xml:space="preserve">Inpatient Forensic Mental Health Services providing </w:t>
      </w:r>
      <w:r w:rsidR="00CE2487" w:rsidRPr="00357DB9">
        <w:rPr>
          <w:rFonts w:ascii="Gill Sans MT" w:hAnsi="Gill Sans MT"/>
        </w:rPr>
        <w:t>state-wide</w:t>
      </w:r>
      <w:r w:rsidR="003A6043" w:rsidRPr="00357DB9">
        <w:rPr>
          <w:rFonts w:ascii="Gill Sans MT" w:hAnsi="Gill Sans MT"/>
        </w:rPr>
        <w:t xml:space="preserve"> service capacity</w:t>
      </w:r>
      <w:r w:rsidRPr="00357DB9">
        <w:rPr>
          <w:rFonts w:ascii="Gill Sans MT" w:hAnsi="Gill Sans MT"/>
        </w:rPr>
        <w:t xml:space="preserve"> </w:t>
      </w:r>
    </w:p>
    <w:p w:rsidR="005B010B" w:rsidRPr="00357DB9" w:rsidRDefault="005B010B" w:rsidP="00357DB9">
      <w:pPr>
        <w:pStyle w:val="ListParagraph"/>
        <w:numPr>
          <w:ilvl w:val="0"/>
          <w:numId w:val="27"/>
        </w:numPr>
        <w:spacing w:after="140" w:line="300" w:lineRule="atLeast"/>
        <w:ind w:left="357" w:right="0" w:hanging="357"/>
        <w:jc w:val="left"/>
        <w:rPr>
          <w:rFonts w:ascii="Gill Sans MT" w:hAnsi="Gill Sans MT"/>
        </w:rPr>
      </w:pPr>
      <w:r w:rsidRPr="00357DB9">
        <w:rPr>
          <w:rFonts w:ascii="Gill Sans MT" w:hAnsi="Gill Sans MT"/>
        </w:rPr>
        <w:t xml:space="preserve">Community </w:t>
      </w:r>
      <w:r w:rsidR="003A6043" w:rsidRPr="00357DB9">
        <w:rPr>
          <w:rFonts w:ascii="Gill Sans MT" w:hAnsi="Gill Sans MT"/>
        </w:rPr>
        <w:t>Forensic Mental Health Services</w:t>
      </w:r>
      <w:r w:rsidRPr="00357DB9">
        <w:rPr>
          <w:rFonts w:ascii="Gill Sans MT" w:hAnsi="Gill Sans MT"/>
        </w:rPr>
        <w:t xml:space="preserve"> </w:t>
      </w:r>
    </w:p>
    <w:p w:rsidR="005B010B" w:rsidRDefault="005B010B" w:rsidP="00EE2B3E">
      <w:pPr>
        <w:pStyle w:val="Heading2"/>
        <w:spacing w:before="0" w:after="140" w:line="300" w:lineRule="atLeast"/>
      </w:pPr>
      <w:bookmarkStart w:id="75" w:name="_Toc465956012"/>
      <w:bookmarkStart w:id="76" w:name="_Toc488068417"/>
      <w:r>
        <w:t>Alcohol and Drug Services</w:t>
      </w:r>
      <w:bookmarkEnd w:id="75"/>
      <w:bookmarkEnd w:id="76"/>
    </w:p>
    <w:p w:rsidR="005B010B" w:rsidRDefault="005B010B" w:rsidP="00EE2B3E">
      <w:pPr>
        <w:spacing w:after="140" w:line="300" w:lineRule="atLeast"/>
        <w:rPr>
          <w:b/>
          <w:bCs/>
        </w:rPr>
      </w:pPr>
      <w:r>
        <w:rPr>
          <w:b/>
          <w:bCs/>
        </w:rPr>
        <w:t>Alcohol and Drug Service Reform</w:t>
      </w:r>
    </w:p>
    <w:p w:rsidR="005B010B" w:rsidRPr="00C05FE7" w:rsidRDefault="005B010B" w:rsidP="00EE2B3E">
      <w:pPr>
        <w:pStyle w:val="BulletedListLevel1"/>
        <w:numPr>
          <w:ilvl w:val="0"/>
          <w:numId w:val="0"/>
        </w:numPr>
      </w:pPr>
      <w:r>
        <w:rPr>
          <w:lang w:eastAsia="en-AU"/>
        </w:rPr>
        <w:t xml:space="preserve">A new </w:t>
      </w:r>
      <w:r>
        <w:t xml:space="preserve">Tasmanian AOD Service System Framework is being developed </w:t>
      </w:r>
      <w:r>
        <w:rPr>
          <w:lang w:val="en-US"/>
        </w:rPr>
        <w:t xml:space="preserve">by DHHS (through the Mental Health, Alcohol and Drug Directorate) in </w:t>
      </w:r>
      <w:r>
        <w:t xml:space="preserve">partnership with the Tasmanian Health Service, Primary Health Tasmania (PHT) and the Alcohol, </w:t>
      </w:r>
      <w:r w:rsidR="0057308F">
        <w:t>Tobacco and Other Drugs Council and in consultation with key stakeholders.</w:t>
      </w:r>
      <w:r>
        <w:t xml:space="preserve">  It w</w:t>
      </w:r>
      <w:r w:rsidRPr="00F72A9E">
        <w:rPr>
          <w:lang w:val="en-US"/>
        </w:rPr>
        <w:t>ill identify strategies and actions to build an integrated and seamless AOD service system</w:t>
      </w:r>
      <w:r>
        <w:rPr>
          <w:lang w:val="en-US"/>
        </w:rPr>
        <w:t xml:space="preserve"> in Tasmania.</w:t>
      </w:r>
    </w:p>
    <w:p w:rsidR="005B010B" w:rsidRDefault="005B010B" w:rsidP="00EE2B3E">
      <w:pPr>
        <w:spacing w:after="140" w:line="300" w:lineRule="atLeast"/>
      </w:pPr>
      <w:r>
        <w:t>The completion of this work and development of the final Framework may necessitate a revision of the Service Agreement components relevant to the delivery of alcohol and drug services through the THS.</w:t>
      </w:r>
    </w:p>
    <w:p w:rsidR="00794528" w:rsidRDefault="00794528">
      <w:pPr>
        <w:rPr>
          <w:b/>
          <w:bCs/>
        </w:rPr>
      </w:pPr>
      <w:r>
        <w:rPr>
          <w:b/>
          <w:bCs/>
        </w:rPr>
        <w:br w:type="page"/>
      </w:r>
    </w:p>
    <w:p w:rsidR="005B010B" w:rsidRDefault="005B010B" w:rsidP="00EE2B3E">
      <w:pPr>
        <w:spacing w:after="140" w:line="300" w:lineRule="atLeast"/>
        <w:rPr>
          <w:b/>
          <w:bCs/>
        </w:rPr>
      </w:pPr>
      <w:r>
        <w:rPr>
          <w:b/>
          <w:bCs/>
        </w:rPr>
        <w:t>Services to be delivered</w:t>
      </w:r>
    </w:p>
    <w:p w:rsidR="005B010B" w:rsidRDefault="005B010B" w:rsidP="00EE2B3E">
      <w:pPr>
        <w:spacing w:after="140" w:line="300" w:lineRule="atLeast"/>
      </w:pPr>
      <w:r>
        <w:t xml:space="preserve">The THS will deliver, through the Alcohol and Drug Service (ADS) a range of specialist treatment services targeted at Tasmanian’s who are affected by alcohol, tobacco and other drug use.  These services are delivered on a </w:t>
      </w:r>
      <w:r w:rsidR="00CE2487">
        <w:t>state-wide</w:t>
      </w:r>
      <w:r>
        <w:t xml:space="preserve"> basis.</w:t>
      </w:r>
    </w:p>
    <w:p w:rsidR="005B010B" w:rsidRDefault="005B010B" w:rsidP="00EE2B3E">
      <w:pPr>
        <w:spacing w:after="140" w:line="300" w:lineRule="atLeast"/>
      </w:pPr>
      <w:r>
        <w:t>Specific treatment services to be provided will include:</w:t>
      </w:r>
    </w:p>
    <w:p w:rsidR="005B010B" w:rsidRPr="004C308D" w:rsidRDefault="005B010B" w:rsidP="004C308D">
      <w:pPr>
        <w:pStyle w:val="ListParagraph"/>
        <w:numPr>
          <w:ilvl w:val="0"/>
          <w:numId w:val="27"/>
        </w:numPr>
        <w:spacing w:after="140" w:line="300" w:lineRule="atLeast"/>
        <w:ind w:left="357" w:right="0" w:hanging="357"/>
        <w:jc w:val="left"/>
        <w:rPr>
          <w:rFonts w:ascii="Gill Sans MT" w:hAnsi="Gill Sans MT"/>
        </w:rPr>
      </w:pPr>
      <w:r w:rsidRPr="004C308D">
        <w:rPr>
          <w:rFonts w:ascii="Gill Sans MT" w:hAnsi="Gill Sans MT"/>
        </w:rPr>
        <w:t xml:space="preserve">Consultation Liaison </w:t>
      </w:r>
      <w:r w:rsidR="000551EC" w:rsidRPr="004C308D">
        <w:rPr>
          <w:rFonts w:ascii="Gill Sans MT" w:hAnsi="Gill Sans MT"/>
        </w:rPr>
        <w:t>Services</w:t>
      </w:r>
      <w:r w:rsidRPr="004C308D">
        <w:rPr>
          <w:rFonts w:ascii="Gill Sans MT" w:hAnsi="Gill Sans MT"/>
        </w:rPr>
        <w:t xml:space="preserve"> </w:t>
      </w:r>
    </w:p>
    <w:p w:rsidR="005B010B" w:rsidRPr="004C308D" w:rsidRDefault="000551EC" w:rsidP="004C308D">
      <w:pPr>
        <w:pStyle w:val="ListParagraph"/>
        <w:numPr>
          <w:ilvl w:val="0"/>
          <w:numId w:val="27"/>
        </w:numPr>
        <w:spacing w:after="140" w:line="300" w:lineRule="atLeast"/>
        <w:ind w:left="357" w:right="0" w:hanging="357"/>
        <w:jc w:val="left"/>
        <w:rPr>
          <w:rFonts w:ascii="Gill Sans MT" w:hAnsi="Gill Sans MT"/>
        </w:rPr>
      </w:pPr>
      <w:r w:rsidRPr="004C308D">
        <w:rPr>
          <w:rFonts w:ascii="Gill Sans MT" w:hAnsi="Gill Sans MT"/>
        </w:rPr>
        <w:t>Opioid Pharmacotherapy</w:t>
      </w:r>
      <w:r w:rsidR="005B010B" w:rsidRPr="004C308D">
        <w:rPr>
          <w:rFonts w:ascii="Gill Sans MT" w:hAnsi="Gill Sans MT"/>
        </w:rPr>
        <w:t xml:space="preserve"> </w:t>
      </w:r>
    </w:p>
    <w:p w:rsidR="005B010B" w:rsidRPr="004C308D" w:rsidRDefault="000551EC" w:rsidP="004C308D">
      <w:pPr>
        <w:pStyle w:val="ListParagraph"/>
        <w:numPr>
          <w:ilvl w:val="0"/>
          <w:numId w:val="27"/>
        </w:numPr>
        <w:spacing w:after="140" w:line="300" w:lineRule="atLeast"/>
        <w:ind w:left="357" w:right="0" w:hanging="357"/>
        <w:jc w:val="left"/>
        <w:rPr>
          <w:rFonts w:ascii="Gill Sans MT" w:hAnsi="Gill Sans MT"/>
        </w:rPr>
      </w:pPr>
      <w:r w:rsidRPr="004C308D">
        <w:rPr>
          <w:rFonts w:ascii="Gill Sans MT" w:hAnsi="Gill Sans MT"/>
        </w:rPr>
        <w:t>Psychosocial Intervention</w:t>
      </w:r>
      <w:r w:rsidR="005B010B" w:rsidRPr="004C308D">
        <w:rPr>
          <w:rFonts w:ascii="Gill Sans MT" w:hAnsi="Gill Sans MT"/>
        </w:rPr>
        <w:t xml:space="preserve"> </w:t>
      </w:r>
    </w:p>
    <w:p w:rsidR="005B010B" w:rsidRPr="004C308D" w:rsidRDefault="000551EC" w:rsidP="004C308D">
      <w:pPr>
        <w:pStyle w:val="ListParagraph"/>
        <w:numPr>
          <w:ilvl w:val="0"/>
          <w:numId w:val="27"/>
        </w:numPr>
        <w:spacing w:after="140" w:line="300" w:lineRule="atLeast"/>
        <w:ind w:left="357" w:right="0" w:hanging="357"/>
        <w:jc w:val="left"/>
        <w:rPr>
          <w:rFonts w:ascii="Gill Sans MT" w:hAnsi="Gill Sans MT"/>
        </w:rPr>
      </w:pPr>
      <w:r w:rsidRPr="004C308D">
        <w:rPr>
          <w:rFonts w:ascii="Gill Sans MT" w:hAnsi="Gill Sans MT"/>
        </w:rPr>
        <w:t>Smoking Cessation</w:t>
      </w:r>
    </w:p>
    <w:p w:rsidR="005B010B" w:rsidRPr="004C308D" w:rsidRDefault="000551EC" w:rsidP="004C308D">
      <w:pPr>
        <w:pStyle w:val="ListParagraph"/>
        <w:numPr>
          <w:ilvl w:val="0"/>
          <w:numId w:val="27"/>
        </w:numPr>
        <w:spacing w:after="140" w:line="300" w:lineRule="atLeast"/>
        <w:ind w:left="357" w:right="0" w:hanging="357"/>
        <w:jc w:val="left"/>
        <w:rPr>
          <w:rFonts w:ascii="Gill Sans MT" w:hAnsi="Gill Sans MT"/>
        </w:rPr>
      </w:pPr>
      <w:r w:rsidRPr="004C308D">
        <w:rPr>
          <w:rFonts w:ascii="Gill Sans MT" w:hAnsi="Gill Sans MT"/>
        </w:rPr>
        <w:t>Withdrawal Management</w:t>
      </w:r>
    </w:p>
    <w:p w:rsidR="005B010B" w:rsidRDefault="005B010B" w:rsidP="00EE2B3E">
      <w:pPr>
        <w:pStyle w:val="Heading2"/>
        <w:spacing w:before="0" w:after="140" w:line="300" w:lineRule="atLeast"/>
      </w:pPr>
      <w:bookmarkStart w:id="77" w:name="_Toc465956013"/>
      <w:bookmarkStart w:id="78" w:name="_Toc488068418"/>
      <w:r>
        <w:t>Correctional Primary Health Services</w:t>
      </w:r>
      <w:bookmarkEnd w:id="77"/>
      <w:bookmarkEnd w:id="78"/>
    </w:p>
    <w:p w:rsidR="005B010B" w:rsidRDefault="005B010B" w:rsidP="00EE2B3E">
      <w:pPr>
        <w:spacing w:after="140" w:line="300" w:lineRule="atLeast"/>
        <w:rPr>
          <w:b/>
          <w:bCs/>
        </w:rPr>
      </w:pPr>
      <w:r>
        <w:rPr>
          <w:b/>
          <w:bCs/>
        </w:rPr>
        <w:t>Services to be delivered</w:t>
      </w:r>
    </w:p>
    <w:p w:rsidR="005B010B" w:rsidRDefault="005B010B" w:rsidP="00EE2B3E">
      <w:pPr>
        <w:spacing w:after="140" w:line="300" w:lineRule="atLeast"/>
      </w:pPr>
      <w:r>
        <w:t>Correctional Primary Health Services (CPHS) provides primary health care and treatment and specialist referral for men and women held within the Tasmanian Prison Services.</w:t>
      </w:r>
    </w:p>
    <w:p w:rsidR="005B010B" w:rsidRDefault="005B010B" w:rsidP="00EE2B3E">
      <w:pPr>
        <w:spacing w:after="140" w:line="300" w:lineRule="atLeast"/>
      </w:pPr>
      <w:r>
        <w:t>He</w:t>
      </w:r>
      <w:r w:rsidR="000551EC">
        <w:t xml:space="preserve">alth services provided include: </w:t>
      </w:r>
      <w:r>
        <w:t>emergency care, general health assessments, medical officer consultations, diagnosis and treatment, specialist psychiatric consultations and treatment, mental, emotional, suicide and self-harm assessments, drug and alcohol assessments, treatment and referral; opioid substitution, health promotion, inpatient care with six beds for primary health care and observation and outpatient nursing clinics. In addition to this dental services are provided by Oral Health Services Tasmania and physiotherapy and optometry services are also available.</w:t>
      </w:r>
    </w:p>
    <w:p w:rsidR="005B010B" w:rsidRDefault="005B010B" w:rsidP="00EE2B3E">
      <w:pPr>
        <w:spacing w:after="140" w:line="300" w:lineRule="atLeast"/>
      </w:pPr>
      <w:r>
        <w:t>These services are provided across a range of correctional facilities:</w:t>
      </w:r>
    </w:p>
    <w:p w:rsidR="005B010B" w:rsidRPr="004C308D" w:rsidRDefault="000551EC" w:rsidP="004C308D">
      <w:pPr>
        <w:pStyle w:val="ListParagraph"/>
        <w:numPr>
          <w:ilvl w:val="0"/>
          <w:numId w:val="27"/>
        </w:numPr>
        <w:spacing w:after="140" w:line="300" w:lineRule="atLeast"/>
        <w:ind w:left="357" w:right="0" w:hanging="357"/>
        <w:jc w:val="left"/>
        <w:rPr>
          <w:rFonts w:ascii="Gill Sans MT" w:hAnsi="Gill Sans MT"/>
        </w:rPr>
      </w:pPr>
      <w:r w:rsidRPr="004C308D">
        <w:rPr>
          <w:rFonts w:ascii="Gill Sans MT" w:hAnsi="Gill Sans MT"/>
        </w:rPr>
        <w:t>Risdon Prison Complex</w:t>
      </w:r>
    </w:p>
    <w:p w:rsidR="005B010B" w:rsidRPr="004C308D" w:rsidRDefault="005B010B" w:rsidP="004C308D">
      <w:pPr>
        <w:pStyle w:val="ListParagraph"/>
        <w:numPr>
          <w:ilvl w:val="0"/>
          <w:numId w:val="27"/>
        </w:numPr>
        <w:spacing w:after="140" w:line="300" w:lineRule="atLeast"/>
        <w:ind w:left="357" w:right="0" w:hanging="357"/>
        <w:jc w:val="left"/>
        <w:rPr>
          <w:rFonts w:ascii="Gill Sans MT" w:hAnsi="Gill Sans MT"/>
        </w:rPr>
      </w:pPr>
      <w:r w:rsidRPr="004C308D">
        <w:rPr>
          <w:rFonts w:ascii="Gill Sans MT" w:hAnsi="Gill Sans MT"/>
        </w:rPr>
        <w:t>Ron Barwic</w:t>
      </w:r>
      <w:r w:rsidR="000551EC" w:rsidRPr="004C308D">
        <w:rPr>
          <w:rFonts w:ascii="Gill Sans MT" w:hAnsi="Gill Sans MT"/>
        </w:rPr>
        <w:t>k Minimum Security Prison</w:t>
      </w:r>
      <w:r w:rsidRPr="004C308D">
        <w:rPr>
          <w:rFonts w:ascii="Gill Sans MT" w:hAnsi="Gill Sans MT"/>
        </w:rPr>
        <w:t xml:space="preserve"> </w:t>
      </w:r>
    </w:p>
    <w:p w:rsidR="005B010B" w:rsidRPr="004C308D" w:rsidRDefault="000551EC" w:rsidP="004C308D">
      <w:pPr>
        <w:pStyle w:val="ListParagraph"/>
        <w:numPr>
          <w:ilvl w:val="0"/>
          <w:numId w:val="27"/>
        </w:numPr>
        <w:spacing w:after="140" w:line="300" w:lineRule="atLeast"/>
        <w:ind w:left="357" w:right="0" w:hanging="357"/>
        <w:jc w:val="left"/>
        <w:rPr>
          <w:rFonts w:ascii="Gill Sans MT" w:hAnsi="Gill Sans MT"/>
        </w:rPr>
      </w:pPr>
      <w:r w:rsidRPr="004C308D">
        <w:rPr>
          <w:rFonts w:ascii="Gill Sans MT" w:hAnsi="Gill Sans MT"/>
        </w:rPr>
        <w:t>Mary Hutchinson Women’s Prison</w:t>
      </w:r>
    </w:p>
    <w:p w:rsidR="005B010B" w:rsidRDefault="005B010B" w:rsidP="00EE2B3E">
      <w:pPr>
        <w:spacing w:after="140" w:line="300" w:lineRule="atLeast"/>
      </w:pPr>
      <w:r>
        <w:t>Hobart and Launceston Remand Centres which are transitional centres aimed at managing the flow of prisoners entering into the prison system through the courts and are intended as s</w:t>
      </w:r>
      <w:r w:rsidR="007E39DF">
        <w:t>hort term management facilities.</w:t>
      </w:r>
    </w:p>
    <w:p w:rsidR="005B010B" w:rsidRDefault="005B010B" w:rsidP="00EE2B3E">
      <w:pPr>
        <w:spacing w:after="140" w:line="300" w:lineRule="atLeast"/>
      </w:pPr>
      <w:r>
        <w:t>Tasmanian Prison Services (operated by the Department of Justice) is responsible for the management of the Prison facilities, as outlined above, and as such retains ultimate control over prisoner/detainees access to health services.</w:t>
      </w:r>
    </w:p>
    <w:p w:rsidR="00D433DF" w:rsidRPr="005B010B" w:rsidRDefault="005B010B" w:rsidP="00EE2B3E">
      <w:pPr>
        <w:spacing w:after="140" w:line="300" w:lineRule="atLeast"/>
      </w:pPr>
      <w:r>
        <w:t>Primary health care and treatment services are also delivered to Ashley Youth Detention Centre which is managed by Children and Youth Services. CPHS is responsible for the provision of healthcare to detainees within this centre.</w:t>
      </w:r>
      <w:bookmarkStart w:id="79" w:name="_Toc423357997"/>
      <w:bookmarkEnd w:id="70"/>
      <w:bookmarkEnd w:id="71"/>
      <w:bookmarkEnd w:id="72"/>
      <w:r w:rsidR="00D433DF">
        <w:rPr>
          <w:sz w:val="28"/>
        </w:rPr>
        <w:br w:type="page"/>
      </w:r>
    </w:p>
    <w:p w:rsidR="00F47158" w:rsidRDefault="00E90B56" w:rsidP="00EE2B3E">
      <w:pPr>
        <w:pStyle w:val="Heading2"/>
        <w:spacing w:before="0" w:after="140" w:line="300" w:lineRule="atLeast"/>
        <w:rPr>
          <w:sz w:val="28"/>
          <w:lang w:val="en-AU"/>
        </w:rPr>
      </w:pPr>
      <w:bookmarkStart w:id="80" w:name="_Toc423358001"/>
      <w:bookmarkStart w:id="81" w:name="_Toc488068419"/>
      <w:bookmarkEnd w:id="79"/>
      <w:r w:rsidRPr="00F524DF">
        <w:rPr>
          <w:sz w:val="28"/>
        </w:rPr>
        <w:t>Oral Health Services</w:t>
      </w:r>
      <w:bookmarkStart w:id="82" w:name="_Toc419703551"/>
      <w:bookmarkStart w:id="83" w:name="_Toc419965612"/>
      <w:bookmarkStart w:id="84" w:name="_Toc423358002"/>
      <w:bookmarkEnd w:id="80"/>
      <w:bookmarkEnd w:id="81"/>
    </w:p>
    <w:p w:rsidR="00E90B56" w:rsidRPr="00F47158" w:rsidRDefault="00E90B56" w:rsidP="00EE2B3E">
      <w:pPr>
        <w:spacing w:after="140" w:line="300" w:lineRule="atLeast"/>
        <w:rPr>
          <w:b/>
          <w:szCs w:val="28"/>
        </w:rPr>
      </w:pPr>
      <w:r w:rsidRPr="00F47158">
        <w:rPr>
          <w:b/>
        </w:rPr>
        <w:t>Services to be delivere</w:t>
      </w:r>
      <w:bookmarkEnd w:id="82"/>
      <w:bookmarkEnd w:id="83"/>
      <w:bookmarkEnd w:id="84"/>
      <w:r w:rsidR="00F47158" w:rsidRPr="00F47158">
        <w:rPr>
          <w:b/>
        </w:rPr>
        <w:t>d</w:t>
      </w:r>
    </w:p>
    <w:p w:rsidR="00E90B56" w:rsidRPr="00FA155C" w:rsidRDefault="00EA46E9" w:rsidP="00EE2B3E">
      <w:pPr>
        <w:spacing w:after="140" w:line="300" w:lineRule="atLeast"/>
      </w:pPr>
      <w:r w:rsidRPr="00FA155C">
        <w:t xml:space="preserve">The </w:t>
      </w:r>
      <w:r w:rsidR="00E90B56" w:rsidRPr="00FA155C">
        <w:t>THS will deliver the following specific oral health services through Oral Health Services Tasmania (OHST):</w:t>
      </w:r>
    </w:p>
    <w:p w:rsidR="00747E2A" w:rsidRPr="004C308D" w:rsidRDefault="00E90B56" w:rsidP="004C308D">
      <w:pPr>
        <w:pStyle w:val="ListParagraph"/>
        <w:numPr>
          <w:ilvl w:val="0"/>
          <w:numId w:val="27"/>
        </w:numPr>
        <w:spacing w:after="140" w:line="300" w:lineRule="atLeast"/>
        <w:ind w:left="357" w:right="0" w:hanging="357"/>
        <w:jc w:val="left"/>
        <w:rPr>
          <w:rFonts w:ascii="Gill Sans MT" w:hAnsi="Gill Sans MT"/>
        </w:rPr>
      </w:pPr>
      <w:r w:rsidRPr="004C308D">
        <w:rPr>
          <w:rFonts w:ascii="Gill Sans MT" w:hAnsi="Gill Sans MT"/>
        </w:rPr>
        <w:t>Episodic dental services for adults</w:t>
      </w:r>
      <w:r w:rsidR="00485E03" w:rsidRPr="004C308D">
        <w:rPr>
          <w:rFonts w:ascii="Gill Sans MT" w:hAnsi="Gill Sans MT"/>
        </w:rPr>
        <w:t xml:space="preserve"> </w:t>
      </w:r>
    </w:p>
    <w:p w:rsidR="00747E2A" w:rsidRPr="004C308D" w:rsidRDefault="00E90B56" w:rsidP="004C308D">
      <w:pPr>
        <w:pStyle w:val="ListParagraph"/>
        <w:numPr>
          <w:ilvl w:val="0"/>
          <w:numId w:val="27"/>
        </w:numPr>
        <w:spacing w:after="140" w:line="300" w:lineRule="atLeast"/>
        <w:ind w:left="357" w:right="0" w:hanging="357"/>
        <w:jc w:val="left"/>
        <w:rPr>
          <w:rFonts w:ascii="Gill Sans MT" w:hAnsi="Gill Sans MT"/>
        </w:rPr>
      </w:pPr>
      <w:r w:rsidRPr="004C308D">
        <w:rPr>
          <w:rFonts w:ascii="Gill Sans MT" w:hAnsi="Gill Sans MT"/>
        </w:rPr>
        <w:t>General dental services for adults</w:t>
      </w:r>
      <w:r w:rsidR="00485E03" w:rsidRPr="004C308D">
        <w:rPr>
          <w:rFonts w:ascii="Gill Sans MT" w:hAnsi="Gill Sans MT"/>
        </w:rPr>
        <w:t xml:space="preserve"> </w:t>
      </w:r>
    </w:p>
    <w:p w:rsidR="00747E2A" w:rsidRPr="004C308D" w:rsidRDefault="00E90B56" w:rsidP="004C308D">
      <w:pPr>
        <w:pStyle w:val="ListParagraph"/>
        <w:numPr>
          <w:ilvl w:val="0"/>
          <w:numId w:val="27"/>
        </w:numPr>
        <w:spacing w:after="140" w:line="300" w:lineRule="atLeast"/>
        <w:ind w:left="357" w:right="0" w:hanging="357"/>
        <w:jc w:val="left"/>
        <w:rPr>
          <w:rFonts w:ascii="Gill Sans MT" w:hAnsi="Gill Sans MT"/>
        </w:rPr>
      </w:pPr>
      <w:r w:rsidRPr="004C308D">
        <w:rPr>
          <w:rFonts w:ascii="Gill Sans MT" w:hAnsi="Gill Sans MT"/>
        </w:rPr>
        <w:t>Prosthetics dental services</w:t>
      </w:r>
      <w:r w:rsidR="00485E03" w:rsidRPr="004C308D">
        <w:rPr>
          <w:rFonts w:ascii="Gill Sans MT" w:hAnsi="Gill Sans MT"/>
        </w:rPr>
        <w:t xml:space="preserve"> </w:t>
      </w:r>
    </w:p>
    <w:p w:rsidR="00747E2A" w:rsidRPr="004C308D" w:rsidRDefault="00E90B56" w:rsidP="004C308D">
      <w:pPr>
        <w:pStyle w:val="ListParagraph"/>
        <w:numPr>
          <w:ilvl w:val="0"/>
          <w:numId w:val="27"/>
        </w:numPr>
        <w:spacing w:after="140" w:line="300" w:lineRule="atLeast"/>
        <w:ind w:left="357" w:right="0" w:hanging="357"/>
        <w:jc w:val="left"/>
        <w:rPr>
          <w:rFonts w:ascii="Gill Sans MT" w:hAnsi="Gill Sans MT"/>
        </w:rPr>
      </w:pPr>
      <w:r w:rsidRPr="004C308D">
        <w:rPr>
          <w:rFonts w:ascii="Gill Sans MT" w:hAnsi="Gill Sans MT"/>
        </w:rPr>
        <w:t>Child and adolescent dental services</w:t>
      </w:r>
      <w:r w:rsidR="00485E03" w:rsidRPr="004C308D">
        <w:rPr>
          <w:rFonts w:ascii="Gill Sans MT" w:hAnsi="Gill Sans MT"/>
        </w:rPr>
        <w:t xml:space="preserve"> </w:t>
      </w:r>
    </w:p>
    <w:p w:rsidR="00747E2A" w:rsidRPr="004C308D" w:rsidRDefault="00E90B56" w:rsidP="004C308D">
      <w:pPr>
        <w:pStyle w:val="ListParagraph"/>
        <w:numPr>
          <w:ilvl w:val="0"/>
          <w:numId w:val="27"/>
        </w:numPr>
        <w:spacing w:after="140" w:line="300" w:lineRule="atLeast"/>
        <w:ind w:left="357" w:right="0" w:hanging="357"/>
        <w:jc w:val="left"/>
        <w:rPr>
          <w:rFonts w:ascii="Gill Sans MT" w:hAnsi="Gill Sans MT"/>
        </w:rPr>
      </w:pPr>
      <w:r w:rsidRPr="004C308D">
        <w:rPr>
          <w:rFonts w:ascii="Gill Sans MT" w:hAnsi="Gill Sans MT"/>
        </w:rPr>
        <w:t>Clinical placement program</w:t>
      </w:r>
      <w:r w:rsidR="00485E03" w:rsidRPr="004C308D">
        <w:rPr>
          <w:rFonts w:ascii="Gill Sans MT" w:hAnsi="Gill Sans MT"/>
        </w:rPr>
        <w:t xml:space="preserve"> </w:t>
      </w:r>
    </w:p>
    <w:p w:rsidR="00747E2A" w:rsidRPr="004C308D" w:rsidRDefault="00E90B56" w:rsidP="004C308D">
      <w:pPr>
        <w:pStyle w:val="ListParagraph"/>
        <w:numPr>
          <w:ilvl w:val="0"/>
          <w:numId w:val="27"/>
        </w:numPr>
        <w:spacing w:after="140" w:line="300" w:lineRule="atLeast"/>
        <w:ind w:left="357" w:right="0" w:hanging="357"/>
        <w:jc w:val="left"/>
        <w:rPr>
          <w:rFonts w:ascii="Gill Sans MT" w:hAnsi="Gill Sans MT"/>
        </w:rPr>
      </w:pPr>
      <w:r w:rsidRPr="004C308D">
        <w:rPr>
          <w:rFonts w:ascii="Gill Sans MT" w:hAnsi="Gill Sans MT"/>
        </w:rPr>
        <w:t>Admitted day surgery dental services</w:t>
      </w:r>
      <w:r w:rsidR="00485E03" w:rsidRPr="004C308D">
        <w:rPr>
          <w:rFonts w:ascii="Gill Sans MT" w:hAnsi="Gill Sans MT"/>
        </w:rPr>
        <w:t xml:space="preserve"> </w:t>
      </w:r>
    </w:p>
    <w:p w:rsidR="003A39F1" w:rsidRPr="004C308D" w:rsidRDefault="00E90B56" w:rsidP="004C308D">
      <w:pPr>
        <w:pStyle w:val="ListParagraph"/>
        <w:numPr>
          <w:ilvl w:val="0"/>
          <w:numId w:val="27"/>
        </w:numPr>
        <w:spacing w:after="140" w:line="300" w:lineRule="atLeast"/>
        <w:ind w:left="357" w:right="0" w:hanging="357"/>
        <w:jc w:val="left"/>
        <w:rPr>
          <w:rFonts w:ascii="Gill Sans MT" w:hAnsi="Gill Sans MT"/>
        </w:rPr>
      </w:pPr>
      <w:r w:rsidRPr="004C308D">
        <w:rPr>
          <w:rFonts w:ascii="Gill Sans MT" w:hAnsi="Gill Sans MT"/>
        </w:rPr>
        <w:t>Special care dental services</w:t>
      </w:r>
      <w:r w:rsidR="00730F20" w:rsidRPr="004C308D">
        <w:rPr>
          <w:rFonts w:ascii="Gill Sans MT" w:hAnsi="Gill Sans MT"/>
        </w:rPr>
        <w:t xml:space="preserve"> </w:t>
      </w:r>
    </w:p>
    <w:p w:rsidR="003A39F1" w:rsidRPr="004C308D" w:rsidRDefault="00E90B56" w:rsidP="004C308D">
      <w:pPr>
        <w:pStyle w:val="ListParagraph"/>
        <w:numPr>
          <w:ilvl w:val="0"/>
          <w:numId w:val="27"/>
        </w:numPr>
        <w:spacing w:after="140" w:line="300" w:lineRule="atLeast"/>
        <w:ind w:left="357" w:right="0" w:hanging="357"/>
        <w:jc w:val="left"/>
        <w:rPr>
          <w:rFonts w:ascii="Gill Sans MT" w:hAnsi="Gill Sans MT"/>
        </w:rPr>
      </w:pPr>
      <w:r w:rsidRPr="004C308D">
        <w:rPr>
          <w:rFonts w:ascii="Gill Sans MT" w:hAnsi="Gill Sans MT"/>
        </w:rPr>
        <w:t>Health promotion and community education</w:t>
      </w:r>
      <w:r w:rsidR="00730F20" w:rsidRPr="004C308D">
        <w:rPr>
          <w:rFonts w:ascii="Gill Sans MT" w:hAnsi="Gill Sans MT"/>
        </w:rPr>
        <w:t xml:space="preserve"> </w:t>
      </w:r>
      <w:bookmarkStart w:id="85" w:name="_Toc423358003"/>
    </w:p>
    <w:p w:rsidR="00A3173D" w:rsidRPr="00DC47FD" w:rsidRDefault="00A3173D" w:rsidP="00EE2B3E">
      <w:pPr>
        <w:spacing w:after="140" w:line="300" w:lineRule="atLeast"/>
      </w:pPr>
      <w:r w:rsidRPr="004B5133">
        <w:t xml:space="preserve">The </w:t>
      </w:r>
      <w:r>
        <w:t xml:space="preserve">delivery of oral health services in Tasmania is </w:t>
      </w:r>
      <w:r w:rsidRPr="00D82AE1">
        <w:t>partially supported through Commonwealth funding via</w:t>
      </w:r>
      <w:r w:rsidR="00F47158">
        <w:t xml:space="preserve"> a National Partnership Agreement.</w:t>
      </w:r>
    </w:p>
    <w:p w:rsidR="00030C0E" w:rsidRPr="00F524DF" w:rsidRDefault="00030C0E" w:rsidP="00EE2B3E">
      <w:pPr>
        <w:pStyle w:val="Heading2"/>
        <w:spacing w:before="0" w:after="140" w:line="300" w:lineRule="atLeast"/>
        <w:rPr>
          <w:sz w:val="28"/>
        </w:rPr>
      </w:pPr>
      <w:bookmarkStart w:id="86" w:name="_Toc488068420"/>
      <w:r w:rsidRPr="00F524DF">
        <w:rPr>
          <w:sz w:val="28"/>
        </w:rPr>
        <w:t>Cancer Screening and Control Services</w:t>
      </w:r>
      <w:bookmarkEnd w:id="85"/>
      <w:bookmarkEnd w:id="86"/>
    </w:p>
    <w:p w:rsidR="00030C0E" w:rsidRPr="00F47158" w:rsidRDefault="00030C0E" w:rsidP="00EE2B3E">
      <w:pPr>
        <w:spacing w:after="140" w:line="300" w:lineRule="atLeast"/>
        <w:rPr>
          <w:b/>
        </w:rPr>
      </w:pPr>
      <w:bookmarkStart w:id="87" w:name="_Toc419965614"/>
      <w:bookmarkStart w:id="88" w:name="_Toc423358004"/>
      <w:r w:rsidRPr="00F47158">
        <w:rPr>
          <w:b/>
        </w:rPr>
        <w:t>Services to be delivered</w:t>
      </w:r>
      <w:bookmarkEnd w:id="87"/>
      <w:bookmarkEnd w:id="88"/>
    </w:p>
    <w:p w:rsidR="00030C0E" w:rsidRPr="00FA155C" w:rsidRDefault="00030C0E" w:rsidP="00EE2B3E">
      <w:pPr>
        <w:spacing w:after="140" w:line="300" w:lineRule="atLeast"/>
      </w:pPr>
      <w:r w:rsidRPr="00FA155C">
        <w:t xml:space="preserve">Cancer Screening &amp; Control Services (CS&amp;CS) comprises four work areas: </w:t>
      </w:r>
      <w:r w:rsidR="00CE2487" w:rsidRPr="00FA155C">
        <w:t>Breast Screen</w:t>
      </w:r>
      <w:r w:rsidRPr="00FA155C">
        <w:t xml:space="preserve"> Tasmania (BST), the Cervical Cancer Prevention Program (CCPP) and Tasmanian Cervical Screening Register (TCSR), the Recruitment and Community Engagement Unit (RACE), the Tasmanian elements of the National Bowel Cancer Screening Program (NBCSP); and the Cancer Screening and Control Services’ Directorate which is responsible for the support, executive management and oversight of the screening programs and cancer control interventions.</w:t>
      </w:r>
    </w:p>
    <w:p w:rsidR="00030C0E" w:rsidRPr="004C308D" w:rsidRDefault="00CE2487" w:rsidP="004C308D">
      <w:pPr>
        <w:pStyle w:val="ListParagraph"/>
        <w:numPr>
          <w:ilvl w:val="0"/>
          <w:numId w:val="27"/>
        </w:numPr>
        <w:spacing w:after="140" w:line="300" w:lineRule="atLeast"/>
        <w:ind w:left="357" w:right="0" w:hanging="357"/>
        <w:jc w:val="left"/>
        <w:rPr>
          <w:rFonts w:ascii="Gill Sans MT" w:hAnsi="Gill Sans MT"/>
        </w:rPr>
      </w:pPr>
      <w:r w:rsidRPr="004C308D">
        <w:rPr>
          <w:rFonts w:ascii="Gill Sans MT" w:hAnsi="Gill Sans MT"/>
        </w:rPr>
        <w:t>Breast Screen</w:t>
      </w:r>
      <w:r w:rsidR="003A6043" w:rsidRPr="004C308D">
        <w:rPr>
          <w:rFonts w:ascii="Gill Sans MT" w:hAnsi="Gill Sans MT"/>
        </w:rPr>
        <w:t xml:space="preserve"> Tasmania</w:t>
      </w:r>
      <w:r w:rsidR="00030C0E" w:rsidRPr="004C308D">
        <w:rPr>
          <w:rFonts w:ascii="Gill Sans MT" w:hAnsi="Gill Sans MT"/>
        </w:rPr>
        <w:t xml:space="preserve"> </w:t>
      </w:r>
    </w:p>
    <w:p w:rsidR="00030C0E" w:rsidRPr="004C308D" w:rsidRDefault="00030C0E" w:rsidP="004C308D">
      <w:pPr>
        <w:pStyle w:val="ListParagraph"/>
        <w:numPr>
          <w:ilvl w:val="0"/>
          <w:numId w:val="27"/>
        </w:numPr>
        <w:spacing w:after="140" w:line="300" w:lineRule="atLeast"/>
        <w:ind w:left="357" w:right="0" w:hanging="357"/>
        <w:jc w:val="left"/>
        <w:rPr>
          <w:rFonts w:ascii="Gill Sans MT" w:hAnsi="Gill Sans MT"/>
        </w:rPr>
      </w:pPr>
      <w:r w:rsidRPr="004C308D">
        <w:rPr>
          <w:rFonts w:ascii="Gill Sans MT" w:hAnsi="Gill Sans MT"/>
        </w:rPr>
        <w:t>The </w:t>
      </w:r>
      <w:hyperlink r:id="rId14" w:history="1">
        <w:r w:rsidRPr="004C308D">
          <w:rPr>
            <w:rFonts w:ascii="Gill Sans MT" w:hAnsi="Gill Sans MT"/>
          </w:rPr>
          <w:t>Tasmanian Cervical Screening Register</w:t>
        </w:r>
      </w:hyperlink>
    </w:p>
    <w:p w:rsidR="00030C0E" w:rsidRPr="004C308D" w:rsidRDefault="00030C0E" w:rsidP="004C308D">
      <w:pPr>
        <w:pStyle w:val="ListParagraph"/>
        <w:numPr>
          <w:ilvl w:val="0"/>
          <w:numId w:val="27"/>
        </w:numPr>
        <w:spacing w:after="140" w:line="300" w:lineRule="atLeast"/>
        <w:ind w:left="357" w:right="0" w:hanging="357"/>
        <w:jc w:val="left"/>
        <w:rPr>
          <w:rFonts w:ascii="Gill Sans MT" w:hAnsi="Gill Sans MT"/>
        </w:rPr>
      </w:pPr>
      <w:r w:rsidRPr="004C308D">
        <w:rPr>
          <w:rFonts w:ascii="Gill Sans MT" w:hAnsi="Gill Sans MT"/>
        </w:rPr>
        <w:t>The CS&amp;CS </w:t>
      </w:r>
      <w:hyperlink r:id="rId15" w:history="1">
        <w:r w:rsidRPr="004C308D">
          <w:rPr>
            <w:rFonts w:ascii="Gill Sans MT" w:hAnsi="Gill Sans MT"/>
          </w:rPr>
          <w:t>Recruitmen</w:t>
        </w:r>
        <w:r w:rsidR="003A6043" w:rsidRPr="004C308D">
          <w:rPr>
            <w:rFonts w:ascii="Gill Sans MT" w:hAnsi="Gill Sans MT"/>
          </w:rPr>
          <w:t>t and Community Engagement Unit</w:t>
        </w:r>
        <w:r w:rsidRPr="004C308D">
          <w:rPr>
            <w:rFonts w:ascii="Gill Sans MT" w:hAnsi="Gill Sans MT"/>
          </w:rPr>
          <w:t> </w:t>
        </w:r>
      </w:hyperlink>
    </w:p>
    <w:p w:rsidR="0059579C" w:rsidRPr="004C308D" w:rsidRDefault="00030C0E" w:rsidP="004C308D">
      <w:pPr>
        <w:pStyle w:val="ListParagraph"/>
        <w:numPr>
          <w:ilvl w:val="0"/>
          <w:numId w:val="27"/>
        </w:numPr>
        <w:spacing w:after="140" w:line="300" w:lineRule="atLeast"/>
        <w:ind w:left="357" w:right="0" w:hanging="357"/>
        <w:jc w:val="left"/>
        <w:rPr>
          <w:rFonts w:ascii="Gill Sans MT" w:hAnsi="Gill Sans MT"/>
        </w:rPr>
      </w:pPr>
      <w:r w:rsidRPr="004C308D">
        <w:rPr>
          <w:rFonts w:ascii="Gill Sans MT" w:hAnsi="Gill Sans MT"/>
        </w:rPr>
        <w:t>The Tasmanian component of the </w:t>
      </w:r>
      <w:hyperlink r:id="rId16" w:history="1">
        <w:r w:rsidRPr="004C308D">
          <w:rPr>
            <w:rFonts w:ascii="Gill Sans MT" w:hAnsi="Gill Sans MT"/>
          </w:rPr>
          <w:t>National Bowel Cancer Screening Program </w:t>
        </w:r>
      </w:hyperlink>
      <w:r w:rsidR="003A6043" w:rsidRPr="004C308D">
        <w:rPr>
          <w:rFonts w:ascii="Gill Sans MT" w:hAnsi="Gill Sans MT"/>
        </w:rPr>
        <w:t>(NBCSP)</w:t>
      </w:r>
      <w:r w:rsidRPr="004C308D">
        <w:rPr>
          <w:rFonts w:ascii="Gill Sans MT" w:hAnsi="Gill Sans MT"/>
        </w:rPr>
        <w:t xml:space="preserve"> </w:t>
      </w:r>
      <w:bookmarkStart w:id="89" w:name="_Toc423358005"/>
    </w:p>
    <w:p w:rsidR="00A3173D" w:rsidRPr="00F524DF" w:rsidRDefault="000804A1" w:rsidP="00EE2B3E">
      <w:pPr>
        <w:spacing w:after="140" w:line="300" w:lineRule="atLeast"/>
      </w:pPr>
      <w:proofErr w:type="spellStart"/>
      <w:r w:rsidRPr="000804A1">
        <w:t>BreastScreen</w:t>
      </w:r>
      <w:proofErr w:type="spellEnd"/>
      <w:r w:rsidRPr="000804A1">
        <w:t xml:space="preserve"> Tasmania and the Tasmanian Cervical Cancer Prevention Program are joint Com</w:t>
      </w:r>
      <w:r>
        <w:t xml:space="preserve">monwealth, State and Territory </w:t>
      </w:r>
      <w:r w:rsidRPr="000804A1">
        <w:t xml:space="preserve">programs partially funded through the National Healthcare Agreement. Cancer Screening and Control Services </w:t>
      </w:r>
      <w:proofErr w:type="gramStart"/>
      <w:r w:rsidRPr="000804A1">
        <w:t>is</w:t>
      </w:r>
      <w:proofErr w:type="gramEnd"/>
      <w:r w:rsidR="002722AB">
        <w:t xml:space="preserve"> also supported by Commonwealth</w:t>
      </w:r>
      <w:r w:rsidRPr="000804A1">
        <w:t xml:space="preserve"> NPA Specified Projects – Schedule D – National Bowel Cancer Screening Program Participant Follow-Up Function and the Project Agreement for the Expansion of the </w:t>
      </w:r>
      <w:proofErr w:type="spellStart"/>
      <w:r w:rsidRPr="000804A1">
        <w:t>BreastScreen</w:t>
      </w:r>
      <w:proofErr w:type="spellEnd"/>
      <w:r w:rsidRPr="000804A1">
        <w:t xml:space="preserve"> Australia Program, and from the McGrath Foundation for Breast Care nursing.</w:t>
      </w:r>
      <w:r>
        <w:t xml:space="preserve"> </w:t>
      </w:r>
    </w:p>
    <w:p w:rsidR="005D739E" w:rsidRPr="00A34F05" w:rsidRDefault="005D739E" w:rsidP="00EE2B3E">
      <w:pPr>
        <w:pStyle w:val="Heading2"/>
        <w:spacing w:before="0" w:after="140" w:line="300" w:lineRule="atLeast"/>
        <w:rPr>
          <w:lang w:val="en-AU"/>
        </w:rPr>
      </w:pPr>
      <w:bookmarkStart w:id="90" w:name="_Toc488068421"/>
      <w:r w:rsidRPr="00A34F05">
        <w:rPr>
          <w:lang w:val="en-AU"/>
        </w:rPr>
        <w:t>Child Health and Parenting Service</w:t>
      </w:r>
      <w:bookmarkEnd w:id="90"/>
    </w:p>
    <w:p w:rsidR="00A34F05" w:rsidRPr="00A34F05" w:rsidRDefault="00A34F05" w:rsidP="00EE2B3E">
      <w:pPr>
        <w:spacing w:after="140" w:line="300" w:lineRule="atLeast"/>
        <w:rPr>
          <w:b/>
        </w:rPr>
      </w:pPr>
      <w:r w:rsidRPr="00A34F05">
        <w:rPr>
          <w:b/>
        </w:rPr>
        <w:t>Services to be delivered</w:t>
      </w:r>
    </w:p>
    <w:p w:rsidR="004A4E7C" w:rsidRDefault="004A4E7C" w:rsidP="00EE2B3E">
      <w:pPr>
        <w:spacing w:after="140" w:line="300" w:lineRule="atLeast"/>
      </w:pPr>
      <w:r>
        <w:t>The Child Health and Parenting Service (</w:t>
      </w:r>
      <w:proofErr w:type="spellStart"/>
      <w:r>
        <w:t>CHaPS</w:t>
      </w:r>
      <w:proofErr w:type="spellEnd"/>
      <w:r>
        <w:t xml:space="preserve">) </w:t>
      </w:r>
      <w:proofErr w:type="gramStart"/>
      <w:r>
        <w:t>operates</w:t>
      </w:r>
      <w:proofErr w:type="gramEnd"/>
      <w:r>
        <w:t xml:space="preserve"> under a state-wide basis delivering community-based child health services for children 0 – 5 years and their families.  </w:t>
      </w:r>
      <w:proofErr w:type="spellStart"/>
      <w:r>
        <w:t>CHaPS</w:t>
      </w:r>
      <w:proofErr w:type="spellEnd"/>
      <w:r>
        <w:t xml:space="preserve"> also offer an enuresis intervention clinic to school aged children. </w:t>
      </w:r>
    </w:p>
    <w:p w:rsidR="004A4E7C" w:rsidRDefault="004A4E7C" w:rsidP="00EE2B3E">
      <w:pPr>
        <w:spacing w:after="140" w:line="300" w:lineRule="atLeast"/>
      </w:pPr>
      <w:proofErr w:type="spellStart"/>
      <w:r>
        <w:t>CHaPS</w:t>
      </w:r>
      <w:proofErr w:type="spellEnd"/>
      <w:r>
        <w:t xml:space="preserve"> aims to ensure that their services are:</w:t>
      </w:r>
    </w:p>
    <w:p w:rsidR="004A4E7C" w:rsidRPr="004C308D" w:rsidRDefault="004A4E7C" w:rsidP="004C308D">
      <w:pPr>
        <w:pStyle w:val="ListParagraph"/>
        <w:numPr>
          <w:ilvl w:val="0"/>
          <w:numId w:val="27"/>
        </w:numPr>
        <w:spacing w:after="140" w:line="300" w:lineRule="atLeast"/>
        <w:ind w:left="357" w:right="0" w:hanging="357"/>
        <w:jc w:val="left"/>
        <w:rPr>
          <w:rFonts w:ascii="Gill Sans MT" w:hAnsi="Gill Sans MT"/>
        </w:rPr>
      </w:pPr>
      <w:r w:rsidRPr="004C308D">
        <w:rPr>
          <w:rFonts w:ascii="Gill Sans MT" w:hAnsi="Gill Sans MT"/>
        </w:rPr>
        <w:t>Appropriate to the family needs</w:t>
      </w:r>
    </w:p>
    <w:p w:rsidR="004A4E7C" w:rsidRPr="004C308D" w:rsidRDefault="004A4E7C" w:rsidP="004C308D">
      <w:pPr>
        <w:pStyle w:val="ListParagraph"/>
        <w:numPr>
          <w:ilvl w:val="0"/>
          <w:numId w:val="27"/>
        </w:numPr>
        <w:spacing w:after="140" w:line="300" w:lineRule="atLeast"/>
        <w:ind w:left="357" w:right="0" w:hanging="357"/>
        <w:jc w:val="left"/>
        <w:rPr>
          <w:rFonts w:ascii="Gill Sans MT" w:hAnsi="Gill Sans MT"/>
        </w:rPr>
      </w:pPr>
      <w:proofErr w:type="spellStart"/>
      <w:r w:rsidRPr="004C308D">
        <w:rPr>
          <w:rFonts w:ascii="Gill Sans MT" w:hAnsi="Gill Sans MT"/>
        </w:rPr>
        <w:t>Prioritised</w:t>
      </w:r>
      <w:proofErr w:type="spellEnd"/>
      <w:r w:rsidRPr="004C308D">
        <w:rPr>
          <w:rFonts w:ascii="Gill Sans MT" w:hAnsi="Gill Sans MT"/>
        </w:rPr>
        <w:t xml:space="preserve"> according to need and</w:t>
      </w:r>
    </w:p>
    <w:p w:rsidR="004A4E7C" w:rsidRPr="004C308D" w:rsidRDefault="004A4E7C" w:rsidP="004C308D">
      <w:pPr>
        <w:pStyle w:val="ListParagraph"/>
        <w:numPr>
          <w:ilvl w:val="0"/>
          <w:numId w:val="27"/>
        </w:numPr>
        <w:spacing w:after="140" w:line="300" w:lineRule="atLeast"/>
        <w:ind w:left="357" w:right="0" w:hanging="357"/>
        <w:jc w:val="left"/>
        <w:rPr>
          <w:rFonts w:ascii="Gill Sans MT" w:hAnsi="Gill Sans MT"/>
        </w:rPr>
      </w:pPr>
      <w:r w:rsidRPr="004C308D">
        <w:rPr>
          <w:rFonts w:ascii="Gill Sans MT" w:hAnsi="Gill Sans MT"/>
        </w:rPr>
        <w:t>Provided in the most appropriate setting for the family</w:t>
      </w:r>
    </w:p>
    <w:p w:rsidR="004A4E7C" w:rsidRDefault="004A4E7C" w:rsidP="00EE2B3E">
      <w:pPr>
        <w:spacing w:after="140" w:line="300" w:lineRule="atLeast"/>
      </w:pPr>
      <w:proofErr w:type="spellStart"/>
      <w:r>
        <w:t>CHaPS</w:t>
      </w:r>
      <w:proofErr w:type="spellEnd"/>
      <w:r>
        <w:t xml:space="preserve"> deliver services to the community from child health centres, child and family centres and home visits where appropriate.  Centres are located in sites across the state.  Some are co-located with other services (education/health) and others are single service </w:t>
      </w:r>
      <w:proofErr w:type="spellStart"/>
      <w:r>
        <w:t>CHaPS</w:t>
      </w:r>
      <w:proofErr w:type="spellEnd"/>
      <w:r>
        <w:t xml:space="preserve"> sites.</w:t>
      </w:r>
      <w:r w:rsidR="00FD2EB0">
        <w:t xml:space="preserve"> </w:t>
      </w:r>
    </w:p>
    <w:p w:rsidR="004A4E7C" w:rsidRDefault="004A4E7C" w:rsidP="00EE2B3E">
      <w:pPr>
        <w:spacing w:after="140" w:line="300" w:lineRule="atLeast"/>
        <w:rPr>
          <w:rFonts w:ascii="Calibri" w:hAnsi="Calibri"/>
        </w:rPr>
      </w:pPr>
      <w:r>
        <w:t>Specific services include:</w:t>
      </w:r>
    </w:p>
    <w:p w:rsidR="004A4E7C" w:rsidRPr="004C308D" w:rsidRDefault="004A4E7C" w:rsidP="004C308D">
      <w:pPr>
        <w:pStyle w:val="ListParagraph"/>
        <w:numPr>
          <w:ilvl w:val="0"/>
          <w:numId w:val="27"/>
        </w:numPr>
        <w:spacing w:after="140" w:line="300" w:lineRule="atLeast"/>
        <w:ind w:left="357" w:right="0" w:hanging="357"/>
        <w:jc w:val="left"/>
        <w:rPr>
          <w:rFonts w:ascii="Gill Sans MT" w:hAnsi="Gill Sans MT"/>
        </w:rPr>
      </w:pPr>
      <w:r w:rsidRPr="004C308D">
        <w:rPr>
          <w:rFonts w:ascii="Gill Sans MT" w:hAnsi="Gill Sans MT"/>
        </w:rPr>
        <w:t xml:space="preserve">Growth and Developmental screening and surveillance </w:t>
      </w:r>
    </w:p>
    <w:p w:rsidR="004A4E7C" w:rsidRPr="004C308D" w:rsidRDefault="004A4E7C" w:rsidP="004C308D">
      <w:pPr>
        <w:pStyle w:val="ListParagraph"/>
        <w:numPr>
          <w:ilvl w:val="0"/>
          <w:numId w:val="27"/>
        </w:numPr>
        <w:spacing w:after="140" w:line="300" w:lineRule="atLeast"/>
        <w:ind w:left="357" w:right="0" w:hanging="357"/>
        <w:jc w:val="left"/>
        <w:rPr>
          <w:rFonts w:ascii="Gill Sans MT" w:hAnsi="Gill Sans MT"/>
        </w:rPr>
      </w:pPr>
      <w:r w:rsidRPr="004C308D">
        <w:rPr>
          <w:rFonts w:ascii="Gill Sans MT" w:hAnsi="Gill Sans MT"/>
        </w:rPr>
        <w:t>Feeding assessment and support</w:t>
      </w:r>
    </w:p>
    <w:p w:rsidR="004A4E7C" w:rsidRPr="004C308D" w:rsidRDefault="004A4E7C" w:rsidP="004C308D">
      <w:pPr>
        <w:pStyle w:val="ListParagraph"/>
        <w:numPr>
          <w:ilvl w:val="0"/>
          <w:numId w:val="27"/>
        </w:numPr>
        <w:spacing w:after="140" w:line="300" w:lineRule="atLeast"/>
        <w:ind w:left="357" w:right="0" w:hanging="357"/>
        <w:jc w:val="left"/>
        <w:rPr>
          <w:rFonts w:ascii="Gill Sans MT" w:hAnsi="Gill Sans MT"/>
        </w:rPr>
      </w:pPr>
      <w:proofErr w:type="spellStart"/>
      <w:r w:rsidRPr="004C308D">
        <w:rPr>
          <w:rFonts w:ascii="Gill Sans MT" w:hAnsi="Gill Sans MT"/>
        </w:rPr>
        <w:t>Wetaway</w:t>
      </w:r>
      <w:proofErr w:type="spellEnd"/>
      <w:r w:rsidRPr="004C308D">
        <w:rPr>
          <w:rFonts w:ascii="Gill Sans MT" w:hAnsi="Gill Sans MT"/>
        </w:rPr>
        <w:t xml:space="preserve"> Program</w:t>
      </w:r>
    </w:p>
    <w:p w:rsidR="004A4E7C" w:rsidRPr="004C308D" w:rsidRDefault="004A4E7C" w:rsidP="004C308D">
      <w:pPr>
        <w:pStyle w:val="ListParagraph"/>
        <w:numPr>
          <w:ilvl w:val="0"/>
          <w:numId w:val="27"/>
        </w:numPr>
        <w:spacing w:after="140" w:line="300" w:lineRule="atLeast"/>
        <w:ind w:left="357" w:right="0" w:hanging="357"/>
        <w:jc w:val="left"/>
        <w:rPr>
          <w:rFonts w:ascii="Gill Sans MT" w:hAnsi="Gill Sans MT"/>
        </w:rPr>
      </w:pPr>
      <w:r w:rsidRPr="004C308D">
        <w:rPr>
          <w:rFonts w:ascii="Gill Sans MT" w:hAnsi="Gill Sans MT"/>
        </w:rPr>
        <w:t>A limited child development service in the North West of the State</w:t>
      </w:r>
    </w:p>
    <w:p w:rsidR="004A4E7C" w:rsidRDefault="004A4E7C" w:rsidP="00EE2B3E">
      <w:pPr>
        <w:spacing w:after="140" w:line="300" w:lineRule="atLeast"/>
      </w:pPr>
      <w:r>
        <w:t>Parental support related to:</w:t>
      </w:r>
    </w:p>
    <w:p w:rsidR="004A4E7C" w:rsidRPr="004C308D" w:rsidRDefault="004A4E7C" w:rsidP="004C308D">
      <w:pPr>
        <w:pStyle w:val="ListParagraph"/>
        <w:numPr>
          <w:ilvl w:val="0"/>
          <w:numId w:val="27"/>
        </w:numPr>
        <w:spacing w:after="140" w:line="300" w:lineRule="atLeast"/>
        <w:ind w:left="357" w:right="0" w:hanging="357"/>
        <w:jc w:val="left"/>
        <w:rPr>
          <w:rFonts w:ascii="Gill Sans MT" w:hAnsi="Gill Sans MT"/>
        </w:rPr>
      </w:pPr>
      <w:r w:rsidRPr="004C308D">
        <w:rPr>
          <w:rFonts w:ascii="Gill Sans MT" w:hAnsi="Gill Sans MT"/>
        </w:rPr>
        <w:t>Sleep and settling</w:t>
      </w:r>
    </w:p>
    <w:p w:rsidR="004A4E7C" w:rsidRPr="004C308D" w:rsidRDefault="004A4E7C" w:rsidP="004C308D">
      <w:pPr>
        <w:pStyle w:val="ListParagraph"/>
        <w:numPr>
          <w:ilvl w:val="0"/>
          <w:numId w:val="27"/>
        </w:numPr>
        <w:spacing w:after="140" w:line="300" w:lineRule="atLeast"/>
        <w:ind w:left="357" w:right="0" w:hanging="357"/>
        <w:jc w:val="left"/>
        <w:rPr>
          <w:rFonts w:ascii="Gill Sans MT" w:hAnsi="Gill Sans MT"/>
        </w:rPr>
      </w:pPr>
      <w:r w:rsidRPr="004C308D">
        <w:rPr>
          <w:rFonts w:ascii="Gill Sans MT" w:hAnsi="Gill Sans MT"/>
        </w:rPr>
        <w:t>Parent-infant/child interaction</w:t>
      </w:r>
    </w:p>
    <w:p w:rsidR="004A4E7C" w:rsidRPr="004C308D" w:rsidRDefault="004A4E7C" w:rsidP="004C308D">
      <w:pPr>
        <w:pStyle w:val="ListParagraph"/>
        <w:numPr>
          <w:ilvl w:val="0"/>
          <w:numId w:val="27"/>
        </w:numPr>
        <w:spacing w:after="140" w:line="300" w:lineRule="atLeast"/>
        <w:ind w:left="357" w:right="0" w:hanging="357"/>
        <w:jc w:val="left"/>
        <w:rPr>
          <w:rFonts w:ascii="Gill Sans MT" w:hAnsi="Gill Sans MT"/>
        </w:rPr>
      </w:pPr>
      <w:r w:rsidRPr="004C308D">
        <w:rPr>
          <w:rFonts w:ascii="Gill Sans MT" w:hAnsi="Gill Sans MT"/>
        </w:rPr>
        <w:t>Perinatal wellbeing (from a universal platform)</w:t>
      </w:r>
    </w:p>
    <w:p w:rsidR="004A4E7C" w:rsidRPr="004C308D" w:rsidRDefault="004A4E7C" w:rsidP="004C308D">
      <w:pPr>
        <w:pStyle w:val="ListParagraph"/>
        <w:numPr>
          <w:ilvl w:val="0"/>
          <w:numId w:val="27"/>
        </w:numPr>
        <w:spacing w:after="140" w:line="300" w:lineRule="atLeast"/>
        <w:ind w:left="357" w:right="0" w:hanging="357"/>
        <w:jc w:val="left"/>
        <w:rPr>
          <w:rFonts w:ascii="Gill Sans MT" w:hAnsi="Gill Sans MT"/>
        </w:rPr>
      </w:pPr>
      <w:r w:rsidRPr="004C308D">
        <w:rPr>
          <w:rFonts w:ascii="Gill Sans MT" w:hAnsi="Gill Sans MT"/>
        </w:rPr>
        <w:t xml:space="preserve">Developmentally appropriate parenting and </w:t>
      </w:r>
      <w:proofErr w:type="spellStart"/>
      <w:r w:rsidRPr="004C308D">
        <w:rPr>
          <w:rFonts w:ascii="Gill Sans MT" w:hAnsi="Gill Sans MT"/>
        </w:rPr>
        <w:t>behaviour</w:t>
      </w:r>
      <w:proofErr w:type="spellEnd"/>
      <w:r w:rsidRPr="004C308D">
        <w:rPr>
          <w:rFonts w:ascii="Gill Sans MT" w:hAnsi="Gill Sans MT"/>
        </w:rPr>
        <w:t xml:space="preserve"> management strategies</w:t>
      </w:r>
    </w:p>
    <w:p w:rsidR="004A4E7C" w:rsidRPr="004C308D" w:rsidRDefault="004A4E7C" w:rsidP="004C308D">
      <w:pPr>
        <w:pStyle w:val="ListParagraph"/>
        <w:numPr>
          <w:ilvl w:val="0"/>
          <w:numId w:val="27"/>
        </w:numPr>
        <w:spacing w:after="140" w:line="300" w:lineRule="atLeast"/>
        <w:ind w:left="357" w:right="0" w:hanging="357"/>
        <w:jc w:val="left"/>
        <w:rPr>
          <w:rFonts w:ascii="Gill Sans MT" w:hAnsi="Gill Sans MT"/>
        </w:rPr>
      </w:pPr>
      <w:r w:rsidRPr="004C308D">
        <w:rPr>
          <w:rFonts w:ascii="Gill Sans MT" w:hAnsi="Gill Sans MT"/>
        </w:rPr>
        <w:t>Parenting advice and information</w:t>
      </w:r>
    </w:p>
    <w:p w:rsidR="004A4E7C" w:rsidRPr="004C308D" w:rsidRDefault="004A4E7C" w:rsidP="004C308D">
      <w:pPr>
        <w:pStyle w:val="ListParagraph"/>
        <w:numPr>
          <w:ilvl w:val="0"/>
          <w:numId w:val="27"/>
        </w:numPr>
        <w:spacing w:after="140" w:line="300" w:lineRule="atLeast"/>
        <w:ind w:left="357" w:right="0" w:hanging="357"/>
        <w:jc w:val="left"/>
        <w:rPr>
          <w:rFonts w:ascii="Gill Sans MT" w:hAnsi="Gill Sans MT"/>
        </w:rPr>
      </w:pPr>
      <w:r w:rsidRPr="004C308D">
        <w:rPr>
          <w:rFonts w:ascii="Gill Sans MT" w:hAnsi="Gill Sans MT"/>
        </w:rPr>
        <w:t>Referrals to other health professionals where indicated</w:t>
      </w:r>
    </w:p>
    <w:p w:rsidR="004A4E7C" w:rsidRDefault="004A4E7C" w:rsidP="00EE2B3E">
      <w:pPr>
        <w:spacing w:after="140" w:line="300" w:lineRule="atLeast"/>
      </w:pPr>
      <w:r>
        <w:t>Community development related to:</w:t>
      </w:r>
    </w:p>
    <w:p w:rsidR="004A4E7C" w:rsidRPr="004C308D" w:rsidRDefault="004A4E7C" w:rsidP="004C308D">
      <w:pPr>
        <w:pStyle w:val="ListParagraph"/>
        <w:numPr>
          <w:ilvl w:val="0"/>
          <w:numId w:val="27"/>
        </w:numPr>
        <w:spacing w:after="140" w:line="300" w:lineRule="atLeast"/>
        <w:ind w:left="357" w:right="0" w:hanging="357"/>
        <w:jc w:val="left"/>
        <w:rPr>
          <w:rFonts w:ascii="Gill Sans MT" w:hAnsi="Gill Sans MT"/>
        </w:rPr>
      </w:pPr>
      <w:r w:rsidRPr="004C308D">
        <w:rPr>
          <w:rFonts w:ascii="Gill Sans MT" w:hAnsi="Gill Sans MT"/>
        </w:rPr>
        <w:t>Strong Families, Safe Kids</w:t>
      </w:r>
    </w:p>
    <w:p w:rsidR="004A4E7C" w:rsidRPr="004C308D" w:rsidRDefault="004A4E7C" w:rsidP="004C308D">
      <w:pPr>
        <w:pStyle w:val="ListParagraph"/>
        <w:numPr>
          <w:ilvl w:val="0"/>
          <w:numId w:val="27"/>
        </w:numPr>
        <w:spacing w:after="140" w:line="300" w:lineRule="atLeast"/>
        <w:ind w:left="357" w:right="0" w:hanging="357"/>
        <w:jc w:val="left"/>
        <w:rPr>
          <w:rFonts w:ascii="Gill Sans MT" w:hAnsi="Gill Sans MT"/>
        </w:rPr>
      </w:pPr>
      <w:r w:rsidRPr="004C308D">
        <w:rPr>
          <w:rFonts w:ascii="Gill Sans MT" w:hAnsi="Gill Sans MT"/>
        </w:rPr>
        <w:t>Early Intervention initiatives and promoting links with other services in a whole of government approach to supporting families</w:t>
      </w:r>
    </w:p>
    <w:p w:rsidR="005D739E" w:rsidRPr="004C308D" w:rsidRDefault="004A4E7C" w:rsidP="004C308D">
      <w:pPr>
        <w:pStyle w:val="ListParagraph"/>
        <w:numPr>
          <w:ilvl w:val="0"/>
          <w:numId w:val="27"/>
        </w:numPr>
        <w:spacing w:after="140" w:line="300" w:lineRule="atLeast"/>
        <w:ind w:left="357" w:right="0" w:hanging="357"/>
        <w:jc w:val="left"/>
        <w:rPr>
          <w:rFonts w:ascii="Gill Sans MT" w:hAnsi="Gill Sans MT"/>
        </w:rPr>
      </w:pPr>
      <w:r w:rsidRPr="004C308D">
        <w:rPr>
          <w:rFonts w:ascii="Gill Sans MT" w:hAnsi="Gill Sans MT"/>
        </w:rPr>
        <w:t>Representing Tasmania at national and regional forums (e.g. National Council of Community Child Health, Australasian Child Health and Parenting Association)</w:t>
      </w:r>
    </w:p>
    <w:p w:rsidR="007A7728" w:rsidRPr="0059579C" w:rsidRDefault="007A7728" w:rsidP="00EE2B3E">
      <w:pPr>
        <w:pStyle w:val="Heading2"/>
        <w:spacing w:before="0" w:after="140" w:line="300" w:lineRule="atLeast"/>
      </w:pPr>
      <w:bookmarkStart w:id="91" w:name="_Toc488068422"/>
      <w:r w:rsidRPr="0059579C">
        <w:t>Primary Health Services</w:t>
      </w:r>
      <w:bookmarkEnd w:id="89"/>
      <w:bookmarkEnd w:id="91"/>
    </w:p>
    <w:p w:rsidR="007A7728" w:rsidRPr="000400CF" w:rsidRDefault="007A7728" w:rsidP="00EE2B3E">
      <w:pPr>
        <w:spacing w:after="140" w:line="300" w:lineRule="atLeast"/>
        <w:rPr>
          <w:b/>
        </w:rPr>
      </w:pPr>
      <w:bookmarkStart w:id="92" w:name="_Toc419703553"/>
      <w:bookmarkStart w:id="93" w:name="_Toc419965616"/>
      <w:bookmarkStart w:id="94" w:name="_Toc423358006"/>
      <w:r w:rsidRPr="000400CF">
        <w:rPr>
          <w:b/>
        </w:rPr>
        <w:t>Services to be delivered</w:t>
      </w:r>
      <w:bookmarkEnd w:id="92"/>
      <w:bookmarkEnd w:id="93"/>
      <w:bookmarkEnd w:id="94"/>
    </w:p>
    <w:p w:rsidR="00C00B26" w:rsidRPr="00FA155C" w:rsidRDefault="00C00B26" w:rsidP="00EE2B3E">
      <w:pPr>
        <w:spacing w:after="140" w:line="300" w:lineRule="atLeast"/>
      </w:pPr>
      <w:r w:rsidRPr="00FA155C">
        <w:t xml:space="preserve">The </w:t>
      </w:r>
      <w:r w:rsidR="00EA46E9" w:rsidRPr="00FA155C">
        <w:t>THS</w:t>
      </w:r>
      <w:r w:rsidRPr="00FA155C">
        <w:t xml:space="preserve"> will deliver primary health services. These include a range of health promotion, early intervention, care and assessment, inpatient and outpatient treatment, residential aged care</w:t>
      </w:r>
      <w:r w:rsidR="00A3173D" w:rsidRPr="00067647">
        <w:rPr>
          <w:vertAlign w:val="superscript"/>
        </w:rPr>
        <w:t>1</w:t>
      </w:r>
      <w:r w:rsidRPr="00DC47FD">
        <w:t xml:space="preserve"> </w:t>
      </w:r>
      <w:r w:rsidRPr="00FA155C">
        <w:t xml:space="preserve">and community health services to individuals, groups and communities across Tasmania. Services may be targeted to the general population or to particular age groups (such </w:t>
      </w:r>
      <w:r w:rsidR="00A73DAC">
        <w:t>as aged persons or young people</w:t>
      </w:r>
      <w:proofErr w:type="gramStart"/>
      <w:r w:rsidR="00A73DAC">
        <w:t>)</w:t>
      </w:r>
      <w:r w:rsidR="00A73DAC" w:rsidRPr="00A73DAC">
        <w:rPr>
          <w:vertAlign w:val="superscript"/>
        </w:rPr>
        <w:t>2</w:t>
      </w:r>
      <w:proofErr w:type="gramEnd"/>
      <w:r w:rsidRPr="00FA155C">
        <w:t>. Other services are provided for specific health conditions (such as dementia or palliative care or people with chronic diseases).</w:t>
      </w:r>
    </w:p>
    <w:p w:rsidR="007A7728" w:rsidRPr="00FA155C" w:rsidRDefault="007A7728" w:rsidP="00EE2B3E">
      <w:pPr>
        <w:spacing w:after="140" w:line="300" w:lineRule="atLeast"/>
      </w:pPr>
      <w:r w:rsidRPr="00FA155C">
        <w:t>Services to be provided include:</w:t>
      </w:r>
    </w:p>
    <w:p w:rsidR="007A7728" w:rsidRPr="00FA155C" w:rsidRDefault="007A7728" w:rsidP="00EE2B3E">
      <w:pPr>
        <w:spacing w:after="140" w:line="300" w:lineRule="atLeast"/>
        <w:rPr>
          <w:b/>
        </w:rPr>
      </w:pPr>
      <w:r w:rsidRPr="00FA155C">
        <w:rPr>
          <w:b/>
        </w:rPr>
        <w:t>THS sub-acute inpatient care at the following locations</w:t>
      </w:r>
      <w:proofErr w:type="gramStart"/>
      <w:r w:rsidRPr="00FA155C">
        <w:rPr>
          <w:b/>
        </w:rPr>
        <w:t>:</w:t>
      </w:r>
      <w:r w:rsidR="00A73DAC">
        <w:rPr>
          <w:vertAlign w:val="superscript"/>
        </w:rPr>
        <w:t>3</w:t>
      </w:r>
      <w:proofErr w:type="gramEnd"/>
    </w:p>
    <w:p w:rsidR="007A7728" w:rsidRPr="004C308D" w:rsidRDefault="007A7728" w:rsidP="004C308D">
      <w:pPr>
        <w:pStyle w:val="ListParagraph"/>
        <w:numPr>
          <w:ilvl w:val="0"/>
          <w:numId w:val="27"/>
        </w:numPr>
        <w:spacing w:after="140" w:line="300" w:lineRule="atLeast"/>
        <w:ind w:left="357" w:right="0" w:hanging="357"/>
        <w:jc w:val="left"/>
        <w:rPr>
          <w:rFonts w:ascii="Gill Sans MT" w:hAnsi="Gill Sans MT"/>
        </w:rPr>
      </w:pPr>
      <w:r w:rsidRPr="004C308D">
        <w:rPr>
          <w:rFonts w:ascii="Gill Sans MT" w:hAnsi="Gill Sans MT"/>
        </w:rPr>
        <w:t xml:space="preserve">Midlands Multi-Purpose </w:t>
      </w:r>
      <w:r w:rsidR="00067647" w:rsidRPr="004C308D">
        <w:rPr>
          <w:rFonts w:ascii="Gill Sans MT" w:hAnsi="Gill Sans MT"/>
        </w:rPr>
        <w:t xml:space="preserve">Health </w:t>
      </w:r>
      <w:r w:rsidRPr="004C308D">
        <w:rPr>
          <w:rFonts w:ascii="Gill Sans MT" w:hAnsi="Gill Sans MT"/>
        </w:rPr>
        <w:t>Centre</w:t>
      </w:r>
    </w:p>
    <w:p w:rsidR="007A7728" w:rsidRPr="004C308D" w:rsidRDefault="007A7728" w:rsidP="004C308D">
      <w:pPr>
        <w:pStyle w:val="ListParagraph"/>
        <w:numPr>
          <w:ilvl w:val="0"/>
          <w:numId w:val="27"/>
        </w:numPr>
        <w:spacing w:after="140" w:line="300" w:lineRule="atLeast"/>
        <w:ind w:left="357" w:right="0" w:hanging="357"/>
        <w:jc w:val="left"/>
        <w:rPr>
          <w:rFonts w:ascii="Gill Sans MT" w:hAnsi="Gill Sans MT"/>
        </w:rPr>
      </w:pPr>
      <w:r w:rsidRPr="004C308D">
        <w:rPr>
          <w:rFonts w:ascii="Gill Sans MT" w:hAnsi="Gill Sans MT"/>
        </w:rPr>
        <w:t>New Norfolk District Hospital</w:t>
      </w:r>
      <w:r w:rsidRPr="004C308D">
        <w:rPr>
          <w:rFonts w:ascii="Gill Sans MT" w:hAnsi="Gill Sans MT"/>
        </w:rPr>
        <w:tab/>
      </w:r>
    </w:p>
    <w:p w:rsidR="007A7728" w:rsidRPr="004C308D" w:rsidRDefault="007A7728" w:rsidP="004C308D">
      <w:pPr>
        <w:pStyle w:val="ListParagraph"/>
        <w:numPr>
          <w:ilvl w:val="0"/>
          <w:numId w:val="27"/>
        </w:numPr>
        <w:spacing w:after="140" w:line="300" w:lineRule="atLeast"/>
        <w:ind w:left="357" w:right="0" w:hanging="357"/>
        <w:jc w:val="left"/>
        <w:rPr>
          <w:rFonts w:ascii="Gill Sans MT" w:hAnsi="Gill Sans MT"/>
        </w:rPr>
      </w:pPr>
      <w:r w:rsidRPr="004C308D">
        <w:rPr>
          <w:rFonts w:ascii="Gill Sans MT" w:hAnsi="Gill Sans MT"/>
        </w:rPr>
        <w:t>Smithton District Hospital</w:t>
      </w:r>
    </w:p>
    <w:p w:rsidR="007A7728" w:rsidRPr="004C308D" w:rsidRDefault="007A7728" w:rsidP="004C308D">
      <w:pPr>
        <w:pStyle w:val="ListParagraph"/>
        <w:numPr>
          <w:ilvl w:val="0"/>
          <w:numId w:val="27"/>
        </w:numPr>
        <w:spacing w:after="140" w:line="300" w:lineRule="atLeast"/>
        <w:ind w:left="357" w:right="0" w:hanging="357"/>
        <w:jc w:val="left"/>
        <w:rPr>
          <w:rFonts w:ascii="Gill Sans MT" w:hAnsi="Gill Sans MT"/>
        </w:rPr>
      </w:pPr>
      <w:r w:rsidRPr="004C308D">
        <w:rPr>
          <w:rFonts w:ascii="Gill Sans MT" w:hAnsi="Gill Sans MT"/>
        </w:rPr>
        <w:t>King Island Hospital and Community Health Centre</w:t>
      </w:r>
    </w:p>
    <w:p w:rsidR="007A7728" w:rsidRPr="004C308D" w:rsidRDefault="007A7728" w:rsidP="004C308D">
      <w:pPr>
        <w:pStyle w:val="ListParagraph"/>
        <w:numPr>
          <w:ilvl w:val="0"/>
          <w:numId w:val="27"/>
        </w:numPr>
        <w:spacing w:after="140" w:line="300" w:lineRule="atLeast"/>
        <w:ind w:left="357" w:right="0" w:hanging="357"/>
        <w:jc w:val="left"/>
        <w:rPr>
          <w:rFonts w:ascii="Gill Sans MT" w:hAnsi="Gill Sans MT"/>
        </w:rPr>
      </w:pPr>
      <w:r w:rsidRPr="004C308D">
        <w:rPr>
          <w:rFonts w:ascii="Gill Sans MT" w:hAnsi="Gill Sans MT"/>
        </w:rPr>
        <w:t>West Coast District Hospital</w:t>
      </w:r>
    </w:p>
    <w:p w:rsidR="007A7728" w:rsidRPr="004C308D" w:rsidRDefault="007A7728" w:rsidP="004C308D">
      <w:pPr>
        <w:pStyle w:val="ListParagraph"/>
        <w:numPr>
          <w:ilvl w:val="0"/>
          <w:numId w:val="27"/>
        </w:numPr>
        <w:spacing w:after="140" w:line="300" w:lineRule="atLeast"/>
        <w:ind w:left="357" w:right="0" w:hanging="357"/>
        <w:jc w:val="left"/>
        <w:rPr>
          <w:rFonts w:ascii="Gill Sans MT" w:hAnsi="Gill Sans MT"/>
        </w:rPr>
      </w:pPr>
      <w:r w:rsidRPr="004C308D">
        <w:rPr>
          <w:rFonts w:ascii="Gill Sans MT" w:hAnsi="Gill Sans MT"/>
        </w:rPr>
        <w:t>St Mary’s Community Health Centre</w:t>
      </w:r>
    </w:p>
    <w:p w:rsidR="007A7728" w:rsidRPr="004C308D" w:rsidRDefault="00A3173D" w:rsidP="004C308D">
      <w:pPr>
        <w:pStyle w:val="ListParagraph"/>
        <w:numPr>
          <w:ilvl w:val="0"/>
          <w:numId w:val="27"/>
        </w:numPr>
        <w:spacing w:after="140" w:line="300" w:lineRule="atLeast"/>
        <w:ind w:left="357" w:right="0" w:hanging="357"/>
        <w:jc w:val="left"/>
        <w:rPr>
          <w:rFonts w:ascii="Gill Sans MT" w:hAnsi="Gill Sans MT"/>
        </w:rPr>
      </w:pPr>
      <w:proofErr w:type="spellStart"/>
      <w:r w:rsidRPr="004C308D">
        <w:rPr>
          <w:rFonts w:ascii="Gill Sans MT" w:hAnsi="Gill Sans MT"/>
        </w:rPr>
        <w:t>Deloraine</w:t>
      </w:r>
      <w:proofErr w:type="spellEnd"/>
      <w:r w:rsidRPr="004C308D">
        <w:rPr>
          <w:rFonts w:ascii="Gill Sans MT" w:hAnsi="Gill Sans MT"/>
        </w:rPr>
        <w:t xml:space="preserve"> District</w:t>
      </w:r>
      <w:r w:rsidR="00067647" w:rsidRPr="004C308D">
        <w:rPr>
          <w:rFonts w:ascii="Gill Sans MT" w:hAnsi="Gill Sans MT"/>
        </w:rPr>
        <w:t xml:space="preserve"> Hospital</w:t>
      </w:r>
      <w:r w:rsidRPr="00301ED6">
        <w:rPr>
          <w:rFonts w:ascii="Gill Sans MT" w:hAnsi="Gill Sans MT"/>
          <w:vertAlign w:val="superscript"/>
        </w:rPr>
        <w:t>3</w:t>
      </w:r>
    </w:p>
    <w:p w:rsidR="007A7728" w:rsidRPr="004C308D" w:rsidRDefault="007A7728" w:rsidP="004C308D">
      <w:pPr>
        <w:pStyle w:val="ListParagraph"/>
        <w:numPr>
          <w:ilvl w:val="0"/>
          <w:numId w:val="27"/>
        </w:numPr>
        <w:spacing w:after="140" w:line="300" w:lineRule="atLeast"/>
        <w:ind w:left="357" w:right="0" w:hanging="357"/>
        <w:jc w:val="left"/>
        <w:rPr>
          <w:rFonts w:ascii="Gill Sans MT" w:hAnsi="Gill Sans MT"/>
        </w:rPr>
      </w:pPr>
      <w:r w:rsidRPr="004C308D">
        <w:rPr>
          <w:rFonts w:ascii="Gill Sans MT" w:hAnsi="Gill Sans MT"/>
        </w:rPr>
        <w:t>Flinde</w:t>
      </w:r>
      <w:r w:rsidR="00196E5D" w:rsidRPr="004C308D">
        <w:rPr>
          <w:rFonts w:ascii="Gill Sans MT" w:hAnsi="Gill Sans MT"/>
        </w:rPr>
        <w:t>rs Island Multi-Purpose Centre</w:t>
      </w:r>
      <w:r w:rsidR="00A73DAC" w:rsidRPr="00301ED6">
        <w:rPr>
          <w:rFonts w:ascii="Gill Sans MT" w:hAnsi="Gill Sans MT"/>
          <w:vertAlign w:val="superscript"/>
        </w:rPr>
        <w:t>4</w:t>
      </w:r>
    </w:p>
    <w:p w:rsidR="007A7728" w:rsidRPr="004C308D" w:rsidRDefault="007A7728" w:rsidP="004C308D">
      <w:pPr>
        <w:pStyle w:val="ListParagraph"/>
        <w:numPr>
          <w:ilvl w:val="0"/>
          <w:numId w:val="27"/>
        </w:numPr>
        <w:spacing w:after="140" w:line="300" w:lineRule="atLeast"/>
        <w:ind w:left="357" w:right="0" w:hanging="357"/>
        <w:jc w:val="left"/>
        <w:rPr>
          <w:rFonts w:ascii="Gill Sans MT" w:hAnsi="Gill Sans MT"/>
        </w:rPr>
      </w:pPr>
      <w:r w:rsidRPr="004C308D">
        <w:rPr>
          <w:rFonts w:ascii="Gill Sans MT" w:hAnsi="Gill Sans MT"/>
        </w:rPr>
        <w:t>North East Soldiers</w:t>
      </w:r>
      <w:r w:rsidR="00196E5D" w:rsidRPr="004C308D">
        <w:rPr>
          <w:rFonts w:ascii="Gill Sans MT" w:hAnsi="Gill Sans MT"/>
        </w:rPr>
        <w:t xml:space="preserve"> Memorial Hospital (Scottsdale)</w:t>
      </w:r>
      <w:r w:rsidR="00A73DAC" w:rsidRPr="00301ED6">
        <w:rPr>
          <w:rFonts w:ascii="Gill Sans MT" w:hAnsi="Gill Sans MT"/>
          <w:vertAlign w:val="superscript"/>
        </w:rPr>
        <w:t>4</w:t>
      </w:r>
    </w:p>
    <w:p w:rsidR="007A7728" w:rsidRPr="004C308D" w:rsidRDefault="007A7728" w:rsidP="004C308D">
      <w:pPr>
        <w:pStyle w:val="ListParagraph"/>
        <w:numPr>
          <w:ilvl w:val="0"/>
          <w:numId w:val="27"/>
        </w:numPr>
        <w:spacing w:after="140" w:line="300" w:lineRule="atLeast"/>
        <w:ind w:left="357" w:right="0" w:hanging="357"/>
        <w:jc w:val="left"/>
        <w:rPr>
          <w:rFonts w:ascii="Gill Sans MT" w:hAnsi="Gill Sans MT"/>
        </w:rPr>
      </w:pPr>
      <w:r w:rsidRPr="004C308D">
        <w:rPr>
          <w:rFonts w:ascii="Gill Sans MT" w:hAnsi="Gill Sans MT"/>
        </w:rPr>
        <w:t>Beaconsfield District Health Service</w:t>
      </w:r>
    </w:p>
    <w:p w:rsidR="007A7728" w:rsidRPr="004C308D" w:rsidRDefault="007A7728" w:rsidP="004C308D">
      <w:pPr>
        <w:pStyle w:val="ListParagraph"/>
        <w:numPr>
          <w:ilvl w:val="0"/>
          <w:numId w:val="27"/>
        </w:numPr>
        <w:spacing w:after="140" w:line="300" w:lineRule="atLeast"/>
        <w:ind w:left="357" w:right="0" w:hanging="357"/>
        <w:jc w:val="left"/>
        <w:rPr>
          <w:rFonts w:ascii="Gill Sans MT" w:hAnsi="Gill Sans MT"/>
        </w:rPr>
      </w:pPr>
      <w:r w:rsidRPr="004C308D">
        <w:rPr>
          <w:rFonts w:ascii="Gill Sans MT" w:hAnsi="Gill Sans MT"/>
        </w:rPr>
        <w:t>George Tow</w:t>
      </w:r>
      <w:r w:rsidR="00A3173D" w:rsidRPr="004C308D">
        <w:rPr>
          <w:rFonts w:ascii="Gill Sans MT" w:hAnsi="Gill Sans MT"/>
        </w:rPr>
        <w:t>n Hospital and Community</w:t>
      </w:r>
      <w:r w:rsidR="00E3169E" w:rsidRPr="004C308D">
        <w:rPr>
          <w:rFonts w:ascii="Gill Sans MT" w:hAnsi="Gill Sans MT"/>
        </w:rPr>
        <w:t xml:space="preserve"> Health Centre</w:t>
      </w:r>
      <w:r w:rsidR="00A73DAC" w:rsidRPr="00301ED6">
        <w:rPr>
          <w:rFonts w:ascii="Gill Sans MT" w:hAnsi="Gill Sans MT"/>
          <w:vertAlign w:val="superscript"/>
        </w:rPr>
        <w:t>4</w:t>
      </w:r>
    </w:p>
    <w:p w:rsidR="007A7728" w:rsidRPr="004C308D" w:rsidRDefault="00A3173D" w:rsidP="004C308D">
      <w:pPr>
        <w:pStyle w:val="ListParagraph"/>
        <w:numPr>
          <w:ilvl w:val="0"/>
          <w:numId w:val="27"/>
        </w:numPr>
        <w:spacing w:after="140" w:line="300" w:lineRule="atLeast"/>
        <w:ind w:left="357" w:right="0" w:hanging="357"/>
        <w:jc w:val="left"/>
        <w:rPr>
          <w:rFonts w:ascii="Gill Sans MT" w:hAnsi="Gill Sans MT"/>
        </w:rPr>
      </w:pPr>
      <w:r w:rsidRPr="004C308D">
        <w:rPr>
          <w:rFonts w:ascii="Gill Sans MT" w:hAnsi="Gill Sans MT"/>
        </w:rPr>
        <w:t>St Helens District</w:t>
      </w:r>
      <w:r w:rsidR="00067647" w:rsidRPr="004C308D">
        <w:rPr>
          <w:rFonts w:ascii="Gill Sans MT" w:hAnsi="Gill Sans MT"/>
        </w:rPr>
        <w:t xml:space="preserve"> Hospital and Community Centre</w:t>
      </w:r>
      <w:r w:rsidR="00A73DAC" w:rsidRPr="00301ED6">
        <w:rPr>
          <w:rFonts w:ascii="Gill Sans MT" w:hAnsi="Gill Sans MT"/>
          <w:vertAlign w:val="superscript"/>
        </w:rPr>
        <w:t>4</w:t>
      </w:r>
    </w:p>
    <w:p w:rsidR="007A7728" w:rsidRPr="004C308D" w:rsidRDefault="007A7728" w:rsidP="004C308D">
      <w:pPr>
        <w:pStyle w:val="ListParagraph"/>
        <w:numPr>
          <w:ilvl w:val="0"/>
          <w:numId w:val="27"/>
        </w:numPr>
        <w:spacing w:after="140" w:line="300" w:lineRule="atLeast"/>
        <w:ind w:left="357" w:right="0" w:hanging="357"/>
        <w:jc w:val="left"/>
        <w:rPr>
          <w:rFonts w:ascii="Gill Sans MT" w:hAnsi="Gill Sans MT"/>
        </w:rPr>
      </w:pPr>
      <w:r w:rsidRPr="004C308D">
        <w:rPr>
          <w:rFonts w:ascii="Gill Sans MT" w:hAnsi="Gill Sans MT"/>
        </w:rPr>
        <w:t>Campbell To</w:t>
      </w:r>
      <w:r w:rsidR="00A3173D" w:rsidRPr="004C308D">
        <w:rPr>
          <w:rFonts w:ascii="Gill Sans MT" w:hAnsi="Gill Sans MT"/>
        </w:rPr>
        <w:t>wn Health and Community</w:t>
      </w:r>
      <w:r w:rsidR="00A73DAC" w:rsidRPr="00301ED6">
        <w:rPr>
          <w:rFonts w:ascii="Gill Sans MT" w:hAnsi="Gill Sans MT"/>
          <w:vertAlign w:val="superscript"/>
        </w:rPr>
        <w:t>4</w:t>
      </w:r>
      <w:r w:rsidRPr="004C308D">
        <w:rPr>
          <w:rFonts w:ascii="Gill Sans MT" w:hAnsi="Gill Sans MT"/>
        </w:rPr>
        <w:tab/>
      </w:r>
    </w:p>
    <w:p w:rsidR="007A7728" w:rsidRPr="00FA155C" w:rsidRDefault="007A7728" w:rsidP="00EE2B3E">
      <w:pPr>
        <w:spacing w:after="140" w:line="300" w:lineRule="atLeast"/>
        <w:rPr>
          <w:b/>
        </w:rPr>
      </w:pPr>
      <w:r w:rsidRPr="00FA155C">
        <w:rPr>
          <w:b/>
        </w:rPr>
        <w:t>Funded sub-acute inpatient care at the following locations:</w:t>
      </w:r>
    </w:p>
    <w:p w:rsidR="003F0DA9" w:rsidRPr="004C308D" w:rsidRDefault="003F0DA9" w:rsidP="004C308D">
      <w:pPr>
        <w:pStyle w:val="ListParagraph"/>
        <w:numPr>
          <w:ilvl w:val="0"/>
          <w:numId w:val="27"/>
        </w:numPr>
        <w:spacing w:after="140" w:line="300" w:lineRule="atLeast"/>
        <w:ind w:left="357" w:right="0" w:hanging="357"/>
        <w:jc w:val="left"/>
        <w:rPr>
          <w:rFonts w:ascii="Gill Sans MT" w:hAnsi="Gill Sans MT"/>
        </w:rPr>
      </w:pPr>
      <w:proofErr w:type="spellStart"/>
      <w:r w:rsidRPr="004C308D">
        <w:rPr>
          <w:rFonts w:ascii="Gill Sans MT" w:hAnsi="Gill Sans MT"/>
        </w:rPr>
        <w:t>Toosey</w:t>
      </w:r>
      <w:proofErr w:type="spellEnd"/>
      <w:r w:rsidRPr="004C308D">
        <w:rPr>
          <w:rFonts w:ascii="Gill Sans MT" w:hAnsi="Gill Sans MT"/>
        </w:rPr>
        <w:t xml:space="preserve"> Aged and Community Care</w:t>
      </w:r>
    </w:p>
    <w:p w:rsidR="003F0DA9" w:rsidRPr="004C308D" w:rsidRDefault="003F0DA9" w:rsidP="004C308D">
      <w:pPr>
        <w:pStyle w:val="ListParagraph"/>
        <w:numPr>
          <w:ilvl w:val="0"/>
          <w:numId w:val="27"/>
        </w:numPr>
        <w:spacing w:after="140" w:line="300" w:lineRule="atLeast"/>
        <w:ind w:left="357" w:right="0" w:hanging="357"/>
        <w:jc w:val="left"/>
        <w:rPr>
          <w:rFonts w:ascii="Gill Sans MT" w:hAnsi="Gill Sans MT"/>
        </w:rPr>
      </w:pPr>
      <w:r w:rsidRPr="004C308D">
        <w:rPr>
          <w:rFonts w:ascii="Gill Sans MT" w:hAnsi="Gill Sans MT"/>
        </w:rPr>
        <w:t>Swansea Community Health Centre</w:t>
      </w:r>
    </w:p>
    <w:p w:rsidR="003F0DA9" w:rsidRPr="004C308D" w:rsidRDefault="003F0DA9" w:rsidP="004C308D">
      <w:pPr>
        <w:pStyle w:val="ListParagraph"/>
        <w:numPr>
          <w:ilvl w:val="0"/>
          <w:numId w:val="27"/>
        </w:numPr>
        <w:spacing w:after="140" w:line="300" w:lineRule="atLeast"/>
        <w:ind w:left="357" w:right="0" w:hanging="357"/>
        <w:jc w:val="left"/>
        <w:rPr>
          <w:rFonts w:ascii="Gill Sans MT" w:hAnsi="Gill Sans MT"/>
        </w:rPr>
      </w:pPr>
      <w:r w:rsidRPr="004C308D">
        <w:rPr>
          <w:rFonts w:ascii="Gill Sans MT" w:hAnsi="Gill Sans MT"/>
        </w:rPr>
        <w:t>Tasman MPS</w:t>
      </w:r>
    </w:p>
    <w:p w:rsidR="003F0DA9" w:rsidRPr="004C308D" w:rsidRDefault="003F0DA9" w:rsidP="004C308D">
      <w:pPr>
        <w:pStyle w:val="ListParagraph"/>
        <w:numPr>
          <w:ilvl w:val="0"/>
          <w:numId w:val="27"/>
        </w:numPr>
        <w:spacing w:after="140" w:line="300" w:lineRule="atLeast"/>
        <w:ind w:left="357" w:right="0" w:hanging="357"/>
        <w:jc w:val="left"/>
        <w:rPr>
          <w:rFonts w:ascii="Gill Sans MT" w:hAnsi="Gill Sans MT"/>
        </w:rPr>
      </w:pPr>
      <w:r w:rsidRPr="004C308D">
        <w:rPr>
          <w:rFonts w:ascii="Gill Sans MT" w:hAnsi="Gill Sans MT"/>
        </w:rPr>
        <w:t>Huon Eldercare</w:t>
      </w:r>
    </w:p>
    <w:p w:rsidR="003F0DA9" w:rsidRPr="0059579C" w:rsidRDefault="003F0DA9" w:rsidP="004C308D">
      <w:pPr>
        <w:pStyle w:val="ListParagraph"/>
        <w:numPr>
          <w:ilvl w:val="0"/>
          <w:numId w:val="27"/>
        </w:numPr>
        <w:spacing w:after="140" w:line="300" w:lineRule="atLeast"/>
        <w:ind w:left="357" w:right="0" w:hanging="357"/>
        <w:jc w:val="left"/>
      </w:pPr>
      <w:r w:rsidRPr="004C308D">
        <w:rPr>
          <w:rFonts w:ascii="Gill Sans MT" w:hAnsi="Gill Sans MT"/>
        </w:rPr>
        <w:t>Esperance MPC</w:t>
      </w:r>
    </w:p>
    <w:p w:rsidR="007A7728" w:rsidRPr="00FA155C" w:rsidRDefault="007A7728" w:rsidP="00EE2B3E">
      <w:pPr>
        <w:spacing w:after="140" w:line="300" w:lineRule="atLeast"/>
        <w:rPr>
          <w:b/>
        </w:rPr>
      </w:pPr>
      <w:r w:rsidRPr="00FA155C">
        <w:rPr>
          <w:b/>
        </w:rPr>
        <w:t>Community health and community care services</w:t>
      </w:r>
      <w:r w:rsidR="00A73DAC">
        <w:rPr>
          <w:b/>
          <w:vertAlign w:val="superscript"/>
        </w:rPr>
        <w:t>5</w:t>
      </w:r>
      <w:r w:rsidRPr="00FA155C">
        <w:rPr>
          <w:b/>
        </w:rPr>
        <w:t xml:space="preserve"> are located at/provided from the following locations</w:t>
      </w:r>
      <w:proofErr w:type="gramStart"/>
      <w:r w:rsidRPr="00FA155C">
        <w:rPr>
          <w:b/>
        </w:rPr>
        <w:t>:</w:t>
      </w:r>
      <w:r w:rsidR="00A73DAC">
        <w:rPr>
          <w:vertAlign w:val="superscript"/>
        </w:rPr>
        <w:t>6</w:t>
      </w:r>
      <w:proofErr w:type="gramEnd"/>
    </w:p>
    <w:p w:rsidR="003F0DA9" w:rsidRPr="004C308D" w:rsidRDefault="003F0DA9" w:rsidP="004C308D">
      <w:pPr>
        <w:pStyle w:val="ListParagraph"/>
        <w:numPr>
          <w:ilvl w:val="0"/>
          <w:numId w:val="27"/>
        </w:numPr>
        <w:spacing w:after="140" w:line="300" w:lineRule="atLeast"/>
        <w:ind w:left="357" w:right="0" w:hanging="357"/>
        <w:jc w:val="left"/>
        <w:rPr>
          <w:rFonts w:ascii="Gill Sans MT" w:hAnsi="Gill Sans MT"/>
        </w:rPr>
      </w:pPr>
      <w:r w:rsidRPr="004C308D">
        <w:rPr>
          <w:rFonts w:ascii="Gill Sans MT" w:hAnsi="Gill Sans MT"/>
        </w:rPr>
        <w:t>Brighton Community Health Centre</w:t>
      </w:r>
    </w:p>
    <w:p w:rsidR="003F0DA9" w:rsidRPr="004C308D" w:rsidRDefault="003F0DA9" w:rsidP="004C308D">
      <w:pPr>
        <w:pStyle w:val="ListParagraph"/>
        <w:numPr>
          <w:ilvl w:val="0"/>
          <w:numId w:val="27"/>
        </w:numPr>
        <w:spacing w:after="140" w:line="300" w:lineRule="atLeast"/>
        <w:ind w:left="357" w:right="0" w:hanging="357"/>
        <w:jc w:val="left"/>
        <w:rPr>
          <w:rFonts w:ascii="Gill Sans MT" w:hAnsi="Gill Sans MT"/>
        </w:rPr>
      </w:pPr>
      <w:proofErr w:type="spellStart"/>
      <w:r w:rsidRPr="004C308D">
        <w:rPr>
          <w:rFonts w:ascii="Gill Sans MT" w:hAnsi="Gill Sans MT"/>
        </w:rPr>
        <w:t>Bruny</w:t>
      </w:r>
      <w:proofErr w:type="spellEnd"/>
      <w:r w:rsidRPr="004C308D">
        <w:rPr>
          <w:rFonts w:ascii="Gill Sans MT" w:hAnsi="Gill Sans MT"/>
        </w:rPr>
        <w:t xml:space="preserve"> Island Community Health Centre</w:t>
      </w:r>
    </w:p>
    <w:p w:rsidR="003F0DA9" w:rsidRPr="004C308D" w:rsidRDefault="003F0DA9" w:rsidP="004C308D">
      <w:pPr>
        <w:pStyle w:val="ListParagraph"/>
        <w:numPr>
          <w:ilvl w:val="0"/>
          <w:numId w:val="27"/>
        </w:numPr>
        <w:spacing w:after="140" w:line="300" w:lineRule="atLeast"/>
        <w:ind w:left="357" w:right="0" w:hanging="357"/>
        <w:jc w:val="left"/>
        <w:rPr>
          <w:rFonts w:ascii="Gill Sans MT" w:hAnsi="Gill Sans MT"/>
        </w:rPr>
      </w:pPr>
      <w:r w:rsidRPr="004C308D">
        <w:rPr>
          <w:rFonts w:ascii="Gill Sans MT" w:hAnsi="Gill Sans MT"/>
        </w:rPr>
        <w:t>Central Highlands Community Health Centre</w:t>
      </w:r>
    </w:p>
    <w:p w:rsidR="003F0DA9" w:rsidRPr="004C308D" w:rsidRDefault="003F0DA9" w:rsidP="004C308D">
      <w:pPr>
        <w:pStyle w:val="ListParagraph"/>
        <w:numPr>
          <w:ilvl w:val="0"/>
          <w:numId w:val="27"/>
        </w:numPr>
        <w:spacing w:after="140" w:line="300" w:lineRule="atLeast"/>
        <w:ind w:left="357" w:right="0" w:hanging="357"/>
        <w:jc w:val="left"/>
        <w:rPr>
          <w:rFonts w:ascii="Gill Sans MT" w:hAnsi="Gill Sans MT"/>
        </w:rPr>
      </w:pPr>
      <w:r w:rsidRPr="004C308D">
        <w:rPr>
          <w:rFonts w:ascii="Gill Sans MT" w:hAnsi="Gill Sans MT"/>
        </w:rPr>
        <w:t>Clarence Plains Community Health Centre</w:t>
      </w:r>
    </w:p>
    <w:p w:rsidR="003F0DA9" w:rsidRPr="004C308D" w:rsidRDefault="003F0DA9" w:rsidP="004C308D">
      <w:pPr>
        <w:pStyle w:val="ListParagraph"/>
        <w:numPr>
          <w:ilvl w:val="0"/>
          <w:numId w:val="27"/>
        </w:numPr>
        <w:spacing w:after="140" w:line="300" w:lineRule="atLeast"/>
        <w:ind w:left="357" w:right="0" w:hanging="357"/>
        <w:jc w:val="left"/>
        <w:rPr>
          <w:rFonts w:ascii="Gill Sans MT" w:hAnsi="Gill Sans MT"/>
        </w:rPr>
      </w:pPr>
      <w:r w:rsidRPr="004C308D">
        <w:rPr>
          <w:rFonts w:ascii="Gill Sans MT" w:hAnsi="Gill Sans MT"/>
        </w:rPr>
        <w:t>Cygnet Community Health Centre</w:t>
      </w:r>
    </w:p>
    <w:p w:rsidR="003F0DA9" w:rsidRPr="004C308D" w:rsidRDefault="003F0DA9" w:rsidP="004C308D">
      <w:pPr>
        <w:pStyle w:val="ListParagraph"/>
        <w:numPr>
          <w:ilvl w:val="0"/>
          <w:numId w:val="27"/>
        </w:numPr>
        <w:spacing w:after="140" w:line="300" w:lineRule="atLeast"/>
        <w:ind w:left="357" w:right="0" w:hanging="357"/>
        <w:jc w:val="left"/>
        <w:rPr>
          <w:rFonts w:ascii="Gill Sans MT" w:hAnsi="Gill Sans MT"/>
        </w:rPr>
      </w:pPr>
      <w:proofErr w:type="spellStart"/>
      <w:r w:rsidRPr="004C308D">
        <w:rPr>
          <w:rFonts w:ascii="Gill Sans MT" w:hAnsi="Gill Sans MT"/>
        </w:rPr>
        <w:t>Glenorchy</w:t>
      </w:r>
      <w:proofErr w:type="spellEnd"/>
      <w:r w:rsidRPr="004C308D">
        <w:rPr>
          <w:rFonts w:ascii="Gill Sans MT" w:hAnsi="Gill Sans MT"/>
        </w:rPr>
        <w:t xml:space="preserve"> Community Health Centre</w:t>
      </w:r>
    </w:p>
    <w:p w:rsidR="003F0DA9" w:rsidRPr="004C308D" w:rsidRDefault="003F0DA9" w:rsidP="004C308D">
      <w:pPr>
        <w:pStyle w:val="ListParagraph"/>
        <w:numPr>
          <w:ilvl w:val="0"/>
          <w:numId w:val="27"/>
        </w:numPr>
        <w:spacing w:after="140" w:line="300" w:lineRule="atLeast"/>
        <w:ind w:left="357" w:right="0" w:hanging="357"/>
        <w:jc w:val="left"/>
        <w:rPr>
          <w:rFonts w:ascii="Gill Sans MT" w:hAnsi="Gill Sans MT"/>
        </w:rPr>
      </w:pPr>
      <w:proofErr w:type="spellStart"/>
      <w:r w:rsidRPr="004C308D">
        <w:rPr>
          <w:rFonts w:ascii="Gill Sans MT" w:hAnsi="Gill Sans MT"/>
        </w:rPr>
        <w:t>Huonville</w:t>
      </w:r>
      <w:proofErr w:type="spellEnd"/>
      <w:r w:rsidRPr="004C308D">
        <w:rPr>
          <w:rFonts w:ascii="Gill Sans MT" w:hAnsi="Gill Sans MT"/>
        </w:rPr>
        <w:t xml:space="preserve"> Community Health Centre</w:t>
      </w:r>
    </w:p>
    <w:p w:rsidR="003F0DA9" w:rsidRPr="004C308D" w:rsidRDefault="003F0DA9" w:rsidP="004C308D">
      <w:pPr>
        <w:pStyle w:val="ListParagraph"/>
        <w:numPr>
          <w:ilvl w:val="0"/>
          <w:numId w:val="27"/>
        </w:numPr>
        <w:spacing w:after="140" w:line="300" w:lineRule="atLeast"/>
        <w:ind w:left="357" w:right="0" w:hanging="357"/>
        <w:jc w:val="left"/>
        <w:rPr>
          <w:rFonts w:ascii="Gill Sans MT" w:hAnsi="Gill Sans MT"/>
        </w:rPr>
      </w:pPr>
      <w:r w:rsidRPr="004C308D">
        <w:rPr>
          <w:rFonts w:ascii="Gill Sans MT" w:hAnsi="Gill Sans MT"/>
        </w:rPr>
        <w:t>New Norfolk Community Centre</w:t>
      </w:r>
    </w:p>
    <w:p w:rsidR="003F0DA9" w:rsidRPr="004C308D" w:rsidRDefault="003F0DA9" w:rsidP="004C308D">
      <w:pPr>
        <w:pStyle w:val="ListParagraph"/>
        <w:numPr>
          <w:ilvl w:val="0"/>
          <w:numId w:val="27"/>
        </w:numPr>
        <w:spacing w:after="140" w:line="300" w:lineRule="atLeast"/>
        <w:ind w:left="357" w:right="0" w:hanging="357"/>
        <w:jc w:val="left"/>
        <w:rPr>
          <w:rFonts w:ascii="Gill Sans MT" w:hAnsi="Gill Sans MT"/>
        </w:rPr>
      </w:pPr>
      <w:r w:rsidRPr="004C308D">
        <w:rPr>
          <w:rFonts w:ascii="Gill Sans MT" w:hAnsi="Gill Sans MT"/>
        </w:rPr>
        <w:t>Risdon Vale Community Health Centre</w:t>
      </w:r>
    </w:p>
    <w:p w:rsidR="003F0DA9" w:rsidRPr="004C308D" w:rsidRDefault="003F0DA9" w:rsidP="004C308D">
      <w:pPr>
        <w:pStyle w:val="ListParagraph"/>
        <w:numPr>
          <w:ilvl w:val="0"/>
          <w:numId w:val="27"/>
        </w:numPr>
        <w:spacing w:after="140" w:line="300" w:lineRule="atLeast"/>
        <w:ind w:left="357" w:right="0" w:hanging="357"/>
        <w:jc w:val="left"/>
        <w:rPr>
          <w:rFonts w:ascii="Gill Sans MT" w:hAnsi="Gill Sans MT"/>
        </w:rPr>
      </w:pPr>
      <w:proofErr w:type="spellStart"/>
      <w:r w:rsidRPr="004C308D">
        <w:rPr>
          <w:rFonts w:ascii="Gill Sans MT" w:hAnsi="Gill Sans MT"/>
        </w:rPr>
        <w:t>Sorell</w:t>
      </w:r>
      <w:proofErr w:type="spellEnd"/>
      <w:r w:rsidRPr="004C308D">
        <w:rPr>
          <w:rFonts w:ascii="Gill Sans MT" w:hAnsi="Gill Sans MT"/>
        </w:rPr>
        <w:t xml:space="preserve"> Community Health Centre</w:t>
      </w:r>
    </w:p>
    <w:p w:rsidR="003F0DA9" w:rsidRPr="004C308D" w:rsidRDefault="003F0DA9" w:rsidP="004C308D">
      <w:pPr>
        <w:pStyle w:val="ListParagraph"/>
        <w:numPr>
          <w:ilvl w:val="0"/>
          <w:numId w:val="27"/>
        </w:numPr>
        <w:spacing w:after="140" w:line="300" w:lineRule="atLeast"/>
        <w:ind w:left="357" w:right="0" w:hanging="357"/>
        <w:jc w:val="left"/>
        <w:rPr>
          <w:rFonts w:ascii="Gill Sans MT" w:hAnsi="Gill Sans MT"/>
        </w:rPr>
      </w:pPr>
      <w:r w:rsidRPr="004C308D">
        <w:rPr>
          <w:rFonts w:ascii="Gill Sans MT" w:hAnsi="Gill Sans MT"/>
        </w:rPr>
        <w:t>Spring Bay Community and Health Centre</w:t>
      </w:r>
    </w:p>
    <w:p w:rsidR="003F0DA9" w:rsidRPr="004C308D" w:rsidRDefault="003F0DA9" w:rsidP="004C308D">
      <w:pPr>
        <w:pStyle w:val="ListParagraph"/>
        <w:numPr>
          <w:ilvl w:val="0"/>
          <w:numId w:val="27"/>
        </w:numPr>
        <w:spacing w:after="140" w:line="300" w:lineRule="atLeast"/>
        <w:ind w:left="357" w:right="0" w:hanging="357"/>
        <w:jc w:val="left"/>
        <w:rPr>
          <w:rFonts w:ascii="Gill Sans MT" w:hAnsi="Gill Sans MT"/>
        </w:rPr>
      </w:pPr>
      <w:r w:rsidRPr="004C308D">
        <w:rPr>
          <w:rFonts w:ascii="Gill Sans MT" w:hAnsi="Gill Sans MT"/>
        </w:rPr>
        <w:t>Swansea Community Health Centre</w:t>
      </w:r>
    </w:p>
    <w:p w:rsidR="003F0DA9" w:rsidRPr="004C308D" w:rsidRDefault="003F0DA9" w:rsidP="004C308D">
      <w:pPr>
        <w:pStyle w:val="ListParagraph"/>
        <w:numPr>
          <w:ilvl w:val="0"/>
          <w:numId w:val="27"/>
        </w:numPr>
        <w:spacing w:after="140" w:line="300" w:lineRule="atLeast"/>
        <w:ind w:left="357" w:right="0" w:hanging="357"/>
        <w:jc w:val="left"/>
        <w:rPr>
          <w:rFonts w:ascii="Gill Sans MT" w:hAnsi="Gill Sans MT"/>
        </w:rPr>
      </w:pPr>
      <w:r w:rsidRPr="004C308D">
        <w:rPr>
          <w:rFonts w:ascii="Gill Sans MT" w:hAnsi="Gill Sans MT"/>
        </w:rPr>
        <w:t>Kingston Community Health Centre</w:t>
      </w:r>
    </w:p>
    <w:p w:rsidR="003F0DA9" w:rsidRPr="004C308D" w:rsidRDefault="003F0DA9" w:rsidP="004C308D">
      <w:pPr>
        <w:pStyle w:val="ListParagraph"/>
        <w:numPr>
          <w:ilvl w:val="0"/>
          <w:numId w:val="27"/>
        </w:numPr>
        <w:spacing w:after="140" w:line="300" w:lineRule="atLeast"/>
        <w:ind w:left="357" w:right="0" w:hanging="357"/>
        <w:jc w:val="left"/>
        <w:rPr>
          <w:rFonts w:ascii="Gill Sans MT" w:hAnsi="Gill Sans MT"/>
        </w:rPr>
      </w:pPr>
      <w:r w:rsidRPr="004C308D">
        <w:rPr>
          <w:rFonts w:ascii="Gill Sans MT" w:hAnsi="Gill Sans MT"/>
        </w:rPr>
        <w:t>Launceston Community Health Centre</w:t>
      </w:r>
    </w:p>
    <w:p w:rsidR="003F0DA9" w:rsidRPr="004C308D" w:rsidRDefault="003F0DA9" w:rsidP="004C308D">
      <w:pPr>
        <w:pStyle w:val="ListParagraph"/>
        <w:numPr>
          <w:ilvl w:val="0"/>
          <w:numId w:val="27"/>
        </w:numPr>
        <w:spacing w:after="140" w:line="300" w:lineRule="atLeast"/>
        <w:ind w:left="357" w:right="0" w:hanging="357"/>
        <w:jc w:val="left"/>
        <w:rPr>
          <w:rFonts w:ascii="Gill Sans MT" w:hAnsi="Gill Sans MT"/>
        </w:rPr>
      </w:pPr>
      <w:r w:rsidRPr="004C308D">
        <w:rPr>
          <w:rFonts w:ascii="Gill Sans MT" w:hAnsi="Gill Sans MT"/>
        </w:rPr>
        <w:t>Ravenswood Community Health Centre</w:t>
      </w:r>
    </w:p>
    <w:p w:rsidR="003F0DA9" w:rsidRPr="004C308D" w:rsidRDefault="003F0DA9" w:rsidP="004C308D">
      <w:pPr>
        <w:pStyle w:val="ListParagraph"/>
        <w:numPr>
          <w:ilvl w:val="0"/>
          <w:numId w:val="27"/>
        </w:numPr>
        <w:spacing w:after="140" w:line="300" w:lineRule="atLeast"/>
        <w:ind w:left="357" w:right="0" w:hanging="357"/>
        <w:jc w:val="left"/>
        <w:rPr>
          <w:rFonts w:ascii="Gill Sans MT" w:hAnsi="Gill Sans MT"/>
        </w:rPr>
      </w:pPr>
      <w:r w:rsidRPr="004C308D">
        <w:rPr>
          <w:rFonts w:ascii="Gill Sans MT" w:hAnsi="Gill Sans MT"/>
        </w:rPr>
        <w:t>Westbury Community Health Centre</w:t>
      </w:r>
    </w:p>
    <w:p w:rsidR="003F0DA9" w:rsidRPr="004C308D" w:rsidRDefault="003F0DA9" w:rsidP="004C308D">
      <w:pPr>
        <w:pStyle w:val="ListParagraph"/>
        <w:numPr>
          <w:ilvl w:val="0"/>
          <w:numId w:val="27"/>
        </w:numPr>
        <w:spacing w:after="140" w:line="300" w:lineRule="atLeast"/>
        <w:ind w:left="357" w:right="0" w:hanging="357"/>
        <w:jc w:val="left"/>
        <w:rPr>
          <w:rFonts w:ascii="Gill Sans MT" w:hAnsi="Gill Sans MT"/>
        </w:rPr>
      </w:pPr>
      <w:r w:rsidRPr="004C308D">
        <w:rPr>
          <w:rFonts w:ascii="Gill Sans MT" w:hAnsi="Gill Sans MT"/>
        </w:rPr>
        <w:t xml:space="preserve">St </w:t>
      </w:r>
      <w:proofErr w:type="spellStart"/>
      <w:r w:rsidRPr="004C308D">
        <w:rPr>
          <w:rFonts w:ascii="Gill Sans MT" w:hAnsi="Gill Sans MT"/>
        </w:rPr>
        <w:t>Marys</w:t>
      </w:r>
      <w:proofErr w:type="spellEnd"/>
      <w:r w:rsidRPr="004C308D">
        <w:rPr>
          <w:rFonts w:ascii="Gill Sans MT" w:hAnsi="Gill Sans MT"/>
        </w:rPr>
        <w:t xml:space="preserve"> Community Health Centre</w:t>
      </w:r>
    </w:p>
    <w:p w:rsidR="003F0DA9" w:rsidRPr="004C308D" w:rsidRDefault="003F0DA9" w:rsidP="004C308D">
      <w:pPr>
        <w:pStyle w:val="ListParagraph"/>
        <w:numPr>
          <w:ilvl w:val="0"/>
          <w:numId w:val="27"/>
        </w:numPr>
        <w:spacing w:after="140" w:line="300" w:lineRule="atLeast"/>
        <w:ind w:left="357" w:right="0" w:hanging="357"/>
        <w:jc w:val="left"/>
        <w:rPr>
          <w:rFonts w:ascii="Gill Sans MT" w:hAnsi="Gill Sans MT"/>
        </w:rPr>
      </w:pPr>
      <w:r w:rsidRPr="004C308D">
        <w:rPr>
          <w:rFonts w:ascii="Gill Sans MT" w:hAnsi="Gill Sans MT"/>
        </w:rPr>
        <w:t>Devonport Community Health Centre</w:t>
      </w:r>
    </w:p>
    <w:p w:rsidR="003F0DA9" w:rsidRPr="004C308D" w:rsidRDefault="003F0DA9" w:rsidP="004C308D">
      <w:pPr>
        <w:pStyle w:val="ListParagraph"/>
        <w:numPr>
          <w:ilvl w:val="0"/>
          <w:numId w:val="27"/>
        </w:numPr>
        <w:spacing w:after="140" w:line="300" w:lineRule="atLeast"/>
        <w:ind w:left="357" w:right="0" w:hanging="357"/>
        <w:jc w:val="left"/>
        <w:rPr>
          <w:rFonts w:ascii="Gill Sans MT" w:hAnsi="Gill Sans MT"/>
        </w:rPr>
      </w:pPr>
      <w:r w:rsidRPr="004C308D">
        <w:rPr>
          <w:rFonts w:ascii="Gill Sans MT" w:hAnsi="Gill Sans MT"/>
        </w:rPr>
        <w:t>Central Coast Community Health Centre</w:t>
      </w:r>
    </w:p>
    <w:p w:rsidR="003F0DA9" w:rsidRPr="004C308D" w:rsidRDefault="003F0DA9" w:rsidP="004C308D">
      <w:pPr>
        <w:pStyle w:val="ListParagraph"/>
        <w:numPr>
          <w:ilvl w:val="0"/>
          <w:numId w:val="27"/>
        </w:numPr>
        <w:spacing w:after="140" w:line="300" w:lineRule="atLeast"/>
        <w:ind w:left="357" w:right="0" w:hanging="357"/>
        <w:jc w:val="left"/>
        <w:rPr>
          <w:rFonts w:ascii="Gill Sans MT" w:hAnsi="Gill Sans MT"/>
        </w:rPr>
      </w:pPr>
      <w:r w:rsidRPr="004C308D">
        <w:rPr>
          <w:rFonts w:ascii="Gill Sans MT" w:hAnsi="Gill Sans MT"/>
        </w:rPr>
        <w:t>Burnie Community Health Centre</w:t>
      </w:r>
    </w:p>
    <w:p w:rsidR="003F0DA9" w:rsidRPr="004C308D" w:rsidRDefault="003F0DA9" w:rsidP="004C308D">
      <w:pPr>
        <w:pStyle w:val="ListParagraph"/>
        <w:numPr>
          <w:ilvl w:val="0"/>
          <w:numId w:val="27"/>
        </w:numPr>
        <w:spacing w:after="140" w:line="300" w:lineRule="atLeast"/>
        <w:ind w:left="357" w:right="0" w:hanging="357"/>
        <w:jc w:val="left"/>
        <w:rPr>
          <w:rFonts w:ascii="Gill Sans MT" w:hAnsi="Gill Sans MT"/>
        </w:rPr>
      </w:pPr>
      <w:r w:rsidRPr="004C308D">
        <w:rPr>
          <w:rFonts w:ascii="Gill Sans MT" w:hAnsi="Gill Sans MT"/>
        </w:rPr>
        <w:t>James Muir Community Health Centre</w:t>
      </w:r>
    </w:p>
    <w:p w:rsidR="003F0DA9" w:rsidRPr="004C308D" w:rsidRDefault="003F0DA9" w:rsidP="004C308D">
      <w:pPr>
        <w:pStyle w:val="ListParagraph"/>
        <w:numPr>
          <w:ilvl w:val="0"/>
          <w:numId w:val="27"/>
        </w:numPr>
        <w:spacing w:after="140" w:line="300" w:lineRule="atLeast"/>
        <w:ind w:left="357" w:right="0" w:hanging="357"/>
        <w:jc w:val="left"/>
        <w:rPr>
          <w:rFonts w:ascii="Gill Sans MT" w:hAnsi="Gill Sans MT"/>
        </w:rPr>
      </w:pPr>
      <w:r w:rsidRPr="004C308D">
        <w:rPr>
          <w:rFonts w:ascii="Gill Sans MT" w:hAnsi="Gill Sans MT"/>
        </w:rPr>
        <w:t>West Coast Community Health  Services</w:t>
      </w:r>
    </w:p>
    <w:p w:rsidR="007A7728" w:rsidRPr="00FA155C" w:rsidRDefault="007A7728" w:rsidP="00EE2B3E">
      <w:pPr>
        <w:spacing w:after="140" w:line="300" w:lineRule="atLeast"/>
        <w:rPr>
          <w:b/>
        </w:rPr>
      </w:pPr>
      <w:r w:rsidRPr="00FA155C">
        <w:rPr>
          <w:b/>
        </w:rPr>
        <w:t>Residential aged care services at the following locations</w:t>
      </w:r>
      <w:proofErr w:type="gramStart"/>
      <w:r w:rsidRPr="00FA155C">
        <w:rPr>
          <w:b/>
        </w:rPr>
        <w:t>:</w:t>
      </w:r>
      <w:r w:rsidR="00A73DAC">
        <w:rPr>
          <w:vertAlign w:val="superscript"/>
        </w:rPr>
        <w:t>7</w:t>
      </w:r>
      <w:proofErr w:type="gramEnd"/>
    </w:p>
    <w:p w:rsidR="00196E5D" w:rsidRPr="004C308D" w:rsidRDefault="00196E5D" w:rsidP="004C308D">
      <w:pPr>
        <w:pStyle w:val="ListParagraph"/>
        <w:numPr>
          <w:ilvl w:val="0"/>
          <w:numId w:val="27"/>
        </w:numPr>
        <w:spacing w:after="140" w:line="300" w:lineRule="atLeast"/>
        <w:ind w:left="357" w:right="0" w:hanging="357"/>
        <w:jc w:val="left"/>
        <w:rPr>
          <w:rFonts w:ascii="Gill Sans MT" w:hAnsi="Gill Sans MT"/>
        </w:rPr>
      </w:pPr>
      <w:r w:rsidRPr="004C308D">
        <w:rPr>
          <w:rFonts w:ascii="Gill Sans MT" w:hAnsi="Gill Sans MT"/>
        </w:rPr>
        <w:t>Beaconsfield District Health Service</w:t>
      </w:r>
    </w:p>
    <w:p w:rsidR="00196E5D" w:rsidRPr="004C308D" w:rsidRDefault="00196E5D" w:rsidP="004C308D">
      <w:pPr>
        <w:pStyle w:val="ListParagraph"/>
        <w:numPr>
          <w:ilvl w:val="0"/>
          <w:numId w:val="27"/>
        </w:numPr>
        <w:spacing w:after="140" w:line="300" w:lineRule="atLeast"/>
        <w:ind w:left="357" w:right="0" w:hanging="357"/>
        <w:jc w:val="left"/>
        <w:rPr>
          <w:rFonts w:ascii="Gill Sans MT" w:hAnsi="Gill Sans MT"/>
        </w:rPr>
      </w:pPr>
      <w:r w:rsidRPr="004C308D">
        <w:rPr>
          <w:rFonts w:ascii="Gill Sans MT" w:hAnsi="Gill Sans MT"/>
        </w:rPr>
        <w:t>Campbell Town Multi-Purpose Health Service</w:t>
      </w:r>
    </w:p>
    <w:p w:rsidR="00A816FF" w:rsidRPr="004C308D" w:rsidRDefault="00A816FF" w:rsidP="004C308D">
      <w:pPr>
        <w:pStyle w:val="ListParagraph"/>
        <w:numPr>
          <w:ilvl w:val="0"/>
          <w:numId w:val="27"/>
        </w:numPr>
        <w:spacing w:after="140" w:line="300" w:lineRule="atLeast"/>
        <w:ind w:left="357" w:right="0" w:hanging="357"/>
        <w:jc w:val="left"/>
        <w:rPr>
          <w:rFonts w:ascii="Gill Sans MT" w:hAnsi="Gill Sans MT"/>
        </w:rPr>
      </w:pPr>
      <w:r w:rsidRPr="004C308D">
        <w:rPr>
          <w:rFonts w:ascii="Gill Sans MT" w:hAnsi="Gill Sans MT"/>
        </w:rPr>
        <w:t>Midlands Multi</w:t>
      </w:r>
      <w:r w:rsidR="00067647" w:rsidRPr="004C308D">
        <w:rPr>
          <w:rFonts w:ascii="Gill Sans MT" w:hAnsi="Gill Sans MT"/>
        </w:rPr>
        <w:t>-Purpose Health Centre</w:t>
      </w:r>
    </w:p>
    <w:p w:rsidR="00A816FF" w:rsidRPr="004C308D" w:rsidRDefault="00A816FF" w:rsidP="004C308D">
      <w:pPr>
        <w:pStyle w:val="ListParagraph"/>
        <w:numPr>
          <w:ilvl w:val="0"/>
          <w:numId w:val="27"/>
        </w:numPr>
        <w:spacing w:after="140" w:line="300" w:lineRule="atLeast"/>
        <w:ind w:left="357" w:right="0" w:hanging="357"/>
        <w:jc w:val="left"/>
        <w:rPr>
          <w:rFonts w:ascii="Gill Sans MT" w:hAnsi="Gill Sans MT"/>
        </w:rPr>
      </w:pPr>
      <w:r w:rsidRPr="004C308D">
        <w:rPr>
          <w:rFonts w:ascii="Gill Sans MT" w:hAnsi="Gill Sans MT"/>
        </w:rPr>
        <w:t>West Coast District Hospital</w:t>
      </w:r>
    </w:p>
    <w:p w:rsidR="00196E5D" w:rsidRPr="004C308D" w:rsidRDefault="00196E5D" w:rsidP="004C308D">
      <w:pPr>
        <w:pStyle w:val="ListParagraph"/>
        <w:numPr>
          <w:ilvl w:val="0"/>
          <w:numId w:val="27"/>
        </w:numPr>
        <w:spacing w:after="140" w:line="300" w:lineRule="atLeast"/>
        <w:ind w:left="357" w:right="0" w:hanging="357"/>
        <w:jc w:val="left"/>
        <w:rPr>
          <w:rFonts w:ascii="Gill Sans MT" w:hAnsi="Gill Sans MT"/>
        </w:rPr>
      </w:pPr>
      <w:r w:rsidRPr="004C308D">
        <w:rPr>
          <w:rFonts w:ascii="Gill Sans MT" w:hAnsi="Gill Sans MT"/>
        </w:rPr>
        <w:t>Flinders Island Multi-Purpose Centre</w:t>
      </w:r>
    </w:p>
    <w:p w:rsidR="00847FA9" w:rsidRPr="004C308D" w:rsidRDefault="00196E5D" w:rsidP="004C308D">
      <w:pPr>
        <w:pStyle w:val="ListParagraph"/>
        <w:numPr>
          <w:ilvl w:val="0"/>
          <w:numId w:val="27"/>
        </w:numPr>
        <w:spacing w:after="140" w:line="300" w:lineRule="atLeast"/>
        <w:ind w:left="357" w:right="0" w:hanging="357"/>
        <w:jc w:val="left"/>
        <w:rPr>
          <w:rFonts w:ascii="Gill Sans MT" w:hAnsi="Gill Sans MT"/>
        </w:rPr>
      </w:pPr>
      <w:r w:rsidRPr="004C308D">
        <w:rPr>
          <w:rFonts w:ascii="Gill Sans MT" w:hAnsi="Gill Sans MT"/>
        </w:rPr>
        <w:t>King Island Hospital and Community</w:t>
      </w:r>
      <w:r w:rsidR="007E39DF">
        <w:rPr>
          <w:rFonts w:ascii="Gill Sans MT" w:hAnsi="Gill Sans MT"/>
        </w:rPr>
        <w:t xml:space="preserve"> Centre</w:t>
      </w:r>
    </w:p>
    <w:p w:rsidR="007A7728" w:rsidRPr="00FA155C" w:rsidRDefault="007A7728" w:rsidP="00EE2B3E">
      <w:pPr>
        <w:spacing w:after="140" w:line="300" w:lineRule="atLeast"/>
        <w:rPr>
          <w:b/>
        </w:rPr>
      </w:pPr>
      <w:r w:rsidRPr="00FA155C">
        <w:rPr>
          <w:b/>
        </w:rPr>
        <w:t>Adult Day Centres at the following locations</w:t>
      </w:r>
      <w:proofErr w:type="gramStart"/>
      <w:r w:rsidRPr="00FA155C">
        <w:rPr>
          <w:b/>
        </w:rPr>
        <w:t>:</w:t>
      </w:r>
      <w:r w:rsidR="00A73DAC">
        <w:rPr>
          <w:vertAlign w:val="superscript"/>
        </w:rPr>
        <w:t>8</w:t>
      </w:r>
      <w:proofErr w:type="gramEnd"/>
    </w:p>
    <w:p w:rsidR="00196E5D" w:rsidRPr="004C308D" w:rsidRDefault="00196E5D" w:rsidP="004C308D">
      <w:pPr>
        <w:pStyle w:val="ListParagraph"/>
        <w:numPr>
          <w:ilvl w:val="0"/>
          <w:numId w:val="27"/>
        </w:numPr>
        <w:spacing w:after="140" w:line="300" w:lineRule="atLeast"/>
        <w:ind w:left="357" w:right="0" w:hanging="357"/>
        <w:jc w:val="left"/>
        <w:rPr>
          <w:rFonts w:ascii="Gill Sans MT" w:hAnsi="Gill Sans MT"/>
        </w:rPr>
      </w:pPr>
      <w:r w:rsidRPr="004C308D">
        <w:rPr>
          <w:rFonts w:ascii="Gill Sans MT" w:hAnsi="Gill Sans MT"/>
        </w:rPr>
        <w:t>Beaconsfield District Health Service</w:t>
      </w:r>
    </w:p>
    <w:p w:rsidR="00196E5D" w:rsidRPr="004C308D" w:rsidRDefault="00196E5D" w:rsidP="004C308D">
      <w:pPr>
        <w:pStyle w:val="ListParagraph"/>
        <w:numPr>
          <w:ilvl w:val="0"/>
          <w:numId w:val="27"/>
        </w:numPr>
        <w:spacing w:after="140" w:line="300" w:lineRule="atLeast"/>
        <w:ind w:left="357" w:right="0" w:hanging="357"/>
        <w:jc w:val="left"/>
        <w:rPr>
          <w:rFonts w:ascii="Gill Sans MT" w:hAnsi="Gill Sans MT"/>
        </w:rPr>
      </w:pPr>
      <w:r w:rsidRPr="004C308D">
        <w:rPr>
          <w:rFonts w:ascii="Gill Sans MT" w:hAnsi="Gill Sans MT"/>
        </w:rPr>
        <w:t>Westbury Community Health Centre</w:t>
      </w:r>
    </w:p>
    <w:p w:rsidR="00196E5D" w:rsidRPr="004C308D" w:rsidRDefault="00196E5D" w:rsidP="004C308D">
      <w:pPr>
        <w:pStyle w:val="ListParagraph"/>
        <w:numPr>
          <w:ilvl w:val="0"/>
          <w:numId w:val="27"/>
        </w:numPr>
        <w:spacing w:after="140" w:line="300" w:lineRule="atLeast"/>
        <w:ind w:left="357" w:right="0" w:hanging="357"/>
        <w:jc w:val="left"/>
        <w:rPr>
          <w:rFonts w:ascii="Gill Sans MT" w:hAnsi="Gill Sans MT"/>
        </w:rPr>
      </w:pPr>
      <w:r w:rsidRPr="004C308D">
        <w:rPr>
          <w:rFonts w:ascii="Gill Sans MT" w:hAnsi="Gill Sans MT"/>
        </w:rPr>
        <w:t>Campbell Town Health Service</w:t>
      </w:r>
    </w:p>
    <w:p w:rsidR="00196E5D" w:rsidRPr="004C308D" w:rsidRDefault="00196E5D" w:rsidP="004C308D">
      <w:pPr>
        <w:pStyle w:val="ListParagraph"/>
        <w:numPr>
          <w:ilvl w:val="0"/>
          <w:numId w:val="27"/>
        </w:numPr>
        <w:spacing w:after="140" w:line="300" w:lineRule="atLeast"/>
        <w:ind w:left="357" w:right="0" w:hanging="357"/>
        <w:jc w:val="left"/>
        <w:rPr>
          <w:rFonts w:ascii="Gill Sans MT" w:hAnsi="Gill Sans MT"/>
        </w:rPr>
      </w:pPr>
      <w:r w:rsidRPr="004C308D">
        <w:rPr>
          <w:rFonts w:ascii="Gill Sans MT" w:hAnsi="Gill Sans MT"/>
        </w:rPr>
        <w:t>Latrobe</w:t>
      </w:r>
    </w:p>
    <w:p w:rsidR="00196E5D" w:rsidRPr="004C308D" w:rsidRDefault="00196E5D" w:rsidP="004C308D">
      <w:pPr>
        <w:pStyle w:val="ListParagraph"/>
        <w:numPr>
          <w:ilvl w:val="0"/>
          <w:numId w:val="27"/>
        </w:numPr>
        <w:spacing w:after="140" w:line="300" w:lineRule="atLeast"/>
        <w:ind w:left="357" w:right="0" w:hanging="357"/>
        <w:jc w:val="left"/>
        <w:rPr>
          <w:rFonts w:ascii="Gill Sans MT" w:hAnsi="Gill Sans MT"/>
        </w:rPr>
      </w:pPr>
      <w:r w:rsidRPr="004C308D">
        <w:rPr>
          <w:rFonts w:ascii="Gill Sans MT" w:hAnsi="Gill Sans MT"/>
        </w:rPr>
        <w:t>King Island MPC</w:t>
      </w:r>
    </w:p>
    <w:p w:rsidR="00196E5D" w:rsidRPr="004C308D" w:rsidRDefault="00196E5D" w:rsidP="004C308D">
      <w:pPr>
        <w:pStyle w:val="ListParagraph"/>
        <w:numPr>
          <w:ilvl w:val="0"/>
          <w:numId w:val="27"/>
        </w:numPr>
        <w:spacing w:after="140" w:line="300" w:lineRule="atLeast"/>
        <w:ind w:left="357" w:right="0" w:hanging="357"/>
        <w:jc w:val="left"/>
        <w:rPr>
          <w:rFonts w:ascii="Gill Sans MT" w:hAnsi="Gill Sans MT"/>
        </w:rPr>
      </w:pPr>
      <w:proofErr w:type="spellStart"/>
      <w:r w:rsidRPr="004C308D">
        <w:rPr>
          <w:rFonts w:ascii="Gill Sans MT" w:hAnsi="Gill Sans MT"/>
        </w:rPr>
        <w:t>HealthWest</w:t>
      </w:r>
      <w:proofErr w:type="spellEnd"/>
      <w:r w:rsidRPr="004C308D">
        <w:rPr>
          <w:rFonts w:ascii="Gill Sans MT" w:hAnsi="Gill Sans MT"/>
        </w:rPr>
        <w:t xml:space="preserve"> (Queenstown, Rosebery)</w:t>
      </w:r>
    </w:p>
    <w:p w:rsidR="00196E5D" w:rsidRPr="004C308D" w:rsidRDefault="00196E5D" w:rsidP="004C308D">
      <w:pPr>
        <w:pStyle w:val="ListParagraph"/>
        <w:numPr>
          <w:ilvl w:val="0"/>
          <w:numId w:val="27"/>
        </w:numPr>
        <w:spacing w:after="140" w:line="300" w:lineRule="atLeast"/>
        <w:ind w:left="357" w:right="0" w:hanging="357"/>
        <w:jc w:val="left"/>
        <w:rPr>
          <w:rFonts w:ascii="Gill Sans MT" w:hAnsi="Gill Sans MT"/>
        </w:rPr>
      </w:pPr>
      <w:r w:rsidRPr="004C308D">
        <w:rPr>
          <w:rFonts w:ascii="Gill Sans MT" w:hAnsi="Gill Sans MT"/>
        </w:rPr>
        <w:t>Wynyard</w:t>
      </w:r>
    </w:p>
    <w:p w:rsidR="00196E5D" w:rsidRPr="004C308D" w:rsidRDefault="00196E5D" w:rsidP="004C308D">
      <w:pPr>
        <w:pStyle w:val="ListParagraph"/>
        <w:numPr>
          <w:ilvl w:val="0"/>
          <w:numId w:val="27"/>
        </w:numPr>
        <w:spacing w:after="140" w:line="300" w:lineRule="atLeast"/>
        <w:ind w:left="357" w:right="0" w:hanging="357"/>
        <w:jc w:val="left"/>
        <w:rPr>
          <w:rFonts w:ascii="Gill Sans MT" w:hAnsi="Gill Sans MT"/>
        </w:rPr>
      </w:pPr>
      <w:proofErr w:type="spellStart"/>
      <w:r w:rsidRPr="004C308D">
        <w:rPr>
          <w:rFonts w:ascii="Gill Sans MT" w:hAnsi="Gill Sans MT"/>
        </w:rPr>
        <w:t>Ulverstone</w:t>
      </w:r>
      <w:proofErr w:type="spellEnd"/>
    </w:p>
    <w:p w:rsidR="007A7728" w:rsidRPr="00FA155C" w:rsidRDefault="007A7728" w:rsidP="00EE2B3E">
      <w:pPr>
        <w:spacing w:after="140" w:line="300" w:lineRule="atLeast"/>
      </w:pPr>
      <w:r w:rsidRPr="00FA155C">
        <w:rPr>
          <w:b/>
        </w:rPr>
        <w:t xml:space="preserve">Integrated Care Centres (ICCs) at the following locations: </w:t>
      </w:r>
    </w:p>
    <w:p w:rsidR="007A7728" w:rsidRPr="004C308D" w:rsidRDefault="007A7728" w:rsidP="004C308D">
      <w:pPr>
        <w:pStyle w:val="ListParagraph"/>
        <w:numPr>
          <w:ilvl w:val="0"/>
          <w:numId w:val="27"/>
        </w:numPr>
        <w:spacing w:after="140" w:line="300" w:lineRule="atLeast"/>
        <w:ind w:left="357" w:right="0" w:hanging="357"/>
        <w:jc w:val="left"/>
        <w:rPr>
          <w:rFonts w:ascii="Gill Sans MT" w:hAnsi="Gill Sans MT"/>
        </w:rPr>
      </w:pPr>
      <w:r w:rsidRPr="004C308D">
        <w:rPr>
          <w:rFonts w:ascii="Gill Sans MT" w:hAnsi="Gill Sans MT"/>
        </w:rPr>
        <w:t xml:space="preserve">Clarence ICC, </w:t>
      </w:r>
      <w:proofErr w:type="spellStart"/>
      <w:r w:rsidRPr="004C308D">
        <w:rPr>
          <w:rFonts w:ascii="Gill Sans MT" w:hAnsi="Gill Sans MT"/>
        </w:rPr>
        <w:t>Rosny</w:t>
      </w:r>
      <w:proofErr w:type="spellEnd"/>
    </w:p>
    <w:p w:rsidR="003F10A3" w:rsidRPr="004C308D" w:rsidRDefault="007A7728" w:rsidP="004C308D">
      <w:pPr>
        <w:pStyle w:val="ListParagraph"/>
        <w:numPr>
          <w:ilvl w:val="0"/>
          <w:numId w:val="27"/>
        </w:numPr>
        <w:spacing w:after="140" w:line="300" w:lineRule="atLeast"/>
        <w:ind w:left="357" w:right="0" w:hanging="357"/>
        <w:jc w:val="left"/>
        <w:rPr>
          <w:rFonts w:ascii="Gill Sans MT" w:hAnsi="Gill Sans MT"/>
        </w:rPr>
      </w:pPr>
      <w:r w:rsidRPr="004C308D">
        <w:rPr>
          <w:rFonts w:ascii="Gill Sans MT" w:hAnsi="Gill Sans MT"/>
        </w:rPr>
        <w:t>Northern Integrated Care Service (NICS), Launceston</w:t>
      </w:r>
    </w:p>
    <w:p w:rsidR="007A7728" w:rsidRPr="009D2115" w:rsidRDefault="00CE2487" w:rsidP="00EE2B3E">
      <w:pPr>
        <w:spacing w:after="140" w:line="300" w:lineRule="atLeast"/>
        <w:rPr>
          <w:b/>
          <w:sz w:val="28"/>
          <w:szCs w:val="28"/>
        </w:rPr>
      </w:pPr>
      <w:r>
        <w:rPr>
          <w:b/>
          <w:sz w:val="28"/>
          <w:szCs w:val="28"/>
        </w:rPr>
        <w:t>State</w:t>
      </w:r>
      <w:r w:rsidRPr="009D2115">
        <w:rPr>
          <w:b/>
          <w:sz w:val="28"/>
          <w:szCs w:val="28"/>
        </w:rPr>
        <w:t>-wide</w:t>
      </w:r>
      <w:r w:rsidR="007A7728" w:rsidRPr="009D2115">
        <w:rPr>
          <w:b/>
          <w:sz w:val="28"/>
          <w:szCs w:val="28"/>
        </w:rPr>
        <w:t xml:space="preserve"> Primary Health services</w:t>
      </w:r>
    </w:p>
    <w:p w:rsidR="008A0B87" w:rsidRPr="004C308D" w:rsidRDefault="003A6043" w:rsidP="004C308D">
      <w:pPr>
        <w:pStyle w:val="ListParagraph"/>
        <w:numPr>
          <w:ilvl w:val="0"/>
          <w:numId w:val="27"/>
        </w:numPr>
        <w:spacing w:after="140" w:line="300" w:lineRule="atLeast"/>
        <w:ind w:left="357" w:right="0" w:hanging="357"/>
        <w:jc w:val="left"/>
        <w:rPr>
          <w:rFonts w:ascii="Gill Sans MT" w:hAnsi="Gill Sans MT"/>
        </w:rPr>
      </w:pPr>
      <w:r w:rsidRPr="004C308D">
        <w:rPr>
          <w:rFonts w:ascii="Gill Sans MT" w:hAnsi="Gill Sans MT"/>
        </w:rPr>
        <w:t>Contracted medical services</w:t>
      </w:r>
      <w:r w:rsidR="00196E5D" w:rsidRPr="004C308D">
        <w:rPr>
          <w:rFonts w:ascii="Gill Sans MT" w:hAnsi="Gill Sans MT"/>
        </w:rPr>
        <w:t xml:space="preserve"> </w:t>
      </w:r>
    </w:p>
    <w:p w:rsidR="008A0B87" w:rsidRPr="004C308D" w:rsidRDefault="007A7728" w:rsidP="004C308D">
      <w:pPr>
        <w:pStyle w:val="ListParagraph"/>
        <w:numPr>
          <w:ilvl w:val="0"/>
          <w:numId w:val="27"/>
        </w:numPr>
        <w:spacing w:after="140" w:line="300" w:lineRule="atLeast"/>
        <w:ind w:left="357" w:right="0" w:hanging="357"/>
        <w:jc w:val="left"/>
        <w:rPr>
          <w:rFonts w:ascii="Gill Sans MT" w:hAnsi="Gill Sans MT"/>
        </w:rPr>
      </w:pPr>
      <w:r w:rsidRPr="004C308D">
        <w:rPr>
          <w:rFonts w:ascii="Gill Sans MT" w:hAnsi="Gill Sans MT"/>
        </w:rPr>
        <w:t>Health Promotion services</w:t>
      </w:r>
      <w:r w:rsidR="00196E5D" w:rsidRPr="004C308D">
        <w:rPr>
          <w:rFonts w:ascii="Gill Sans MT" w:hAnsi="Gill Sans MT"/>
        </w:rPr>
        <w:t xml:space="preserve"> </w:t>
      </w:r>
    </w:p>
    <w:p w:rsidR="008A0B87" w:rsidRPr="004C308D" w:rsidRDefault="007A7728" w:rsidP="004C308D">
      <w:pPr>
        <w:pStyle w:val="ListParagraph"/>
        <w:numPr>
          <w:ilvl w:val="0"/>
          <w:numId w:val="27"/>
        </w:numPr>
        <w:spacing w:after="140" w:line="300" w:lineRule="atLeast"/>
        <w:ind w:left="357" w:right="0" w:hanging="357"/>
        <w:jc w:val="left"/>
        <w:rPr>
          <w:rFonts w:ascii="Gill Sans MT" w:hAnsi="Gill Sans MT"/>
        </w:rPr>
      </w:pPr>
      <w:r w:rsidRPr="004C308D">
        <w:rPr>
          <w:rFonts w:ascii="Gill Sans MT" w:hAnsi="Gill Sans MT"/>
        </w:rPr>
        <w:t>Youth Health services</w:t>
      </w:r>
      <w:r w:rsidR="00196E5D" w:rsidRPr="004C308D">
        <w:rPr>
          <w:rFonts w:ascii="Gill Sans MT" w:hAnsi="Gill Sans MT"/>
        </w:rPr>
        <w:t xml:space="preserve"> </w:t>
      </w:r>
    </w:p>
    <w:p w:rsidR="008A0B87" w:rsidRPr="004C308D" w:rsidRDefault="007A7728" w:rsidP="004C308D">
      <w:pPr>
        <w:pStyle w:val="ListParagraph"/>
        <w:numPr>
          <w:ilvl w:val="0"/>
          <w:numId w:val="27"/>
        </w:numPr>
        <w:spacing w:after="140" w:line="300" w:lineRule="atLeast"/>
        <w:ind w:left="357" w:right="0" w:hanging="357"/>
        <w:jc w:val="left"/>
        <w:rPr>
          <w:rFonts w:ascii="Gill Sans MT" w:hAnsi="Gill Sans MT"/>
        </w:rPr>
      </w:pPr>
      <w:r w:rsidRPr="004C308D">
        <w:rPr>
          <w:rFonts w:ascii="Gill Sans MT" w:hAnsi="Gill Sans MT"/>
        </w:rPr>
        <w:t>Palliative Care Services</w:t>
      </w:r>
      <w:r w:rsidR="00196E5D" w:rsidRPr="004C308D">
        <w:rPr>
          <w:rFonts w:ascii="Gill Sans MT" w:hAnsi="Gill Sans MT"/>
        </w:rPr>
        <w:t xml:space="preserve"> </w:t>
      </w:r>
    </w:p>
    <w:p w:rsidR="008A0B87" w:rsidRPr="004C308D" w:rsidRDefault="007A7728" w:rsidP="004C308D">
      <w:pPr>
        <w:pStyle w:val="ListParagraph"/>
        <w:numPr>
          <w:ilvl w:val="0"/>
          <w:numId w:val="27"/>
        </w:numPr>
        <w:spacing w:after="140" w:line="300" w:lineRule="atLeast"/>
        <w:ind w:left="357" w:right="0" w:hanging="357"/>
        <w:jc w:val="left"/>
        <w:rPr>
          <w:rFonts w:ascii="Gill Sans MT" w:hAnsi="Gill Sans MT"/>
        </w:rPr>
      </w:pPr>
      <w:r w:rsidRPr="004C308D">
        <w:rPr>
          <w:rFonts w:ascii="Gill Sans MT" w:hAnsi="Gill Sans MT"/>
        </w:rPr>
        <w:t>Community Options Services (COS)</w:t>
      </w:r>
      <w:r w:rsidR="00196E5D" w:rsidRPr="004C308D">
        <w:rPr>
          <w:rFonts w:ascii="Gill Sans MT" w:hAnsi="Gill Sans MT"/>
        </w:rPr>
        <w:t xml:space="preserve"> </w:t>
      </w:r>
    </w:p>
    <w:p w:rsidR="008A0B87" w:rsidRPr="004C308D" w:rsidRDefault="007A7728" w:rsidP="004C308D">
      <w:pPr>
        <w:pStyle w:val="ListParagraph"/>
        <w:numPr>
          <w:ilvl w:val="0"/>
          <w:numId w:val="27"/>
        </w:numPr>
        <w:spacing w:after="140" w:line="300" w:lineRule="atLeast"/>
        <w:ind w:left="357" w:right="0" w:hanging="357"/>
        <w:jc w:val="left"/>
        <w:rPr>
          <w:rFonts w:ascii="Gill Sans MT" w:hAnsi="Gill Sans MT"/>
        </w:rPr>
      </w:pPr>
      <w:r w:rsidRPr="004C308D">
        <w:rPr>
          <w:rFonts w:ascii="Gill Sans MT" w:hAnsi="Gill Sans MT"/>
        </w:rPr>
        <w:t>Home Care services</w:t>
      </w:r>
      <w:r w:rsidR="00196E5D" w:rsidRPr="004C308D">
        <w:rPr>
          <w:rFonts w:ascii="Gill Sans MT" w:hAnsi="Gill Sans MT"/>
        </w:rPr>
        <w:t xml:space="preserve"> </w:t>
      </w:r>
    </w:p>
    <w:p w:rsidR="008A0B87" w:rsidRPr="004C308D" w:rsidRDefault="00C00B26" w:rsidP="004C308D">
      <w:pPr>
        <w:pStyle w:val="ListParagraph"/>
        <w:numPr>
          <w:ilvl w:val="0"/>
          <w:numId w:val="27"/>
        </w:numPr>
        <w:spacing w:after="140" w:line="300" w:lineRule="atLeast"/>
        <w:ind w:left="357" w:right="0" w:hanging="357"/>
        <w:jc w:val="left"/>
        <w:rPr>
          <w:rFonts w:ascii="Gill Sans MT" w:hAnsi="Gill Sans MT"/>
        </w:rPr>
      </w:pPr>
      <w:proofErr w:type="spellStart"/>
      <w:r w:rsidRPr="004C308D">
        <w:rPr>
          <w:rFonts w:ascii="Gill Sans MT" w:hAnsi="Gill Sans MT"/>
        </w:rPr>
        <w:t>TasEqu</w:t>
      </w:r>
      <w:r w:rsidR="003A6043" w:rsidRPr="004C308D">
        <w:rPr>
          <w:rFonts w:ascii="Gill Sans MT" w:hAnsi="Gill Sans MT"/>
        </w:rPr>
        <w:t>ip</w:t>
      </w:r>
      <w:proofErr w:type="spellEnd"/>
      <w:r w:rsidR="003A6043" w:rsidRPr="004C308D">
        <w:rPr>
          <w:rFonts w:ascii="Gill Sans MT" w:hAnsi="Gill Sans MT"/>
        </w:rPr>
        <w:t xml:space="preserve"> (Community Equipment Scheme)</w:t>
      </w:r>
      <w:r w:rsidRPr="004C308D">
        <w:rPr>
          <w:rFonts w:ascii="Gill Sans MT" w:hAnsi="Gill Sans MT"/>
        </w:rPr>
        <w:t xml:space="preserve"> </w:t>
      </w:r>
    </w:p>
    <w:p w:rsidR="008A0B87" w:rsidRPr="004C308D" w:rsidRDefault="00C00B26" w:rsidP="004C308D">
      <w:pPr>
        <w:pStyle w:val="ListParagraph"/>
        <w:numPr>
          <w:ilvl w:val="0"/>
          <w:numId w:val="27"/>
        </w:numPr>
        <w:spacing w:after="140" w:line="300" w:lineRule="atLeast"/>
        <w:ind w:left="357" w:right="0" w:hanging="357"/>
        <w:jc w:val="left"/>
        <w:rPr>
          <w:rFonts w:ascii="Gill Sans MT" w:hAnsi="Gill Sans MT"/>
        </w:rPr>
      </w:pPr>
      <w:r w:rsidRPr="004C308D">
        <w:rPr>
          <w:rFonts w:ascii="Gill Sans MT" w:hAnsi="Gill Sans MT"/>
        </w:rPr>
        <w:t>State-wide Orthotic and Pro</w:t>
      </w:r>
      <w:r w:rsidR="003A6043" w:rsidRPr="004C308D">
        <w:rPr>
          <w:rFonts w:ascii="Gill Sans MT" w:hAnsi="Gill Sans MT"/>
        </w:rPr>
        <w:t>sthetic Service Tasmania (OPST)</w:t>
      </w:r>
      <w:r w:rsidRPr="004C308D">
        <w:rPr>
          <w:rFonts w:ascii="Gill Sans MT" w:hAnsi="Gill Sans MT"/>
        </w:rPr>
        <w:t xml:space="preserve"> </w:t>
      </w:r>
    </w:p>
    <w:p w:rsidR="008A0B87" w:rsidRPr="004C308D" w:rsidRDefault="00C00B26" w:rsidP="004C308D">
      <w:pPr>
        <w:pStyle w:val="ListParagraph"/>
        <w:numPr>
          <w:ilvl w:val="0"/>
          <w:numId w:val="27"/>
        </w:numPr>
        <w:spacing w:after="140" w:line="300" w:lineRule="atLeast"/>
        <w:ind w:left="357" w:right="0" w:hanging="357"/>
        <w:jc w:val="left"/>
        <w:rPr>
          <w:rFonts w:ascii="Gill Sans MT" w:hAnsi="Gill Sans MT"/>
        </w:rPr>
      </w:pPr>
      <w:r w:rsidRPr="004C308D">
        <w:rPr>
          <w:rFonts w:ascii="Gill Sans MT" w:hAnsi="Gill Sans MT"/>
        </w:rPr>
        <w:t>Aged</w:t>
      </w:r>
      <w:r w:rsidR="00A73DAC" w:rsidRPr="004C308D">
        <w:rPr>
          <w:rFonts w:ascii="Gill Sans MT" w:hAnsi="Gill Sans MT"/>
        </w:rPr>
        <w:t xml:space="preserve"> Care Assessment Teams (ACATs)</w:t>
      </w:r>
      <w:r w:rsidR="00A73DAC" w:rsidRPr="00301ED6">
        <w:rPr>
          <w:rFonts w:ascii="Gill Sans MT" w:hAnsi="Gill Sans MT"/>
          <w:vertAlign w:val="superscript"/>
        </w:rPr>
        <w:t>9</w:t>
      </w:r>
    </w:p>
    <w:p w:rsidR="007A7728" w:rsidRPr="009D2115" w:rsidRDefault="007A7728" w:rsidP="00EE2B3E">
      <w:pPr>
        <w:spacing w:after="140" w:line="300" w:lineRule="atLeast"/>
        <w:rPr>
          <w:b/>
          <w:sz w:val="28"/>
          <w:szCs w:val="28"/>
        </w:rPr>
      </w:pPr>
      <w:r w:rsidRPr="009D2115">
        <w:rPr>
          <w:b/>
          <w:sz w:val="28"/>
          <w:szCs w:val="28"/>
        </w:rPr>
        <w:t>Regional Primary Health services</w:t>
      </w:r>
    </w:p>
    <w:p w:rsidR="008A0B87" w:rsidRPr="004C308D" w:rsidRDefault="007A7728" w:rsidP="004C308D">
      <w:pPr>
        <w:pStyle w:val="ListParagraph"/>
        <w:numPr>
          <w:ilvl w:val="0"/>
          <w:numId w:val="27"/>
        </w:numPr>
        <w:spacing w:after="140" w:line="300" w:lineRule="atLeast"/>
        <w:ind w:left="357" w:right="0" w:hanging="357"/>
        <w:jc w:val="left"/>
        <w:rPr>
          <w:rFonts w:ascii="Gill Sans MT" w:hAnsi="Gill Sans MT"/>
        </w:rPr>
      </w:pPr>
      <w:r w:rsidRPr="004C308D">
        <w:rPr>
          <w:rFonts w:ascii="Gill Sans MT" w:hAnsi="Gill Sans MT"/>
        </w:rPr>
        <w:t>Community Dementia Service North</w:t>
      </w:r>
      <w:r w:rsidR="00196E5D" w:rsidRPr="004C308D">
        <w:rPr>
          <w:rFonts w:ascii="Gill Sans MT" w:hAnsi="Gill Sans MT"/>
        </w:rPr>
        <w:t xml:space="preserve"> </w:t>
      </w:r>
    </w:p>
    <w:p w:rsidR="008A0B87" w:rsidRPr="004C308D" w:rsidRDefault="007A7728" w:rsidP="004C308D">
      <w:pPr>
        <w:pStyle w:val="ListParagraph"/>
        <w:numPr>
          <w:ilvl w:val="0"/>
          <w:numId w:val="27"/>
        </w:numPr>
        <w:spacing w:after="140" w:line="300" w:lineRule="atLeast"/>
        <w:ind w:left="357" w:right="0" w:hanging="357"/>
        <w:jc w:val="left"/>
        <w:rPr>
          <w:rFonts w:ascii="Gill Sans MT" w:hAnsi="Gill Sans MT"/>
        </w:rPr>
      </w:pPr>
      <w:r w:rsidRPr="004C308D">
        <w:rPr>
          <w:rFonts w:ascii="Gill Sans MT" w:hAnsi="Gill Sans MT"/>
        </w:rPr>
        <w:t>Dementia Support Service NW</w:t>
      </w:r>
      <w:r w:rsidR="00196E5D" w:rsidRPr="004C308D">
        <w:rPr>
          <w:rFonts w:ascii="Gill Sans MT" w:hAnsi="Gill Sans MT"/>
        </w:rPr>
        <w:t xml:space="preserve"> </w:t>
      </w:r>
    </w:p>
    <w:p w:rsidR="009246ED" w:rsidRPr="004C308D" w:rsidRDefault="009246ED" w:rsidP="004C308D">
      <w:pPr>
        <w:pStyle w:val="ListParagraph"/>
        <w:numPr>
          <w:ilvl w:val="0"/>
          <w:numId w:val="27"/>
        </w:numPr>
        <w:spacing w:after="140" w:line="300" w:lineRule="atLeast"/>
        <w:ind w:left="357" w:right="0" w:hanging="357"/>
        <w:jc w:val="left"/>
        <w:rPr>
          <w:rFonts w:ascii="Gill Sans MT" w:hAnsi="Gill Sans MT"/>
        </w:rPr>
      </w:pPr>
      <w:r w:rsidRPr="004C308D">
        <w:rPr>
          <w:rFonts w:ascii="Gill Sans MT" w:hAnsi="Gill Sans MT"/>
        </w:rPr>
        <w:t>Community R</w:t>
      </w:r>
      <w:r w:rsidR="003A6043" w:rsidRPr="004C308D">
        <w:rPr>
          <w:rFonts w:ascii="Gill Sans MT" w:hAnsi="Gill Sans MT"/>
        </w:rPr>
        <w:t>ehabilitation Unit (CRU) South</w:t>
      </w:r>
    </w:p>
    <w:p w:rsidR="00EE2B3E" w:rsidRPr="004C308D" w:rsidRDefault="009246ED" w:rsidP="004C308D">
      <w:pPr>
        <w:pStyle w:val="ListParagraph"/>
        <w:numPr>
          <w:ilvl w:val="0"/>
          <w:numId w:val="27"/>
        </w:numPr>
        <w:spacing w:after="140" w:line="300" w:lineRule="atLeast"/>
        <w:ind w:left="357" w:right="0" w:hanging="357"/>
        <w:jc w:val="left"/>
        <w:rPr>
          <w:rFonts w:ascii="Gill Sans MT" w:hAnsi="Gill Sans MT"/>
        </w:rPr>
      </w:pPr>
      <w:r w:rsidRPr="004C308D">
        <w:rPr>
          <w:rFonts w:ascii="Gill Sans MT" w:hAnsi="Gill Sans MT"/>
        </w:rPr>
        <w:t>Neurological Support Servi</w:t>
      </w:r>
      <w:r w:rsidR="003A6043" w:rsidRPr="004C308D">
        <w:rPr>
          <w:rFonts w:ascii="Gill Sans MT" w:hAnsi="Gill Sans MT"/>
        </w:rPr>
        <w:t>ce (Parkinson's) South</w:t>
      </w:r>
    </w:p>
    <w:p w:rsidR="009246ED" w:rsidRPr="009246ED" w:rsidRDefault="00EE2B3E" w:rsidP="00771A04">
      <w:pPr>
        <w:pStyle w:val="BulletedListLevel1"/>
        <w:numPr>
          <w:ilvl w:val="0"/>
          <w:numId w:val="0"/>
        </w:numPr>
        <w:rPr>
          <w:szCs w:val="22"/>
        </w:rPr>
      </w:pPr>
      <w:r>
        <w:rPr>
          <w:szCs w:val="22"/>
        </w:rPr>
        <w:t>Notes:</w:t>
      </w:r>
      <w:r w:rsidR="009246ED" w:rsidRPr="009246ED">
        <w:rPr>
          <w:szCs w:val="22"/>
        </w:rPr>
        <w:t xml:space="preserve"> </w:t>
      </w:r>
    </w:p>
    <w:p w:rsidR="009246ED" w:rsidRPr="007F666C" w:rsidRDefault="009246ED" w:rsidP="00414433">
      <w:pPr>
        <w:pStyle w:val="ListParagraph"/>
        <w:numPr>
          <w:ilvl w:val="0"/>
          <w:numId w:val="28"/>
        </w:numPr>
        <w:spacing w:after="140" w:line="300" w:lineRule="atLeast"/>
        <w:ind w:left="567" w:hanging="567"/>
        <w:rPr>
          <w:rFonts w:ascii="Gill Sans MT" w:hAnsi="Gill Sans MT"/>
          <w:sz w:val="18"/>
          <w:szCs w:val="18"/>
          <w:lang w:eastAsia="en-AU"/>
        </w:rPr>
      </w:pPr>
      <w:r w:rsidRPr="007F666C">
        <w:rPr>
          <w:rFonts w:ascii="Gill Sans MT" w:hAnsi="Gill Sans MT"/>
          <w:sz w:val="18"/>
          <w:szCs w:val="18"/>
          <w:lang w:eastAsia="en-AU"/>
        </w:rPr>
        <w:t>Residential aged care services in these facilities are funded by the Commonwealth through a variety of site-specific agreements, including those that use the multi-purpose service model.</w:t>
      </w:r>
    </w:p>
    <w:p w:rsidR="00A73DAC" w:rsidRPr="007F666C" w:rsidRDefault="00A73DAC" w:rsidP="00414433">
      <w:pPr>
        <w:pStyle w:val="ListParagraph"/>
        <w:numPr>
          <w:ilvl w:val="0"/>
          <w:numId w:val="28"/>
        </w:numPr>
        <w:spacing w:after="140" w:line="300" w:lineRule="atLeast"/>
        <w:ind w:left="567" w:hanging="567"/>
        <w:rPr>
          <w:rFonts w:ascii="Gill Sans MT" w:hAnsi="Gill Sans MT"/>
          <w:sz w:val="18"/>
          <w:szCs w:val="18"/>
          <w:lang w:eastAsia="en-AU"/>
        </w:rPr>
      </w:pPr>
      <w:r w:rsidRPr="007F666C">
        <w:rPr>
          <w:rFonts w:ascii="Gill Sans MT" w:hAnsi="Gill Sans MT"/>
          <w:sz w:val="18"/>
          <w:szCs w:val="18"/>
          <w:lang w:eastAsia="en-AU"/>
        </w:rPr>
        <w:t>The THS is a service provider under the Tasmanian Home and Community Care (HACC) Program.  The THS delivers HACC services in accordance with the Program Requirements provided by the Department to the THS.</w:t>
      </w:r>
    </w:p>
    <w:p w:rsidR="009246ED" w:rsidRPr="007F666C" w:rsidRDefault="009246ED" w:rsidP="00414433">
      <w:pPr>
        <w:pStyle w:val="ListParagraph"/>
        <w:numPr>
          <w:ilvl w:val="0"/>
          <w:numId w:val="28"/>
        </w:numPr>
        <w:spacing w:after="140" w:line="300" w:lineRule="atLeast"/>
        <w:ind w:left="567" w:hanging="567"/>
        <w:rPr>
          <w:rFonts w:ascii="Gill Sans MT" w:hAnsi="Gill Sans MT"/>
          <w:sz w:val="18"/>
          <w:szCs w:val="18"/>
          <w:lang w:eastAsia="en-AU"/>
        </w:rPr>
      </w:pPr>
      <w:r w:rsidRPr="007F666C">
        <w:rPr>
          <w:rFonts w:ascii="Gill Sans MT" w:hAnsi="Gill Sans MT"/>
          <w:sz w:val="18"/>
          <w:szCs w:val="18"/>
          <w:lang w:eastAsia="en-AU"/>
        </w:rPr>
        <w:t>A mix of community health and care services is also offered from these sites.</w:t>
      </w:r>
    </w:p>
    <w:p w:rsidR="009246ED" w:rsidRPr="007F666C" w:rsidRDefault="009246ED" w:rsidP="00414433">
      <w:pPr>
        <w:pStyle w:val="ListParagraph"/>
        <w:numPr>
          <w:ilvl w:val="0"/>
          <w:numId w:val="28"/>
        </w:numPr>
        <w:spacing w:after="140" w:line="300" w:lineRule="atLeast"/>
        <w:ind w:left="567" w:hanging="567"/>
        <w:rPr>
          <w:rFonts w:ascii="Gill Sans MT" w:hAnsi="Gill Sans MT"/>
          <w:sz w:val="18"/>
          <w:szCs w:val="18"/>
          <w:lang w:eastAsia="en-AU"/>
        </w:rPr>
      </w:pPr>
      <w:r w:rsidRPr="007F666C">
        <w:rPr>
          <w:rFonts w:ascii="Gill Sans MT" w:hAnsi="Gill Sans MT"/>
          <w:sz w:val="18"/>
          <w:szCs w:val="18"/>
          <w:lang w:eastAsia="en-AU"/>
        </w:rPr>
        <w:t>Denotes a partnership with UTAS as teaching site.</w:t>
      </w:r>
    </w:p>
    <w:p w:rsidR="009246ED" w:rsidRPr="007F666C" w:rsidRDefault="009246ED" w:rsidP="00414433">
      <w:pPr>
        <w:pStyle w:val="ListParagraph"/>
        <w:numPr>
          <w:ilvl w:val="0"/>
          <w:numId w:val="28"/>
        </w:numPr>
        <w:spacing w:after="140" w:line="300" w:lineRule="atLeast"/>
        <w:ind w:left="567" w:hanging="567"/>
        <w:rPr>
          <w:rFonts w:ascii="Gill Sans MT" w:hAnsi="Gill Sans MT"/>
          <w:sz w:val="18"/>
          <w:szCs w:val="18"/>
          <w:lang w:eastAsia="en-AU"/>
        </w:rPr>
      </w:pPr>
      <w:r w:rsidRPr="007F666C">
        <w:rPr>
          <w:rFonts w:ascii="Gill Sans MT" w:hAnsi="Gill Sans MT"/>
          <w:sz w:val="18"/>
          <w:szCs w:val="18"/>
          <w:lang w:eastAsia="en-AU"/>
        </w:rPr>
        <w:t>Including but not limited to: Community health nursing which includes but is not limited to clinics, diabetes consultancy, continence consultancy, wound management and personal care via health care assistants and community allied health services which include but are not limited to physiotherapy, occupational therapy, speech pathology, psychology, podiatry and community health social work and also include Allied Health Assistants in some settings and disciplines e.g. Foot Care Assistants in podiatry. Chronic disease programs and health prevention activities may also be available.</w:t>
      </w:r>
    </w:p>
    <w:p w:rsidR="009246ED" w:rsidRPr="007F666C" w:rsidRDefault="009246ED" w:rsidP="00414433">
      <w:pPr>
        <w:pStyle w:val="ListParagraph"/>
        <w:numPr>
          <w:ilvl w:val="0"/>
          <w:numId w:val="28"/>
        </w:numPr>
        <w:spacing w:after="140" w:line="300" w:lineRule="atLeast"/>
        <w:ind w:left="567" w:hanging="567"/>
        <w:rPr>
          <w:rFonts w:ascii="Gill Sans MT" w:hAnsi="Gill Sans MT"/>
          <w:sz w:val="18"/>
          <w:szCs w:val="18"/>
          <w:lang w:eastAsia="en-AU"/>
        </w:rPr>
      </w:pPr>
      <w:r w:rsidRPr="007F666C">
        <w:rPr>
          <w:rFonts w:ascii="Gill Sans MT" w:hAnsi="Gill Sans MT"/>
          <w:sz w:val="18"/>
          <w:szCs w:val="18"/>
          <w:lang w:eastAsia="en-AU"/>
        </w:rPr>
        <w:t>Not all services may be offered at all locations.</w:t>
      </w:r>
    </w:p>
    <w:p w:rsidR="009246ED" w:rsidRPr="007F666C" w:rsidRDefault="009246ED" w:rsidP="00414433">
      <w:pPr>
        <w:pStyle w:val="ListParagraph"/>
        <w:numPr>
          <w:ilvl w:val="0"/>
          <w:numId w:val="28"/>
        </w:numPr>
        <w:spacing w:after="140" w:line="300" w:lineRule="atLeast"/>
        <w:ind w:left="567" w:hanging="567"/>
        <w:rPr>
          <w:rFonts w:ascii="Gill Sans MT" w:hAnsi="Gill Sans MT"/>
          <w:sz w:val="18"/>
          <w:szCs w:val="18"/>
          <w:lang w:eastAsia="en-AU"/>
        </w:rPr>
      </w:pPr>
      <w:r w:rsidRPr="007F666C">
        <w:rPr>
          <w:rFonts w:ascii="Gill Sans MT" w:hAnsi="Gill Sans MT"/>
          <w:sz w:val="18"/>
          <w:szCs w:val="18"/>
          <w:lang w:eastAsia="en-AU"/>
        </w:rPr>
        <w:t>Residential aged care services in these facilities are funded by the Commonwealth through a variety of site-specific agreements, including those that use the multi-purpose service model.</w:t>
      </w:r>
    </w:p>
    <w:p w:rsidR="00D72B7F" w:rsidRPr="007F666C" w:rsidRDefault="00D72B7F" w:rsidP="00414433">
      <w:pPr>
        <w:pStyle w:val="ListParagraph"/>
        <w:numPr>
          <w:ilvl w:val="0"/>
          <w:numId w:val="28"/>
        </w:numPr>
        <w:spacing w:after="140" w:line="300" w:lineRule="atLeast"/>
        <w:ind w:left="567" w:hanging="567"/>
        <w:rPr>
          <w:rFonts w:ascii="Gill Sans MT" w:hAnsi="Gill Sans MT"/>
          <w:sz w:val="18"/>
          <w:szCs w:val="18"/>
          <w:lang w:eastAsia="en-AU"/>
        </w:rPr>
      </w:pPr>
      <w:r w:rsidRPr="007F666C">
        <w:rPr>
          <w:rFonts w:ascii="Gill Sans MT" w:hAnsi="Gill Sans MT"/>
          <w:sz w:val="18"/>
          <w:szCs w:val="18"/>
          <w:lang w:eastAsia="en-AU"/>
        </w:rPr>
        <w:t xml:space="preserve">Adult Day </w:t>
      </w:r>
      <w:proofErr w:type="spellStart"/>
      <w:r w:rsidRPr="007F666C">
        <w:rPr>
          <w:rFonts w:ascii="Gill Sans MT" w:hAnsi="Gill Sans MT"/>
          <w:sz w:val="18"/>
          <w:szCs w:val="18"/>
          <w:lang w:eastAsia="en-AU"/>
        </w:rPr>
        <w:t>Centres</w:t>
      </w:r>
      <w:proofErr w:type="spellEnd"/>
      <w:r w:rsidRPr="007F666C">
        <w:rPr>
          <w:rFonts w:ascii="Gill Sans MT" w:hAnsi="Gill Sans MT"/>
          <w:sz w:val="18"/>
          <w:szCs w:val="18"/>
          <w:lang w:eastAsia="en-AU"/>
        </w:rPr>
        <w:t xml:space="preserve"> cater for frail aged, socially isolated and younger disabled persons in the community. They provide group and individual lifestyle and leisure assessments and programs to maintain and enhance the quality of life for clients attending.  Some Adult Day </w:t>
      </w:r>
      <w:proofErr w:type="spellStart"/>
      <w:r w:rsidRPr="007F666C">
        <w:rPr>
          <w:rFonts w:ascii="Gill Sans MT" w:hAnsi="Gill Sans MT"/>
          <w:sz w:val="18"/>
          <w:szCs w:val="18"/>
          <w:lang w:eastAsia="en-AU"/>
        </w:rPr>
        <w:t>Centres</w:t>
      </w:r>
      <w:proofErr w:type="spellEnd"/>
      <w:r w:rsidRPr="007F666C">
        <w:rPr>
          <w:rFonts w:ascii="Gill Sans MT" w:hAnsi="Gill Sans MT"/>
          <w:sz w:val="18"/>
          <w:szCs w:val="18"/>
          <w:lang w:eastAsia="en-AU"/>
        </w:rPr>
        <w:t xml:space="preserve"> are funded by the Commonwealth, including King Island and </w:t>
      </w:r>
      <w:proofErr w:type="spellStart"/>
      <w:r w:rsidRPr="007F666C">
        <w:rPr>
          <w:rFonts w:ascii="Gill Sans MT" w:hAnsi="Gill Sans MT"/>
          <w:sz w:val="18"/>
          <w:szCs w:val="18"/>
          <w:lang w:eastAsia="en-AU"/>
        </w:rPr>
        <w:t>HealthWest</w:t>
      </w:r>
      <w:proofErr w:type="spellEnd"/>
      <w:r w:rsidRPr="007F666C">
        <w:rPr>
          <w:rFonts w:ascii="Gill Sans MT" w:hAnsi="Gill Sans MT"/>
          <w:sz w:val="18"/>
          <w:szCs w:val="18"/>
          <w:lang w:eastAsia="en-AU"/>
        </w:rPr>
        <w:t xml:space="preserve">. </w:t>
      </w:r>
    </w:p>
    <w:p w:rsidR="00D72B7F" w:rsidRPr="007F666C" w:rsidRDefault="00D72B7F" w:rsidP="00414433">
      <w:pPr>
        <w:pStyle w:val="ListParagraph"/>
        <w:numPr>
          <w:ilvl w:val="0"/>
          <w:numId w:val="28"/>
        </w:numPr>
        <w:spacing w:after="140" w:line="300" w:lineRule="atLeast"/>
        <w:ind w:left="567" w:hanging="567"/>
        <w:rPr>
          <w:rFonts w:ascii="Gill Sans MT" w:hAnsi="Gill Sans MT"/>
          <w:sz w:val="18"/>
          <w:szCs w:val="18"/>
          <w:lang w:eastAsia="en-AU"/>
        </w:rPr>
      </w:pPr>
      <w:r w:rsidRPr="007F666C">
        <w:rPr>
          <w:rFonts w:ascii="Gill Sans MT" w:hAnsi="Gill Sans MT"/>
          <w:sz w:val="18"/>
          <w:szCs w:val="18"/>
          <w:lang w:eastAsia="en-AU"/>
        </w:rPr>
        <w:t>Aged Care Assessment Teams are Commonwealth funded.  The current a</w:t>
      </w:r>
      <w:r w:rsidR="008A06B6" w:rsidRPr="007F666C">
        <w:rPr>
          <w:rFonts w:ascii="Gill Sans MT" w:hAnsi="Gill Sans MT"/>
          <w:sz w:val="18"/>
          <w:szCs w:val="18"/>
          <w:lang w:eastAsia="en-AU"/>
        </w:rPr>
        <w:t>greement expires on 30 June 2018.</w:t>
      </w:r>
    </w:p>
    <w:p w:rsidR="00657646" w:rsidRDefault="00657646" w:rsidP="00EE2B3E">
      <w:pPr>
        <w:spacing w:after="140" w:line="300" w:lineRule="atLeast"/>
      </w:pPr>
    </w:p>
    <w:p w:rsidR="004C0064" w:rsidRDefault="004C0064" w:rsidP="00EE2B3E">
      <w:pPr>
        <w:pStyle w:val="Heading1"/>
        <w:spacing w:before="0" w:after="140" w:line="300" w:lineRule="atLeast"/>
        <w:rPr>
          <w:lang w:val="en-AU"/>
        </w:rPr>
      </w:pPr>
      <w:bookmarkStart w:id="95" w:name="_Toc488068423"/>
      <w:r>
        <w:t xml:space="preserve">Appendix 2 - </w:t>
      </w:r>
      <w:r w:rsidRPr="003B1299">
        <w:t>Tasmanian Funding Model Parameters</w:t>
      </w:r>
      <w:bookmarkEnd w:id="95"/>
    </w:p>
    <w:p w:rsidR="007F563C" w:rsidRPr="00CC5006" w:rsidRDefault="007F563C" w:rsidP="007F563C">
      <w:pPr>
        <w:spacing w:after="120" w:line="300" w:lineRule="atLeast"/>
      </w:pPr>
      <w:r>
        <w:t xml:space="preserve">The Tasmanian Funding Model has moved from funding activity using a Tasmanian Inlier Weighted Unit and a Tasmanian Price in 2016-17 to the National Weighted Activity Unit (NWAU) and National Efficient Price in 2017-18.  The NWAU is based </w:t>
      </w:r>
      <w:r w:rsidRPr="002546CD">
        <w:t>on the Independent</w:t>
      </w:r>
      <w:r>
        <w:t xml:space="preserve"> </w:t>
      </w:r>
      <w:r w:rsidRPr="002546CD">
        <w:t>Hospit</w:t>
      </w:r>
      <w:r>
        <w:t xml:space="preserve">al Pricing Authority (IHPA) </w:t>
      </w:r>
      <w:r w:rsidRPr="002546CD">
        <w:t>price and cost</w:t>
      </w:r>
      <w:r>
        <w:t xml:space="preserve"> models for 2017-18.  All ABF activity is priced at the National Efficient Price for 2017-18 ($4,910) and the NWAU version for 2017-18 is NWAU17.</w:t>
      </w:r>
    </w:p>
    <w:p w:rsidR="007F563C" w:rsidRPr="000B72C0" w:rsidRDefault="007F563C" w:rsidP="007F563C">
      <w:pPr>
        <w:rPr>
          <w:b/>
        </w:rPr>
      </w:pPr>
      <w:r w:rsidRPr="000B72C0">
        <w:rPr>
          <w:b/>
        </w:rPr>
        <w:t xml:space="preserve">Principles </w:t>
      </w:r>
      <w:r>
        <w:rPr>
          <w:b/>
        </w:rPr>
        <w:t>of the Tasmanian Funding Model</w:t>
      </w:r>
      <w:r w:rsidRPr="000B72C0">
        <w:rPr>
          <w:b/>
        </w:rPr>
        <w:t xml:space="preserve"> </w:t>
      </w:r>
    </w:p>
    <w:p w:rsidR="007F563C" w:rsidRDefault="007F563C" w:rsidP="00895851">
      <w:pPr>
        <w:spacing w:after="120" w:line="300" w:lineRule="atLeast"/>
      </w:pPr>
      <w:r>
        <w:t>To increase transparency and allocate funding to where resources are required, the Ta</w:t>
      </w:r>
      <w:r w:rsidR="00895851">
        <w:t xml:space="preserve">smanian funding model aims to: </w:t>
      </w:r>
    </w:p>
    <w:p w:rsidR="007F563C" w:rsidRPr="00895851" w:rsidRDefault="007F563C" w:rsidP="00895851">
      <w:pPr>
        <w:pStyle w:val="ListParagraph"/>
        <w:numPr>
          <w:ilvl w:val="0"/>
          <w:numId w:val="27"/>
        </w:numPr>
        <w:spacing w:after="140" w:line="300" w:lineRule="atLeast"/>
        <w:ind w:left="357" w:right="0" w:hanging="357"/>
        <w:jc w:val="left"/>
        <w:rPr>
          <w:rFonts w:ascii="Gill Sans MT" w:hAnsi="Gill Sans MT"/>
        </w:rPr>
      </w:pPr>
      <w:r w:rsidRPr="00895851">
        <w:rPr>
          <w:rFonts w:ascii="Gill Sans MT" w:hAnsi="Gill Sans MT"/>
        </w:rPr>
        <w:t xml:space="preserve">increase the level of hospital activity for a given level of inputs through technical efficiency </w:t>
      </w:r>
    </w:p>
    <w:p w:rsidR="007F563C" w:rsidRPr="00895851" w:rsidRDefault="007F563C" w:rsidP="00895851">
      <w:pPr>
        <w:pStyle w:val="ListParagraph"/>
        <w:numPr>
          <w:ilvl w:val="0"/>
          <w:numId w:val="27"/>
        </w:numPr>
        <w:spacing w:after="140" w:line="300" w:lineRule="atLeast"/>
        <w:ind w:left="357" w:right="0" w:hanging="357"/>
        <w:jc w:val="left"/>
        <w:rPr>
          <w:rFonts w:ascii="Gill Sans MT" w:hAnsi="Gill Sans MT"/>
        </w:rPr>
      </w:pPr>
      <w:r w:rsidRPr="00895851">
        <w:rPr>
          <w:rFonts w:ascii="Gill Sans MT" w:hAnsi="Gill Sans MT"/>
        </w:rPr>
        <w:t xml:space="preserve">ensure hospital resources are allocated to those activities which </w:t>
      </w:r>
      <w:proofErr w:type="spellStart"/>
      <w:r w:rsidRPr="00895851">
        <w:rPr>
          <w:rFonts w:ascii="Gill Sans MT" w:hAnsi="Gill Sans MT"/>
        </w:rPr>
        <w:t>maximise</w:t>
      </w:r>
      <w:proofErr w:type="spellEnd"/>
      <w:r w:rsidRPr="00895851">
        <w:rPr>
          <w:rFonts w:ascii="Gill Sans MT" w:hAnsi="Gill Sans MT"/>
        </w:rPr>
        <w:t xml:space="preserve"> health outcomes through allocative efficiency </w:t>
      </w:r>
    </w:p>
    <w:p w:rsidR="007F563C" w:rsidRPr="00895851" w:rsidRDefault="007F563C" w:rsidP="00895851">
      <w:pPr>
        <w:pStyle w:val="ListParagraph"/>
        <w:numPr>
          <w:ilvl w:val="0"/>
          <w:numId w:val="27"/>
        </w:numPr>
        <w:spacing w:after="140" w:line="300" w:lineRule="atLeast"/>
        <w:ind w:left="357" w:right="0" w:hanging="357"/>
        <w:jc w:val="left"/>
        <w:rPr>
          <w:rFonts w:ascii="Gill Sans MT" w:hAnsi="Gill Sans MT"/>
        </w:rPr>
      </w:pPr>
      <w:proofErr w:type="gramStart"/>
      <w:r w:rsidRPr="00895851">
        <w:rPr>
          <w:rFonts w:ascii="Gill Sans MT" w:hAnsi="Gill Sans MT"/>
        </w:rPr>
        <w:t>provide</w:t>
      </w:r>
      <w:proofErr w:type="gramEnd"/>
      <w:r w:rsidRPr="00895851">
        <w:rPr>
          <w:rFonts w:ascii="Gill Sans MT" w:hAnsi="Gill Sans MT"/>
        </w:rPr>
        <w:t xml:space="preserve"> incentives for technological and clinical innovations that lead to better health outcomes. </w:t>
      </w:r>
    </w:p>
    <w:p w:rsidR="007F563C" w:rsidRPr="00895851" w:rsidRDefault="007F563C" w:rsidP="00895851">
      <w:pPr>
        <w:pStyle w:val="ListParagraph"/>
        <w:numPr>
          <w:ilvl w:val="0"/>
          <w:numId w:val="27"/>
        </w:numPr>
        <w:spacing w:after="140" w:line="300" w:lineRule="atLeast"/>
        <w:ind w:left="357" w:right="0" w:hanging="357"/>
        <w:jc w:val="left"/>
        <w:rPr>
          <w:rFonts w:ascii="Gill Sans MT" w:hAnsi="Gill Sans MT"/>
        </w:rPr>
      </w:pPr>
      <w:r w:rsidRPr="00895851">
        <w:rPr>
          <w:rFonts w:ascii="Gill Sans MT" w:hAnsi="Gill Sans MT"/>
        </w:rPr>
        <w:t xml:space="preserve">ensure that hospitals are funded on a comparable basis for the activity they provide, and that unavoidable differences in costs between hospitals are taken into account through equitable funds distribution </w:t>
      </w:r>
    </w:p>
    <w:p w:rsidR="007F563C" w:rsidRPr="00895851" w:rsidRDefault="00895851" w:rsidP="00895851">
      <w:pPr>
        <w:pStyle w:val="ListParagraph"/>
        <w:numPr>
          <w:ilvl w:val="0"/>
          <w:numId w:val="27"/>
        </w:numPr>
        <w:spacing w:after="140" w:line="300" w:lineRule="atLeast"/>
        <w:ind w:left="357" w:right="0" w:hanging="357"/>
        <w:jc w:val="left"/>
        <w:rPr>
          <w:rFonts w:ascii="Gill Sans MT" w:hAnsi="Gill Sans MT"/>
        </w:rPr>
      </w:pPr>
      <w:proofErr w:type="gramStart"/>
      <w:r>
        <w:rPr>
          <w:rFonts w:ascii="Gill Sans MT" w:hAnsi="Gill Sans MT"/>
        </w:rPr>
        <w:t>p</w:t>
      </w:r>
      <w:r w:rsidR="007F563C" w:rsidRPr="00895851">
        <w:rPr>
          <w:rFonts w:ascii="Gill Sans MT" w:hAnsi="Gill Sans MT"/>
        </w:rPr>
        <w:t>rovide</w:t>
      </w:r>
      <w:proofErr w:type="gramEnd"/>
      <w:r w:rsidR="007F563C" w:rsidRPr="00895851">
        <w:rPr>
          <w:rFonts w:ascii="Gill Sans MT" w:hAnsi="Gill Sans MT"/>
        </w:rPr>
        <w:t xml:space="preserve"> incentives to support continuous improvement in patient safety and quality. </w:t>
      </w:r>
    </w:p>
    <w:p w:rsidR="00FF528C" w:rsidRDefault="00FF528C" w:rsidP="007F563C">
      <w:pPr>
        <w:rPr>
          <w:b/>
        </w:rPr>
      </w:pPr>
      <w:r>
        <w:rPr>
          <w:b/>
        </w:rPr>
        <w:t>Purchaser’s Reserve</w:t>
      </w:r>
    </w:p>
    <w:p w:rsidR="00FF528C" w:rsidRPr="00FF528C" w:rsidRDefault="00FF528C" w:rsidP="00FF528C">
      <w:pPr>
        <w:spacing w:after="120" w:line="300" w:lineRule="atLeast"/>
      </w:pPr>
      <w:r>
        <w:t>The Purchaser’s Reserve</w:t>
      </w:r>
      <w:r w:rsidRPr="00FF528C">
        <w:t xml:space="preserve"> will be allocated during the course of the 2017/18 financial year at the discretion of the DHHS (as Purchaser) in consultation with the THS (as Provider). The Reserve will be used for purposes such as, but not exclusively for, improvement initiatives, contingency funding or other services. </w:t>
      </w:r>
    </w:p>
    <w:p w:rsidR="007F563C" w:rsidRPr="000B72C0" w:rsidRDefault="007F563C" w:rsidP="007F563C">
      <w:pPr>
        <w:rPr>
          <w:b/>
        </w:rPr>
      </w:pPr>
      <w:r w:rsidRPr="00FF528C">
        <w:rPr>
          <w:b/>
        </w:rPr>
        <w:t>Purchasi</w:t>
      </w:r>
      <w:r w:rsidRPr="000B72C0">
        <w:rPr>
          <w:b/>
        </w:rPr>
        <w:t>ng health services</w:t>
      </w:r>
    </w:p>
    <w:p w:rsidR="007F563C" w:rsidRDefault="007F563C" w:rsidP="00895851">
      <w:pPr>
        <w:spacing w:after="120" w:line="300" w:lineRule="atLeast"/>
      </w:pPr>
      <w:r>
        <w:t xml:space="preserve">Service agreements between the DHHS and THS are based on the Department’s funding and purchasing models. In broad terms, the funding model determines the price at which the department purchases services from the THS, and the purchasing model determines the volume of services that are purchased. </w:t>
      </w:r>
      <w:r w:rsidR="00895851">
        <w:t xml:space="preserve">In terms of the funding model: </w:t>
      </w:r>
    </w:p>
    <w:p w:rsidR="007F563C" w:rsidRPr="00895851" w:rsidRDefault="007F563C" w:rsidP="00895851">
      <w:pPr>
        <w:pStyle w:val="ListParagraph"/>
        <w:numPr>
          <w:ilvl w:val="0"/>
          <w:numId w:val="27"/>
        </w:numPr>
        <w:spacing w:after="140" w:line="300" w:lineRule="atLeast"/>
        <w:ind w:left="357" w:right="0" w:hanging="357"/>
        <w:jc w:val="left"/>
        <w:rPr>
          <w:rFonts w:ascii="Gill Sans MT" w:hAnsi="Gill Sans MT"/>
        </w:rPr>
      </w:pPr>
      <w:r w:rsidRPr="00895851">
        <w:rPr>
          <w:rFonts w:ascii="Gill Sans MT" w:hAnsi="Gill Sans MT"/>
        </w:rPr>
        <w:t xml:space="preserve">There are three public hospitals funded through the Tasmanian ABF model.  The Tasmanian ABF model is based largely on the national ABF model but includes some modifications to reflect the local Tasmanian environment. Note: Tasmanian public hospitals funded activity includes activity contracted to private hospitals. </w:t>
      </w:r>
    </w:p>
    <w:p w:rsidR="007F563C" w:rsidRPr="00895851" w:rsidRDefault="007F563C" w:rsidP="00895851">
      <w:pPr>
        <w:pStyle w:val="ListParagraph"/>
        <w:numPr>
          <w:ilvl w:val="0"/>
          <w:numId w:val="27"/>
        </w:numPr>
        <w:spacing w:after="140" w:line="300" w:lineRule="atLeast"/>
        <w:ind w:left="357" w:right="0" w:hanging="357"/>
        <w:jc w:val="left"/>
        <w:rPr>
          <w:rFonts w:ascii="Gill Sans MT" w:hAnsi="Gill Sans MT"/>
        </w:rPr>
      </w:pPr>
      <w:r w:rsidRPr="00895851">
        <w:rPr>
          <w:rFonts w:ascii="Gill Sans MT" w:hAnsi="Gill Sans MT"/>
        </w:rPr>
        <w:t xml:space="preserve">Twenty four public hospitals including Mersey Community Hospital are funded through block funding arrangements.  This consists of one medium hospital, nineteen small regional and rural hospitals and five specialist public psychiatric hospitals. Given the high fixed costs facing smaller hospitals and economies of scale, these facilities would not be financially viable in an ABF model. </w:t>
      </w:r>
    </w:p>
    <w:p w:rsidR="007F563C" w:rsidRPr="00895851" w:rsidRDefault="007F563C" w:rsidP="00895851">
      <w:pPr>
        <w:pStyle w:val="ListParagraph"/>
        <w:numPr>
          <w:ilvl w:val="0"/>
          <w:numId w:val="27"/>
        </w:numPr>
        <w:spacing w:after="140" w:line="300" w:lineRule="atLeast"/>
        <w:ind w:left="357" w:right="0" w:hanging="357"/>
        <w:jc w:val="left"/>
        <w:rPr>
          <w:rFonts w:ascii="Gill Sans MT" w:hAnsi="Gill Sans MT"/>
        </w:rPr>
      </w:pPr>
      <w:r w:rsidRPr="00895851">
        <w:rPr>
          <w:rFonts w:ascii="Gill Sans MT" w:hAnsi="Gill Sans MT"/>
        </w:rPr>
        <w:t>The purchasing model determines the volume of services that the department agrees to purchase from the THS, as articulated through the service agreement. The volume of activity purchased is informed by projected demographic modelled data, health priorities identified in the Statement of Purchasers Intent (SOPI), white paper priorities, State Government commitments and known/forecasted service developments in negotiation with the THS.</w:t>
      </w:r>
    </w:p>
    <w:p w:rsidR="007F563C" w:rsidRDefault="007F563C" w:rsidP="007F563C">
      <w:pPr>
        <w:pStyle w:val="ListParagraph"/>
        <w:spacing w:after="120" w:line="300" w:lineRule="atLeast"/>
        <w:ind w:left="360"/>
        <w:rPr>
          <w:b/>
        </w:rPr>
      </w:pPr>
    </w:p>
    <w:p w:rsidR="007F563C" w:rsidRPr="00A27C2E" w:rsidRDefault="007F563C" w:rsidP="007F563C">
      <w:pPr>
        <w:pStyle w:val="ListParagraph"/>
        <w:spacing w:after="120" w:line="300" w:lineRule="atLeast"/>
        <w:ind w:left="360"/>
        <w:rPr>
          <w:b/>
        </w:rPr>
      </w:pPr>
    </w:p>
    <w:p w:rsidR="00895851" w:rsidRDefault="00895851">
      <w:pPr>
        <w:rPr>
          <w:b/>
        </w:rPr>
      </w:pPr>
      <w:r>
        <w:rPr>
          <w:b/>
        </w:rPr>
        <w:br w:type="page"/>
      </w:r>
    </w:p>
    <w:p w:rsidR="007F563C" w:rsidRPr="00DC47FD" w:rsidRDefault="007F563C" w:rsidP="007F563C">
      <w:pPr>
        <w:spacing w:after="120" w:line="300" w:lineRule="atLeast"/>
        <w:rPr>
          <w:b/>
        </w:rPr>
      </w:pPr>
      <w:r w:rsidRPr="00DC47FD">
        <w:rPr>
          <w:b/>
        </w:rPr>
        <w:t>Funding Model Categories</w:t>
      </w:r>
    </w:p>
    <w:p w:rsidR="007F563C" w:rsidRPr="00895851" w:rsidRDefault="007F563C" w:rsidP="00895851">
      <w:pPr>
        <w:spacing w:after="120" w:line="300" w:lineRule="atLeast"/>
      </w:pPr>
      <w:r w:rsidRPr="00895851">
        <w:t>The Tasmanian Funding Model funding categories are:</w:t>
      </w:r>
    </w:p>
    <w:p w:rsidR="007F563C" w:rsidRPr="00895851" w:rsidRDefault="007F563C" w:rsidP="007F563C">
      <w:pPr>
        <w:rPr>
          <w:b/>
        </w:rPr>
      </w:pPr>
      <w:r w:rsidRPr="00895851">
        <w:rPr>
          <w:b/>
        </w:rPr>
        <w:t>Activity Based Funding (ABF)</w:t>
      </w:r>
    </w:p>
    <w:p w:rsidR="007F563C" w:rsidRPr="00B56CF5" w:rsidRDefault="007F563C" w:rsidP="00895851">
      <w:pPr>
        <w:spacing w:after="120" w:line="300" w:lineRule="atLeast"/>
      </w:pPr>
      <w:r w:rsidRPr="00B56CF5">
        <w:t>In 201</w:t>
      </w:r>
      <w:r>
        <w:t>7</w:t>
      </w:r>
      <w:r w:rsidRPr="00B56CF5">
        <w:t>-1</w:t>
      </w:r>
      <w:r>
        <w:t>8</w:t>
      </w:r>
      <w:r w:rsidRPr="00B56CF5">
        <w:t>, the Tasmanian Funding Model will fund the following hospital services on an activity basis:</w:t>
      </w:r>
    </w:p>
    <w:p w:rsidR="007F563C" w:rsidRPr="00357DB9" w:rsidRDefault="007F563C" w:rsidP="00357DB9">
      <w:pPr>
        <w:pStyle w:val="ListParagraph"/>
        <w:numPr>
          <w:ilvl w:val="0"/>
          <w:numId w:val="27"/>
        </w:numPr>
        <w:spacing w:after="140" w:line="300" w:lineRule="atLeast"/>
        <w:ind w:left="357" w:right="0" w:hanging="357"/>
        <w:jc w:val="left"/>
        <w:rPr>
          <w:rFonts w:ascii="Gill Sans MT" w:hAnsi="Gill Sans MT"/>
        </w:rPr>
      </w:pPr>
      <w:r w:rsidRPr="00357DB9">
        <w:rPr>
          <w:rFonts w:ascii="Gill Sans MT" w:hAnsi="Gill Sans MT"/>
        </w:rPr>
        <w:t xml:space="preserve">All admitted acute inpatient services including Elective Surgery and Mental Health </w:t>
      </w:r>
    </w:p>
    <w:p w:rsidR="007F563C" w:rsidRPr="00357DB9" w:rsidRDefault="00385F62" w:rsidP="00357DB9">
      <w:pPr>
        <w:pStyle w:val="ListParagraph"/>
        <w:numPr>
          <w:ilvl w:val="0"/>
          <w:numId w:val="27"/>
        </w:numPr>
        <w:spacing w:after="140" w:line="300" w:lineRule="atLeast"/>
        <w:ind w:left="357" w:right="0" w:hanging="357"/>
        <w:jc w:val="left"/>
        <w:rPr>
          <w:rFonts w:ascii="Gill Sans MT" w:hAnsi="Gill Sans MT"/>
        </w:rPr>
      </w:pPr>
      <w:r>
        <w:rPr>
          <w:rFonts w:ascii="Gill Sans MT" w:hAnsi="Gill Sans MT"/>
        </w:rPr>
        <w:t>Sub</w:t>
      </w:r>
      <w:r w:rsidR="007F563C" w:rsidRPr="00357DB9">
        <w:rPr>
          <w:rFonts w:ascii="Gill Sans MT" w:hAnsi="Gill Sans MT"/>
        </w:rPr>
        <w:t xml:space="preserve"> and non-acute admitted inpatients</w:t>
      </w:r>
    </w:p>
    <w:p w:rsidR="007F563C" w:rsidRPr="00357DB9" w:rsidRDefault="007F563C" w:rsidP="00357DB9">
      <w:pPr>
        <w:pStyle w:val="ListParagraph"/>
        <w:numPr>
          <w:ilvl w:val="0"/>
          <w:numId w:val="27"/>
        </w:numPr>
        <w:spacing w:after="140" w:line="300" w:lineRule="atLeast"/>
        <w:ind w:left="357" w:right="0" w:hanging="357"/>
        <w:jc w:val="left"/>
        <w:rPr>
          <w:rFonts w:ascii="Gill Sans MT" w:hAnsi="Gill Sans MT"/>
        </w:rPr>
      </w:pPr>
      <w:r w:rsidRPr="00357DB9">
        <w:rPr>
          <w:rFonts w:ascii="Gill Sans MT" w:hAnsi="Gill Sans MT"/>
        </w:rPr>
        <w:t>Non-admitted/Outpatient service events</w:t>
      </w:r>
    </w:p>
    <w:p w:rsidR="007F563C" w:rsidRPr="00B56CF5" w:rsidRDefault="007F563C" w:rsidP="00357DB9">
      <w:pPr>
        <w:pStyle w:val="ListParagraph"/>
        <w:numPr>
          <w:ilvl w:val="0"/>
          <w:numId w:val="27"/>
        </w:numPr>
        <w:spacing w:after="140" w:line="300" w:lineRule="atLeast"/>
        <w:ind w:left="357" w:right="0" w:hanging="357"/>
        <w:jc w:val="left"/>
      </w:pPr>
      <w:r w:rsidRPr="00357DB9">
        <w:rPr>
          <w:rFonts w:ascii="Gill Sans MT" w:hAnsi="Gill Sans MT"/>
        </w:rPr>
        <w:t>Emergency Department service events</w:t>
      </w:r>
    </w:p>
    <w:p w:rsidR="007F563C" w:rsidRPr="00895851" w:rsidRDefault="007F563C" w:rsidP="007F563C">
      <w:pPr>
        <w:rPr>
          <w:b/>
        </w:rPr>
      </w:pPr>
      <w:r w:rsidRPr="00895851">
        <w:rPr>
          <w:b/>
        </w:rPr>
        <w:t>Block Funding for ABF hospitals</w:t>
      </w:r>
    </w:p>
    <w:p w:rsidR="007F563C" w:rsidRPr="00B56CF5" w:rsidRDefault="007F563C" w:rsidP="00895851">
      <w:pPr>
        <w:spacing w:after="120" w:line="300" w:lineRule="atLeast"/>
      </w:pPr>
      <w:r w:rsidRPr="00B56CF5">
        <w:t>For services</w:t>
      </w:r>
      <w:r>
        <w:t xml:space="preserve"> and initiatives</w:t>
      </w:r>
      <w:r w:rsidRPr="00B56CF5">
        <w:t xml:space="preserve"> provided by ABF hospitals where existing data does not accurately describe current activity, the service will be block funded. ABF hospital services to be block funded in 201</w:t>
      </w:r>
      <w:r>
        <w:t>7</w:t>
      </w:r>
      <w:r w:rsidRPr="00B56CF5">
        <w:t>-1</w:t>
      </w:r>
      <w:r>
        <w:t>8</w:t>
      </w:r>
      <w:r w:rsidRPr="00B56CF5">
        <w:t xml:space="preserve"> are:</w:t>
      </w:r>
    </w:p>
    <w:p w:rsidR="007F563C" w:rsidRPr="00357DB9" w:rsidRDefault="007F563C" w:rsidP="00357DB9">
      <w:pPr>
        <w:pStyle w:val="ListParagraph"/>
        <w:numPr>
          <w:ilvl w:val="0"/>
          <w:numId w:val="27"/>
        </w:numPr>
        <w:spacing w:after="140" w:line="300" w:lineRule="atLeast"/>
        <w:ind w:left="357" w:right="0" w:hanging="357"/>
        <w:jc w:val="left"/>
        <w:rPr>
          <w:rFonts w:ascii="Gill Sans MT" w:hAnsi="Gill Sans MT"/>
        </w:rPr>
      </w:pPr>
      <w:r w:rsidRPr="00357DB9">
        <w:rPr>
          <w:rFonts w:ascii="Gill Sans MT" w:hAnsi="Gill Sans MT"/>
        </w:rPr>
        <w:t>Teaching, Training, and Research</w:t>
      </w:r>
    </w:p>
    <w:p w:rsidR="007F563C" w:rsidRPr="00357DB9" w:rsidRDefault="007F563C" w:rsidP="00357DB9">
      <w:pPr>
        <w:pStyle w:val="ListParagraph"/>
        <w:numPr>
          <w:ilvl w:val="0"/>
          <w:numId w:val="27"/>
        </w:numPr>
        <w:spacing w:after="140" w:line="300" w:lineRule="atLeast"/>
        <w:ind w:left="357" w:right="0" w:hanging="357"/>
        <w:jc w:val="left"/>
        <w:rPr>
          <w:rFonts w:ascii="Gill Sans MT" w:hAnsi="Gill Sans MT"/>
        </w:rPr>
      </w:pPr>
      <w:r w:rsidRPr="00357DB9">
        <w:rPr>
          <w:rFonts w:ascii="Gill Sans MT" w:hAnsi="Gill Sans MT"/>
        </w:rPr>
        <w:t>Blood Products</w:t>
      </w:r>
    </w:p>
    <w:p w:rsidR="007F563C" w:rsidRPr="00357DB9" w:rsidRDefault="007F563C" w:rsidP="00357DB9">
      <w:pPr>
        <w:pStyle w:val="ListParagraph"/>
        <w:numPr>
          <w:ilvl w:val="0"/>
          <w:numId w:val="27"/>
        </w:numPr>
        <w:spacing w:after="140" w:line="300" w:lineRule="atLeast"/>
        <w:ind w:left="357" w:right="0" w:hanging="357"/>
        <w:jc w:val="left"/>
        <w:rPr>
          <w:rFonts w:ascii="Gill Sans MT" w:hAnsi="Gill Sans MT"/>
        </w:rPr>
      </w:pPr>
      <w:r w:rsidRPr="00357DB9">
        <w:rPr>
          <w:rFonts w:ascii="Gill Sans MT" w:hAnsi="Gill Sans MT"/>
        </w:rPr>
        <w:t>Interstate Charging</w:t>
      </w:r>
    </w:p>
    <w:p w:rsidR="007F563C" w:rsidRPr="00357DB9" w:rsidRDefault="007F563C" w:rsidP="00357DB9">
      <w:pPr>
        <w:pStyle w:val="ListParagraph"/>
        <w:numPr>
          <w:ilvl w:val="0"/>
          <w:numId w:val="27"/>
        </w:numPr>
        <w:spacing w:after="140" w:line="300" w:lineRule="atLeast"/>
        <w:ind w:left="357" w:right="0" w:hanging="357"/>
        <w:jc w:val="left"/>
        <w:rPr>
          <w:rFonts w:ascii="Gill Sans MT" w:hAnsi="Gill Sans MT"/>
        </w:rPr>
      </w:pPr>
      <w:r w:rsidRPr="00357DB9">
        <w:rPr>
          <w:rFonts w:ascii="Gill Sans MT" w:hAnsi="Gill Sans MT"/>
        </w:rPr>
        <w:t>North West Cancer Centre</w:t>
      </w:r>
    </w:p>
    <w:p w:rsidR="007F563C" w:rsidRPr="00357DB9" w:rsidRDefault="007F563C" w:rsidP="00357DB9">
      <w:pPr>
        <w:pStyle w:val="ListParagraph"/>
        <w:numPr>
          <w:ilvl w:val="0"/>
          <w:numId w:val="27"/>
        </w:numPr>
        <w:spacing w:after="140" w:line="300" w:lineRule="atLeast"/>
        <w:ind w:left="357" w:right="0" w:hanging="357"/>
        <w:jc w:val="left"/>
        <w:rPr>
          <w:rFonts w:ascii="Gill Sans MT" w:hAnsi="Gill Sans MT"/>
        </w:rPr>
      </w:pPr>
      <w:r w:rsidRPr="00357DB9">
        <w:rPr>
          <w:rFonts w:ascii="Gill Sans MT" w:hAnsi="Gill Sans MT"/>
        </w:rPr>
        <w:t>Transition to Practice Nurses</w:t>
      </w:r>
    </w:p>
    <w:p w:rsidR="007F563C" w:rsidRPr="00357DB9" w:rsidRDefault="007F563C" w:rsidP="00357DB9">
      <w:pPr>
        <w:pStyle w:val="ListParagraph"/>
        <w:numPr>
          <w:ilvl w:val="0"/>
          <w:numId w:val="27"/>
        </w:numPr>
        <w:spacing w:after="140" w:line="300" w:lineRule="atLeast"/>
        <w:ind w:left="357" w:right="0" w:hanging="357"/>
        <w:jc w:val="left"/>
        <w:rPr>
          <w:rFonts w:ascii="Gill Sans MT" w:hAnsi="Gill Sans MT"/>
        </w:rPr>
      </w:pPr>
      <w:r w:rsidRPr="00357DB9">
        <w:rPr>
          <w:rFonts w:ascii="Gill Sans MT" w:hAnsi="Gill Sans MT"/>
        </w:rPr>
        <w:t>Enhancing Retrieval and Referral Services</w:t>
      </w:r>
    </w:p>
    <w:p w:rsidR="007F563C" w:rsidRPr="00357DB9" w:rsidRDefault="007F563C" w:rsidP="00357DB9">
      <w:pPr>
        <w:pStyle w:val="ListParagraph"/>
        <w:numPr>
          <w:ilvl w:val="0"/>
          <w:numId w:val="27"/>
        </w:numPr>
        <w:spacing w:after="140" w:line="300" w:lineRule="atLeast"/>
        <w:ind w:left="357" w:right="0" w:hanging="357"/>
        <w:jc w:val="left"/>
        <w:rPr>
          <w:rFonts w:ascii="Gill Sans MT" w:hAnsi="Gill Sans MT"/>
        </w:rPr>
      </w:pPr>
      <w:r w:rsidRPr="00357DB9">
        <w:rPr>
          <w:rFonts w:ascii="Gill Sans MT" w:hAnsi="Gill Sans MT"/>
        </w:rPr>
        <w:t>Organ Donor</w:t>
      </w:r>
    </w:p>
    <w:p w:rsidR="007F563C" w:rsidRPr="00357DB9" w:rsidRDefault="007F563C" w:rsidP="00357DB9">
      <w:pPr>
        <w:pStyle w:val="ListParagraph"/>
        <w:numPr>
          <w:ilvl w:val="0"/>
          <w:numId w:val="27"/>
        </w:numPr>
        <w:spacing w:after="140" w:line="300" w:lineRule="atLeast"/>
        <w:ind w:left="357" w:right="0" w:hanging="357"/>
        <w:jc w:val="left"/>
        <w:rPr>
          <w:rFonts w:ascii="Gill Sans MT" w:hAnsi="Gill Sans MT"/>
        </w:rPr>
      </w:pPr>
      <w:r w:rsidRPr="00357DB9">
        <w:rPr>
          <w:rFonts w:ascii="Gill Sans MT" w:hAnsi="Gill Sans MT"/>
        </w:rPr>
        <w:t>Boarders</w:t>
      </w:r>
    </w:p>
    <w:p w:rsidR="007F563C" w:rsidRPr="00357DB9" w:rsidRDefault="007F563C" w:rsidP="00357DB9">
      <w:pPr>
        <w:pStyle w:val="ListParagraph"/>
        <w:numPr>
          <w:ilvl w:val="0"/>
          <w:numId w:val="27"/>
        </w:numPr>
        <w:spacing w:after="140" w:line="300" w:lineRule="atLeast"/>
        <w:ind w:left="357" w:right="0" w:hanging="357"/>
        <w:jc w:val="left"/>
        <w:rPr>
          <w:rFonts w:ascii="Gill Sans MT" w:hAnsi="Gill Sans MT"/>
        </w:rPr>
      </w:pPr>
      <w:r w:rsidRPr="00357DB9">
        <w:rPr>
          <w:rFonts w:ascii="Gill Sans MT" w:hAnsi="Gill Sans MT"/>
        </w:rPr>
        <w:t>Patients First</w:t>
      </w:r>
    </w:p>
    <w:p w:rsidR="007F563C" w:rsidRPr="00357DB9" w:rsidRDefault="007F563C" w:rsidP="00357DB9">
      <w:pPr>
        <w:pStyle w:val="ListParagraph"/>
        <w:numPr>
          <w:ilvl w:val="0"/>
          <w:numId w:val="27"/>
        </w:numPr>
        <w:spacing w:after="140" w:line="300" w:lineRule="atLeast"/>
        <w:ind w:left="357" w:right="0" w:hanging="357"/>
        <w:jc w:val="left"/>
        <w:rPr>
          <w:rFonts w:ascii="Gill Sans MT" w:hAnsi="Gill Sans MT"/>
        </w:rPr>
      </w:pPr>
      <w:r w:rsidRPr="00357DB9">
        <w:rPr>
          <w:rFonts w:ascii="Gill Sans MT" w:hAnsi="Gill Sans MT"/>
        </w:rPr>
        <w:t>Non-hospital activity Based Services</w:t>
      </w:r>
    </w:p>
    <w:p w:rsidR="007F563C" w:rsidRPr="00357DB9" w:rsidRDefault="007F563C" w:rsidP="00357DB9">
      <w:pPr>
        <w:pStyle w:val="ListParagraph"/>
        <w:numPr>
          <w:ilvl w:val="0"/>
          <w:numId w:val="27"/>
        </w:numPr>
        <w:spacing w:after="140" w:line="300" w:lineRule="atLeast"/>
        <w:ind w:left="357" w:right="0" w:hanging="357"/>
        <w:jc w:val="left"/>
        <w:rPr>
          <w:rFonts w:ascii="Gill Sans MT" w:hAnsi="Gill Sans MT"/>
        </w:rPr>
      </w:pPr>
      <w:r w:rsidRPr="00357DB9">
        <w:rPr>
          <w:rFonts w:ascii="Gill Sans MT" w:hAnsi="Gill Sans MT"/>
        </w:rPr>
        <w:t>Transition Grant</w:t>
      </w:r>
    </w:p>
    <w:p w:rsidR="007F563C" w:rsidRPr="00895851" w:rsidRDefault="007F563C" w:rsidP="007F563C">
      <w:pPr>
        <w:rPr>
          <w:b/>
        </w:rPr>
      </w:pPr>
      <w:bookmarkStart w:id="96" w:name="_Toc422743294"/>
      <w:r w:rsidRPr="00895851">
        <w:rPr>
          <w:b/>
        </w:rPr>
        <w:t>Grant Funding</w:t>
      </w:r>
      <w:bookmarkEnd w:id="96"/>
    </w:p>
    <w:p w:rsidR="007F563C" w:rsidRPr="003B1299" w:rsidRDefault="007F563C" w:rsidP="00895851">
      <w:pPr>
        <w:spacing w:after="120" w:line="300" w:lineRule="atLeast"/>
      </w:pPr>
      <w:r>
        <w:t>In 2017</w:t>
      </w:r>
      <w:r w:rsidRPr="003B1299">
        <w:t>-1</w:t>
      </w:r>
      <w:r>
        <w:t>8</w:t>
      </w:r>
      <w:r w:rsidRPr="003B1299">
        <w:t>, the following services will be provided with a funding grant:</w:t>
      </w:r>
    </w:p>
    <w:p w:rsidR="007F563C" w:rsidRPr="00357DB9" w:rsidRDefault="00385F62" w:rsidP="00357DB9">
      <w:pPr>
        <w:pStyle w:val="ListParagraph"/>
        <w:numPr>
          <w:ilvl w:val="0"/>
          <w:numId w:val="27"/>
        </w:numPr>
        <w:spacing w:after="140" w:line="300" w:lineRule="atLeast"/>
        <w:ind w:left="357" w:right="0" w:hanging="357"/>
        <w:jc w:val="left"/>
        <w:rPr>
          <w:rFonts w:ascii="Gill Sans MT" w:hAnsi="Gill Sans MT"/>
        </w:rPr>
      </w:pPr>
      <w:r>
        <w:rPr>
          <w:rFonts w:ascii="Gill Sans MT" w:hAnsi="Gill Sans MT"/>
        </w:rPr>
        <w:t>Mersey Community Hospital</w:t>
      </w:r>
    </w:p>
    <w:p w:rsidR="007F563C" w:rsidRPr="00357DB9" w:rsidRDefault="007F563C" w:rsidP="00357DB9">
      <w:pPr>
        <w:pStyle w:val="ListParagraph"/>
        <w:numPr>
          <w:ilvl w:val="0"/>
          <w:numId w:val="27"/>
        </w:numPr>
        <w:spacing w:after="140" w:line="300" w:lineRule="atLeast"/>
        <w:ind w:left="357" w:right="0" w:hanging="357"/>
        <w:jc w:val="left"/>
        <w:rPr>
          <w:rFonts w:ascii="Gill Sans MT" w:hAnsi="Gill Sans MT"/>
        </w:rPr>
      </w:pPr>
      <w:r w:rsidRPr="00357DB9">
        <w:rPr>
          <w:rFonts w:ascii="Gill Sans MT" w:hAnsi="Gill Sans MT"/>
        </w:rPr>
        <w:t>Primary Health Services (includes rural hospitals)</w:t>
      </w:r>
    </w:p>
    <w:p w:rsidR="007F563C" w:rsidRPr="00357DB9" w:rsidRDefault="007F563C" w:rsidP="00357DB9">
      <w:pPr>
        <w:pStyle w:val="ListParagraph"/>
        <w:numPr>
          <w:ilvl w:val="0"/>
          <w:numId w:val="27"/>
        </w:numPr>
        <w:spacing w:after="140" w:line="300" w:lineRule="atLeast"/>
        <w:ind w:left="357" w:right="0" w:hanging="357"/>
        <w:jc w:val="left"/>
        <w:rPr>
          <w:rFonts w:ascii="Gill Sans MT" w:hAnsi="Gill Sans MT"/>
        </w:rPr>
      </w:pPr>
      <w:r w:rsidRPr="00357DB9">
        <w:rPr>
          <w:rFonts w:ascii="Gill Sans MT" w:hAnsi="Gill Sans MT"/>
        </w:rPr>
        <w:t>Mental Health Services (excluding mental health inpatient services)</w:t>
      </w:r>
    </w:p>
    <w:p w:rsidR="007F563C" w:rsidRPr="00357DB9" w:rsidRDefault="007F563C" w:rsidP="00357DB9">
      <w:pPr>
        <w:pStyle w:val="ListParagraph"/>
        <w:numPr>
          <w:ilvl w:val="0"/>
          <w:numId w:val="27"/>
        </w:numPr>
        <w:spacing w:after="140" w:line="300" w:lineRule="atLeast"/>
        <w:ind w:left="357" w:right="0" w:hanging="357"/>
        <w:jc w:val="left"/>
        <w:rPr>
          <w:rFonts w:ascii="Gill Sans MT" w:hAnsi="Gill Sans MT"/>
        </w:rPr>
      </w:pPr>
      <w:r w:rsidRPr="00357DB9">
        <w:rPr>
          <w:rFonts w:ascii="Gill Sans MT" w:hAnsi="Gill Sans MT"/>
        </w:rPr>
        <w:t xml:space="preserve">Alcohol and Drug Services </w:t>
      </w:r>
    </w:p>
    <w:p w:rsidR="007F563C" w:rsidRPr="00357DB9" w:rsidRDefault="007F563C" w:rsidP="00357DB9">
      <w:pPr>
        <w:pStyle w:val="ListParagraph"/>
        <w:numPr>
          <w:ilvl w:val="0"/>
          <w:numId w:val="27"/>
        </w:numPr>
        <w:spacing w:after="140" w:line="300" w:lineRule="atLeast"/>
        <w:ind w:left="357" w:right="0" w:hanging="357"/>
        <w:jc w:val="left"/>
        <w:rPr>
          <w:rFonts w:ascii="Gill Sans MT" w:hAnsi="Gill Sans MT"/>
        </w:rPr>
      </w:pPr>
      <w:r w:rsidRPr="00357DB9">
        <w:rPr>
          <w:rFonts w:ascii="Gill Sans MT" w:hAnsi="Gill Sans MT"/>
        </w:rPr>
        <w:t>Oral Health Services, partly delivered with Commonwealth funding</w:t>
      </w:r>
    </w:p>
    <w:p w:rsidR="007F563C" w:rsidRPr="00357DB9" w:rsidRDefault="007F563C" w:rsidP="00357DB9">
      <w:pPr>
        <w:pStyle w:val="ListParagraph"/>
        <w:numPr>
          <w:ilvl w:val="0"/>
          <w:numId w:val="27"/>
        </w:numPr>
        <w:spacing w:after="140" w:line="300" w:lineRule="atLeast"/>
        <w:ind w:left="357" w:right="0" w:hanging="357"/>
        <w:jc w:val="left"/>
        <w:rPr>
          <w:rFonts w:ascii="Gill Sans MT" w:hAnsi="Gill Sans MT"/>
        </w:rPr>
      </w:pPr>
      <w:r w:rsidRPr="00357DB9">
        <w:rPr>
          <w:rFonts w:ascii="Gill Sans MT" w:hAnsi="Gill Sans MT"/>
        </w:rPr>
        <w:t>Forensic Medical Services</w:t>
      </w:r>
    </w:p>
    <w:p w:rsidR="007F563C" w:rsidRPr="00357DB9" w:rsidRDefault="007F563C" w:rsidP="00357DB9">
      <w:pPr>
        <w:pStyle w:val="ListParagraph"/>
        <w:numPr>
          <w:ilvl w:val="0"/>
          <w:numId w:val="27"/>
        </w:numPr>
        <w:spacing w:after="140" w:line="300" w:lineRule="atLeast"/>
        <w:ind w:left="357" w:right="0" w:hanging="357"/>
        <w:jc w:val="left"/>
        <w:rPr>
          <w:rFonts w:ascii="Gill Sans MT" w:hAnsi="Gill Sans MT"/>
        </w:rPr>
      </w:pPr>
      <w:r w:rsidRPr="00357DB9">
        <w:rPr>
          <w:rFonts w:ascii="Gill Sans MT" w:hAnsi="Gill Sans MT"/>
        </w:rPr>
        <w:t>Cancer Screening and Control, partly delivered with Commonwealth funding</w:t>
      </w:r>
    </w:p>
    <w:p w:rsidR="007F563C" w:rsidRPr="00357DB9" w:rsidRDefault="007F563C" w:rsidP="00357DB9">
      <w:pPr>
        <w:pStyle w:val="ListParagraph"/>
        <w:numPr>
          <w:ilvl w:val="0"/>
          <w:numId w:val="27"/>
        </w:numPr>
        <w:spacing w:after="140" w:line="300" w:lineRule="atLeast"/>
        <w:ind w:left="357" w:right="0" w:hanging="357"/>
        <w:jc w:val="left"/>
        <w:rPr>
          <w:rFonts w:ascii="Gill Sans MT" w:hAnsi="Gill Sans MT"/>
        </w:rPr>
      </w:pPr>
      <w:r w:rsidRPr="00357DB9">
        <w:rPr>
          <w:rFonts w:ascii="Gill Sans MT" w:hAnsi="Gill Sans MT"/>
        </w:rPr>
        <w:t>Patient Travel Assistance Scheme</w:t>
      </w:r>
    </w:p>
    <w:p w:rsidR="007F563C" w:rsidRPr="00357DB9" w:rsidRDefault="007F563C" w:rsidP="00357DB9">
      <w:pPr>
        <w:pStyle w:val="ListParagraph"/>
        <w:numPr>
          <w:ilvl w:val="0"/>
          <w:numId w:val="27"/>
        </w:numPr>
        <w:spacing w:after="140" w:line="300" w:lineRule="atLeast"/>
        <w:ind w:left="357" w:right="0" w:hanging="357"/>
        <w:jc w:val="left"/>
        <w:rPr>
          <w:rFonts w:ascii="Gill Sans MT" w:hAnsi="Gill Sans MT"/>
        </w:rPr>
      </w:pPr>
      <w:r w:rsidRPr="00357DB9">
        <w:rPr>
          <w:rFonts w:ascii="Gill Sans MT" w:hAnsi="Gill Sans MT"/>
        </w:rPr>
        <w:t xml:space="preserve">One THS </w:t>
      </w:r>
    </w:p>
    <w:p w:rsidR="007F563C" w:rsidRPr="00357DB9" w:rsidRDefault="007F563C" w:rsidP="00357DB9">
      <w:pPr>
        <w:pStyle w:val="ListParagraph"/>
        <w:numPr>
          <w:ilvl w:val="0"/>
          <w:numId w:val="27"/>
        </w:numPr>
        <w:spacing w:after="140" w:line="300" w:lineRule="atLeast"/>
        <w:ind w:left="357" w:right="0" w:hanging="357"/>
        <w:jc w:val="left"/>
        <w:rPr>
          <w:rFonts w:ascii="Gill Sans MT" w:hAnsi="Gill Sans MT"/>
        </w:rPr>
      </w:pPr>
      <w:r w:rsidRPr="00357DB9">
        <w:rPr>
          <w:rFonts w:ascii="Gill Sans MT" w:hAnsi="Gill Sans MT"/>
        </w:rPr>
        <w:t>Equipment Replacement</w:t>
      </w:r>
    </w:p>
    <w:p w:rsidR="00357DB9" w:rsidRPr="00895851" w:rsidRDefault="007F563C" w:rsidP="00895851">
      <w:pPr>
        <w:pStyle w:val="ListParagraph"/>
        <w:numPr>
          <w:ilvl w:val="0"/>
          <w:numId w:val="27"/>
        </w:numPr>
        <w:spacing w:after="140" w:line="300" w:lineRule="atLeast"/>
        <w:ind w:left="357" w:right="0" w:hanging="357"/>
        <w:jc w:val="left"/>
        <w:rPr>
          <w:rFonts w:ascii="Gill Sans MT" w:hAnsi="Gill Sans MT"/>
        </w:rPr>
      </w:pPr>
      <w:r w:rsidRPr="00357DB9">
        <w:rPr>
          <w:rFonts w:ascii="Gill Sans MT" w:hAnsi="Gill Sans MT"/>
        </w:rPr>
        <w:t>Child Health and Parenting Service</w:t>
      </w:r>
    </w:p>
    <w:p w:rsidR="00895851" w:rsidRDefault="00895851">
      <w:pPr>
        <w:rPr>
          <w:b/>
        </w:rPr>
      </w:pPr>
      <w:r>
        <w:rPr>
          <w:b/>
        </w:rPr>
        <w:br w:type="page"/>
      </w:r>
    </w:p>
    <w:p w:rsidR="007F563C" w:rsidRPr="001F4259" w:rsidRDefault="007F563C" w:rsidP="007F563C">
      <w:pPr>
        <w:spacing w:after="120" w:line="300" w:lineRule="atLeast"/>
        <w:rPr>
          <w:b/>
        </w:rPr>
      </w:pPr>
      <w:r>
        <w:rPr>
          <w:b/>
        </w:rPr>
        <w:t>Inpatient</w:t>
      </w:r>
      <w:r w:rsidRPr="001F4259">
        <w:rPr>
          <w:b/>
        </w:rPr>
        <w:t xml:space="preserve"> Funding</w:t>
      </w:r>
    </w:p>
    <w:p w:rsidR="007F563C" w:rsidRDefault="007F563C" w:rsidP="007F563C">
      <w:pPr>
        <w:spacing w:after="120" w:line="300" w:lineRule="atLeast"/>
      </w:pPr>
      <w:r w:rsidRPr="006C7976">
        <w:t xml:space="preserve">The IHPA has determined the </w:t>
      </w:r>
      <w:r w:rsidRPr="001F4259">
        <w:t xml:space="preserve">Australian Refined Diagnosis Related Group (AR-DRG) </w:t>
      </w:r>
      <w:r>
        <w:t xml:space="preserve">version 8.0 </w:t>
      </w:r>
      <w:r w:rsidRPr="006C7976">
        <w:t xml:space="preserve">classification </w:t>
      </w:r>
      <w:proofErr w:type="gramStart"/>
      <w:r w:rsidRPr="006C7976">
        <w:t>system</w:t>
      </w:r>
      <w:proofErr w:type="gramEnd"/>
      <w:r w:rsidRPr="006C7976">
        <w:t xml:space="preserve"> will be used to classify </w:t>
      </w:r>
      <w:r>
        <w:t>and calculate price weights for inpatient</w:t>
      </w:r>
      <w:r w:rsidRPr="006C7976">
        <w:t xml:space="preserve"> servic</w:t>
      </w:r>
      <w:r>
        <w:t>es under the national ABF model which Tasmania has adopted.</w:t>
      </w:r>
    </w:p>
    <w:p w:rsidR="007F563C" w:rsidRDefault="007F563C" w:rsidP="007F563C">
      <w:pPr>
        <w:spacing w:after="120" w:line="300" w:lineRule="atLeast"/>
      </w:pPr>
      <w:r>
        <w:t xml:space="preserve">Activity data at </w:t>
      </w:r>
      <w:r w:rsidRPr="001F4259">
        <w:t xml:space="preserve">(AR-DRG) </w:t>
      </w:r>
      <w:r>
        <w:t xml:space="preserve">v8.0 </w:t>
      </w:r>
      <w:r w:rsidRPr="001F4259">
        <w:t xml:space="preserve">level is used to set the </w:t>
      </w:r>
      <w:r>
        <w:t xml:space="preserve">activity </w:t>
      </w:r>
      <w:r w:rsidRPr="001F4259">
        <w:t xml:space="preserve">volume and complexity of acute admitted services to be funded, where the admitting care type is ‘Acute including qualified newborn’ and the </w:t>
      </w:r>
      <w:r>
        <w:t>treatment is eligible for NWAU weighting</w:t>
      </w:r>
      <w:r w:rsidRPr="001F4259">
        <w:t>.  The only exception to using the admitting care type is in the instance where an ‘unqualified newborn’ becomes qualified during the same episode of care.  In this instance, the discharge care type of ‘Acute including qualified newborn’ is used.</w:t>
      </w:r>
      <w:r w:rsidRPr="00DC47FD">
        <w:t xml:space="preserve">  </w:t>
      </w:r>
    </w:p>
    <w:p w:rsidR="007F563C" w:rsidRDefault="007F563C" w:rsidP="007F563C">
      <w:pPr>
        <w:spacing w:after="120" w:line="300" w:lineRule="atLeast"/>
      </w:pPr>
      <w:r w:rsidRPr="001F4259">
        <w:t xml:space="preserve">Price weights </w:t>
      </w:r>
      <w:r>
        <w:t>are</w:t>
      </w:r>
      <w:r w:rsidRPr="001F4259">
        <w:t xml:space="preserve"> based on</w:t>
      </w:r>
      <w:r>
        <w:t xml:space="preserve"> the </w:t>
      </w:r>
      <w:r w:rsidRPr="002546CD">
        <w:t>Independent</w:t>
      </w:r>
      <w:r>
        <w:t xml:space="preserve"> </w:t>
      </w:r>
      <w:r w:rsidRPr="002546CD">
        <w:t>Hospit</w:t>
      </w:r>
      <w:r>
        <w:t>al Pricing Authority (IHPA) 2017</w:t>
      </w:r>
      <w:r w:rsidRPr="002546CD">
        <w:t>-1</w:t>
      </w:r>
      <w:r>
        <w:t>8</w:t>
      </w:r>
      <w:r w:rsidRPr="002546CD">
        <w:t xml:space="preserve"> price </w:t>
      </w:r>
      <w:r>
        <w:t>weights</w:t>
      </w:r>
      <w:r w:rsidRPr="001F4259">
        <w:t xml:space="preserve"> associated with AR-DRG version 8 for acute inpatient services.  Where a separation meets the definition of activity data (above), its price </w:t>
      </w:r>
      <w:r>
        <w:t xml:space="preserve">weight </w:t>
      </w:r>
      <w:r w:rsidRPr="001F4259">
        <w:t>is determined by its AR-DRG.</w:t>
      </w:r>
      <w:r>
        <w:t xml:space="preserve">  Price weights Inpatients can be found at </w:t>
      </w:r>
      <w:hyperlink r:id="rId17" w:history="1">
        <w:r w:rsidRPr="005D235C">
          <w:rPr>
            <w:rStyle w:val="Hyperlink"/>
          </w:rPr>
          <w:t>https://www.ihpa.gov.au/sites/g/files/net636/f/nep.pdf</w:t>
        </w:r>
      </w:hyperlink>
      <w:r>
        <w:t xml:space="preserve"> in Appendix H of the NEP determination 2017-18.</w:t>
      </w:r>
    </w:p>
    <w:p w:rsidR="007F563C" w:rsidRPr="00E25E36" w:rsidRDefault="007F563C" w:rsidP="007F563C">
      <w:pPr>
        <w:spacing w:after="120" w:line="300" w:lineRule="atLeast"/>
        <w:rPr>
          <w:b/>
        </w:rPr>
      </w:pPr>
      <w:r w:rsidRPr="00E25E36">
        <w:rPr>
          <w:b/>
        </w:rPr>
        <w:t xml:space="preserve">Table </w:t>
      </w:r>
      <w:r>
        <w:rPr>
          <w:b/>
        </w:rPr>
        <w:t>1 – Pricing for Inpatients</w:t>
      </w:r>
    </w:p>
    <w:tbl>
      <w:tblPr>
        <w:tblStyle w:val="TableGrid"/>
        <w:tblW w:w="0" w:type="auto"/>
        <w:tblLook w:val="04A0" w:firstRow="1" w:lastRow="0" w:firstColumn="1" w:lastColumn="0" w:noHBand="0" w:noVBand="1"/>
        <w:tblCaption w:val="Table 1"/>
        <w:tblDescription w:val="Pricing for Inpatients"/>
      </w:tblPr>
      <w:tblGrid>
        <w:gridCol w:w="2165"/>
        <w:gridCol w:w="2164"/>
        <w:gridCol w:w="2537"/>
        <w:gridCol w:w="2150"/>
      </w:tblGrid>
      <w:tr w:rsidR="007F563C" w:rsidRPr="00AC7121" w:rsidTr="00BD59F3">
        <w:trPr>
          <w:tblHeader/>
        </w:trPr>
        <w:tc>
          <w:tcPr>
            <w:tcW w:w="2165" w:type="dxa"/>
            <w:shd w:val="clear" w:color="auto" w:fill="D9D9D9" w:themeFill="background1" w:themeFillShade="D9"/>
          </w:tcPr>
          <w:p w:rsidR="007F563C" w:rsidRPr="00AC7121" w:rsidRDefault="007F563C" w:rsidP="007F563C">
            <w:pPr>
              <w:spacing w:before="60" w:after="60"/>
              <w:rPr>
                <w:b/>
                <w:sz w:val="18"/>
                <w:szCs w:val="18"/>
              </w:rPr>
            </w:pPr>
            <w:r>
              <w:rPr>
                <w:b/>
                <w:sz w:val="18"/>
                <w:szCs w:val="18"/>
              </w:rPr>
              <w:t>Stream</w:t>
            </w:r>
          </w:p>
        </w:tc>
        <w:tc>
          <w:tcPr>
            <w:tcW w:w="2164" w:type="dxa"/>
            <w:shd w:val="clear" w:color="auto" w:fill="D9D9D9" w:themeFill="background1" w:themeFillShade="D9"/>
          </w:tcPr>
          <w:p w:rsidR="007F563C" w:rsidRPr="00AC7121" w:rsidRDefault="007F563C" w:rsidP="007F563C">
            <w:pPr>
              <w:spacing w:before="60" w:after="60"/>
              <w:rPr>
                <w:b/>
                <w:sz w:val="18"/>
                <w:szCs w:val="18"/>
              </w:rPr>
            </w:pPr>
            <w:r>
              <w:rPr>
                <w:b/>
                <w:sz w:val="18"/>
                <w:szCs w:val="18"/>
              </w:rPr>
              <w:t>Activity Measure</w:t>
            </w:r>
          </w:p>
        </w:tc>
        <w:tc>
          <w:tcPr>
            <w:tcW w:w="2537" w:type="dxa"/>
            <w:shd w:val="clear" w:color="auto" w:fill="D9D9D9" w:themeFill="background1" w:themeFillShade="D9"/>
          </w:tcPr>
          <w:p w:rsidR="007F563C" w:rsidRPr="00AC7121" w:rsidRDefault="007F563C" w:rsidP="007F563C">
            <w:pPr>
              <w:spacing w:before="60" w:after="60"/>
              <w:rPr>
                <w:b/>
                <w:sz w:val="18"/>
                <w:szCs w:val="18"/>
              </w:rPr>
            </w:pPr>
            <w:r>
              <w:rPr>
                <w:b/>
                <w:sz w:val="18"/>
                <w:szCs w:val="18"/>
              </w:rPr>
              <w:t>Classification</w:t>
            </w:r>
          </w:p>
        </w:tc>
        <w:tc>
          <w:tcPr>
            <w:tcW w:w="2150" w:type="dxa"/>
            <w:shd w:val="clear" w:color="auto" w:fill="D9D9D9" w:themeFill="background1" w:themeFillShade="D9"/>
          </w:tcPr>
          <w:p w:rsidR="007F563C" w:rsidRPr="00AC7121" w:rsidRDefault="007F563C" w:rsidP="007F563C">
            <w:pPr>
              <w:spacing w:before="60" w:after="60"/>
              <w:ind w:right="170"/>
              <w:jc w:val="right"/>
              <w:rPr>
                <w:b/>
                <w:sz w:val="18"/>
                <w:szCs w:val="18"/>
              </w:rPr>
            </w:pPr>
            <w:r>
              <w:rPr>
                <w:b/>
                <w:sz w:val="18"/>
                <w:szCs w:val="18"/>
              </w:rPr>
              <w:t>Price per Unit $</w:t>
            </w:r>
          </w:p>
        </w:tc>
      </w:tr>
      <w:tr w:rsidR="007F563C" w:rsidRPr="00AC7121" w:rsidTr="007F563C">
        <w:tc>
          <w:tcPr>
            <w:tcW w:w="2165" w:type="dxa"/>
          </w:tcPr>
          <w:p w:rsidR="007F563C" w:rsidRDefault="007F563C" w:rsidP="007F563C">
            <w:pPr>
              <w:spacing w:before="60" w:after="60"/>
              <w:rPr>
                <w:sz w:val="18"/>
                <w:szCs w:val="18"/>
              </w:rPr>
            </w:pPr>
            <w:r>
              <w:rPr>
                <w:sz w:val="18"/>
                <w:szCs w:val="18"/>
              </w:rPr>
              <w:t>Inpatient</w:t>
            </w:r>
          </w:p>
        </w:tc>
        <w:tc>
          <w:tcPr>
            <w:tcW w:w="2164" w:type="dxa"/>
          </w:tcPr>
          <w:p w:rsidR="007F563C" w:rsidRDefault="007F563C" w:rsidP="007F563C">
            <w:pPr>
              <w:spacing w:before="60" w:after="60"/>
              <w:rPr>
                <w:sz w:val="18"/>
                <w:szCs w:val="18"/>
              </w:rPr>
            </w:pPr>
            <w:r>
              <w:rPr>
                <w:sz w:val="18"/>
                <w:szCs w:val="18"/>
              </w:rPr>
              <w:t>NWAU</w:t>
            </w:r>
          </w:p>
        </w:tc>
        <w:tc>
          <w:tcPr>
            <w:tcW w:w="2537" w:type="dxa"/>
          </w:tcPr>
          <w:p w:rsidR="007F563C" w:rsidRPr="00AC7121" w:rsidRDefault="007F563C" w:rsidP="007F563C">
            <w:pPr>
              <w:spacing w:before="60" w:after="60"/>
              <w:rPr>
                <w:sz w:val="18"/>
                <w:szCs w:val="18"/>
              </w:rPr>
            </w:pPr>
            <w:r>
              <w:rPr>
                <w:sz w:val="18"/>
                <w:szCs w:val="18"/>
              </w:rPr>
              <w:t>AR-DRG v8.0</w:t>
            </w:r>
          </w:p>
        </w:tc>
        <w:tc>
          <w:tcPr>
            <w:tcW w:w="2150" w:type="dxa"/>
          </w:tcPr>
          <w:p w:rsidR="007F563C" w:rsidRPr="00AC7121" w:rsidRDefault="007F563C" w:rsidP="007F563C">
            <w:pPr>
              <w:spacing w:before="60" w:after="60"/>
              <w:ind w:right="170"/>
              <w:jc w:val="right"/>
              <w:rPr>
                <w:sz w:val="18"/>
                <w:szCs w:val="18"/>
              </w:rPr>
            </w:pPr>
            <w:r>
              <w:rPr>
                <w:sz w:val="18"/>
                <w:szCs w:val="18"/>
              </w:rPr>
              <w:t>4,910</w:t>
            </w:r>
          </w:p>
        </w:tc>
      </w:tr>
    </w:tbl>
    <w:p w:rsidR="007F563C" w:rsidRDefault="007F563C" w:rsidP="007F563C">
      <w:pPr>
        <w:spacing w:after="120" w:line="300" w:lineRule="atLeast"/>
      </w:pPr>
    </w:p>
    <w:p w:rsidR="007F563C" w:rsidRDefault="007F563C" w:rsidP="007F563C">
      <w:pPr>
        <w:spacing w:after="120" w:line="300" w:lineRule="atLeast"/>
      </w:pPr>
      <w:r>
        <w:t>Where it is deemed the average price weight does not meet cost</w:t>
      </w:r>
      <w:r w:rsidR="007E39DF">
        <w:t>,</w:t>
      </w:r>
      <w:r>
        <w:t xml:space="preserve"> adjustments </w:t>
      </w:r>
      <w:proofErr w:type="gramStart"/>
      <w:r>
        <w:t>are</w:t>
      </w:r>
      <w:proofErr w:type="gramEnd"/>
      <w:r>
        <w:t xml:space="preserve"> made to price weights.  Adjustments are detailed below and applied in the following order:</w:t>
      </w:r>
    </w:p>
    <w:p w:rsidR="007F563C" w:rsidRPr="00357DB9" w:rsidRDefault="007F563C" w:rsidP="00357DB9">
      <w:pPr>
        <w:pStyle w:val="ListParagraph"/>
        <w:numPr>
          <w:ilvl w:val="0"/>
          <w:numId w:val="43"/>
        </w:numPr>
        <w:spacing w:after="140" w:line="300" w:lineRule="atLeast"/>
        <w:ind w:right="0"/>
        <w:jc w:val="left"/>
        <w:rPr>
          <w:rFonts w:ascii="Gill Sans MT" w:hAnsi="Gill Sans MT"/>
        </w:rPr>
      </w:pPr>
      <w:proofErr w:type="spellStart"/>
      <w:r w:rsidRPr="00357DB9">
        <w:rPr>
          <w:rFonts w:ascii="Gill Sans MT" w:hAnsi="Gill Sans MT"/>
        </w:rPr>
        <w:t>Paediatric</w:t>
      </w:r>
      <w:proofErr w:type="spellEnd"/>
      <w:r w:rsidRPr="00357DB9">
        <w:rPr>
          <w:rFonts w:ascii="Gill Sans MT" w:hAnsi="Gill Sans MT"/>
        </w:rPr>
        <w:t xml:space="preserve"> Adjustment; then</w:t>
      </w:r>
    </w:p>
    <w:p w:rsidR="007F563C" w:rsidRPr="00357DB9" w:rsidRDefault="007F563C" w:rsidP="00357DB9">
      <w:pPr>
        <w:pStyle w:val="ListParagraph"/>
        <w:numPr>
          <w:ilvl w:val="0"/>
          <w:numId w:val="43"/>
        </w:numPr>
        <w:spacing w:after="140" w:line="300" w:lineRule="atLeast"/>
        <w:ind w:right="0"/>
        <w:jc w:val="left"/>
        <w:rPr>
          <w:rFonts w:ascii="Gill Sans MT" w:hAnsi="Gill Sans MT"/>
        </w:rPr>
      </w:pPr>
      <w:r w:rsidRPr="00357DB9">
        <w:rPr>
          <w:rFonts w:ascii="Gill Sans MT" w:hAnsi="Gill Sans MT"/>
        </w:rPr>
        <w:t>Specialist Psychiatric Age Adjustment; then</w:t>
      </w:r>
    </w:p>
    <w:p w:rsidR="007F563C" w:rsidRPr="00357DB9" w:rsidRDefault="007F563C" w:rsidP="00357DB9">
      <w:pPr>
        <w:pStyle w:val="ListParagraph"/>
        <w:numPr>
          <w:ilvl w:val="0"/>
          <w:numId w:val="43"/>
        </w:numPr>
        <w:spacing w:after="140" w:line="300" w:lineRule="atLeast"/>
        <w:ind w:right="0"/>
        <w:jc w:val="left"/>
        <w:rPr>
          <w:rFonts w:ascii="Gill Sans MT" w:hAnsi="Gill Sans MT"/>
        </w:rPr>
      </w:pPr>
      <w:r w:rsidRPr="00357DB9">
        <w:rPr>
          <w:rFonts w:ascii="Gill Sans MT" w:hAnsi="Gill Sans MT"/>
        </w:rPr>
        <w:t>Patient Remoteness Area Adjustment; then</w:t>
      </w:r>
    </w:p>
    <w:p w:rsidR="007F563C" w:rsidRPr="00357DB9" w:rsidRDefault="007F563C" w:rsidP="00357DB9">
      <w:pPr>
        <w:pStyle w:val="ListParagraph"/>
        <w:numPr>
          <w:ilvl w:val="0"/>
          <w:numId w:val="43"/>
        </w:numPr>
        <w:spacing w:after="140" w:line="300" w:lineRule="atLeast"/>
        <w:ind w:right="0"/>
        <w:jc w:val="left"/>
        <w:rPr>
          <w:rFonts w:ascii="Gill Sans MT" w:hAnsi="Gill Sans MT"/>
        </w:rPr>
      </w:pPr>
      <w:r w:rsidRPr="00357DB9">
        <w:rPr>
          <w:rFonts w:ascii="Gill Sans MT" w:hAnsi="Gill Sans MT"/>
        </w:rPr>
        <w:t xml:space="preserve">Indigenous Adjustment; then </w:t>
      </w:r>
    </w:p>
    <w:p w:rsidR="007F563C" w:rsidRPr="00357DB9" w:rsidRDefault="007F563C" w:rsidP="00357DB9">
      <w:pPr>
        <w:pStyle w:val="ListParagraph"/>
        <w:numPr>
          <w:ilvl w:val="0"/>
          <w:numId w:val="43"/>
        </w:numPr>
        <w:spacing w:after="140" w:line="300" w:lineRule="atLeast"/>
        <w:ind w:right="0"/>
        <w:jc w:val="left"/>
        <w:rPr>
          <w:rFonts w:ascii="Gill Sans MT" w:hAnsi="Gill Sans MT"/>
        </w:rPr>
      </w:pPr>
      <w:r w:rsidRPr="00357DB9">
        <w:rPr>
          <w:rFonts w:ascii="Gill Sans MT" w:hAnsi="Gill Sans MT"/>
        </w:rPr>
        <w:t xml:space="preserve">Radiotherapy Adjustment; then </w:t>
      </w:r>
    </w:p>
    <w:p w:rsidR="007F563C" w:rsidRPr="00357DB9" w:rsidRDefault="007F563C" w:rsidP="00357DB9">
      <w:pPr>
        <w:pStyle w:val="ListParagraph"/>
        <w:numPr>
          <w:ilvl w:val="0"/>
          <w:numId w:val="43"/>
        </w:numPr>
        <w:spacing w:after="140" w:line="300" w:lineRule="atLeast"/>
        <w:ind w:right="0"/>
        <w:jc w:val="left"/>
        <w:rPr>
          <w:rFonts w:ascii="Gill Sans MT" w:hAnsi="Gill Sans MT"/>
        </w:rPr>
      </w:pPr>
      <w:r w:rsidRPr="00357DB9">
        <w:rPr>
          <w:rFonts w:ascii="Gill Sans MT" w:hAnsi="Gill Sans MT"/>
        </w:rPr>
        <w:t>Dialysis Adjustment; then</w:t>
      </w:r>
    </w:p>
    <w:p w:rsidR="007F563C" w:rsidRPr="00357DB9" w:rsidRDefault="007F563C" w:rsidP="00357DB9">
      <w:pPr>
        <w:pStyle w:val="ListParagraph"/>
        <w:numPr>
          <w:ilvl w:val="0"/>
          <w:numId w:val="43"/>
        </w:numPr>
        <w:spacing w:after="140" w:line="300" w:lineRule="atLeast"/>
        <w:ind w:right="0"/>
        <w:jc w:val="left"/>
        <w:rPr>
          <w:rFonts w:ascii="Gill Sans MT" w:hAnsi="Gill Sans MT"/>
        </w:rPr>
      </w:pPr>
      <w:r w:rsidRPr="00357DB9">
        <w:rPr>
          <w:rFonts w:ascii="Gill Sans MT" w:hAnsi="Gill Sans MT"/>
        </w:rPr>
        <w:t xml:space="preserve">Intensive Care Unit (ICU) Adjustment; then </w:t>
      </w:r>
    </w:p>
    <w:p w:rsidR="007F563C" w:rsidRPr="00357DB9" w:rsidRDefault="007F563C" w:rsidP="00357DB9">
      <w:pPr>
        <w:pStyle w:val="ListParagraph"/>
        <w:numPr>
          <w:ilvl w:val="0"/>
          <w:numId w:val="43"/>
        </w:numPr>
        <w:spacing w:after="140" w:line="300" w:lineRule="atLeast"/>
        <w:ind w:right="0"/>
        <w:jc w:val="left"/>
        <w:rPr>
          <w:rFonts w:ascii="Gill Sans MT" w:hAnsi="Gill Sans MT"/>
        </w:rPr>
      </w:pPr>
      <w:r w:rsidRPr="00357DB9">
        <w:rPr>
          <w:rFonts w:ascii="Gill Sans MT" w:hAnsi="Gill Sans MT"/>
        </w:rPr>
        <w:t xml:space="preserve">Private Patient Service Adjustment; then </w:t>
      </w:r>
    </w:p>
    <w:p w:rsidR="007F563C" w:rsidRPr="00357DB9" w:rsidRDefault="007F563C" w:rsidP="00357DB9">
      <w:pPr>
        <w:pStyle w:val="ListParagraph"/>
        <w:numPr>
          <w:ilvl w:val="0"/>
          <w:numId w:val="43"/>
        </w:numPr>
        <w:spacing w:after="140" w:line="300" w:lineRule="atLeast"/>
        <w:ind w:right="0"/>
        <w:jc w:val="left"/>
        <w:rPr>
          <w:rFonts w:ascii="Gill Sans MT" w:hAnsi="Gill Sans MT"/>
        </w:rPr>
      </w:pPr>
      <w:r w:rsidRPr="00357DB9">
        <w:rPr>
          <w:rFonts w:ascii="Gill Sans MT" w:hAnsi="Gill Sans MT"/>
        </w:rPr>
        <w:t xml:space="preserve">Private Patient Accommodation Adjustment; then </w:t>
      </w:r>
    </w:p>
    <w:p w:rsidR="007F563C" w:rsidRPr="00357DB9" w:rsidRDefault="007F563C" w:rsidP="00357DB9">
      <w:pPr>
        <w:pStyle w:val="ListParagraph"/>
        <w:numPr>
          <w:ilvl w:val="0"/>
          <w:numId w:val="43"/>
        </w:numPr>
        <w:spacing w:after="140" w:line="300" w:lineRule="atLeast"/>
        <w:ind w:right="0"/>
        <w:jc w:val="left"/>
        <w:rPr>
          <w:rFonts w:ascii="Gill Sans MT" w:hAnsi="Gill Sans MT"/>
        </w:rPr>
      </w:pPr>
      <w:r w:rsidRPr="00357DB9">
        <w:rPr>
          <w:rFonts w:ascii="Gill Sans MT" w:hAnsi="Gill Sans MT"/>
        </w:rPr>
        <w:t xml:space="preserve">Multidisciplinary Clinic Adjustment; then </w:t>
      </w:r>
    </w:p>
    <w:p w:rsidR="007F563C" w:rsidRDefault="007F563C" w:rsidP="00357DB9">
      <w:pPr>
        <w:pStyle w:val="ListParagraph"/>
        <w:numPr>
          <w:ilvl w:val="0"/>
          <w:numId w:val="43"/>
        </w:numPr>
        <w:spacing w:after="140" w:line="300" w:lineRule="atLeast"/>
        <w:ind w:right="0"/>
        <w:jc w:val="left"/>
      </w:pPr>
      <w:r w:rsidRPr="00357DB9">
        <w:rPr>
          <w:rFonts w:ascii="Gill Sans MT" w:hAnsi="Gill Sans MT"/>
        </w:rPr>
        <w:t>Emergency Care Age Adjustment</w:t>
      </w:r>
    </w:p>
    <w:p w:rsidR="007F563C" w:rsidRPr="00B64F87" w:rsidRDefault="007F563C" w:rsidP="007F563C">
      <w:pPr>
        <w:spacing w:after="120" w:line="300" w:lineRule="atLeast"/>
        <w:rPr>
          <w:b/>
        </w:rPr>
      </w:pPr>
      <w:r>
        <w:t xml:space="preserve">Circumstances in which adjustments are to be applied are described in </w:t>
      </w:r>
      <w:r>
        <w:rPr>
          <w:b/>
        </w:rPr>
        <w:t>Table2</w:t>
      </w:r>
    </w:p>
    <w:p w:rsidR="007F563C" w:rsidRDefault="007F563C" w:rsidP="007F563C">
      <w:pPr>
        <w:spacing w:after="120" w:line="300" w:lineRule="atLeast"/>
        <w:rPr>
          <w:u w:val="single"/>
        </w:rPr>
      </w:pPr>
    </w:p>
    <w:p w:rsidR="007F563C" w:rsidRDefault="007F563C" w:rsidP="007F563C">
      <w:pPr>
        <w:spacing w:after="120" w:line="300" w:lineRule="atLeast"/>
        <w:rPr>
          <w:u w:val="single"/>
        </w:rPr>
      </w:pPr>
    </w:p>
    <w:p w:rsidR="007F563C" w:rsidRDefault="007F563C" w:rsidP="007F563C">
      <w:pPr>
        <w:spacing w:after="120" w:line="300" w:lineRule="atLeast"/>
        <w:rPr>
          <w:u w:val="single"/>
        </w:rPr>
        <w:sectPr w:rsidR="007F563C" w:rsidSect="00147DB7">
          <w:type w:val="continuous"/>
          <w:pgSz w:w="11906" w:h="16838"/>
          <w:pgMar w:top="851" w:right="1440" w:bottom="993" w:left="1440" w:header="708" w:footer="708" w:gutter="0"/>
          <w:cols w:space="708"/>
          <w:docGrid w:linePitch="360"/>
        </w:sectPr>
      </w:pPr>
    </w:p>
    <w:p w:rsidR="007F563C" w:rsidRPr="00B64F87" w:rsidRDefault="007F563C" w:rsidP="007F563C">
      <w:pPr>
        <w:spacing w:after="120" w:line="300" w:lineRule="atLeast"/>
        <w:rPr>
          <w:b/>
        </w:rPr>
      </w:pPr>
      <w:r>
        <w:rPr>
          <w:b/>
        </w:rPr>
        <w:t>Table 2:  Adjustments</w:t>
      </w:r>
    </w:p>
    <w:tbl>
      <w:tblPr>
        <w:tblW w:w="14332" w:type="dxa"/>
        <w:tblInd w:w="93" w:type="dxa"/>
        <w:tblLook w:val="04A0" w:firstRow="1" w:lastRow="0" w:firstColumn="1" w:lastColumn="0" w:noHBand="0" w:noVBand="1"/>
      </w:tblPr>
      <w:tblGrid>
        <w:gridCol w:w="2850"/>
        <w:gridCol w:w="1418"/>
        <w:gridCol w:w="5245"/>
        <w:gridCol w:w="4819"/>
      </w:tblGrid>
      <w:tr w:rsidR="006B3038" w:rsidRPr="00391C1A" w:rsidTr="006B3038">
        <w:trPr>
          <w:trHeight w:val="661"/>
        </w:trPr>
        <w:tc>
          <w:tcPr>
            <w:tcW w:w="2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3038" w:rsidRPr="00391C1A" w:rsidRDefault="006B3038" w:rsidP="006B3038">
            <w:pPr>
              <w:rPr>
                <w:rFonts w:ascii="Calibri" w:hAnsi="Calibri"/>
                <w:color w:val="000000"/>
                <w:lang w:eastAsia="en-AU"/>
              </w:rPr>
            </w:pPr>
            <w:r w:rsidRPr="00391C1A">
              <w:rPr>
                <w:rFonts w:ascii="Calibri" w:hAnsi="Calibri"/>
                <w:color w:val="000000"/>
                <w:lang w:eastAsia="en-AU"/>
              </w:rPr>
              <w:t>Name</w:t>
            </w:r>
          </w:p>
        </w:tc>
        <w:tc>
          <w:tcPr>
            <w:tcW w:w="6663" w:type="dxa"/>
            <w:gridSpan w:val="2"/>
            <w:tcBorders>
              <w:top w:val="single" w:sz="4" w:space="0" w:color="auto"/>
              <w:left w:val="nil"/>
              <w:bottom w:val="single" w:sz="4" w:space="0" w:color="auto"/>
              <w:right w:val="single" w:sz="4" w:space="0" w:color="auto"/>
            </w:tcBorders>
            <w:shd w:val="clear" w:color="auto" w:fill="auto"/>
            <w:noWrap/>
            <w:vAlign w:val="bottom"/>
            <w:hideMark/>
          </w:tcPr>
          <w:p w:rsidR="006B3038" w:rsidRPr="00391C1A" w:rsidRDefault="006B3038" w:rsidP="006B3038">
            <w:pPr>
              <w:rPr>
                <w:rFonts w:ascii="Calibri" w:hAnsi="Calibri"/>
                <w:color w:val="000000"/>
                <w:lang w:eastAsia="en-AU"/>
              </w:rPr>
            </w:pPr>
            <w:r w:rsidRPr="00391C1A">
              <w:rPr>
                <w:rFonts w:ascii="Calibri" w:hAnsi="Calibri"/>
                <w:color w:val="000000"/>
                <w:lang w:eastAsia="en-AU"/>
              </w:rPr>
              <w:t>Context</w:t>
            </w:r>
          </w:p>
        </w:tc>
        <w:tc>
          <w:tcPr>
            <w:tcW w:w="4819" w:type="dxa"/>
            <w:tcBorders>
              <w:top w:val="single" w:sz="4" w:space="0" w:color="auto"/>
              <w:left w:val="nil"/>
              <w:bottom w:val="single" w:sz="4" w:space="0" w:color="auto"/>
              <w:right w:val="single" w:sz="4" w:space="0" w:color="auto"/>
            </w:tcBorders>
            <w:shd w:val="clear" w:color="auto" w:fill="auto"/>
            <w:noWrap/>
            <w:vAlign w:val="bottom"/>
            <w:hideMark/>
          </w:tcPr>
          <w:p w:rsidR="006B3038" w:rsidRPr="00391C1A" w:rsidRDefault="006B3038" w:rsidP="006B3038">
            <w:pPr>
              <w:rPr>
                <w:rFonts w:ascii="Calibri" w:hAnsi="Calibri"/>
                <w:color w:val="000000"/>
                <w:lang w:eastAsia="en-AU"/>
              </w:rPr>
            </w:pPr>
            <w:r w:rsidRPr="00391C1A">
              <w:rPr>
                <w:rFonts w:ascii="Calibri" w:hAnsi="Calibri"/>
                <w:color w:val="000000"/>
                <w:lang w:eastAsia="en-AU"/>
              </w:rPr>
              <w:t>Amount to be applied</w:t>
            </w:r>
          </w:p>
        </w:tc>
      </w:tr>
      <w:tr w:rsidR="006B3038" w:rsidRPr="00391C1A" w:rsidTr="006B3038">
        <w:trPr>
          <w:trHeight w:val="865"/>
        </w:trPr>
        <w:tc>
          <w:tcPr>
            <w:tcW w:w="2850" w:type="dxa"/>
            <w:tcBorders>
              <w:top w:val="nil"/>
              <w:left w:val="single" w:sz="4" w:space="0" w:color="auto"/>
              <w:bottom w:val="single" w:sz="4" w:space="0" w:color="auto"/>
              <w:right w:val="single" w:sz="4" w:space="0" w:color="auto"/>
            </w:tcBorders>
            <w:shd w:val="clear" w:color="auto" w:fill="auto"/>
            <w:noWrap/>
            <w:hideMark/>
          </w:tcPr>
          <w:p w:rsidR="006B3038" w:rsidRPr="00391C1A" w:rsidRDefault="006B3038" w:rsidP="006B3038">
            <w:pPr>
              <w:rPr>
                <w:rFonts w:ascii="Calibri" w:hAnsi="Calibri"/>
                <w:color w:val="000000"/>
                <w:lang w:eastAsia="en-AU"/>
              </w:rPr>
            </w:pPr>
            <w:r>
              <w:rPr>
                <w:rFonts w:ascii="Calibri" w:hAnsi="Calibri"/>
                <w:color w:val="000000"/>
                <w:lang w:eastAsia="en-AU"/>
              </w:rPr>
              <w:t>Paediatric Adjustment</w:t>
            </w:r>
          </w:p>
        </w:tc>
        <w:tc>
          <w:tcPr>
            <w:tcW w:w="1418" w:type="dxa"/>
            <w:vMerge w:val="restart"/>
            <w:tcBorders>
              <w:top w:val="single" w:sz="4" w:space="0" w:color="auto"/>
              <w:left w:val="nil"/>
              <w:right w:val="single" w:sz="4" w:space="0" w:color="auto"/>
            </w:tcBorders>
            <w:shd w:val="clear" w:color="auto" w:fill="auto"/>
            <w:noWrap/>
            <w:vAlign w:val="center"/>
            <w:hideMark/>
          </w:tcPr>
          <w:p w:rsidR="00FD2EB0" w:rsidRPr="00391C1A" w:rsidRDefault="006B3038" w:rsidP="00FD2EB0">
            <w:pPr>
              <w:rPr>
                <w:rFonts w:ascii="Calibri" w:hAnsi="Calibri"/>
                <w:color w:val="000000"/>
                <w:lang w:eastAsia="en-AU"/>
              </w:rPr>
            </w:pPr>
            <w:r>
              <w:rPr>
                <w:rFonts w:ascii="Calibri" w:hAnsi="Calibri"/>
                <w:color w:val="000000"/>
                <w:lang w:eastAsia="en-AU"/>
              </w:rPr>
              <w:t>Where an ABF Activity:</w:t>
            </w:r>
          </w:p>
          <w:p w:rsidR="006B3038" w:rsidRPr="00391C1A" w:rsidRDefault="006B3038" w:rsidP="006B3038">
            <w:pPr>
              <w:rPr>
                <w:rFonts w:ascii="Calibri" w:hAnsi="Calibri"/>
                <w:color w:val="000000"/>
                <w:lang w:eastAsia="en-AU"/>
              </w:rPr>
            </w:pPr>
          </w:p>
        </w:tc>
        <w:tc>
          <w:tcPr>
            <w:tcW w:w="5245" w:type="dxa"/>
            <w:tcBorders>
              <w:top w:val="nil"/>
              <w:left w:val="nil"/>
              <w:bottom w:val="single" w:sz="4" w:space="0" w:color="auto"/>
              <w:right w:val="single" w:sz="4" w:space="0" w:color="auto"/>
            </w:tcBorders>
            <w:shd w:val="clear" w:color="auto" w:fill="auto"/>
            <w:noWrap/>
            <w:hideMark/>
          </w:tcPr>
          <w:p w:rsidR="006B3038" w:rsidRDefault="006B3038" w:rsidP="006B3038">
            <w:pPr>
              <w:rPr>
                <w:rFonts w:ascii="Calibri" w:hAnsi="Calibri"/>
                <w:color w:val="000000"/>
                <w:lang w:eastAsia="en-AU"/>
              </w:rPr>
            </w:pPr>
            <w:r>
              <w:rPr>
                <w:rFonts w:ascii="Calibri" w:hAnsi="Calibri"/>
                <w:color w:val="000000"/>
                <w:lang w:eastAsia="en-AU"/>
              </w:rPr>
              <w:t>Is in respect of a person who:</w:t>
            </w:r>
          </w:p>
          <w:p w:rsidR="006B3038" w:rsidRDefault="006B3038" w:rsidP="006B3038">
            <w:pPr>
              <w:pStyle w:val="ListParagraph"/>
              <w:numPr>
                <w:ilvl w:val="0"/>
                <w:numId w:val="48"/>
              </w:numPr>
              <w:spacing w:after="0" w:line="240" w:lineRule="auto"/>
              <w:ind w:right="0"/>
              <w:jc w:val="left"/>
              <w:rPr>
                <w:rFonts w:eastAsia="Times New Roman"/>
                <w:lang w:eastAsia="en-AU"/>
              </w:rPr>
            </w:pPr>
            <w:r>
              <w:rPr>
                <w:rFonts w:eastAsia="Times New Roman"/>
                <w:lang w:eastAsia="en-AU"/>
              </w:rPr>
              <w:t>is aged up to and including 17 tears; and</w:t>
            </w:r>
          </w:p>
          <w:p w:rsidR="006B3038" w:rsidRPr="004A64DD" w:rsidRDefault="006B3038" w:rsidP="006B3038">
            <w:pPr>
              <w:pStyle w:val="ListParagraph"/>
              <w:numPr>
                <w:ilvl w:val="0"/>
                <w:numId w:val="48"/>
              </w:numPr>
              <w:spacing w:after="0" w:line="240" w:lineRule="auto"/>
              <w:ind w:right="0"/>
              <w:jc w:val="left"/>
              <w:rPr>
                <w:rFonts w:eastAsia="Times New Roman"/>
                <w:lang w:eastAsia="en-AU"/>
              </w:rPr>
            </w:pPr>
            <w:proofErr w:type="gramStart"/>
            <w:r>
              <w:rPr>
                <w:rFonts w:eastAsia="Times New Roman"/>
                <w:lang w:eastAsia="en-AU"/>
              </w:rPr>
              <w:t>is</w:t>
            </w:r>
            <w:proofErr w:type="gramEnd"/>
            <w:r>
              <w:rPr>
                <w:rFonts w:eastAsia="Times New Roman"/>
                <w:lang w:eastAsia="en-AU"/>
              </w:rPr>
              <w:t xml:space="preserve"> admitted to a </w:t>
            </w:r>
            <w:proofErr w:type="spellStart"/>
            <w:r w:rsidRPr="004A64DD">
              <w:rPr>
                <w:rFonts w:eastAsia="Times New Roman"/>
                <w:i/>
                <w:lang w:eastAsia="en-AU"/>
              </w:rPr>
              <w:t>Specialised</w:t>
            </w:r>
            <w:proofErr w:type="spellEnd"/>
            <w:r w:rsidRPr="004A64DD">
              <w:rPr>
                <w:rFonts w:eastAsia="Times New Roman"/>
                <w:i/>
                <w:lang w:eastAsia="en-AU"/>
              </w:rPr>
              <w:t xml:space="preserve"> Children’s Hospital</w:t>
            </w:r>
            <w:r>
              <w:rPr>
                <w:rFonts w:eastAsia="Times New Roman"/>
                <w:lang w:eastAsia="en-AU"/>
              </w:rPr>
              <w:t xml:space="preserve"> (Appendix E).</w:t>
            </w:r>
          </w:p>
        </w:tc>
        <w:tc>
          <w:tcPr>
            <w:tcW w:w="4819" w:type="dxa"/>
            <w:tcBorders>
              <w:top w:val="nil"/>
              <w:left w:val="nil"/>
              <w:bottom w:val="single" w:sz="4" w:space="0" w:color="auto"/>
              <w:right w:val="single" w:sz="4" w:space="0" w:color="auto"/>
            </w:tcBorders>
            <w:shd w:val="clear" w:color="auto" w:fill="auto"/>
            <w:noWrap/>
          </w:tcPr>
          <w:p w:rsidR="006B3038" w:rsidRPr="00391C1A" w:rsidRDefault="006B3038" w:rsidP="006B3038">
            <w:pPr>
              <w:rPr>
                <w:rFonts w:ascii="Calibri" w:hAnsi="Calibri"/>
                <w:color w:val="000000"/>
                <w:lang w:eastAsia="en-AU"/>
              </w:rPr>
            </w:pPr>
            <w:r>
              <w:rPr>
                <w:rFonts w:ascii="Calibri" w:hAnsi="Calibri"/>
                <w:color w:val="000000"/>
                <w:lang w:eastAsia="en-AU"/>
              </w:rPr>
              <w:t>Refer to column headed ‘Paediatric Adjustment’ in the tables of Admitted Acute Price Weights (Appendix H).</w:t>
            </w:r>
          </w:p>
        </w:tc>
      </w:tr>
      <w:tr w:rsidR="006B3038" w:rsidRPr="00391C1A" w:rsidTr="006B3038">
        <w:trPr>
          <w:trHeight w:val="865"/>
        </w:trPr>
        <w:tc>
          <w:tcPr>
            <w:tcW w:w="2850" w:type="dxa"/>
            <w:tcBorders>
              <w:top w:val="nil"/>
              <w:left w:val="single" w:sz="4" w:space="0" w:color="auto"/>
              <w:bottom w:val="single" w:sz="4" w:space="0" w:color="auto"/>
              <w:right w:val="single" w:sz="4" w:space="0" w:color="auto"/>
            </w:tcBorders>
            <w:shd w:val="clear" w:color="auto" w:fill="auto"/>
            <w:noWrap/>
            <w:hideMark/>
          </w:tcPr>
          <w:p w:rsidR="006B3038" w:rsidRDefault="006B3038" w:rsidP="006B3038">
            <w:pPr>
              <w:rPr>
                <w:rFonts w:ascii="Calibri" w:hAnsi="Calibri"/>
                <w:color w:val="000000"/>
                <w:lang w:eastAsia="en-AU"/>
              </w:rPr>
            </w:pPr>
            <w:r>
              <w:rPr>
                <w:rFonts w:ascii="Calibri" w:hAnsi="Calibri"/>
                <w:color w:val="000000"/>
                <w:lang w:eastAsia="en-AU"/>
              </w:rPr>
              <w:t>Specialist Psychiatric Age Adjustment</w:t>
            </w:r>
          </w:p>
          <w:p w:rsidR="006B3038" w:rsidRPr="00391C1A" w:rsidRDefault="006B3038" w:rsidP="006B3038">
            <w:pPr>
              <w:rPr>
                <w:rFonts w:ascii="Calibri" w:hAnsi="Calibri"/>
                <w:color w:val="000000"/>
                <w:lang w:eastAsia="en-AU"/>
              </w:rPr>
            </w:pPr>
            <w:r>
              <w:rPr>
                <w:rFonts w:ascii="Calibri" w:hAnsi="Calibri"/>
                <w:color w:val="000000"/>
                <w:lang w:eastAsia="en-AU"/>
              </w:rPr>
              <w:t>(</w:t>
            </w:r>
            <w:r w:rsidRPr="007F666C">
              <w:rPr>
                <w:sz w:val="20"/>
                <w:szCs w:val="20"/>
                <w:lang w:eastAsia="en-AU"/>
              </w:rPr>
              <w:t>≤</w:t>
            </w:r>
            <w:r>
              <w:rPr>
                <w:rFonts w:ascii="Calibri" w:hAnsi="Calibri"/>
                <w:color w:val="000000"/>
                <w:lang w:eastAsia="en-AU"/>
              </w:rPr>
              <w:t xml:space="preserve"> 17 years, in MDC 19 or 20)</w:t>
            </w:r>
          </w:p>
        </w:tc>
        <w:tc>
          <w:tcPr>
            <w:tcW w:w="1418" w:type="dxa"/>
            <w:vMerge/>
            <w:tcBorders>
              <w:top w:val="single" w:sz="4" w:space="0" w:color="auto"/>
              <w:left w:val="nil"/>
              <w:right w:val="single" w:sz="4" w:space="0" w:color="auto"/>
            </w:tcBorders>
            <w:shd w:val="clear" w:color="auto" w:fill="auto"/>
            <w:noWrap/>
            <w:vAlign w:val="bottom"/>
            <w:hideMark/>
          </w:tcPr>
          <w:p w:rsidR="006B3038" w:rsidRPr="00391C1A" w:rsidRDefault="006B3038" w:rsidP="006B3038">
            <w:pPr>
              <w:rPr>
                <w:rFonts w:ascii="Calibri" w:hAnsi="Calibri"/>
                <w:color w:val="000000"/>
                <w:lang w:eastAsia="en-AU"/>
              </w:rPr>
            </w:pPr>
          </w:p>
        </w:tc>
        <w:tc>
          <w:tcPr>
            <w:tcW w:w="5245" w:type="dxa"/>
            <w:tcBorders>
              <w:top w:val="nil"/>
              <w:left w:val="nil"/>
              <w:bottom w:val="single" w:sz="4" w:space="0" w:color="auto"/>
              <w:right w:val="single" w:sz="4" w:space="0" w:color="auto"/>
            </w:tcBorders>
            <w:shd w:val="clear" w:color="auto" w:fill="auto"/>
            <w:noWrap/>
            <w:hideMark/>
          </w:tcPr>
          <w:p w:rsidR="006B3038" w:rsidRPr="00391C1A" w:rsidRDefault="006B3038" w:rsidP="006B3038">
            <w:pPr>
              <w:rPr>
                <w:rFonts w:ascii="Calibri" w:hAnsi="Calibri"/>
                <w:color w:val="000000"/>
                <w:lang w:eastAsia="en-AU"/>
              </w:rPr>
            </w:pPr>
            <w:r>
              <w:rPr>
                <w:rFonts w:ascii="Calibri" w:hAnsi="Calibri"/>
                <w:color w:val="000000"/>
                <w:lang w:eastAsia="en-AU"/>
              </w:rPr>
              <w:t xml:space="preserve">Is in respect of a person who is aged 17 years or less at the time of admission, with a mental health-related principal diagnosis (Major Diagnostic Category (MDC) 19 or 20) and has one or more Total Psychiatric Care Days </w:t>
            </w:r>
            <w:proofErr w:type="gramStart"/>
            <w:r>
              <w:rPr>
                <w:rFonts w:ascii="Calibri" w:hAnsi="Calibri"/>
                <w:color w:val="000000"/>
                <w:lang w:eastAsia="en-AU"/>
              </w:rPr>
              <w:t>recorded.</w:t>
            </w:r>
            <w:proofErr w:type="gramEnd"/>
          </w:p>
        </w:tc>
        <w:tc>
          <w:tcPr>
            <w:tcW w:w="4819" w:type="dxa"/>
            <w:tcBorders>
              <w:top w:val="nil"/>
              <w:left w:val="nil"/>
              <w:bottom w:val="single" w:sz="4" w:space="0" w:color="auto"/>
              <w:right w:val="single" w:sz="4" w:space="0" w:color="auto"/>
            </w:tcBorders>
            <w:shd w:val="clear" w:color="auto" w:fill="auto"/>
            <w:noWrap/>
          </w:tcPr>
          <w:p w:rsidR="006B3038" w:rsidRPr="00391C1A" w:rsidRDefault="006B3038" w:rsidP="006B3038">
            <w:pPr>
              <w:rPr>
                <w:rFonts w:ascii="Calibri" w:hAnsi="Calibri"/>
                <w:color w:val="000000"/>
                <w:lang w:eastAsia="en-AU"/>
              </w:rPr>
            </w:pPr>
            <w:r>
              <w:rPr>
                <w:rFonts w:ascii="Calibri" w:hAnsi="Calibri"/>
                <w:color w:val="000000"/>
                <w:lang w:eastAsia="en-AU"/>
              </w:rPr>
              <w:t>Admitted Acute Patient: 28 per cent (except patients admitted to a Specialised Children’s Hospital, who will receive 10 per cent).</w:t>
            </w:r>
          </w:p>
        </w:tc>
      </w:tr>
      <w:tr w:rsidR="006B3038" w:rsidRPr="00391C1A" w:rsidTr="006B3038">
        <w:trPr>
          <w:trHeight w:val="865"/>
        </w:trPr>
        <w:tc>
          <w:tcPr>
            <w:tcW w:w="2850" w:type="dxa"/>
            <w:tcBorders>
              <w:top w:val="nil"/>
              <w:left w:val="single" w:sz="4" w:space="0" w:color="auto"/>
              <w:bottom w:val="single" w:sz="4" w:space="0" w:color="auto"/>
              <w:right w:val="single" w:sz="4" w:space="0" w:color="auto"/>
            </w:tcBorders>
            <w:shd w:val="clear" w:color="auto" w:fill="auto"/>
            <w:noWrap/>
            <w:hideMark/>
          </w:tcPr>
          <w:p w:rsidR="006B3038" w:rsidRDefault="006B3038" w:rsidP="006B3038">
            <w:pPr>
              <w:rPr>
                <w:rFonts w:ascii="Calibri" w:hAnsi="Calibri"/>
                <w:color w:val="000000"/>
                <w:lang w:eastAsia="en-AU"/>
              </w:rPr>
            </w:pPr>
            <w:r>
              <w:rPr>
                <w:rFonts w:ascii="Calibri" w:hAnsi="Calibri"/>
                <w:color w:val="000000"/>
                <w:lang w:eastAsia="en-AU"/>
              </w:rPr>
              <w:t>Specialist Psychiatric Age Adjustment</w:t>
            </w:r>
          </w:p>
          <w:p w:rsidR="006B3038" w:rsidRPr="00391C1A" w:rsidRDefault="006B3038" w:rsidP="006B3038">
            <w:pPr>
              <w:rPr>
                <w:rFonts w:ascii="Calibri" w:hAnsi="Calibri"/>
                <w:color w:val="000000"/>
                <w:lang w:eastAsia="en-AU"/>
              </w:rPr>
            </w:pPr>
            <w:r>
              <w:rPr>
                <w:rFonts w:ascii="Calibri" w:hAnsi="Calibri"/>
                <w:color w:val="000000"/>
                <w:lang w:eastAsia="en-AU"/>
              </w:rPr>
              <w:t>(</w:t>
            </w:r>
            <w:r w:rsidRPr="007F666C">
              <w:rPr>
                <w:sz w:val="20"/>
                <w:szCs w:val="20"/>
                <w:lang w:eastAsia="en-AU"/>
              </w:rPr>
              <w:t>≤</w:t>
            </w:r>
            <w:r>
              <w:rPr>
                <w:rFonts w:ascii="Calibri" w:hAnsi="Calibri"/>
                <w:color w:val="000000"/>
                <w:lang w:eastAsia="en-AU"/>
              </w:rPr>
              <w:t xml:space="preserve"> 17 years, not in MDC 19 or 20)</w:t>
            </w:r>
          </w:p>
        </w:tc>
        <w:tc>
          <w:tcPr>
            <w:tcW w:w="1418" w:type="dxa"/>
            <w:vMerge/>
            <w:tcBorders>
              <w:top w:val="single" w:sz="4" w:space="0" w:color="auto"/>
              <w:left w:val="nil"/>
              <w:right w:val="single" w:sz="4" w:space="0" w:color="auto"/>
            </w:tcBorders>
            <w:shd w:val="clear" w:color="auto" w:fill="auto"/>
            <w:noWrap/>
            <w:vAlign w:val="bottom"/>
            <w:hideMark/>
          </w:tcPr>
          <w:p w:rsidR="006B3038" w:rsidRPr="00391C1A" w:rsidRDefault="006B3038" w:rsidP="006B3038">
            <w:pPr>
              <w:rPr>
                <w:rFonts w:ascii="Calibri" w:hAnsi="Calibri"/>
                <w:color w:val="000000"/>
                <w:lang w:eastAsia="en-AU"/>
              </w:rPr>
            </w:pPr>
          </w:p>
        </w:tc>
        <w:tc>
          <w:tcPr>
            <w:tcW w:w="5245" w:type="dxa"/>
            <w:tcBorders>
              <w:top w:val="nil"/>
              <w:left w:val="nil"/>
              <w:bottom w:val="single" w:sz="4" w:space="0" w:color="auto"/>
              <w:right w:val="single" w:sz="4" w:space="0" w:color="auto"/>
            </w:tcBorders>
            <w:shd w:val="clear" w:color="auto" w:fill="auto"/>
            <w:noWrap/>
            <w:hideMark/>
          </w:tcPr>
          <w:p w:rsidR="006B3038" w:rsidRPr="006C55AE" w:rsidRDefault="006B3038" w:rsidP="006B3038">
            <w:pPr>
              <w:rPr>
                <w:rFonts w:ascii="Calibri" w:hAnsi="Calibri"/>
                <w:color w:val="000000"/>
                <w:lang w:eastAsia="en-AU"/>
              </w:rPr>
            </w:pPr>
            <w:r>
              <w:rPr>
                <w:rFonts w:ascii="Calibri" w:hAnsi="Calibri"/>
                <w:color w:val="000000"/>
                <w:lang w:eastAsia="en-AU"/>
              </w:rPr>
              <w:t>Is in respect of a person who is aged 17 years or less at the time of admission, with a principal diagnosis which is not mental health-related (not in MDC 19 or 20) and has one or more Total Psychiatric Care Days recorded.</w:t>
            </w:r>
          </w:p>
        </w:tc>
        <w:tc>
          <w:tcPr>
            <w:tcW w:w="4819" w:type="dxa"/>
            <w:tcBorders>
              <w:top w:val="nil"/>
              <w:left w:val="nil"/>
              <w:bottom w:val="single" w:sz="4" w:space="0" w:color="auto"/>
              <w:right w:val="single" w:sz="4" w:space="0" w:color="auto"/>
            </w:tcBorders>
            <w:shd w:val="clear" w:color="auto" w:fill="auto"/>
            <w:noWrap/>
          </w:tcPr>
          <w:p w:rsidR="006B3038" w:rsidRPr="00391C1A" w:rsidRDefault="006B3038" w:rsidP="006B3038">
            <w:pPr>
              <w:rPr>
                <w:rFonts w:ascii="Calibri" w:hAnsi="Calibri"/>
                <w:color w:val="000000"/>
                <w:lang w:eastAsia="en-AU"/>
              </w:rPr>
            </w:pPr>
            <w:r>
              <w:rPr>
                <w:rFonts w:ascii="Calibri" w:hAnsi="Calibri"/>
                <w:color w:val="000000"/>
                <w:lang w:eastAsia="en-AU"/>
              </w:rPr>
              <w:t>Admitted Acute Patient: 46 per cent (except patients admitted to a Specialised Children’s Hospital, who will receive 44 per cent).</w:t>
            </w:r>
          </w:p>
        </w:tc>
      </w:tr>
      <w:tr w:rsidR="006B3038" w:rsidRPr="00391C1A" w:rsidTr="006B3038">
        <w:trPr>
          <w:trHeight w:val="865"/>
        </w:trPr>
        <w:tc>
          <w:tcPr>
            <w:tcW w:w="2850" w:type="dxa"/>
            <w:tcBorders>
              <w:top w:val="nil"/>
              <w:left w:val="single" w:sz="4" w:space="0" w:color="auto"/>
              <w:bottom w:val="single" w:sz="4" w:space="0" w:color="auto"/>
              <w:right w:val="single" w:sz="4" w:space="0" w:color="auto"/>
            </w:tcBorders>
            <w:shd w:val="clear" w:color="auto" w:fill="auto"/>
            <w:noWrap/>
            <w:hideMark/>
          </w:tcPr>
          <w:p w:rsidR="006B3038" w:rsidRDefault="006B3038" w:rsidP="006B3038">
            <w:pPr>
              <w:rPr>
                <w:rFonts w:ascii="Calibri" w:hAnsi="Calibri"/>
                <w:color w:val="000000"/>
                <w:lang w:eastAsia="en-AU"/>
              </w:rPr>
            </w:pPr>
            <w:r>
              <w:rPr>
                <w:rFonts w:ascii="Calibri" w:hAnsi="Calibri"/>
                <w:color w:val="000000"/>
                <w:lang w:eastAsia="en-AU"/>
              </w:rPr>
              <w:t>Specialist Psychiatric Age Adjustment</w:t>
            </w:r>
          </w:p>
          <w:p w:rsidR="006B3038" w:rsidRPr="00391C1A" w:rsidRDefault="006B3038" w:rsidP="006B3038">
            <w:pPr>
              <w:rPr>
                <w:rFonts w:ascii="Calibri" w:hAnsi="Calibri"/>
                <w:color w:val="000000"/>
                <w:lang w:eastAsia="en-AU"/>
              </w:rPr>
            </w:pPr>
            <w:r>
              <w:rPr>
                <w:rFonts w:ascii="Calibri" w:hAnsi="Calibri"/>
                <w:color w:val="000000"/>
                <w:lang w:eastAsia="en-AU"/>
              </w:rPr>
              <w:t>(</w:t>
            </w:r>
            <w:r>
              <w:rPr>
                <w:sz w:val="20"/>
                <w:szCs w:val="20"/>
                <w:lang w:eastAsia="en-AU"/>
              </w:rPr>
              <w:t>&gt;</w:t>
            </w:r>
            <w:r>
              <w:rPr>
                <w:rFonts w:ascii="Calibri" w:hAnsi="Calibri"/>
                <w:color w:val="000000"/>
                <w:lang w:eastAsia="en-AU"/>
              </w:rPr>
              <w:t xml:space="preserve"> 17 years, not in MDC 19 or 20)</w:t>
            </w:r>
          </w:p>
        </w:tc>
        <w:tc>
          <w:tcPr>
            <w:tcW w:w="1418" w:type="dxa"/>
            <w:vMerge/>
            <w:tcBorders>
              <w:top w:val="single" w:sz="4" w:space="0" w:color="auto"/>
              <w:left w:val="nil"/>
              <w:right w:val="single" w:sz="4" w:space="0" w:color="auto"/>
            </w:tcBorders>
            <w:shd w:val="clear" w:color="auto" w:fill="auto"/>
            <w:noWrap/>
            <w:vAlign w:val="bottom"/>
            <w:hideMark/>
          </w:tcPr>
          <w:p w:rsidR="006B3038" w:rsidRPr="00391C1A" w:rsidRDefault="006B3038" w:rsidP="006B3038">
            <w:pPr>
              <w:rPr>
                <w:rFonts w:ascii="Calibri" w:hAnsi="Calibri"/>
                <w:color w:val="000000"/>
                <w:lang w:eastAsia="en-AU"/>
              </w:rPr>
            </w:pPr>
          </w:p>
        </w:tc>
        <w:tc>
          <w:tcPr>
            <w:tcW w:w="5245" w:type="dxa"/>
            <w:tcBorders>
              <w:top w:val="nil"/>
              <w:left w:val="nil"/>
              <w:bottom w:val="single" w:sz="4" w:space="0" w:color="auto"/>
              <w:right w:val="single" w:sz="4" w:space="0" w:color="auto"/>
            </w:tcBorders>
            <w:shd w:val="clear" w:color="auto" w:fill="auto"/>
            <w:noWrap/>
            <w:hideMark/>
          </w:tcPr>
          <w:p w:rsidR="006B3038" w:rsidRPr="00391C1A" w:rsidRDefault="006B3038" w:rsidP="006B3038">
            <w:pPr>
              <w:rPr>
                <w:rFonts w:ascii="Calibri" w:hAnsi="Calibri"/>
                <w:color w:val="000000"/>
                <w:lang w:eastAsia="en-AU"/>
              </w:rPr>
            </w:pPr>
            <w:r>
              <w:rPr>
                <w:rFonts w:ascii="Calibri" w:hAnsi="Calibri"/>
                <w:color w:val="000000"/>
                <w:lang w:eastAsia="en-AU"/>
              </w:rPr>
              <w:t>Is in respect of a person who is aged over 17 years at the time of admission, with a principal diagnosis which is not mental health-related (not in MDC 19 or 20) and has one or more Total Psychiatric Care Days recorded.</w:t>
            </w:r>
          </w:p>
        </w:tc>
        <w:tc>
          <w:tcPr>
            <w:tcW w:w="4819" w:type="dxa"/>
            <w:tcBorders>
              <w:top w:val="nil"/>
              <w:left w:val="nil"/>
              <w:bottom w:val="single" w:sz="4" w:space="0" w:color="auto"/>
              <w:right w:val="single" w:sz="4" w:space="0" w:color="auto"/>
            </w:tcBorders>
            <w:shd w:val="clear" w:color="auto" w:fill="auto"/>
            <w:noWrap/>
          </w:tcPr>
          <w:p w:rsidR="006B3038" w:rsidRPr="00391C1A" w:rsidRDefault="006B3038" w:rsidP="006B3038">
            <w:pPr>
              <w:rPr>
                <w:rFonts w:ascii="Calibri" w:hAnsi="Calibri"/>
                <w:color w:val="000000"/>
                <w:lang w:eastAsia="en-AU"/>
              </w:rPr>
            </w:pPr>
            <w:r>
              <w:rPr>
                <w:rFonts w:ascii="Calibri" w:hAnsi="Calibri"/>
                <w:color w:val="000000"/>
                <w:lang w:eastAsia="en-AU"/>
              </w:rPr>
              <w:t>Admitted Acute Patient: 32 per cent.</w:t>
            </w:r>
          </w:p>
        </w:tc>
      </w:tr>
      <w:tr w:rsidR="006B3038" w:rsidRPr="00391C1A" w:rsidTr="006B3038">
        <w:trPr>
          <w:trHeight w:val="666"/>
        </w:trPr>
        <w:tc>
          <w:tcPr>
            <w:tcW w:w="2850" w:type="dxa"/>
            <w:tcBorders>
              <w:top w:val="nil"/>
              <w:left w:val="single" w:sz="4" w:space="0" w:color="auto"/>
              <w:bottom w:val="single" w:sz="4" w:space="0" w:color="auto"/>
              <w:right w:val="single" w:sz="4" w:space="0" w:color="auto"/>
            </w:tcBorders>
            <w:shd w:val="clear" w:color="auto" w:fill="auto"/>
            <w:noWrap/>
            <w:hideMark/>
          </w:tcPr>
          <w:p w:rsidR="006B3038" w:rsidRPr="00391C1A" w:rsidRDefault="006B3038" w:rsidP="006B3038">
            <w:pPr>
              <w:rPr>
                <w:rFonts w:ascii="Calibri" w:hAnsi="Calibri"/>
                <w:color w:val="000000"/>
                <w:lang w:eastAsia="en-AU"/>
              </w:rPr>
            </w:pPr>
            <w:r>
              <w:rPr>
                <w:rFonts w:ascii="Calibri" w:hAnsi="Calibri"/>
                <w:color w:val="000000"/>
                <w:lang w:eastAsia="en-AU"/>
              </w:rPr>
              <w:t>Outer Regional Adjustment</w:t>
            </w:r>
            <w:r>
              <w:rPr>
                <w:rFonts w:ascii="Calibri" w:hAnsi="Calibri"/>
                <w:color w:val="000000"/>
                <w:vertAlign w:val="superscript"/>
                <w:lang w:eastAsia="en-AU"/>
              </w:rPr>
              <w:t>1</w:t>
            </w:r>
            <w:r w:rsidRPr="00391C1A">
              <w:rPr>
                <w:rFonts w:ascii="Calibri" w:hAnsi="Calibri"/>
                <w:color w:val="000000"/>
                <w:lang w:eastAsia="en-AU"/>
              </w:rPr>
              <w:t> </w:t>
            </w:r>
          </w:p>
        </w:tc>
        <w:tc>
          <w:tcPr>
            <w:tcW w:w="1418" w:type="dxa"/>
            <w:vMerge/>
            <w:tcBorders>
              <w:top w:val="single" w:sz="4" w:space="0" w:color="auto"/>
              <w:left w:val="nil"/>
              <w:right w:val="single" w:sz="4" w:space="0" w:color="auto"/>
            </w:tcBorders>
            <w:shd w:val="clear" w:color="auto" w:fill="auto"/>
            <w:noWrap/>
            <w:vAlign w:val="bottom"/>
            <w:hideMark/>
          </w:tcPr>
          <w:p w:rsidR="006B3038" w:rsidRPr="00391C1A" w:rsidRDefault="006B3038" w:rsidP="006B3038">
            <w:pPr>
              <w:rPr>
                <w:rFonts w:ascii="Calibri" w:hAnsi="Calibri"/>
                <w:color w:val="000000"/>
                <w:lang w:eastAsia="en-AU"/>
              </w:rPr>
            </w:pPr>
          </w:p>
        </w:tc>
        <w:tc>
          <w:tcPr>
            <w:tcW w:w="5245" w:type="dxa"/>
            <w:tcBorders>
              <w:top w:val="nil"/>
              <w:left w:val="nil"/>
              <w:bottom w:val="single" w:sz="4" w:space="0" w:color="auto"/>
              <w:right w:val="single" w:sz="4" w:space="0" w:color="auto"/>
            </w:tcBorders>
            <w:shd w:val="clear" w:color="auto" w:fill="auto"/>
            <w:noWrap/>
            <w:hideMark/>
          </w:tcPr>
          <w:p w:rsidR="006B3038" w:rsidRPr="00391C1A" w:rsidRDefault="006B3038" w:rsidP="006B3038">
            <w:pPr>
              <w:rPr>
                <w:rFonts w:ascii="Calibri" w:hAnsi="Calibri"/>
                <w:color w:val="000000"/>
                <w:lang w:eastAsia="en-AU"/>
              </w:rPr>
            </w:pPr>
            <w:r>
              <w:rPr>
                <w:rFonts w:ascii="Calibri" w:hAnsi="Calibri"/>
                <w:color w:val="000000"/>
                <w:lang w:eastAsia="en-AU"/>
              </w:rPr>
              <w:t xml:space="preserve">Is in respect of a person whose residential address is within an area that is classified as being </w:t>
            </w:r>
            <w:r w:rsidRPr="006C55AE">
              <w:rPr>
                <w:rFonts w:ascii="Calibri" w:hAnsi="Calibri"/>
                <w:i/>
                <w:color w:val="000000"/>
                <w:lang w:eastAsia="en-AU"/>
              </w:rPr>
              <w:t>Outer Regional</w:t>
            </w:r>
            <w:r>
              <w:rPr>
                <w:rFonts w:ascii="Calibri" w:hAnsi="Calibri"/>
                <w:color w:val="000000"/>
                <w:lang w:eastAsia="en-AU"/>
              </w:rPr>
              <w:t>.</w:t>
            </w:r>
          </w:p>
        </w:tc>
        <w:tc>
          <w:tcPr>
            <w:tcW w:w="4819" w:type="dxa"/>
            <w:tcBorders>
              <w:top w:val="nil"/>
              <w:left w:val="nil"/>
              <w:bottom w:val="single" w:sz="4" w:space="0" w:color="auto"/>
              <w:right w:val="single" w:sz="4" w:space="0" w:color="auto"/>
            </w:tcBorders>
            <w:shd w:val="clear" w:color="auto" w:fill="auto"/>
            <w:noWrap/>
          </w:tcPr>
          <w:p w:rsidR="006B3038" w:rsidRPr="00391C1A" w:rsidRDefault="006B3038" w:rsidP="006B3038">
            <w:pPr>
              <w:rPr>
                <w:rFonts w:ascii="Calibri" w:hAnsi="Calibri"/>
                <w:color w:val="000000"/>
                <w:lang w:eastAsia="en-AU"/>
              </w:rPr>
            </w:pPr>
            <w:r>
              <w:rPr>
                <w:rFonts w:ascii="Calibri" w:hAnsi="Calibri"/>
                <w:color w:val="000000"/>
                <w:lang w:eastAsia="en-AU"/>
              </w:rPr>
              <w:t>Admitted Acute or Admitted Subacute Patient: 8 per cent.</w:t>
            </w:r>
          </w:p>
        </w:tc>
      </w:tr>
      <w:tr w:rsidR="006B3038" w:rsidRPr="00391C1A" w:rsidTr="006B3038">
        <w:trPr>
          <w:trHeight w:val="704"/>
        </w:trPr>
        <w:tc>
          <w:tcPr>
            <w:tcW w:w="2850" w:type="dxa"/>
            <w:tcBorders>
              <w:top w:val="nil"/>
              <w:left w:val="single" w:sz="4" w:space="0" w:color="auto"/>
              <w:bottom w:val="single" w:sz="4" w:space="0" w:color="auto"/>
              <w:right w:val="single" w:sz="4" w:space="0" w:color="auto"/>
            </w:tcBorders>
            <w:shd w:val="clear" w:color="auto" w:fill="auto"/>
            <w:noWrap/>
            <w:hideMark/>
          </w:tcPr>
          <w:p w:rsidR="006B3038" w:rsidRPr="00391C1A" w:rsidRDefault="006B3038" w:rsidP="006B3038">
            <w:pPr>
              <w:rPr>
                <w:rFonts w:ascii="Calibri" w:hAnsi="Calibri"/>
                <w:color w:val="000000"/>
                <w:lang w:eastAsia="en-AU"/>
              </w:rPr>
            </w:pPr>
            <w:r>
              <w:rPr>
                <w:rFonts w:ascii="Calibri" w:hAnsi="Calibri"/>
                <w:color w:val="000000"/>
                <w:lang w:eastAsia="en-AU"/>
              </w:rPr>
              <w:t>Remote Area Adjustment</w:t>
            </w:r>
            <w:r>
              <w:rPr>
                <w:rFonts w:ascii="Calibri" w:hAnsi="Calibri"/>
                <w:color w:val="000000"/>
                <w:vertAlign w:val="superscript"/>
                <w:lang w:eastAsia="en-AU"/>
              </w:rPr>
              <w:t>1</w:t>
            </w:r>
            <w:r w:rsidRPr="00391C1A">
              <w:rPr>
                <w:rFonts w:ascii="Calibri" w:hAnsi="Calibri"/>
                <w:color w:val="000000"/>
                <w:lang w:eastAsia="en-AU"/>
              </w:rPr>
              <w:t> </w:t>
            </w:r>
          </w:p>
        </w:tc>
        <w:tc>
          <w:tcPr>
            <w:tcW w:w="1418" w:type="dxa"/>
            <w:vMerge/>
            <w:tcBorders>
              <w:top w:val="single" w:sz="4" w:space="0" w:color="auto"/>
              <w:left w:val="nil"/>
              <w:bottom w:val="single" w:sz="4" w:space="0" w:color="auto"/>
              <w:right w:val="single" w:sz="4" w:space="0" w:color="auto"/>
            </w:tcBorders>
            <w:shd w:val="clear" w:color="auto" w:fill="auto"/>
            <w:noWrap/>
            <w:vAlign w:val="bottom"/>
            <w:hideMark/>
          </w:tcPr>
          <w:p w:rsidR="006B3038" w:rsidRPr="00391C1A" w:rsidRDefault="006B3038" w:rsidP="006B3038">
            <w:pPr>
              <w:rPr>
                <w:rFonts w:ascii="Calibri" w:hAnsi="Calibri"/>
                <w:color w:val="000000"/>
                <w:lang w:eastAsia="en-AU"/>
              </w:rPr>
            </w:pPr>
          </w:p>
        </w:tc>
        <w:tc>
          <w:tcPr>
            <w:tcW w:w="5245" w:type="dxa"/>
            <w:tcBorders>
              <w:top w:val="nil"/>
              <w:left w:val="nil"/>
              <w:bottom w:val="single" w:sz="4" w:space="0" w:color="auto"/>
              <w:right w:val="single" w:sz="4" w:space="0" w:color="auto"/>
            </w:tcBorders>
            <w:shd w:val="clear" w:color="auto" w:fill="auto"/>
            <w:noWrap/>
            <w:hideMark/>
          </w:tcPr>
          <w:p w:rsidR="006B3038" w:rsidRPr="00391C1A" w:rsidRDefault="006B3038" w:rsidP="006B3038">
            <w:pPr>
              <w:rPr>
                <w:rFonts w:ascii="Calibri" w:hAnsi="Calibri"/>
                <w:color w:val="000000"/>
                <w:lang w:eastAsia="en-AU"/>
              </w:rPr>
            </w:pPr>
            <w:r>
              <w:rPr>
                <w:rFonts w:ascii="Calibri" w:hAnsi="Calibri"/>
                <w:color w:val="000000"/>
                <w:lang w:eastAsia="en-AU"/>
              </w:rPr>
              <w:t xml:space="preserve">Is in respect of a person whose residential address is within an area that is classified as being </w:t>
            </w:r>
            <w:r>
              <w:rPr>
                <w:rFonts w:ascii="Calibri" w:hAnsi="Calibri"/>
                <w:i/>
                <w:color w:val="000000"/>
                <w:lang w:eastAsia="en-AU"/>
              </w:rPr>
              <w:t>Remote</w:t>
            </w:r>
            <w:r>
              <w:rPr>
                <w:rFonts w:ascii="Calibri" w:hAnsi="Calibri"/>
                <w:color w:val="000000"/>
                <w:lang w:eastAsia="en-AU"/>
              </w:rPr>
              <w:t>.</w:t>
            </w:r>
          </w:p>
        </w:tc>
        <w:tc>
          <w:tcPr>
            <w:tcW w:w="4819" w:type="dxa"/>
            <w:tcBorders>
              <w:top w:val="nil"/>
              <w:left w:val="nil"/>
              <w:bottom w:val="single" w:sz="4" w:space="0" w:color="auto"/>
              <w:right w:val="single" w:sz="4" w:space="0" w:color="auto"/>
            </w:tcBorders>
            <w:shd w:val="clear" w:color="auto" w:fill="auto"/>
            <w:noWrap/>
          </w:tcPr>
          <w:p w:rsidR="006B3038" w:rsidRPr="00391C1A" w:rsidRDefault="006B3038" w:rsidP="006B3038">
            <w:pPr>
              <w:rPr>
                <w:rFonts w:ascii="Calibri" w:hAnsi="Calibri"/>
                <w:color w:val="000000"/>
                <w:lang w:eastAsia="en-AU"/>
              </w:rPr>
            </w:pPr>
            <w:r>
              <w:rPr>
                <w:rFonts w:ascii="Calibri" w:hAnsi="Calibri"/>
                <w:color w:val="000000"/>
                <w:lang w:eastAsia="en-AU"/>
              </w:rPr>
              <w:t>Admitted Acute or Admitted Subacute Patient: 20 per cent.</w:t>
            </w:r>
          </w:p>
        </w:tc>
      </w:tr>
      <w:tr w:rsidR="006B3038" w:rsidRPr="00CF6B61" w:rsidTr="006B3038">
        <w:trPr>
          <w:trHeight w:val="700"/>
        </w:trPr>
        <w:tc>
          <w:tcPr>
            <w:tcW w:w="2850" w:type="dxa"/>
            <w:tcBorders>
              <w:top w:val="single" w:sz="4" w:space="0" w:color="auto"/>
              <w:left w:val="single" w:sz="4" w:space="0" w:color="auto"/>
              <w:bottom w:val="single" w:sz="4" w:space="0" w:color="auto"/>
              <w:right w:val="single" w:sz="4" w:space="0" w:color="auto"/>
            </w:tcBorders>
            <w:shd w:val="clear" w:color="auto" w:fill="auto"/>
            <w:noWrap/>
            <w:hideMark/>
          </w:tcPr>
          <w:p w:rsidR="006B3038" w:rsidRPr="00391C1A" w:rsidRDefault="006B3038" w:rsidP="006B3038">
            <w:pPr>
              <w:rPr>
                <w:rFonts w:ascii="Calibri" w:hAnsi="Calibri"/>
                <w:color w:val="000000"/>
                <w:lang w:eastAsia="en-AU"/>
              </w:rPr>
            </w:pPr>
            <w:r>
              <w:rPr>
                <w:rFonts w:ascii="Calibri" w:hAnsi="Calibri"/>
                <w:color w:val="000000"/>
                <w:lang w:eastAsia="en-AU"/>
              </w:rPr>
              <w:t>Very Remote Area Adjustment</w:t>
            </w:r>
            <w:r>
              <w:rPr>
                <w:rFonts w:ascii="Calibri" w:hAnsi="Calibri"/>
                <w:color w:val="000000"/>
                <w:vertAlign w:val="superscript"/>
                <w:lang w:eastAsia="en-AU"/>
              </w:rPr>
              <w:t>1</w:t>
            </w:r>
            <w:r w:rsidRPr="00391C1A">
              <w:rPr>
                <w:rFonts w:ascii="Calibri" w:hAnsi="Calibri"/>
                <w:color w:val="000000"/>
                <w:lang w:eastAsia="en-AU"/>
              </w:rPr>
              <w:t> </w:t>
            </w:r>
          </w:p>
        </w:tc>
        <w:tc>
          <w:tcPr>
            <w:tcW w:w="1418" w:type="dxa"/>
            <w:vMerge/>
            <w:tcBorders>
              <w:top w:val="single" w:sz="4" w:space="0" w:color="auto"/>
              <w:left w:val="nil"/>
              <w:bottom w:val="single" w:sz="4" w:space="0" w:color="auto"/>
              <w:right w:val="single" w:sz="4" w:space="0" w:color="auto"/>
            </w:tcBorders>
            <w:shd w:val="clear" w:color="auto" w:fill="auto"/>
            <w:noWrap/>
            <w:vAlign w:val="bottom"/>
            <w:hideMark/>
          </w:tcPr>
          <w:p w:rsidR="006B3038" w:rsidRPr="00391C1A" w:rsidRDefault="006B3038" w:rsidP="006B3038">
            <w:pPr>
              <w:rPr>
                <w:rFonts w:ascii="Calibri" w:hAnsi="Calibri"/>
                <w:color w:val="000000"/>
                <w:lang w:eastAsia="en-AU"/>
              </w:rPr>
            </w:pPr>
          </w:p>
        </w:tc>
        <w:tc>
          <w:tcPr>
            <w:tcW w:w="5245" w:type="dxa"/>
            <w:tcBorders>
              <w:top w:val="single" w:sz="4" w:space="0" w:color="auto"/>
              <w:left w:val="nil"/>
              <w:bottom w:val="single" w:sz="4" w:space="0" w:color="auto"/>
              <w:right w:val="single" w:sz="4" w:space="0" w:color="auto"/>
            </w:tcBorders>
            <w:shd w:val="clear" w:color="auto" w:fill="auto"/>
            <w:noWrap/>
            <w:hideMark/>
          </w:tcPr>
          <w:p w:rsidR="006B3038" w:rsidRPr="00391C1A" w:rsidRDefault="006B3038" w:rsidP="006B3038">
            <w:pPr>
              <w:rPr>
                <w:rFonts w:ascii="Calibri" w:hAnsi="Calibri"/>
                <w:color w:val="000000"/>
                <w:lang w:eastAsia="en-AU"/>
              </w:rPr>
            </w:pPr>
            <w:r>
              <w:rPr>
                <w:rFonts w:ascii="Calibri" w:hAnsi="Calibri"/>
                <w:color w:val="000000"/>
                <w:lang w:eastAsia="en-AU"/>
              </w:rPr>
              <w:t xml:space="preserve">Is in respect of a person whose residential address is within an area that is classified as being </w:t>
            </w:r>
            <w:r>
              <w:rPr>
                <w:rFonts w:ascii="Calibri" w:hAnsi="Calibri"/>
                <w:i/>
                <w:color w:val="000000"/>
                <w:lang w:eastAsia="en-AU"/>
              </w:rPr>
              <w:t>Very Remote</w:t>
            </w:r>
            <w:r>
              <w:rPr>
                <w:rFonts w:ascii="Calibri" w:hAnsi="Calibri"/>
                <w:color w:val="000000"/>
                <w:lang w:eastAsia="en-AU"/>
              </w:rPr>
              <w:t>.</w:t>
            </w:r>
          </w:p>
        </w:tc>
        <w:tc>
          <w:tcPr>
            <w:tcW w:w="4819" w:type="dxa"/>
            <w:tcBorders>
              <w:top w:val="single" w:sz="4" w:space="0" w:color="auto"/>
              <w:left w:val="nil"/>
              <w:bottom w:val="single" w:sz="4" w:space="0" w:color="auto"/>
              <w:right w:val="single" w:sz="4" w:space="0" w:color="auto"/>
            </w:tcBorders>
            <w:shd w:val="clear" w:color="auto" w:fill="auto"/>
            <w:noWrap/>
          </w:tcPr>
          <w:p w:rsidR="006B3038" w:rsidRPr="00CF6B61" w:rsidRDefault="006B3038" w:rsidP="006B3038">
            <w:pPr>
              <w:rPr>
                <w:rFonts w:ascii="Calibri" w:hAnsi="Calibri"/>
                <w:color w:val="000000"/>
                <w:lang w:eastAsia="en-AU"/>
              </w:rPr>
            </w:pPr>
            <w:r>
              <w:rPr>
                <w:rFonts w:ascii="Calibri" w:hAnsi="Calibri"/>
                <w:color w:val="000000"/>
                <w:lang w:eastAsia="en-AU"/>
              </w:rPr>
              <w:t>Admitted Acute or Admitted Subacute Patient: 25 per cent.</w:t>
            </w:r>
          </w:p>
        </w:tc>
      </w:tr>
      <w:tr w:rsidR="006B3038" w:rsidTr="006B3038">
        <w:trPr>
          <w:trHeight w:val="865"/>
        </w:trPr>
        <w:tc>
          <w:tcPr>
            <w:tcW w:w="2850" w:type="dxa"/>
            <w:tcBorders>
              <w:top w:val="single" w:sz="4" w:space="0" w:color="auto"/>
              <w:left w:val="single" w:sz="4" w:space="0" w:color="auto"/>
              <w:bottom w:val="single" w:sz="4" w:space="0" w:color="auto"/>
              <w:right w:val="single" w:sz="4" w:space="0" w:color="auto"/>
            </w:tcBorders>
            <w:shd w:val="clear" w:color="auto" w:fill="auto"/>
            <w:noWrap/>
          </w:tcPr>
          <w:p w:rsidR="006B3038" w:rsidRDefault="006B3038" w:rsidP="006B3038">
            <w:pPr>
              <w:rPr>
                <w:rFonts w:ascii="Calibri" w:hAnsi="Calibri"/>
                <w:color w:val="000000"/>
                <w:lang w:eastAsia="en-AU"/>
              </w:rPr>
            </w:pPr>
            <w:r>
              <w:rPr>
                <w:rFonts w:ascii="Calibri" w:hAnsi="Calibri"/>
                <w:color w:val="000000"/>
                <w:lang w:eastAsia="en-AU"/>
              </w:rPr>
              <w:t>Indigenous Adjustment</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6B3038" w:rsidRPr="00391C1A" w:rsidRDefault="006B3038" w:rsidP="006B3038">
            <w:pPr>
              <w:rPr>
                <w:rFonts w:ascii="Calibri" w:hAnsi="Calibri"/>
                <w:color w:val="000000"/>
                <w:lang w:eastAsia="en-AU"/>
              </w:rPr>
            </w:pPr>
          </w:p>
        </w:tc>
        <w:tc>
          <w:tcPr>
            <w:tcW w:w="5245" w:type="dxa"/>
            <w:tcBorders>
              <w:top w:val="single" w:sz="4" w:space="0" w:color="auto"/>
              <w:left w:val="nil"/>
              <w:bottom w:val="single" w:sz="4" w:space="0" w:color="auto"/>
              <w:right w:val="single" w:sz="4" w:space="0" w:color="auto"/>
            </w:tcBorders>
            <w:shd w:val="clear" w:color="auto" w:fill="auto"/>
            <w:noWrap/>
          </w:tcPr>
          <w:p w:rsidR="006B3038" w:rsidRDefault="006B3038" w:rsidP="006B3038">
            <w:pPr>
              <w:rPr>
                <w:rFonts w:ascii="Calibri" w:hAnsi="Calibri"/>
                <w:color w:val="000000"/>
                <w:lang w:eastAsia="en-AU"/>
              </w:rPr>
            </w:pPr>
            <w:r>
              <w:rPr>
                <w:rFonts w:ascii="Calibri" w:hAnsi="Calibri"/>
                <w:color w:val="000000"/>
                <w:lang w:eastAsia="en-AU"/>
              </w:rPr>
              <w:t>Is in respect of a person who identifies as being of Aboriginal and/or Torres Strait Islander origin.</w:t>
            </w:r>
          </w:p>
        </w:tc>
        <w:tc>
          <w:tcPr>
            <w:tcW w:w="4819" w:type="dxa"/>
            <w:tcBorders>
              <w:top w:val="single" w:sz="4" w:space="0" w:color="auto"/>
              <w:left w:val="nil"/>
              <w:bottom w:val="single" w:sz="4" w:space="0" w:color="auto"/>
              <w:right w:val="single" w:sz="4" w:space="0" w:color="auto"/>
            </w:tcBorders>
            <w:shd w:val="clear" w:color="auto" w:fill="auto"/>
            <w:noWrap/>
          </w:tcPr>
          <w:p w:rsidR="006B3038" w:rsidRDefault="006B3038" w:rsidP="006B3038">
            <w:pPr>
              <w:rPr>
                <w:rFonts w:ascii="Calibri" w:hAnsi="Calibri"/>
                <w:color w:val="000000"/>
                <w:lang w:eastAsia="en-AU"/>
              </w:rPr>
            </w:pPr>
            <w:r>
              <w:rPr>
                <w:rFonts w:ascii="Calibri" w:hAnsi="Calibri"/>
                <w:color w:val="000000"/>
                <w:lang w:eastAsia="en-AU"/>
              </w:rPr>
              <w:t>Admitted Acute, Admitted Subacute, Emergency Department, Emergency Service or Non-admitted Patient: 4 per cent.</w:t>
            </w:r>
          </w:p>
        </w:tc>
      </w:tr>
    </w:tbl>
    <w:p w:rsidR="007F563C" w:rsidRDefault="007F563C" w:rsidP="007F563C">
      <w:pPr>
        <w:spacing w:after="120" w:line="300" w:lineRule="atLeast"/>
        <w:rPr>
          <w:u w:val="single"/>
        </w:rPr>
      </w:pPr>
    </w:p>
    <w:tbl>
      <w:tblPr>
        <w:tblW w:w="14332" w:type="dxa"/>
        <w:tblInd w:w="93" w:type="dxa"/>
        <w:tblLook w:val="04A0" w:firstRow="1" w:lastRow="0" w:firstColumn="1" w:lastColumn="0" w:noHBand="0" w:noVBand="1"/>
      </w:tblPr>
      <w:tblGrid>
        <w:gridCol w:w="2850"/>
        <w:gridCol w:w="1418"/>
        <w:gridCol w:w="5245"/>
        <w:gridCol w:w="4819"/>
      </w:tblGrid>
      <w:tr w:rsidR="00D143BA" w:rsidRPr="00391C1A" w:rsidTr="00D143BA">
        <w:trPr>
          <w:trHeight w:val="661"/>
        </w:trPr>
        <w:tc>
          <w:tcPr>
            <w:tcW w:w="2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43BA" w:rsidRPr="00391C1A" w:rsidRDefault="00D143BA" w:rsidP="004F5088">
            <w:pPr>
              <w:rPr>
                <w:rFonts w:ascii="Calibri" w:hAnsi="Calibri"/>
                <w:color w:val="000000"/>
                <w:lang w:eastAsia="en-AU"/>
              </w:rPr>
            </w:pPr>
            <w:r w:rsidRPr="00391C1A">
              <w:rPr>
                <w:rFonts w:ascii="Calibri" w:hAnsi="Calibri"/>
                <w:color w:val="000000"/>
                <w:lang w:eastAsia="en-AU"/>
              </w:rPr>
              <w:t>Name</w:t>
            </w:r>
          </w:p>
        </w:tc>
        <w:tc>
          <w:tcPr>
            <w:tcW w:w="6663" w:type="dxa"/>
            <w:gridSpan w:val="2"/>
            <w:tcBorders>
              <w:top w:val="single" w:sz="4" w:space="0" w:color="auto"/>
              <w:left w:val="nil"/>
              <w:bottom w:val="single" w:sz="4" w:space="0" w:color="auto"/>
              <w:right w:val="single" w:sz="4" w:space="0" w:color="auto"/>
            </w:tcBorders>
            <w:shd w:val="clear" w:color="auto" w:fill="auto"/>
            <w:noWrap/>
            <w:vAlign w:val="bottom"/>
            <w:hideMark/>
          </w:tcPr>
          <w:p w:rsidR="00D143BA" w:rsidRPr="00391C1A" w:rsidRDefault="00D143BA" w:rsidP="004F5088">
            <w:pPr>
              <w:rPr>
                <w:rFonts w:ascii="Calibri" w:hAnsi="Calibri"/>
                <w:color w:val="000000"/>
                <w:lang w:eastAsia="en-AU"/>
              </w:rPr>
            </w:pPr>
            <w:r w:rsidRPr="00391C1A">
              <w:rPr>
                <w:rFonts w:ascii="Calibri" w:hAnsi="Calibri"/>
                <w:color w:val="000000"/>
                <w:lang w:eastAsia="en-AU"/>
              </w:rPr>
              <w:t>Context</w:t>
            </w:r>
          </w:p>
        </w:tc>
        <w:tc>
          <w:tcPr>
            <w:tcW w:w="4819" w:type="dxa"/>
            <w:tcBorders>
              <w:top w:val="single" w:sz="4" w:space="0" w:color="auto"/>
              <w:left w:val="nil"/>
              <w:bottom w:val="single" w:sz="4" w:space="0" w:color="auto"/>
              <w:right w:val="single" w:sz="4" w:space="0" w:color="auto"/>
            </w:tcBorders>
            <w:shd w:val="clear" w:color="auto" w:fill="auto"/>
            <w:noWrap/>
            <w:vAlign w:val="bottom"/>
            <w:hideMark/>
          </w:tcPr>
          <w:p w:rsidR="00D143BA" w:rsidRPr="00391C1A" w:rsidRDefault="00D143BA" w:rsidP="004F5088">
            <w:pPr>
              <w:rPr>
                <w:rFonts w:ascii="Calibri" w:hAnsi="Calibri"/>
                <w:color w:val="000000"/>
                <w:lang w:eastAsia="en-AU"/>
              </w:rPr>
            </w:pPr>
            <w:r w:rsidRPr="00391C1A">
              <w:rPr>
                <w:rFonts w:ascii="Calibri" w:hAnsi="Calibri"/>
                <w:color w:val="000000"/>
                <w:lang w:eastAsia="en-AU"/>
              </w:rPr>
              <w:t>Amount to be applied</w:t>
            </w:r>
          </w:p>
        </w:tc>
      </w:tr>
      <w:tr w:rsidR="00D143BA" w:rsidRPr="00391C1A" w:rsidTr="00D143BA">
        <w:trPr>
          <w:trHeight w:val="865"/>
        </w:trPr>
        <w:tc>
          <w:tcPr>
            <w:tcW w:w="2850" w:type="dxa"/>
            <w:tcBorders>
              <w:top w:val="nil"/>
              <w:left w:val="single" w:sz="4" w:space="0" w:color="auto"/>
              <w:bottom w:val="single" w:sz="4" w:space="0" w:color="auto"/>
              <w:right w:val="single" w:sz="4" w:space="0" w:color="auto"/>
            </w:tcBorders>
            <w:shd w:val="clear" w:color="auto" w:fill="auto"/>
            <w:noWrap/>
            <w:hideMark/>
          </w:tcPr>
          <w:p w:rsidR="00D143BA" w:rsidRPr="00391C1A" w:rsidRDefault="00D143BA" w:rsidP="004F5088">
            <w:pPr>
              <w:rPr>
                <w:rFonts w:ascii="Calibri" w:hAnsi="Calibri"/>
                <w:color w:val="000000"/>
                <w:lang w:eastAsia="en-AU"/>
              </w:rPr>
            </w:pPr>
            <w:r>
              <w:rPr>
                <w:rFonts w:ascii="Calibri" w:hAnsi="Calibri"/>
                <w:color w:val="000000"/>
                <w:lang w:eastAsia="en-AU"/>
              </w:rPr>
              <w:t>Radiotherapy Adjustment</w:t>
            </w:r>
          </w:p>
        </w:tc>
        <w:tc>
          <w:tcPr>
            <w:tcW w:w="1418" w:type="dxa"/>
            <w:vMerge w:val="restart"/>
            <w:tcBorders>
              <w:top w:val="single" w:sz="4" w:space="0" w:color="auto"/>
              <w:left w:val="nil"/>
              <w:bottom w:val="single" w:sz="4" w:space="0" w:color="auto"/>
              <w:right w:val="single" w:sz="4" w:space="0" w:color="auto"/>
            </w:tcBorders>
            <w:shd w:val="clear" w:color="auto" w:fill="auto"/>
            <w:noWrap/>
            <w:vAlign w:val="center"/>
            <w:hideMark/>
          </w:tcPr>
          <w:p w:rsidR="00FD2EB0" w:rsidRPr="00391C1A" w:rsidRDefault="00D143BA" w:rsidP="00FD2EB0">
            <w:pPr>
              <w:rPr>
                <w:rFonts w:ascii="Calibri" w:hAnsi="Calibri"/>
                <w:color w:val="000000"/>
                <w:lang w:eastAsia="en-AU"/>
              </w:rPr>
            </w:pPr>
            <w:r>
              <w:rPr>
                <w:rFonts w:ascii="Calibri" w:hAnsi="Calibri"/>
                <w:color w:val="000000"/>
                <w:lang w:eastAsia="en-AU"/>
              </w:rPr>
              <w:t>Where an ABF Activity:</w:t>
            </w:r>
          </w:p>
          <w:p w:rsidR="00D143BA" w:rsidRPr="00391C1A" w:rsidRDefault="00D143BA" w:rsidP="004F5088">
            <w:pPr>
              <w:rPr>
                <w:rFonts w:ascii="Calibri" w:hAnsi="Calibri"/>
                <w:color w:val="000000"/>
                <w:lang w:eastAsia="en-AU"/>
              </w:rPr>
            </w:pPr>
          </w:p>
        </w:tc>
        <w:tc>
          <w:tcPr>
            <w:tcW w:w="5245" w:type="dxa"/>
            <w:tcBorders>
              <w:top w:val="nil"/>
              <w:left w:val="nil"/>
              <w:bottom w:val="single" w:sz="4" w:space="0" w:color="auto"/>
              <w:right w:val="single" w:sz="4" w:space="0" w:color="auto"/>
            </w:tcBorders>
            <w:shd w:val="clear" w:color="auto" w:fill="auto"/>
            <w:noWrap/>
            <w:hideMark/>
          </w:tcPr>
          <w:p w:rsidR="00D143BA" w:rsidRPr="00391C1A" w:rsidRDefault="00D143BA" w:rsidP="004F5088">
            <w:pPr>
              <w:rPr>
                <w:rFonts w:ascii="Calibri" w:hAnsi="Calibri"/>
                <w:color w:val="000000"/>
                <w:vertAlign w:val="superscript"/>
                <w:lang w:eastAsia="en-AU"/>
              </w:rPr>
            </w:pPr>
            <w:r>
              <w:rPr>
                <w:rFonts w:ascii="Calibri" w:hAnsi="Calibri"/>
                <w:color w:val="000000"/>
                <w:lang w:eastAsia="en-AU"/>
              </w:rPr>
              <w:t>Is in respect of an Admitted Acute Patient with a specified ICD-10-AM 10</w:t>
            </w:r>
            <w:r w:rsidRPr="00391C1A">
              <w:rPr>
                <w:rFonts w:ascii="Calibri" w:hAnsi="Calibri"/>
                <w:color w:val="000000"/>
                <w:vertAlign w:val="superscript"/>
                <w:lang w:eastAsia="en-AU"/>
              </w:rPr>
              <w:t>th</w:t>
            </w:r>
            <w:r>
              <w:rPr>
                <w:rFonts w:ascii="Calibri" w:hAnsi="Calibri"/>
                <w:color w:val="000000"/>
                <w:lang w:eastAsia="en-AU"/>
              </w:rPr>
              <w:t xml:space="preserve"> edition radiotherapy procedure code recorded in their medical record.</w:t>
            </w:r>
            <w:r>
              <w:rPr>
                <w:rFonts w:ascii="Calibri" w:hAnsi="Calibri"/>
                <w:color w:val="000000"/>
                <w:vertAlign w:val="superscript"/>
                <w:lang w:eastAsia="en-AU"/>
              </w:rPr>
              <w:t>2</w:t>
            </w:r>
          </w:p>
        </w:tc>
        <w:tc>
          <w:tcPr>
            <w:tcW w:w="4819" w:type="dxa"/>
            <w:tcBorders>
              <w:top w:val="nil"/>
              <w:left w:val="nil"/>
              <w:bottom w:val="single" w:sz="4" w:space="0" w:color="auto"/>
              <w:right w:val="single" w:sz="4" w:space="0" w:color="auto"/>
            </w:tcBorders>
            <w:shd w:val="clear" w:color="auto" w:fill="auto"/>
            <w:noWrap/>
            <w:hideMark/>
          </w:tcPr>
          <w:p w:rsidR="00D143BA" w:rsidRPr="00391C1A" w:rsidRDefault="00D143BA" w:rsidP="004F5088">
            <w:pPr>
              <w:rPr>
                <w:rFonts w:ascii="Calibri" w:hAnsi="Calibri"/>
                <w:color w:val="000000"/>
                <w:lang w:eastAsia="en-AU"/>
              </w:rPr>
            </w:pPr>
            <w:r>
              <w:rPr>
                <w:rFonts w:ascii="Calibri" w:hAnsi="Calibri"/>
                <w:color w:val="000000"/>
                <w:lang w:eastAsia="en-AU"/>
              </w:rPr>
              <w:t>Admitted Acute Patient: 27 per cent</w:t>
            </w:r>
          </w:p>
        </w:tc>
      </w:tr>
      <w:tr w:rsidR="00D143BA" w:rsidRPr="00391C1A" w:rsidTr="00D143BA">
        <w:trPr>
          <w:trHeight w:val="865"/>
        </w:trPr>
        <w:tc>
          <w:tcPr>
            <w:tcW w:w="2850" w:type="dxa"/>
            <w:tcBorders>
              <w:top w:val="nil"/>
              <w:left w:val="single" w:sz="4" w:space="0" w:color="auto"/>
              <w:bottom w:val="single" w:sz="4" w:space="0" w:color="auto"/>
              <w:right w:val="single" w:sz="4" w:space="0" w:color="auto"/>
            </w:tcBorders>
            <w:shd w:val="clear" w:color="auto" w:fill="auto"/>
            <w:noWrap/>
            <w:hideMark/>
          </w:tcPr>
          <w:p w:rsidR="00D143BA" w:rsidRPr="00391C1A" w:rsidRDefault="00D143BA" w:rsidP="004F5088">
            <w:pPr>
              <w:rPr>
                <w:rFonts w:ascii="Calibri" w:hAnsi="Calibri"/>
                <w:color w:val="000000"/>
                <w:lang w:eastAsia="en-AU"/>
              </w:rPr>
            </w:pPr>
            <w:r>
              <w:rPr>
                <w:rFonts w:ascii="Calibri" w:hAnsi="Calibri"/>
                <w:color w:val="000000"/>
                <w:lang w:eastAsia="en-AU"/>
              </w:rPr>
              <w:t>Dialysis Adjustment</w:t>
            </w:r>
          </w:p>
        </w:tc>
        <w:tc>
          <w:tcPr>
            <w:tcW w:w="1418" w:type="dxa"/>
            <w:vMerge/>
            <w:tcBorders>
              <w:top w:val="single" w:sz="4" w:space="0" w:color="auto"/>
              <w:left w:val="nil"/>
              <w:bottom w:val="single" w:sz="4" w:space="0" w:color="auto"/>
              <w:right w:val="single" w:sz="4" w:space="0" w:color="auto"/>
            </w:tcBorders>
            <w:shd w:val="clear" w:color="auto" w:fill="auto"/>
            <w:noWrap/>
            <w:vAlign w:val="bottom"/>
            <w:hideMark/>
          </w:tcPr>
          <w:p w:rsidR="00D143BA" w:rsidRPr="00391C1A" w:rsidRDefault="00D143BA" w:rsidP="004F5088">
            <w:pPr>
              <w:rPr>
                <w:rFonts w:ascii="Calibri" w:hAnsi="Calibri"/>
                <w:color w:val="000000"/>
                <w:lang w:eastAsia="en-AU"/>
              </w:rPr>
            </w:pPr>
          </w:p>
        </w:tc>
        <w:tc>
          <w:tcPr>
            <w:tcW w:w="5245" w:type="dxa"/>
            <w:tcBorders>
              <w:top w:val="nil"/>
              <w:left w:val="nil"/>
              <w:bottom w:val="single" w:sz="4" w:space="0" w:color="auto"/>
              <w:right w:val="single" w:sz="4" w:space="0" w:color="auto"/>
            </w:tcBorders>
            <w:shd w:val="clear" w:color="auto" w:fill="auto"/>
            <w:noWrap/>
            <w:hideMark/>
          </w:tcPr>
          <w:p w:rsidR="00D143BA" w:rsidRPr="00391C1A" w:rsidRDefault="00D143BA" w:rsidP="004F5088">
            <w:pPr>
              <w:rPr>
                <w:rFonts w:ascii="Calibri" w:hAnsi="Calibri"/>
                <w:color w:val="000000"/>
                <w:lang w:eastAsia="en-AU"/>
              </w:rPr>
            </w:pPr>
            <w:r>
              <w:rPr>
                <w:rFonts w:ascii="Calibri" w:hAnsi="Calibri"/>
                <w:color w:val="000000"/>
                <w:lang w:eastAsia="en-AU"/>
              </w:rPr>
              <w:t>Is in respect of an Admitted Acute Patient with a specified ICD-10-AM 10</w:t>
            </w:r>
            <w:r w:rsidRPr="00E73654">
              <w:rPr>
                <w:rFonts w:ascii="Calibri" w:hAnsi="Calibri"/>
                <w:color w:val="000000"/>
                <w:vertAlign w:val="superscript"/>
                <w:lang w:eastAsia="en-AU"/>
              </w:rPr>
              <w:t>th</w:t>
            </w:r>
            <w:r>
              <w:rPr>
                <w:rFonts w:ascii="Calibri" w:hAnsi="Calibri"/>
                <w:color w:val="000000"/>
                <w:lang w:eastAsia="en-AU"/>
              </w:rPr>
              <w:t xml:space="preserve"> edition renal dialysis code who is not assigned to the AR-DRG L68Z Peritoneal Dialysis.</w:t>
            </w:r>
            <w:r>
              <w:rPr>
                <w:rFonts w:ascii="Calibri" w:hAnsi="Calibri"/>
                <w:color w:val="000000"/>
                <w:vertAlign w:val="superscript"/>
                <w:lang w:eastAsia="en-AU"/>
              </w:rPr>
              <w:t>2</w:t>
            </w:r>
            <w:r w:rsidRPr="00391C1A">
              <w:rPr>
                <w:rFonts w:ascii="Calibri" w:hAnsi="Calibri"/>
                <w:color w:val="000000"/>
                <w:lang w:eastAsia="en-AU"/>
              </w:rPr>
              <w:t> </w:t>
            </w:r>
          </w:p>
        </w:tc>
        <w:tc>
          <w:tcPr>
            <w:tcW w:w="4819" w:type="dxa"/>
            <w:tcBorders>
              <w:top w:val="nil"/>
              <w:left w:val="nil"/>
              <w:bottom w:val="single" w:sz="4" w:space="0" w:color="auto"/>
              <w:right w:val="single" w:sz="4" w:space="0" w:color="auto"/>
            </w:tcBorders>
            <w:shd w:val="clear" w:color="auto" w:fill="auto"/>
            <w:noWrap/>
            <w:hideMark/>
          </w:tcPr>
          <w:p w:rsidR="00D143BA" w:rsidRPr="00391C1A" w:rsidRDefault="00D143BA" w:rsidP="004F5088">
            <w:pPr>
              <w:rPr>
                <w:rFonts w:ascii="Calibri" w:hAnsi="Calibri"/>
                <w:color w:val="000000"/>
                <w:lang w:eastAsia="en-AU"/>
              </w:rPr>
            </w:pPr>
            <w:r>
              <w:rPr>
                <w:rFonts w:ascii="Calibri" w:hAnsi="Calibri"/>
                <w:color w:val="000000"/>
                <w:lang w:eastAsia="en-AU"/>
              </w:rPr>
              <w:t>Admitted Acute Patient: 25 per cent</w:t>
            </w:r>
          </w:p>
        </w:tc>
      </w:tr>
      <w:tr w:rsidR="00D143BA" w:rsidRPr="00391C1A" w:rsidTr="00D143BA">
        <w:trPr>
          <w:trHeight w:val="865"/>
        </w:trPr>
        <w:tc>
          <w:tcPr>
            <w:tcW w:w="2850" w:type="dxa"/>
            <w:tcBorders>
              <w:top w:val="nil"/>
              <w:left w:val="single" w:sz="4" w:space="0" w:color="auto"/>
              <w:bottom w:val="single" w:sz="4" w:space="0" w:color="auto"/>
              <w:right w:val="single" w:sz="4" w:space="0" w:color="auto"/>
            </w:tcBorders>
            <w:shd w:val="clear" w:color="auto" w:fill="auto"/>
            <w:noWrap/>
            <w:hideMark/>
          </w:tcPr>
          <w:p w:rsidR="00D143BA" w:rsidRPr="00391C1A" w:rsidRDefault="00D143BA" w:rsidP="004F5088">
            <w:pPr>
              <w:rPr>
                <w:rFonts w:ascii="Calibri" w:hAnsi="Calibri"/>
                <w:color w:val="000000"/>
                <w:lang w:eastAsia="en-AU"/>
              </w:rPr>
            </w:pPr>
            <w:r>
              <w:rPr>
                <w:rFonts w:ascii="Calibri" w:hAnsi="Calibri"/>
                <w:color w:val="000000"/>
                <w:lang w:eastAsia="en-AU"/>
              </w:rPr>
              <w:t>Intensive Care Unit (ICU) Adjustment</w:t>
            </w:r>
          </w:p>
        </w:tc>
        <w:tc>
          <w:tcPr>
            <w:tcW w:w="1418" w:type="dxa"/>
            <w:vMerge/>
            <w:tcBorders>
              <w:top w:val="single" w:sz="4" w:space="0" w:color="auto"/>
              <w:left w:val="nil"/>
              <w:bottom w:val="single" w:sz="4" w:space="0" w:color="auto"/>
              <w:right w:val="single" w:sz="4" w:space="0" w:color="auto"/>
            </w:tcBorders>
            <w:shd w:val="clear" w:color="auto" w:fill="auto"/>
            <w:noWrap/>
            <w:vAlign w:val="bottom"/>
            <w:hideMark/>
          </w:tcPr>
          <w:p w:rsidR="00D143BA" w:rsidRPr="00391C1A" w:rsidRDefault="00D143BA" w:rsidP="004F5088">
            <w:pPr>
              <w:rPr>
                <w:rFonts w:ascii="Calibri" w:hAnsi="Calibri"/>
                <w:color w:val="000000"/>
                <w:lang w:eastAsia="en-AU"/>
              </w:rPr>
            </w:pPr>
          </w:p>
        </w:tc>
        <w:tc>
          <w:tcPr>
            <w:tcW w:w="5245" w:type="dxa"/>
            <w:tcBorders>
              <w:top w:val="nil"/>
              <w:left w:val="nil"/>
              <w:bottom w:val="single" w:sz="4" w:space="0" w:color="auto"/>
              <w:right w:val="single" w:sz="4" w:space="0" w:color="auto"/>
            </w:tcBorders>
            <w:shd w:val="clear" w:color="auto" w:fill="auto"/>
            <w:noWrap/>
            <w:hideMark/>
          </w:tcPr>
          <w:p w:rsidR="00D143BA" w:rsidRDefault="00D143BA" w:rsidP="00D143BA">
            <w:pPr>
              <w:pStyle w:val="ListParagraph"/>
              <w:numPr>
                <w:ilvl w:val="0"/>
                <w:numId w:val="49"/>
              </w:numPr>
              <w:spacing w:after="0" w:line="240" w:lineRule="auto"/>
              <w:ind w:left="459" w:right="0" w:hanging="425"/>
              <w:jc w:val="left"/>
              <w:rPr>
                <w:rFonts w:eastAsia="Times New Roman"/>
                <w:lang w:eastAsia="en-AU"/>
              </w:rPr>
            </w:pPr>
            <w:r>
              <w:rPr>
                <w:rFonts w:eastAsia="Times New Roman"/>
                <w:lang w:eastAsia="en-AU"/>
              </w:rPr>
              <w:t>Is not represented by a newborn/neonate AR-DRG</w:t>
            </w:r>
            <w:r w:rsidRPr="00867E58">
              <w:rPr>
                <w:rFonts w:eastAsia="Times New Roman"/>
                <w:lang w:eastAsia="en-AU"/>
              </w:rPr>
              <w:t> </w:t>
            </w:r>
            <w:r>
              <w:rPr>
                <w:rFonts w:eastAsia="Times New Roman"/>
                <w:lang w:eastAsia="en-AU"/>
              </w:rPr>
              <w:t>identified as ‘Bundled ICU’ in the tables of Price Weights (Appendix H); but</w:t>
            </w:r>
          </w:p>
          <w:p w:rsidR="00D143BA" w:rsidRPr="00867E58" w:rsidRDefault="00D143BA" w:rsidP="00D143BA">
            <w:pPr>
              <w:pStyle w:val="ListParagraph"/>
              <w:numPr>
                <w:ilvl w:val="0"/>
                <w:numId w:val="49"/>
              </w:numPr>
              <w:spacing w:after="0" w:line="240" w:lineRule="auto"/>
              <w:ind w:left="459" w:right="0" w:hanging="425"/>
              <w:jc w:val="left"/>
              <w:rPr>
                <w:rFonts w:eastAsia="Times New Roman"/>
                <w:lang w:eastAsia="en-AU"/>
              </w:rPr>
            </w:pPr>
            <w:r>
              <w:rPr>
                <w:rFonts w:eastAsia="Times New Roman"/>
                <w:lang w:eastAsia="en-AU"/>
              </w:rPr>
              <w:t>Is in respect of a person who has spent time within a Specified ICU.</w:t>
            </w:r>
            <w:r>
              <w:rPr>
                <w:rFonts w:eastAsia="Times New Roman"/>
                <w:vertAlign w:val="superscript"/>
                <w:lang w:eastAsia="en-AU"/>
              </w:rPr>
              <w:t>3</w:t>
            </w:r>
          </w:p>
        </w:tc>
        <w:tc>
          <w:tcPr>
            <w:tcW w:w="4819" w:type="dxa"/>
            <w:tcBorders>
              <w:top w:val="nil"/>
              <w:left w:val="nil"/>
              <w:bottom w:val="single" w:sz="4" w:space="0" w:color="auto"/>
              <w:right w:val="single" w:sz="4" w:space="0" w:color="auto"/>
            </w:tcBorders>
            <w:shd w:val="clear" w:color="auto" w:fill="auto"/>
            <w:noWrap/>
            <w:hideMark/>
          </w:tcPr>
          <w:p w:rsidR="00D143BA" w:rsidRPr="00391C1A" w:rsidRDefault="00D143BA" w:rsidP="004F5088">
            <w:pPr>
              <w:rPr>
                <w:rFonts w:ascii="Calibri" w:hAnsi="Calibri"/>
                <w:color w:val="000000"/>
                <w:lang w:eastAsia="en-AU"/>
              </w:rPr>
            </w:pPr>
            <w:r w:rsidRPr="00391C1A">
              <w:rPr>
                <w:rFonts w:ascii="Calibri" w:hAnsi="Calibri"/>
                <w:color w:val="000000"/>
                <w:lang w:eastAsia="en-AU"/>
              </w:rPr>
              <w:t> </w:t>
            </w:r>
            <w:r>
              <w:rPr>
                <w:rFonts w:ascii="Calibri" w:hAnsi="Calibri"/>
                <w:color w:val="000000"/>
                <w:lang w:eastAsia="en-AU"/>
              </w:rPr>
              <w:t xml:space="preserve">0.0427 </w:t>
            </w:r>
            <w:proofErr w:type="gramStart"/>
            <w:r>
              <w:rPr>
                <w:rFonts w:ascii="Calibri" w:hAnsi="Calibri"/>
                <w:color w:val="000000"/>
                <w:lang w:eastAsia="en-AU"/>
              </w:rPr>
              <w:t>NWAU(</w:t>
            </w:r>
            <w:proofErr w:type="gramEnd"/>
            <w:r>
              <w:rPr>
                <w:rFonts w:ascii="Calibri" w:hAnsi="Calibri"/>
                <w:color w:val="000000"/>
                <w:lang w:eastAsia="en-AU"/>
              </w:rPr>
              <w:t>17)/hour spent by that person within the Specified ICU.</w:t>
            </w:r>
          </w:p>
        </w:tc>
      </w:tr>
      <w:tr w:rsidR="00D143BA" w:rsidRPr="00391C1A" w:rsidTr="00D143BA">
        <w:trPr>
          <w:trHeight w:val="865"/>
        </w:trPr>
        <w:tc>
          <w:tcPr>
            <w:tcW w:w="2850" w:type="dxa"/>
            <w:tcBorders>
              <w:top w:val="nil"/>
              <w:left w:val="single" w:sz="4" w:space="0" w:color="auto"/>
              <w:bottom w:val="single" w:sz="4" w:space="0" w:color="auto"/>
              <w:right w:val="single" w:sz="4" w:space="0" w:color="auto"/>
            </w:tcBorders>
            <w:shd w:val="clear" w:color="auto" w:fill="auto"/>
            <w:noWrap/>
            <w:hideMark/>
          </w:tcPr>
          <w:p w:rsidR="00D143BA" w:rsidRPr="00391C1A" w:rsidRDefault="00D143BA" w:rsidP="004F5088">
            <w:pPr>
              <w:rPr>
                <w:rFonts w:ascii="Calibri" w:hAnsi="Calibri"/>
                <w:color w:val="000000"/>
                <w:lang w:eastAsia="en-AU"/>
              </w:rPr>
            </w:pPr>
            <w:r>
              <w:rPr>
                <w:rFonts w:ascii="Calibri" w:hAnsi="Calibri"/>
                <w:color w:val="000000"/>
                <w:lang w:eastAsia="en-AU"/>
              </w:rPr>
              <w:t>Private Patient Service Adjustment</w:t>
            </w:r>
            <w:r w:rsidRPr="00391C1A">
              <w:rPr>
                <w:rFonts w:ascii="Calibri" w:hAnsi="Calibri"/>
                <w:color w:val="000000"/>
                <w:lang w:eastAsia="en-AU"/>
              </w:rPr>
              <w:t> </w:t>
            </w:r>
          </w:p>
        </w:tc>
        <w:tc>
          <w:tcPr>
            <w:tcW w:w="1418" w:type="dxa"/>
            <w:vMerge/>
            <w:tcBorders>
              <w:top w:val="single" w:sz="4" w:space="0" w:color="auto"/>
              <w:left w:val="nil"/>
              <w:bottom w:val="single" w:sz="4" w:space="0" w:color="auto"/>
              <w:right w:val="single" w:sz="4" w:space="0" w:color="auto"/>
            </w:tcBorders>
            <w:shd w:val="clear" w:color="auto" w:fill="auto"/>
            <w:noWrap/>
            <w:vAlign w:val="bottom"/>
            <w:hideMark/>
          </w:tcPr>
          <w:p w:rsidR="00D143BA" w:rsidRPr="00391C1A" w:rsidRDefault="00D143BA" w:rsidP="004F5088">
            <w:pPr>
              <w:rPr>
                <w:rFonts w:ascii="Calibri" w:hAnsi="Calibri"/>
                <w:color w:val="000000"/>
                <w:lang w:eastAsia="en-AU"/>
              </w:rPr>
            </w:pPr>
          </w:p>
        </w:tc>
        <w:tc>
          <w:tcPr>
            <w:tcW w:w="5245" w:type="dxa"/>
            <w:tcBorders>
              <w:top w:val="nil"/>
              <w:left w:val="nil"/>
              <w:bottom w:val="single" w:sz="4" w:space="0" w:color="auto"/>
              <w:right w:val="single" w:sz="4" w:space="0" w:color="auto"/>
            </w:tcBorders>
            <w:shd w:val="clear" w:color="auto" w:fill="auto"/>
            <w:noWrap/>
            <w:hideMark/>
          </w:tcPr>
          <w:p w:rsidR="00D143BA" w:rsidRPr="00391C1A" w:rsidRDefault="00D143BA" w:rsidP="004F5088">
            <w:pPr>
              <w:rPr>
                <w:rFonts w:ascii="Calibri" w:hAnsi="Calibri"/>
                <w:color w:val="000000"/>
                <w:lang w:eastAsia="en-AU"/>
              </w:rPr>
            </w:pPr>
            <w:r>
              <w:rPr>
                <w:rFonts w:ascii="Calibri" w:hAnsi="Calibri"/>
                <w:color w:val="000000"/>
                <w:lang w:eastAsia="en-AU"/>
              </w:rPr>
              <w:t>Is in respect of the Eligible Admitted Private Patient.</w:t>
            </w:r>
            <w:r w:rsidRPr="00391C1A">
              <w:rPr>
                <w:rFonts w:ascii="Calibri" w:hAnsi="Calibri"/>
                <w:color w:val="000000"/>
                <w:lang w:eastAsia="en-AU"/>
              </w:rPr>
              <w:t> </w:t>
            </w:r>
          </w:p>
        </w:tc>
        <w:tc>
          <w:tcPr>
            <w:tcW w:w="4819" w:type="dxa"/>
            <w:tcBorders>
              <w:top w:val="nil"/>
              <w:left w:val="nil"/>
              <w:bottom w:val="single" w:sz="4" w:space="0" w:color="auto"/>
              <w:right w:val="single" w:sz="4" w:space="0" w:color="auto"/>
            </w:tcBorders>
            <w:shd w:val="clear" w:color="auto" w:fill="auto"/>
            <w:noWrap/>
            <w:hideMark/>
          </w:tcPr>
          <w:p w:rsidR="00D143BA" w:rsidRDefault="00D143BA" w:rsidP="004F5088">
            <w:pPr>
              <w:rPr>
                <w:rFonts w:ascii="Calibri" w:hAnsi="Calibri"/>
                <w:color w:val="000000"/>
                <w:lang w:eastAsia="en-AU"/>
              </w:rPr>
            </w:pPr>
            <w:r>
              <w:rPr>
                <w:rFonts w:ascii="Calibri" w:hAnsi="Calibri"/>
                <w:color w:val="000000"/>
                <w:lang w:eastAsia="en-AU"/>
              </w:rPr>
              <w:t>Admitted Acute Patient: Refer to column headed ‘Private Patient Service Adjustment’ in the table of Price Weights at Appendix H.</w:t>
            </w:r>
          </w:p>
          <w:p w:rsidR="00D143BA" w:rsidRPr="00391C1A" w:rsidRDefault="00D143BA" w:rsidP="004F5088">
            <w:pPr>
              <w:rPr>
                <w:rFonts w:ascii="Calibri" w:hAnsi="Calibri"/>
                <w:color w:val="000000"/>
                <w:lang w:eastAsia="en-AU"/>
              </w:rPr>
            </w:pPr>
            <w:r>
              <w:rPr>
                <w:rFonts w:ascii="Calibri" w:hAnsi="Calibri"/>
                <w:color w:val="000000"/>
                <w:lang w:eastAsia="en-AU"/>
              </w:rPr>
              <w:t>Admitted Subacute Patient: Refer to Appendix F for applicable adjustment.</w:t>
            </w:r>
            <w:r w:rsidRPr="00391C1A">
              <w:rPr>
                <w:rFonts w:ascii="Calibri" w:hAnsi="Calibri"/>
                <w:color w:val="000000"/>
                <w:lang w:eastAsia="en-AU"/>
              </w:rPr>
              <w:t> </w:t>
            </w:r>
          </w:p>
        </w:tc>
      </w:tr>
      <w:tr w:rsidR="00D143BA" w:rsidRPr="00391C1A" w:rsidTr="00D143BA">
        <w:trPr>
          <w:trHeight w:val="865"/>
        </w:trPr>
        <w:tc>
          <w:tcPr>
            <w:tcW w:w="2850" w:type="dxa"/>
            <w:tcBorders>
              <w:top w:val="nil"/>
              <w:left w:val="single" w:sz="4" w:space="0" w:color="auto"/>
              <w:bottom w:val="single" w:sz="4" w:space="0" w:color="auto"/>
              <w:right w:val="single" w:sz="4" w:space="0" w:color="auto"/>
            </w:tcBorders>
            <w:shd w:val="clear" w:color="auto" w:fill="auto"/>
            <w:noWrap/>
            <w:hideMark/>
          </w:tcPr>
          <w:p w:rsidR="00D143BA" w:rsidRPr="00391C1A" w:rsidRDefault="00D143BA" w:rsidP="004F5088">
            <w:pPr>
              <w:rPr>
                <w:rFonts w:ascii="Calibri" w:hAnsi="Calibri"/>
                <w:color w:val="000000"/>
                <w:lang w:eastAsia="en-AU"/>
              </w:rPr>
            </w:pPr>
            <w:r>
              <w:rPr>
                <w:rFonts w:ascii="Calibri" w:hAnsi="Calibri"/>
                <w:color w:val="000000"/>
                <w:lang w:eastAsia="en-AU"/>
              </w:rPr>
              <w:t>Private Patient Accommodation Adjustment</w:t>
            </w:r>
            <w:r w:rsidRPr="00391C1A">
              <w:rPr>
                <w:rFonts w:ascii="Calibri" w:hAnsi="Calibri"/>
                <w:color w:val="000000"/>
                <w:lang w:eastAsia="en-AU"/>
              </w:rPr>
              <w:t> </w:t>
            </w:r>
          </w:p>
        </w:tc>
        <w:tc>
          <w:tcPr>
            <w:tcW w:w="1418" w:type="dxa"/>
            <w:vMerge/>
            <w:tcBorders>
              <w:top w:val="single" w:sz="4" w:space="0" w:color="auto"/>
              <w:left w:val="nil"/>
              <w:bottom w:val="single" w:sz="4" w:space="0" w:color="auto"/>
              <w:right w:val="single" w:sz="4" w:space="0" w:color="auto"/>
            </w:tcBorders>
            <w:shd w:val="clear" w:color="auto" w:fill="auto"/>
            <w:noWrap/>
            <w:vAlign w:val="bottom"/>
            <w:hideMark/>
          </w:tcPr>
          <w:p w:rsidR="00D143BA" w:rsidRPr="00391C1A" w:rsidRDefault="00D143BA" w:rsidP="004F5088">
            <w:pPr>
              <w:rPr>
                <w:rFonts w:ascii="Calibri" w:hAnsi="Calibri"/>
                <w:color w:val="000000"/>
                <w:lang w:eastAsia="en-AU"/>
              </w:rPr>
            </w:pPr>
          </w:p>
        </w:tc>
        <w:tc>
          <w:tcPr>
            <w:tcW w:w="5245" w:type="dxa"/>
            <w:tcBorders>
              <w:top w:val="nil"/>
              <w:left w:val="nil"/>
              <w:bottom w:val="single" w:sz="4" w:space="0" w:color="auto"/>
              <w:right w:val="single" w:sz="4" w:space="0" w:color="auto"/>
            </w:tcBorders>
            <w:shd w:val="clear" w:color="auto" w:fill="auto"/>
            <w:noWrap/>
            <w:hideMark/>
          </w:tcPr>
          <w:p w:rsidR="00D143BA" w:rsidRPr="00391C1A" w:rsidRDefault="00D143BA" w:rsidP="004F5088">
            <w:pPr>
              <w:rPr>
                <w:rFonts w:ascii="Calibri" w:hAnsi="Calibri"/>
                <w:color w:val="000000"/>
                <w:lang w:eastAsia="en-AU"/>
              </w:rPr>
            </w:pPr>
            <w:r>
              <w:rPr>
                <w:rFonts w:ascii="Calibri" w:hAnsi="Calibri"/>
                <w:color w:val="000000"/>
                <w:lang w:eastAsia="en-AU"/>
              </w:rPr>
              <w:t>Is in respect of the Eligible Admitted Private Patient.</w:t>
            </w:r>
            <w:r w:rsidRPr="00391C1A">
              <w:rPr>
                <w:rFonts w:ascii="Calibri" w:hAnsi="Calibri"/>
                <w:color w:val="000000"/>
                <w:lang w:eastAsia="en-AU"/>
              </w:rPr>
              <w:t>  </w:t>
            </w:r>
          </w:p>
        </w:tc>
        <w:tc>
          <w:tcPr>
            <w:tcW w:w="4819" w:type="dxa"/>
            <w:tcBorders>
              <w:top w:val="nil"/>
              <w:left w:val="nil"/>
              <w:bottom w:val="single" w:sz="4" w:space="0" w:color="auto"/>
              <w:right w:val="single" w:sz="4" w:space="0" w:color="auto"/>
            </w:tcBorders>
            <w:shd w:val="clear" w:color="auto" w:fill="auto"/>
            <w:noWrap/>
            <w:hideMark/>
          </w:tcPr>
          <w:p w:rsidR="00D143BA" w:rsidRPr="00391C1A" w:rsidRDefault="00D143BA" w:rsidP="004F5088">
            <w:pPr>
              <w:rPr>
                <w:rFonts w:ascii="Calibri" w:hAnsi="Calibri"/>
                <w:color w:val="000000"/>
                <w:lang w:eastAsia="en-AU"/>
              </w:rPr>
            </w:pPr>
            <w:r>
              <w:rPr>
                <w:rFonts w:ascii="Calibri" w:hAnsi="Calibri"/>
                <w:color w:val="000000"/>
                <w:lang w:eastAsia="en-AU"/>
              </w:rPr>
              <w:t>Admitted Acute od Admitted Subacute Patient: Refer to Appendix F for applicable adjustment.</w:t>
            </w:r>
            <w:r w:rsidRPr="00391C1A">
              <w:rPr>
                <w:rFonts w:ascii="Calibri" w:hAnsi="Calibri"/>
                <w:color w:val="000000"/>
                <w:lang w:eastAsia="en-AU"/>
              </w:rPr>
              <w:t> </w:t>
            </w:r>
          </w:p>
        </w:tc>
      </w:tr>
      <w:tr w:rsidR="00D143BA" w:rsidRPr="00391C1A" w:rsidTr="00D143BA">
        <w:trPr>
          <w:trHeight w:val="865"/>
        </w:trPr>
        <w:tc>
          <w:tcPr>
            <w:tcW w:w="2850" w:type="dxa"/>
            <w:tcBorders>
              <w:top w:val="nil"/>
              <w:left w:val="single" w:sz="4" w:space="0" w:color="auto"/>
              <w:bottom w:val="single" w:sz="4" w:space="0" w:color="auto"/>
              <w:right w:val="single" w:sz="4" w:space="0" w:color="auto"/>
            </w:tcBorders>
            <w:shd w:val="clear" w:color="auto" w:fill="auto"/>
            <w:noWrap/>
            <w:hideMark/>
          </w:tcPr>
          <w:p w:rsidR="00D143BA" w:rsidRPr="00391C1A" w:rsidRDefault="00D143BA" w:rsidP="004F5088">
            <w:pPr>
              <w:rPr>
                <w:rFonts w:ascii="Calibri" w:hAnsi="Calibri"/>
                <w:color w:val="000000"/>
                <w:lang w:eastAsia="en-AU"/>
              </w:rPr>
            </w:pPr>
            <w:r>
              <w:rPr>
                <w:rFonts w:ascii="Calibri" w:hAnsi="Calibri"/>
                <w:color w:val="000000"/>
                <w:lang w:eastAsia="en-AU"/>
              </w:rPr>
              <w:t>Multidisciplinary Clinic Adjustment</w:t>
            </w:r>
            <w:r w:rsidRPr="00391C1A">
              <w:rPr>
                <w:rFonts w:ascii="Calibri" w:hAnsi="Calibri"/>
                <w:color w:val="000000"/>
                <w:lang w:eastAsia="en-AU"/>
              </w:rPr>
              <w:t> </w:t>
            </w:r>
          </w:p>
        </w:tc>
        <w:tc>
          <w:tcPr>
            <w:tcW w:w="1418" w:type="dxa"/>
            <w:vMerge/>
            <w:tcBorders>
              <w:top w:val="single" w:sz="4" w:space="0" w:color="auto"/>
              <w:left w:val="nil"/>
              <w:bottom w:val="single" w:sz="4" w:space="0" w:color="auto"/>
              <w:right w:val="single" w:sz="4" w:space="0" w:color="auto"/>
            </w:tcBorders>
            <w:shd w:val="clear" w:color="auto" w:fill="auto"/>
            <w:noWrap/>
            <w:vAlign w:val="bottom"/>
            <w:hideMark/>
          </w:tcPr>
          <w:p w:rsidR="00D143BA" w:rsidRPr="00391C1A" w:rsidRDefault="00D143BA" w:rsidP="004F5088">
            <w:pPr>
              <w:rPr>
                <w:rFonts w:ascii="Calibri" w:hAnsi="Calibri"/>
                <w:color w:val="000000"/>
                <w:lang w:eastAsia="en-AU"/>
              </w:rPr>
            </w:pPr>
          </w:p>
        </w:tc>
        <w:tc>
          <w:tcPr>
            <w:tcW w:w="5245" w:type="dxa"/>
            <w:tcBorders>
              <w:top w:val="nil"/>
              <w:left w:val="nil"/>
              <w:bottom w:val="single" w:sz="4" w:space="0" w:color="auto"/>
              <w:right w:val="single" w:sz="4" w:space="0" w:color="auto"/>
            </w:tcBorders>
            <w:shd w:val="clear" w:color="auto" w:fill="auto"/>
            <w:noWrap/>
            <w:hideMark/>
          </w:tcPr>
          <w:p w:rsidR="00D143BA" w:rsidRPr="00391C1A" w:rsidRDefault="00D143BA" w:rsidP="004F5088">
            <w:pPr>
              <w:rPr>
                <w:rFonts w:ascii="Calibri" w:hAnsi="Calibri"/>
                <w:color w:val="000000"/>
                <w:lang w:eastAsia="en-AU"/>
              </w:rPr>
            </w:pPr>
            <w:r>
              <w:rPr>
                <w:rFonts w:ascii="Calibri" w:hAnsi="Calibri"/>
                <w:color w:val="000000"/>
                <w:lang w:eastAsia="en-AU"/>
              </w:rPr>
              <w:t>Is in respect of a non-admitted service event where three or more health care providers (each of a different speciality) are present, as identified using the non-admitted ‘multiple health care provider indicator’.</w:t>
            </w:r>
            <w:r w:rsidRPr="00391C1A">
              <w:rPr>
                <w:rFonts w:ascii="Calibri" w:hAnsi="Calibri"/>
                <w:color w:val="000000"/>
                <w:lang w:eastAsia="en-AU"/>
              </w:rPr>
              <w:t> </w:t>
            </w:r>
          </w:p>
        </w:tc>
        <w:tc>
          <w:tcPr>
            <w:tcW w:w="4819" w:type="dxa"/>
            <w:tcBorders>
              <w:top w:val="nil"/>
              <w:left w:val="nil"/>
              <w:bottom w:val="single" w:sz="4" w:space="0" w:color="auto"/>
              <w:right w:val="single" w:sz="4" w:space="0" w:color="auto"/>
            </w:tcBorders>
            <w:shd w:val="clear" w:color="auto" w:fill="auto"/>
            <w:noWrap/>
            <w:hideMark/>
          </w:tcPr>
          <w:p w:rsidR="00D143BA" w:rsidRPr="00391C1A" w:rsidRDefault="00D143BA" w:rsidP="004F5088">
            <w:pPr>
              <w:rPr>
                <w:rFonts w:ascii="Calibri" w:hAnsi="Calibri"/>
                <w:color w:val="000000"/>
                <w:lang w:eastAsia="en-AU"/>
              </w:rPr>
            </w:pPr>
            <w:r>
              <w:rPr>
                <w:rFonts w:ascii="Calibri" w:hAnsi="Calibri"/>
                <w:color w:val="000000"/>
                <w:lang w:eastAsia="en-AU"/>
              </w:rPr>
              <w:t>Non-admitted Patient: 55 per cent</w:t>
            </w:r>
            <w:r w:rsidRPr="00391C1A">
              <w:rPr>
                <w:rFonts w:ascii="Calibri" w:hAnsi="Calibri"/>
                <w:color w:val="000000"/>
                <w:lang w:eastAsia="en-AU"/>
              </w:rPr>
              <w:t> </w:t>
            </w:r>
          </w:p>
        </w:tc>
      </w:tr>
      <w:tr w:rsidR="00D143BA" w:rsidRPr="008F383B" w:rsidTr="00D143BA">
        <w:trPr>
          <w:trHeight w:val="865"/>
        </w:trPr>
        <w:tc>
          <w:tcPr>
            <w:tcW w:w="2850" w:type="dxa"/>
            <w:tcBorders>
              <w:top w:val="nil"/>
              <w:left w:val="single" w:sz="4" w:space="0" w:color="auto"/>
              <w:bottom w:val="single" w:sz="4" w:space="0" w:color="auto"/>
              <w:right w:val="single" w:sz="4" w:space="0" w:color="auto"/>
            </w:tcBorders>
            <w:shd w:val="clear" w:color="auto" w:fill="auto"/>
            <w:noWrap/>
            <w:hideMark/>
          </w:tcPr>
          <w:p w:rsidR="00D143BA" w:rsidRPr="00391C1A" w:rsidRDefault="00D143BA" w:rsidP="004F5088">
            <w:pPr>
              <w:rPr>
                <w:rFonts w:ascii="Calibri" w:hAnsi="Calibri"/>
                <w:color w:val="000000"/>
                <w:lang w:eastAsia="en-AU"/>
              </w:rPr>
            </w:pPr>
            <w:r>
              <w:rPr>
                <w:rFonts w:ascii="Calibri" w:hAnsi="Calibri"/>
                <w:color w:val="000000"/>
                <w:lang w:eastAsia="en-AU"/>
              </w:rPr>
              <w:t>Emergency Care Age Adjustment</w:t>
            </w:r>
            <w:r w:rsidRPr="00391C1A">
              <w:rPr>
                <w:rFonts w:ascii="Calibri" w:hAnsi="Calibri"/>
                <w:color w:val="000000"/>
                <w:lang w:eastAsia="en-AU"/>
              </w:rPr>
              <w:t> </w:t>
            </w:r>
          </w:p>
        </w:tc>
        <w:tc>
          <w:tcPr>
            <w:tcW w:w="1418" w:type="dxa"/>
            <w:vMerge/>
            <w:tcBorders>
              <w:top w:val="single" w:sz="4" w:space="0" w:color="auto"/>
              <w:left w:val="nil"/>
              <w:bottom w:val="single" w:sz="4" w:space="0" w:color="auto"/>
              <w:right w:val="single" w:sz="4" w:space="0" w:color="auto"/>
            </w:tcBorders>
            <w:shd w:val="clear" w:color="auto" w:fill="auto"/>
            <w:noWrap/>
            <w:vAlign w:val="bottom"/>
            <w:hideMark/>
          </w:tcPr>
          <w:p w:rsidR="00D143BA" w:rsidRPr="00391C1A" w:rsidRDefault="00D143BA" w:rsidP="004F5088">
            <w:pPr>
              <w:rPr>
                <w:rFonts w:ascii="Calibri" w:hAnsi="Calibri"/>
                <w:color w:val="000000"/>
                <w:lang w:eastAsia="en-AU"/>
              </w:rPr>
            </w:pPr>
          </w:p>
        </w:tc>
        <w:tc>
          <w:tcPr>
            <w:tcW w:w="5245" w:type="dxa"/>
            <w:tcBorders>
              <w:top w:val="nil"/>
              <w:left w:val="nil"/>
              <w:bottom w:val="single" w:sz="4" w:space="0" w:color="auto"/>
              <w:right w:val="single" w:sz="4" w:space="0" w:color="auto"/>
            </w:tcBorders>
            <w:shd w:val="clear" w:color="auto" w:fill="auto"/>
            <w:noWrap/>
            <w:hideMark/>
          </w:tcPr>
          <w:p w:rsidR="00D143BA" w:rsidRPr="00391C1A" w:rsidRDefault="00D143BA" w:rsidP="004F5088">
            <w:pPr>
              <w:rPr>
                <w:rFonts w:ascii="Calibri" w:hAnsi="Calibri"/>
                <w:color w:val="000000"/>
                <w:lang w:eastAsia="en-AU"/>
              </w:rPr>
            </w:pPr>
            <w:r>
              <w:rPr>
                <w:rFonts w:ascii="Calibri" w:hAnsi="Calibri"/>
                <w:color w:val="000000"/>
                <w:lang w:eastAsia="en-AU"/>
              </w:rPr>
              <w:t>Is in respect of an Emergency Department or Emergency Service Patient, with the rate of adjustment dependent on the person’s age.</w:t>
            </w:r>
          </w:p>
        </w:tc>
        <w:tc>
          <w:tcPr>
            <w:tcW w:w="4819" w:type="dxa"/>
            <w:tcBorders>
              <w:top w:val="nil"/>
              <w:left w:val="nil"/>
              <w:bottom w:val="single" w:sz="4" w:space="0" w:color="auto"/>
              <w:right w:val="single" w:sz="4" w:space="0" w:color="auto"/>
            </w:tcBorders>
            <w:shd w:val="clear" w:color="auto" w:fill="auto"/>
            <w:noWrap/>
            <w:hideMark/>
          </w:tcPr>
          <w:p w:rsidR="00D143BA" w:rsidRDefault="00D143BA" w:rsidP="004F5088">
            <w:pPr>
              <w:rPr>
                <w:rFonts w:ascii="Calibri" w:hAnsi="Calibri"/>
                <w:color w:val="000000"/>
                <w:lang w:eastAsia="en-AU"/>
              </w:rPr>
            </w:pPr>
            <w:r>
              <w:rPr>
                <w:rFonts w:ascii="Calibri" w:hAnsi="Calibri"/>
                <w:color w:val="000000"/>
                <w:lang w:eastAsia="en-AU"/>
              </w:rPr>
              <w:t>Emergency Department or Emergency Service Patient who is aged:</w:t>
            </w:r>
          </w:p>
          <w:p w:rsidR="00D143BA" w:rsidRDefault="00D143BA" w:rsidP="00D143BA">
            <w:pPr>
              <w:pStyle w:val="ListParagraph"/>
              <w:numPr>
                <w:ilvl w:val="0"/>
                <w:numId w:val="50"/>
              </w:numPr>
              <w:spacing w:after="0" w:line="240" w:lineRule="auto"/>
              <w:ind w:right="0"/>
              <w:jc w:val="left"/>
              <w:rPr>
                <w:rFonts w:eastAsia="Times New Roman"/>
                <w:lang w:eastAsia="en-AU"/>
              </w:rPr>
            </w:pPr>
            <w:r>
              <w:rPr>
                <w:rFonts w:eastAsia="Times New Roman"/>
                <w:lang w:eastAsia="en-AU"/>
              </w:rPr>
              <w:t>65 to 79 years: 14 per cent</w:t>
            </w:r>
          </w:p>
          <w:p w:rsidR="00D143BA" w:rsidRPr="008F383B" w:rsidRDefault="00D143BA" w:rsidP="00D143BA">
            <w:pPr>
              <w:pStyle w:val="ListParagraph"/>
              <w:numPr>
                <w:ilvl w:val="0"/>
                <w:numId w:val="50"/>
              </w:numPr>
              <w:spacing w:after="0" w:line="240" w:lineRule="auto"/>
              <w:ind w:right="0"/>
              <w:jc w:val="left"/>
              <w:rPr>
                <w:rFonts w:eastAsia="Times New Roman"/>
                <w:lang w:eastAsia="en-AU"/>
              </w:rPr>
            </w:pPr>
            <w:r>
              <w:rPr>
                <w:rFonts w:eastAsia="Times New Roman"/>
                <w:lang w:eastAsia="en-AU"/>
              </w:rPr>
              <w:t>Over 79 years: 21 per cent</w:t>
            </w:r>
          </w:p>
        </w:tc>
      </w:tr>
    </w:tbl>
    <w:p w:rsidR="007F563C" w:rsidRDefault="007F563C" w:rsidP="007F563C">
      <w:pPr>
        <w:spacing w:after="120" w:line="300" w:lineRule="atLeast"/>
        <w:rPr>
          <w:u w:val="single"/>
        </w:rPr>
      </w:pPr>
    </w:p>
    <w:p w:rsidR="007F563C" w:rsidRDefault="007F563C" w:rsidP="007F563C">
      <w:pPr>
        <w:spacing w:after="120" w:line="300" w:lineRule="atLeast"/>
      </w:pPr>
    </w:p>
    <w:p w:rsidR="007F563C" w:rsidRDefault="007F563C" w:rsidP="007F563C">
      <w:pPr>
        <w:spacing w:after="120" w:line="300" w:lineRule="atLeast"/>
        <w:sectPr w:rsidR="007F563C" w:rsidSect="007F563C">
          <w:pgSz w:w="16838" w:h="11906" w:orient="landscape"/>
          <w:pgMar w:top="1440" w:right="1440" w:bottom="1440" w:left="1440" w:header="708" w:footer="708" w:gutter="0"/>
          <w:cols w:space="708"/>
          <w:docGrid w:linePitch="360"/>
        </w:sectPr>
      </w:pPr>
    </w:p>
    <w:p w:rsidR="007F563C" w:rsidRDefault="007F563C" w:rsidP="007F563C">
      <w:pPr>
        <w:spacing w:after="120" w:line="300" w:lineRule="atLeast"/>
      </w:pPr>
    </w:p>
    <w:p w:rsidR="007F563C" w:rsidRPr="00A15083" w:rsidRDefault="007F563C" w:rsidP="007F563C">
      <w:pPr>
        <w:spacing w:after="120" w:line="300" w:lineRule="atLeast"/>
        <w:rPr>
          <w:b/>
        </w:rPr>
      </w:pPr>
      <w:r w:rsidRPr="00A15083">
        <w:rPr>
          <w:b/>
        </w:rPr>
        <w:t>Non-Admitted Patient Funding</w:t>
      </w:r>
    </w:p>
    <w:p w:rsidR="007F563C" w:rsidRDefault="007F563C" w:rsidP="007F563C">
      <w:pPr>
        <w:spacing w:after="120" w:line="300" w:lineRule="atLeast"/>
      </w:pPr>
      <w:r w:rsidRPr="006C7976">
        <w:t>The IHPA has determined the Tier 2 Non-Admitted Care Services</w:t>
      </w:r>
      <w:r>
        <w:t xml:space="preserve"> version 4.1</w:t>
      </w:r>
      <w:r w:rsidRPr="006C7976">
        <w:t xml:space="preserve"> classification </w:t>
      </w:r>
      <w:proofErr w:type="gramStart"/>
      <w:r w:rsidRPr="006C7976">
        <w:t>system</w:t>
      </w:r>
      <w:proofErr w:type="gramEnd"/>
      <w:r w:rsidRPr="006C7976">
        <w:t xml:space="preserve"> will be used to classify </w:t>
      </w:r>
      <w:r>
        <w:t xml:space="preserve">and calculate price weights for </w:t>
      </w:r>
      <w:r w:rsidRPr="006C7976">
        <w:t>non-admitted servic</w:t>
      </w:r>
      <w:r>
        <w:t>es under the national ABF model which Tasmania has adopted.</w:t>
      </w:r>
    </w:p>
    <w:p w:rsidR="007F563C" w:rsidRPr="00733D5B" w:rsidRDefault="007F563C" w:rsidP="007F563C">
      <w:r w:rsidRPr="00733D5B">
        <w:t>The Tasmanian Funding Model treats the following categories as non-admitted activity:</w:t>
      </w:r>
    </w:p>
    <w:p w:rsidR="007F563C" w:rsidRPr="00733D5B" w:rsidRDefault="007F563C" w:rsidP="00357DB9">
      <w:pPr>
        <w:pStyle w:val="ListParagraph"/>
        <w:numPr>
          <w:ilvl w:val="0"/>
          <w:numId w:val="27"/>
        </w:numPr>
        <w:spacing w:after="140" w:line="300" w:lineRule="atLeast"/>
        <w:ind w:left="357" w:right="0" w:hanging="357"/>
        <w:jc w:val="left"/>
        <w:rPr>
          <w:rFonts w:ascii="Gill Sans MT" w:hAnsi="Gill Sans MT"/>
        </w:rPr>
      </w:pPr>
      <w:r w:rsidRPr="00733D5B">
        <w:rPr>
          <w:rFonts w:ascii="Gill Sans MT" w:hAnsi="Gill Sans MT"/>
        </w:rPr>
        <w:t>Public outpatient service events</w:t>
      </w:r>
    </w:p>
    <w:p w:rsidR="007F563C" w:rsidRPr="00733D5B" w:rsidRDefault="007F563C" w:rsidP="00357DB9">
      <w:pPr>
        <w:pStyle w:val="ListParagraph"/>
        <w:numPr>
          <w:ilvl w:val="0"/>
          <w:numId w:val="27"/>
        </w:numPr>
        <w:spacing w:after="140" w:line="300" w:lineRule="atLeast"/>
        <w:ind w:left="357" w:right="0" w:hanging="357"/>
        <w:jc w:val="left"/>
        <w:rPr>
          <w:rFonts w:ascii="Gill Sans MT" w:hAnsi="Gill Sans MT"/>
        </w:rPr>
      </w:pPr>
      <w:r w:rsidRPr="00733D5B">
        <w:rPr>
          <w:rFonts w:ascii="Gill Sans MT" w:hAnsi="Gill Sans MT"/>
        </w:rPr>
        <w:t xml:space="preserve">Private outpatient (Outside Referred Patient) service events </w:t>
      </w:r>
    </w:p>
    <w:p w:rsidR="007F563C" w:rsidRPr="00357DB9" w:rsidRDefault="007F563C" w:rsidP="00357DB9">
      <w:pPr>
        <w:pStyle w:val="ListParagraph"/>
        <w:numPr>
          <w:ilvl w:val="0"/>
          <w:numId w:val="27"/>
        </w:numPr>
        <w:spacing w:after="140" w:line="300" w:lineRule="atLeast"/>
        <w:ind w:left="357" w:right="0" w:hanging="357"/>
        <w:jc w:val="left"/>
        <w:rPr>
          <w:rFonts w:ascii="Gill Sans MT" w:hAnsi="Gill Sans MT"/>
        </w:rPr>
      </w:pPr>
      <w:r>
        <w:rPr>
          <w:rFonts w:ascii="Gill Sans MT" w:hAnsi="Gill Sans MT"/>
        </w:rPr>
        <w:t>Bulk Billed Admitted</w:t>
      </w:r>
      <w:r w:rsidRPr="00733D5B">
        <w:rPr>
          <w:rFonts w:ascii="Gill Sans MT" w:hAnsi="Gill Sans MT"/>
        </w:rPr>
        <w:t xml:space="preserve"> service events for which the doctor and patient have elected to treat the patient as non-admitted. These are broadly </w:t>
      </w:r>
      <w:proofErr w:type="spellStart"/>
      <w:r w:rsidRPr="00733D5B">
        <w:rPr>
          <w:rFonts w:ascii="Gill Sans MT" w:hAnsi="Gill Sans MT"/>
        </w:rPr>
        <w:t>categorised</w:t>
      </w:r>
      <w:proofErr w:type="spellEnd"/>
      <w:r w:rsidRPr="00733D5B">
        <w:rPr>
          <w:rFonts w:ascii="Gill Sans MT" w:hAnsi="Gill Sans MT"/>
        </w:rPr>
        <w:t xml:space="preserve"> as Type B procedures.  These are non-admitted patients that </w:t>
      </w:r>
      <w:r>
        <w:rPr>
          <w:rFonts w:ascii="Gill Sans MT" w:hAnsi="Gill Sans MT"/>
        </w:rPr>
        <w:t>THS</w:t>
      </w:r>
      <w:r w:rsidRPr="00733D5B">
        <w:rPr>
          <w:rFonts w:ascii="Gill Sans MT" w:hAnsi="Gill Sans MT"/>
        </w:rPr>
        <w:t xml:space="preserve"> has chosen to admit to record and enable </w:t>
      </w:r>
      <w:r>
        <w:rPr>
          <w:rFonts w:ascii="Gill Sans MT" w:hAnsi="Gill Sans MT"/>
        </w:rPr>
        <w:t>categorization for statistical and clinical data purposes</w:t>
      </w:r>
      <w:r w:rsidRPr="00733D5B">
        <w:rPr>
          <w:rFonts w:ascii="Gill Sans MT" w:hAnsi="Gill Sans MT"/>
        </w:rPr>
        <w:t>. These services are classified using AR-DRG version 8 which is mapped to a Tier 2 clinic for funding purposes.</w:t>
      </w:r>
    </w:p>
    <w:p w:rsidR="007F563C" w:rsidRDefault="007F563C" w:rsidP="007F563C">
      <w:pPr>
        <w:spacing w:after="120" w:line="300" w:lineRule="atLeast"/>
      </w:pPr>
      <w:r>
        <w:t xml:space="preserve">Price weights for Tier2 Non-Admitted Care classification version 4.1 can be found at </w:t>
      </w:r>
      <w:hyperlink r:id="rId18" w:history="1">
        <w:r w:rsidRPr="005D235C">
          <w:rPr>
            <w:rStyle w:val="Hyperlink"/>
          </w:rPr>
          <w:t>https://www.ihpa.gov.au/sites/g/files/net636/f/nep.pdf</w:t>
        </w:r>
      </w:hyperlink>
      <w:r>
        <w:t xml:space="preserve"> in Appendix K of the NEP determination 2017-18.</w:t>
      </w:r>
    </w:p>
    <w:p w:rsidR="007F563C" w:rsidRPr="000A30FE" w:rsidRDefault="007F563C" w:rsidP="007F563C">
      <w:pPr>
        <w:spacing w:after="120" w:line="300" w:lineRule="atLeast"/>
        <w:rPr>
          <w:b/>
        </w:rPr>
      </w:pPr>
      <w:r>
        <w:rPr>
          <w:b/>
        </w:rPr>
        <w:t xml:space="preserve">Table 5 - </w:t>
      </w:r>
      <w:r w:rsidRPr="000A30FE">
        <w:rPr>
          <w:b/>
        </w:rPr>
        <w:t xml:space="preserve">Pricing for </w:t>
      </w:r>
      <w:r>
        <w:rPr>
          <w:b/>
        </w:rPr>
        <w:t>Non-Admitted Patients</w:t>
      </w:r>
    </w:p>
    <w:tbl>
      <w:tblPr>
        <w:tblStyle w:val="TableGrid"/>
        <w:tblW w:w="0" w:type="auto"/>
        <w:tblLook w:val="04A0" w:firstRow="1" w:lastRow="0" w:firstColumn="1" w:lastColumn="0" w:noHBand="0" w:noVBand="1"/>
        <w:tblCaption w:val="Table 5"/>
        <w:tblDescription w:val=" Pricing for Non-Admitted Patients"/>
      </w:tblPr>
      <w:tblGrid>
        <w:gridCol w:w="2830"/>
        <w:gridCol w:w="1843"/>
        <w:gridCol w:w="2193"/>
        <w:gridCol w:w="2150"/>
      </w:tblGrid>
      <w:tr w:rsidR="007F563C" w:rsidRPr="00AC7121" w:rsidTr="00BD59F3">
        <w:trPr>
          <w:tblHeader/>
        </w:trPr>
        <w:tc>
          <w:tcPr>
            <w:tcW w:w="2830" w:type="dxa"/>
            <w:shd w:val="clear" w:color="auto" w:fill="D9D9D9" w:themeFill="background1" w:themeFillShade="D9"/>
          </w:tcPr>
          <w:p w:rsidR="007F563C" w:rsidRPr="00AC7121" w:rsidRDefault="007F563C" w:rsidP="007F563C">
            <w:pPr>
              <w:spacing w:before="60" w:after="60"/>
              <w:rPr>
                <w:b/>
                <w:sz w:val="18"/>
                <w:szCs w:val="18"/>
              </w:rPr>
            </w:pPr>
            <w:r>
              <w:rPr>
                <w:b/>
                <w:sz w:val="18"/>
                <w:szCs w:val="18"/>
              </w:rPr>
              <w:t>Stream</w:t>
            </w:r>
          </w:p>
        </w:tc>
        <w:tc>
          <w:tcPr>
            <w:tcW w:w="1843" w:type="dxa"/>
            <w:shd w:val="clear" w:color="auto" w:fill="D9D9D9" w:themeFill="background1" w:themeFillShade="D9"/>
          </w:tcPr>
          <w:p w:rsidR="007F563C" w:rsidRPr="00AC7121" w:rsidRDefault="007F563C" w:rsidP="007F563C">
            <w:pPr>
              <w:spacing w:before="60" w:after="60"/>
              <w:rPr>
                <w:b/>
                <w:sz w:val="18"/>
                <w:szCs w:val="18"/>
              </w:rPr>
            </w:pPr>
            <w:r>
              <w:rPr>
                <w:b/>
                <w:sz w:val="18"/>
                <w:szCs w:val="18"/>
              </w:rPr>
              <w:t>Activity Measure</w:t>
            </w:r>
          </w:p>
        </w:tc>
        <w:tc>
          <w:tcPr>
            <w:tcW w:w="2193" w:type="dxa"/>
            <w:shd w:val="clear" w:color="auto" w:fill="D9D9D9" w:themeFill="background1" w:themeFillShade="D9"/>
          </w:tcPr>
          <w:p w:rsidR="007F563C" w:rsidRPr="00AC7121" w:rsidRDefault="007F563C" w:rsidP="007F563C">
            <w:pPr>
              <w:spacing w:before="60" w:after="60"/>
              <w:rPr>
                <w:b/>
                <w:sz w:val="18"/>
                <w:szCs w:val="18"/>
              </w:rPr>
            </w:pPr>
            <w:r>
              <w:rPr>
                <w:b/>
                <w:sz w:val="18"/>
                <w:szCs w:val="18"/>
              </w:rPr>
              <w:t>Classification</w:t>
            </w:r>
          </w:p>
        </w:tc>
        <w:tc>
          <w:tcPr>
            <w:tcW w:w="2150" w:type="dxa"/>
            <w:shd w:val="clear" w:color="auto" w:fill="D9D9D9" w:themeFill="background1" w:themeFillShade="D9"/>
          </w:tcPr>
          <w:p w:rsidR="007F563C" w:rsidRPr="00AC7121" w:rsidRDefault="007F563C" w:rsidP="007F563C">
            <w:pPr>
              <w:spacing w:before="60" w:after="60"/>
              <w:ind w:right="170"/>
              <w:jc w:val="right"/>
              <w:rPr>
                <w:b/>
                <w:sz w:val="18"/>
                <w:szCs w:val="18"/>
              </w:rPr>
            </w:pPr>
            <w:r>
              <w:rPr>
                <w:b/>
                <w:sz w:val="18"/>
                <w:szCs w:val="18"/>
              </w:rPr>
              <w:t>Price per Unit $</w:t>
            </w:r>
          </w:p>
        </w:tc>
      </w:tr>
      <w:tr w:rsidR="007F563C" w:rsidRPr="00AC7121" w:rsidTr="007F563C">
        <w:trPr>
          <w:trHeight w:val="381"/>
        </w:trPr>
        <w:tc>
          <w:tcPr>
            <w:tcW w:w="2830" w:type="dxa"/>
          </w:tcPr>
          <w:p w:rsidR="007F563C" w:rsidRDefault="007F563C" w:rsidP="007F563C">
            <w:pPr>
              <w:spacing w:before="60" w:after="60"/>
              <w:rPr>
                <w:sz w:val="18"/>
                <w:szCs w:val="18"/>
              </w:rPr>
            </w:pPr>
            <w:r>
              <w:rPr>
                <w:sz w:val="18"/>
                <w:szCs w:val="18"/>
              </w:rPr>
              <w:t>Non-Admitted Patients</w:t>
            </w:r>
          </w:p>
        </w:tc>
        <w:tc>
          <w:tcPr>
            <w:tcW w:w="1843" w:type="dxa"/>
          </w:tcPr>
          <w:p w:rsidR="007F563C" w:rsidRDefault="007F563C" w:rsidP="007F563C">
            <w:pPr>
              <w:spacing w:before="60" w:after="60"/>
              <w:rPr>
                <w:sz w:val="18"/>
                <w:szCs w:val="18"/>
              </w:rPr>
            </w:pPr>
            <w:r>
              <w:rPr>
                <w:sz w:val="18"/>
                <w:szCs w:val="18"/>
              </w:rPr>
              <w:t>NWAU</w:t>
            </w:r>
          </w:p>
        </w:tc>
        <w:tc>
          <w:tcPr>
            <w:tcW w:w="2193" w:type="dxa"/>
          </w:tcPr>
          <w:p w:rsidR="007F563C" w:rsidRPr="00AC7121" w:rsidRDefault="007F563C" w:rsidP="007F563C">
            <w:pPr>
              <w:spacing w:before="60" w:after="60"/>
              <w:rPr>
                <w:sz w:val="18"/>
                <w:szCs w:val="18"/>
              </w:rPr>
            </w:pPr>
            <w:r>
              <w:rPr>
                <w:sz w:val="18"/>
                <w:szCs w:val="18"/>
              </w:rPr>
              <w:t>Tier2 v4.1</w:t>
            </w:r>
          </w:p>
        </w:tc>
        <w:tc>
          <w:tcPr>
            <w:tcW w:w="2150" w:type="dxa"/>
          </w:tcPr>
          <w:p w:rsidR="007F563C" w:rsidRPr="00AC7121" w:rsidRDefault="007F563C" w:rsidP="007F563C">
            <w:pPr>
              <w:spacing w:before="60" w:after="60"/>
              <w:ind w:right="170"/>
              <w:jc w:val="right"/>
              <w:rPr>
                <w:sz w:val="18"/>
                <w:szCs w:val="18"/>
              </w:rPr>
            </w:pPr>
            <w:r>
              <w:rPr>
                <w:sz w:val="18"/>
                <w:szCs w:val="18"/>
              </w:rPr>
              <w:t>4,910</w:t>
            </w:r>
          </w:p>
        </w:tc>
      </w:tr>
    </w:tbl>
    <w:p w:rsidR="007F563C" w:rsidRDefault="007F563C" w:rsidP="007F563C">
      <w:pPr>
        <w:spacing w:after="120" w:line="300" w:lineRule="atLeast"/>
      </w:pPr>
    </w:p>
    <w:p w:rsidR="007F563C" w:rsidRPr="00877716" w:rsidRDefault="007F563C" w:rsidP="007F563C">
      <w:pPr>
        <w:spacing w:after="120" w:line="300" w:lineRule="atLeast"/>
        <w:rPr>
          <w:b/>
        </w:rPr>
      </w:pPr>
      <w:r w:rsidRPr="00877716">
        <w:rPr>
          <w:b/>
        </w:rPr>
        <w:t xml:space="preserve">Emergency Department </w:t>
      </w:r>
      <w:r>
        <w:rPr>
          <w:b/>
        </w:rPr>
        <w:t xml:space="preserve">Patient </w:t>
      </w:r>
      <w:r w:rsidRPr="00877716">
        <w:rPr>
          <w:b/>
        </w:rPr>
        <w:t>Funding</w:t>
      </w:r>
    </w:p>
    <w:p w:rsidR="007F563C" w:rsidRDefault="007F563C" w:rsidP="007F563C">
      <w:pPr>
        <w:spacing w:after="120" w:line="300" w:lineRule="atLeast"/>
      </w:pPr>
      <w:r w:rsidRPr="006C7976">
        <w:t>The IHPA has determined the</w:t>
      </w:r>
      <w:r>
        <w:t xml:space="preserve"> Emergency Department Classification System - Urgency Related Groups (URG) version 1.4 will be used to classify and calculate price weights for Emergency Department services under the national ABF model which Tasmania has adopted. </w:t>
      </w:r>
    </w:p>
    <w:p w:rsidR="007F563C" w:rsidRDefault="007F563C" w:rsidP="007F563C">
      <w:pPr>
        <w:spacing w:after="120" w:line="300" w:lineRule="atLeast"/>
      </w:pPr>
      <w:r>
        <w:t xml:space="preserve">Price weights for Tier2 Non-Admitted Care classification version 4.1 can be found at </w:t>
      </w:r>
      <w:hyperlink r:id="rId19" w:history="1">
        <w:r w:rsidRPr="005D235C">
          <w:rPr>
            <w:rStyle w:val="Hyperlink"/>
          </w:rPr>
          <w:t>https://www.ihpa.gov.au/sites/g/files/net636/f/nep.pdf</w:t>
        </w:r>
      </w:hyperlink>
      <w:r>
        <w:t xml:space="preserve"> in Appendix K of the NEP determination 2017-18.</w:t>
      </w:r>
    </w:p>
    <w:p w:rsidR="007F563C" w:rsidRDefault="007F563C" w:rsidP="007F563C">
      <w:pPr>
        <w:spacing w:after="120" w:line="300" w:lineRule="atLeast"/>
        <w:rPr>
          <w:b/>
        </w:rPr>
      </w:pPr>
    </w:p>
    <w:p w:rsidR="007F563C" w:rsidRPr="000A30FE" w:rsidRDefault="007F563C" w:rsidP="007F563C">
      <w:pPr>
        <w:spacing w:after="120" w:line="300" w:lineRule="atLeast"/>
        <w:rPr>
          <w:b/>
        </w:rPr>
      </w:pPr>
      <w:r>
        <w:rPr>
          <w:b/>
        </w:rPr>
        <w:t xml:space="preserve">Table 6 - </w:t>
      </w:r>
      <w:r w:rsidRPr="000A30FE">
        <w:rPr>
          <w:b/>
        </w:rPr>
        <w:t xml:space="preserve">Pricing for </w:t>
      </w:r>
      <w:r>
        <w:rPr>
          <w:b/>
        </w:rPr>
        <w:t>Emergency Department Patients</w:t>
      </w:r>
    </w:p>
    <w:tbl>
      <w:tblPr>
        <w:tblStyle w:val="TableGrid"/>
        <w:tblW w:w="0" w:type="auto"/>
        <w:tblLook w:val="04A0" w:firstRow="1" w:lastRow="0" w:firstColumn="1" w:lastColumn="0" w:noHBand="0" w:noVBand="1"/>
        <w:tblCaption w:val="Table 6"/>
        <w:tblDescription w:val=" Pricing for Emergency Department Patients"/>
      </w:tblPr>
      <w:tblGrid>
        <w:gridCol w:w="2830"/>
        <w:gridCol w:w="1843"/>
        <w:gridCol w:w="2193"/>
        <w:gridCol w:w="2150"/>
      </w:tblGrid>
      <w:tr w:rsidR="007F563C" w:rsidRPr="00AC7121" w:rsidTr="00BD59F3">
        <w:trPr>
          <w:tblHeader/>
        </w:trPr>
        <w:tc>
          <w:tcPr>
            <w:tcW w:w="2830" w:type="dxa"/>
            <w:shd w:val="clear" w:color="auto" w:fill="D9D9D9" w:themeFill="background1" w:themeFillShade="D9"/>
          </w:tcPr>
          <w:p w:rsidR="007F563C" w:rsidRPr="00AC7121" w:rsidRDefault="007F563C" w:rsidP="007F563C">
            <w:pPr>
              <w:spacing w:before="60" w:after="60"/>
              <w:rPr>
                <w:b/>
                <w:sz w:val="18"/>
                <w:szCs w:val="18"/>
              </w:rPr>
            </w:pPr>
            <w:r>
              <w:rPr>
                <w:b/>
                <w:sz w:val="18"/>
                <w:szCs w:val="18"/>
              </w:rPr>
              <w:t>Stream</w:t>
            </w:r>
          </w:p>
        </w:tc>
        <w:tc>
          <w:tcPr>
            <w:tcW w:w="1843" w:type="dxa"/>
            <w:shd w:val="clear" w:color="auto" w:fill="D9D9D9" w:themeFill="background1" w:themeFillShade="D9"/>
          </w:tcPr>
          <w:p w:rsidR="007F563C" w:rsidRPr="00AC7121" w:rsidRDefault="007F563C" w:rsidP="007F563C">
            <w:pPr>
              <w:spacing w:before="60" w:after="60"/>
              <w:rPr>
                <w:b/>
                <w:sz w:val="18"/>
                <w:szCs w:val="18"/>
              </w:rPr>
            </w:pPr>
            <w:r>
              <w:rPr>
                <w:b/>
                <w:sz w:val="18"/>
                <w:szCs w:val="18"/>
              </w:rPr>
              <w:t>Activity Measure</w:t>
            </w:r>
          </w:p>
        </w:tc>
        <w:tc>
          <w:tcPr>
            <w:tcW w:w="2193" w:type="dxa"/>
            <w:shd w:val="clear" w:color="auto" w:fill="D9D9D9" w:themeFill="background1" w:themeFillShade="D9"/>
          </w:tcPr>
          <w:p w:rsidR="007F563C" w:rsidRPr="00AC7121" w:rsidRDefault="007F563C" w:rsidP="007F563C">
            <w:pPr>
              <w:spacing w:before="60" w:after="60"/>
              <w:rPr>
                <w:b/>
                <w:sz w:val="18"/>
                <w:szCs w:val="18"/>
              </w:rPr>
            </w:pPr>
            <w:r>
              <w:rPr>
                <w:b/>
                <w:sz w:val="18"/>
                <w:szCs w:val="18"/>
              </w:rPr>
              <w:t>Classification</w:t>
            </w:r>
          </w:p>
        </w:tc>
        <w:tc>
          <w:tcPr>
            <w:tcW w:w="2150" w:type="dxa"/>
            <w:shd w:val="clear" w:color="auto" w:fill="D9D9D9" w:themeFill="background1" w:themeFillShade="D9"/>
          </w:tcPr>
          <w:p w:rsidR="007F563C" w:rsidRPr="00AC7121" w:rsidRDefault="007F563C" w:rsidP="007F563C">
            <w:pPr>
              <w:spacing w:before="60" w:after="60"/>
              <w:ind w:right="170"/>
              <w:jc w:val="right"/>
              <w:rPr>
                <w:b/>
                <w:sz w:val="18"/>
                <w:szCs w:val="18"/>
              </w:rPr>
            </w:pPr>
            <w:r>
              <w:rPr>
                <w:b/>
                <w:sz w:val="18"/>
                <w:szCs w:val="18"/>
              </w:rPr>
              <w:t>Price per Unit $</w:t>
            </w:r>
          </w:p>
        </w:tc>
      </w:tr>
      <w:tr w:rsidR="007F563C" w:rsidRPr="00AC7121" w:rsidTr="007F563C">
        <w:trPr>
          <w:trHeight w:val="381"/>
        </w:trPr>
        <w:tc>
          <w:tcPr>
            <w:tcW w:w="2830" w:type="dxa"/>
          </w:tcPr>
          <w:p w:rsidR="007F563C" w:rsidRDefault="007F563C" w:rsidP="007F563C">
            <w:pPr>
              <w:spacing w:before="60" w:after="60"/>
              <w:rPr>
                <w:sz w:val="18"/>
                <w:szCs w:val="18"/>
              </w:rPr>
            </w:pPr>
            <w:r>
              <w:rPr>
                <w:sz w:val="18"/>
                <w:szCs w:val="18"/>
              </w:rPr>
              <w:t>Emergency Department Patients</w:t>
            </w:r>
          </w:p>
        </w:tc>
        <w:tc>
          <w:tcPr>
            <w:tcW w:w="1843" w:type="dxa"/>
          </w:tcPr>
          <w:p w:rsidR="007F563C" w:rsidRDefault="007F563C" w:rsidP="007F563C">
            <w:pPr>
              <w:spacing w:before="60" w:after="60"/>
              <w:rPr>
                <w:sz w:val="18"/>
                <w:szCs w:val="18"/>
              </w:rPr>
            </w:pPr>
            <w:r>
              <w:rPr>
                <w:sz w:val="18"/>
                <w:szCs w:val="18"/>
              </w:rPr>
              <w:t>NWAU</w:t>
            </w:r>
          </w:p>
        </w:tc>
        <w:tc>
          <w:tcPr>
            <w:tcW w:w="2193" w:type="dxa"/>
          </w:tcPr>
          <w:p w:rsidR="007F563C" w:rsidRPr="00AC7121" w:rsidRDefault="007F563C" w:rsidP="007F563C">
            <w:pPr>
              <w:spacing w:before="60" w:after="60"/>
              <w:rPr>
                <w:sz w:val="18"/>
                <w:szCs w:val="18"/>
              </w:rPr>
            </w:pPr>
            <w:r>
              <w:rPr>
                <w:sz w:val="18"/>
                <w:szCs w:val="18"/>
              </w:rPr>
              <w:t>URG v 4.1</w:t>
            </w:r>
          </w:p>
        </w:tc>
        <w:tc>
          <w:tcPr>
            <w:tcW w:w="2150" w:type="dxa"/>
          </w:tcPr>
          <w:p w:rsidR="007F563C" w:rsidRPr="00AC7121" w:rsidRDefault="007F563C" w:rsidP="007F563C">
            <w:pPr>
              <w:spacing w:before="60" w:after="60"/>
              <w:ind w:right="170"/>
              <w:jc w:val="right"/>
              <w:rPr>
                <w:sz w:val="18"/>
                <w:szCs w:val="18"/>
              </w:rPr>
            </w:pPr>
            <w:r>
              <w:rPr>
                <w:sz w:val="18"/>
                <w:szCs w:val="18"/>
              </w:rPr>
              <w:t>4,910</w:t>
            </w:r>
          </w:p>
        </w:tc>
      </w:tr>
    </w:tbl>
    <w:p w:rsidR="007F563C" w:rsidRDefault="007F563C" w:rsidP="007F563C">
      <w:pPr>
        <w:rPr>
          <w:b/>
        </w:rPr>
      </w:pPr>
    </w:p>
    <w:p w:rsidR="007F563C" w:rsidRPr="00AC7121" w:rsidRDefault="007F563C" w:rsidP="007F563C">
      <w:pPr>
        <w:spacing w:after="120" w:line="300" w:lineRule="atLeast"/>
        <w:rPr>
          <w:b/>
        </w:rPr>
      </w:pPr>
      <w:r>
        <w:rPr>
          <w:b/>
        </w:rPr>
        <w:t>Sub-acute and Non-acute Admitted Patients</w:t>
      </w:r>
    </w:p>
    <w:p w:rsidR="007F563C" w:rsidRDefault="007F563C" w:rsidP="007F563C">
      <w:pPr>
        <w:spacing w:after="120" w:line="300" w:lineRule="atLeast"/>
      </w:pPr>
      <w:r w:rsidRPr="00AC7121">
        <w:t xml:space="preserve">In 2012, the Independent Hospital Pricing Authority (IHPA) determined the Australian National Sub-acute and Non-acute Patient (AN-SNAP) classification will be used to classify </w:t>
      </w:r>
      <w:r>
        <w:t>Sub-acute and non-acute patient</w:t>
      </w:r>
      <w:r w:rsidRPr="00AC7121">
        <w:t xml:space="preserve"> services under the national ABF model.  All jurisdictions are required to make steps toward introducing AN-SNAP (version </w:t>
      </w:r>
      <w:r>
        <w:t>4</w:t>
      </w:r>
      <w:r w:rsidRPr="00AC7121">
        <w:t>). The THS has been transitioning to AN-SNAP since 1st July 2015.</w:t>
      </w:r>
      <w:r>
        <w:t xml:space="preserve"> However, difficulties have been experienced in implementing AN-SNAP across the THS.</w:t>
      </w:r>
    </w:p>
    <w:p w:rsidR="007F563C" w:rsidRDefault="007F563C" w:rsidP="007F563C">
      <w:pPr>
        <w:spacing w:after="120" w:line="300" w:lineRule="atLeast"/>
      </w:pPr>
      <w:r>
        <w:t xml:space="preserve">In recognition that the cost for the THS to deliver sub-acute services is higher than the NEP, the DHHS has applied a blended approach for sub-acute and non-acute in 2017-18 with $30.06 million funded via ABF and a block supplementation grant of $13.6 million.  The Supplementation grant is </w:t>
      </w:r>
      <w:r w:rsidRPr="00AC7121">
        <w:t xml:space="preserve">based on historical costs </w:t>
      </w:r>
      <w:r>
        <w:t xml:space="preserve">and is the difference between the estimated </w:t>
      </w:r>
      <w:proofErr w:type="gramStart"/>
      <w:r>
        <w:t>cost</w:t>
      </w:r>
      <w:proofErr w:type="gramEnd"/>
      <w:r>
        <w:t xml:space="preserve"> in 2017-18 less the ABF funding amount.  </w:t>
      </w:r>
    </w:p>
    <w:p w:rsidR="007F563C" w:rsidRDefault="007F563C" w:rsidP="007F563C">
      <w:pPr>
        <w:spacing w:after="120" w:line="300" w:lineRule="atLeast"/>
      </w:pPr>
      <w:r>
        <w:t xml:space="preserve">Price weights for AN-SNAP 4 can be found at </w:t>
      </w:r>
      <w:hyperlink r:id="rId20" w:history="1">
        <w:r w:rsidRPr="00895851">
          <w:t>https://www.ihpa.gov.au/sites/g/files/net636/f/nep.pdf</w:t>
        </w:r>
      </w:hyperlink>
      <w:r>
        <w:t xml:space="preserve"> in Appendix I of the NEP determination 2017-18.</w:t>
      </w:r>
    </w:p>
    <w:p w:rsidR="007F563C" w:rsidRDefault="007F563C" w:rsidP="007F563C">
      <w:pPr>
        <w:spacing w:after="120" w:line="300" w:lineRule="atLeast"/>
      </w:pPr>
    </w:p>
    <w:p w:rsidR="007F563C" w:rsidRPr="000A30FE" w:rsidRDefault="007F563C" w:rsidP="007F563C">
      <w:pPr>
        <w:spacing w:after="120" w:line="300" w:lineRule="atLeast"/>
        <w:rPr>
          <w:b/>
        </w:rPr>
      </w:pPr>
      <w:r>
        <w:rPr>
          <w:b/>
        </w:rPr>
        <w:t xml:space="preserve">Table 3 - </w:t>
      </w:r>
      <w:r w:rsidRPr="000A30FE">
        <w:rPr>
          <w:b/>
        </w:rPr>
        <w:t>Pricing for Sub-acute and Non-acute admitted patients.</w:t>
      </w:r>
    </w:p>
    <w:tbl>
      <w:tblPr>
        <w:tblStyle w:val="TableGrid"/>
        <w:tblW w:w="0" w:type="auto"/>
        <w:tblLook w:val="04A0" w:firstRow="1" w:lastRow="0" w:firstColumn="1" w:lastColumn="0" w:noHBand="0" w:noVBand="1"/>
        <w:tblCaption w:val="Table 3"/>
        <w:tblDescription w:val="Pricing for Sub-acute and Non-acute admitted patients."/>
      </w:tblPr>
      <w:tblGrid>
        <w:gridCol w:w="2830"/>
        <w:gridCol w:w="1843"/>
        <w:gridCol w:w="2193"/>
        <w:gridCol w:w="2150"/>
      </w:tblGrid>
      <w:tr w:rsidR="007F563C" w:rsidRPr="00AC7121" w:rsidTr="00BD59F3">
        <w:trPr>
          <w:tblHeader/>
        </w:trPr>
        <w:tc>
          <w:tcPr>
            <w:tcW w:w="2830" w:type="dxa"/>
            <w:shd w:val="clear" w:color="auto" w:fill="D9D9D9" w:themeFill="background1" w:themeFillShade="D9"/>
          </w:tcPr>
          <w:p w:rsidR="007F563C" w:rsidRPr="00AC7121" w:rsidRDefault="007F563C" w:rsidP="007F563C">
            <w:pPr>
              <w:spacing w:before="60" w:after="60"/>
              <w:rPr>
                <w:b/>
                <w:sz w:val="18"/>
                <w:szCs w:val="18"/>
              </w:rPr>
            </w:pPr>
            <w:r>
              <w:rPr>
                <w:b/>
                <w:sz w:val="18"/>
                <w:szCs w:val="18"/>
              </w:rPr>
              <w:t>Stream</w:t>
            </w:r>
          </w:p>
        </w:tc>
        <w:tc>
          <w:tcPr>
            <w:tcW w:w="1843" w:type="dxa"/>
            <w:shd w:val="clear" w:color="auto" w:fill="D9D9D9" w:themeFill="background1" w:themeFillShade="D9"/>
          </w:tcPr>
          <w:p w:rsidR="007F563C" w:rsidRPr="00AC7121" w:rsidRDefault="007F563C" w:rsidP="007F563C">
            <w:pPr>
              <w:spacing w:before="60" w:after="60"/>
              <w:rPr>
                <w:b/>
                <w:sz w:val="18"/>
                <w:szCs w:val="18"/>
              </w:rPr>
            </w:pPr>
            <w:r>
              <w:rPr>
                <w:b/>
                <w:sz w:val="18"/>
                <w:szCs w:val="18"/>
              </w:rPr>
              <w:t>Activity Measure</w:t>
            </w:r>
          </w:p>
        </w:tc>
        <w:tc>
          <w:tcPr>
            <w:tcW w:w="2193" w:type="dxa"/>
            <w:shd w:val="clear" w:color="auto" w:fill="D9D9D9" w:themeFill="background1" w:themeFillShade="D9"/>
          </w:tcPr>
          <w:p w:rsidR="007F563C" w:rsidRPr="00AC7121" w:rsidRDefault="007F563C" w:rsidP="007F563C">
            <w:pPr>
              <w:spacing w:before="60" w:after="60"/>
              <w:rPr>
                <w:b/>
                <w:sz w:val="18"/>
                <w:szCs w:val="18"/>
              </w:rPr>
            </w:pPr>
            <w:r>
              <w:rPr>
                <w:b/>
                <w:sz w:val="18"/>
                <w:szCs w:val="18"/>
              </w:rPr>
              <w:t>Classification</w:t>
            </w:r>
          </w:p>
        </w:tc>
        <w:tc>
          <w:tcPr>
            <w:tcW w:w="2150" w:type="dxa"/>
            <w:shd w:val="clear" w:color="auto" w:fill="D9D9D9" w:themeFill="background1" w:themeFillShade="D9"/>
          </w:tcPr>
          <w:p w:rsidR="007F563C" w:rsidRPr="00AC7121" w:rsidRDefault="007F563C" w:rsidP="007F563C">
            <w:pPr>
              <w:spacing w:before="60" w:after="60"/>
              <w:ind w:right="170"/>
              <w:jc w:val="right"/>
              <w:rPr>
                <w:b/>
                <w:sz w:val="18"/>
                <w:szCs w:val="18"/>
              </w:rPr>
            </w:pPr>
            <w:r>
              <w:rPr>
                <w:b/>
                <w:sz w:val="18"/>
                <w:szCs w:val="18"/>
              </w:rPr>
              <w:t>Price per Unit $</w:t>
            </w:r>
          </w:p>
        </w:tc>
      </w:tr>
      <w:tr w:rsidR="007F563C" w:rsidRPr="00AC7121" w:rsidTr="007F563C">
        <w:trPr>
          <w:trHeight w:val="381"/>
        </w:trPr>
        <w:tc>
          <w:tcPr>
            <w:tcW w:w="2830" w:type="dxa"/>
          </w:tcPr>
          <w:p w:rsidR="007F563C" w:rsidRDefault="007F563C" w:rsidP="007F563C">
            <w:pPr>
              <w:spacing w:before="60" w:after="60"/>
              <w:rPr>
                <w:sz w:val="18"/>
                <w:szCs w:val="18"/>
              </w:rPr>
            </w:pPr>
            <w:r>
              <w:rPr>
                <w:sz w:val="18"/>
                <w:szCs w:val="18"/>
              </w:rPr>
              <w:t xml:space="preserve">Sub-Acute and Non-Acute </w:t>
            </w:r>
          </w:p>
        </w:tc>
        <w:tc>
          <w:tcPr>
            <w:tcW w:w="1843" w:type="dxa"/>
          </w:tcPr>
          <w:p w:rsidR="007F563C" w:rsidRDefault="007F563C" w:rsidP="007F563C">
            <w:pPr>
              <w:spacing w:before="60" w:after="60"/>
              <w:rPr>
                <w:sz w:val="18"/>
                <w:szCs w:val="18"/>
              </w:rPr>
            </w:pPr>
            <w:r>
              <w:rPr>
                <w:sz w:val="18"/>
                <w:szCs w:val="18"/>
              </w:rPr>
              <w:t>NWAU</w:t>
            </w:r>
          </w:p>
        </w:tc>
        <w:tc>
          <w:tcPr>
            <w:tcW w:w="2193" w:type="dxa"/>
          </w:tcPr>
          <w:p w:rsidR="007F563C" w:rsidRPr="00AC7121" w:rsidRDefault="007F563C" w:rsidP="007F563C">
            <w:pPr>
              <w:spacing w:before="60" w:after="60"/>
              <w:rPr>
                <w:sz w:val="18"/>
                <w:szCs w:val="18"/>
              </w:rPr>
            </w:pPr>
            <w:r>
              <w:rPr>
                <w:sz w:val="18"/>
                <w:szCs w:val="18"/>
              </w:rPr>
              <w:t>AN-SNAP v4</w:t>
            </w:r>
          </w:p>
        </w:tc>
        <w:tc>
          <w:tcPr>
            <w:tcW w:w="2150" w:type="dxa"/>
          </w:tcPr>
          <w:p w:rsidR="007F563C" w:rsidRPr="00AC7121" w:rsidRDefault="007F563C" w:rsidP="007F563C">
            <w:pPr>
              <w:spacing w:before="60" w:after="60"/>
              <w:ind w:right="170"/>
              <w:jc w:val="right"/>
              <w:rPr>
                <w:sz w:val="18"/>
                <w:szCs w:val="18"/>
              </w:rPr>
            </w:pPr>
            <w:r>
              <w:rPr>
                <w:sz w:val="18"/>
                <w:szCs w:val="18"/>
              </w:rPr>
              <w:t>4,910</w:t>
            </w:r>
          </w:p>
        </w:tc>
      </w:tr>
    </w:tbl>
    <w:p w:rsidR="007F563C" w:rsidRDefault="007F563C" w:rsidP="007F563C">
      <w:pPr>
        <w:spacing w:after="120" w:line="300" w:lineRule="atLeast"/>
      </w:pPr>
    </w:p>
    <w:p w:rsidR="007F563C" w:rsidRPr="000A30FE" w:rsidRDefault="007F563C" w:rsidP="007F563C">
      <w:pPr>
        <w:spacing w:after="120" w:line="300" w:lineRule="atLeast"/>
        <w:rPr>
          <w:b/>
        </w:rPr>
      </w:pPr>
      <w:r>
        <w:rPr>
          <w:b/>
        </w:rPr>
        <w:t>Table 4 – Block Funding for Sub-acute and Non-acute admitted patients</w:t>
      </w:r>
      <w:r w:rsidRPr="000A30FE">
        <w:rPr>
          <w:b/>
        </w:rPr>
        <w:t xml:space="preserve">  </w:t>
      </w:r>
    </w:p>
    <w:tbl>
      <w:tblPr>
        <w:tblStyle w:val="TableGrid"/>
        <w:tblW w:w="0" w:type="auto"/>
        <w:tblLook w:val="04A0" w:firstRow="1" w:lastRow="0" w:firstColumn="1" w:lastColumn="0" w:noHBand="0" w:noVBand="1"/>
        <w:tblCaption w:val="Table 4"/>
        <w:tblDescription w:val="Block Funding for Sub-acute and Non-acute admitted patients"/>
      </w:tblPr>
      <w:tblGrid>
        <w:gridCol w:w="4957"/>
        <w:gridCol w:w="4059"/>
      </w:tblGrid>
      <w:tr w:rsidR="007F563C" w:rsidRPr="00AC7121" w:rsidTr="00BD59F3">
        <w:trPr>
          <w:tblHeader/>
        </w:trPr>
        <w:tc>
          <w:tcPr>
            <w:tcW w:w="4957" w:type="dxa"/>
            <w:shd w:val="clear" w:color="auto" w:fill="D9D9D9" w:themeFill="background1" w:themeFillShade="D9"/>
          </w:tcPr>
          <w:p w:rsidR="007F563C" w:rsidRPr="00AC7121" w:rsidRDefault="007F563C" w:rsidP="007F563C">
            <w:pPr>
              <w:spacing w:before="60" w:after="60"/>
              <w:rPr>
                <w:b/>
                <w:sz w:val="18"/>
                <w:szCs w:val="18"/>
              </w:rPr>
            </w:pPr>
            <w:r>
              <w:rPr>
                <w:b/>
                <w:sz w:val="18"/>
                <w:szCs w:val="18"/>
              </w:rPr>
              <w:t>Block Payments Sub &amp; Non-Acute Inpatients</w:t>
            </w:r>
          </w:p>
        </w:tc>
        <w:tc>
          <w:tcPr>
            <w:tcW w:w="4059" w:type="dxa"/>
            <w:shd w:val="clear" w:color="auto" w:fill="D9D9D9" w:themeFill="background1" w:themeFillShade="D9"/>
          </w:tcPr>
          <w:p w:rsidR="007F563C" w:rsidRPr="00AC7121" w:rsidRDefault="007F563C" w:rsidP="007F563C">
            <w:pPr>
              <w:spacing w:before="60" w:after="60"/>
              <w:ind w:right="170"/>
              <w:jc w:val="right"/>
              <w:rPr>
                <w:b/>
                <w:sz w:val="18"/>
                <w:szCs w:val="18"/>
              </w:rPr>
            </w:pPr>
            <w:r>
              <w:rPr>
                <w:b/>
                <w:sz w:val="18"/>
                <w:szCs w:val="18"/>
              </w:rPr>
              <w:t>$’000</w:t>
            </w:r>
          </w:p>
        </w:tc>
      </w:tr>
      <w:tr w:rsidR="007F563C" w:rsidRPr="00AC7121" w:rsidTr="007F563C">
        <w:trPr>
          <w:trHeight w:val="423"/>
        </w:trPr>
        <w:tc>
          <w:tcPr>
            <w:tcW w:w="4957" w:type="dxa"/>
          </w:tcPr>
          <w:p w:rsidR="007F563C" w:rsidRDefault="007F563C" w:rsidP="007F563C">
            <w:pPr>
              <w:spacing w:before="60" w:after="60"/>
              <w:rPr>
                <w:sz w:val="18"/>
                <w:szCs w:val="18"/>
              </w:rPr>
            </w:pPr>
            <w:r>
              <w:rPr>
                <w:sz w:val="18"/>
                <w:szCs w:val="18"/>
              </w:rPr>
              <w:t xml:space="preserve">Sub &amp; Non-Acute Inpatients Supplementation </w:t>
            </w:r>
          </w:p>
        </w:tc>
        <w:tc>
          <w:tcPr>
            <w:tcW w:w="4059" w:type="dxa"/>
          </w:tcPr>
          <w:p w:rsidR="007F563C" w:rsidRDefault="007F563C" w:rsidP="007F563C">
            <w:pPr>
              <w:spacing w:before="60" w:after="60"/>
              <w:ind w:right="170"/>
              <w:jc w:val="right"/>
              <w:rPr>
                <w:sz w:val="18"/>
                <w:szCs w:val="18"/>
              </w:rPr>
            </w:pPr>
            <w:r>
              <w:rPr>
                <w:sz w:val="18"/>
                <w:szCs w:val="18"/>
              </w:rPr>
              <w:t>13,647</w:t>
            </w:r>
          </w:p>
        </w:tc>
      </w:tr>
    </w:tbl>
    <w:p w:rsidR="007F563C" w:rsidRDefault="007F563C" w:rsidP="007F563C">
      <w:pPr>
        <w:rPr>
          <w:b/>
        </w:rPr>
      </w:pPr>
    </w:p>
    <w:p w:rsidR="007F563C" w:rsidRPr="000D4EF9" w:rsidRDefault="007F563C" w:rsidP="007F563C">
      <w:pPr>
        <w:spacing w:after="120" w:line="300" w:lineRule="atLeast"/>
        <w:rPr>
          <w:b/>
        </w:rPr>
      </w:pPr>
      <w:r w:rsidRPr="000D4EF9">
        <w:rPr>
          <w:b/>
        </w:rPr>
        <w:t>Block Funding for ABF Hospitals</w:t>
      </w:r>
    </w:p>
    <w:p w:rsidR="007F563C" w:rsidRPr="004633DE" w:rsidRDefault="007F563C" w:rsidP="007F563C">
      <w:pPr>
        <w:spacing w:after="120" w:line="300" w:lineRule="atLeast"/>
      </w:pPr>
      <w:r>
        <w:t>In instances</w:t>
      </w:r>
      <w:r w:rsidRPr="000D4EF9">
        <w:t xml:space="preserve"> where activity based funding is not appropriate, the THS will be funded via block funds </w:t>
      </w:r>
      <w:r w:rsidRPr="004633DE">
        <w:t>for specific services. The following hospital services will be block-funded in 201</w:t>
      </w:r>
      <w:r>
        <w:t>7</w:t>
      </w:r>
      <w:r w:rsidRPr="004633DE">
        <w:t>-1</w:t>
      </w:r>
      <w:r>
        <w:t>8</w:t>
      </w:r>
      <w:r w:rsidRPr="004633DE">
        <w:t>:</w:t>
      </w:r>
    </w:p>
    <w:p w:rsidR="007F563C" w:rsidRPr="00357DB9" w:rsidRDefault="007F563C" w:rsidP="00357DB9">
      <w:pPr>
        <w:pStyle w:val="ListParagraph"/>
        <w:numPr>
          <w:ilvl w:val="0"/>
          <w:numId w:val="27"/>
        </w:numPr>
        <w:spacing w:after="140" w:line="300" w:lineRule="atLeast"/>
        <w:ind w:left="357" w:right="0" w:hanging="357"/>
        <w:jc w:val="left"/>
        <w:rPr>
          <w:rFonts w:ascii="Gill Sans MT" w:hAnsi="Gill Sans MT"/>
        </w:rPr>
      </w:pPr>
      <w:r w:rsidRPr="00357DB9">
        <w:rPr>
          <w:rFonts w:ascii="Gill Sans MT" w:hAnsi="Gill Sans MT"/>
        </w:rPr>
        <w:t xml:space="preserve">Non-activity based services costs that fall outside the scope of the National Health Cost Data Collection (NHCDC) </w:t>
      </w:r>
      <w:proofErr w:type="spellStart"/>
      <w:r w:rsidRPr="00357DB9">
        <w:rPr>
          <w:rFonts w:ascii="Gill Sans MT" w:hAnsi="Gill Sans MT"/>
        </w:rPr>
        <w:t>eg</w:t>
      </w:r>
      <w:proofErr w:type="spellEnd"/>
      <w:r w:rsidRPr="00357DB9">
        <w:rPr>
          <w:rFonts w:ascii="Gill Sans MT" w:hAnsi="Gill Sans MT"/>
        </w:rPr>
        <w:t xml:space="preserve"> ancillary services that cannot be matched to a patient. Funding is based on 2015-16 NHCDC Tasmanian costs, indexed at 2.5% per annum.</w:t>
      </w:r>
    </w:p>
    <w:p w:rsidR="007F563C" w:rsidRPr="00357DB9" w:rsidRDefault="007F563C" w:rsidP="00357DB9">
      <w:pPr>
        <w:pStyle w:val="ListParagraph"/>
        <w:numPr>
          <w:ilvl w:val="0"/>
          <w:numId w:val="27"/>
        </w:numPr>
        <w:spacing w:after="140" w:line="300" w:lineRule="atLeast"/>
        <w:ind w:left="357" w:right="0" w:hanging="357"/>
        <w:jc w:val="left"/>
        <w:rPr>
          <w:rFonts w:ascii="Gill Sans MT" w:hAnsi="Gill Sans MT"/>
        </w:rPr>
      </w:pPr>
      <w:r w:rsidRPr="00357DB9">
        <w:rPr>
          <w:rFonts w:ascii="Gill Sans MT" w:hAnsi="Gill Sans MT"/>
        </w:rPr>
        <w:t>Teaching, Training, and Research, based on 2015-16 NHCDC Tasmanian costs, indexed at 2.5% per annum.</w:t>
      </w:r>
    </w:p>
    <w:p w:rsidR="007F563C" w:rsidRPr="00357DB9" w:rsidRDefault="007F563C" w:rsidP="00357DB9">
      <w:pPr>
        <w:pStyle w:val="ListParagraph"/>
        <w:numPr>
          <w:ilvl w:val="0"/>
          <w:numId w:val="27"/>
        </w:numPr>
        <w:spacing w:after="140" w:line="300" w:lineRule="atLeast"/>
        <w:ind w:left="357" w:right="0" w:hanging="357"/>
        <w:jc w:val="left"/>
        <w:rPr>
          <w:rFonts w:ascii="Gill Sans MT" w:hAnsi="Gill Sans MT"/>
        </w:rPr>
      </w:pPr>
      <w:r w:rsidRPr="00357DB9">
        <w:rPr>
          <w:rFonts w:ascii="Gill Sans MT" w:hAnsi="Gill Sans MT"/>
        </w:rPr>
        <w:t>Blood Products, based on the 2015-16 THS blood expenditure indexed at 2.5% per annum.</w:t>
      </w:r>
    </w:p>
    <w:p w:rsidR="007F563C" w:rsidRPr="00357DB9" w:rsidRDefault="007F563C" w:rsidP="00357DB9">
      <w:pPr>
        <w:pStyle w:val="ListParagraph"/>
        <w:numPr>
          <w:ilvl w:val="0"/>
          <w:numId w:val="27"/>
        </w:numPr>
        <w:spacing w:after="140" w:line="300" w:lineRule="atLeast"/>
        <w:ind w:left="357" w:right="0" w:hanging="357"/>
        <w:jc w:val="left"/>
        <w:rPr>
          <w:rFonts w:ascii="Gill Sans MT" w:hAnsi="Gill Sans MT"/>
        </w:rPr>
      </w:pPr>
      <w:r w:rsidRPr="00357DB9">
        <w:rPr>
          <w:rFonts w:ascii="Gill Sans MT" w:hAnsi="Gill Sans MT"/>
        </w:rPr>
        <w:t xml:space="preserve">Transition to Practice Nurses </w:t>
      </w:r>
    </w:p>
    <w:p w:rsidR="007F563C" w:rsidRPr="00357DB9" w:rsidRDefault="007F563C" w:rsidP="00357DB9">
      <w:pPr>
        <w:pStyle w:val="ListParagraph"/>
        <w:numPr>
          <w:ilvl w:val="0"/>
          <w:numId w:val="27"/>
        </w:numPr>
        <w:spacing w:after="140" w:line="300" w:lineRule="atLeast"/>
        <w:ind w:left="357" w:right="0" w:hanging="357"/>
        <w:jc w:val="left"/>
        <w:rPr>
          <w:rFonts w:ascii="Gill Sans MT" w:hAnsi="Gill Sans MT"/>
        </w:rPr>
      </w:pPr>
      <w:r w:rsidRPr="00357DB9">
        <w:rPr>
          <w:rFonts w:ascii="Gill Sans MT" w:hAnsi="Gill Sans MT"/>
        </w:rPr>
        <w:t>Enhancing Retrieval and Referral Services</w:t>
      </w:r>
    </w:p>
    <w:p w:rsidR="007F563C" w:rsidRPr="00357DB9" w:rsidRDefault="007F563C" w:rsidP="00357DB9">
      <w:pPr>
        <w:pStyle w:val="ListParagraph"/>
        <w:numPr>
          <w:ilvl w:val="0"/>
          <w:numId w:val="27"/>
        </w:numPr>
        <w:spacing w:after="140" w:line="300" w:lineRule="atLeast"/>
        <w:ind w:left="357" w:right="0" w:hanging="357"/>
        <w:jc w:val="left"/>
        <w:rPr>
          <w:rFonts w:ascii="Gill Sans MT" w:hAnsi="Gill Sans MT"/>
        </w:rPr>
      </w:pPr>
      <w:r w:rsidRPr="00357DB9">
        <w:rPr>
          <w:rFonts w:ascii="Gill Sans MT" w:hAnsi="Gill Sans MT"/>
        </w:rPr>
        <w:t xml:space="preserve">Interstate Charging - Based on estimated 2017-18 expenditure </w:t>
      </w:r>
    </w:p>
    <w:p w:rsidR="007F563C" w:rsidRPr="00357DB9" w:rsidRDefault="007F563C" w:rsidP="00357DB9">
      <w:pPr>
        <w:pStyle w:val="ListParagraph"/>
        <w:numPr>
          <w:ilvl w:val="0"/>
          <w:numId w:val="27"/>
        </w:numPr>
        <w:spacing w:after="140" w:line="300" w:lineRule="atLeast"/>
        <w:ind w:left="357" w:right="0" w:hanging="357"/>
        <w:jc w:val="left"/>
        <w:rPr>
          <w:rFonts w:ascii="Gill Sans MT" w:hAnsi="Gill Sans MT"/>
        </w:rPr>
      </w:pPr>
      <w:r w:rsidRPr="00357DB9">
        <w:rPr>
          <w:rFonts w:ascii="Gill Sans MT" w:hAnsi="Gill Sans MT"/>
        </w:rPr>
        <w:t xml:space="preserve">North West Cancer Centre </w:t>
      </w:r>
    </w:p>
    <w:p w:rsidR="007F563C" w:rsidRPr="00357DB9" w:rsidRDefault="007F563C" w:rsidP="00357DB9">
      <w:pPr>
        <w:pStyle w:val="ListParagraph"/>
        <w:numPr>
          <w:ilvl w:val="0"/>
          <w:numId w:val="27"/>
        </w:numPr>
        <w:spacing w:after="140" w:line="300" w:lineRule="atLeast"/>
        <w:ind w:left="357" w:right="0" w:hanging="357"/>
        <w:jc w:val="left"/>
        <w:rPr>
          <w:rFonts w:ascii="Gill Sans MT" w:hAnsi="Gill Sans MT"/>
        </w:rPr>
      </w:pPr>
      <w:r w:rsidRPr="00357DB9">
        <w:rPr>
          <w:rFonts w:ascii="Gill Sans MT" w:hAnsi="Gill Sans MT"/>
        </w:rPr>
        <w:t xml:space="preserve">Patients First </w:t>
      </w:r>
    </w:p>
    <w:p w:rsidR="007F563C" w:rsidRPr="00357DB9" w:rsidRDefault="007F563C" w:rsidP="00357DB9">
      <w:pPr>
        <w:pStyle w:val="ListParagraph"/>
        <w:numPr>
          <w:ilvl w:val="0"/>
          <w:numId w:val="27"/>
        </w:numPr>
        <w:spacing w:after="140" w:line="300" w:lineRule="atLeast"/>
        <w:ind w:left="357" w:right="0" w:hanging="357"/>
        <w:jc w:val="left"/>
        <w:rPr>
          <w:rFonts w:ascii="Gill Sans MT" w:hAnsi="Gill Sans MT"/>
        </w:rPr>
      </w:pPr>
      <w:r w:rsidRPr="00357DB9">
        <w:rPr>
          <w:rFonts w:ascii="Gill Sans MT" w:hAnsi="Gill Sans MT"/>
        </w:rPr>
        <w:t>Transition Grant</w:t>
      </w:r>
    </w:p>
    <w:p w:rsidR="007F563C" w:rsidRPr="000D4EF9" w:rsidRDefault="007F563C" w:rsidP="007F563C">
      <w:pPr>
        <w:spacing w:after="120" w:line="300" w:lineRule="atLeast"/>
        <w:rPr>
          <w:b/>
        </w:rPr>
      </w:pPr>
      <w:r w:rsidRPr="000D4EF9">
        <w:rPr>
          <w:b/>
        </w:rPr>
        <w:t>Operational Grants for THS Services</w:t>
      </w:r>
    </w:p>
    <w:p w:rsidR="007F563C" w:rsidRDefault="007F563C" w:rsidP="007F563C">
      <w:pPr>
        <w:spacing w:after="120" w:line="300" w:lineRule="atLeast"/>
      </w:pPr>
      <w:r w:rsidRPr="00AA31F0">
        <w:t>The following THS services will be funded through an</w:t>
      </w:r>
      <w:r>
        <w:t xml:space="preserve"> operational block grant in 2017</w:t>
      </w:r>
      <w:r w:rsidRPr="00AA31F0">
        <w:t>-1</w:t>
      </w:r>
      <w:r>
        <w:t>8</w:t>
      </w:r>
      <w:r w:rsidRPr="00AA31F0">
        <w:t xml:space="preserve">. </w:t>
      </w:r>
      <w:r>
        <w:t>The f</w:t>
      </w:r>
      <w:r w:rsidRPr="00AA31F0">
        <w:t xml:space="preserve">unding amounts </w:t>
      </w:r>
      <w:r>
        <w:t>are based on historical cost of delivering these services with adjustments for indexation and known changes to service delivery:</w:t>
      </w:r>
    </w:p>
    <w:p w:rsidR="007F563C" w:rsidRPr="00357DB9" w:rsidRDefault="007F563C" w:rsidP="00357DB9">
      <w:pPr>
        <w:pStyle w:val="ListParagraph"/>
        <w:numPr>
          <w:ilvl w:val="0"/>
          <w:numId w:val="27"/>
        </w:numPr>
        <w:spacing w:after="140" w:line="300" w:lineRule="atLeast"/>
        <w:ind w:left="357" w:right="0" w:hanging="357"/>
        <w:jc w:val="left"/>
        <w:rPr>
          <w:rFonts w:ascii="Gill Sans MT" w:hAnsi="Gill Sans MT"/>
        </w:rPr>
      </w:pPr>
      <w:r w:rsidRPr="00357DB9">
        <w:rPr>
          <w:rFonts w:ascii="Gill Sans MT" w:hAnsi="Gill Sans MT"/>
        </w:rPr>
        <w:t>Mersey Community Hospital 1</w:t>
      </w:r>
    </w:p>
    <w:p w:rsidR="007F563C" w:rsidRPr="00357DB9" w:rsidRDefault="007F563C" w:rsidP="00357DB9">
      <w:pPr>
        <w:pStyle w:val="ListParagraph"/>
        <w:numPr>
          <w:ilvl w:val="0"/>
          <w:numId w:val="27"/>
        </w:numPr>
        <w:spacing w:after="140" w:line="300" w:lineRule="atLeast"/>
        <w:ind w:left="357" w:right="0" w:hanging="357"/>
        <w:jc w:val="left"/>
        <w:rPr>
          <w:rFonts w:ascii="Gill Sans MT" w:hAnsi="Gill Sans MT"/>
        </w:rPr>
      </w:pPr>
      <w:r w:rsidRPr="00357DB9">
        <w:rPr>
          <w:rFonts w:ascii="Gill Sans MT" w:hAnsi="Gill Sans MT"/>
        </w:rPr>
        <w:t>Primary Health Services (includes rural hospitals)</w:t>
      </w:r>
    </w:p>
    <w:p w:rsidR="007F563C" w:rsidRPr="00357DB9" w:rsidRDefault="007F563C" w:rsidP="00357DB9">
      <w:pPr>
        <w:pStyle w:val="ListParagraph"/>
        <w:numPr>
          <w:ilvl w:val="0"/>
          <w:numId w:val="27"/>
        </w:numPr>
        <w:spacing w:after="140" w:line="300" w:lineRule="atLeast"/>
        <w:ind w:left="357" w:right="0" w:hanging="357"/>
        <w:jc w:val="left"/>
        <w:rPr>
          <w:rFonts w:ascii="Gill Sans MT" w:hAnsi="Gill Sans MT"/>
        </w:rPr>
      </w:pPr>
      <w:r w:rsidRPr="00357DB9">
        <w:rPr>
          <w:rFonts w:ascii="Gill Sans MT" w:hAnsi="Gill Sans MT"/>
        </w:rPr>
        <w:t>Child Health and Parenting Service 2</w:t>
      </w:r>
    </w:p>
    <w:p w:rsidR="007F563C" w:rsidRPr="00357DB9" w:rsidRDefault="007F563C" w:rsidP="00357DB9">
      <w:pPr>
        <w:pStyle w:val="ListParagraph"/>
        <w:numPr>
          <w:ilvl w:val="0"/>
          <w:numId w:val="27"/>
        </w:numPr>
        <w:spacing w:after="140" w:line="300" w:lineRule="atLeast"/>
        <w:ind w:left="357" w:right="0" w:hanging="357"/>
        <w:jc w:val="left"/>
        <w:rPr>
          <w:rFonts w:ascii="Gill Sans MT" w:hAnsi="Gill Sans MT"/>
        </w:rPr>
      </w:pPr>
      <w:r w:rsidRPr="00357DB9">
        <w:rPr>
          <w:rFonts w:ascii="Gill Sans MT" w:hAnsi="Gill Sans MT"/>
        </w:rPr>
        <w:t>Mental Health Services (excluding mental health inpatient services)</w:t>
      </w:r>
    </w:p>
    <w:p w:rsidR="007F563C" w:rsidRPr="00357DB9" w:rsidRDefault="007F563C" w:rsidP="00357DB9">
      <w:pPr>
        <w:pStyle w:val="ListParagraph"/>
        <w:numPr>
          <w:ilvl w:val="0"/>
          <w:numId w:val="27"/>
        </w:numPr>
        <w:spacing w:after="140" w:line="300" w:lineRule="atLeast"/>
        <w:ind w:left="357" w:right="0" w:hanging="357"/>
        <w:jc w:val="left"/>
        <w:rPr>
          <w:rFonts w:ascii="Gill Sans MT" w:hAnsi="Gill Sans MT"/>
        </w:rPr>
      </w:pPr>
      <w:r w:rsidRPr="00357DB9">
        <w:rPr>
          <w:rFonts w:ascii="Gill Sans MT" w:hAnsi="Gill Sans MT"/>
        </w:rPr>
        <w:t>Oral Health Services partly delivered with Commonwealth funding</w:t>
      </w:r>
    </w:p>
    <w:p w:rsidR="007F563C" w:rsidRPr="00357DB9" w:rsidRDefault="007F563C" w:rsidP="00357DB9">
      <w:pPr>
        <w:pStyle w:val="ListParagraph"/>
        <w:numPr>
          <w:ilvl w:val="0"/>
          <w:numId w:val="27"/>
        </w:numPr>
        <w:spacing w:after="140" w:line="300" w:lineRule="atLeast"/>
        <w:ind w:left="357" w:right="0" w:hanging="357"/>
        <w:jc w:val="left"/>
        <w:rPr>
          <w:rFonts w:ascii="Gill Sans MT" w:hAnsi="Gill Sans MT"/>
        </w:rPr>
      </w:pPr>
      <w:r w:rsidRPr="00357DB9">
        <w:rPr>
          <w:rFonts w:ascii="Gill Sans MT" w:hAnsi="Gill Sans MT"/>
        </w:rPr>
        <w:t>Alcohol and Drug Services</w:t>
      </w:r>
    </w:p>
    <w:p w:rsidR="007F563C" w:rsidRPr="00357DB9" w:rsidRDefault="007F563C" w:rsidP="00357DB9">
      <w:pPr>
        <w:pStyle w:val="ListParagraph"/>
        <w:numPr>
          <w:ilvl w:val="0"/>
          <w:numId w:val="27"/>
        </w:numPr>
        <w:spacing w:after="140" w:line="300" w:lineRule="atLeast"/>
        <w:ind w:left="357" w:right="0" w:hanging="357"/>
        <w:jc w:val="left"/>
        <w:rPr>
          <w:rFonts w:ascii="Gill Sans MT" w:hAnsi="Gill Sans MT"/>
        </w:rPr>
      </w:pPr>
      <w:r w:rsidRPr="00357DB9">
        <w:rPr>
          <w:rFonts w:ascii="Gill Sans MT" w:hAnsi="Gill Sans MT"/>
        </w:rPr>
        <w:t>Forensic Medical Services</w:t>
      </w:r>
    </w:p>
    <w:p w:rsidR="007F563C" w:rsidRPr="00357DB9" w:rsidRDefault="007F563C" w:rsidP="00357DB9">
      <w:pPr>
        <w:pStyle w:val="ListParagraph"/>
        <w:numPr>
          <w:ilvl w:val="0"/>
          <w:numId w:val="27"/>
        </w:numPr>
        <w:spacing w:after="140" w:line="300" w:lineRule="atLeast"/>
        <w:ind w:left="357" w:right="0" w:hanging="357"/>
        <w:jc w:val="left"/>
        <w:rPr>
          <w:rFonts w:ascii="Gill Sans MT" w:hAnsi="Gill Sans MT"/>
        </w:rPr>
      </w:pPr>
      <w:r w:rsidRPr="00357DB9">
        <w:rPr>
          <w:rFonts w:ascii="Gill Sans MT" w:hAnsi="Gill Sans MT"/>
        </w:rPr>
        <w:t>Cancer Screening and Control Services partly delivered with Commonwealth funding</w:t>
      </w:r>
    </w:p>
    <w:p w:rsidR="007F563C" w:rsidRPr="00357DB9" w:rsidRDefault="007F563C" w:rsidP="00357DB9">
      <w:pPr>
        <w:pStyle w:val="ListParagraph"/>
        <w:numPr>
          <w:ilvl w:val="0"/>
          <w:numId w:val="27"/>
        </w:numPr>
        <w:spacing w:after="140" w:line="300" w:lineRule="atLeast"/>
        <w:ind w:left="357" w:right="0" w:hanging="357"/>
        <w:jc w:val="left"/>
        <w:rPr>
          <w:rFonts w:ascii="Gill Sans MT" w:hAnsi="Gill Sans MT"/>
        </w:rPr>
      </w:pPr>
      <w:r w:rsidRPr="00357DB9">
        <w:rPr>
          <w:rFonts w:ascii="Gill Sans MT" w:hAnsi="Gill Sans MT"/>
        </w:rPr>
        <w:t>Patient Travel Assistance Scheme – based on estimated 2016-17 expenditure.</w:t>
      </w:r>
    </w:p>
    <w:p w:rsidR="007F563C" w:rsidRPr="00E022CC" w:rsidRDefault="007F563C" w:rsidP="007F563C">
      <w:r w:rsidRPr="005C5E90">
        <w:rPr>
          <w:vertAlign w:val="superscript"/>
        </w:rPr>
        <w:t>1</w:t>
      </w:r>
      <w:r>
        <w:rPr>
          <w:vertAlign w:val="superscript"/>
        </w:rPr>
        <w:t xml:space="preserve"> </w:t>
      </w:r>
      <w:r w:rsidRPr="00E022CC">
        <w:t xml:space="preserve">Funding based on new agreement </w:t>
      </w:r>
    </w:p>
    <w:p w:rsidR="007F563C" w:rsidRDefault="007F563C" w:rsidP="007F563C">
      <w:r>
        <w:rPr>
          <w:vertAlign w:val="superscript"/>
        </w:rPr>
        <w:t xml:space="preserve">2 </w:t>
      </w:r>
      <w:r>
        <w:t>Funding for the Child Health and Parenting Service is based on agreed budget amounts transferred from DHHS to the THS</w:t>
      </w:r>
    </w:p>
    <w:p w:rsidR="007F563C" w:rsidRDefault="007F563C" w:rsidP="007F563C"/>
    <w:p w:rsidR="007F563C" w:rsidRPr="00B44167" w:rsidRDefault="007F563C" w:rsidP="007F563C">
      <w:pPr>
        <w:spacing w:after="120" w:line="300" w:lineRule="atLeast"/>
        <w:rPr>
          <w:b/>
        </w:rPr>
      </w:pPr>
      <w:r w:rsidRPr="00B44167">
        <w:rPr>
          <w:b/>
        </w:rPr>
        <w:t>Efficient Growth Funding</w:t>
      </w:r>
      <w:r>
        <w:rPr>
          <w:b/>
        </w:rPr>
        <w:t xml:space="preserve"> and Commonwealth Funding Cap</w:t>
      </w:r>
    </w:p>
    <w:p w:rsidR="007F563C" w:rsidRDefault="007F563C" w:rsidP="00567DCC">
      <w:pPr>
        <w:spacing w:after="120" w:line="300" w:lineRule="atLeast"/>
      </w:pPr>
      <w:r>
        <w:t>In 2017/18, the Commonwealth Government will fund 45% of Efficient Growth in public hospital services at Activity Based Funding (ABF) facilities as stated in the National Health Reform Agreement (NHRA) 2011. Efficient growth funding is based on growth of National Weighted Activity Units (NWAUs), and calculations are performed by the National Health Funding Body on behalf of the Administrator of the National Health Funding Pool.  Over achievement of NWAU targets will result in the THS receiving only the efficient growth funding from the commonwealth at 45% of NEP.</w:t>
      </w:r>
    </w:p>
    <w:p w:rsidR="007F563C" w:rsidRPr="00567DCC" w:rsidRDefault="007F563C" w:rsidP="00567DCC">
      <w:pPr>
        <w:spacing w:after="120" w:line="300" w:lineRule="atLeast"/>
      </w:pPr>
      <w:proofErr w:type="gramStart"/>
      <w:r>
        <w:t>In 2017-18 overall Commonwealth NHRA</w:t>
      </w:r>
      <w:proofErr w:type="gramEnd"/>
      <w:r>
        <w:t xml:space="preserve"> funding is capped at 6.5% growth on 2016-17 funding levels with final 2016-17 funding levels being determined in December 2017 after patient level NWAU data has been reconciled.  </w:t>
      </w:r>
    </w:p>
    <w:p w:rsidR="007F563C" w:rsidRPr="00357DB9" w:rsidRDefault="007F563C" w:rsidP="00357DB9">
      <w:pPr>
        <w:spacing w:after="120" w:line="300" w:lineRule="atLeast"/>
        <w:rPr>
          <w:b/>
        </w:rPr>
      </w:pPr>
      <w:r>
        <w:rPr>
          <w:b/>
        </w:rPr>
        <w:t>Pricing for Safety and Quality</w:t>
      </w:r>
    </w:p>
    <w:p w:rsidR="007F563C" w:rsidRDefault="007F563C" w:rsidP="00567DCC">
      <w:pPr>
        <w:spacing w:after="120" w:line="300" w:lineRule="atLeast"/>
      </w:pPr>
      <w:r w:rsidRPr="008B1188">
        <w:t>In February 2017, the Commonwealth Minister for Health, acting under section 226 of the National Health Reform Act 2011 directed IHPA to undertake implementation of three recommendations of the COAG Health Council relating to sentinel events, HACs and avoidable readmissions.</w:t>
      </w:r>
    </w:p>
    <w:p w:rsidR="007F563C" w:rsidRDefault="007F563C" w:rsidP="00567DCC">
      <w:pPr>
        <w:spacing w:after="120" w:line="300" w:lineRule="atLeast"/>
      </w:pPr>
      <w:r w:rsidRPr="008B1188">
        <w:t>Consistent with the Ministerial Direction, the scope of measures for sentinel events will include all episodes of care (all streams) in both ABF and block funded hospitals while the scope of measures for HACs will include acute admissions across all public hospitals</w:t>
      </w:r>
      <w:r w:rsidRPr="003A72EB">
        <w:t xml:space="preserve"> </w:t>
      </w:r>
      <w:r w:rsidRPr="008B1188">
        <w:t>in both ABF and block funded hospitals.</w:t>
      </w:r>
    </w:p>
    <w:p w:rsidR="007F563C" w:rsidRPr="00567DCC" w:rsidRDefault="00567DCC" w:rsidP="007F563C">
      <w:pPr>
        <w:rPr>
          <w:b/>
        </w:rPr>
      </w:pPr>
      <w:r w:rsidRPr="00567DCC">
        <w:rPr>
          <w:b/>
        </w:rPr>
        <w:t xml:space="preserve">Sentinel events </w:t>
      </w:r>
    </w:p>
    <w:p w:rsidR="007F563C" w:rsidRDefault="007F563C" w:rsidP="00567DCC">
      <w:pPr>
        <w:spacing w:after="120" w:line="300" w:lineRule="atLeast"/>
      </w:pPr>
      <w:r>
        <w:t xml:space="preserve">Sentinel events are a subset of adverse events that result in death or serious harm to patients. The national set of eight sentinel events, agreed to by Australian Health Ministers in 2002, comprise of: </w:t>
      </w:r>
    </w:p>
    <w:p w:rsidR="007F563C" w:rsidRPr="00357DB9" w:rsidRDefault="007F563C" w:rsidP="00357DB9">
      <w:pPr>
        <w:pStyle w:val="ListParagraph"/>
        <w:numPr>
          <w:ilvl w:val="0"/>
          <w:numId w:val="27"/>
        </w:numPr>
        <w:spacing w:after="140" w:line="300" w:lineRule="atLeast"/>
        <w:ind w:left="357" w:right="0" w:hanging="357"/>
        <w:jc w:val="left"/>
        <w:rPr>
          <w:rFonts w:ascii="Gill Sans MT" w:hAnsi="Gill Sans MT"/>
        </w:rPr>
      </w:pPr>
      <w:r w:rsidRPr="00357DB9">
        <w:rPr>
          <w:rFonts w:ascii="Gill Sans MT" w:hAnsi="Gill Sans MT"/>
        </w:rPr>
        <w:t xml:space="preserve">procedures involving the wrong patient or body part resulting in death or major permanent loss of function; </w:t>
      </w:r>
    </w:p>
    <w:p w:rsidR="007F563C" w:rsidRPr="00357DB9" w:rsidRDefault="007F563C" w:rsidP="00357DB9">
      <w:pPr>
        <w:pStyle w:val="ListParagraph"/>
        <w:numPr>
          <w:ilvl w:val="0"/>
          <w:numId w:val="27"/>
        </w:numPr>
        <w:spacing w:after="140" w:line="300" w:lineRule="atLeast"/>
        <w:ind w:left="357" w:right="0" w:hanging="357"/>
        <w:jc w:val="left"/>
        <w:rPr>
          <w:rFonts w:ascii="Gill Sans MT" w:hAnsi="Gill Sans MT"/>
        </w:rPr>
      </w:pPr>
      <w:r w:rsidRPr="00357DB9">
        <w:rPr>
          <w:rFonts w:ascii="Gill Sans MT" w:hAnsi="Gill Sans MT"/>
        </w:rPr>
        <w:t xml:space="preserve">suicide of a patient in an inpatient unit; </w:t>
      </w:r>
    </w:p>
    <w:p w:rsidR="007F563C" w:rsidRPr="00357DB9" w:rsidRDefault="007F563C" w:rsidP="00357DB9">
      <w:pPr>
        <w:pStyle w:val="ListParagraph"/>
        <w:numPr>
          <w:ilvl w:val="0"/>
          <w:numId w:val="27"/>
        </w:numPr>
        <w:spacing w:after="140" w:line="300" w:lineRule="atLeast"/>
        <w:ind w:left="357" w:right="0" w:hanging="357"/>
        <w:jc w:val="left"/>
        <w:rPr>
          <w:rFonts w:ascii="Gill Sans MT" w:hAnsi="Gill Sans MT"/>
        </w:rPr>
      </w:pPr>
      <w:r w:rsidRPr="00357DB9">
        <w:rPr>
          <w:rFonts w:ascii="Gill Sans MT" w:hAnsi="Gill Sans MT"/>
        </w:rPr>
        <w:t xml:space="preserve">retained instruments or other material after surgery requiring re-operation or further surgical procedure; </w:t>
      </w:r>
    </w:p>
    <w:p w:rsidR="007F563C" w:rsidRPr="00357DB9" w:rsidRDefault="007F563C" w:rsidP="00357DB9">
      <w:pPr>
        <w:pStyle w:val="ListParagraph"/>
        <w:numPr>
          <w:ilvl w:val="0"/>
          <w:numId w:val="27"/>
        </w:numPr>
        <w:spacing w:after="140" w:line="300" w:lineRule="atLeast"/>
        <w:ind w:left="357" w:right="0" w:hanging="357"/>
        <w:jc w:val="left"/>
        <w:rPr>
          <w:rFonts w:ascii="Gill Sans MT" w:hAnsi="Gill Sans MT"/>
        </w:rPr>
      </w:pPr>
      <w:r w:rsidRPr="00357DB9">
        <w:rPr>
          <w:rFonts w:ascii="Gill Sans MT" w:hAnsi="Gill Sans MT"/>
        </w:rPr>
        <w:t xml:space="preserve">intravascular gas embolism resulting in death or neurological damage; </w:t>
      </w:r>
    </w:p>
    <w:p w:rsidR="007F563C" w:rsidRPr="00357DB9" w:rsidRDefault="007F563C" w:rsidP="00357DB9">
      <w:pPr>
        <w:pStyle w:val="ListParagraph"/>
        <w:numPr>
          <w:ilvl w:val="0"/>
          <w:numId w:val="27"/>
        </w:numPr>
        <w:spacing w:after="140" w:line="300" w:lineRule="atLeast"/>
        <w:ind w:left="357" w:right="0" w:hanging="357"/>
        <w:jc w:val="left"/>
        <w:rPr>
          <w:rFonts w:ascii="Gill Sans MT" w:hAnsi="Gill Sans MT"/>
        </w:rPr>
      </w:pPr>
      <w:r w:rsidRPr="00357DB9">
        <w:rPr>
          <w:rFonts w:ascii="Gill Sans MT" w:hAnsi="Gill Sans MT"/>
        </w:rPr>
        <w:t xml:space="preserve">hemolytic blood transfusion reaction resulting from ABO [blood type] incompatibility; </w:t>
      </w:r>
    </w:p>
    <w:p w:rsidR="007F563C" w:rsidRPr="00357DB9" w:rsidRDefault="007F563C" w:rsidP="00357DB9">
      <w:pPr>
        <w:pStyle w:val="ListParagraph"/>
        <w:numPr>
          <w:ilvl w:val="0"/>
          <w:numId w:val="27"/>
        </w:numPr>
        <w:spacing w:after="140" w:line="300" w:lineRule="atLeast"/>
        <w:ind w:left="357" w:right="0" w:hanging="357"/>
        <w:jc w:val="left"/>
        <w:rPr>
          <w:rFonts w:ascii="Gill Sans MT" w:hAnsi="Gill Sans MT"/>
        </w:rPr>
      </w:pPr>
      <w:r w:rsidRPr="00357DB9">
        <w:rPr>
          <w:rFonts w:ascii="Gill Sans MT" w:hAnsi="Gill Sans MT"/>
        </w:rPr>
        <w:t xml:space="preserve">medication error leading to the death of a patient reasonably believed to be due to incorrect administration of drugs; </w:t>
      </w:r>
    </w:p>
    <w:p w:rsidR="007F563C" w:rsidRPr="00357DB9" w:rsidRDefault="007F563C" w:rsidP="00357DB9">
      <w:pPr>
        <w:pStyle w:val="ListParagraph"/>
        <w:numPr>
          <w:ilvl w:val="0"/>
          <w:numId w:val="27"/>
        </w:numPr>
        <w:spacing w:after="140" w:line="300" w:lineRule="atLeast"/>
        <w:ind w:left="357" w:right="0" w:hanging="357"/>
        <w:jc w:val="left"/>
        <w:rPr>
          <w:rFonts w:ascii="Gill Sans MT" w:hAnsi="Gill Sans MT"/>
        </w:rPr>
      </w:pPr>
      <w:r w:rsidRPr="00357DB9">
        <w:rPr>
          <w:rFonts w:ascii="Gill Sans MT" w:hAnsi="Gill Sans MT"/>
        </w:rPr>
        <w:t xml:space="preserve">maternal death associated with pregnancy, birth and the puerperium; and </w:t>
      </w:r>
    </w:p>
    <w:p w:rsidR="007F563C" w:rsidRPr="00357DB9" w:rsidRDefault="007F563C" w:rsidP="00357DB9">
      <w:pPr>
        <w:pStyle w:val="ListParagraph"/>
        <w:numPr>
          <w:ilvl w:val="0"/>
          <w:numId w:val="27"/>
        </w:numPr>
        <w:spacing w:after="140" w:line="300" w:lineRule="atLeast"/>
        <w:ind w:left="357" w:right="0" w:hanging="357"/>
        <w:jc w:val="left"/>
        <w:rPr>
          <w:rFonts w:ascii="Gill Sans MT" w:hAnsi="Gill Sans MT"/>
        </w:rPr>
      </w:pPr>
      <w:proofErr w:type="gramStart"/>
      <w:r w:rsidRPr="00357DB9">
        <w:rPr>
          <w:rFonts w:ascii="Gill Sans MT" w:hAnsi="Gill Sans MT"/>
        </w:rPr>
        <w:t>infant</w:t>
      </w:r>
      <w:proofErr w:type="gramEnd"/>
      <w:r w:rsidRPr="00357DB9">
        <w:rPr>
          <w:rFonts w:ascii="Gill Sans MT" w:hAnsi="Gill Sans MT"/>
        </w:rPr>
        <w:t xml:space="preserve"> discharged to the wrong family. </w:t>
      </w:r>
    </w:p>
    <w:p w:rsidR="007F563C" w:rsidRDefault="007F563C" w:rsidP="00567DCC">
      <w:pPr>
        <w:spacing w:after="120" w:line="300" w:lineRule="atLeast"/>
      </w:pPr>
      <w:r>
        <w:t xml:space="preserve">Hospital separations </w:t>
      </w:r>
      <w:r w:rsidRPr="008B1188">
        <w:t xml:space="preserve">after </w:t>
      </w:r>
      <w:r>
        <w:t>30 June</w:t>
      </w:r>
      <w:r w:rsidRPr="008B1188">
        <w:t xml:space="preserve"> 2017</w:t>
      </w:r>
      <w:r w:rsidRPr="00CB55A9">
        <w:t xml:space="preserve"> in both ABF and block funded hospitals</w:t>
      </w:r>
      <w:r w:rsidRPr="008B1188">
        <w:t xml:space="preserve"> that include a sentinel </w:t>
      </w:r>
      <w:r>
        <w:t>event will not be funded by both either the state or Commonwealth funding models.  In ABF hospitals, separations where a sentinel event occurs will be assigned zero NWAU (17) and will not attract State or Commonwealth funding.</w:t>
      </w:r>
    </w:p>
    <w:p w:rsidR="007F563C" w:rsidRPr="00567DCC" w:rsidRDefault="00357DB9" w:rsidP="007F563C">
      <w:pPr>
        <w:rPr>
          <w:b/>
        </w:rPr>
      </w:pPr>
      <w:r w:rsidRPr="00567DCC">
        <w:rPr>
          <w:b/>
        </w:rPr>
        <w:t>Hospital Acquired Complications</w:t>
      </w:r>
    </w:p>
    <w:p w:rsidR="007F563C" w:rsidRPr="00FF01EE" w:rsidRDefault="007F563C" w:rsidP="00567DCC">
      <w:pPr>
        <w:spacing w:after="120" w:line="300" w:lineRule="atLeast"/>
      </w:pPr>
      <w:r w:rsidRPr="00FF01EE">
        <w:t>Hospital Acquired Complications</w:t>
      </w:r>
      <w:r>
        <w:t xml:space="preserve"> (HAC)</w:t>
      </w:r>
      <w:r w:rsidRPr="0049068B">
        <w:t xml:space="preserve"> are complications which occur during a hospital stay and for which clinical risk mitigation strategies may reduce (but not necessarily eliminate) the risk of their occurrence. Identification of most HACs is dependent upon the use of the Condition Onset Flag (COF). The COF is used to indicate whether a diagnosis was present on admission </w:t>
      </w:r>
      <w:r>
        <w:t>to</w:t>
      </w:r>
      <w:r w:rsidRPr="0049068B">
        <w:t xml:space="preserve"> hospita</w:t>
      </w:r>
      <w:r w:rsidRPr="00FF01EE">
        <w:t>l or occurred during an episode of care.</w:t>
      </w:r>
    </w:p>
    <w:p w:rsidR="007F563C" w:rsidRPr="0049068B" w:rsidRDefault="007F563C" w:rsidP="00567DCC">
      <w:pPr>
        <w:spacing w:after="120" w:line="300" w:lineRule="atLeast"/>
      </w:pPr>
      <w:r w:rsidRPr="004C49B5">
        <w:t>IHPA and the Commission established a Joint Working Party in 2012 which developed an agreed Australian list of HACs</w:t>
      </w:r>
      <w:r w:rsidRPr="00EF2B5E">
        <w:t xml:space="preserve"> through a clinician-led process. HACs were selected using the criteria of preventability, patient impact (severity), health service impact and clinical priority. There has been subsequent field-testing in selected public and private hospitals, as well as further clinical refinement of the HACs list.</w:t>
      </w:r>
      <w:r w:rsidRPr="003A72EB">
        <w:t xml:space="preserve"> The list of HACs (including a detailed specification of ICD-10-AM codes) is available on the Commission website</w:t>
      </w:r>
      <w:r w:rsidR="00005F54">
        <w:t>.</w:t>
      </w:r>
    </w:p>
    <w:p w:rsidR="007F563C" w:rsidRPr="00567DCC" w:rsidRDefault="007F563C" w:rsidP="00567DCC">
      <w:pPr>
        <w:spacing w:after="120" w:line="300" w:lineRule="atLeast"/>
      </w:pPr>
      <w:r w:rsidRPr="00FF01EE">
        <w:t xml:space="preserve">On 30 November 2016 IHPA provided advice to the COAG Health Council that from 1 July 2018 IHPA will reduce the funding level, for all hospital acquired complications across every hospital to reflect the extra cost of a hospital admission, subject to the results of a shadow year from 1 July </w:t>
      </w:r>
      <w:r w:rsidRPr="00567DCC">
        <w:t xml:space="preserve">2017. </w:t>
      </w:r>
    </w:p>
    <w:p w:rsidR="007F563C" w:rsidRPr="00FF01EE" w:rsidRDefault="007F563C" w:rsidP="00357DB9">
      <w:pPr>
        <w:pStyle w:val="ListParagraph"/>
        <w:numPr>
          <w:ilvl w:val="0"/>
          <w:numId w:val="44"/>
        </w:numPr>
        <w:spacing w:after="140" w:line="300" w:lineRule="atLeast"/>
        <w:ind w:right="0"/>
        <w:jc w:val="left"/>
        <w:rPr>
          <w:rFonts w:ascii="Gill Sans MT" w:hAnsi="Gill Sans MT"/>
        </w:rPr>
      </w:pPr>
      <w:r w:rsidRPr="00FF01EE">
        <w:rPr>
          <w:rFonts w:ascii="Gill Sans MT" w:hAnsi="Gill Sans MT"/>
        </w:rPr>
        <w:t>During 2017-2018 the Department will provide direction and monitoring of the use of the COF to the THS;</w:t>
      </w:r>
    </w:p>
    <w:p w:rsidR="007F563C" w:rsidRDefault="007F563C" w:rsidP="00357DB9">
      <w:pPr>
        <w:pStyle w:val="ListParagraph"/>
        <w:numPr>
          <w:ilvl w:val="0"/>
          <w:numId w:val="44"/>
        </w:numPr>
        <w:spacing w:after="140" w:line="300" w:lineRule="atLeast"/>
        <w:ind w:right="0"/>
        <w:jc w:val="left"/>
        <w:rPr>
          <w:rFonts w:ascii="Gill Sans MT" w:hAnsi="Gill Sans MT"/>
        </w:rPr>
      </w:pPr>
      <w:r w:rsidRPr="00FF01EE">
        <w:rPr>
          <w:rFonts w:ascii="Gill Sans MT" w:hAnsi="Gill Sans MT"/>
        </w:rPr>
        <w:t xml:space="preserve">assess the impact on funding to both ABF and Block facilities; </w:t>
      </w:r>
      <w:r>
        <w:rPr>
          <w:rFonts w:ascii="Gill Sans MT" w:hAnsi="Gill Sans MT"/>
        </w:rPr>
        <w:t xml:space="preserve"> and </w:t>
      </w:r>
    </w:p>
    <w:p w:rsidR="007F563C" w:rsidRDefault="007F563C" w:rsidP="00357DB9">
      <w:pPr>
        <w:pStyle w:val="ListParagraph"/>
        <w:numPr>
          <w:ilvl w:val="0"/>
          <w:numId w:val="44"/>
        </w:numPr>
        <w:spacing w:after="140" w:line="300" w:lineRule="atLeast"/>
        <w:ind w:right="0"/>
        <w:jc w:val="left"/>
        <w:rPr>
          <w:rFonts w:ascii="Gill Sans MT" w:hAnsi="Gill Sans MT"/>
        </w:rPr>
      </w:pPr>
      <w:proofErr w:type="gramStart"/>
      <w:r>
        <w:rPr>
          <w:rFonts w:ascii="Gill Sans MT" w:hAnsi="Gill Sans MT"/>
        </w:rPr>
        <w:t>i</w:t>
      </w:r>
      <w:r w:rsidRPr="00FF01EE">
        <w:rPr>
          <w:rFonts w:ascii="Gill Sans MT" w:hAnsi="Gill Sans MT"/>
        </w:rPr>
        <w:t>n</w:t>
      </w:r>
      <w:proofErr w:type="gramEnd"/>
      <w:r w:rsidRPr="00FF01EE">
        <w:rPr>
          <w:rFonts w:ascii="Gill Sans MT" w:hAnsi="Gill Sans MT"/>
        </w:rPr>
        <w:t xml:space="preserve"> collaboration with the THS prepare a response to the HAC model to IHPA</w:t>
      </w:r>
      <w:r>
        <w:rPr>
          <w:rFonts w:ascii="Gill Sans MT" w:hAnsi="Gill Sans MT"/>
        </w:rPr>
        <w:t>.</w:t>
      </w:r>
    </w:p>
    <w:p w:rsidR="007F563C" w:rsidRPr="00567DCC" w:rsidRDefault="00357DB9" w:rsidP="007F563C">
      <w:pPr>
        <w:rPr>
          <w:b/>
        </w:rPr>
      </w:pPr>
      <w:r w:rsidRPr="00567DCC">
        <w:rPr>
          <w:b/>
        </w:rPr>
        <w:t>Avoidable Hospital Readmissions</w:t>
      </w:r>
    </w:p>
    <w:p w:rsidR="007F563C" w:rsidRDefault="007F563C" w:rsidP="00567DCC">
      <w:pPr>
        <w:spacing w:after="120" w:line="300" w:lineRule="atLeast"/>
      </w:pPr>
      <w:r>
        <w:t xml:space="preserve">Avoidable Hospital Readmission means readmission to hospital for a condition or conditions arising from complications of the management of the condition for which the patient was originally admitted. </w:t>
      </w:r>
    </w:p>
    <w:p w:rsidR="007F563C" w:rsidRPr="00FF01EE" w:rsidRDefault="007F563C" w:rsidP="00567DCC">
      <w:pPr>
        <w:spacing w:after="120" w:line="300" w:lineRule="atLeast"/>
      </w:pPr>
      <w:r>
        <w:t>During 2017-2018,</w:t>
      </w:r>
      <w:r w:rsidRPr="004C49B5">
        <w:t xml:space="preserve"> IHPA will </w:t>
      </w:r>
      <w:r>
        <w:t xml:space="preserve">develop a pricing model to act as a pricing trigger to reduce the incidence of </w:t>
      </w:r>
      <w:r w:rsidRPr="004C49B5">
        <w:t>avoidable hospital readmission</w:t>
      </w:r>
      <w:r>
        <w:t xml:space="preserve">.  This work will be underpinned by </w:t>
      </w:r>
      <w:r w:rsidRPr="00EF2B5E">
        <w:t>the Australian Commission on Safety and Quality in Health Care</w:t>
      </w:r>
      <w:r>
        <w:t xml:space="preserve"> (</w:t>
      </w:r>
      <w:r w:rsidRPr="00EF2B5E">
        <w:t>ACSQHC</w:t>
      </w:r>
      <w:r>
        <w:t>)</w:t>
      </w:r>
      <w:r w:rsidRPr="00EF2B5E">
        <w:t xml:space="preserve"> develop</w:t>
      </w:r>
      <w:r>
        <w:t>ing</w:t>
      </w:r>
      <w:r w:rsidRPr="00EF2B5E">
        <w:t xml:space="preserve"> a list of clinical conditions</w:t>
      </w:r>
      <w:r>
        <w:t xml:space="preserve"> </w:t>
      </w:r>
      <w:r w:rsidRPr="00EF2B5E">
        <w:t xml:space="preserve">that should be considered avoidable readmissions </w:t>
      </w:r>
      <w:r>
        <w:t xml:space="preserve">and </w:t>
      </w:r>
      <w:r w:rsidRPr="00EF2B5E">
        <w:t>appropriate timeframes for avoidable readmission for each of the conditions selected</w:t>
      </w:r>
      <w:r>
        <w:t xml:space="preserve">. </w:t>
      </w:r>
      <w:r w:rsidRPr="00EF2B5E">
        <w:t xml:space="preserve"> </w:t>
      </w:r>
      <w:r>
        <w:t xml:space="preserve">The developed </w:t>
      </w:r>
      <w:r w:rsidRPr="004F6BC5">
        <w:t xml:space="preserve">conditions </w:t>
      </w:r>
      <w:r>
        <w:t xml:space="preserve">and </w:t>
      </w:r>
      <w:r w:rsidRPr="004C49B5">
        <w:t xml:space="preserve">definitions </w:t>
      </w:r>
      <w:r>
        <w:t xml:space="preserve">will be </w:t>
      </w:r>
      <w:r w:rsidRPr="00EF2B5E">
        <w:t>presented to COAG Health Council in June 2017.</w:t>
      </w:r>
      <w:r>
        <w:t xml:space="preserve">  </w:t>
      </w:r>
      <w:r w:rsidRPr="00EF2B5E">
        <w:t>No pricing or funding approach to avoidable hospital readmissions will be implemented until after the completion of this program of work</w:t>
      </w:r>
      <w:r>
        <w:t xml:space="preserve"> by </w:t>
      </w:r>
      <w:r w:rsidRPr="00EF2B5E">
        <w:t>ACSQHC</w:t>
      </w:r>
      <w:r>
        <w:t xml:space="preserve"> and IHPA this is expected to occur after 1 July 2018.</w:t>
      </w:r>
    </w:p>
    <w:p w:rsidR="007F563C" w:rsidRDefault="007F563C" w:rsidP="007F563C"/>
    <w:p w:rsidR="008D5C30" w:rsidRPr="008D5C30" w:rsidRDefault="008D5C30" w:rsidP="00EE2B3E">
      <w:pPr>
        <w:spacing w:after="140" w:line="300" w:lineRule="atLeast"/>
      </w:pPr>
    </w:p>
    <w:sectPr w:rsidR="008D5C30" w:rsidRPr="008D5C30" w:rsidSect="00A757B4">
      <w:headerReference w:type="even" r:id="rId21"/>
      <w:headerReference w:type="default" r:id="rId22"/>
      <w:headerReference w:type="first" r:id="rId23"/>
      <w:type w:val="continuous"/>
      <w:pgSz w:w="11906" w:h="16838" w:code="9"/>
      <w:pgMar w:top="709" w:right="1134" w:bottom="72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038" w:rsidRDefault="006B3038">
      <w:r>
        <w:separator/>
      </w:r>
    </w:p>
  </w:endnote>
  <w:endnote w:type="continuationSeparator" w:id="0">
    <w:p w:rsidR="006B3038" w:rsidRDefault="006B3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1752912"/>
      <w:docPartObj>
        <w:docPartGallery w:val="Page Numbers (Bottom of Page)"/>
        <w:docPartUnique/>
      </w:docPartObj>
    </w:sdtPr>
    <w:sdtEndPr>
      <w:rPr>
        <w:noProof/>
      </w:rPr>
    </w:sdtEndPr>
    <w:sdtContent>
      <w:p w:rsidR="006B3038" w:rsidRDefault="006B3038">
        <w:pPr>
          <w:pStyle w:val="Footer"/>
        </w:pPr>
        <w:r>
          <w:t xml:space="preserve">Page | </w:t>
        </w:r>
        <w:r>
          <w:fldChar w:fldCharType="begin"/>
        </w:r>
        <w:r>
          <w:instrText xml:space="preserve"> PAGE   \* MERGEFORMAT </w:instrText>
        </w:r>
        <w:r>
          <w:fldChar w:fldCharType="separate"/>
        </w:r>
        <w:r w:rsidR="00FD2EB0">
          <w:rPr>
            <w:noProof/>
          </w:rPr>
          <w:t>i</w:t>
        </w:r>
        <w:r>
          <w:rPr>
            <w:noProof/>
          </w:rPr>
          <w:fldChar w:fldCharType="end"/>
        </w:r>
      </w:p>
    </w:sdtContent>
  </w:sdt>
  <w:p w:rsidR="006B3038" w:rsidRDefault="006B3038" w:rsidP="006C2EC1">
    <w:pPr>
      <w:pStyle w:val="Foote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038" w:rsidRDefault="006B3038">
      <w:r>
        <w:separator/>
      </w:r>
    </w:p>
  </w:footnote>
  <w:footnote w:type="continuationSeparator" w:id="0">
    <w:p w:rsidR="006B3038" w:rsidRDefault="006B30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038" w:rsidRDefault="006B3038" w:rsidP="00E12868">
    <w:pPr>
      <w:pStyle w:val="Header"/>
      <w:tabs>
        <w:tab w:val="right" w:pos="9360"/>
      </w:tabs>
      <w:jc w:val="center"/>
    </w:pPr>
    <w:r>
      <w:t xml:space="preserve"> </w:t>
    </w:r>
  </w:p>
  <w:p w:rsidR="006B3038" w:rsidRPr="0012611E" w:rsidRDefault="006B3038" w:rsidP="00643B47">
    <w:pPr>
      <w:pStyle w:val="Header"/>
      <w:tabs>
        <w:tab w:val="right" w:pos="936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038" w:rsidRDefault="006B303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038" w:rsidRPr="0012611E" w:rsidRDefault="006B3038" w:rsidP="00643B47">
    <w:pPr>
      <w:pStyle w:val="Header"/>
      <w:tabs>
        <w:tab w:val="right" w:pos="9360"/>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038" w:rsidRDefault="006B30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FEF86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9CECF0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35852BC"/>
    <w:lvl w:ilvl="0">
      <w:start w:val="1"/>
      <w:numFmt w:val="decimal"/>
      <w:pStyle w:val="ListNumber3"/>
      <w:lvlText w:val="%1."/>
      <w:lvlJc w:val="left"/>
      <w:pPr>
        <w:tabs>
          <w:tab w:val="num" w:pos="926"/>
        </w:tabs>
        <w:ind w:left="926" w:hanging="360"/>
      </w:pPr>
    </w:lvl>
  </w:abstractNum>
  <w:abstractNum w:abstractNumId="3">
    <w:nsid w:val="FFFFFF7F"/>
    <w:multiLevelType w:val="singleLevel"/>
    <w:tmpl w:val="C442B474"/>
    <w:lvl w:ilvl="0">
      <w:start w:val="1"/>
      <w:numFmt w:val="decimal"/>
      <w:pStyle w:val="ListNumber2"/>
      <w:lvlText w:val="%1."/>
      <w:lvlJc w:val="left"/>
      <w:pPr>
        <w:tabs>
          <w:tab w:val="num" w:pos="643"/>
        </w:tabs>
        <w:ind w:left="643" w:hanging="360"/>
      </w:pPr>
    </w:lvl>
  </w:abstractNum>
  <w:abstractNum w:abstractNumId="4">
    <w:nsid w:val="FFFFFF80"/>
    <w:multiLevelType w:val="singleLevel"/>
    <w:tmpl w:val="D4707CE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A044D1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F1863F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0ECB8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08EF8DC"/>
    <w:lvl w:ilvl="0">
      <w:start w:val="1"/>
      <w:numFmt w:val="decimal"/>
      <w:pStyle w:val="ListNumber"/>
      <w:lvlText w:val="%1."/>
      <w:lvlJc w:val="left"/>
      <w:pPr>
        <w:tabs>
          <w:tab w:val="num" w:pos="360"/>
        </w:tabs>
        <w:ind w:left="360" w:hanging="360"/>
      </w:pPr>
    </w:lvl>
  </w:abstractNum>
  <w:abstractNum w:abstractNumId="9">
    <w:nsid w:val="FFFFFF89"/>
    <w:multiLevelType w:val="singleLevel"/>
    <w:tmpl w:val="7BA85DE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7821F1"/>
    <w:multiLevelType w:val="hybridMultilevel"/>
    <w:tmpl w:val="82440B7C"/>
    <w:lvl w:ilvl="0" w:tplc="0C090001">
      <w:start w:val="1"/>
      <w:numFmt w:val="bullet"/>
      <w:lvlText w:val=""/>
      <w:lvlJc w:val="left"/>
      <w:pPr>
        <w:ind w:left="775" w:hanging="360"/>
      </w:pPr>
      <w:rPr>
        <w:rFonts w:ascii="Symbol" w:hAnsi="Symbol" w:hint="default"/>
      </w:rPr>
    </w:lvl>
    <w:lvl w:ilvl="1" w:tplc="0C090003" w:tentative="1">
      <w:start w:val="1"/>
      <w:numFmt w:val="bullet"/>
      <w:lvlText w:val="o"/>
      <w:lvlJc w:val="left"/>
      <w:pPr>
        <w:ind w:left="1495" w:hanging="360"/>
      </w:pPr>
      <w:rPr>
        <w:rFonts w:ascii="Courier New" w:hAnsi="Courier New" w:cs="Courier New" w:hint="default"/>
      </w:rPr>
    </w:lvl>
    <w:lvl w:ilvl="2" w:tplc="0C090005" w:tentative="1">
      <w:start w:val="1"/>
      <w:numFmt w:val="bullet"/>
      <w:lvlText w:val=""/>
      <w:lvlJc w:val="left"/>
      <w:pPr>
        <w:ind w:left="2215" w:hanging="360"/>
      </w:pPr>
      <w:rPr>
        <w:rFonts w:ascii="Wingdings" w:hAnsi="Wingdings" w:hint="default"/>
      </w:rPr>
    </w:lvl>
    <w:lvl w:ilvl="3" w:tplc="0C090001" w:tentative="1">
      <w:start w:val="1"/>
      <w:numFmt w:val="bullet"/>
      <w:lvlText w:val=""/>
      <w:lvlJc w:val="left"/>
      <w:pPr>
        <w:ind w:left="2935" w:hanging="360"/>
      </w:pPr>
      <w:rPr>
        <w:rFonts w:ascii="Symbol" w:hAnsi="Symbol" w:hint="default"/>
      </w:rPr>
    </w:lvl>
    <w:lvl w:ilvl="4" w:tplc="0C090003" w:tentative="1">
      <w:start w:val="1"/>
      <w:numFmt w:val="bullet"/>
      <w:lvlText w:val="o"/>
      <w:lvlJc w:val="left"/>
      <w:pPr>
        <w:ind w:left="3655" w:hanging="360"/>
      </w:pPr>
      <w:rPr>
        <w:rFonts w:ascii="Courier New" w:hAnsi="Courier New" w:cs="Courier New" w:hint="default"/>
      </w:rPr>
    </w:lvl>
    <w:lvl w:ilvl="5" w:tplc="0C090005" w:tentative="1">
      <w:start w:val="1"/>
      <w:numFmt w:val="bullet"/>
      <w:lvlText w:val=""/>
      <w:lvlJc w:val="left"/>
      <w:pPr>
        <w:ind w:left="4375" w:hanging="360"/>
      </w:pPr>
      <w:rPr>
        <w:rFonts w:ascii="Wingdings" w:hAnsi="Wingdings" w:hint="default"/>
      </w:rPr>
    </w:lvl>
    <w:lvl w:ilvl="6" w:tplc="0C090001" w:tentative="1">
      <w:start w:val="1"/>
      <w:numFmt w:val="bullet"/>
      <w:lvlText w:val=""/>
      <w:lvlJc w:val="left"/>
      <w:pPr>
        <w:ind w:left="5095" w:hanging="360"/>
      </w:pPr>
      <w:rPr>
        <w:rFonts w:ascii="Symbol" w:hAnsi="Symbol" w:hint="default"/>
      </w:rPr>
    </w:lvl>
    <w:lvl w:ilvl="7" w:tplc="0C090003" w:tentative="1">
      <w:start w:val="1"/>
      <w:numFmt w:val="bullet"/>
      <w:lvlText w:val="o"/>
      <w:lvlJc w:val="left"/>
      <w:pPr>
        <w:ind w:left="5815" w:hanging="360"/>
      </w:pPr>
      <w:rPr>
        <w:rFonts w:ascii="Courier New" w:hAnsi="Courier New" w:cs="Courier New" w:hint="default"/>
      </w:rPr>
    </w:lvl>
    <w:lvl w:ilvl="8" w:tplc="0C090005" w:tentative="1">
      <w:start w:val="1"/>
      <w:numFmt w:val="bullet"/>
      <w:lvlText w:val=""/>
      <w:lvlJc w:val="left"/>
      <w:pPr>
        <w:ind w:left="6535" w:hanging="360"/>
      </w:pPr>
      <w:rPr>
        <w:rFonts w:ascii="Wingdings" w:hAnsi="Wingdings" w:hint="default"/>
      </w:rPr>
    </w:lvl>
  </w:abstractNum>
  <w:abstractNum w:abstractNumId="11">
    <w:nsid w:val="043A594E"/>
    <w:multiLevelType w:val="multilevel"/>
    <w:tmpl w:val="3E40917A"/>
    <w:lvl w:ilvl="0">
      <w:start w:val="1"/>
      <w:numFmt w:val="decimal"/>
      <w:pStyle w:val="Heading1numbered"/>
      <w:lvlText w:val="%1"/>
      <w:lvlJc w:val="left"/>
      <w:pPr>
        <w:tabs>
          <w:tab w:val="num" w:pos="851"/>
        </w:tabs>
        <w:ind w:left="851" w:hanging="851"/>
      </w:pPr>
      <w:rPr>
        <w:rFonts w:hint="default"/>
      </w:rPr>
    </w:lvl>
    <w:lvl w:ilvl="1">
      <w:start w:val="1"/>
      <w:numFmt w:val="decimal"/>
      <w:pStyle w:val="Heading2numbered"/>
      <w:lvlText w:val="%1.%2"/>
      <w:lvlJc w:val="left"/>
      <w:pPr>
        <w:tabs>
          <w:tab w:val="num" w:pos="851"/>
        </w:tabs>
        <w:ind w:left="851" w:hanging="851"/>
      </w:pPr>
      <w:rPr>
        <w:rFonts w:hint="default"/>
      </w:rPr>
    </w:lvl>
    <w:lvl w:ilvl="2">
      <w:start w:val="1"/>
      <w:numFmt w:val="decimal"/>
      <w:pStyle w:val="Heading3numbered"/>
      <w:lvlText w:val="%1.%2.%3"/>
      <w:lvlJc w:val="left"/>
      <w:pPr>
        <w:tabs>
          <w:tab w:val="num" w:pos="851"/>
        </w:tabs>
        <w:ind w:left="851" w:hanging="851"/>
      </w:pPr>
      <w:rPr>
        <w:rFonts w:hint="default"/>
      </w:rPr>
    </w:lvl>
    <w:lvl w:ilvl="3">
      <w:start w:val="1"/>
      <w:numFmt w:val="decimal"/>
      <w:pStyle w:val="Heading4numbered"/>
      <w:lvlText w:val="%1.%2.%3.%4"/>
      <w:lvlJc w:val="left"/>
      <w:pPr>
        <w:tabs>
          <w:tab w:val="num" w:pos="851"/>
        </w:tabs>
        <w:ind w:left="851"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06604BC7"/>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092C096E"/>
    <w:multiLevelType w:val="hybridMultilevel"/>
    <w:tmpl w:val="C5F25CE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nsid w:val="0CBC45F6"/>
    <w:multiLevelType w:val="hybridMultilevel"/>
    <w:tmpl w:val="5936D186"/>
    <w:lvl w:ilvl="0" w:tplc="F286839A">
      <w:start w:val="1"/>
      <w:numFmt w:val="lowerRoman"/>
      <w:lvlRestart w:val="0"/>
      <w:pStyle w:val="RomanNumerals"/>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nsid w:val="11F92508"/>
    <w:multiLevelType w:val="multilevel"/>
    <w:tmpl w:val="73923DB2"/>
    <w:lvl w:ilvl="0">
      <w:start w:val="1"/>
      <w:numFmt w:val="bullet"/>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nsid w:val="15743D8F"/>
    <w:multiLevelType w:val="multilevel"/>
    <w:tmpl w:val="8C9E2EC8"/>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7">
    <w:nsid w:val="16D809C0"/>
    <w:multiLevelType w:val="hybridMultilevel"/>
    <w:tmpl w:val="D5965E8A"/>
    <w:lvl w:ilvl="0" w:tplc="C0D64A68">
      <w:numFmt w:val="bullet"/>
      <w:lvlText w:val="•"/>
      <w:lvlJc w:val="left"/>
      <w:pPr>
        <w:ind w:left="360" w:hanging="360"/>
      </w:pPr>
      <w:rPr>
        <w:rFonts w:ascii="Gill Sans MT" w:eastAsia="Times New Roman" w:hAnsi="Gill Sans MT" w:cs="Times New Roman"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1977192D"/>
    <w:multiLevelType w:val="hybridMultilevel"/>
    <w:tmpl w:val="345ADBC4"/>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19D06618"/>
    <w:multiLevelType w:val="hybridMultilevel"/>
    <w:tmpl w:val="E7C64110"/>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1A3F27E1"/>
    <w:multiLevelType w:val="hybridMultilevel"/>
    <w:tmpl w:val="906634D2"/>
    <w:lvl w:ilvl="0" w:tplc="671AB2AE">
      <w:start w:val="1"/>
      <w:numFmt w:val="bullet"/>
      <w:pStyle w:val="bullet"/>
      <w:lvlText w:val=""/>
      <w:lvlJc w:val="left"/>
      <w:pPr>
        <w:ind w:left="720" w:hanging="360"/>
      </w:pPr>
      <w:rPr>
        <w:rFonts w:ascii="Symbol" w:hAnsi="Symbol" w:hint="default"/>
      </w:rPr>
    </w:lvl>
    <w:lvl w:ilvl="1" w:tplc="00030C09">
      <w:start w:val="1"/>
      <w:numFmt w:val="bullet"/>
      <w:lvlText w:val="o"/>
      <w:lvlJc w:val="left"/>
      <w:pPr>
        <w:ind w:left="1440" w:hanging="360"/>
      </w:pPr>
      <w:rPr>
        <w:rFonts w:ascii="Courier New" w:hAnsi="Courier New" w:hint="default"/>
      </w:rPr>
    </w:lvl>
    <w:lvl w:ilvl="2" w:tplc="00050C09" w:tentative="1">
      <w:start w:val="1"/>
      <w:numFmt w:val="bullet"/>
      <w:lvlText w:val=""/>
      <w:lvlJc w:val="left"/>
      <w:pPr>
        <w:ind w:left="2160" w:hanging="360"/>
      </w:pPr>
      <w:rPr>
        <w:rFonts w:ascii="Wingdings" w:hAnsi="Wingdings" w:hint="default"/>
      </w:rPr>
    </w:lvl>
    <w:lvl w:ilvl="3" w:tplc="00010C09" w:tentative="1">
      <w:start w:val="1"/>
      <w:numFmt w:val="bullet"/>
      <w:lvlText w:val=""/>
      <w:lvlJc w:val="left"/>
      <w:pPr>
        <w:ind w:left="2880" w:hanging="360"/>
      </w:pPr>
      <w:rPr>
        <w:rFonts w:ascii="Symbol" w:hAnsi="Symbol" w:hint="default"/>
      </w:rPr>
    </w:lvl>
    <w:lvl w:ilvl="4" w:tplc="00030C09" w:tentative="1">
      <w:start w:val="1"/>
      <w:numFmt w:val="bullet"/>
      <w:lvlText w:val="o"/>
      <w:lvlJc w:val="left"/>
      <w:pPr>
        <w:ind w:left="3600" w:hanging="360"/>
      </w:pPr>
      <w:rPr>
        <w:rFonts w:ascii="Courier New" w:hAnsi="Courier New" w:hint="default"/>
      </w:rPr>
    </w:lvl>
    <w:lvl w:ilvl="5" w:tplc="00050C09" w:tentative="1">
      <w:start w:val="1"/>
      <w:numFmt w:val="bullet"/>
      <w:lvlText w:val=""/>
      <w:lvlJc w:val="left"/>
      <w:pPr>
        <w:ind w:left="4320" w:hanging="360"/>
      </w:pPr>
      <w:rPr>
        <w:rFonts w:ascii="Wingdings" w:hAnsi="Wingdings" w:hint="default"/>
      </w:rPr>
    </w:lvl>
    <w:lvl w:ilvl="6" w:tplc="00010C09" w:tentative="1">
      <w:start w:val="1"/>
      <w:numFmt w:val="bullet"/>
      <w:lvlText w:val=""/>
      <w:lvlJc w:val="left"/>
      <w:pPr>
        <w:ind w:left="5040" w:hanging="360"/>
      </w:pPr>
      <w:rPr>
        <w:rFonts w:ascii="Symbol" w:hAnsi="Symbol" w:hint="default"/>
      </w:rPr>
    </w:lvl>
    <w:lvl w:ilvl="7" w:tplc="00030C09" w:tentative="1">
      <w:start w:val="1"/>
      <w:numFmt w:val="bullet"/>
      <w:lvlText w:val="o"/>
      <w:lvlJc w:val="left"/>
      <w:pPr>
        <w:ind w:left="5760" w:hanging="360"/>
      </w:pPr>
      <w:rPr>
        <w:rFonts w:ascii="Courier New" w:hAnsi="Courier New" w:hint="default"/>
      </w:rPr>
    </w:lvl>
    <w:lvl w:ilvl="8" w:tplc="00050C09" w:tentative="1">
      <w:start w:val="1"/>
      <w:numFmt w:val="bullet"/>
      <w:lvlText w:val=""/>
      <w:lvlJc w:val="left"/>
      <w:pPr>
        <w:ind w:left="6480" w:hanging="360"/>
      </w:pPr>
      <w:rPr>
        <w:rFonts w:ascii="Wingdings" w:hAnsi="Wingdings" w:hint="default"/>
      </w:rPr>
    </w:lvl>
  </w:abstractNum>
  <w:abstractNum w:abstractNumId="21">
    <w:nsid w:val="1BE55534"/>
    <w:multiLevelType w:val="multilevel"/>
    <w:tmpl w:val="B2C01814"/>
    <w:lvl w:ilvl="0">
      <w:start w:val="1"/>
      <w:numFmt w:val="bullet"/>
      <w:pStyle w:val="BulletedListLevel2"/>
      <w:lvlText w:val="○"/>
      <w:lvlJc w:val="left"/>
      <w:pPr>
        <w:tabs>
          <w:tab w:val="num" w:pos="1134"/>
        </w:tabs>
        <w:ind w:left="1134" w:hanging="567"/>
      </w:pPr>
      <w:rPr>
        <w:rFonts w:ascii="Times New Roman" w:hAnsi="Times New Roman" w:cs="Times New Roman" w:hint="default"/>
        <w:sz w:val="22"/>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2">
    <w:nsid w:val="1C94063A"/>
    <w:multiLevelType w:val="hybridMultilevel"/>
    <w:tmpl w:val="1A36E5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1FE54EF7"/>
    <w:multiLevelType w:val="hybridMultilevel"/>
    <w:tmpl w:val="19B0D2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nsid w:val="217F2F8B"/>
    <w:multiLevelType w:val="multilevel"/>
    <w:tmpl w:val="0C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229A3531"/>
    <w:multiLevelType w:val="hybridMultilevel"/>
    <w:tmpl w:val="99F01E1A"/>
    <w:lvl w:ilvl="0" w:tplc="C0D64A68">
      <w:numFmt w:val="bullet"/>
      <w:lvlText w:val="•"/>
      <w:lvlJc w:val="left"/>
      <w:pPr>
        <w:ind w:left="720" w:hanging="360"/>
      </w:pPr>
      <w:rPr>
        <w:rFonts w:ascii="Gill Sans MT" w:eastAsia="Times New Roman" w:hAnsi="Gill Sans MT"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2AEB244B"/>
    <w:multiLevelType w:val="hybridMultilevel"/>
    <w:tmpl w:val="3AA6406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nsid w:val="2DE018D7"/>
    <w:multiLevelType w:val="hybridMultilevel"/>
    <w:tmpl w:val="3E1ACDE0"/>
    <w:lvl w:ilvl="0" w:tplc="DE70F65C">
      <w:start w:val="1"/>
      <w:numFmt w:val="bullet"/>
      <w:pStyle w:val="TableBulleted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35A113CA"/>
    <w:multiLevelType w:val="hybridMultilevel"/>
    <w:tmpl w:val="9EF81C9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nsid w:val="37311002"/>
    <w:multiLevelType w:val="multilevel"/>
    <w:tmpl w:val="0C090023"/>
    <w:styleLink w:val="ArticleSection"/>
    <w:lvl w:ilvl="0">
      <w:start w:val="1"/>
      <w:numFmt w:val="upperRoman"/>
      <w:lvlText w:val="Article %1."/>
      <w:lvlJc w:val="left"/>
      <w:pPr>
        <w:tabs>
          <w:tab w:val="num" w:pos="108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0">
    <w:nsid w:val="3CC10221"/>
    <w:multiLevelType w:val="hybridMultilevel"/>
    <w:tmpl w:val="016CFB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3FAC59A7"/>
    <w:multiLevelType w:val="hybridMultilevel"/>
    <w:tmpl w:val="3C4231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2">
    <w:nsid w:val="43571D91"/>
    <w:multiLevelType w:val="hybridMultilevel"/>
    <w:tmpl w:val="02EA41EC"/>
    <w:lvl w:ilvl="0" w:tplc="C0D64A68">
      <w:numFmt w:val="bullet"/>
      <w:lvlText w:val="•"/>
      <w:lvlJc w:val="left"/>
      <w:pPr>
        <w:ind w:left="720" w:hanging="360"/>
      </w:pPr>
      <w:rPr>
        <w:rFonts w:ascii="Gill Sans MT" w:eastAsia="Times New Roman" w:hAnsi="Gill Sans MT"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49F75C60"/>
    <w:multiLevelType w:val="hybridMultilevel"/>
    <w:tmpl w:val="87B46538"/>
    <w:lvl w:ilvl="0" w:tplc="ECE0FDA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4A71053F"/>
    <w:multiLevelType w:val="hybridMultilevel"/>
    <w:tmpl w:val="D6867AD0"/>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518A5E25"/>
    <w:multiLevelType w:val="hybridMultilevel"/>
    <w:tmpl w:val="9584796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585A4810"/>
    <w:multiLevelType w:val="hybridMultilevel"/>
    <w:tmpl w:val="763C48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5E750162"/>
    <w:multiLevelType w:val="hybridMultilevel"/>
    <w:tmpl w:val="551A4DA8"/>
    <w:lvl w:ilvl="0" w:tplc="C0D64A68">
      <w:numFmt w:val="bullet"/>
      <w:lvlText w:val="•"/>
      <w:lvlJc w:val="left"/>
      <w:pPr>
        <w:ind w:left="360" w:hanging="360"/>
      </w:pPr>
      <w:rPr>
        <w:rFonts w:ascii="Gill Sans MT" w:eastAsia="Times New Roman" w:hAnsi="Gill Sans MT"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nsid w:val="61EF55A6"/>
    <w:multiLevelType w:val="multilevel"/>
    <w:tmpl w:val="8F6EDB16"/>
    <w:lvl w:ilvl="0">
      <w:start w:val="1"/>
      <w:numFmt w:val="bullet"/>
      <w:pStyle w:val="BulletedIndentedafterNumber"/>
      <w:lvlText w:val=""/>
      <w:lvlJc w:val="left"/>
      <w:pPr>
        <w:tabs>
          <w:tab w:val="num" w:pos="1134"/>
        </w:tabs>
        <w:ind w:left="1134" w:hanging="567"/>
      </w:pPr>
      <w:rPr>
        <w:rFonts w:ascii="Symbol" w:hAnsi="Symbol" w:hint="default"/>
        <w:color w:val="auto"/>
        <w:sz w:val="2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39">
    <w:nsid w:val="628130FE"/>
    <w:multiLevelType w:val="hybridMultilevel"/>
    <w:tmpl w:val="56F440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64C93040"/>
    <w:multiLevelType w:val="hybridMultilevel"/>
    <w:tmpl w:val="4404E26A"/>
    <w:lvl w:ilvl="0" w:tplc="2A185E8A">
      <w:start w:val="1"/>
      <w:numFmt w:val="lowerLetter"/>
      <w:pStyle w:val="Lettered"/>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1">
    <w:nsid w:val="665400E9"/>
    <w:multiLevelType w:val="hybridMultilevel"/>
    <w:tmpl w:val="2C7C20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67D46E37"/>
    <w:multiLevelType w:val="hybridMultilevel"/>
    <w:tmpl w:val="2A24F68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nsid w:val="692B65DA"/>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nsid w:val="6E93471D"/>
    <w:multiLevelType w:val="multilevel"/>
    <w:tmpl w:val="2C82EB0E"/>
    <w:lvl w:ilvl="0">
      <w:start w:val="1"/>
      <w:numFmt w:val="decimal"/>
      <w:lvlText w:val="%1."/>
      <w:lvlJc w:val="left"/>
      <w:pPr>
        <w:tabs>
          <w:tab w:val="num" w:pos="567"/>
        </w:tabs>
        <w:ind w:left="567" w:hanging="567"/>
      </w:pPr>
      <w:rPr>
        <w:rFonts w:hint="default"/>
      </w:rPr>
    </w:lvl>
    <w:lvl w:ilvl="1">
      <w:start w:val="1"/>
      <w:numFmt w:val="decimal"/>
      <w:pStyle w:val="DocumentMap"/>
      <w:lvlText w:val="%1.%2"/>
      <w:lvlJc w:val="left"/>
      <w:pPr>
        <w:tabs>
          <w:tab w:val="num" w:pos="1134"/>
        </w:tabs>
        <w:ind w:left="1134" w:hanging="567"/>
      </w:pPr>
      <w:rPr>
        <w:rFonts w:hint="default"/>
      </w:rPr>
    </w:lvl>
    <w:lvl w:ilvl="2">
      <w:start w:val="1"/>
      <w:numFmt w:val="decimal"/>
      <w:lvlText w:val="%2.%1.%3"/>
      <w:lvlJc w:val="left"/>
      <w:pPr>
        <w:tabs>
          <w:tab w:val="num" w:pos="1211"/>
        </w:tabs>
        <w:ind w:left="1211" w:hanging="851"/>
      </w:pPr>
      <w:rPr>
        <w:rFonts w:hint="default"/>
      </w:rPr>
    </w:lvl>
    <w:lvl w:ilvl="3">
      <w:start w:val="1"/>
      <w:numFmt w:val="decimal"/>
      <w:lvlText w:val="%1.%2.%3.%4"/>
      <w:lvlJc w:val="left"/>
      <w:pPr>
        <w:tabs>
          <w:tab w:val="num" w:pos="1211"/>
        </w:tabs>
        <w:ind w:left="1211" w:hanging="851"/>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decimal"/>
      <w:lvlText w:val="%1.%2.%3.%4.%5.%6.%7."/>
      <w:lvlJc w:val="left"/>
      <w:pPr>
        <w:tabs>
          <w:tab w:val="num" w:pos="4680"/>
        </w:tabs>
        <w:ind w:left="3600" w:hanging="1080"/>
      </w:pPr>
      <w:rPr>
        <w:rFonts w:hint="default"/>
      </w:rPr>
    </w:lvl>
    <w:lvl w:ilvl="7">
      <w:start w:val="1"/>
      <w:numFmt w:val="decimal"/>
      <w:lvlText w:val="%1.%2.%3.%4.%5.%6.%7.%8."/>
      <w:lvlJc w:val="left"/>
      <w:pPr>
        <w:tabs>
          <w:tab w:val="num" w:pos="5400"/>
        </w:tabs>
        <w:ind w:left="4104" w:hanging="1224"/>
      </w:pPr>
      <w:rPr>
        <w:rFonts w:hint="default"/>
      </w:rPr>
    </w:lvl>
    <w:lvl w:ilvl="8">
      <w:start w:val="1"/>
      <w:numFmt w:val="decimal"/>
      <w:lvlText w:val="%1.%2.%3.%4.%5.%6.%7.%8.%9."/>
      <w:lvlJc w:val="left"/>
      <w:pPr>
        <w:tabs>
          <w:tab w:val="num" w:pos="6120"/>
        </w:tabs>
        <w:ind w:left="4680" w:hanging="1440"/>
      </w:pPr>
      <w:rPr>
        <w:rFonts w:hint="default"/>
      </w:rPr>
    </w:lvl>
  </w:abstractNum>
  <w:abstractNum w:abstractNumId="45">
    <w:nsid w:val="6F944660"/>
    <w:multiLevelType w:val="hybridMultilevel"/>
    <w:tmpl w:val="2C703D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70B656EC"/>
    <w:multiLevelType w:val="multilevel"/>
    <w:tmpl w:val="96FCE0DE"/>
    <w:lvl w:ilvl="0">
      <w:start w:val="1"/>
      <w:numFmt w:val="bullet"/>
      <w:pStyle w:val="BulletedListLevel3"/>
      <w:lvlText w:val=""/>
      <w:lvlJc w:val="left"/>
      <w:pPr>
        <w:tabs>
          <w:tab w:val="num" w:pos="1701"/>
        </w:tabs>
        <w:ind w:left="1701" w:hanging="567"/>
      </w:pPr>
      <w:rPr>
        <w:rFonts w:ascii="Symbol" w:hAnsi="Symbol" w:hint="default"/>
      </w:rPr>
    </w:lvl>
    <w:lvl w:ilvl="1">
      <w:start w:val="1"/>
      <w:numFmt w:val="bullet"/>
      <w:lvlText w:val="o"/>
      <w:lvlJc w:val="left"/>
      <w:pPr>
        <w:tabs>
          <w:tab w:val="num" w:pos="2268"/>
        </w:tabs>
        <w:ind w:left="2268" w:hanging="567"/>
      </w:pPr>
      <w:rPr>
        <w:rFonts w:ascii="Courier New" w:hAnsi="Courier New"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2574"/>
        </w:tabs>
        <w:ind w:left="2574" w:hanging="360"/>
      </w:pPr>
      <w:rPr>
        <w:rFonts w:ascii="Symbol" w:hAnsi="Symbol" w:hint="default"/>
      </w:rPr>
    </w:lvl>
    <w:lvl w:ilvl="4">
      <w:start w:val="1"/>
      <w:numFmt w:val="bullet"/>
      <w:lvlText w:val=""/>
      <w:lvlJc w:val="left"/>
      <w:pPr>
        <w:tabs>
          <w:tab w:val="num" w:pos="2934"/>
        </w:tabs>
        <w:ind w:left="2934" w:hanging="360"/>
      </w:pPr>
      <w:rPr>
        <w:rFonts w:ascii="Symbol" w:hAnsi="Symbol" w:hint="default"/>
      </w:rPr>
    </w:lvl>
    <w:lvl w:ilvl="5">
      <w:start w:val="1"/>
      <w:numFmt w:val="bullet"/>
      <w:lvlText w:val=""/>
      <w:lvlJc w:val="left"/>
      <w:pPr>
        <w:tabs>
          <w:tab w:val="num" w:pos="3294"/>
        </w:tabs>
        <w:ind w:left="3294" w:hanging="360"/>
      </w:pPr>
      <w:rPr>
        <w:rFonts w:ascii="Wingdings" w:hAnsi="Wingdings" w:hint="default"/>
      </w:rPr>
    </w:lvl>
    <w:lvl w:ilvl="6">
      <w:start w:val="1"/>
      <w:numFmt w:val="bullet"/>
      <w:lvlText w:val=""/>
      <w:lvlJc w:val="left"/>
      <w:pPr>
        <w:tabs>
          <w:tab w:val="num" w:pos="3654"/>
        </w:tabs>
        <w:ind w:left="3654" w:hanging="360"/>
      </w:pPr>
      <w:rPr>
        <w:rFonts w:ascii="Wingdings" w:hAnsi="Wingdings" w:hint="default"/>
      </w:rPr>
    </w:lvl>
    <w:lvl w:ilvl="7">
      <w:start w:val="1"/>
      <w:numFmt w:val="bullet"/>
      <w:lvlText w:val=""/>
      <w:lvlJc w:val="left"/>
      <w:pPr>
        <w:tabs>
          <w:tab w:val="num" w:pos="4014"/>
        </w:tabs>
        <w:ind w:left="4014" w:hanging="360"/>
      </w:pPr>
      <w:rPr>
        <w:rFonts w:ascii="Symbol" w:hAnsi="Symbol" w:hint="default"/>
      </w:rPr>
    </w:lvl>
    <w:lvl w:ilvl="8">
      <w:start w:val="1"/>
      <w:numFmt w:val="bullet"/>
      <w:lvlText w:val=""/>
      <w:lvlJc w:val="left"/>
      <w:pPr>
        <w:tabs>
          <w:tab w:val="num" w:pos="4374"/>
        </w:tabs>
        <w:ind w:left="4374" w:hanging="360"/>
      </w:pPr>
      <w:rPr>
        <w:rFonts w:ascii="Symbol" w:hAnsi="Symbol" w:hint="default"/>
      </w:rPr>
    </w:lvl>
  </w:abstractNum>
  <w:abstractNum w:abstractNumId="47">
    <w:nsid w:val="78605F01"/>
    <w:multiLevelType w:val="hybridMultilevel"/>
    <w:tmpl w:val="961AE86C"/>
    <w:lvl w:ilvl="0" w:tplc="DC729CA8">
      <w:start w:val="1"/>
      <w:numFmt w:val="decimal"/>
      <w:pStyle w:val="RecommendationNumberedList"/>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8">
    <w:nsid w:val="7B4D1C28"/>
    <w:multiLevelType w:val="hybridMultilevel"/>
    <w:tmpl w:val="C4441D4E"/>
    <w:lvl w:ilvl="0" w:tplc="2416E62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nsid w:val="7C517918"/>
    <w:multiLevelType w:val="multilevel"/>
    <w:tmpl w:val="79CE316E"/>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44"/>
  </w:num>
  <w:num w:numId="2">
    <w:abstractNumId w:val="40"/>
  </w:num>
  <w:num w:numId="3">
    <w:abstractNumId w:val="14"/>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9"/>
  </w:num>
  <w:num w:numId="14">
    <w:abstractNumId w:val="38"/>
  </w:num>
  <w:num w:numId="15">
    <w:abstractNumId w:val="16"/>
  </w:num>
  <w:num w:numId="16">
    <w:abstractNumId w:val="21"/>
  </w:num>
  <w:num w:numId="17">
    <w:abstractNumId w:val="46"/>
  </w:num>
  <w:num w:numId="18">
    <w:abstractNumId w:val="11"/>
  </w:num>
  <w:num w:numId="19">
    <w:abstractNumId w:val="49"/>
  </w:num>
  <w:num w:numId="20">
    <w:abstractNumId w:val="47"/>
  </w:num>
  <w:num w:numId="21">
    <w:abstractNumId w:val="12"/>
  </w:num>
  <w:num w:numId="22">
    <w:abstractNumId w:val="43"/>
  </w:num>
  <w:num w:numId="23">
    <w:abstractNumId w:val="29"/>
  </w:num>
  <w:num w:numId="24">
    <w:abstractNumId w:val="27"/>
  </w:num>
  <w:num w:numId="25">
    <w:abstractNumId w:val="20"/>
  </w:num>
  <w:num w:numId="26">
    <w:abstractNumId w:val="15"/>
  </w:num>
  <w:num w:numId="27">
    <w:abstractNumId w:val="30"/>
  </w:num>
  <w:num w:numId="28">
    <w:abstractNumId w:val="48"/>
  </w:num>
  <w:num w:numId="29">
    <w:abstractNumId w:val="24"/>
  </w:num>
  <w:num w:numId="3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5"/>
  </w:num>
  <w:num w:numId="32">
    <w:abstractNumId w:val="28"/>
  </w:num>
  <w:num w:numId="33">
    <w:abstractNumId w:val="26"/>
  </w:num>
  <w:num w:numId="34">
    <w:abstractNumId w:val="13"/>
  </w:num>
  <w:num w:numId="35">
    <w:abstractNumId w:val="36"/>
  </w:num>
  <w:num w:numId="36">
    <w:abstractNumId w:val="22"/>
  </w:num>
  <w:num w:numId="37">
    <w:abstractNumId w:val="32"/>
  </w:num>
  <w:num w:numId="38">
    <w:abstractNumId w:val="37"/>
  </w:num>
  <w:num w:numId="39">
    <w:abstractNumId w:val="17"/>
  </w:num>
  <w:num w:numId="40">
    <w:abstractNumId w:val="25"/>
  </w:num>
  <w:num w:numId="41">
    <w:abstractNumId w:val="35"/>
  </w:num>
  <w:num w:numId="42">
    <w:abstractNumId w:val="18"/>
  </w:num>
  <w:num w:numId="43">
    <w:abstractNumId w:val="19"/>
  </w:num>
  <w:num w:numId="44">
    <w:abstractNumId w:val="34"/>
  </w:num>
  <w:num w:numId="45">
    <w:abstractNumId w:val="41"/>
  </w:num>
  <w:num w:numId="46">
    <w:abstractNumId w:val="23"/>
  </w:num>
  <w:num w:numId="47">
    <w:abstractNumId w:val="31"/>
  </w:num>
  <w:num w:numId="48">
    <w:abstractNumId w:val="42"/>
  </w:num>
  <w:num w:numId="49">
    <w:abstractNumId w:val="33"/>
  </w:num>
  <w:num w:numId="50">
    <w:abstractNumId w:val="1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911"/>
    <w:rsid w:val="000008D4"/>
    <w:rsid w:val="00001138"/>
    <w:rsid w:val="00001E5A"/>
    <w:rsid w:val="000027DA"/>
    <w:rsid w:val="000029BC"/>
    <w:rsid w:val="00002C32"/>
    <w:rsid w:val="0000389D"/>
    <w:rsid w:val="00003B2A"/>
    <w:rsid w:val="00005F54"/>
    <w:rsid w:val="00006236"/>
    <w:rsid w:val="00006F3C"/>
    <w:rsid w:val="00007B97"/>
    <w:rsid w:val="00007B9D"/>
    <w:rsid w:val="000109ED"/>
    <w:rsid w:val="00010E8B"/>
    <w:rsid w:val="00011583"/>
    <w:rsid w:val="00011D61"/>
    <w:rsid w:val="00011FDC"/>
    <w:rsid w:val="00012FE4"/>
    <w:rsid w:val="00017EFA"/>
    <w:rsid w:val="00020462"/>
    <w:rsid w:val="00023BAB"/>
    <w:rsid w:val="000242A2"/>
    <w:rsid w:val="00025AB4"/>
    <w:rsid w:val="000269BA"/>
    <w:rsid w:val="00026DD9"/>
    <w:rsid w:val="00027CF6"/>
    <w:rsid w:val="00030C0E"/>
    <w:rsid w:val="00031E03"/>
    <w:rsid w:val="0003268B"/>
    <w:rsid w:val="0003379C"/>
    <w:rsid w:val="00035F8E"/>
    <w:rsid w:val="000372A3"/>
    <w:rsid w:val="000400CF"/>
    <w:rsid w:val="00041A6F"/>
    <w:rsid w:val="00041CD3"/>
    <w:rsid w:val="00041FE1"/>
    <w:rsid w:val="00043514"/>
    <w:rsid w:val="00047AE8"/>
    <w:rsid w:val="00047B27"/>
    <w:rsid w:val="00050389"/>
    <w:rsid w:val="00050758"/>
    <w:rsid w:val="000514D1"/>
    <w:rsid w:val="00052C56"/>
    <w:rsid w:val="00053C2D"/>
    <w:rsid w:val="000551C3"/>
    <w:rsid w:val="000551EC"/>
    <w:rsid w:val="00055596"/>
    <w:rsid w:val="00056E71"/>
    <w:rsid w:val="0005770D"/>
    <w:rsid w:val="000611D3"/>
    <w:rsid w:val="00061E83"/>
    <w:rsid w:val="00063B65"/>
    <w:rsid w:val="00064A64"/>
    <w:rsid w:val="00065C9B"/>
    <w:rsid w:val="00065D10"/>
    <w:rsid w:val="00065DAE"/>
    <w:rsid w:val="000663D5"/>
    <w:rsid w:val="000666F4"/>
    <w:rsid w:val="00066B7B"/>
    <w:rsid w:val="00067141"/>
    <w:rsid w:val="00067647"/>
    <w:rsid w:val="00067DD3"/>
    <w:rsid w:val="00070E23"/>
    <w:rsid w:val="00071197"/>
    <w:rsid w:val="00073276"/>
    <w:rsid w:val="00073773"/>
    <w:rsid w:val="0007506B"/>
    <w:rsid w:val="000765FC"/>
    <w:rsid w:val="000804A1"/>
    <w:rsid w:val="00081A37"/>
    <w:rsid w:val="00081DAA"/>
    <w:rsid w:val="0008259F"/>
    <w:rsid w:val="00082C82"/>
    <w:rsid w:val="000833F8"/>
    <w:rsid w:val="00083CA9"/>
    <w:rsid w:val="00084D71"/>
    <w:rsid w:val="000875F2"/>
    <w:rsid w:val="00091981"/>
    <w:rsid w:val="000953BB"/>
    <w:rsid w:val="0009610B"/>
    <w:rsid w:val="00096B4B"/>
    <w:rsid w:val="00097E56"/>
    <w:rsid w:val="000A044E"/>
    <w:rsid w:val="000A584F"/>
    <w:rsid w:val="000B1741"/>
    <w:rsid w:val="000B31CA"/>
    <w:rsid w:val="000B35F2"/>
    <w:rsid w:val="000B3A7C"/>
    <w:rsid w:val="000B44F7"/>
    <w:rsid w:val="000B4B72"/>
    <w:rsid w:val="000B5048"/>
    <w:rsid w:val="000B5729"/>
    <w:rsid w:val="000B60C8"/>
    <w:rsid w:val="000B64F9"/>
    <w:rsid w:val="000B7930"/>
    <w:rsid w:val="000B7C03"/>
    <w:rsid w:val="000B7E2A"/>
    <w:rsid w:val="000C023F"/>
    <w:rsid w:val="000C0B9A"/>
    <w:rsid w:val="000C167E"/>
    <w:rsid w:val="000C20AE"/>
    <w:rsid w:val="000C61B6"/>
    <w:rsid w:val="000D15BD"/>
    <w:rsid w:val="000D23C0"/>
    <w:rsid w:val="000D44C1"/>
    <w:rsid w:val="000D66C7"/>
    <w:rsid w:val="000E04A9"/>
    <w:rsid w:val="000E0EDF"/>
    <w:rsid w:val="000E157C"/>
    <w:rsid w:val="000E2971"/>
    <w:rsid w:val="000E5A42"/>
    <w:rsid w:val="000E7D67"/>
    <w:rsid w:val="000E7F3B"/>
    <w:rsid w:val="000F4037"/>
    <w:rsid w:val="000F45DD"/>
    <w:rsid w:val="000F479C"/>
    <w:rsid w:val="000F5402"/>
    <w:rsid w:val="001000BA"/>
    <w:rsid w:val="001000C7"/>
    <w:rsid w:val="00102562"/>
    <w:rsid w:val="00102FAB"/>
    <w:rsid w:val="001033B4"/>
    <w:rsid w:val="0010448F"/>
    <w:rsid w:val="001050D5"/>
    <w:rsid w:val="0010620A"/>
    <w:rsid w:val="0010632D"/>
    <w:rsid w:val="0010646F"/>
    <w:rsid w:val="001066D7"/>
    <w:rsid w:val="0010670A"/>
    <w:rsid w:val="0010710B"/>
    <w:rsid w:val="00107B02"/>
    <w:rsid w:val="001100C8"/>
    <w:rsid w:val="001125F3"/>
    <w:rsid w:val="0011272D"/>
    <w:rsid w:val="00112862"/>
    <w:rsid w:val="00112D8C"/>
    <w:rsid w:val="001163BE"/>
    <w:rsid w:val="0012029D"/>
    <w:rsid w:val="00120F72"/>
    <w:rsid w:val="001215C2"/>
    <w:rsid w:val="00121F90"/>
    <w:rsid w:val="001232BB"/>
    <w:rsid w:val="001235C2"/>
    <w:rsid w:val="00123A32"/>
    <w:rsid w:val="00124AFE"/>
    <w:rsid w:val="00124EB0"/>
    <w:rsid w:val="00124F59"/>
    <w:rsid w:val="0012611E"/>
    <w:rsid w:val="0013057D"/>
    <w:rsid w:val="0013077A"/>
    <w:rsid w:val="00132F8B"/>
    <w:rsid w:val="0013303E"/>
    <w:rsid w:val="00133E5F"/>
    <w:rsid w:val="0013680B"/>
    <w:rsid w:val="00136DEE"/>
    <w:rsid w:val="001378F2"/>
    <w:rsid w:val="00140DEA"/>
    <w:rsid w:val="00141540"/>
    <w:rsid w:val="00142DDD"/>
    <w:rsid w:val="00146071"/>
    <w:rsid w:val="0014670A"/>
    <w:rsid w:val="00146EF6"/>
    <w:rsid w:val="0014744E"/>
    <w:rsid w:val="00147DB7"/>
    <w:rsid w:val="00150D34"/>
    <w:rsid w:val="0015179D"/>
    <w:rsid w:val="00154930"/>
    <w:rsid w:val="00154FA1"/>
    <w:rsid w:val="001571BA"/>
    <w:rsid w:val="00157382"/>
    <w:rsid w:val="00157FB5"/>
    <w:rsid w:val="001626DA"/>
    <w:rsid w:val="00164A44"/>
    <w:rsid w:val="001700F6"/>
    <w:rsid w:val="001713B0"/>
    <w:rsid w:val="00172122"/>
    <w:rsid w:val="00176115"/>
    <w:rsid w:val="00176730"/>
    <w:rsid w:val="00177896"/>
    <w:rsid w:val="00177A5D"/>
    <w:rsid w:val="00180AEA"/>
    <w:rsid w:val="0018337A"/>
    <w:rsid w:val="001834D6"/>
    <w:rsid w:val="00185343"/>
    <w:rsid w:val="0018582C"/>
    <w:rsid w:val="00187073"/>
    <w:rsid w:val="0018792E"/>
    <w:rsid w:val="00187E14"/>
    <w:rsid w:val="00190270"/>
    <w:rsid w:val="0019244A"/>
    <w:rsid w:val="00192E48"/>
    <w:rsid w:val="001936A3"/>
    <w:rsid w:val="00194BCB"/>
    <w:rsid w:val="00196E5D"/>
    <w:rsid w:val="00197AFB"/>
    <w:rsid w:val="001A01F0"/>
    <w:rsid w:val="001A10A0"/>
    <w:rsid w:val="001A21CC"/>
    <w:rsid w:val="001A44C1"/>
    <w:rsid w:val="001A5DD4"/>
    <w:rsid w:val="001A6265"/>
    <w:rsid w:val="001A7B9E"/>
    <w:rsid w:val="001B176C"/>
    <w:rsid w:val="001B30CD"/>
    <w:rsid w:val="001B4C1A"/>
    <w:rsid w:val="001B5359"/>
    <w:rsid w:val="001B5E8B"/>
    <w:rsid w:val="001C1A5C"/>
    <w:rsid w:val="001C2DED"/>
    <w:rsid w:val="001C36B1"/>
    <w:rsid w:val="001C3FA8"/>
    <w:rsid w:val="001C493F"/>
    <w:rsid w:val="001C5CB1"/>
    <w:rsid w:val="001C5EF1"/>
    <w:rsid w:val="001C69EC"/>
    <w:rsid w:val="001C7878"/>
    <w:rsid w:val="001D00C1"/>
    <w:rsid w:val="001D085D"/>
    <w:rsid w:val="001D0ED2"/>
    <w:rsid w:val="001D372A"/>
    <w:rsid w:val="001D3821"/>
    <w:rsid w:val="001D3B98"/>
    <w:rsid w:val="001D4ADD"/>
    <w:rsid w:val="001D4F9E"/>
    <w:rsid w:val="001D50AD"/>
    <w:rsid w:val="001D7454"/>
    <w:rsid w:val="001D7E0B"/>
    <w:rsid w:val="001E01DB"/>
    <w:rsid w:val="001E1F42"/>
    <w:rsid w:val="001E2C7F"/>
    <w:rsid w:val="001E3931"/>
    <w:rsid w:val="001E5024"/>
    <w:rsid w:val="001E586B"/>
    <w:rsid w:val="001E7282"/>
    <w:rsid w:val="001E78A0"/>
    <w:rsid w:val="001E7C05"/>
    <w:rsid w:val="001F0DFD"/>
    <w:rsid w:val="001F11AF"/>
    <w:rsid w:val="001F141C"/>
    <w:rsid w:val="001F2F1F"/>
    <w:rsid w:val="001F4897"/>
    <w:rsid w:val="001F5316"/>
    <w:rsid w:val="001F660F"/>
    <w:rsid w:val="001F7A1B"/>
    <w:rsid w:val="002002D7"/>
    <w:rsid w:val="00200C45"/>
    <w:rsid w:val="00201932"/>
    <w:rsid w:val="002019A2"/>
    <w:rsid w:val="00201C99"/>
    <w:rsid w:val="00201F8A"/>
    <w:rsid w:val="00203C0C"/>
    <w:rsid w:val="00203C4E"/>
    <w:rsid w:val="00203DE3"/>
    <w:rsid w:val="002065C2"/>
    <w:rsid w:val="00206A41"/>
    <w:rsid w:val="00207988"/>
    <w:rsid w:val="002126F0"/>
    <w:rsid w:val="00212EEB"/>
    <w:rsid w:val="0021389C"/>
    <w:rsid w:val="00215163"/>
    <w:rsid w:val="002154F8"/>
    <w:rsid w:val="002164E5"/>
    <w:rsid w:val="002167EA"/>
    <w:rsid w:val="0021779E"/>
    <w:rsid w:val="00217C94"/>
    <w:rsid w:val="00221294"/>
    <w:rsid w:val="00222195"/>
    <w:rsid w:val="00224223"/>
    <w:rsid w:val="002242CA"/>
    <w:rsid w:val="00224B76"/>
    <w:rsid w:val="0022523E"/>
    <w:rsid w:val="00225B35"/>
    <w:rsid w:val="00227C0E"/>
    <w:rsid w:val="00233F8E"/>
    <w:rsid w:val="0023492F"/>
    <w:rsid w:val="002355F5"/>
    <w:rsid w:val="00235CC3"/>
    <w:rsid w:val="00236EEB"/>
    <w:rsid w:val="00241B37"/>
    <w:rsid w:val="00244A63"/>
    <w:rsid w:val="00245129"/>
    <w:rsid w:val="00250AA6"/>
    <w:rsid w:val="00251035"/>
    <w:rsid w:val="00251C13"/>
    <w:rsid w:val="00252B16"/>
    <w:rsid w:val="00252B43"/>
    <w:rsid w:val="00252E0A"/>
    <w:rsid w:val="00254B31"/>
    <w:rsid w:val="0025543E"/>
    <w:rsid w:val="00255E0B"/>
    <w:rsid w:val="00256BCB"/>
    <w:rsid w:val="00260601"/>
    <w:rsid w:val="002609AA"/>
    <w:rsid w:val="00261DD1"/>
    <w:rsid w:val="00262AE7"/>
    <w:rsid w:val="00262CC1"/>
    <w:rsid w:val="00265173"/>
    <w:rsid w:val="00265A90"/>
    <w:rsid w:val="00266379"/>
    <w:rsid w:val="002663F1"/>
    <w:rsid w:val="00266C96"/>
    <w:rsid w:val="002679EE"/>
    <w:rsid w:val="0027004E"/>
    <w:rsid w:val="002705BF"/>
    <w:rsid w:val="00271CC1"/>
    <w:rsid w:val="00272153"/>
    <w:rsid w:val="002722AB"/>
    <w:rsid w:val="00272391"/>
    <w:rsid w:val="00273D40"/>
    <w:rsid w:val="002746B6"/>
    <w:rsid w:val="00274CAA"/>
    <w:rsid w:val="002757FB"/>
    <w:rsid w:val="0027597A"/>
    <w:rsid w:val="0027718F"/>
    <w:rsid w:val="00283564"/>
    <w:rsid w:val="00286499"/>
    <w:rsid w:val="00286E88"/>
    <w:rsid w:val="002922A9"/>
    <w:rsid w:val="00292EC6"/>
    <w:rsid w:val="00295B7C"/>
    <w:rsid w:val="00295E3A"/>
    <w:rsid w:val="00296349"/>
    <w:rsid w:val="00296F9C"/>
    <w:rsid w:val="002A07F1"/>
    <w:rsid w:val="002A2FDB"/>
    <w:rsid w:val="002A30EF"/>
    <w:rsid w:val="002A3123"/>
    <w:rsid w:val="002A39EE"/>
    <w:rsid w:val="002A3AE0"/>
    <w:rsid w:val="002A3DDC"/>
    <w:rsid w:val="002A4234"/>
    <w:rsid w:val="002A42C1"/>
    <w:rsid w:val="002A4C2D"/>
    <w:rsid w:val="002A5EE2"/>
    <w:rsid w:val="002A6696"/>
    <w:rsid w:val="002A7387"/>
    <w:rsid w:val="002B0CBE"/>
    <w:rsid w:val="002B1017"/>
    <w:rsid w:val="002B165A"/>
    <w:rsid w:val="002B1DE4"/>
    <w:rsid w:val="002B24D5"/>
    <w:rsid w:val="002B32BC"/>
    <w:rsid w:val="002B37D1"/>
    <w:rsid w:val="002B481D"/>
    <w:rsid w:val="002B5297"/>
    <w:rsid w:val="002C0A0A"/>
    <w:rsid w:val="002C1D86"/>
    <w:rsid w:val="002C2739"/>
    <w:rsid w:val="002C4689"/>
    <w:rsid w:val="002C50D4"/>
    <w:rsid w:val="002C5818"/>
    <w:rsid w:val="002D071A"/>
    <w:rsid w:val="002D0A55"/>
    <w:rsid w:val="002D3620"/>
    <w:rsid w:val="002D42BE"/>
    <w:rsid w:val="002D58F9"/>
    <w:rsid w:val="002D61C3"/>
    <w:rsid w:val="002D61CD"/>
    <w:rsid w:val="002D6AEE"/>
    <w:rsid w:val="002D74DE"/>
    <w:rsid w:val="002D78E7"/>
    <w:rsid w:val="002E05BD"/>
    <w:rsid w:val="002E1DBE"/>
    <w:rsid w:val="002E254B"/>
    <w:rsid w:val="002E3670"/>
    <w:rsid w:val="002E50CD"/>
    <w:rsid w:val="002E5265"/>
    <w:rsid w:val="002E70E1"/>
    <w:rsid w:val="002E741D"/>
    <w:rsid w:val="002E784E"/>
    <w:rsid w:val="002E7CDF"/>
    <w:rsid w:val="002F0CF3"/>
    <w:rsid w:val="002F10EE"/>
    <w:rsid w:val="002F13DD"/>
    <w:rsid w:val="002F577D"/>
    <w:rsid w:val="002F66A1"/>
    <w:rsid w:val="003008B0"/>
    <w:rsid w:val="00300965"/>
    <w:rsid w:val="00301ED6"/>
    <w:rsid w:val="00304FAF"/>
    <w:rsid w:val="00306761"/>
    <w:rsid w:val="003067C1"/>
    <w:rsid w:val="00307207"/>
    <w:rsid w:val="00307431"/>
    <w:rsid w:val="00307708"/>
    <w:rsid w:val="00310558"/>
    <w:rsid w:val="00310910"/>
    <w:rsid w:val="00312012"/>
    <w:rsid w:val="00312521"/>
    <w:rsid w:val="00312C89"/>
    <w:rsid w:val="0031309E"/>
    <w:rsid w:val="00317397"/>
    <w:rsid w:val="003174A4"/>
    <w:rsid w:val="00317BAF"/>
    <w:rsid w:val="00317F15"/>
    <w:rsid w:val="00320A16"/>
    <w:rsid w:val="00321B6E"/>
    <w:rsid w:val="00322882"/>
    <w:rsid w:val="003230DA"/>
    <w:rsid w:val="003231D7"/>
    <w:rsid w:val="00323E71"/>
    <w:rsid w:val="00325AC6"/>
    <w:rsid w:val="0032660B"/>
    <w:rsid w:val="00326EB8"/>
    <w:rsid w:val="00327531"/>
    <w:rsid w:val="00327A7B"/>
    <w:rsid w:val="003300AA"/>
    <w:rsid w:val="003302B5"/>
    <w:rsid w:val="00331F7B"/>
    <w:rsid w:val="00333CAB"/>
    <w:rsid w:val="003346A8"/>
    <w:rsid w:val="00335BB9"/>
    <w:rsid w:val="003407D2"/>
    <w:rsid w:val="003418F2"/>
    <w:rsid w:val="00345A43"/>
    <w:rsid w:val="00346FCF"/>
    <w:rsid w:val="00350498"/>
    <w:rsid w:val="00351250"/>
    <w:rsid w:val="00353A3F"/>
    <w:rsid w:val="00354270"/>
    <w:rsid w:val="003544B2"/>
    <w:rsid w:val="003556C1"/>
    <w:rsid w:val="00355F4B"/>
    <w:rsid w:val="00356089"/>
    <w:rsid w:val="00357ABF"/>
    <w:rsid w:val="00357DB9"/>
    <w:rsid w:val="00362B9E"/>
    <w:rsid w:val="003634C1"/>
    <w:rsid w:val="00363680"/>
    <w:rsid w:val="00364229"/>
    <w:rsid w:val="00366844"/>
    <w:rsid w:val="00366B7F"/>
    <w:rsid w:val="003707F9"/>
    <w:rsid w:val="003719F2"/>
    <w:rsid w:val="003721E2"/>
    <w:rsid w:val="0037220A"/>
    <w:rsid w:val="003732F9"/>
    <w:rsid w:val="00373E2C"/>
    <w:rsid w:val="00374A07"/>
    <w:rsid w:val="00380821"/>
    <w:rsid w:val="003810C5"/>
    <w:rsid w:val="00381447"/>
    <w:rsid w:val="00382437"/>
    <w:rsid w:val="00382A74"/>
    <w:rsid w:val="00384D84"/>
    <w:rsid w:val="00385473"/>
    <w:rsid w:val="00385F62"/>
    <w:rsid w:val="0039001F"/>
    <w:rsid w:val="0039011E"/>
    <w:rsid w:val="0039115E"/>
    <w:rsid w:val="003926B2"/>
    <w:rsid w:val="00393A8D"/>
    <w:rsid w:val="00394869"/>
    <w:rsid w:val="00395D28"/>
    <w:rsid w:val="00395EE7"/>
    <w:rsid w:val="003965AC"/>
    <w:rsid w:val="00397F1A"/>
    <w:rsid w:val="003A0C8F"/>
    <w:rsid w:val="003A0F31"/>
    <w:rsid w:val="003A2C0D"/>
    <w:rsid w:val="003A2E4A"/>
    <w:rsid w:val="003A39F1"/>
    <w:rsid w:val="003A4DD0"/>
    <w:rsid w:val="003A5188"/>
    <w:rsid w:val="003A6043"/>
    <w:rsid w:val="003A6AE5"/>
    <w:rsid w:val="003A789B"/>
    <w:rsid w:val="003B0A43"/>
    <w:rsid w:val="003B0E6C"/>
    <w:rsid w:val="003B12D9"/>
    <w:rsid w:val="003B1A57"/>
    <w:rsid w:val="003B250C"/>
    <w:rsid w:val="003B3152"/>
    <w:rsid w:val="003B54B9"/>
    <w:rsid w:val="003B61A8"/>
    <w:rsid w:val="003B70EB"/>
    <w:rsid w:val="003B71DE"/>
    <w:rsid w:val="003B756B"/>
    <w:rsid w:val="003B7DF5"/>
    <w:rsid w:val="003C0BD0"/>
    <w:rsid w:val="003C0BF7"/>
    <w:rsid w:val="003C196C"/>
    <w:rsid w:val="003C313D"/>
    <w:rsid w:val="003C3370"/>
    <w:rsid w:val="003C43B4"/>
    <w:rsid w:val="003C5946"/>
    <w:rsid w:val="003C59DD"/>
    <w:rsid w:val="003C785C"/>
    <w:rsid w:val="003C7B67"/>
    <w:rsid w:val="003D0761"/>
    <w:rsid w:val="003D1FBB"/>
    <w:rsid w:val="003D211A"/>
    <w:rsid w:val="003D2E57"/>
    <w:rsid w:val="003D34DA"/>
    <w:rsid w:val="003D3D7C"/>
    <w:rsid w:val="003D445A"/>
    <w:rsid w:val="003D4525"/>
    <w:rsid w:val="003D4E0B"/>
    <w:rsid w:val="003D6D91"/>
    <w:rsid w:val="003D7218"/>
    <w:rsid w:val="003E1BED"/>
    <w:rsid w:val="003E2D97"/>
    <w:rsid w:val="003E39AE"/>
    <w:rsid w:val="003E457B"/>
    <w:rsid w:val="003E51BC"/>
    <w:rsid w:val="003E5CD0"/>
    <w:rsid w:val="003E64CC"/>
    <w:rsid w:val="003F08DE"/>
    <w:rsid w:val="003F0DA9"/>
    <w:rsid w:val="003F10A3"/>
    <w:rsid w:val="003F120A"/>
    <w:rsid w:val="003F27AE"/>
    <w:rsid w:val="003F2938"/>
    <w:rsid w:val="003F36D7"/>
    <w:rsid w:val="003F527D"/>
    <w:rsid w:val="003F61FF"/>
    <w:rsid w:val="003F6B8E"/>
    <w:rsid w:val="004002BA"/>
    <w:rsid w:val="00400303"/>
    <w:rsid w:val="004009BD"/>
    <w:rsid w:val="00401155"/>
    <w:rsid w:val="00401925"/>
    <w:rsid w:val="004040E1"/>
    <w:rsid w:val="0040447D"/>
    <w:rsid w:val="00404D9A"/>
    <w:rsid w:val="0040722E"/>
    <w:rsid w:val="00410E61"/>
    <w:rsid w:val="00411F7E"/>
    <w:rsid w:val="004134FA"/>
    <w:rsid w:val="00414433"/>
    <w:rsid w:val="00414BD4"/>
    <w:rsid w:val="00415085"/>
    <w:rsid w:val="00420B7E"/>
    <w:rsid w:val="004219E0"/>
    <w:rsid w:val="00421BF9"/>
    <w:rsid w:val="0042269B"/>
    <w:rsid w:val="00422CCF"/>
    <w:rsid w:val="00423CF8"/>
    <w:rsid w:val="004248E0"/>
    <w:rsid w:val="00425367"/>
    <w:rsid w:val="00425E51"/>
    <w:rsid w:val="004271BF"/>
    <w:rsid w:val="00427361"/>
    <w:rsid w:val="00427C95"/>
    <w:rsid w:val="00434AD4"/>
    <w:rsid w:val="00434F93"/>
    <w:rsid w:val="0043653F"/>
    <w:rsid w:val="00436F16"/>
    <w:rsid w:val="00436FCC"/>
    <w:rsid w:val="00443FC8"/>
    <w:rsid w:val="0044428F"/>
    <w:rsid w:val="004445F5"/>
    <w:rsid w:val="00444AAA"/>
    <w:rsid w:val="00444EB0"/>
    <w:rsid w:val="004452E5"/>
    <w:rsid w:val="004459DC"/>
    <w:rsid w:val="004464EA"/>
    <w:rsid w:val="00446B4D"/>
    <w:rsid w:val="00447682"/>
    <w:rsid w:val="004478BA"/>
    <w:rsid w:val="00447988"/>
    <w:rsid w:val="00451C00"/>
    <w:rsid w:val="004521AF"/>
    <w:rsid w:val="00452884"/>
    <w:rsid w:val="00453094"/>
    <w:rsid w:val="00453710"/>
    <w:rsid w:val="00453F8D"/>
    <w:rsid w:val="0045521F"/>
    <w:rsid w:val="0045642B"/>
    <w:rsid w:val="004575E2"/>
    <w:rsid w:val="00460B8A"/>
    <w:rsid w:val="00461335"/>
    <w:rsid w:val="0046224B"/>
    <w:rsid w:val="00463316"/>
    <w:rsid w:val="004634AE"/>
    <w:rsid w:val="0046363D"/>
    <w:rsid w:val="00464E98"/>
    <w:rsid w:val="0046513E"/>
    <w:rsid w:val="004655EB"/>
    <w:rsid w:val="00465A38"/>
    <w:rsid w:val="00465B34"/>
    <w:rsid w:val="00465E60"/>
    <w:rsid w:val="00467AAF"/>
    <w:rsid w:val="00475470"/>
    <w:rsid w:val="0047596A"/>
    <w:rsid w:val="00475C48"/>
    <w:rsid w:val="004766E9"/>
    <w:rsid w:val="0048089A"/>
    <w:rsid w:val="004829F8"/>
    <w:rsid w:val="00485E03"/>
    <w:rsid w:val="0048758F"/>
    <w:rsid w:val="00487C2D"/>
    <w:rsid w:val="00495073"/>
    <w:rsid w:val="0049619A"/>
    <w:rsid w:val="0049788B"/>
    <w:rsid w:val="004A17DA"/>
    <w:rsid w:val="004A1BAD"/>
    <w:rsid w:val="004A23CC"/>
    <w:rsid w:val="004A3494"/>
    <w:rsid w:val="004A34A1"/>
    <w:rsid w:val="004A3E6E"/>
    <w:rsid w:val="004A428F"/>
    <w:rsid w:val="004A434A"/>
    <w:rsid w:val="004A4B0D"/>
    <w:rsid w:val="004A4E7C"/>
    <w:rsid w:val="004A5BC5"/>
    <w:rsid w:val="004A693C"/>
    <w:rsid w:val="004A6DFA"/>
    <w:rsid w:val="004B01A2"/>
    <w:rsid w:val="004B09C0"/>
    <w:rsid w:val="004B1227"/>
    <w:rsid w:val="004B16FD"/>
    <w:rsid w:val="004B1BE5"/>
    <w:rsid w:val="004B250E"/>
    <w:rsid w:val="004B4ACA"/>
    <w:rsid w:val="004B6F64"/>
    <w:rsid w:val="004C0064"/>
    <w:rsid w:val="004C05FB"/>
    <w:rsid w:val="004C1B7A"/>
    <w:rsid w:val="004C21CB"/>
    <w:rsid w:val="004C308D"/>
    <w:rsid w:val="004C34EC"/>
    <w:rsid w:val="004C3657"/>
    <w:rsid w:val="004C4A74"/>
    <w:rsid w:val="004C4ED4"/>
    <w:rsid w:val="004C67D8"/>
    <w:rsid w:val="004C6CDE"/>
    <w:rsid w:val="004D01F6"/>
    <w:rsid w:val="004D04D5"/>
    <w:rsid w:val="004D0668"/>
    <w:rsid w:val="004D1741"/>
    <w:rsid w:val="004D33B8"/>
    <w:rsid w:val="004D50D7"/>
    <w:rsid w:val="004D6146"/>
    <w:rsid w:val="004D7670"/>
    <w:rsid w:val="004D7C7A"/>
    <w:rsid w:val="004E047C"/>
    <w:rsid w:val="004E14BA"/>
    <w:rsid w:val="004E1816"/>
    <w:rsid w:val="004E25E9"/>
    <w:rsid w:val="004E3445"/>
    <w:rsid w:val="004E451F"/>
    <w:rsid w:val="004E6DFF"/>
    <w:rsid w:val="004E7C59"/>
    <w:rsid w:val="004F119B"/>
    <w:rsid w:val="004F1409"/>
    <w:rsid w:val="004F1DC8"/>
    <w:rsid w:val="004F2C52"/>
    <w:rsid w:val="004F2CF6"/>
    <w:rsid w:val="004F2F2D"/>
    <w:rsid w:val="004F5528"/>
    <w:rsid w:val="004F639A"/>
    <w:rsid w:val="004F6429"/>
    <w:rsid w:val="004F6478"/>
    <w:rsid w:val="004F73DC"/>
    <w:rsid w:val="005030A8"/>
    <w:rsid w:val="00503DEE"/>
    <w:rsid w:val="00503E1E"/>
    <w:rsid w:val="005045DE"/>
    <w:rsid w:val="00505EFC"/>
    <w:rsid w:val="00510A85"/>
    <w:rsid w:val="00510EF0"/>
    <w:rsid w:val="00510F4A"/>
    <w:rsid w:val="00511999"/>
    <w:rsid w:val="005133E6"/>
    <w:rsid w:val="00514097"/>
    <w:rsid w:val="005144AA"/>
    <w:rsid w:val="005149B8"/>
    <w:rsid w:val="005173D4"/>
    <w:rsid w:val="00517C89"/>
    <w:rsid w:val="005210F7"/>
    <w:rsid w:val="00523A6F"/>
    <w:rsid w:val="00524402"/>
    <w:rsid w:val="00524745"/>
    <w:rsid w:val="005257A6"/>
    <w:rsid w:val="00525E7B"/>
    <w:rsid w:val="005260E2"/>
    <w:rsid w:val="00526B32"/>
    <w:rsid w:val="00527CAE"/>
    <w:rsid w:val="005308BD"/>
    <w:rsid w:val="0053098B"/>
    <w:rsid w:val="005315DF"/>
    <w:rsid w:val="00531CAF"/>
    <w:rsid w:val="00532C52"/>
    <w:rsid w:val="00536604"/>
    <w:rsid w:val="00536F5A"/>
    <w:rsid w:val="005372D5"/>
    <w:rsid w:val="00537D32"/>
    <w:rsid w:val="00537F35"/>
    <w:rsid w:val="00540A57"/>
    <w:rsid w:val="00541A08"/>
    <w:rsid w:val="00546EE1"/>
    <w:rsid w:val="00547342"/>
    <w:rsid w:val="00550985"/>
    <w:rsid w:val="00550DED"/>
    <w:rsid w:val="00551B98"/>
    <w:rsid w:val="00552D04"/>
    <w:rsid w:val="005533C3"/>
    <w:rsid w:val="0055364A"/>
    <w:rsid w:val="00553F97"/>
    <w:rsid w:val="00554ED1"/>
    <w:rsid w:val="00555411"/>
    <w:rsid w:val="0055614B"/>
    <w:rsid w:val="005562DA"/>
    <w:rsid w:val="00556730"/>
    <w:rsid w:val="00556764"/>
    <w:rsid w:val="00556B97"/>
    <w:rsid w:val="00557EB1"/>
    <w:rsid w:val="00560E23"/>
    <w:rsid w:val="0056218E"/>
    <w:rsid w:val="00562DA5"/>
    <w:rsid w:val="0056416F"/>
    <w:rsid w:val="0056787C"/>
    <w:rsid w:val="00567DCC"/>
    <w:rsid w:val="005700F6"/>
    <w:rsid w:val="005713EB"/>
    <w:rsid w:val="005718C8"/>
    <w:rsid w:val="005724E6"/>
    <w:rsid w:val="005726B9"/>
    <w:rsid w:val="0057308F"/>
    <w:rsid w:val="0057412D"/>
    <w:rsid w:val="00577DB0"/>
    <w:rsid w:val="0058061F"/>
    <w:rsid w:val="005815F2"/>
    <w:rsid w:val="0058169D"/>
    <w:rsid w:val="00581AE7"/>
    <w:rsid w:val="00582EC8"/>
    <w:rsid w:val="00583FA9"/>
    <w:rsid w:val="00584AF0"/>
    <w:rsid w:val="0058681E"/>
    <w:rsid w:val="00587582"/>
    <w:rsid w:val="00587A47"/>
    <w:rsid w:val="00592C1D"/>
    <w:rsid w:val="00592C7A"/>
    <w:rsid w:val="005940E2"/>
    <w:rsid w:val="0059579C"/>
    <w:rsid w:val="00596020"/>
    <w:rsid w:val="00596142"/>
    <w:rsid w:val="00596700"/>
    <w:rsid w:val="00597484"/>
    <w:rsid w:val="005A10CE"/>
    <w:rsid w:val="005A1206"/>
    <w:rsid w:val="005A1774"/>
    <w:rsid w:val="005A3FBD"/>
    <w:rsid w:val="005A41BF"/>
    <w:rsid w:val="005A522C"/>
    <w:rsid w:val="005A57AE"/>
    <w:rsid w:val="005A64B9"/>
    <w:rsid w:val="005A6AAA"/>
    <w:rsid w:val="005A72F4"/>
    <w:rsid w:val="005A72FD"/>
    <w:rsid w:val="005B010B"/>
    <w:rsid w:val="005B0323"/>
    <w:rsid w:val="005B0796"/>
    <w:rsid w:val="005B0B60"/>
    <w:rsid w:val="005B22C3"/>
    <w:rsid w:val="005B5A57"/>
    <w:rsid w:val="005C0637"/>
    <w:rsid w:val="005C0C44"/>
    <w:rsid w:val="005C1EBA"/>
    <w:rsid w:val="005C1FF8"/>
    <w:rsid w:val="005C28BA"/>
    <w:rsid w:val="005C295D"/>
    <w:rsid w:val="005C317E"/>
    <w:rsid w:val="005C4CB7"/>
    <w:rsid w:val="005C636C"/>
    <w:rsid w:val="005C63F4"/>
    <w:rsid w:val="005C66BC"/>
    <w:rsid w:val="005C6BD3"/>
    <w:rsid w:val="005C730D"/>
    <w:rsid w:val="005D00D3"/>
    <w:rsid w:val="005D1C4C"/>
    <w:rsid w:val="005D2421"/>
    <w:rsid w:val="005D2ED0"/>
    <w:rsid w:val="005D3015"/>
    <w:rsid w:val="005D31D3"/>
    <w:rsid w:val="005D36F6"/>
    <w:rsid w:val="005D3E2C"/>
    <w:rsid w:val="005D40EB"/>
    <w:rsid w:val="005D4197"/>
    <w:rsid w:val="005D476F"/>
    <w:rsid w:val="005D4869"/>
    <w:rsid w:val="005D5411"/>
    <w:rsid w:val="005D6621"/>
    <w:rsid w:val="005D6F46"/>
    <w:rsid w:val="005D739E"/>
    <w:rsid w:val="005E0CED"/>
    <w:rsid w:val="005E1312"/>
    <w:rsid w:val="005E42FA"/>
    <w:rsid w:val="005E6383"/>
    <w:rsid w:val="005E66F9"/>
    <w:rsid w:val="005E6947"/>
    <w:rsid w:val="005F3919"/>
    <w:rsid w:val="005F4606"/>
    <w:rsid w:val="005F4C23"/>
    <w:rsid w:val="005F50BD"/>
    <w:rsid w:val="005F5797"/>
    <w:rsid w:val="005F661E"/>
    <w:rsid w:val="005F6BC7"/>
    <w:rsid w:val="005F752E"/>
    <w:rsid w:val="005F7C71"/>
    <w:rsid w:val="00600446"/>
    <w:rsid w:val="00600E55"/>
    <w:rsid w:val="00605A42"/>
    <w:rsid w:val="00605A4F"/>
    <w:rsid w:val="006060D2"/>
    <w:rsid w:val="00612F7B"/>
    <w:rsid w:val="0061368B"/>
    <w:rsid w:val="00613690"/>
    <w:rsid w:val="006142C3"/>
    <w:rsid w:val="006145DE"/>
    <w:rsid w:val="00614BF1"/>
    <w:rsid w:val="0061556D"/>
    <w:rsid w:val="00615ACC"/>
    <w:rsid w:val="00615CD4"/>
    <w:rsid w:val="00615E67"/>
    <w:rsid w:val="00621436"/>
    <w:rsid w:val="0062201A"/>
    <w:rsid w:val="0062358F"/>
    <w:rsid w:val="006259C1"/>
    <w:rsid w:val="006265B7"/>
    <w:rsid w:val="00626E0E"/>
    <w:rsid w:val="00627A73"/>
    <w:rsid w:val="00630250"/>
    <w:rsid w:val="0063063A"/>
    <w:rsid w:val="00630711"/>
    <w:rsid w:val="00630BF7"/>
    <w:rsid w:val="00632685"/>
    <w:rsid w:val="006333DB"/>
    <w:rsid w:val="00633B69"/>
    <w:rsid w:val="006352EB"/>
    <w:rsid w:val="006359B5"/>
    <w:rsid w:val="006368C4"/>
    <w:rsid w:val="0064119B"/>
    <w:rsid w:val="006414E3"/>
    <w:rsid w:val="00641B44"/>
    <w:rsid w:val="00642898"/>
    <w:rsid w:val="00642E34"/>
    <w:rsid w:val="00642FBF"/>
    <w:rsid w:val="00643B47"/>
    <w:rsid w:val="00643DF2"/>
    <w:rsid w:val="006445B7"/>
    <w:rsid w:val="0064548E"/>
    <w:rsid w:val="00645DB9"/>
    <w:rsid w:val="006471CD"/>
    <w:rsid w:val="0064765F"/>
    <w:rsid w:val="00650BAE"/>
    <w:rsid w:val="00650F61"/>
    <w:rsid w:val="00650FEE"/>
    <w:rsid w:val="0065196B"/>
    <w:rsid w:val="006522D7"/>
    <w:rsid w:val="00652BCD"/>
    <w:rsid w:val="0065350B"/>
    <w:rsid w:val="00653EC4"/>
    <w:rsid w:val="006568DB"/>
    <w:rsid w:val="00657646"/>
    <w:rsid w:val="006576C2"/>
    <w:rsid w:val="006600E9"/>
    <w:rsid w:val="00660F44"/>
    <w:rsid w:val="006611F4"/>
    <w:rsid w:val="00661243"/>
    <w:rsid w:val="00661317"/>
    <w:rsid w:val="006626F3"/>
    <w:rsid w:val="006633FB"/>
    <w:rsid w:val="00666FB7"/>
    <w:rsid w:val="0066721C"/>
    <w:rsid w:val="00667ED2"/>
    <w:rsid w:val="00671D55"/>
    <w:rsid w:val="0067212F"/>
    <w:rsid w:val="006723BB"/>
    <w:rsid w:val="00673221"/>
    <w:rsid w:val="00674167"/>
    <w:rsid w:val="00674B8B"/>
    <w:rsid w:val="00675302"/>
    <w:rsid w:val="00675431"/>
    <w:rsid w:val="006772F9"/>
    <w:rsid w:val="00680259"/>
    <w:rsid w:val="006805C7"/>
    <w:rsid w:val="006813D1"/>
    <w:rsid w:val="00685CC6"/>
    <w:rsid w:val="00687158"/>
    <w:rsid w:val="0069061F"/>
    <w:rsid w:val="00691145"/>
    <w:rsid w:val="00691735"/>
    <w:rsid w:val="006920B5"/>
    <w:rsid w:val="00693524"/>
    <w:rsid w:val="006935A3"/>
    <w:rsid w:val="00694508"/>
    <w:rsid w:val="00694F6D"/>
    <w:rsid w:val="00695B5B"/>
    <w:rsid w:val="00696003"/>
    <w:rsid w:val="006974AE"/>
    <w:rsid w:val="006A0399"/>
    <w:rsid w:val="006A0414"/>
    <w:rsid w:val="006A1882"/>
    <w:rsid w:val="006A1B30"/>
    <w:rsid w:val="006A5A1C"/>
    <w:rsid w:val="006A5CCB"/>
    <w:rsid w:val="006A5CFE"/>
    <w:rsid w:val="006A6165"/>
    <w:rsid w:val="006A6E83"/>
    <w:rsid w:val="006B161E"/>
    <w:rsid w:val="006B3038"/>
    <w:rsid w:val="006B31F3"/>
    <w:rsid w:val="006B3B70"/>
    <w:rsid w:val="006B4ED5"/>
    <w:rsid w:val="006B516B"/>
    <w:rsid w:val="006B5A52"/>
    <w:rsid w:val="006B5EF7"/>
    <w:rsid w:val="006B5F87"/>
    <w:rsid w:val="006B631D"/>
    <w:rsid w:val="006B64D9"/>
    <w:rsid w:val="006B6BBB"/>
    <w:rsid w:val="006B767C"/>
    <w:rsid w:val="006C0352"/>
    <w:rsid w:val="006C05B5"/>
    <w:rsid w:val="006C26FB"/>
    <w:rsid w:val="006C2EC1"/>
    <w:rsid w:val="006C32B1"/>
    <w:rsid w:val="006C3D20"/>
    <w:rsid w:val="006C415A"/>
    <w:rsid w:val="006C7040"/>
    <w:rsid w:val="006C721B"/>
    <w:rsid w:val="006C758A"/>
    <w:rsid w:val="006D05E6"/>
    <w:rsid w:val="006D085A"/>
    <w:rsid w:val="006D120C"/>
    <w:rsid w:val="006D25F6"/>
    <w:rsid w:val="006D2EE9"/>
    <w:rsid w:val="006D3B18"/>
    <w:rsid w:val="006D5CFC"/>
    <w:rsid w:val="006D7219"/>
    <w:rsid w:val="006D77FB"/>
    <w:rsid w:val="006E2F7F"/>
    <w:rsid w:val="006E44E2"/>
    <w:rsid w:val="006E5C97"/>
    <w:rsid w:val="006E67A6"/>
    <w:rsid w:val="006F1455"/>
    <w:rsid w:val="006F2980"/>
    <w:rsid w:val="007000BB"/>
    <w:rsid w:val="00700B08"/>
    <w:rsid w:val="0070171E"/>
    <w:rsid w:val="00702DDE"/>
    <w:rsid w:val="00703374"/>
    <w:rsid w:val="007034D3"/>
    <w:rsid w:val="007051C9"/>
    <w:rsid w:val="00705E08"/>
    <w:rsid w:val="00706766"/>
    <w:rsid w:val="00706E3B"/>
    <w:rsid w:val="0071070D"/>
    <w:rsid w:val="00710A7A"/>
    <w:rsid w:val="007161BF"/>
    <w:rsid w:val="00720D06"/>
    <w:rsid w:val="00721C77"/>
    <w:rsid w:val="00721D69"/>
    <w:rsid w:val="00723342"/>
    <w:rsid w:val="00724B01"/>
    <w:rsid w:val="00725297"/>
    <w:rsid w:val="00725504"/>
    <w:rsid w:val="0072581F"/>
    <w:rsid w:val="00725A73"/>
    <w:rsid w:val="0072652F"/>
    <w:rsid w:val="00726E2E"/>
    <w:rsid w:val="00727152"/>
    <w:rsid w:val="00727D0D"/>
    <w:rsid w:val="00727F07"/>
    <w:rsid w:val="00730972"/>
    <w:rsid w:val="00730F20"/>
    <w:rsid w:val="007311FA"/>
    <w:rsid w:val="00731265"/>
    <w:rsid w:val="00731915"/>
    <w:rsid w:val="00733D5B"/>
    <w:rsid w:val="0073408D"/>
    <w:rsid w:val="00736F09"/>
    <w:rsid w:val="00737D6E"/>
    <w:rsid w:val="00740008"/>
    <w:rsid w:val="007416FC"/>
    <w:rsid w:val="007417EA"/>
    <w:rsid w:val="007422BB"/>
    <w:rsid w:val="007445A1"/>
    <w:rsid w:val="00746CD1"/>
    <w:rsid w:val="00747777"/>
    <w:rsid w:val="00747E2A"/>
    <w:rsid w:val="00747FBC"/>
    <w:rsid w:val="007505EE"/>
    <w:rsid w:val="007527A8"/>
    <w:rsid w:val="00754231"/>
    <w:rsid w:val="00754CC2"/>
    <w:rsid w:val="00755C45"/>
    <w:rsid w:val="0075628B"/>
    <w:rsid w:val="0075713F"/>
    <w:rsid w:val="00757D92"/>
    <w:rsid w:val="0076046F"/>
    <w:rsid w:val="00760B16"/>
    <w:rsid w:val="007611B7"/>
    <w:rsid w:val="007615A4"/>
    <w:rsid w:val="00763C8C"/>
    <w:rsid w:val="007643DE"/>
    <w:rsid w:val="0076465D"/>
    <w:rsid w:val="00765425"/>
    <w:rsid w:val="00766CD7"/>
    <w:rsid w:val="00770393"/>
    <w:rsid w:val="00771A04"/>
    <w:rsid w:val="007726C4"/>
    <w:rsid w:val="00772B4A"/>
    <w:rsid w:val="00772DC9"/>
    <w:rsid w:val="0077657E"/>
    <w:rsid w:val="007811E4"/>
    <w:rsid w:val="00781EBB"/>
    <w:rsid w:val="007843E8"/>
    <w:rsid w:val="007845CB"/>
    <w:rsid w:val="0078500F"/>
    <w:rsid w:val="007859A4"/>
    <w:rsid w:val="00786A71"/>
    <w:rsid w:val="00790394"/>
    <w:rsid w:val="007903B2"/>
    <w:rsid w:val="007912F0"/>
    <w:rsid w:val="007940B4"/>
    <w:rsid w:val="00794263"/>
    <w:rsid w:val="00794528"/>
    <w:rsid w:val="007A3A0D"/>
    <w:rsid w:val="007A3CE5"/>
    <w:rsid w:val="007A6DB0"/>
    <w:rsid w:val="007A767A"/>
    <w:rsid w:val="007A7728"/>
    <w:rsid w:val="007B06BD"/>
    <w:rsid w:val="007B4664"/>
    <w:rsid w:val="007B4C13"/>
    <w:rsid w:val="007B5FA1"/>
    <w:rsid w:val="007B69CB"/>
    <w:rsid w:val="007B7320"/>
    <w:rsid w:val="007C0936"/>
    <w:rsid w:val="007C09FE"/>
    <w:rsid w:val="007C5BEB"/>
    <w:rsid w:val="007C79D9"/>
    <w:rsid w:val="007D0606"/>
    <w:rsid w:val="007D0B55"/>
    <w:rsid w:val="007D4207"/>
    <w:rsid w:val="007D461A"/>
    <w:rsid w:val="007D5844"/>
    <w:rsid w:val="007D6532"/>
    <w:rsid w:val="007E10CE"/>
    <w:rsid w:val="007E15C2"/>
    <w:rsid w:val="007E1749"/>
    <w:rsid w:val="007E1A7B"/>
    <w:rsid w:val="007E24CD"/>
    <w:rsid w:val="007E3638"/>
    <w:rsid w:val="007E39DF"/>
    <w:rsid w:val="007E623B"/>
    <w:rsid w:val="007E6D98"/>
    <w:rsid w:val="007F001E"/>
    <w:rsid w:val="007F3BE4"/>
    <w:rsid w:val="007F563C"/>
    <w:rsid w:val="007F5F2C"/>
    <w:rsid w:val="007F666C"/>
    <w:rsid w:val="0080216C"/>
    <w:rsid w:val="008027CB"/>
    <w:rsid w:val="008057B3"/>
    <w:rsid w:val="00805C1C"/>
    <w:rsid w:val="0080648A"/>
    <w:rsid w:val="00811B49"/>
    <w:rsid w:val="008124C7"/>
    <w:rsid w:val="00813BF0"/>
    <w:rsid w:val="00814FE5"/>
    <w:rsid w:val="00815BA2"/>
    <w:rsid w:val="00816DE2"/>
    <w:rsid w:val="008174EF"/>
    <w:rsid w:val="008175F6"/>
    <w:rsid w:val="00817E70"/>
    <w:rsid w:val="00823C91"/>
    <w:rsid w:val="00824BBC"/>
    <w:rsid w:val="00826928"/>
    <w:rsid w:val="008277F7"/>
    <w:rsid w:val="00827FE1"/>
    <w:rsid w:val="00830BAB"/>
    <w:rsid w:val="008312B0"/>
    <w:rsid w:val="00834673"/>
    <w:rsid w:val="00834BFD"/>
    <w:rsid w:val="00836484"/>
    <w:rsid w:val="00836804"/>
    <w:rsid w:val="008373D5"/>
    <w:rsid w:val="0083782B"/>
    <w:rsid w:val="00837A85"/>
    <w:rsid w:val="00842765"/>
    <w:rsid w:val="0084343A"/>
    <w:rsid w:val="00844D21"/>
    <w:rsid w:val="008473DD"/>
    <w:rsid w:val="00847453"/>
    <w:rsid w:val="00847FA9"/>
    <w:rsid w:val="0085186E"/>
    <w:rsid w:val="0085252B"/>
    <w:rsid w:val="00853C1B"/>
    <w:rsid w:val="0085438D"/>
    <w:rsid w:val="00854E40"/>
    <w:rsid w:val="0085521C"/>
    <w:rsid w:val="00856568"/>
    <w:rsid w:val="00856D73"/>
    <w:rsid w:val="00857004"/>
    <w:rsid w:val="00857D37"/>
    <w:rsid w:val="00857EE9"/>
    <w:rsid w:val="00861D33"/>
    <w:rsid w:val="00862B08"/>
    <w:rsid w:val="00865048"/>
    <w:rsid w:val="00865C03"/>
    <w:rsid w:val="00867D7A"/>
    <w:rsid w:val="008702BD"/>
    <w:rsid w:val="008727BB"/>
    <w:rsid w:val="00872C15"/>
    <w:rsid w:val="00873047"/>
    <w:rsid w:val="00874194"/>
    <w:rsid w:val="0087527D"/>
    <w:rsid w:val="00876188"/>
    <w:rsid w:val="00880C17"/>
    <w:rsid w:val="00881CEA"/>
    <w:rsid w:val="00881EA3"/>
    <w:rsid w:val="0088325C"/>
    <w:rsid w:val="0088341E"/>
    <w:rsid w:val="0088400A"/>
    <w:rsid w:val="0088512E"/>
    <w:rsid w:val="008863DF"/>
    <w:rsid w:val="00886593"/>
    <w:rsid w:val="008878EE"/>
    <w:rsid w:val="00890ECC"/>
    <w:rsid w:val="00891165"/>
    <w:rsid w:val="00891443"/>
    <w:rsid w:val="00894106"/>
    <w:rsid w:val="0089419D"/>
    <w:rsid w:val="0089480C"/>
    <w:rsid w:val="00895851"/>
    <w:rsid w:val="00896084"/>
    <w:rsid w:val="00896B85"/>
    <w:rsid w:val="008A06B6"/>
    <w:rsid w:val="008A0B87"/>
    <w:rsid w:val="008A0D0C"/>
    <w:rsid w:val="008A13F8"/>
    <w:rsid w:val="008A1C8B"/>
    <w:rsid w:val="008A1EF1"/>
    <w:rsid w:val="008A360C"/>
    <w:rsid w:val="008A37B9"/>
    <w:rsid w:val="008A56A5"/>
    <w:rsid w:val="008A6B32"/>
    <w:rsid w:val="008A6D27"/>
    <w:rsid w:val="008A763B"/>
    <w:rsid w:val="008B039B"/>
    <w:rsid w:val="008B1531"/>
    <w:rsid w:val="008B1F50"/>
    <w:rsid w:val="008B244F"/>
    <w:rsid w:val="008B4205"/>
    <w:rsid w:val="008B54C7"/>
    <w:rsid w:val="008B7718"/>
    <w:rsid w:val="008B7A77"/>
    <w:rsid w:val="008C340C"/>
    <w:rsid w:val="008C3465"/>
    <w:rsid w:val="008C37CD"/>
    <w:rsid w:val="008C4D0F"/>
    <w:rsid w:val="008C550E"/>
    <w:rsid w:val="008C7620"/>
    <w:rsid w:val="008D0C52"/>
    <w:rsid w:val="008D0E54"/>
    <w:rsid w:val="008D1046"/>
    <w:rsid w:val="008D1795"/>
    <w:rsid w:val="008D1EAA"/>
    <w:rsid w:val="008D2740"/>
    <w:rsid w:val="008D39D4"/>
    <w:rsid w:val="008D40EC"/>
    <w:rsid w:val="008D4A82"/>
    <w:rsid w:val="008D544A"/>
    <w:rsid w:val="008D54B0"/>
    <w:rsid w:val="008D5C30"/>
    <w:rsid w:val="008D5DF5"/>
    <w:rsid w:val="008D5E49"/>
    <w:rsid w:val="008E0543"/>
    <w:rsid w:val="008E19E4"/>
    <w:rsid w:val="008E1A23"/>
    <w:rsid w:val="008E56F7"/>
    <w:rsid w:val="008E58C1"/>
    <w:rsid w:val="008E5CBF"/>
    <w:rsid w:val="008E6346"/>
    <w:rsid w:val="008F0C15"/>
    <w:rsid w:val="008F1812"/>
    <w:rsid w:val="008F28CE"/>
    <w:rsid w:val="008F2EDC"/>
    <w:rsid w:val="008F354F"/>
    <w:rsid w:val="008F3A88"/>
    <w:rsid w:val="008F41FE"/>
    <w:rsid w:val="008F4490"/>
    <w:rsid w:val="008F469B"/>
    <w:rsid w:val="008F5BBE"/>
    <w:rsid w:val="008F5DA8"/>
    <w:rsid w:val="008F687C"/>
    <w:rsid w:val="00901273"/>
    <w:rsid w:val="0090145E"/>
    <w:rsid w:val="00901B44"/>
    <w:rsid w:val="00903C84"/>
    <w:rsid w:val="00904B5E"/>
    <w:rsid w:val="0090575D"/>
    <w:rsid w:val="00906BB2"/>
    <w:rsid w:val="00906DF1"/>
    <w:rsid w:val="00906FD9"/>
    <w:rsid w:val="00907345"/>
    <w:rsid w:val="00910003"/>
    <w:rsid w:val="00910084"/>
    <w:rsid w:val="00910CBE"/>
    <w:rsid w:val="00910E2D"/>
    <w:rsid w:val="00914911"/>
    <w:rsid w:val="009151D1"/>
    <w:rsid w:val="009160F5"/>
    <w:rsid w:val="00916349"/>
    <w:rsid w:val="009170BD"/>
    <w:rsid w:val="00920EB6"/>
    <w:rsid w:val="00921E3D"/>
    <w:rsid w:val="00921E8E"/>
    <w:rsid w:val="00922F1D"/>
    <w:rsid w:val="00923EE5"/>
    <w:rsid w:val="00924211"/>
    <w:rsid w:val="009246ED"/>
    <w:rsid w:val="009277E8"/>
    <w:rsid w:val="00927B2B"/>
    <w:rsid w:val="00931782"/>
    <w:rsid w:val="00931A55"/>
    <w:rsid w:val="0093274C"/>
    <w:rsid w:val="00932779"/>
    <w:rsid w:val="009328F5"/>
    <w:rsid w:val="00933982"/>
    <w:rsid w:val="00935BD9"/>
    <w:rsid w:val="00937535"/>
    <w:rsid w:val="009379B9"/>
    <w:rsid w:val="009407FC"/>
    <w:rsid w:val="009411A3"/>
    <w:rsid w:val="00941A3F"/>
    <w:rsid w:val="009427AB"/>
    <w:rsid w:val="00942A35"/>
    <w:rsid w:val="00942D89"/>
    <w:rsid w:val="00942F71"/>
    <w:rsid w:val="00943CE3"/>
    <w:rsid w:val="00943F67"/>
    <w:rsid w:val="00945B24"/>
    <w:rsid w:val="00945C98"/>
    <w:rsid w:val="00946396"/>
    <w:rsid w:val="00946989"/>
    <w:rsid w:val="0095018F"/>
    <w:rsid w:val="00950FF3"/>
    <w:rsid w:val="009517CA"/>
    <w:rsid w:val="00953655"/>
    <w:rsid w:val="009544AF"/>
    <w:rsid w:val="0095479A"/>
    <w:rsid w:val="00954ABE"/>
    <w:rsid w:val="009554B5"/>
    <w:rsid w:val="00955786"/>
    <w:rsid w:val="009614ED"/>
    <w:rsid w:val="00965EC5"/>
    <w:rsid w:val="00966EF7"/>
    <w:rsid w:val="00967FB0"/>
    <w:rsid w:val="00971270"/>
    <w:rsid w:val="00971755"/>
    <w:rsid w:val="009767EC"/>
    <w:rsid w:val="009802A7"/>
    <w:rsid w:val="00980852"/>
    <w:rsid w:val="00983F72"/>
    <w:rsid w:val="009845AF"/>
    <w:rsid w:val="00990EB6"/>
    <w:rsid w:val="00991296"/>
    <w:rsid w:val="009912A8"/>
    <w:rsid w:val="00991D5C"/>
    <w:rsid w:val="009921B7"/>
    <w:rsid w:val="00992997"/>
    <w:rsid w:val="009933E5"/>
    <w:rsid w:val="009947F3"/>
    <w:rsid w:val="00995061"/>
    <w:rsid w:val="009A1896"/>
    <w:rsid w:val="009A2E2B"/>
    <w:rsid w:val="009A3379"/>
    <w:rsid w:val="009A3B0D"/>
    <w:rsid w:val="009A51B4"/>
    <w:rsid w:val="009A53AD"/>
    <w:rsid w:val="009A6B87"/>
    <w:rsid w:val="009A6C1E"/>
    <w:rsid w:val="009A7479"/>
    <w:rsid w:val="009B0728"/>
    <w:rsid w:val="009B4156"/>
    <w:rsid w:val="009B4515"/>
    <w:rsid w:val="009B5753"/>
    <w:rsid w:val="009B6991"/>
    <w:rsid w:val="009C24FD"/>
    <w:rsid w:val="009C2549"/>
    <w:rsid w:val="009C49A1"/>
    <w:rsid w:val="009C613C"/>
    <w:rsid w:val="009C6354"/>
    <w:rsid w:val="009C73FD"/>
    <w:rsid w:val="009C7C4E"/>
    <w:rsid w:val="009D2115"/>
    <w:rsid w:val="009D26F4"/>
    <w:rsid w:val="009D27CE"/>
    <w:rsid w:val="009D2D76"/>
    <w:rsid w:val="009D6635"/>
    <w:rsid w:val="009D71F2"/>
    <w:rsid w:val="009E0245"/>
    <w:rsid w:val="009E13A1"/>
    <w:rsid w:val="009E222A"/>
    <w:rsid w:val="009E2E7A"/>
    <w:rsid w:val="009E5E99"/>
    <w:rsid w:val="009E6601"/>
    <w:rsid w:val="009E6708"/>
    <w:rsid w:val="009F0872"/>
    <w:rsid w:val="009F08EF"/>
    <w:rsid w:val="009F16A9"/>
    <w:rsid w:val="009F1FAB"/>
    <w:rsid w:val="009F762A"/>
    <w:rsid w:val="009F7D63"/>
    <w:rsid w:val="009F7DB2"/>
    <w:rsid w:val="009F7DD5"/>
    <w:rsid w:val="00A00F39"/>
    <w:rsid w:val="00A014BB"/>
    <w:rsid w:val="00A023C4"/>
    <w:rsid w:val="00A03409"/>
    <w:rsid w:val="00A04062"/>
    <w:rsid w:val="00A056C4"/>
    <w:rsid w:val="00A111D5"/>
    <w:rsid w:val="00A1268E"/>
    <w:rsid w:val="00A126B3"/>
    <w:rsid w:val="00A12F1B"/>
    <w:rsid w:val="00A13B5F"/>
    <w:rsid w:val="00A148F8"/>
    <w:rsid w:val="00A17D91"/>
    <w:rsid w:val="00A22C4A"/>
    <w:rsid w:val="00A22C8C"/>
    <w:rsid w:val="00A22ED6"/>
    <w:rsid w:val="00A24EC7"/>
    <w:rsid w:val="00A2725C"/>
    <w:rsid w:val="00A27308"/>
    <w:rsid w:val="00A27EF3"/>
    <w:rsid w:val="00A3173D"/>
    <w:rsid w:val="00A32A67"/>
    <w:rsid w:val="00A34F05"/>
    <w:rsid w:val="00A4079F"/>
    <w:rsid w:val="00A42249"/>
    <w:rsid w:val="00A42D65"/>
    <w:rsid w:val="00A43A14"/>
    <w:rsid w:val="00A4448E"/>
    <w:rsid w:val="00A44DAE"/>
    <w:rsid w:val="00A502F8"/>
    <w:rsid w:val="00A51D72"/>
    <w:rsid w:val="00A52890"/>
    <w:rsid w:val="00A52E89"/>
    <w:rsid w:val="00A53925"/>
    <w:rsid w:val="00A53D61"/>
    <w:rsid w:val="00A552FE"/>
    <w:rsid w:val="00A55B04"/>
    <w:rsid w:val="00A567D7"/>
    <w:rsid w:val="00A57B91"/>
    <w:rsid w:val="00A60F61"/>
    <w:rsid w:val="00A61E86"/>
    <w:rsid w:val="00A624BE"/>
    <w:rsid w:val="00A62DA9"/>
    <w:rsid w:val="00A63CF9"/>
    <w:rsid w:val="00A644F6"/>
    <w:rsid w:val="00A66B7D"/>
    <w:rsid w:val="00A67D83"/>
    <w:rsid w:val="00A7092F"/>
    <w:rsid w:val="00A73DAC"/>
    <w:rsid w:val="00A749E9"/>
    <w:rsid w:val="00A74F4D"/>
    <w:rsid w:val="00A757B4"/>
    <w:rsid w:val="00A76CD9"/>
    <w:rsid w:val="00A80207"/>
    <w:rsid w:val="00A80F3E"/>
    <w:rsid w:val="00A816FF"/>
    <w:rsid w:val="00A82EB5"/>
    <w:rsid w:val="00A82F25"/>
    <w:rsid w:val="00A83746"/>
    <w:rsid w:val="00A85D5F"/>
    <w:rsid w:val="00A8616E"/>
    <w:rsid w:val="00A864E3"/>
    <w:rsid w:val="00A87178"/>
    <w:rsid w:val="00A873DC"/>
    <w:rsid w:val="00A87914"/>
    <w:rsid w:val="00A87B5D"/>
    <w:rsid w:val="00A9025E"/>
    <w:rsid w:val="00A90AF8"/>
    <w:rsid w:val="00A9230F"/>
    <w:rsid w:val="00A93147"/>
    <w:rsid w:val="00A95406"/>
    <w:rsid w:val="00A95594"/>
    <w:rsid w:val="00AA0BCF"/>
    <w:rsid w:val="00AA27B5"/>
    <w:rsid w:val="00AA6819"/>
    <w:rsid w:val="00AA72CD"/>
    <w:rsid w:val="00AB0CA7"/>
    <w:rsid w:val="00AB5B34"/>
    <w:rsid w:val="00AB5C4E"/>
    <w:rsid w:val="00AB61F8"/>
    <w:rsid w:val="00AB6564"/>
    <w:rsid w:val="00AB6BBA"/>
    <w:rsid w:val="00AC0171"/>
    <w:rsid w:val="00AC103A"/>
    <w:rsid w:val="00AC1E6F"/>
    <w:rsid w:val="00AC2B08"/>
    <w:rsid w:val="00AC3640"/>
    <w:rsid w:val="00AC53E8"/>
    <w:rsid w:val="00AC5F18"/>
    <w:rsid w:val="00AC644D"/>
    <w:rsid w:val="00AC69D1"/>
    <w:rsid w:val="00AC6C79"/>
    <w:rsid w:val="00AC6E9C"/>
    <w:rsid w:val="00AC7BAF"/>
    <w:rsid w:val="00AD1496"/>
    <w:rsid w:val="00AD261D"/>
    <w:rsid w:val="00AD29D7"/>
    <w:rsid w:val="00AD329A"/>
    <w:rsid w:val="00AD4107"/>
    <w:rsid w:val="00AD44AD"/>
    <w:rsid w:val="00AD5C6E"/>
    <w:rsid w:val="00AD6A3A"/>
    <w:rsid w:val="00AD7711"/>
    <w:rsid w:val="00AE1C1B"/>
    <w:rsid w:val="00AE1FCB"/>
    <w:rsid w:val="00AE262E"/>
    <w:rsid w:val="00AE301F"/>
    <w:rsid w:val="00AE4B81"/>
    <w:rsid w:val="00AE5CF6"/>
    <w:rsid w:val="00AE5DE8"/>
    <w:rsid w:val="00AE6FAC"/>
    <w:rsid w:val="00AE75FD"/>
    <w:rsid w:val="00AF1B3C"/>
    <w:rsid w:val="00AF2A1E"/>
    <w:rsid w:val="00AF4389"/>
    <w:rsid w:val="00AF4B49"/>
    <w:rsid w:val="00B0045C"/>
    <w:rsid w:val="00B007C0"/>
    <w:rsid w:val="00B018DD"/>
    <w:rsid w:val="00B01D02"/>
    <w:rsid w:val="00B02C92"/>
    <w:rsid w:val="00B02E77"/>
    <w:rsid w:val="00B02E85"/>
    <w:rsid w:val="00B03DB6"/>
    <w:rsid w:val="00B04183"/>
    <w:rsid w:val="00B04333"/>
    <w:rsid w:val="00B05764"/>
    <w:rsid w:val="00B05DA0"/>
    <w:rsid w:val="00B06D17"/>
    <w:rsid w:val="00B0737C"/>
    <w:rsid w:val="00B103A8"/>
    <w:rsid w:val="00B106C1"/>
    <w:rsid w:val="00B10AE2"/>
    <w:rsid w:val="00B10BE0"/>
    <w:rsid w:val="00B10D60"/>
    <w:rsid w:val="00B11F92"/>
    <w:rsid w:val="00B134FB"/>
    <w:rsid w:val="00B13D5D"/>
    <w:rsid w:val="00B1682C"/>
    <w:rsid w:val="00B16FBE"/>
    <w:rsid w:val="00B17A7B"/>
    <w:rsid w:val="00B207B6"/>
    <w:rsid w:val="00B20D9D"/>
    <w:rsid w:val="00B20E4E"/>
    <w:rsid w:val="00B222D0"/>
    <w:rsid w:val="00B227A9"/>
    <w:rsid w:val="00B227DF"/>
    <w:rsid w:val="00B228DE"/>
    <w:rsid w:val="00B22D42"/>
    <w:rsid w:val="00B234B7"/>
    <w:rsid w:val="00B23FCF"/>
    <w:rsid w:val="00B258D7"/>
    <w:rsid w:val="00B2679D"/>
    <w:rsid w:val="00B271EC"/>
    <w:rsid w:val="00B277CE"/>
    <w:rsid w:val="00B311E5"/>
    <w:rsid w:val="00B31781"/>
    <w:rsid w:val="00B32FEA"/>
    <w:rsid w:val="00B33981"/>
    <w:rsid w:val="00B33C20"/>
    <w:rsid w:val="00B33E09"/>
    <w:rsid w:val="00B3574B"/>
    <w:rsid w:val="00B357D3"/>
    <w:rsid w:val="00B362CA"/>
    <w:rsid w:val="00B364D0"/>
    <w:rsid w:val="00B37412"/>
    <w:rsid w:val="00B37BB4"/>
    <w:rsid w:val="00B40902"/>
    <w:rsid w:val="00B415BC"/>
    <w:rsid w:val="00B41838"/>
    <w:rsid w:val="00B42777"/>
    <w:rsid w:val="00B429DB"/>
    <w:rsid w:val="00B5029E"/>
    <w:rsid w:val="00B505B4"/>
    <w:rsid w:val="00B51532"/>
    <w:rsid w:val="00B51694"/>
    <w:rsid w:val="00B51C0B"/>
    <w:rsid w:val="00B53C5B"/>
    <w:rsid w:val="00B5657A"/>
    <w:rsid w:val="00B56CF5"/>
    <w:rsid w:val="00B574F4"/>
    <w:rsid w:val="00B60488"/>
    <w:rsid w:val="00B604C3"/>
    <w:rsid w:val="00B6205F"/>
    <w:rsid w:val="00B62486"/>
    <w:rsid w:val="00B62D93"/>
    <w:rsid w:val="00B631B3"/>
    <w:rsid w:val="00B63D2C"/>
    <w:rsid w:val="00B64D4C"/>
    <w:rsid w:val="00B65D45"/>
    <w:rsid w:val="00B66ECA"/>
    <w:rsid w:val="00B677B3"/>
    <w:rsid w:val="00B67C39"/>
    <w:rsid w:val="00B70A71"/>
    <w:rsid w:val="00B73F42"/>
    <w:rsid w:val="00B76733"/>
    <w:rsid w:val="00B800F8"/>
    <w:rsid w:val="00B808AA"/>
    <w:rsid w:val="00B81B1D"/>
    <w:rsid w:val="00B81C3D"/>
    <w:rsid w:val="00B82C4C"/>
    <w:rsid w:val="00B8447C"/>
    <w:rsid w:val="00B84774"/>
    <w:rsid w:val="00B84DE6"/>
    <w:rsid w:val="00B86581"/>
    <w:rsid w:val="00B91093"/>
    <w:rsid w:val="00B9130E"/>
    <w:rsid w:val="00B91770"/>
    <w:rsid w:val="00B931BC"/>
    <w:rsid w:val="00B937BC"/>
    <w:rsid w:val="00B94337"/>
    <w:rsid w:val="00B94AF0"/>
    <w:rsid w:val="00B96888"/>
    <w:rsid w:val="00B9690C"/>
    <w:rsid w:val="00B97F30"/>
    <w:rsid w:val="00BA093E"/>
    <w:rsid w:val="00BA0AC1"/>
    <w:rsid w:val="00BA0C1B"/>
    <w:rsid w:val="00BA0F5A"/>
    <w:rsid w:val="00BA2BD6"/>
    <w:rsid w:val="00BA6329"/>
    <w:rsid w:val="00BA6746"/>
    <w:rsid w:val="00BA70BE"/>
    <w:rsid w:val="00BA72CC"/>
    <w:rsid w:val="00BA78D5"/>
    <w:rsid w:val="00BA7BE1"/>
    <w:rsid w:val="00BB054D"/>
    <w:rsid w:val="00BB1BF6"/>
    <w:rsid w:val="00BB422E"/>
    <w:rsid w:val="00BB4FAD"/>
    <w:rsid w:val="00BB522B"/>
    <w:rsid w:val="00BB6013"/>
    <w:rsid w:val="00BB7E31"/>
    <w:rsid w:val="00BC1350"/>
    <w:rsid w:val="00BC236B"/>
    <w:rsid w:val="00BC2FE3"/>
    <w:rsid w:val="00BC3769"/>
    <w:rsid w:val="00BC752E"/>
    <w:rsid w:val="00BD0B22"/>
    <w:rsid w:val="00BD1A84"/>
    <w:rsid w:val="00BD2479"/>
    <w:rsid w:val="00BD251E"/>
    <w:rsid w:val="00BD4290"/>
    <w:rsid w:val="00BD542B"/>
    <w:rsid w:val="00BD59F3"/>
    <w:rsid w:val="00BD62D8"/>
    <w:rsid w:val="00BD63E6"/>
    <w:rsid w:val="00BD6F1A"/>
    <w:rsid w:val="00BD7BA4"/>
    <w:rsid w:val="00BE039E"/>
    <w:rsid w:val="00BE2159"/>
    <w:rsid w:val="00BE50EE"/>
    <w:rsid w:val="00BE5F8A"/>
    <w:rsid w:val="00BE7EDA"/>
    <w:rsid w:val="00BE7F92"/>
    <w:rsid w:val="00BF47F3"/>
    <w:rsid w:val="00BF482D"/>
    <w:rsid w:val="00BF56D4"/>
    <w:rsid w:val="00BF7874"/>
    <w:rsid w:val="00BF7934"/>
    <w:rsid w:val="00C0057B"/>
    <w:rsid w:val="00C00B26"/>
    <w:rsid w:val="00C00DAA"/>
    <w:rsid w:val="00C0147B"/>
    <w:rsid w:val="00C01E13"/>
    <w:rsid w:val="00C022FD"/>
    <w:rsid w:val="00C0408E"/>
    <w:rsid w:val="00C0461B"/>
    <w:rsid w:val="00C061EC"/>
    <w:rsid w:val="00C06944"/>
    <w:rsid w:val="00C07075"/>
    <w:rsid w:val="00C1412A"/>
    <w:rsid w:val="00C16324"/>
    <w:rsid w:val="00C17021"/>
    <w:rsid w:val="00C21F86"/>
    <w:rsid w:val="00C22FFD"/>
    <w:rsid w:val="00C233F9"/>
    <w:rsid w:val="00C23F34"/>
    <w:rsid w:val="00C240D0"/>
    <w:rsid w:val="00C24AE5"/>
    <w:rsid w:val="00C30675"/>
    <w:rsid w:val="00C34A65"/>
    <w:rsid w:val="00C35356"/>
    <w:rsid w:val="00C35900"/>
    <w:rsid w:val="00C36B19"/>
    <w:rsid w:val="00C36BCD"/>
    <w:rsid w:val="00C42F47"/>
    <w:rsid w:val="00C42FB0"/>
    <w:rsid w:val="00C435EC"/>
    <w:rsid w:val="00C43E1D"/>
    <w:rsid w:val="00C46BEA"/>
    <w:rsid w:val="00C472AB"/>
    <w:rsid w:val="00C47CB3"/>
    <w:rsid w:val="00C47D64"/>
    <w:rsid w:val="00C512F8"/>
    <w:rsid w:val="00C51A89"/>
    <w:rsid w:val="00C51F8E"/>
    <w:rsid w:val="00C53105"/>
    <w:rsid w:val="00C53348"/>
    <w:rsid w:val="00C54841"/>
    <w:rsid w:val="00C54B49"/>
    <w:rsid w:val="00C60C97"/>
    <w:rsid w:val="00C625A2"/>
    <w:rsid w:val="00C628A2"/>
    <w:rsid w:val="00C62E8D"/>
    <w:rsid w:val="00C63267"/>
    <w:rsid w:val="00C65495"/>
    <w:rsid w:val="00C66C8D"/>
    <w:rsid w:val="00C67359"/>
    <w:rsid w:val="00C67B7A"/>
    <w:rsid w:val="00C67DC8"/>
    <w:rsid w:val="00C71867"/>
    <w:rsid w:val="00C72286"/>
    <w:rsid w:val="00C738ED"/>
    <w:rsid w:val="00C74437"/>
    <w:rsid w:val="00C754FE"/>
    <w:rsid w:val="00C8143E"/>
    <w:rsid w:val="00C816ED"/>
    <w:rsid w:val="00C828C2"/>
    <w:rsid w:val="00C82B32"/>
    <w:rsid w:val="00C830E3"/>
    <w:rsid w:val="00C840A3"/>
    <w:rsid w:val="00C8443C"/>
    <w:rsid w:val="00C850F1"/>
    <w:rsid w:val="00C8565C"/>
    <w:rsid w:val="00C85CB7"/>
    <w:rsid w:val="00C866C1"/>
    <w:rsid w:val="00C87D05"/>
    <w:rsid w:val="00C9151F"/>
    <w:rsid w:val="00C92F42"/>
    <w:rsid w:val="00C934B8"/>
    <w:rsid w:val="00C94690"/>
    <w:rsid w:val="00C9518D"/>
    <w:rsid w:val="00CA16AE"/>
    <w:rsid w:val="00CA23FF"/>
    <w:rsid w:val="00CA28C9"/>
    <w:rsid w:val="00CA399E"/>
    <w:rsid w:val="00CA5C03"/>
    <w:rsid w:val="00CA609D"/>
    <w:rsid w:val="00CA60E3"/>
    <w:rsid w:val="00CA645D"/>
    <w:rsid w:val="00CA66FE"/>
    <w:rsid w:val="00CB0D86"/>
    <w:rsid w:val="00CB0DF1"/>
    <w:rsid w:val="00CB34BD"/>
    <w:rsid w:val="00CB4937"/>
    <w:rsid w:val="00CB4A07"/>
    <w:rsid w:val="00CB4C72"/>
    <w:rsid w:val="00CB79A8"/>
    <w:rsid w:val="00CB7EC9"/>
    <w:rsid w:val="00CC0B0C"/>
    <w:rsid w:val="00CC1EA6"/>
    <w:rsid w:val="00CC460D"/>
    <w:rsid w:val="00CC5914"/>
    <w:rsid w:val="00CC594A"/>
    <w:rsid w:val="00CC59B8"/>
    <w:rsid w:val="00CD085D"/>
    <w:rsid w:val="00CD1308"/>
    <w:rsid w:val="00CD132B"/>
    <w:rsid w:val="00CD1AC1"/>
    <w:rsid w:val="00CD20F9"/>
    <w:rsid w:val="00CD2522"/>
    <w:rsid w:val="00CD3B61"/>
    <w:rsid w:val="00CD3CAB"/>
    <w:rsid w:val="00CD48CA"/>
    <w:rsid w:val="00CD5094"/>
    <w:rsid w:val="00CD532A"/>
    <w:rsid w:val="00CD7FEC"/>
    <w:rsid w:val="00CE147B"/>
    <w:rsid w:val="00CE1A15"/>
    <w:rsid w:val="00CE2103"/>
    <w:rsid w:val="00CE2487"/>
    <w:rsid w:val="00CE2883"/>
    <w:rsid w:val="00CE52EE"/>
    <w:rsid w:val="00CE547C"/>
    <w:rsid w:val="00CE588B"/>
    <w:rsid w:val="00CE5AC0"/>
    <w:rsid w:val="00CE731D"/>
    <w:rsid w:val="00CF088B"/>
    <w:rsid w:val="00CF0CDE"/>
    <w:rsid w:val="00CF0FEF"/>
    <w:rsid w:val="00CF3F70"/>
    <w:rsid w:val="00CF54BC"/>
    <w:rsid w:val="00CF5DA8"/>
    <w:rsid w:val="00CF7E77"/>
    <w:rsid w:val="00D000D0"/>
    <w:rsid w:val="00D01C28"/>
    <w:rsid w:val="00D02EBD"/>
    <w:rsid w:val="00D03639"/>
    <w:rsid w:val="00D0373E"/>
    <w:rsid w:val="00D05B76"/>
    <w:rsid w:val="00D066FF"/>
    <w:rsid w:val="00D133B2"/>
    <w:rsid w:val="00D143BA"/>
    <w:rsid w:val="00D1557E"/>
    <w:rsid w:val="00D16DCF"/>
    <w:rsid w:val="00D220FC"/>
    <w:rsid w:val="00D22413"/>
    <w:rsid w:val="00D23908"/>
    <w:rsid w:val="00D23C2B"/>
    <w:rsid w:val="00D25790"/>
    <w:rsid w:val="00D26710"/>
    <w:rsid w:val="00D272C3"/>
    <w:rsid w:val="00D30D1F"/>
    <w:rsid w:val="00D33D6E"/>
    <w:rsid w:val="00D33EC0"/>
    <w:rsid w:val="00D34D41"/>
    <w:rsid w:val="00D374E8"/>
    <w:rsid w:val="00D37717"/>
    <w:rsid w:val="00D37BB2"/>
    <w:rsid w:val="00D40221"/>
    <w:rsid w:val="00D42025"/>
    <w:rsid w:val="00D42EB6"/>
    <w:rsid w:val="00D433DF"/>
    <w:rsid w:val="00D438D6"/>
    <w:rsid w:val="00D43E05"/>
    <w:rsid w:val="00D440ED"/>
    <w:rsid w:val="00D44D35"/>
    <w:rsid w:val="00D467BD"/>
    <w:rsid w:val="00D47144"/>
    <w:rsid w:val="00D5511D"/>
    <w:rsid w:val="00D55C9D"/>
    <w:rsid w:val="00D56AF7"/>
    <w:rsid w:val="00D57C82"/>
    <w:rsid w:val="00D60225"/>
    <w:rsid w:val="00D603F4"/>
    <w:rsid w:val="00D6125B"/>
    <w:rsid w:val="00D62EB2"/>
    <w:rsid w:val="00D63875"/>
    <w:rsid w:val="00D638D2"/>
    <w:rsid w:val="00D64460"/>
    <w:rsid w:val="00D66B9B"/>
    <w:rsid w:val="00D66D66"/>
    <w:rsid w:val="00D66E5E"/>
    <w:rsid w:val="00D7091E"/>
    <w:rsid w:val="00D70E3B"/>
    <w:rsid w:val="00D71743"/>
    <w:rsid w:val="00D72B3F"/>
    <w:rsid w:val="00D72B7F"/>
    <w:rsid w:val="00D73D99"/>
    <w:rsid w:val="00D74EE4"/>
    <w:rsid w:val="00D75129"/>
    <w:rsid w:val="00D75D11"/>
    <w:rsid w:val="00D76EAF"/>
    <w:rsid w:val="00D773DD"/>
    <w:rsid w:val="00D800B1"/>
    <w:rsid w:val="00D81188"/>
    <w:rsid w:val="00D812D3"/>
    <w:rsid w:val="00D8218C"/>
    <w:rsid w:val="00D821EA"/>
    <w:rsid w:val="00D82F0E"/>
    <w:rsid w:val="00D85ABF"/>
    <w:rsid w:val="00D85D0A"/>
    <w:rsid w:val="00D869D1"/>
    <w:rsid w:val="00D86BF1"/>
    <w:rsid w:val="00D870FB"/>
    <w:rsid w:val="00D91AEC"/>
    <w:rsid w:val="00D91B20"/>
    <w:rsid w:val="00D91DCB"/>
    <w:rsid w:val="00D93186"/>
    <w:rsid w:val="00D94523"/>
    <w:rsid w:val="00D94924"/>
    <w:rsid w:val="00D94EC2"/>
    <w:rsid w:val="00D97710"/>
    <w:rsid w:val="00D97E00"/>
    <w:rsid w:val="00DA0694"/>
    <w:rsid w:val="00DA0ADC"/>
    <w:rsid w:val="00DA12AD"/>
    <w:rsid w:val="00DA3446"/>
    <w:rsid w:val="00DA39F3"/>
    <w:rsid w:val="00DA43E4"/>
    <w:rsid w:val="00DA58E1"/>
    <w:rsid w:val="00DA770A"/>
    <w:rsid w:val="00DA7E45"/>
    <w:rsid w:val="00DB03CD"/>
    <w:rsid w:val="00DB0A44"/>
    <w:rsid w:val="00DB1C10"/>
    <w:rsid w:val="00DB3421"/>
    <w:rsid w:val="00DB37CE"/>
    <w:rsid w:val="00DB44D3"/>
    <w:rsid w:val="00DB5043"/>
    <w:rsid w:val="00DB5104"/>
    <w:rsid w:val="00DB57EA"/>
    <w:rsid w:val="00DB59F8"/>
    <w:rsid w:val="00DB5E4D"/>
    <w:rsid w:val="00DB6567"/>
    <w:rsid w:val="00DB69E9"/>
    <w:rsid w:val="00DB6DAD"/>
    <w:rsid w:val="00DC16CF"/>
    <w:rsid w:val="00DC2315"/>
    <w:rsid w:val="00DC2358"/>
    <w:rsid w:val="00DC32D1"/>
    <w:rsid w:val="00DC47FD"/>
    <w:rsid w:val="00DC4EC9"/>
    <w:rsid w:val="00DC594C"/>
    <w:rsid w:val="00DC69E2"/>
    <w:rsid w:val="00DD04BB"/>
    <w:rsid w:val="00DD07EC"/>
    <w:rsid w:val="00DD1AF3"/>
    <w:rsid w:val="00DD2DAC"/>
    <w:rsid w:val="00DD41D6"/>
    <w:rsid w:val="00DD4EB9"/>
    <w:rsid w:val="00DD6531"/>
    <w:rsid w:val="00DD6B65"/>
    <w:rsid w:val="00DD728D"/>
    <w:rsid w:val="00DD7796"/>
    <w:rsid w:val="00DD79E2"/>
    <w:rsid w:val="00DE03C7"/>
    <w:rsid w:val="00DE130A"/>
    <w:rsid w:val="00DE1648"/>
    <w:rsid w:val="00DE2A37"/>
    <w:rsid w:val="00DE2A66"/>
    <w:rsid w:val="00DE5FDA"/>
    <w:rsid w:val="00DE6ADF"/>
    <w:rsid w:val="00DE6C67"/>
    <w:rsid w:val="00DE7D96"/>
    <w:rsid w:val="00DF0FB4"/>
    <w:rsid w:val="00DF2628"/>
    <w:rsid w:val="00DF3311"/>
    <w:rsid w:val="00DF334D"/>
    <w:rsid w:val="00DF3C4F"/>
    <w:rsid w:val="00DF443B"/>
    <w:rsid w:val="00DF4801"/>
    <w:rsid w:val="00DF4B8C"/>
    <w:rsid w:val="00DF50EE"/>
    <w:rsid w:val="00DF60E9"/>
    <w:rsid w:val="00DF6C0C"/>
    <w:rsid w:val="00DF779B"/>
    <w:rsid w:val="00E00BB1"/>
    <w:rsid w:val="00E01573"/>
    <w:rsid w:val="00E029DE"/>
    <w:rsid w:val="00E031C5"/>
    <w:rsid w:val="00E03672"/>
    <w:rsid w:val="00E039C2"/>
    <w:rsid w:val="00E04F7E"/>
    <w:rsid w:val="00E05226"/>
    <w:rsid w:val="00E05AA9"/>
    <w:rsid w:val="00E07866"/>
    <w:rsid w:val="00E07AF1"/>
    <w:rsid w:val="00E104F3"/>
    <w:rsid w:val="00E11E13"/>
    <w:rsid w:val="00E12868"/>
    <w:rsid w:val="00E137AE"/>
    <w:rsid w:val="00E137B3"/>
    <w:rsid w:val="00E13AAD"/>
    <w:rsid w:val="00E13BFC"/>
    <w:rsid w:val="00E13E5D"/>
    <w:rsid w:val="00E15774"/>
    <w:rsid w:val="00E17342"/>
    <w:rsid w:val="00E17637"/>
    <w:rsid w:val="00E17B90"/>
    <w:rsid w:val="00E17E9B"/>
    <w:rsid w:val="00E21864"/>
    <w:rsid w:val="00E228AC"/>
    <w:rsid w:val="00E24D6D"/>
    <w:rsid w:val="00E26F40"/>
    <w:rsid w:val="00E31301"/>
    <w:rsid w:val="00E315A5"/>
    <w:rsid w:val="00E3169E"/>
    <w:rsid w:val="00E33D29"/>
    <w:rsid w:val="00E35C74"/>
    <w:rsid w:val="00E35D91"/>
    <w:rsid w:val="00E35E20"/>
    <w:rsid w:val="00E37A14"/>
    <w:rsid w:val="00E4263F"/>
    <w:rsid w:val="00E43C08"/>
    <w:rsid w:val="00E45085"/>
    <w:rsid w:val="00E4569B"/>
    <w:rsid w:val="00E47D81"/>
    <w:rsid w:val="00E5050C"/>
    <w:rsid w:val="00E50EBB"/>
    <w:rsid w:val="00E512A6"/>
    <w:rsid w:val="00E52A82"/>
    <w:rsid w:val="00E52E92"/>
    <w:rsid w:val="00E53A48"/>
    <w:rsid w:val="00E60382"/>
    <w:rsid w:val="00E61609"/>
    <w:rsid w:val="00E64ADD"/>
    <w:rsid w:val="00E6570A"/>
    <w:rsid w:val="00E66409"/>
    <w:rsid w:val="00E66A08"/>
    <w:rsid w:val="00E67107"/>
    <w:rsid w:val="00E67AD5"/>
    <w:rsid w:val="00E67B94"/>
    <w:rsid w:val="00E70F4E"/>
    <w:rsid w:val="00E71A7A"/>
    <w:rsid w:val="00E73D35"/>
    <w:rsid w:val="00E73D8E"/>
    <w:rsid w:val="00E762B8"/>
    <w:rsid w:val="00E778B5"/>
    <w:rsid w:val="00E81701"/>
    <w:rsid w:val="00E81745"/>
    <w:rsid w:val="00E82098"/>
    <w:rsid w:val="00E82344"/>
    <w:rsid w:val="00E83739"/>
    <w:rsid w:val="00E84060"/>
    <w:rsid w:val="00E846D4"/>
    <w:rsid w:val="00E84EA5"/>
    <w:rsid w:val="00E84FE5"/>
    <w:rsid w:val="00E8699B"/>
    <w:rsid w:val="00E86D33"/>
    <w:rsid w:val="00E9078A"/>
    <w:rsid w:val="00E90B56"/>
    <w:rsid w:val="00E90C4D"/>
    <w:rsid w:val="00E91A7B"/>
    <w:rsid w:val="00E9232B"/>
    <w:rsid w:val="00E92D49"/>
    <w:rsid w:val="00E9438A"/>
    <w:rsid w:val="00E94D51"/>
    <w:rsid w:val="00E9503F"/>
    <w:rsid w:val="00E95105"/>
    <w:rsid w:val="00E95221"/>
    <w:rsid w:val="00E95E42"/>
    <w:rsid w:val="00E9675A"/>
    <w:rsid w:val="00EA1CDD"/>
    <w:rsid w:val="00EA2547"/>
    <w:rsid w:val="00EA3441"/>
    <w:rsid w:val="00EA46E9"/>
    <w:rsid w:val="00EA5671"/>
    <w:rsid w:val="00EA77C3"/>
    <w:rsid w:val="00EB039A"/>
    <w:rsid w:val="00EB0A66"/>
    <w:rsid w:val="00EB150A"/>
    <w:rsid w:val="00EB5329"/>
    <w:rsid w:val="00EB5C9B"/>
    <w:rsid w:val="00EB6A99"/>
    <w:rsid w:val="00EB6E44"/>
    <w:rsid w:val="00EB7341"/>
    <w:rsid w:val="00EB734C"/>
    <w:rsid w:val="00EC043C"/>
    <w:rsid w:val="00EC17D6"/>
    <w:rsid w:val="00EC20C0"/>
    <w:rsid w:val="00EC2911"/>
    <w:rsid w:val="00EC32E0"/>
    <w:rsid w:val="00EC525D"/>
    <w:rsid w:val="00EC56F6"/>
    <w:rsid w:val="00EC702D"/>
    <w:rsid w:val="00EC7078"/>
    <w:rsid w:val="00EC7F29"/>
    <w:rsid w:val="00ED158B"/>
    <w:rsid w:val="00ED3478"/>
    <w:rsid w:val="00ED4D9C"/>
    <w:rsid w:val="00ED502E"/>
    <w:rsid w:val="00ED6CB8"/>
    <w:rsid w:val="00ED75AE"/>
    <w:rsid w:val="00ED79B6"/>
    <w:rsid w:val="00ED7E39"/>
    <w:rsid w:val="00EE1AF5"/>
    <w:rsid w:val="00EE2B3E"/>
    <w:rsid w:val="00EE2CD4"/>
    <w:rsid w:val="00EE3656"/>
    <w:rsid w:val="00EE4D90"/>
    <w:rsid w:val="00EE4DE6"/>
    <w:rsid w:val="00EE5555"/>
    <w:rsid w:val="00EE6ED4"/>
    <w:rsid w:val="00EE7896"/>
    <w:rsid w:val="00EE7C7D"/>
    <w:rsid w:val="00EF1025"/>
    <w:rsid w:val="00EF6546"/>
    <w:rsid w:val="00EF6BDC"/>
    <w:rsid w:val="00EF6CC0"/>
    <w:rsid w:val="00EF70FC"/>
    <w:rsid w:val="00EF7E14"/>
    <w:rsid w:val="00F0010C"/>
    <w:rsid w:val="00F00606"/>
    <w:rsid w:val="00F016F3"/>
    <w:rsid w:val="00F01719"/>
    <w:rsid w:val="00F02E1C"/>
    <w:rsid w:val="00F04E47"/>
    <w:rsid w:val="00F061D4"/>
    <w:rsid w:val="00F06417"/>
    <w:rsid w:val="00F07502"/>
    <w:rsid w:val="00F10AB0"/>
    <w:rsid w:val="00F10D10"/>
    <w:rsid w:val="00F110A4"/>
    <w:rsid w:val="00F117F6"/>
    <w:rsid w:val="00F119D7"/>
    <w:rsid w:val="00F11CCA"/>
    <w:rsid w:val="00F11FFB"/>
    <w:rsid w:val="00F124F9"/>
    <w:rsid w:val="00F139FC"/>
    <w:rsid w:val="00F140F4"/>
    <w:rsid w:val="00F14879"/>
    <w:rsid w:val="00F14B64"/>
    <w:rsid w:val="00F1550D"/>
    <w:rsid w:val="00F24BA5"/>
    <w:rsid w:val="00F25775"/>
    <w:rsid w:val="00F301FD"/>
    <w:rsid w:val="00F30522"/>
    <w:rsid w:val="00F309DE"/>
    <w:rsid w:val="00F314D5"/>
    <w:rsid w:val="00F3154F"/>
    <w:rsid w:val="00F31E9E"/>
    <w:rsid w:val="00F32275"/>
    <w:rsid w:val="00F336EA"/>
    <w:rsid w:val="00F34359"/>
    <w:rsid w:val="00F344A9"/>
    <w:rsid w:val="00F34E20"/>
    <w:rsid w:val="00F35F54"/>
    <w:rsid w:val="00F419CC"/>
    <w:rsid w:val="00F43444"/>
    <w:rsid w:val="00F46F31"/>
    <w:rsid w:val="00F47158"/>
    <w:rsid w:val="00F47BEE"/>
    <w:rsid w:val="00F51AF2"/>
    <w:rsid w:val="00F524DF"/>
    <w:rsid w:val="00F55C8B"/>
    <w:rsid w:val="00F56015"/>
    <w:rsid w:val="00F566AD"/>
    <w:rsid w:val="00F56F31"/>
    <w:rsid w:val="00F57EF9"/>
    <w:rsid w:val="00F603C0"/>
    <w:rsid w:val="00F61A2A"/>
    <w:rsid w:val="00F63A1C"/>
    <w:rsid w:val="00F64158"/>
    <w:rsid w:val="00F652EE"/>
    <w:rsid w:val="00F660F5"/>
    <w:rsid w:val="00F6713D"/>
    <w:rsid w:val="00F715DA"/>
    <w:rsid w:val="00F7194C"/>
    <w:rsid w:val="00F71E23"/>
    <w:rsid w:val="00F727C9"/>
    <w:rsid w:val="00F72A20"/>
    <w:rsid w:val="00F7387A"/>
    <w:rsid w:val="00F73D9D"/>
    <w:rsid w:val="00F764E7"/>
    <w:rsid w:val="00F77EC2"/>
    <w:rsid w:val="00F80976"/>
    <w:rsid w:val="00F82966"/>
    <w:rsid w:val="00F82DA3"/>
    <w:rsid w:val="00F8470F"/>
    <w:rsid w:val="00F847FD"/>
    <w:rsid w:val="00F904C6"/>
    <w:rsid w:val="00F90D72"/>
    <w:rsid w:val="00F9136C"/>
    <w:rsid w:val="00F91837"/>
    <w:rsid w:val="00F93C96"/>
    <w:rsid w:val="00F93D4A"/>
    <w:rsid w:val="00F96689"/>
    <w:rsid w:val="00F972AA"/>
    <w:rsid w:val="00F97F38"/>
    <w:rsid w:val="00FA08EE"/>
    <w:rsid w:val="00FA0EA8"/>
    <w:rsid w:val="00FA155C"/>
    <w:rsid w:val="00FA19CA"/>
    <w:rsid w:val="00FA2359"/>
    <w:rsid w:val="00FA264D"/>
    <w:rsid w:val="00FA6924"/>
    <w:rsid w:val="00FA69EF"/>
    <w:rsid w:val="00FA7AC0"/>
    <w:rsid w:val="00FB0692"/>
    <w:rsid w:val="00FB317C"/>
    <w:rsid w:val="00FB6FA8"/>
    <w:rsid w:val="00FC0A69"/>
    <w:rsid w:val="00FC1333"/>
    <w:rsid w:val="00FC3025"/>
    <w:rsid w:val="00FC326C"/>
    <w:rsid w:val="00FC4071"/>
    <w:rsid w:val="00FC67A1"/>
    <w:rsid w:val="00FC6AB5"/>
    <w:rsid w:val="00FC7571"/>
    <w:rsid w:val="00FD0829"/>
    <w:rsid w:val="00FD178B"/>
    <w:rsid w:val="00FD246B"/>
    <w:rsid w:val="00FD2632"/>
    <w:rsid w:val="00FD2957"/>
    <w:rsid w:val="00FD2EB0"/>
    <w:rsid w:val="00FD2FC5"/>
    <w:rsid w:val="00FD39FE"/>
    <w:rsid w:val="00FD4973"/>
    <w:rsid w:val="00FD4DE6"/>
    <w:rsid w:val="00FE0405"/>
    <w:rsid w:val="00FE0568"/>
    <w:rsid w:val="00FE46F4"/>
    <w:rsid w:val="00FE545A"/>
    <w:rsid w:val="00FE5954"/>
    <w:rsid w:val="00FE6539"/>
    <w:rsid w:val="00FE6D9D"/>
    <w:rsid w:val="00FF528C"/>
    <w:rsid w:val="00FF5A0C"/>
    <w:rsid w:val="00FF7B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annotation text" w:uiPriority="99"/>
    <w:lsdException w:name="footer" w:uiPriority="99"/>
    <w:lsdException w:name="caption" w:qFormat="1"/>
    <w:lsdException w:name="footnote reference" w:uiPriority="99"/>
    <w:lsdException w:name="annotation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ADD"/>
    <w:rPr>
      <w:rFonts w:ascii="Gill Sans MT" w:hAnsi="Gill Sans MT"/>
      <w:sz w:val="22"/>
      <w:szCs w:val="22"/>
      <w:lang w:eastAsia="en-US"/>
    </w:rPr>
  </w:style>
  <w:style w:type="paragraph" w:styleId="Heading1">
    <w:name w:val="heading 1"/>
    <w:basedOn w:val="Normal"/>
    <w:next w:val="Normal"/>
    <w:link w:val="Heading1Char"/>
    <w:qFormat/>
    <w:rsid w:val="008E56F7"/>
    <w:pPr>
      <w:keepNext/>
      <w:pageBreakBefore/>
      <w:spacing w:before="240"/>
      <w:outlineLvl w:val="0"/>
    </w:pPr>
    <w:rPr>
      <w:b/>
      <w:snapToGrid w:val="0"/>
      <w:kern w:val="28"/>
      <w:sz w:val="40"/>
      <w:szCs w:val="20"/>
      <w:lang w:val="x-none"/>
    </w:rPr>
  </w:style>
  <w:style w:type="paragraph" w:styleId="Heading2">
    <w:name w:val="heading 2"/>
    <w:basedOn w:val="Normal"/>
    <w:next w:val="Normal"/>
    <w:link w:val="Heading2Char"/>
    <w:qFormat/>
    <w:rsid w:val="00E64ADD"/>
    <w:pPr>
      <w:keepNext/>
      <w:spacing w:before="240"/>
      <w:outlineLvl w:val="1"/>
    </w:pPr>
    <w:rPr>
      <w:b/>
      <w:bCs/>
      <w:sz w:val="32"/>
      <w:szCs w:val="28"/>
      <w:lang w:val="x-none"/>
    </w:rPr>
  </w:style>
  <w:style w:type="paragraph" w:styleId="Heading3">
    <w:name w:val="heading 3"/>
    <w:basedOn w:val="Normal"/>
    <w:next w:val="Normal"/>
    <w:link w:val="Heading3Char"/>
    <w:qFormat/>
    <w:rsid w:val="00E64ADD"/>
    <w:pPr>
      <w:keepNext/>
      <w:spacing w:before="240"/>
      <w:outlineLvl w:val="2"/>
    </w:pPr>
    <w:rPr>
      <w:rFonts w:cs="Arial"/>
      <w:b/>
      <w:bCs/>
      <w:iCs/>
      <w:sz w:val="28"/>
      <w:szCs w:val="28"/>
    </w:rPr>
  </w:style>
  <w:style w:type="paragraph" w:styleId="Heading4">
    <w:name w:val="heading 4"/>
    <w:basedOn w:val="Normal"/>
    <w:link w:val="Heading4Char"/>
    <w:qFormat/>
    <w:rsid w:val="00E64ADD"/>
    <w:pPr>
      <w:keepNext/>
      <w:spacing w:before="240"/>
      <w:outlineLvl w:val="3"/>
    </w:pPr>
    <w:rPr>
      <w:b/>
      <w:bCs/>
      <w:sz w:val="24"/>
      <w:lang w:val="x-none" w:eastAsia="x-none"/>
    </w:rPr>
  </w:style>
  <w:style w:type="paragraph" w:styleId="Heading5">
    <w:name w:val="heading 5"/>
    <w:basedOn w:val="Normal"/>
    <w:next w:val="Normal"/>
    <w:qFormat/>
    <w:rsid w:val="00E64ADD"/>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E64ADD"/>
    <w:pPr>
      <w:spacing w:before="240" w:after="60" w:line="300" w:lineRule="exact"/>
      <w:outlineLvl w:val="5"/>
    </w:pPr>
    <w:rPr>
      <w:rFonts w:ascii="Times New Roman" w:hAnsi="Times New Roman"/>
      <w:b/>
      <w:bCs/>
    </w:rPr>
  </w:style>
  <w:style w:type="paragraph" w:styleId="Heading7">
    <w:name w:val="heading 7"/>
    <w:basedOn w:val="Normal"/>
    <w:next w:val="Normal"/>
    <w:qFormat/>
    <w:rsid w:val="00E64ADD"/>
    <w:pPr>
      <w:spacing w:before="240" w:after="60" w:line="300" w:lineRule="exact"/>
      <w:outlineLvl w:val="6"/>
    </w:pPr>
    <w:rPr>
      <w:rFonts w:ascii="Times New Roman" w:hAnsi="Times New Roman"/>
      <w:sz w:val="24"/>
    </w:rPr>
  </w:style>
  <w:style w:type="paragraph" w:styleId="Heading8">
    <w:name w:val="heading 8"/>
    <w:basedOn w:val="Normal"/>
    <w:next w:val="Normal"/>
    <w:qFormat/>
    <w:rsid w:val="00E64ADD"/>
    <w:pPr>
      <w:spacing w:before="240" w:after="60" w:line="300" w:lineRule="exact"/>
      <w:outlineLvl w:val="7"/>
    </w:pPr>
    <w:rPr>
      <w:rFonts w:ascii="Times New Roman" w:hAnsi="Times New Roman"/>
      <w:i/>
      <w:iCs/>
      <w:sz w:val="24"/>
    </w:rPr>
  </w:style>
  <w:style w:type="paragraph" w:styleId="Heading9">
    <w:name w:val="heading 9"/>
    <w:basedOn w:val="Normal"/>
    <w:next w:val="Normal"/>
    <w:qFormat/>
    <w:rsid w:val="00E64ADD"/>
    <w:pPr>
      <w:spacing w:before="240" w:after="60" w:line="300" w:lineRule="exact"/>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475C48"/>
    <w:rPr>
      <w:rFonts w:ascii="Gill Sans MT" w:hAnsi="Gill Sans MT" w:cs="Arial"/>
      <w:b/>
      <w:bCs/>
      <w:iCs/>
      <w:sz w:val="28"/>
      <w:szCs w:val="28"/>
      <w:lang w:val="en-AU" w:eastAsia="en-US" w:bidi="ar-SA"/>
    </w:rPr>
  </w:style>
  <w:style w:type="character" w:styleId="PageNumber">
    <w:name w:val="page number"/>
    <w:basedOn w:val="DefaultParagraphFont"/>
    <w:semiHidden/>
    <w:rsid w:val="00001E5A"/>
  </w:style>
  <w:style w:type="character" w:customStyle="1" w:styleId="Cross-ref">
    <w:name w:val="Cross-ref"/>
    <w:semiHidden/>
    <w:rsid w:val="00475C48"/>
    <w:rPr>
      <w:rFonts w:ascii="Gill Sans MT" w:hAnsi="Gill Sans MT"/>
      <w:color w:val="0000FF"/>
      <w:u w:val="single" w:color="0000FF"/>
    </w:rPr>
  </w:style>
  <w:style w:type="paragraph" w:styleId="Footer">
    <w:name w:val="footer"/>
    <w:basedOn w:val="Normal"/>
    <w:link w:val="FooterChar"/>
    <w:uiPriority w:val="99"/>
    <w:rsid w:val="00E64ADD"/>
    <w:pPr>
      <w:jc w:val="right"/>
    </w:pPr>
    <w:rPr>
      <w:sz w:val="16"/>
      <w:szCs w:val="16"/>
      <w:lang w:val="x-none"/>
    </w:rPr>
  </w:style>
  <w:style w:type="paragraph" w:styleId="Caption">
    <w:name w:val="caption"/>
    <w:basedOn w:val="Normal"/>
    <w:next w:val="Normal"/>
    <w:qFormat/>
    <w:rsid w:val="00E64ADD"/>
    <w:pPr>
      <w:spacing w:before="120" w:after="120"/>
    </w:pPr>
    <w:rPr>
      <w:b/>
      <w:bCs/>
      <w:sz w:val="20"/>
      <w:szCs w:val="20"/>
    </w:rPr>
  </w:style>
  <w:style w:type="character" w:styleId="FootnoteReference">
    <w:name w:val="footnote reference"/>
    <w:aliases w:val="(NECG) Footnote Reference"/>
    <w:uiPriority w:val="99"/>
    <w:rsid w:val="00747FBC"/>
    <w:rPr>
      <w:vertAlign w:val="superscript"/>
    </w:rPr>
  </w:style>
  <w:style w:type="paragraph" w:styleId="Header">
    <w:name w:val="header"/>
    <w:basedOn w:val="Normal"/>
    <w:semiHidden/>
    <w:rsid w:val="00E64ADD"/>
    <w:pPr>
      <w:jc w:val="right"/>
    </w:pPr>
    <w:rPr>
      <w:sz w:val="16"/>
    </w:rPr>
  </w:style>
  <w:style w:type="paragraph" w:styleId="FootnoteText">
    <w:name w:val="footnote text"/>
    <w:aliases w:val="(NECG) Footnote Text"/>
    <w:basedOn w:val="Normal"/>
    <w:link w:val="FootnoteTextChar"/>
    <w:rsid w:val="00747FBC"/>
    <w:pPr>
      <w:keepLines/>
      <w:spacing w:line="240" w:lineRule="atLeast"/>
      <w:ind w:left="851"/>
    </w:pPr>
    <w:rPr>
      <w:color w:val="000000"/>
      <w:sz w:val="20"/>
      <w:szCs w:val="20"/>
      <w:lang w:val="x-none"/>
    </w:rPr>
  </w:style>
  <w:style w:type="paragraph" w:styleId="Date">
    <w:name w:val="Date"/>
    <w:basedOn w:val="Normal"/>
    <w:next w:val="Normal"/>
    <w:semiHidden/>
    <w:rsid w:val="006352EB"/>
    <w:pPr>
      <w:spacing w:line="480" w:lineRule="atLeast"/>
    </w:pPr>
    <w:rPr>
      <w:sz w:val="28"/>
    </w:rPr>
  </w:style>
  <w:style w:type="paragraph" w:customStyle="1" w:styleId="File">
    <w:name w:val="File"/>
    <w:basedOn w:val="Normal"/>
    <w:semiHidden/>
    <w:rsid w:val="00475C48"/>
    <w:rPr>
      <w:sz w:val="18"/>
    </w:rPr>
  </w:style>
  <w:style w:type="paragraph" w:customStyle="1" w:styleId="Header1">
    <w:name w:val="Header 1"/>
    <w:basedOn w:val="Normal"/>
    <w:semiHidden/>
    <w:rsid w:val="00475C48"/>
    <w:rPr>
      <w:caps/>
      <w:spacing w:val="30"/>
      <w:sz w:val="20"/>
    </w:rPr>
  </w:style>
  <w:style w:type="paragraph" w:customStyle="1" w:styleId="Header2">
    <w:name w:val="Header 2"/>
    <w:basedOn w:val="Header1"/>
    <w:semiHidden/>
    <w:rsid w:val="00747FBC"/>
    <w:pPr>
      <w:spacing w:before="560"/>
    </w:pPr>
    <w:rPr>
      <w:spacing w:val="20"/>
      <w:sz w:val="18"/>
      <w:szCs w:val="18"/>
    </w:rPr>
  </w:style>
  <w:style w:type="paragraph" w:customStyle="1" w:styleId="Contentsheading">
    <w:name w:val="Contents heading"/>
    <w:next w:val="Normal"/>
    <w:semiHidden/>
    <w:rsid w:val="00475C48"/>
    <w:pPr>
      <w:pageBreakBefore/>
      <w:spacing w:before="300" w:after="240"/>
    </w:pPr>
    <w:rPr>
      <w:rFonts w:ascii="Gill Sans MT" w:hAnsi="Gill Sans MT"/>
      <w:b/>
      <w:sz w:val="40"/>
      <w:szCs w:val="24"/>
      <w:lang w:eastAsia="en-US"/>
    </w:rPr>
  </w:style>
  <w:style w:type="character" w:styleId="Hyperlink">
    <w:name w:val="Hyperlink"/>
    <w:uiPriority w:val="99"/>
    <w:rsid w:val="00E64ADD"/>
    <w:rPr>
      <w:color w:val="0000FF"/>
      <w:u w:val="single"/>
    </w:rPr>
  </w:style>
  <w:style w:type="paragraph" w:styleId="NormalIndent">
    <w:name w:val="Normal Indent"/>
    <w:basedOn w:val="Normal"/>
    <w:semiHidden/>
    <w:rsid w:val="00E64ADD"/>
    <w:pPr>
      <w:ind w:left="567"/>
    </w:pPr>
  </w:style>
  <w:style w:type="paragraph" w:customStyle="1" w:styleId="Quotation">
    <w:name w:val="Quotation"/>
    <w:basedOn w:val="NormalIndent"/>
    <w:semiHidden/>
    <w:rsid w:val="00475C48"/>
    <w:rPr>
      <w:sz w:val="20"/>
    </w:rPr>
  </w:style>
  <w:style w:type="paragraph" w:customStyle="1" w:styleId="TableHeadingRight">
    <w:name w:val="Table Heading Right"/>
    <w:basedOn w:val="TableHeadingLeft"/>
    <w:semiHidden/>
    <w:rsid w:val="00E64ADD"/>
    <w:pPr>
      <w:jc w:val="right"/>
    </w:pPr>
  </w:style>
  <w:style w:type="paragraph" w:customStyle="1" w:styleId="TableHeadingLeft">
    <w:name w:val="Table Heading Left"/>
    <w:basedOn w:val="Normal"/>
    <w:semiHidden/>
    <w:rsid w:val="00E64ADD"/>
    <w:pPr>
      <w:tabs>
        <w:tab w:val="left" w:pos="425"/>
      </w:tabs>
      <w:spacing w:before="60" w:after="60"/>
    </w:pPr>
    <w:rPr>
      <w:b/>
      <w:szCs w:val="24"/>
    </w:rPr>
  </w:style>
  <w:style w:type="paragraph" w:customStyle="1" w:styleId="TableHeadingCentered">
    <w:name w:val="Table Heading Centered"/>
    <w:basedOn w:val="TableHeadingRight"/>
    <w:semiHidden/>
    <w:rsid w:val="00E64ADD"/>
    <w:pPr>
      <w:jc w:val="center"/>
    </w:pPr>
  </w:style>
  <w:style w:type="paragraph" w:customStyle="1" w:styleId="TableContentsRight">
    <w:name w:val="Table Contents Right"/>
    <w:basedOn w:val="TableContentsLeft"/>
    <w:semiHidden/>
    <w:rsid w:val="00E64ADD"/>
    <w:pPr>
      <w:jc w:val="right"/>
    </w:pPr>
  </w:style>
  <w:style w:type="paragraph" w:customStyle="1" w:styleId="TableContentsLeft">
    <w:name w:val="Table Contents Left"/>
    <w:basedOn w:val="Normal"/>
    <w:semiHidden/>
    <w:rsid w:val="00E64ADD"/>
    <w:pPr>
      <w:tabs>
        <w:tab w:val="left" w:pos="425"/>
      </w:tabs>
      <w:spacing w:before="60" w:after="60"/>
    </w:pPr>
    <w:rPr>
      <w:szCs w:val="24"/>
    </w:rPr>
  </w:style>
  <w:style w:type="paragraph" w:customStyle="1" w:styleId="TableBulletedList">
    <w:name w:val="Table Bulleted List"/>
    <w:rsid w:val="00B81B1D"/>
    <w:pPr>
      <w:numPr>
        <w:numId w:val="24"/>
      </w:numPr>
      <w:tabs>
        <w:tab w:val="left" w:pos="284"/>
      </w:tabs>
      <w:spacing w:before="20" w:after="60"/>
    </w:pPr>
    <w:rPr>
      <w:rFonts w:ascii="Gill Sans MT" w:hAnsi="Gill Sans MT"/>
      <w:sz w:val="22"/>
      <w:szCs w:val="24"/>
      <w:lang w:eastAsia="en-US"/>
    </w:rPr>
  </w:style>
  <w:style w:type="paragraph" w:customStyle="1" w:styleId="Tablenotes">
    <w:name w:val="Table notes"/>
    <w:basedOn w:val="Caption"/>
    <w:semiHidden/>
    <w:rsid w:val="00E64ADD"/>
    <w:pPr>
      <w:keepLines/>
      <w:tabs>
        <w:tab w:val="left" w:pos="425"/>
      </w:tabs>
      <w:spacing w:before="80" w:after="300" w:line="200" w:lineRule="atLeast"/>
    </w:pPr>
    <w:rPr>
      <w:rFonts w:cs="Arial"/>
      <w:b w:val="0"/>
      <w:color w:val="000000"/>
      <w:sz w:val="16"/>
    </w:rPr>
  </w:style>
  <w:style w:type="paragraph" w:customStyle="1" w:styleId="Logo">
    <w:name w:val="Logo"/>
    <w:semiHidden/>
    <w:rsid w:val="00E64ADD"/>
    <w:pPr>
      <w:spacing w:line="300" w:lineRule="atLeast"/>
      <w:ind w:right="-28"/>
      <w:jc w:val="right"/>
    </w:pPr>
    <w:rPr>
      <w:rFonts w:ascii="Gill Sans MT" w:hAnsi="Gill Sans MT"/>
      <w:szCs w:val="24"/>
      <w:lang w:eastAsia="en-US"/>
    </w:rPr>
  </w:style>
  <w:style w:type="paragraph" w:styleId="TOC1">
    <w:name w:val="toc 1"/>
    <w:basedOn w:val="Normal"/>
    <w:next w:val="Normal"/>
    <w:autoRedefine/>
    <w:uiPriority w:val="39"/>
    <w:qFormat/>
    <w:rsid w:val="00190270"/>
    <w:pPr>
      <w:tabs>
        <w:tab w:val="right" w:pos="9639"/>
      </w:tabs>
      <w:spacing w:before="300"/>
      <w:ind w:right="-6"/>
    </w:pPr>
    <w:rPr>
      <w:b/>
      <w:noProof/>
      <w:szCs w:val="36"/>
    </w:rPr>
  </w:style>
  <w:style w:type="paragraph" w:styleId="TOC2">
    <w:name w:val="toc 2"/>
    <w:basedOn w:val="Normal"/>
    <w:next w:val="Normal"/>
    <w:autoRedefine/>
    <w:uiPriority w:val="39"/>
    <w:qFormat/>
    <w:rsid w:val="007912F0"/>
    <w:pPr>
      <w:tabs>
        <w:tab w:val="right" w:pos="9639"/>
      </w:tabs>
      <w:spacing w:after="140" w:line="300" w:lineRule="atLeast"/>
      <w:ind w:left="567" w:right="284" w:hanging="142"/>
    </w:pPr>
    <w:rPr>
      <w:rFonts w:cs="Arial"/>
      <w:noProof/>
      <w:szCs w:val="26"/>
    </w:rPr>
  </w:style>
  <w:style w:type="paragraph" w:styleId="DocumentMap">
    <w:name w:val="Document Map"/>
    <w:basedOn w:val="Normal"/>
    <w:semiHidden/>
    <w:rsid w:val="00D73D99"/>
    <w:pPr>
      <w:numPr>
        <w:ilvl w:val="1"/>
        <w:numId w:val="1"/>
      </w:numPr>
      <w:shd w:val="clear" w:color="auto" w:fill="000080"/>
    </w:pPr>
    <w:rPr>
      <w:rFonts w:ascii="Arial" w:hAnsi="Arial" w:cs="Tahoma"/>
    </w:rPr>
  </w:style>
  <w:style w:type="paragraph" w:customStyle="1" w:styleId="BulletedList">
    <w:name w:val="Bulleted List"/>
    <w:semiHidden/>
    <w:rsid w:val="00001E5A"/>
    <w:rPr>
      <w:rFonts w:ascii="Gill Sans MT" w:hAnsi="Gill Sans MT"/>
      <w:sz w:val="22"/>
      <w:szCs w:val="24"/>
      <w:lang w:eastAsia="en-US"/>
    </w:rPr>
  </w:style>
  <w:style w:type="paragraph" w:customStyle="1" w:styleId="Fileno">
    <w:name w:val="File no."/>
    <w:basedOn w:val="Normal"/>
    <w:semiHidden/>
    <w:rsid w:val="00001E5A"/>
    <w:pPr>
      <w:spacing w:after="240" w:line="300" w:lineRule="exact"/>
    </w:pPr>
    <w:rPr>
      <w:rFonts w:ascii="Arial" w:hAnsi="Arial" w:cs="Arial"/>
    </w:rPr>
  </w:style>
  <w:style w:type="character" w:styleId="FollowedHyperlink">
    <w:name w:val="FollowedHyperlink"/>
    <w:semiHidden/>
    <w:rsid w:val="00E64ADD"/>
    <w:rPr>
      <w:color w:val="800080"/>
      <w:u w:val="single"/>
    </w:rPr>
  </w:style>
  <w:style w:type="paragraph" w:customStyle="1" w:styleId="GovernanceText">
    <w:name w:val="Governance Text"/>
    <w:semiHidden/>
    <w:rsid w:val="00475C48"/>
    <w:pPr>
      <w:spacing w:after="120"/>
    </w:pPr>
    <w:rPr>
      <w:rFonts w:ascii="Gill Sans MT" w:hAnsi="Gill Sans MT"/>
      <w:color w:val="808080"/>
      <w:sz w:val="16"/>
      <w:szCs w:val="16"/>
      <w:lang w:eastAsia="en-US"/>
    </w:rPr>
  </w:style>
  <w:style w:type="table" w:styleId="TableGrid">
    <w:name w:val="Table Grid"/>
    <w:basedOn w:val="TableNormal"/>
    <w:uiPriority w:val="59"/>
    <w:rsid w:val="00001E5A"/>
    <w:pPr>
      <w:tabs>
        <w:tab w:val="left" w:pos="425"/>
      </w:tabs>
      <w:spacing w:after="240" w:line="30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portTitle">
    <w:name w:val="Report Title"/>
    <w:basedOn w:val="Heading1"/>
    <w:semiHidden/>
    <w:rsid w:val="00357ABF"/>
    <w:pPr>
      <w:keepNext w:val="0"/>
      <w:pageBreakBefore w:val="0"/>
      <w:spacing w:before="2600" w:after="5600"/>
      <w:outlineLvl w:val="9"/>
    </w:pPr>
    <w:rPr>
      <w:sz w:val="48"/>
    </w:rPr>
  </w:style>
  <w:style w:type="paragraph" w:customStyle="1" w:styleId="TableContentsCentered">
    <w:name w:val="Table Contents Centered"/>
    <w:basedOn w:val="TableContentsLeft"/>
    <w:semiHidden/>
    <w:rsid w:val="00E64ADD"/>
    <w:pPr>
      <w:jc w:val="center"/>
    </w:pPr>
  </w:style>
  <w:style w:type="paragraph" w:customStyle="1" w:styleId="DepartmentAddress">
    <w:name w:val="Department Address"/>
    <w:semiHidden/>
    <w:rsid w:val="00E64ADD"/>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DepartmentTitle">
    <w:name w:val="Department Title"/>
    <w:semiHidden/>
    <w:rsid w:val="00E64ADD"/>
    <w:pPr>
      <w:tabs>
        <w:tab w:val="left" w:pos="720"/>
      </w:tabs>
    </w:pPr>
    <w:rPr>
      <w:rFonts w:ascii="Gill Sans MT" w:hAnsi="Gill Sans MT"/>
      <w:sz w:val="28"/>
      <w:szCs w:val="24"/>
      <w:lang w:eastAsia="en-US"/>
    </w:rPr>
  </w:style>
  <w:style w:type="paragraph" w:customStyle="1" w:styleId="Sub-branch">
    <w:name w:val="Sub-branch"/>
    <w:basedOn w:val="Normal"/>
    <w:semiHidden/>
    <w:rsid w:val="00E64ADD"/>
    <w:pPr>
      <w:spacing w:before="80" w:after="240" w:line="24" w:lineRule="atLeast"/>
    </w:pPr>
    <w:rPr>
      <w:caps/>
      <w:w w:val="95"/>
      <w:sz w:val="18"/>
      <w:szCs w:val="20"/>
    </w:rPr>
  </w:style>
  <w:style w:type="paragraph" w:customStyle="1" w:styleId="Attention">
    <w:name w:val="Attention"/>
    <w:basedOn w:val="Normal"/>
    <w:semiHidden/>
    <w:rsid w:val="00E64ADD"/>
    <w:pPr>
      <w:keepNext/>
      <w:spacing w:after="240"/>
    </w:pPr>
  </w:style>
  <w:style w:type="paragraph" w:styleId="BodyText">
    <w:name w:val="Body Text"/>
    <w:basedOn w:val="Normal"/>
    <w:semiHidden/>
    <w:rsid w:val="00E64ADD"/>
  </w:style>
  <w:style w:type="paragraph" w:customStyle="1" w:styleId="BoldTitle">
    <w:name w:val="BoldTitle"/>
    <w:semiHidden/>
    <w:rsid w:val="00475C48"/>
    <w:rPr>
      <w:rFonts w:ascii="Gill Sans MT" w:hAnsi="Gill Sans MT"/>
      <w:b/>
      <w:caps/>
      <w:sz w:val="22"/>
      <w:szCs w:val="24"/>
      <w:lang w:eastAsia="en-US"/>
    </w:rPr>
  </w:style>
  <w:style w:type="paragraph" w:styleId="Subtitle">
    <w:name w:val="Subtitle"/>
    <w:basedOn w:val="Normal"/>
    <w:link w:val="SubtitleChar"/>
    <w:qFormat/>
    <w:rsid w:val="00E64ADD"/>
    <w:pPr>
      <w:spacing w:after="60"/>
      <w:jc w:val="center"/>
      <w:outlineLvl w:val="1"/>
    </w:pPr>
    <w:rPr>
      <w:sz w:val="24"/>
      <w:lang w:val="x-none"/>
    </w:rPr>
  </w:style>
  <w:style w:type="paragraph" w:customStyle="1" w:styleId="FirstPageFooter">
    <w:name w:val="FirstPageFooter"/>
    <w:basedOn w:val="Footer"/>
    <w:semiHidden/>
    <w:rsid w:val="00475C48"/>
    <w:pPr>
      <w:jc w:val="center"/>
    </w:pPr>
  </w:style>
  <w:style w:type="paragraph" w:customStyle="1" w:styleId="Indented">
    <w:name w:val="Indented"/>
    <w:semiHidden/>
    <w:rsid w:val="00747FBC"/>
    <w:pPr>
      <w:ind w:left="1418"/>
    </w:pPr>
    <w:rPr>
      <w:rFonts w:ascii="Gill Sans MT" w:hAnsi="Gill Sans MT"/>
      <w:sz w:val="22"/>
      <w:szCs w:val="22"/>
      <w:lang w:eastAsia="en-US"/>
    </w:rPr>
  </w:style>
  <w:style w:type="paragraph" w:customStyle="1" w:styleId="IndentedItalic">
    <w:name w:val="Indented Italic"/>
    <w:semiHidden/>
    <w:rsid w:val="00747FBC"/>
    <w:pPr>
      <w:spacing w:after="120"/>
      <w:ind w:left="567"/>
    </w:pPr>
    <w:rPr>
      <w:rFonts w:ascii="Gill Sans MT" w:hAnsi="Gill Sans MT"/>
      <w:i/>
      <w:sz w:val="22"/>
      <w:szCs w:val="24"/>
      <w:lang w:eastAsia="en-US"/>
    </w:rPr>
  </w:style>
  <w:style w:type="paragraph" w:customStyle="1" w:styleId="Lettered">
    <w:name w:val="Lettered"/>
    <w:semiHidden/>
    <w:rsid w:val="00747FBC"/>
    <w:pPr>
      <w:numPr>
        <w:numId w:val="2"/>
      </w:numPr>
      <w:spacing w:line="300" w:lineRule="atLeast"/>
    </w:pPr>
    <w:rPr>
      <w:rFonts w:ascii="Gill Sans MT" w:hAnsi="Gill Sans MT"/>
      <w:sz w:val="22"/>
      <w:szCs w:val="24"/>
      <w:lang w:eastAsia="en-US"/>
    </w:rPr>
  </w:style>
  <w:style w:type="paragraph" w:customStyle="1" w:styleId="ReferenceBlock">
    <w:name w:val="Reference Block"/>
    <w:semiHidden/>
    <w:rsid w:val="00747FBC"/>
    <w:pPr>
      <w:tabs>
        <w:tab w:val="left" w:pos="425"/>
      </w:tabs>
    </w:pPr>
    <w:rPr>
      <w:rFonts w:ascii="Gill Sans MT" w:hAnsi="Gill Sans MT" w:cs="Arial"/>
      <w:lang w:eastAsia="en-US"/>
    </w:rPr>
  </w:style>
  <w:style w:type="paragraph" w:customStyle="1" w:styleId="RomanNumerals">
    <w:name w:val="Roman Numerals"/>
    <w:semiHidden/>
    <w:rsid w:val="00747FBC"/>
    <w:pPr>
      <w:numPr>
        <w:numId w:val="3"/>
      </w:numPr>
      <w:spacing w:after="120"/>
    </w:pPr>
    <w:rPr>
      <w:rFonts w:ascii="Gill Sans MT" w:hAnsi="Gill Sans MT"/>
      <w:sz w:val="22"/>
      <w:szCs w:val="24"/>
      <w:lang w:eastAsia="en-US"/>
    </w:rPr>
  </w:style>
  <w:style w:type="paragraph" w:customStyle="1" w:styleId="Subject">
    <w:name w:val="Subject"/>
    <w:semiHidden/>
    <w:rsid w:val="00E64ADD"/>
    <w:pPr>
      <w:spacing w:before="60" w:after="60"/>
    </w:pPr>
    <w:rPr>
      <w:rFonts w:ascii="Gill Sans MT" w:hAnsi="Gill Sans MT"/>
      <w:b/>
      <w:sz w:val="24"/>
      <w:szCs w:val="28"/>
      <w:lang w:eastAsia="en-US"/>
    </w:rPr>
  </w:style>
  <w:style w:type="paragraph" w:customStyle="1" w:styleId="Heading1notinTOC">
    <w:name w:val="Heading 1 not in TOC"/>
    <w:basedOn w:val="Heading1"/>
    <w:semiHidden/>
    <w:rsid w:val="00475C48"/>
  </w:style>
  <w:style w:type="paragraph" w:customStyle="1" w:styleId="NumberedList">
    <w:name w:val="Numbered List"/>
    <w:semiHidden/>
    <w:rsid w:val="00E64ADD"/>
    <w:pPr>
      <w:numPr>
        <w:numId w:val="19"/>
      </w:numPr>
      <w:spacing w:after="140" w:line="300" w:lineRule="atLeast"/>
    </w:pPr>
    <w:rPr>
      <w:rFonts w:ascii="Gill Sans MT" w:hAnsi="Gill Sans MT"/>
      <w:sz w:val="22"/>
      <w:lang w:eastAsia="en-US"/>
    </w:rPr>
  </w:style>
  <w:style w:type="paragraph" w:styleId="BlockText">
    <w:name w:val="Block Text"/>
    <w:basedOn w:val="Normal"/>
    <w:semiHidden/>
    <w:rsid w:val="00001E5A"/>
    <w:pPr>
      <w:spacing w:line="300" w:lineRule="exact"/>
      <w:ind w:left="1440" w:right="1440"/>
    </w:pPr>
    <w:rPr>
      <w:rFonts w:ascii="Arial" w:hAnsi="Arial"/>
    </w:rPr>
  </w:style>
  <w:style w:type="paragraph" w:styleId="BodyText2">
    <w:name w:val="Body Text 2"/>
    <w:basedOn w:val="Normal"/>
    <w:semiHidden/>
    <w:rsid w:val="00001E5A"/>
    <w:pPr>
      <w:spacing w:line="480" w:lineRule="auto"/>
    </w:pPr>
    <w:rPr>
      <w:rFonts w:ascii="Arial" w:hAnsi="Arial"/>
    </w:rPr>
  </w:style>
  <w:style w:type="paragraph" w:styleId="BodyText3">
    <w:name w:val="Body Text 3"/>
    <w:basedOn w:val="Normal"/>
    <w:semiHidden/>
    <w:rsid w:val="00001E5A"/>
    <w:pPr>
      <w:spacing w:line="300" w:lineRule="exact"/>
    </w:pPr>
    <w:rPr>
      <w:rFonts w:ascii="Arial" w:hAnsi="Arial"/>
      <w:sz w:val="16"/>
      <w:szCs w:val="16"/>
    </w:rPr>
  </w:style>
  <w:style w:type="paragraph" w:styleId="BodyTextFirstIndent">
    <w:name w:val="Body Text First Indent"/>
    <w:basedOn w:val="BodyText"/>
    <w:semiHidden/>
    <w:rsid w:val="00001E5A"/>
    <w:pPr>
      <w:ind w:firstLine="210"/>
    </w:pPr>
  </w:style>
  <w:style w:type="paragraph" w:styleId="BodyTextIndent">
    <w:name w:val="Body Text Indent"/>
    <w:basedOn w:val="BodyText"/>
    <w:semiHidden/>
    <w:rsid w:val="00E64ADD"/>
    <w:pPr>
      <w:ind w:left="567"/>
    </w:pPr>
  </w:style>
  <w:style w:type="paragraph" w:styleId="BodyTextFirstIndent2">
    <w:name w:val="Body Text First Indent 2"/>
    <w:basedOn w:val="BodyTextIndent"/>
    <w:semiHidden/>
    <w:rsid w:val="00001E5A"/>
    <w:pPr>
      <w:spacing w:line="300" w:lineRule="exact"/>
      <w:ind w:firstLine="210"/>
    </w:pPr>
    <w:rPr>
      <w:rFonts w:ascii="Arial" w:hAnsi="Arial"/>
    </w:rPr>
  </w:style>
  <w:style w:type="paragraph" w:styleId="BodyTextIndent2">
    <w:name w:val="Body Text Indent 2"/>
    <w:basedOn w:val="Normal"/>
    <w:semiHidden/>
    <w:rsid w:val="00001E5A"/>
    <w:pPr>
      <w:spacing w:line="480" w:lineRule="auto"/>
      <w:ind w:left="283"/>
    </w:pPr>
    <w:rPr>
      <w:rFonts w:ascii="Arial" w:hAnsi="Arial"/>
    </w:rPr>
  </w:style>
  <w:style w:type="paragraph" w:styleId="BodyTextIndent3">
    <w:name w:val="Body Text Indent 3"/>
    <w:basedOn w:val="Normal"/>
    <w:semiHidden/>
    <w:rsid w:val="00001E5A"/>
    <w:pPr>
      <w:spacing w:line="300" w:lineRule="exact"/>
      <w:ind w:left="283"/>
    </w:pPr>
    <w:rPr>
      <w:rFonts w:ascii="Arial" w:hAnsi="Arial"/>
      <w:sz w:val="16"/>
      <w:szCs w:val="16"/>
    </w:rPr>
  </w:style>
  <w:style w:type="paragraph" w:styleId="Closing">
    <w:name w:val="Closing"/>
    <w:basedOn w:val="Normal"/>
    <w:semiHidden/>
    <w:rsid w:val="00001E5A"/>
    <w:pPr>
      <w:spacing w:after="240" w:line="300" w:lineRule="exact"/>
      <w:ind w:left="4252"/>
    </w:pPr>
    <w:rPr>
      <w:rFonts w:ascii="Arial" w:hAnsi="Arial"/>
    </w:rPr>
  </w:style>
  <w:style w:type="paragraph" w:styleId="E-mailSignature">
    <w:name w:val="E-mail Signature"/>
    <w:basedOn w:val="Normal"/>
    <w:semiHidden/>
    <w:rsid w:val="00001E5A"/>
    <w:pPr>
      <w:spacing w:after="240" w:line="300" w:lineRule="exact"/>
    </w:pPr>
    <w:rPr>
      <w:rFonts w:ascii="Arial" w:hAnsi="Arial"/>
    </w:rPr>
  </w:style>
  <w:style w:type="character" w:styleId="Emphasis">
    <w:name w:val="Emphasis"/>
    <w:uiPriority w:val="20"/>
    <w:qFormat/>
    <w:rsid w:val="00001E5A"/>
    <w:rPr>
      <w:i/>
      <w:iCs/>
    </w:rPr>
  </w:style>
  <w:style w:type="paragraph" w:customStyle="1" w:styleId="Heading1numbered">
    <w:name w:val="Heading 1 (numbered)"/>
    <w:basedOn w:val="Heading1"/>
    <w:next w:val="Normal"/>
    <w:semiHidden/>
    <w:rsid w:val="00E64ADD"/>
    <w:pPr>
      <w:numPr>
        <w:numId w:val="18"/>
      </w:numPr>
      <w:spacing w:after="120"/>
    </w:pPr>
  </w:style>
  <w:style w:type="character" w:styleId="LineNumber">
    <w:name w:val="line number"/>
    <w:basedOn w:val="DefaultParagraphFont"/>
    <w:semiHidden/>
    <w:rsid w:val="00001E5A"/>
  </w:style>
  <w:style w:type="paragraph" w:styleId="MessageHeader">
    <w:name w:val="Message Header"/>
    <w:basedOn w:val="Normal"/>
    <w:semiHidden/>
    <w:rsid w:val="00001E5A"/>
    <w:pPr>
      <w:pBdr>
        <w:top w:val="single" w:sz="6" w:space="1" w:color="auto"/>
        <w:left w:val="single" w:sz="6" w:space="1" w:color="auto"/>
        <w:bottom w:val="single" w:sz="6" w:space="1" w:color="auto"/>
        <w:right w:val="single" w:sz="6" w:space="1" w:color="auto"/>
      </w:pBdr>
      <w:shd w:val="pct20" w:color="auto" w:fill="auto"/>
      <w:spacing w:after="240" w:line="300" w:lineRule="exact"/>
      <w:ind w:left="1134" w:hanging="1134"/>
    </w:pPr>
    <w:rPr>
      <w:rFonts w:ascii="Arial" w:hAnsi="Arial" w:cs="Arial"/>
      <w:sz w:val="24"/>
    </w:rPr>
  </w:style>
  <w:style w:type="paragraph" w:styleId="NormalWeb">
    <w:name w:val="Normal (Web)"/>
    <w:basedOn w:val="Normal"/>
    <w:uiPriority w:val="99"/>
    <w:semiHidden/>
    <w:rsid w:val="00001E5A"/>
    <w:rPr>
      <w:rFonts w:ascii="Times New Roman" w:hAnsi="Times New Roman"/>
      <w:sz w:val="24"/>
    </w:rPr>
  </w:style>
  <w:style w:type="paragraph" w:styleId="NoteHeading">
    <w:name w:val="Note Heading"/>
    <w:basedOn w:val="Normal"/>
    <w:next w:val="Normal"/>
    <w:semiHidden/>
    <w:rsid w:val="00001E5A"/>
  </w:style>
  <w:style w:type="paragraph" w:styleId="PlainText">
    <w:name w:val="Plain Text"/>
    <w:basedOn w:val="Normal"/>
    <w:semiHidden/>
    <w:rsid w:val="00001E5A"/>
    <w:rPr>
      <w:rFonts w:ascii="Courier New" w:hAnsi="Courier New" w:cs="Courier New"/>
      <w:sz w:val="20"/>
      <w:szCs w:val="20"/>
    </w:rPr>
  </w:style>
  <w:style w:type="paragraph" w:styleId="Salutation">
    <w:name w:val="Salutation"/>
    <w:basedOn w:val="Normal"/>
    <w:next w:val="Normal"/>
    <w:semiHidden/>
    <w:rsid w:val="00E64ADD"/>
  </w:style>
  <w:style w:type="paragraph" w:styleId="Signature">
    <w:name w:val="Signature"/>
    <w:basedOn w:val="Normal"/>
    <w:semiHidden/>
    <w:rsid w:val="00E64ADD"/>
  </w:style>
  <w:style w:type="paragraph" w:customStyle="1" w:styleId="Heading2numbered">
    <w:name w:val="Heading 2 (numbered)"/>
    <w:basedOn w:val="Heading2"/>
    <w:next w:val="Normal"/>
    <w:semiHidden/>
    <w:rsid w:val="00E64ADD"/>
    <w:pPr>
      <w:numPr>
        <w:ilvl w:val="1"/>
        <w:numId w:val="18"/>
      </w:numPr>
      <w:spacing w:after="120"/>
    </w:pPr>
  </w:style>
  <w:style w:type="paragraph" w:styleId="Title">
    <w:name w:val="Title"/>
    <w:basedOn w:val="Normal"/>
    <w:link w:val="TitleChar"/>
    <w:qFormat/>
    <w:rsid w:val="00E64ADD"/>
    <w:pPr>
      <w:spacing w:before="240" w:after="60"/>
      <w:jc w:val="center"/>
      <w:outlineLvl w:val="0"/>
    </w:pPr>
    <w:rPr>
      <w:b/>
      <w:bCs/>
      <w:kern w:val="28"/>
      <w:sz w:val="32"/>
      <w:szCs w:val="32"/>
      <w:lang w:val="x-none"/>
    </w:rPr>
  </w:style>
  <w:style w:type="paragraph" w:customStyle="1" w:styleId="BulletedIndentedafterNumber">
    <w:name w:val="Bulleted Indented after Number"/>
    <w:semiHidden/>
    <w:rsid w:val="00E64ADD"/>
    <w:pPr>
      <w:numPr>
        <w:numId w:val="14"/>
      </w:numPr>
      <w:spacing w:after="140" w:line="300" w:lineRule="atLeast"/>
    </w:pPr>
    <w:rPr>
      <w:rFonts w:ascii="Gill Sans MT" w:hAnsi="Gill Sans MT"/>
      <w:sz w:val="22"/>
      <w:lang w:eastAsia="en-US"/>
    </w:rPr>
  </w:style>
  <w:style w:type="paragraph" w:customStyle="1" w:styleId="BulletedListLevel1">
    <w:name w:val="Bulleted List Level 1"/>
    <w:link w:val="BulletedListLevel1Char"/>
    <w:rsid w:val="00E64ADD"/>
    <w:pPr>
      <w:numPr>
        <w:numId w:val="15"/>
      </w:numPr>
      <w:tabs>
        <w:tab w:val="left" w:pos="1134"/>
      </w:tabs>
      <w:spacing w:after="140" w:line="300" w:lineRule="atLeast"/>
    </w:pPr>
    <w:rPr>
      <w:rFonts w:ascii="Gill Sans MT" w:hAnsi="Gill Sans MT"/>
      <w:sz w:val="22"/>
      <w:szCs w:val="24"/>
      <w:lang w:eastAsia="en-US"/>
    </w:rPr>
  </w:style>
  <w:style w:type="paragraph" w:customStyle="1" w:styleId="BulletedListLevel2">
    <w:name w:val="Bulleted List Level 2"/>
    <w:semiHidden/>
    <w:rsid w:val="00E64ADD"/>
    <w:pPr>
      <w:numPr>
        <w:numId w:val="16"/>
      </w:numPr>
      <w:spacing w:after="140" w:line="300" w:lineRule="atLeast"/>
    </w:pPr>
    <w:rPr>
      <w:rFonts w:ascii="Gill Sans MT" w:hAnsi="Gill Sans MT" w:cs="Arial"/>
      <w:snapToGrid w:val="0"/>
      <w:kern w:val="28"/>
      <w:sz w:val="22"/>
      <w:lang w:eastAsia="en-US"/>
    </w:rPr>
  </w:style>
  <w:style w:type="paragraph" w:customStyle="1" w:styleId="BulletedListLevel3">
    <w:name w:val="Bulleted List Level 3"/>
    <w:semiHidden/>
    <w:rsid w:val="00E64ADD"/>
    <w:pPr>
      <w:numPr>
        <w:numId w:val="17"/>
      </w:numPr>
      <w:spacing w:after="140" w:line="300" w:lineRule="atLeast"/>
    </w:pPr>
    <w:rPr>
      <w:rFonts w:ascii="Gill Sans MT" w:hAnsi="Gill Sans MT" w:cs="Arial"/>
      <w:snapToGrid w:val="0"/>
      <w:kern w:val="28"/>
      <w:sz w:val="22"/>
      <w:lang w:eastAsia="en-US"/>
    </w:rPr>
  </w:style>
  <w:style w:type="paragraph" w:customStyle="1" w:styleId="Clearance">
    <w:name w:val="Clearance"/>
    <w:semiHidden/>
    <w:rsid w:val="00E64ADD"/>
    <w:pPr>
      <w:keepNext/>
      <w:spacing w:before="40" w:after="40"/>
    </w:pPr>
    <w:rPr>
      <w:rFonts w:ascii="Gill Sans MT" w:hAnsi="Gill Sans MT"/>
      <w:szCs w:val="22"/>
      <w:lang w:eastAsia="en-US"/>
    </w:rPr>
  </w:style>
  <w:style w:type="paragraph" w:customStyle="1" w:styleId="Contact">
    <w:name w:val="Contact"/>
    <w:semiHidden/>
    <w:rsid w:val="00E64ADD"/>
    <w:pPr>
      <w:spacing w:before="40" w:after="40"/>
    </w:pPr>
    <w:rPr>
      <w:rFonts w:ascii="Gill Sans MT" w:hAnsi="Gill Sans MT"/>
      <w:szCs w:val="24"/>
      <w:lang w:eastAsia="en-US"/>
    </w:rPr>
  </w:style>
  <w:style w:type="paragraph" w:customStyle="1" w:styleId="Heading3numbered">
    <w:name w:val="Heading 3 (numbered)"/>
    <w:basedOn w:val="Heading3"/>
    <w:next w:val="Normal"/>
    <w:semiHidden/>
    <w:rsid w:val="00E64ADD"/>
    <w:pPr>
      <w:numPr>
        <w:ilvl w:val="2"/>
        <w:numId w:val="18"/>
      </w:numPr>
      <w:spacing w:after="120"/>
    </w:pPr>
  </w:style>
  <w:style w:type="table" w:customStyle="1" w:styleId="DHHSTableStyle">
    <w:name w:val="DHHS Table Style"/>
    <w:basedOn w:val="TableNormal"/>
    <w:semiHidden/>
    <w:rsid w:val="00E64ADD"/>
    <w:pPr>
      <w:spacing w:before="20" w:after="20"/>
    </w:pPr>
    <w:rPr>
      <w:rFonts w:ascii="Gill Sans MT" w:hAnsi="Gill Sans MT"/>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closure">
    <w:name w:val="Enclosure"/>
    <w:semiHidden/>
    <w:rsid w:val="00E64ADD"/>
    <w:rPr>
      <w:rFonts w:ascii="Gill Sans MT" w:hAnsi="Gill Sans MT"/>
      <w:sz w:val="18"/>
      <w:szCs w:val="22"/>
      <w:lang w:eastAsia="en-US"/>
    </w:rPr>
  </w:style>
  <w:style w:type="paragraph" w:customStyle="1" w:styleId="FileorMTSNo">
    <w:name w:val="File or MTS No."/>
    <w:semiHidden/>
    <w:rsid w:val="00E64ADD"/>
    <w:pPr>
      <w:spacing w:after="120"/>
    </w:pPr>
    <w:rPr>
      <w:rFonts w:ascii="Gill Sans MT" w:hAnsi="Gill Sans MT"/>
      <w:color w:val="000000"/>
      <w:sz w:val="18"/>
      <w:lang w:eastAsia="en-US"/>
    </w:rPr>
  </w:style>
  <w:style w:type="paragraph" w:customStyle="1" w:styleId="Heading-Main">
    <w:name w:val="Heading - Main"/>
    <w:next w:val="Normal"/>
    <w:semiHidden/>
    <w:rsid w:val="00E64ADD"/>
    <w:pPr>
      <w:spacing w:before="240" w:after="240" w:line="300" w:lineRule="atLeast"/>
      <w:outlineLvl w:val="0"/>
    </w:pPr>
    <w:rPr>
      <w:rFonts w:ascii="Gill Sans MT" w:hAnsi="Gill Sans MT" w:cs="Arial"/>
      <w:b/>
      <w:iCs/>
      <w:kern w:val="36"/>
      <w:sz w:val="28"/>
      <w:szCs w:val="28"/>
    </w:rPr>
  </w:style>
  <w:style w:type="paragraph" w:customStyle="1" w:styleId="InformationBlock">
    <w:name w:val="Information Block"/>
    <w:semiHidden/>
    <w:rsid w:val="00E64ADD"/>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semiHidden/>
    <w:rsid w:val="00E64ADD"/>
    <w:rPr>
      <w:b w:val="0"/>
    </w:rPr>
  </w:style>
  <w:style w:type="paragraph" w:customStyle="1" w:styleId="space">
    <w:name w:val="space"/>
    <w:semiHidden/>
    <w:rsid w:val="00E64ADD"/>
    <w:rPr>
      <w:rFonts w:ascii="Arial" w:hAnsi="Arial" w:cs="Arial"/>
      <w:caps/>
      <w:sz w:val="4"/>
      <w:szCs w:val="30"/>
      <w:lang w:eastAsia="en-US"/>
    </w:rPr>
  </w:style>
  <w:style w:type="paragraph" w:customStyle="1" w:styleId="TableStyle">
    <w:name w:val="Table Style"/>
    <w:basedOn w:val="Normal"/>
    <w:semiHidden/>
    <w:rsid w:val="00E64ADD"/>
    <w:pPr>
      <w:spacing w:before="20" w:after="20"/>
    </w:pPr>
    <w:rPr>
      <w:szCs w:val="20"/>
    </w:rPr>
  </w:style>
  <w:style w:type="paragraph" w:customStyle="1" w:styleId="Heading4numbered">
    <w:name w:val="Heading 4 (numbered)"/>
    <w:basedOn w:val="Heading4"/>
    <w:next w:val="Normal"/>
    <w:semiHidden/>
    <w:rsid w:val="00E64ADD"/>
    <w:pPr>
      <w:numPr>
        <w:ilvl w:val="3"/>
        <w:numId w:val="18"/>
      </w:numPr>
      <w:spacing w:after="120"/>
    </w:pPr>
  </w:style>
  <w:style w:type="paragraph" w:customStyle="1" w:styleId="Address">
    <w:name w:val="Address"/>
    <w:basedOn w:val="Normal"/>
    <w:semiHidden/>
    <w:rsid w:val="00E64ADD"/>
  </w:style>
  <w:style w:type="paragraph" w:customStyle="1" w:styleId="AddressIndent">
    <w:name w:val="Address Indent"/>
    <w:semiHidden/>
    <w:rsid w:val="00E64ADD"/>
    <w:pPr>
      <w:ind w:left="1080"/>
    </w:pPr>
    <w:rPr>
      <w:rFonts w:ascii="Gill Sans MT" w:hAnsi="Gill Sans MT"/>
      <w:sz w:val="22"/>
      <w:szCs w:val="24"/>
      <w:lang w:eastAsia="en-US"/>
    </w:rPr>
  </w:style>
  <w:style w:type="paragraph" w:styleId="EnvelopeAddress">
    <w:name w:val="envelope address"/>
    <w:basedOn w:val="Normal"/>
    <w:semiHidden/>
    <w:rsid w:val="00E64ADD"/>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E64ADD"/>
    <w:rPr>
      <w:rFonts w:cs="Arial"/>
      <w:sz w:val="20"/>
      <w:szCs w:val="20"/>
    </w:rPr>
  </w:style>
  <w:style w:type="paragraph" w:customStyle="1" w:styleId="Instructions">
    <w:name w:val="Instructions"/>
    <w:next w:val="Normal"/>
    <w:semiHidden/>
    <w:rsid w:val="00E64ADD"/>
    <w:pPr>
      <w:shd w:val="clear" w:color="auto" w:fill="FFFFCC"/>
      <w:spacing w:line="240" w:lineRule="atLeast"/>
    </w:pPr>
    <w:rPr>
      <w:rFonts w:ascii="Verdana" w:hAnsi="Verdana" w:cs="Arial"/>
      <w:iCs/>
      <w:kern w:val="36"/>
      <w:sz w:val="17"/>
      <w:szCs w:val="17"/>
    </w:rPr>
  </w:style>
  <w:style w:type="paragraph" w:customStyle="1" w:styleId="RecommendationNumberedList">
    <w:name w:val="Recommendation Numbered List"/>
    <w:basedOn w:val="NumberedList"/>
    <w:semiHidden/>
    <w:rsid w:val="00E64ADD"/>
    <w:pPr>
      <w:numPr>
        <w:numId w:val="20"/>
      </w:numPr>
      <w:spacing w:after="240"/>
    </w:pPr>
    <w:rPr>
      <w:b/>
    </w:rPr>
  </w:style>
  <w:style w:type="paragraph" w:customStyle="1" w:styleId="Tabledecimal">
    <w:name w:val="Table decimal"/>
    <w:basedOn w:val="Normal"/>
    <w:semiHidden/>
    <w:rsid w:val="00E64ADD"/>
    <w:pPr>
      <w:tabs>
        <w:tab w:val="decimal" w:pos="884"/>
      </w:tabs>
      <w:spacing w:before="40" w:after="40" w:line="260" w:lineRule="atLeast"/>
    </w:pPr>
    <w:rPr>
      <w:rFonts w:ascii="Arial" w:hAnsi="Arial" w:cs="Arial"/>
      <w:snapToGrid w:val="0"/>
      <w:sz w:val="20"/>
      <w:szCs w:val="20"/>
    </w:rPr>
  </w:style>
  <w:style w:type="paragraph" w:styleId="BalloonText">
    <w:name w:val="Balloon Text"/>
    <w:basedOn w:val="Normal"/>
    <w:semiHidden/>
    <w:rsid w:val="00E64ADD"/>
    <w:rPr>
      <w:rFonts w:ascii="Tahoma" w:hAnsi="Tahoma" w:cs="Tahoma"/>
      <w:sz w:val="16"/>
      <w:szCs w:val="16"/>
    </w:rPr>
  </w:style>
  <w:style w:type="character" w:styleId="CommentReference">
    <w:name w:val="annotation reference"/>
    <w:uiPriority w:val="99"/>
    <w:rsid w:val="00E64ADD"/>
    <w:rPr>
      <w:sz w:val="16"/>
      <w:szCs w:val="16"/>
    </w:rPr>
  </w:style>
  <w:style w:type="paragraph" w:styleId="CommentText">
    <w:name w:val="annotation text"/>
    <w:basedOn w:val="Normal"/>
    <w:link w:val="CommentTextChar"/>
    <w:uiPriority w:val="99"/>
    <w:rsid w:val="00E64ADD"/>
    <w:rPr>
      <w:sz w:val="20"/>
      <w:szCs w:val="20"/>
      <w:lang w:val="x-none"/>
    </w:rPr>
  </w:style>
  <w:style w:type="paragraph" w:styleId="CommentSubject">
    <w:name w:val="annotation subject"/>
    <w:basedOn w:val="CommentText"/>
    <w:next w:val="CommentText"/>
    <w:semiHidden/>
    <w:rsid w:val="00E64ADD"/>
    <w:rPr>
      <w:b/>
      <w:bCs/>
    </w:rPr>
  </w:style>
  <w:style w:type="character" w:styleId="EndnoteReference">
    <w:name w:val="endnote reference"/>
    <w:rsid w:val="00E64ADD"/>
    <w:rPr>
      <w:vertAlign w:val="superscript"/>
    </w:rPr>
  </w:style>
  <w:style w:type="paragraph" w:styleId="EndnoteText">
    <w:name w:val="endnote text"/>
    <w:basedOn w:val="Normal"/>
    <w:link w:val="EndnoteTextChar"/>
    <w:uiPriority w:val="99"/>
    <w:semiHidden/>
    <w:rsid w:val="00E64ADD"/>
    <w:rPr>
      <w:sz w:val="20"/>
      <w:szCs w:val="20"/>
      <w:lang w:val="x-none"/>
    </w:rPr>
  </w:style>
  <w:style w:type="paragraph" w:styleId="Index1">
    <w:name w:val="index 1"/>
    <w:basedOn w:val="Normal"/>
    <w:next w:val="Normal"/>
    <w:autoRedefine/>
    <w:semiHidden/>
    <w:rsid w:val="00E64ADD"/>
    <w:pPr>
      <w:ind w:left="220" w:hanging="220"/>
    </w:pPr>
  </w:style>
  <w:style w:type="paragraph" w:styleId="Index2">
    <w:name w:val="index 2"/>
    <w:basedOn w:val="Normal"/>
    <w:next w:val="Normal"/>
    <w:autoRedefine/>
    <w:semiHidden/>
    <w:rsid w:val="00E64ADD"/>
    <w:pPr>
      <w:ind w:left="440" w:hanging="220"/>
    </w:pPr>
  </w:style>
  <w:style w:type="paragraph" w:styleId="Index3">
    <w:name w:val="index 3"/>
    <w:basedOn w:val="Normal"/>
    <w:next w:val="Normal"/>
    <w:autoRedefine/>
    <w:semiHidden/>
    <w:rsid w:val="00E64ADD"/>
    <w:pPr>
      <w:ind w:left="660" w:hanging="220"/>
    </w:pPr>
  </w:style>
  <w:style w:type="paragraph" w:styleId="Index4">
    <w:name w:val="index 4"/>
    <w:basedOn w:val="Normal"/>
    <w:next w:val="Normal"/>
    <w:autoRedefine/>
    <w:semiHidden/>
    <w:rsid w:val="00E64ADD"/>
    <w:pPr>
      <w:ind w:left="880" w:hanging="220"/>
    </w:pPr>
  </w:style>
  <w:style w:type="paragraph" w:styleId="Index5">
    <w:name w:val="index 5"/>
    <w:basedOn w:val="Normal"/>
    <w:next w:val="Normal"/>
    <w:autoRedefine/>
    <w:semiHidden/>
    <w:rsid w:val="00E64ADD"/>
    <w:pPr>
      <w:ind w:left="1100" w:hanging="220"/>
    </w:pPr>
  </w:style>
  <w:style w:type="paragraph" w:styleId="Index6">
    <w:name w:val="index 6"/>
    <w:basedOn w:val="Normal"/>
    <w:next w:val="Normal"/>
    <w:autoRedefine/>
    <w:semiHidden/>
    <w:rsid w:val="00E64ADD"/>
    <w:pPr>
      <w:ind w:left="1320" w:hanging="220"/>
    </w:pPr>
  </w:style>
  <w:style w:type="paragraph" w:styleId="Index7">
    <w:name w:val="index 7"/>
    <w:basedOn w:val="Normal"/>
    <w:next w:val="Normal"/>
    <w:autoRedefine/>
    <w:semiHidden/>
    <w:rsid w:val="00E64ADD"/>
    <w:pPr>
      <w:ind w:left="1540" w:hanging="220"/>
    </w:pPr>
  </w:style>
  <w:style w:type="paragraph" w:styleId="Index8">
    <w:name w:val="index 8"/>
    <w:basedOn w:val="Normal"/>
    <w:next w:val="Normal"/>
    <w:autoRedefine/>
    <w:semiHidden/>
    <w:rsid w:val="00E64ADD"/>
    <w:pPr>
      <w:ind w:left="1760" w:hanging="220"/>
    </w:pPr>
  </w:style>
  <w:style w:type="paragraph" w:styleId="Index9">
    <w:name w:val="index 9"/>
    <w:basedOn w:val="Normal"/>
    <w:next w:val="Normal"/>
    <w:autoRedefine/>
    <w:semiHidden/>
    <w:rsid w:val="00E64ADD"/>
    <w:pPr>
      <w:ind w:left="1980" w:hanging="220"/>
    </w:pPr>
  </w:style>
  <w:style w:type="paragraph" w:styleId="IndexHeading">
    <w:name w:val="index heading"/>
    <w:basedOn w:val="Normal"/>
    <w:next w:val="Index1"/>
    <w:semiHidden/>
    <w:rsid w:val="00E64ADD"/>
    <w:rPr>
      <w:rFonts w:ascii="Arial" w:hAnsi="Arial" w:cs="Arial"/>
      <w:b/>
      <w:bCs/>
    </w:rPr>
  </w:style>
  <w:style w:type="paragraph" w:styleId="MacroText">
    <w:name w:val="macro"/>
    <w:semiHidden/>
    <w:rsid w:val="00E64ADD"/>
    <w:pPr>
      <w:tabs>
        <w:tab w:val="left" w:pos="480"/>
        <w:tab w:val="left" w:pos="960"/>
        <w:tab w:val="left" w:pos="1440"/>
        <w:tab w:val="left" w:pos="1920"/>
        <w:tab w:val="left" w:pos="2400"/>
        <w:tab w:val="left" w:pos="2880"/>
        <w:tab w:val="left" w:pos="3360"/>
        <w:tab w:val="left" w:pos="3840"/>
        <w:tab w:val="left" w:pos="4320"/>
      </w:tabs>
      <w:spacing w:after="140" w:line="300" w:lineRule="atLeast"/>
    </w:pPr>
    <w:rPr>
      <w:rFonts w:ascii="Courier New" w:hAnsi="Courier New" w:cs="Courier New"/>
      <w:lang w:eastAsia="en-US"/>
    </w:rPr>
  </w:style>
  <w:style w:type="paragraph" w:styleId="TableofAuthorities">
    <w:name w:val="table of authorities"/>
    <w:basedOn w:val="Normal"/>
    <w:next w:val="Normal"/>
    <w:semiHidden/>
    <w:rsid w:val="00E64ADD"/>
    <w:pPr>
      <w:ind w:left="220" w:hanging="220"/>
    </w:pPr>
  </w:style>
  <w:style w:type="paragraph" w:styleId="TableofFigures">
    <w:name w:val="table of figures"/>
    <w:basedOn w:val="Normal"/>
    <w:next w:val="Normal"/>
    <w:semiHidden/>
    <w:rsid w:val="00E64ADD"/>
  </w:style>
  <w:style w:type="paragraph" w:styleId="TOAHeading">
    <w:name w:val="toa heading"/>
    <w:basedOn w:val="Normal"/>
    <w:next w:val="Normal"/>
    <w:semiHidden/>
    <w:rsid w:val="00E64ADD"/>
    <w:pPr>
      <w:spacing w:before="120"/>
    </w:pPr>
    <w:rPr>
      <w:rFonts w:ascii="Arial" w:hAnsi="Arial" w:cs="Arial"/>
      <w:b/>
      <w:bCs/>
      <w:sz w:val="24"/>
      <w:szCs w:val="24"/>
    </w:rPr>
  </w:style>
  <w:style w:type="paragraph" w:styleId="TOC3">
    <w:name w:val="toc 3"/>
    <w:basedOn w:val="Normal"/>
    <w:next w:val="Normal"/>
    <w:autoRedefine/>
    <w:uiPriority w:val="39"/>
    <w:qFormat/>
    <w:rsid w:val="007912F0"/>
    <w:pPr>
      <w:tabs>
        <w:tab w:val="right" w:pos="9639"/>
      </w:tabs>
      <w:spacing w:after="140" w:line="300" w:lineRule="atLeast"/>
      <w:ind w:left="442" w:firstLine="266"/>
    </w:pPr>
  </w:style>
  <w:style w:type="paragraph" w:styleId="TOC4">
    <w:name w:val="toc 4"/>
    <w:basedOn w:val="Normal"/>
    <w:next w:val="Normal"/>
    <w:autoRedefine/>
    <w:uiPriority w:val="39"/>
    <w:rsid w:val="00E64ADD"/>
    <w:pPr>
      <w:ind w:left="660"/>
    </w:pPr>
  </w:style>
  <w:style w:type="paragraph" w:styleId="TOC5">
    <w:name w:val="toc 5"/>
    <w:basedOn w:val="Normal"/>
    <w:next w:val="Normal"/>
    <w:autoRedefine/>
    <w:semiHidden/>
    <w:rsid w:val="00E64ADD"/>
    <w:pPr>
      <w:ind w:left="880"/>
    </w:pPr>
  </w:style>
  <w:style w:type="paragraph" w:styleId="TOC6">
    <w:name w:val="toc 6"/>
    <w:basedOn w:val="Normal"/>
    <w:next w:val="Normal"/>
    <w:autoRedefine/>
    <w:semiHidden/>
    <w:rsid w:val="00E64ADD"/>
    <w:pPr>
      <w:ind w:left="1100"/>
    </w:pPr>
  </w:style>
  <w:style w:type="paragraph" w:styleId="TOC7">
    <w:name w:val="toc 7"/>
    <w:basedOn w:val="Normal"/>
    <w:next w:val="Normal"/>
    <w:autoRedefine/>
    <w:semiHidden/>
    <w:rsid w:val="00E64ADD"/>
    <w:pPr>
      <w:ind w:left="1320"/>
    </w:pPr>
  </w:style>
  <w:style w:type="paragraph" w:styleId="TOC8">
    <w:name w:val="toc 8"/>
    <w:basedOn w:val="Normal"/>
    <w:next w:val="Normal"/>
    <w:autoRedefine/>
    <w:semiHidden/>
    <w:rsid w:val="00E64ADD"/>
    <w:pPr>
      <w:ind w:left="1540"/>
    </w:pPr>
  </w:style>
  <w:style w:type="paragraph" w:styleId="TOC9">
    <w:name w:val="toc 9"/>
    <w:basedOn w:val="Normal"/>
    <w:next w:val="Normal"/>
    <w:autoRedefine/>
    <w:semiHidden/>
    <w:rsid w:val="00E64ADD"/>
    <w:pPr>
      <w:ind w:left="1760"/>
    </w:pPr>
  </w:style>
  <w:style w:type="numbering" w:styleId="111111">
    <w:name w:val="Outline List 2"/>
    <w:basedOn w:val="NoList"/>
    <w:semiHidden/>
    <w:rsid w:val="00E64ADD"/>
    <w:pPr>
      <w:numPr>
        <w:numId w:val="21"/>
      </w:numPr>
    </w:pPr>
  </w:style>
  <w:style w:type="numbering" w:styleId="1ai">
    <w:name w:val="Outline List 1"/>
    <w:basedOn w:val="NoList"/>
    <w:semiHidden/>
    <w:rsid w:val="00E64ADD"/>
    <w:pPr>
      <w:numPr>
        <w:numId w:val="22"/>
      </w:numPr>
    </w:pPr>
  </w:style>
  <w:style w:type="numbering" w:styleId="ArticleSection">
    <w:name w:val="Outline List 3"/>
    <w:basedOn w:val="NoList"/>
    <w:semiHidden/>
    <w:rsid w:val="00E64ADD"/>
    <w:pPr>
      <w:numPr>
        <w:numId w:val="23"/>
      </w:numPr>
    </w:pPr>
  </w:style>
  <w:style w:type="character" w:styleId="HTMLAcronym">
    <w:name w:val="HTML Acronym"/>
    <w:basedOn w:val="DefaultParagraphFont"/>
    <w:semiHidden/>
    <w:rsid w:val="00E64ADD"/>
  </w:style>
  <w:style w:type="paragraph" w:styleId="HTMLAddress">
    <w:name w:val="HTML Address"/>
    <w:basedOn w:val="Normal"/>
    <w:semiHidden/>
    <w:rsid w:val="00E64ADD"/>
    <w:rPr>
      <w:i/>
      <w:iCs/>
    </w:rPr>
  </w:style>
  <w:style w:type="character" w:styleId="HTMLCite">
    <w:name w:val="HTML Cite"/>
    <w:semiHidden/>
    <w:rsid w:val="00E64ADD"/>
    <w:rPr>
      <w:i/>
      <w:iCs/>
    </w:rPr>
  </w:style>
  <w:style w:type="character" w:styleId="HTMLCode">
    <w:name w:val="HTML Code"/>
    <w:semiHidden/>
    <w:rsid w:val="00E64ADD"/>
    <w:rPr>
      <w:rFonts w:ascii="Courier New" w:hAnsi="Courier New" w:cs="Courier New"/>
      <w:sz w:val="20"/>
      <w:szCs w:val="20"/>
    </w:rPr>
  </w:style>
  <w:style w:type="character" w:styleId="HTMLDefinition">
    <w:name w:val="HTML Definition"/>
    <w:semiHidden/>
    <w:rsid w:val="00E64ADD"/>
    <w:rPr>
      <w:i/>
      <w:iCs/>
    </w:rPr>
  </w:style>
  <w:style w:type="character" w:styleId="HTMLKeyboard">
    <w:name w:val="HTML Keyboard"/>
    <w:semiHidden/>
    <w:rsid w:val="00E64ADD"/>
    <w:rPr>
      <w:rFonts w:ascii="Courier New" w:hAnsi="Courier New" w:cs="Courier New"/>
      <w:sz w:val="20"/>
      <w:szCs w:val="20"/>
    </w:rPr>
  </w:style>
  <w:style w:type="paragraph" w:styleId="HTMLPreformatted">
    <w:name w:val="HTML Preformatted"/>
    <w:basedOn w:val="Normal"/>
    <w:semiHidden/>
    <w:rsid w:val="00E64ADD"/>
    <w:rPr>
      <w:rFonts w:ascii="Courier New" w:hAnsi="Courier New" w:cs="Courier New"/>
      <w:sz w:val="20"/>
      <w:szCs w:val="20"/>
    </w:rPr>
  </w:style>
  <w:style w:type="character" w:styleId="HTMLSample">
    <w:name w:val="HTML Sample"/>
    <w:semiHidden/>
    <w:rsid w:val="00E64ADD"/>
    <w:rPr>
      <w:rFonts w:ascii="Courier New" w:hAnsi="Courier New" w:cs="Courier New"/>
    </w:rPr>
  </w:style>
  <w:style w:type="character" w:styleId="HTMLTypewriter">
    <w:name w:val="HTML Typewriter"/>
    <w:semiHidden/>
    <w:rsid w:val="00E64ADD"/>
    <w:rPr>
      <w:rFonts w:ascii="Courier New" w:hAnsi="Courier New" w:cs="Courier New"/>
      <w:sz w:val="20"/>
      <w:szCs w:val="20"/>
    </w:rPr>
  </w:style>
  <w:style w:type="character" w:styleId="HTMLVariable">
    <w:name w:val="HTML Variable"/>
    <w:semiHidden/>
    <w:rsid w:val="00E64ADD"/>
    <w:rPr>
      <w:i/>
      <w:iCs/>
    </w:rPr>
  </w:style>
  <w:style w:type="paragraph" w:styleId="List">
    <w:name w:val="List"/>
    <w:basedOn w:val="Normal"/>
    <w:semiHidden/>
    <w:rsid w:val="00E64ADD"/>
    <w:pPr>
      <w:ind w:left="283" w:hanging="283"/>
    </w:pPr>
  </w:style>
  <w:style w:type="paragraph" w:styleId="List2">
    <w:name w:val="List 2"/>
    <w:basedOn w:val="Normal"/>
    <w:semiHidden/>
    <w:rsid w:val="00E64ADD"/>
    <w:pPr>
      <w:ind w:left="566" w:hanging="283"/>
    </w:pPr>
  </w:style>
  <w:style w:type="paragraph" w:styleId="List3">
    <w:name w:val="List 3"/>
    <w:basedOn w:val="Normal"/>
    <w:semiHidden/>
    <w:rsid w:val="00E64ADD"/>
    <w:pPr>
      <w:ind w:left="849" w:hanging="283"/>
    </w:pPr>
  </w:style>
  <w:style w:type="paragraph" w:styleId="List4">
    <w:name w:val="List 4"/>
    <w:basedOn w:val="Normal"/>
    <w:semiHidden/>
    <w:rsid w:val="00E64ADD"/>
    <w:pPr>
      <w:ind w:left="1132" w:hanging="283"/>
    </w:pPr>
  </w:style>
  <w:style w:type="paragraph" w:styleId="List5">
    <w:name w:val="List 5"/>
    <w:basedOn w:val="Normal"/>
    <w:semiHidden/>
    <w:rsid w:val="00E64ADD"/>
    <w:pPr>
      <w:ind w:left="1415" w:hanging="283"/>
    </w:pPr>
  </w:style>
  <w:style w:type="paragraph" w:styleId="ListBullet">
    <w:name w:val="List Bullet"/>
    <w:basedOn w:val="Normal"/>
    <w:semiHidden/>
    <w:rsid w:val="00E64ADD"/>
    <w:pPr>
      <w:numPr>
        <w:numId w:val="13"/>
      </w:numPr>
    </w:pPr>
  </w:style>
  <w:style w:type="paragraph" w:styleId="ListBullet2">
    <w:name w:val="List Bullet 2"/>
    <w:basedOn w:val="Normal"/>
    <w:semiHidden/>
    <w:rsid w:val="00E64ADD"/>
    <w:pPr>
      <w:numPr>
        <w:numId w:val="4"/>
      </w:numPr>
    </w:pPr>
  </w:style>
  <w:style w:type="paragraph" w:styleId="ListBullet3">
    <w:name w:val="List Bullet 3"/>
    <w:basedOn w:val="Normal"/>
    <w:semiHidden/>
    <w:rsid w:val="00E64ADD"/>
    <w:pPr>
      <w:numPr>
        <w:numId w:val="5"/>
      </w:numPr>
    </w:pPr>
  </w:style>
  <w:style w:type="paragraph" w:styleId="ListBullet4">
    <w:name w:val="List Bullet 4"/>
    <w:basedOn w:val="Normal"/>
    <w:semiHidden/>
    <w:rsid w:val="00E64ADD"/>
    <w:pPr>
      <w:numPr>
        <w:numId w:val="6"/>
      </w:numPr>
    </w:pPr>
  </w:style>
  <w:style w:type="paragraph" w:styleId="ListBullet5">
    <w:name w:val="List Bullet 5"/>
    <w:basedOn w:val="Normal"/>
    <w:semiHidden/>
    <w:rsid w:val="00E64ADD"/>
    <w:pPr>
      <w:numPr>
        <w:numId w:val="7"/>
      </w:numPr>
    </w:pPr>
  </w:style>
  <w:style w:type="paragraph" w:styleId="ListContinue">
    <w:name w:val="List Continue"/>
    <w:basedOn w:val="Normal"/>
    <w:semiHidden/>
    <w:rsid w:val="00E64ADD"/>
    <w:pPr>
      <w:spacing w:after="120"/>
      <w:ind w:left="283"/>
    </w:pPr>
  </w:style>
  <w:style w:type="paragraph" w:styleId="ListContinue2">
    <w:name w:val="List Continue 2"/>
    <w:basedOn w:val="Normal"/>
    <w:semiHidden/>
    <w:rsid w:val="00E64ADD"/>
    <w:pPr>
      <w:spacing w:after="120"/>
      <w:ind w:left="566"/>
    </w:pPr>
  </w:style>
  <w:style w:type="paragraph" w:styleId="ListContinue3">
    <w:name w:val="List Continue 3"/>
    <w:basedOn w:val="Normal"/>
    <w:semiHidden/>
    <w:rsid w:val="00E64ADD"/>
    <w:pPr>
      <w:spacing w:after="120"/>
      <w:ind w:left="849"/>
    </w:pPr>
  </w:style>
  <w:style w:type="paragraph" w:styleId="ListContinue4">
    <w:name w:val="List Continue 4"/>
    <w:basedOn w:val="Normal"/>
    <w:semiHidden/>
    <w:rsid w:val="00E64ADD"/>
    <w:pPr>
      <w:spacing w:after="120"/>
      <w:ind w:left="1132"/>
    </w:pPr>
  </w:style>
  <w:style w:type="paragraph" w:styleId="ListContinue5">
    <w:name w:val="List Continue 5"/>
    <w:basedOn w:val="Normal"/>
    <w:semiHidden/>
    <w:rsid w:val="00E64ADD"/>
    <w:pPr>
      <w:spacing w:after="120"/>
      <w:ind w:left="1415"/>
    </w:pPr>
  </w:style>
  <w:style w:type="paragraph" w:styleId="ListNumber">
    <w:name w:val="List Number"/>
    <w:basedOn w:val="Normal"/>
    <w:semiHidden/>
    <w:rsid w:val="00E64ADD"/>
    <w:pPr>
      <w:numPr>
        <w:numId w:val="8"/>
      </w:numPr>
    </w:pPr>
  </w:style>
  <w:style w:type="paragraph" w:styleId="ListNumber2">
    <w:name w:val="List Number 2"/>
    <w:basedOn w:val="Normal"/>
    <w:semiHidden/>
    <w:rsid w:val="00E64ADD"/>
    <w:pPr>
      <w:numPr>
        <w:numId w:val="9"/>
      </w:numPr>
    </w:pPr>
  </w:style>
  <w:style w:type="paragraph" w:styleId="ListNumber3">
    <w:name w:val="List Number 3"/>
    <w:basedOn w:val="Normal"/>
    <w:semiHidden/>
    <w:rsid w:val="00E64ADD"/>
    <w:pPr>
      <w:numPr>
        <w:numId w:val="10"/>
      </w:numPr>
    </w:pPr>
  </w:style>
  <w:style w:type="paragraph" w:styleId="ListNumber4">
    <w:name w:val="List Number 4"/>
    <w:basedOn w:val="Normal"/>
    <w:semiHidden/>
    <w:rsid w:val="00E64ADD"/>
    <w:pPr>
      <w:numPr>
        <w:numId w:val="11"/>
      </w:numPr>
    </w:pPr>
  </w:style>
  <w:style w:type="paragraph" w:styleId="ListNumber5">
    <w:name w:val="List Number 5"/>
    <w:basedOn w:val="Normal"/>
    <w:semiHidden/>
    <w:rsid w:val="00E64ADD"/>
    <w:pPr>
      <w:numPr>
        <w:numId w:val="12"/>
      </w:numPr>
    </w:pPr>
  </w:style>
  <w:style w:type="character" w:styleId="Strong">
    <w:name w:val="Strong"/>
    <w:uiPriority w:val="22"/>
    <w:qFormat/>
    <w:rsid w:val="00E64ADD"/>
    <w:rPr>
      <w:b/>
      <w:bCs/>
    </w:rPr>
  </w:style>
  <w:style w:type="table" w:styleId="Table3Deffects1">
    <w:name w:val="Table 3D effects 1"/>
    <w:basedOn w:val="TableNormal"/>
    <w:semiHidden/>
    <w:rsid w:val="00E64ADD"/>
    <w:pPr>
      <w:tabs>
        <w:tab w:val="left" w:pos="567"/>
      </w:tabs>
      <w:spacing w:after="14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64ADD"/>
    <w:pPr>
      <w:tabs>
        <w:tab w:val="left" w:pos="567"/>
      </w:tabs>
      <w:spacing w:after="14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64ADD"/>
    <w:pPr>
      <w:tabs>
        <w:tab w:val="left" w:pos="567"/>
      </w:tabs>
      <w:spacing w:after="14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E64ADD"/>
    <w:pPr>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64ADD"/>
    <w:pPr>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64ADD"/>
    <w:pPr>
      <w:tabs>
        <w:tab w:val="left" w:pos="567"/>
      </w:tabs>
      <w:spacing w:after="14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64ADD"/>
    <w:pPr>
      <w:tabs>
        <w:tab w:val="left" w:pos="567"/>
      </w:tabs>
      <w:spacing w:after="14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E64ADD"/>
    <w:pPr>
      <w:tabs>
        <w:tab w:val="left" w:pos="567"/>
      </w:tabs>
      <w:spacing w:after="14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64ADD"/>
    <w:pPr>
      <w:tabs>
        <w:tab w:val="left" w:pos="567"/>
      </w:tabs>
      <w:spacing w:after="14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64ADD"/>
    <w:pPr>
      <w:tabs>
        <w:tab w:val="left" w:pos="567"/>
      </w:tabs>
      <w:spacing w:after="14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E64ADD"/>
    <w:pPr>
      <w:tabs>
        <w:tab w:val="left" w:pos="567"/>
      </w:tabs>
      <w:spacing w:after="14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64ADD"/>
    <w:pPr>
      <w:tabs>
        <w:tab w:val="left" w:pos="567"/>
      </w:tabs>
      <w:spacing w:after="14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64ADD"/>
    <w:pPr>
      <w:tabs>
        <w:tab w:val="left" w:pos="567"/>
      </w:tabs>
      <w:spacing w:after="14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64ADD"/>
    <w:pPr>
      <w:tabs>
        <w:tab w:val="left" w:pos="567"/>
      </w:tabs>
      <w:spacing w:after="14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64ADD"/>
    <w:pPr>
      <w:tabs>
        <w:tab w:val="left" w:pos="567"/>
      </w:tabs>
      <w:spacing w:after="14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E64ADD"/>
    <w:pPr>
      <w:tabs>
        <w:tab w:val="left" w:pos="567"/>
      </w:tabs>
      <w:spacing w:after="14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E64ADD"/>
    <w:pPr>
      <w:tabs>
        <w:tab w:val="left" w:pos="567"/>
      </w:tabs>
      <w:spacing w:after="14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E64ADD"/>
    <w:pPr>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64ADD"/>
    <w:pPr>
      <w:tabs>
        <w:tab w:val="left" w:pos="567"/>
      </w:tabs>
      <w:spacing w:after="14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64ADD"/>
    <w:pPr>
      <w:tabs>
        <w:tab w:val="left" w:pos="567"/>
      </w:tabs>
      <w:spacing w:after="14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64ADD"/>
    <w:pPr>
      <w:tabs>
        <w:tab w:val="left" w:pos="567"/>
      </w:tabs>
      <w:spacing w:after="14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64ADD"/>
    <w:pPr>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64ADD"/>
    <w:pPr>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64ADD"/>
    <w:pPr>
      <w:tabs>
        <w:tab w:val="left" w:pos="567"/>
      </w:tabs>
      <w:spacing w:after="14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64ADD"/>
    <w:pPr>
      <w:tabs>
        <w:tab w:val="left" w:pos="567"/>
      </w:tabs>
      <w:spacing w:after="14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E64ADD"/>
    <w:pPr>
      <w:tabs>
        <w:tab w:val="left" w:pos="567"/>
      </w:tabs>
      <w:spacing w:after="14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64ADD"/>
    <w:pPr>
      <w:tabs>
        <w:tab w:val="left" w:pos="567"/>
      </w:tabs>
      <w:spacing w:after="14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64ADD"/>
    <w:pPr>
      <w:tabs>
        <w:tab w:val="left" w:pos="567"/>
      </w:tabs>
      <w:spacing w:after="14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64ADD"/>
    <w:pPr>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64ADD"/>
    <w:pPr>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64ADD"/>
    <w:pPr>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64ADD"/>
    <w:pPr>
      <w:tabs>
        <w:tab w:val="left" w:pos="567"/>
      </w:tabs>
      <w:spacing w:after="14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64ADD"/>
    <w:pPr>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E64ADD"/>
    <w:pPr>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E64ADD"/>
    <w:pPr>
      <w:tabs>
        <w:tab w:val="left" w:pos="567"/>
      </w:tabs>
      <w:spacing w:after="14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64ADD"/>
    <w:pPr>
      <w:tabs>
        <w:tab w:val="left" w:pos="567"/>
      </w:tabs>
      <w:spacing w:after="14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64ADD"/>
    <w:pPr>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64ADD"/>
    <w:pPr>
      <w:tabs>
        <w:tab w:val="left" w:pos="567"/>
      </w:tabs>
      <w:spacing w:after="14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64ADD"/>
    <w:pPr>
      <w:tabs>
        <w:tab w:val="left" w:pos="567"/>
      </w:tabs>
      <w:spacing w:after="14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E64ADD"/>
    <w:pPr>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E64ADD"/>
    <w:pPr>
      <w:tabs>
        <w:tab w:val="left" w:pos="567"/>
      </w:tabs>
      <w:spacing w:after="14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64ADD"/>
    <w:pPr>
      <w:tabs>
        <w:tab w:val="left" w:pos="567"/>
      </w:tabs>
      <w:spacing w:after="14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64ADD"/>
    <w:pPr>
      <w:tabs>
        <w:tab w:val="left" w:pos="567"/>
      </w:tabs>
      <w:spacing w:after="14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Default">
    <w:name w:val="Default"/>
    <w:rsid w:val="00E84EA5"/>
    <w:pPr>
      <w:widowControl w:val="0"/>
      <w:autoSpaceDE w:val="0"/>
      <w:autoSpaceDN w:val="0"/>
      <w:adjustRightInd w:val="0"/>
    </w:pPr>
    <w:rPr>
      <w:rFonts w:ascii="Arial" w:hAnsi="Arial" w:cs="Arial"/>
      <w:color w:val="000000"/>
      <w:sz w:val="24"/>
      <w:szCs w:val="24"/>
    </w:rPr>
  </w:style>
  <w:style w:type="paragraph" w:customStyle="1" w:styleId="CM26">
    <w:name w:val="CM26"/>
    <w:basedOn w:val="Default"/>
    <w:next w:val="Default"/>
    <w:uiPriority w:val="99"/>
    <w:rsid w:val="00E84EA5"/>
    <w:pPr>
      <w:spacing w:after="120"/>
      <w:ind w:right="236"/>
      <w:jc w:val="both"/>
    </w:pPr>
    <w:rPr>
      <w:rFonts w:ascii="Calibri" w:hAnsi="Calibri"/>
      <w:b/>
      <w:color w:val="auto"/>
      <w:sz w:val="32"/>
      <w:szCs w:val="32"/>
      <w:lang w:eastAsia="en-US"/>
    </w:rPr>
  </w:style>
  <w:style w:type="paragraph" w:customStyle="1" w:styleId="Tablebodytext">
    <w:name w:val="Table body text"/>
    <w:basedOn w:val="Normal"/>
    <w:rsid w:val="00E84EA5"/>
    <w:pPr>
      <w:spacing w:before="60" w:after="60"/>
      <w:ind w:right="236"/>
      <w:jc w:val="both"/>
    </w:pPr>
    <w:rPr>
      <w:color w:val="000000"/>
      <w:lang w:val="en-US" w:bidi="en-US"/>
    </w:rPr>
  </w:style>
  <w:style w:type="paragraph" w:styleId="ListParagraph">
    <w:name w:val="List Paragraph"/>
    <w:basedOn w:val="Normal"/>
    <w:uiPriority w:val="34"/>
    <w:qFormat/>
    <w:rsid w:val="00E84EA5"/>
    <w:pPr>
      <w:spacing w:after="200" w:line="276" w:lineRule="auto"/>
      <w:ind w:left="720" w:right="236"/>
      <w:contextualSpacing/>
      <w:jc w:val="both"/>
    </w:pPr>
    <w:rPr>
      <w:rFonts w:ascii="Calibri" w:eastAsia="Calibri" w:hAnsi="Calibri"/>
      <w:color w:val="000000"/>
      <w:lang w:val="en-US" w:bidi="en-US"/>
    </w:rPr>
  </w:style>
  <w:style w:type="character" w:customStyle="1" w:styleId="FootnoteTextChar">
    <w:name w:val="Footnote Text Char"/>
    <w:aliases w:val="(NECG) Footnote Text Char"/>
    <w:link w:val="FootnoteText"/>
    <w:rsid w:val="00E84EA5"/>
    <w:rPr>
      <w:rFonts w:ascii="Gill Sans MT" w:hAnsi="Gill Sans MT"/>
      <w:color w:val="000000"/>
      <w:lang w:eastAsia="en-US"/>
    </w:rPr>
  </w:style>
  <w:style w:type="paragraph" w:customStyle="1" w:styleId="Title2">
    <w:name w:val="Title 2"/>
    <w:basedOn w:val="Normal"/>
    <w:rsid w:val="00E84EA5"/>
    <w:pPr>
      <w:tabs>
        <w:tab w:val="left" w:pos="1701"/>
      </w:tabs>
      <w:spacing w:before="240" w:after="240"/>
    </w:pPr>
    <w:rPr>
      <w:color w:val="FFFFFF"/>
      <w:sz w:val="52"/>
      <w:szCs w:val="52"/>
      <w:lang w:eastAsia="en-AU"/>
    </w:rPr>
  </w:style>
  <w:style w:type="paragraph" w:customStyle="1" w:styleId="Details">
    <w:name w:val="Details"/>
    <w:basedOn w:val="Normal"/>
    <w:next w:val="Normal"/>
    <w:autoRedefine/>
    <w:rsid w:val="00E84EA5"/>
    <w:pPr>
      <w:tabs>
        <w:tab w:val="right" w:pos="8789"/>
      </w:tabs>
      <w:overflowPunct w:val="0"/>
      <w:autoSpaceDE w:val="0"/>
      <w:autoSpaceDN w:val="0"/>
      <w:adjustRightInd w:val="0"/>
      <w:spacing w:before="120" w:after="120"/>
      <w:textAlignment w:val="baseline"/>
    </w:pPr>
    <w:rPr>
      <w:rFonts w:ascii="Calibri" w:hAnsi="Calibri"/>
      <w:noProof/>
      <w:sz w:val="28"/>
      <w:szCs w:val="28"/>
    </w:rPr>
  </w:style>
  <w:style w:type="paragraph" w:customStyle="1" w:styleId="Details10">
    <w:name w:val="Details 10"/>
    <w:basedOn w:val="Details"/>
    <w:rsid w:val="00E84EA5"/>
    <w:rPr>
      <w:rFonts w:ascii="Arial" w:hAnsi="Arial"/>
      <w:b/>
      <w:sz w:val="20"/>
    </w:rPr>
  </w:style>
  <w:style w:type="paragraph" w:customStyle="1" w:styleId="DetailsBold">
    <w:name w:val="Details Bold"/>
    <w:basedOn w:val="Details"/>
    <w:autoRedefine/>
    <w:rsid w:val="00E84EA5"/>
    <w:rPr>
      <w:b/>
      <w:bCs/>
    </w:rPr>
  </w:style>
  <w:style w:type="paragraph" w:customStyle="1" w:styleId="TableRight">
    <w:name w:val="Table Right"/>
    <w:link w:val="TableRightChar"/>
    <w:rsid w:val="00E84EA5"/>
    <w:pPr>
      <w:spacing w:line="300" w:lineRule="atLeast"/>
      <w:jc w:val="right"/>
    </w:pPr>
    <w:rPr>
      <w:rFonts w:ascii="Arial" w:hAnsi="Arial"/>
      <w:sz w:val="18"/>
      <w:szCs w:val="24"/>
      <w:lang w:eastAsia="en-US"/>
    </w:rPr>
  </w:style>
  <w:style w:type="character" w:customStyle="1" w:styleId="TableRightChar">
    <w:name w:val="Table Right Char"/>
    <w:link w:val="TableRight"/>
    <w:locked/>
    <w:rsid w:val="00E84EA5"/>
    <w:rPr>
      <w:rFonts w:ascii="Arial" w:hAnsi="Arial"/>
      <w:sz w:val="18"/>
      <w:szCs w:val="24"/>
      <w:lang w:val="en-AU" w:eastAsia="en-US" w:bidi="ar-SA"/>
    </w:rPr>
  </w:style>
  <w:style w:type="paragraph" w:customStyle="1" w:styleId="UnitName">
    <w:name w:val="Unit Name"/>
    <w:basedOn w:val="Normal"/>
    <w:rsid w:val="00373E2C"/>
    <w:rPr>
      <w:b/>
      <w:color w:val="FFFFFF"/>
      <w:sz w:val="28"/>
      <w:szCs w:val="24"/>
      <w:lang w:eastAsia="en-AU"/>
    </w:rPr>
  </w:style>
  <w:style w:type="character" w:customStyle="1" w:styleId="SubtitleChar">
    <w:name w:val="Subtitle Char"/>
    <w:link w:val="Subtitle"/>
    <w:rsid w:val="00373E2C"/>
    <w:rPr>
      <w:rFonts w:ascii="Gill Sans MT" w:hAnsi="Gill Sans MT" w:cs="Arial"/>
      <w:sz w:val="24"/>
      <w:szCs w:val="22"/>
      <w:lang w:eastAsia="en-US"/>
    </w:rPr>
  </w:style>
  <w:style w:type="character" w:customStyle="1" w:styleId="TitleChar">
    <w:name w:val="Title Char"/>
    <w:link w:val="Title"/>
    <w:rsid w:val="00373E2C"/>
    <w:rPr>
      <w:rFonts w:ascii="Gill Sans MT" w:hAnsi="Gill Sans MT" w:cs="Arial"/>
      <w:b/>
      <w:bCs/>
      <w:kern w:val="28"/>
      <w:sz w:val="32"/>
      <w:szCs w:val="32"/>
      <w:lang w:eastAsia="en-US"/>
    </w:rPr>
  </w:style>
  <w:style w:type="character" w:customStyle="1" w:styleId="FooterChar">
    <w:name w:val="Footer Char"/>
    <w:link w:val="Footer"/>
    <w:uiPriority w:val="99"/>
    <w:rsid w:val="00A44DAE"/>
    <w:rPr>
      <w:rFonts w:ascii="Gill Sans MT" w:hAnsi="Gill Sans MT"/>
      <w:sz w:val="16"/>
      <w:szCs w:val="16"/>
      <w:lang w:eastAsia="en-US"/>
    </w:rPr>
  </w:style>
  <w:style w:type="character" w:customStyle="1" w:styleId="EndnoteTextChar">
    <w:name w:val="Endnote Text Char"/>
    <w:link w:val="EndnoteText"/>
    <w:uiPriority w:val="99"/>
    <w:semiHidden/>
    <w:rsid w:val="00B103A8"/>
    <w:rPr>
      <w:rFonts w:ascii="Gill Sans MT" w:hAnsi="Gill Sans MT"/>
      <w:lang w:eastAsia="en-US"/>
    </w:rPr>
  </w:style>
  <w:style w:type="character" w:customStyle="1" w:styleId="Heading1Char">
    <w:name w:val="Heading 1 Char"/>
    <w:link w:val="Heading1"/>
    <w:rsid w:val="004E047C"/>
    <w:rPr>
      <w:rFonts w:ascii="Gill Sans MT" w:hAnsi="Gill Sans MT" w:cs="Arial"/>
      <w:b/>
      <w:snapToGrid w:val="0"/>
      <w:kern w:val="28"/>
      <w:sz w:val="40"/>
      <w:lang w:eastAsia="en-US"/>
    </w:rPr>
  </w:style>
  <w:style w:type="character" w:customStyle="1" w:styleId="Heading4Char">
    <w:name w:val="Heading 4 Char"/>
    <w:link w:val="Heading4"/>
    <w:rsid w:val="004E047C"/>
    <w:rPr>
      <w:rFonts w:ascii="Gill Sans MT" w:hAnsi="Gill Sans MT"/>
      <w:b/>
      <w:bCs/>
      <w:sz w:val="24"/>
      <w:szCs w:val="22"/>
    </w:rPr>
  </w:style>
  <w:style w:type="character" w:customStyle="1" w:styleId="Heading2Char">
    <w:name w:val="Heading 2 Char"/>
    <w:link w:val="Heading2"/>
    <w:rsid w:val="0083782B"/>
    <w:rPr>
      <w:rFonts w:ascii="Gill Sans MT" w:hAnsi="Gill Sans MT" w:cs="Arial"/>
      <w:b/>
      <w:bCs/>
      <w:sz w:val="32"/>
      <w:szCs w:val="28"/>
      <w:lang w:eastAsia="en-US"/>
    </w:rPr>
  </w:style>
  <w:style w:type="character" w:customStyle="1" w:styleId="BulletedListLevel1Char">
    <w:name w:val="Bulleted List Level 1 Char"/>
    <w:link w:val="BulletedListLevel1"/>
    <w:rsid w:val="00D94523"/>
    <w:rPr>
      <w:rFonts w:ascii="Gill Sans MT" w:hAnsi="Gill Sans MT"/>
      <w:sz w:val="22"/>
      <w:szCs w:val="24"/>
      <w:lang w:eastAsia="en-US"/>
    </w:rPr>
  </w:style>
  <w:style w:type="paragraph" w:customStyle="1" w:styleId="bullet">
    <w:name w:val="bullet"/>
    <w:basedOn w:val="Normal"/>
    <w:rsid w:val="006C2EC1"/>
    <w:pPr>
      <w:numPr>
        <w:numId w:val="25"/>
      </w:numPr>
      <w:spacing w:before="60" w:after="60"/>
      <w:ind w:left="567" w:hanging="567"/>
      <w:jc w:val="both"/>
    </w:pPr>
    <w:rPr>
      <w:rFonts w:ascii="Century Gothic" w:eastAsia="Calibri" w:hAnsi="Century Gothic"/>
      <w:color w:val="333333"/>
      <w:sz w:val="20"/>
      <w:szCs w:val="20"/>
      <w:lang w:val="en-US" w:bidi="en-US"/>
    </w:rPr>
  </w:style>
  <w:style w:type="paragraph" w:customStyle="1" w:styleId="NormalText">
    <w:name w:val="Normal Text"/>
    <w:basedOn w:val="Normal"/>
    <w:link w:val="NormalTextChar"/>
    <w:rsid w:val="00A4079F"/>
    <w:pPr>
      <w:spacing w:before="120" w:after="120"/>
    </w:pPr>
    <w:rPr>
      <w:szCs w:val="24"/>
      <w:lang w:val="x-none" w:eastAsia="x-none"/>
    </w:rPr>
  </w:style>
  <w:style w:type="character" w:customStyle="1" w:styleId="NormalTextChar">
    <w:name w:val="Normal Text Char"/>
    <w:link w:val="NormalText"/>
    <w:rsid w:val="00A4079F"/>
    <w:rPr>
      <w:rFonts w:ascii="Gill Sans MT" w:hAnsi="Gill Sans MT"/>
      <w:sz w:val="22"/>
      <w:szCs w:val="24"/>
    </w:rPr>
  </w:style>
  <w:style w:type="paragraph" w:customStyle="1" w:styleId="Heading40">
    <w:name w:val="Heading4"/>
    <w:basedOn w:val="Heading3"/>
    <w:rsid w:val="0085186E"/>
    <w:pPr>
      <w:spacing w:after="240"/>
    </w:pPr>
    <w:rPr>
      <w:rFonts w:cs="Times New Roman"/>
      <w:b w:val="0"/>
      <w:bCs w:val="0"/>
      <w:i/>
      <w:color w:val="002B54"/>
      <w:kern w:val="32"/>
      <w:sz w:val="24"/>
      <w:szCs w:val="20"/>
      <w:lang w:eastAsia="en-AU"/>
    </w:rPr>
  </w:style>
  <w:style w:type="character" w:customStyle="1" w:styleId="CommentTextChar">
    <w:name w:val="Comment Text Char"/>
    <w:link w:val="CommentText"/>
    <w:uiPriority w:val="99"/>
    <w:rsid w:val="000C20AE"/>
    <w:rPr>
      <w:rFonts w:ascii="Gill Sans MT" w:hAnsi="Gill Sans MT"/>
      <w:lang w:eastAsia="en-US"/>
    </w:rPr>
  </w:style>
  <w:style w:type="character" w:customStyle="1" w:styleId="apple-converted-space">
    <w:name w:val="apple-converted-space"/>
    <w:rsid w:val="00485E03"/>
  </w:style>
  <w:style w:type="paragraph" w:styleId="TOCHeading">
    <w:name w:val="TOC Heading"/>
    <w:basedOn w:val="Heading1"/>
    <w:next w:val="Normal"/>
    <w:uiPriority w:val="39"/>
    <w:semiHidden/>
    <w:unhideWhenUsed/>
    <w:qFormat/>
    <w:rsid w:val="00F1550D"/>
    <w:pPr>
      <w:keepLines/>
      <w:pageBreakBefore w:val="0"/>
      <w:spacing w:before="480" w:line="276" w:lineRule="auto"/>
      <w:outlineLvl w:val="9"/>
    </w:pPr>
    <w:rPr>
      <w:rFonts w:ascii="Cambria" w:eastAsia="MS Gothic" w:hAnsi="Cambria"/>
      <w:bCs/>
      <w:snapToGrid/>
      <w:color w:val="365F91"/>
      <w:kern w:val="0"/>
      <w:sz w:val="28"/>
      <w:szCs w:val="28"/>
      <w:lang w:val="en-US" w:eastAsia="ja-JP"/>
    </w:rPr>
  </w:style>
  <w:style w:type="paragraph" w:styleId="Revision">
    <w:name w:val="Revision"/>
    <w:hidden/>
    <w:uiPriority w:val="99"/>
    <w:semiHidden/>
    <w:rsid w:val="00CC5914"/>
    <w:rPr>
      <w:rFonts w:ascii="Gill Sans MT" w:hAnsi="Gill Sans MT"/>
      <w:sz w:val="22"/>
      <w:szCs w:val="22"/>
      <w:lang w:eastAsia="en-US"/>
    </w:rPr>
  </w:style>
  <w:style w:type="numbering" w:customStyle="1" w:styleId="Style1">
    <w:name w:val="Style1"/>
    <w:uiPriority w:val="99"/>
    <w:rsid w:val="00CD48CA"/>
    <w:pPr>
      <w:numPr>
        <w:numId w:val="29"/>
      </w:numPr>
    </w:pPr>
  </w:style>
  <w:style w:type="table" w:customStyle="1" w:styleId="TableGrid10">
    <w:name w:val="Table Grid1"/>
    <w:basedOn w:val="TableNormal"/>
    <w:next w:val="TableGrid"/>
    <w:uiPriority w:val="59"/>
    <w:rsid w:val="00011FDC"/>
    <w:pPr>
      <w:tabs>
        <w:tab w:val="left" w:pos="425"/>
      </w:tabs>
      <w:spacing w:after="240" w:line="30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annotation text" w:uiPriority="99"/>
    <w:lsdException w:name="footer" w:uiPriority="99"/>
    <w:lsdException w:name="caption" w:qFormat="1"/>
    <w:lsdException w:name="footnote reference" w:uiPriority="99"/>
    <w:lsdException w:name="annotation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ADD"/>
    <w:rPr>
      <w:rFonts w:ascii="Gill Sans MT" w:hAnsi="Gill Sans MT"/>
      <w:sz w:val="22"/>
      <w:szCs w:val="22"/>
      <w:lang w:eastAsia="en-US"/>
    </w:rPr>
  </w:style>
  <w:style w:type="paragraph" w:styleId="Heading1">
    <w:name w:val="heading 1"/>
    <w:basedOn w:val="Normal"/>
    <w:next w:val="Normal"/>
    <w:link w:val="Heading1Char"/>
    <w:qFormat/>
    <w:rsid w:val="008E56F7"/>
    <w:pPr>
      <w:keepNext/>
      <w:pageBreakBefore/>
      <w:spacing w:before="240"/>
      <w:outlineLvl w:val="0"/>
    </w:pPr>
    <w:rPr>
      <w:b/>
      <w:snapToGrid w:val="0"/>
      <w:kern w:val="28"/>
      <w:sz w:val="40"/>
      <w:szCs w:val="20"/>
      <w:lang w:val="x-none"/>
    </w:rPr>
  </w:style>
  <w:style w:type="paragraph" w:styleId="Heading2">
    <w:name w:val="heading 2"/>
    <w:basedOn w:val="Normal"/>
    <w:next w:val="Normal"/>
    <w:link w:val="Heading2Char"/>
    <w:qFormat/>
    <w:rsid w:val="00E64ADD"/>
    <w:pPr>
      <w:keepNext/>
      <w:spacing w:before="240"/>
      <w:outlineLvl w:val="1"/>
    </w:pPr>
    <w:rPr>
      <w:b/>
      <w:bCs/>
      <w:sz w:val="32"/>
      <w:szCs w:val="28"/>
      <w:lang w:val="x-none"/>
    </w:rPr>
  </w:style>
  <w:style w:type="paragraph" w:styleId="Heading3">
    <w:name w:val="heading 3"/>
    <w:basedOn w:val="Normal"/>
    <w:next w:val="Normal"/>
    <w:link w:val="Heading3Char"/>
    <w:qFormat/>
    <w:rsid w:val="00E64ADD"/>
    <w:pPr>
      <w:keepNext/>
      <w:spacing w:before="240"/>
      <w:outlineLvl w:val="2"/>
    </w:pPr>
    <w:rPr>
      <w:rFonts w:cs="Arial"/>
      <w:b/>
      <w:bCs/>
      <w:iCs/>
      <w:sz w:val="28"/>
      <w:szCs w:val="28"/>
    </w:rPr>
  </w:style>
  <w:style w:type="paragraph" w:styleId="Heading4">
    <w:name w:val="heading 4"/>
    <w:basedOn w:val="Normal"/>
    <w:link w:val="Heading4Char"/>
    <w:qFormat/>
    <w:rsid w:val="00E64ADD"/>
    <w:pPr>
      <w:keepNext/>
      <w:spacing w:before="240"/>
      <w:outlineLvl w:val="3"/>
    </w:pPr>
    <w:rPr>
      <w:b/>
      <w:bCs/>
      <w:sz w:val="24"/>
      <w:lang w:val="x-none" w:eastAsia="x-none"/>
    </w:rPr>
  </w:style>
  <w:style w:type="paragraph" w:styleId="Heading5">
    <w:name w:val="heading 5"/>
    <w:basedOn w:val="Normal"/>
    <w:next w:val="Normal"/>
    <w:qFormat/>
    <w:rsid w:val="00E64ADD"/>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E64ADD"/>
    <w:pPr>
      <w:spacing w:before="240" w:after="60" w:line="300" w:lineRule="exact"/>
      <w:outlineLvl w:val="5"/>
    </w:pPr>
    <w:rPr>
      <w:rFonts w:ascii="Times New Roman" w:hAnsi="Times New Roman"/>
      <w:b/>
      <w:bCs/>
    </w:rPr>
  </w:style>
  <w:style w:type="paragraph" w:styleId="Heading7">
    <w:name w:val="heading 7"/>
    <w:basedOn w:val="Normal"/>
    <w:next w:val="Normal"/>
    <w:qFormat/>
    <w:rsid w:val="00E64ADD"/>
    <w:pPr>
      <w:spacing w:before="240" w:after="60" w:line="300" w:lineRule="exact"/>
      <w:outlineLvl w:val="6"/>
    </w:pPr>
    <w:rPr>
      <w:rFonts w:ascii="Times New Roman" w:hAnsi="Times New Roman"/>
      <w:sz w:val="24"/>
    </w:rPr>
  </w:style>
  <w:style w:type="paragraph" w:styleId="Heading8">
    <w:name w:val="heading 8"/>
    <w:basedOn w:val="Normal"/>
    <w:next w:val="Normal"/>
    <w:qFormat/>
    <w:rsid w:val="00E64ADD"/>
    <w:pPr>
      <w:spacing w:before="240" w:after="60" w:line="300" w:lineRule="exact"/>
      <w:outlineLvl w:val="7"/>
    </w:pPr>
    <w:rPr>
      <w:rFonts w:ascii="Times New Roman" w:hAnsi="Times New Roman"/>
      <w:i/>
      <w:iCs/>
      <w:sz w:val="24"/>
    </w:rPr>
  </w:style>
  <w:style w:type="paragraph" w:styleId="Heading9">
    <w:name w:val="heading 9"/>
    <w:basedOn w:val="Normal"/>
    <w:next w:val="Normal"/>
    <w:qFormat/>
    <w:rsid w:val="00E64ADD"/>
    <w:pPr>
      <w:spacing w:before="240" w:after="60" w:line="300" w:lineRule="exact"/>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475C48"/>
    <w:rPr>
      <w:rFonts w:ascii="Gill Sans MT" w:hAnsi="Gill Sans MT" w:cs="Arial"/>
      <w:b/>
      <w:bCs/>
      <w:iCs/>
      <w:sz w:val="28"/>
      <w:szCs w:val="28"/>
      <w:lang w:val="en-AU" w:eastAsia="en-US" w:bidi="ar-SA"/>
    </w:rPr>
  </w:style>
  <w:style w:type="character" w:styleId="PageNumber">
    <w:name w:val="page number"/>
    <w:basedOn w:val="DefaultParagraphFont"/>
    <w:semiHidden/>
    <w:rsid w:val="00001E5A"/>
  </w:style>
  <w:style w:type="character" w:customStyle="1" w:styleId="Cross-ref">
    <w:name w:val="Cross-ref"/>
    <w:semiHidden/>
    <w:rsid w:val="00475C48"/>
    <w:rPr>
      <w:rFonts w:ascii="Gill Sans MT" w:hAnsi="Gill Sans MT"/>
      <w:color w:val="0000FF"/>
      <w:u w:val="single" w:color="0000FF"/>
    </w:rPr>
  </w:style>
  <w:style w:type="paragraph" w:styleId="Footer">
    <w:name w:val="footer"/>
    <w:basedOn w:val="Normal"/>
    <w:link w:val="FooterChar"/>
    <w:uiPriority w:val="99"/>
    <w:rsid w:val="00E64ADD"/>
    <w:pPr>
      <w:jc w:val="right"/>
    </w:pPr>
    <w:rPr>
      <w:sz w:val="16"/>
      <w:szCs w:val="16"/>
      <w:lang w:val="x-none"/>
    </w:rPr>
  </w:style>
  <w:style w:type="paragraph" w:styleId="Caption">
    <w:name w:val="caption"/>
    <w:basedOn w:val="Normal"/>
    <w:next w:val="Normal"/>
    <w:qFormat/>
    <w:rsid w:val="00E64ADD"/>
    <w:pPr>
      <w:spacing w:before="120" w:after="120"/>
    </w:pPr>
    <w:rPr>
      <w:b/>
      <w:bCs/>
      <w:sz w:val="20"/>
      <w:szCs w:val="20"/>
    </w:rPr>
  </w:style>
  <w:style w:type="character" w:styleId="FootnoteReference">
    <w:name w:val="footnote reference"/>
    <w:aliases w:val="(NECG) Footnote Reference"/>
    <w:uiPriority w:val="99"/>
    <w:rsid w:val="00747FBC"/>
    <w:rPr>
      <w:vertAlign w:val="superscript"/>
    </w:rPr>
  </w:style>
  <w:style w:type="paragraph" w:styleId="Header">
    <w:name w:val="header"/>
    <w:basedOn w:val="Normal"/>
    <w:semiHidden/>
    <w:rsid w:val="00E64ADD"/>
    <w:pPr>
      <w:jc w:val="right"/>
    </w:pPr>
    <w:rPr>
      <w:sz w:val="16"/>
    </w:rPr>
  </w:style>
  <w:style w:type="paragraph" w:styleId="FootnoteText">
    <w:name w:val="footnote text"/>
    <w:aliases w:val="(NECG) Footnote Text"/>
    <w:basedOn w:val="Normal"/>
    <w:link w:val="FootnoteTextChar"/>
    <w:rsid w:val="00747FBC"/>
    <w:pPr>
      <w:keepLines/>
      <w:spacing w:line="240" w:lineRule="atLeast"/>
      <w:ind w:left="851"/>
    </w:pPr>
    <w:rPr>
      <w:color w:val="000000"/>
      <w:sz w:val="20"/>
      <w:szCs w:val="20"/>
      <w:lang w:val="x-none"/>
    </w:rPr>
  </w:style>
  <w:style w:type="paragraph" w:styleId="Date">
    <w:name w:val="Date"/>
    <w:basedOn w:val="Normal"/>
    <w:next w:val="Normal"/>
    <w:semiHidden/>
    <w:rsid w:val="006352EB"/>
    <w:pPr>
      <w:spacing w:line="480" w:lineRule="atLeast"/>
    </w:pPr>
    <w:rPr>
      <w:sz w:val="28"/>
    </w:rPr>
  </w:style>
  <w:style w:type="paragraph" w:customStyle="1" w:styleId="File">
    <w:name w:val="File"/>
    <w:basedOn w:val="Normal"/>
    <w:semiHidden/>
    <w:rsid w:val="00475C48"/>
    <w:rPr>
      <w:sz w:val="18"/>
    </w:rPr>
  </w:style>
  <w:style w:type="paragraph" w:customStyle="1" w:styleId="Header1">
    <w:name w:val="Header 1"/>
    <w:basedOn w:val="Normal"/>
    <w:semiHidden/>
    <w:rsid w:val="00475C48"/>
    <w:rPr>
      <w:caps/>
      <w:spacing w:val="30"/>
      <w:sz w:val="20"/>
    </w:rPr>
  </w:style>
  <w:style w:type="paragraph" w:customStyle="1" w:styleId="Header2">
    <w:name w:val="Header 2"/>
    <w:basedOn w:val="Header1"/>
    <w:semiHidden/>
    <w:rsid w:val="00747FBC"/>
    <w:pPr>
      <w:spacing w:before="560"/>
    </w:pPr>
    <w:rPr>
      <w:spacing w:val="20"/>
      <w:sz w:val="18"/>
      <w:szCs w:val="18"/>
    </w:rPr>
  </w:style>
  <w:style w:type="paragraph" w:customStyle="1" w:styleId="Contentsheading">
    <w:name w:val="Contents heading"/>
    <w:next w:val="Normal"/>
    <w:semiHidden/>
    <w:rsid w:val="00475C48"/>
    <w:pPr>
      <w:pageBreakBefore/>
      <w:spacing w:before="300" w:after="240"/>
    </w:pPr>
    <w:rPr>
      <w:rFonts w:ascii="Gill Sans MT" w:hAnsi="Gill Sans MT"/>
      <w:b/>
      <w:sz w:val="40"/>
      <w:szCs w:val="24"/>
      <w:lang w:eastAsia="en-US"/>
    </w:rPr>
  </w:style>
  <w:style w:type="character" w:styleId="Hyperlink">
    <w:name w:val="Hyperlink"/>
    <w:uiPriority w:val="99"/>
    <w:rsid w:val="00E64ADD"/>
    <w:rPr>
      <w:color w:val="0000FF"/>
      <w:u w:val="single"/>
    </w:rPr>
  </w:style>
  <w:style w:type="paragraph" w:styleId="NormalIndent">
    <w:name w:val="Normal Indent"/>
    <w:basedOn w:val="Normal"/>
    <w:semiHidden/>
    <w:rsid w:val="00E64ADD"/>
    <w:pPr>
      <w:ind w:left="567"/>
    </w:pPr>
  </w:style>
  <w:style w:type="paragraph" w:customStyle="1" w:styleId="Quotation">
    <w:name w:val="Quotation"/>
    <w:basedOn w:val="NormalIndent"/>
    <w:semiHidden/>
    <w:rsid w:val="00475C48"/>
    <w:rPr>
      <w:sz w:val="20"/>
    </w:rPr>
  </w:style>
  <w:style w:type="paragraph" w:customStyle="1" w:styleId="TableHeadingRight">
    <w:name w:val="Table Heading Right"/>
    <w:basedOn w:val="TableHeadingLeft"/>
    <w:semiHidden/>
    <w:rsid w:val="00E64ADD"/>
    <w:pPr>
      <w:jc w:val="right"/>
    </w:pPr>
  </w:style>
  <w:style w:type="paragraph" w:customStyle="1" w:styleId="TableHeadingLeft">
    <w:name w:val="Table Heading Left"/>
    <w:basedOn w:val="Normal"/>
    <w:semiHidden/>
    <w:rsid w:val="00E64ADD"/>
    <w:pPr>
      <w:tabs>
        <w:tab w:val="left" w:pos="425"/>
      </w:tabs>
      <w:spacing w:before="60" w:after="60"/>
    </w:pPr>
    <w:rPr>
      <w:b/>
      <w:szCs w:val="24"/>
    </w:rPr>
  </w:style>
  <w:style w:type="paragraph" w:customStyle="1" w:styleId="TableHeadingCentered">
    <w:name w:val="Table Heading Centered"/>
    <w:basedOn w:val="TableHeadingRight"/>
    <w:semiHidden/>
    <w:rsid w:val="00E64ADD"/>
    <w:pPr>
      <w:jc w:val="center"/>
    </w:pPr>
  </w:style>
  <w:style w:type="paragraph" w:customStyle="1" w:styleId="TableContentsRight">
    <w:name w:val="Table Contents Right"/>
    <w:basedOn w:val="TableContentsLeft"/>
    <w:semiHidden/>
    <w:rsid w:val="00E64ADD"/>
    <w:pPr>
      <w:jc w:val="right"/>
    </w:pPr>
  </w:style>
  <w:style w:type="paragraph" w:customStyle="1" w:styleId="TableContentsLeft">
    <w:name w:val="Table Contents Left"/>
    <w:basedOn w:val="Normal"/>
    <w:semiHidden/>
    <w:rsid w:val="00E64ADD"/>
    <w:pPr>
      <w:tabs>
        <w:tab w:val="left" w:pos="425"/>
      </w:tabs>
      <w:spacing w:before="60" w:after="60"/>
    </w:pPr>
    <w:rPr>
      <w:szCs w:val="24"/>
    </w:rPr>
  </w:style>
  <w:style w:type="paragraph" w:customStyle="1" w:styleId="TableBulletedList">
    <w:name w:val="Table Bulleted List"/>
    <w:rsid w:val="00B81B1D"/>
    <w:pPr>
      <w:numPr>
        <w:numId w:val="24"/>
      </w:numPr>
      <w:tabs>
        <w:tab w:val="left" w:pos="284"/>
      </w:tabs>
      <w:spacing w:before="20" w:after="60"/>
    </w:pPr>
    <w:rPr>
      <w:rFonts w:ascii="Gill Sans MT" w:hAnsi="Gill Sans MT"/>
      <w:sz w:val="22"/>
      <w:szCs w:val="24"/>
      <w:lang w:eastAsia="en-US"/>
    </w:rPr>
  </w:style>
  <w:style w:type="paragraph" w:customStyle="1" w:styleId="Tablenotes">
    <w:name w:val="Table notes"/>
    <w:basedOn w:val="Caption"/>
    <w:semiHidden/>
    <w:rsid w:val="00E64ADD"/>
    <w:pPr>
      <w:keepLines/>
      <w:tabs>
        <w:tab w:val="left" w:pos="425"/>
      </w:tabs>
      <w:spacing w:before="80" w:after="300" w:line="200" w:lineRule="atLeast"/>
    </w:pPr>
    <w:rPr>
      <w:rFonts w:cs="Arial"/>
      <w:b w:val="0"/>
      <w:color w:val="000000"/>
      <w:sz w:val="16"/>
    </w:rPr>
  </w:style>
  <w:style w:type="paragraph" w:customStyle="1" w:styleId="Logo">
    <w:name w:val="Logo"/>
    <w:semiHidden/>
    <w:rsid w:val="00E64ADD"/>
    <w:pPr>
      <w:spacing w:line="300" w:lineRule="atLeast"/>
      <w:ind w:right="-28"/>
      <w:jc w:val="right"/>
    </w:pPr>
    <w:rPr>
      <w:rFonts w:ascii="Gill Sans MT" w:hAnsi="Gill Sans MT"/>
      <w:szCs w:val="24"/>
      <w:lang w:eastAsia="en-US"/>
    </w:rPr>
  </w:style>
  <w:style w:type="paragraph" w:styleId="TOC1">
    <w:name w:val="toc 1"/>
    <w:basedOn w:val="Normal"/>
    <w:next w:val="Normal"/>
    <w:autoRedefine/>
    <w:uiPriority w:val="39"/>
    <w:qFormat/>
    <w:rsid w:val="00190270"/>
    <w:pPr>
      <w:tabs>
        <w:tab w:val="right" w:pos="9639"/>
      </w:tabs>
      <w:spacing w:before="300"/>
      <w:ind w:right="-6"/>
    </w:pPr>
    <w:rPr>
      <w:b/>
      <w:noProof/>
      <w:szCs w:val="36"/>
    </w:rPr>
  </w:style>
  <w:style w:type="paragraph" w:styleId="TOC2">
    <w:name w:val="toc 2"/>
    <w:basedOn w:val="Normal"/>
    <w:next w:val="Normal"/>
    <w:autoRedefine/>
    <w:uiPriority w:val="39"/>
    <w:qFormat/>
    <w:rsid w:val="007912F0"/>
    <w:pPr>
      <w:tabs>
        <w:tab w:val="right" w:pos="9639"/>
      </w:tabs>
      <w:spacing w:after="140" w:line="300" w:lineRule="atLeast"/>
      <w:ind w:left="567" w:right="284" w:hanging="142"/>
    </w:pPr>
    <w:rPr>
      <w:rFonts w:cs="Arial"/>
      <w:noProof/>
      <w:szCs w:val="26"/>
    </w:rPr>
  </w:style>
  <w:style w:type="paragraph" w:styleId="DocumentMap">
    <w:name w:val="Document Map"/>
    <w:basedOn w:val="Normal"/>
    <w:semiHidden/>
    <w:rsid w:val="00D73D99"/>
    <w:pPr>
      <w:numPr>
        <w:ilvl w:val="1"/>
        <w:numId w:val="1"/>
      </w:numPr>
      <w:shd w:val="clear" w:color="auto" w:fill="000080"/>
    </w:pPr>
    <w:rPr>
      <w:rFonts w:ascii="Arial" w:hAnsi="Arial" w:cs="Tahoma"/>
    </w:rPr>
  </w:style>
  <w:style w:type="paragraph" w:customStyle="1" w:styleId="BulletedList">
    <w:name w:val="Bulleted List"/>
    <w:semiHidden/>
    <w:rsid w:val="00001E5A"/>
    <w:rPr>
      <w:rFonts w:ascii="Gill Sans MT" w:hAnsi="Gill Sans MT"/>
      <w:sz w:val="22"/>
      <w:szCs w:val="24"/>
      <w:lang w:eastAsia="en-US"/>
    </w:rPr>
  </w:style>
  <w:style w:type="paragraph" w:customStyle="1" w:styleId="Fileno">
    <w:name w:val="File no."/>
    <w:basedOn w:val="Normal"/>
    <w:semiHidden/>
    <w:rsid w:val="00001E5A"/>
    <w:pPr>
      <w:spacing w:after="240" w:line="300" w:lineRule="exact"/>
    </w:pPr>
    <w:rPr>
      <w:rFonts w:ascii="Arial" w:hAnsi="Arial" w:cs="Arial"/>
    </w:rPr>
  </w:style>
  <w:style w:type="character" w:styleId="FollowedHyperlink">
    <w:name w:val="FollowedHyperlink"/>
    <w:semiHidden/>
    <w:rsid w:val="00E64ADD"/>
    <w:rPr>
      <w:color w:val="800080"/>
      <w:u w:val="single"/>
    </w:rPr>
  </w:style>
  <w:style w:type="paragraph" w:customStyle="1" w:styleId="GovernanceText">
    <w:name w:val="Governance Text"/>
    <w:semiHidden/>
    <w:rsid w:val="00475C48"/>
    <w:pPr>
      <w:spacing w:after="120"/>
    </w:pPr>
    <w:rPr>
      <w:rFonts w:ascii="Gill Sans MT" w:hAnsi="Gill Sans MT"/>
      <w:color w:val="808080"/>
      <w:sz w:val="16"/>
      <w:szCs w:val="16"/>
      <w:lang w:eastAsia="en-US"/>
    </w:rPr>
  </w:style>
  <w:style w:type="table" w:styleId="TableGrid">
    <w:name w:val="Table Grid"/>
    <w:basedOn w:val="TableNormal"/>
    <w:uiPriority w:val="59"/>
    <w:rsid w:val="00001E5A"/>
    <w:pPr>
      <w:tabs>
        <w:tab w:val="left" w:pos="425"/>
      </w:tabs>
      <w:spacing w:after="240" w:line="30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portTitle">
    <w:name w:val="Report Title"/>
    <w:basedOn w:val="Heading1"/>
    <w:semiHidden/>
    <w:rsid w:val="00357ABF"/>
    <w:pPr>
      <w:keepNext w:val="0"/>
      <w:pageBreakBefore w:val="0"/>
      <w:spacing w:before="2600" w:after="5600"/>
      <w:outlineLvl w:val="9"/>
    </w:pPr>
    <w:rPr>
      <w:sz w:val="48"/>
    </w:rPr>
  </w:style>
  <w:style w:type="paragraph" w:customStyle="1" w:styleId="TableContentsCentered">
    <w:name w:val="Table Contents Centered"/>
    <w:basedOn w:val="TableContentsLeft"/>
    <w:semiHidden/>
    <w:rsid w:val="00E64ADD"/>
    <w:pPr>
      <w:jc w:val="center"/>
    </w:pPr>
  </w:style>
  <w:style w:type="paragraph" w:customStyle="1" w:styleId="DepartmentAddress">
    <w:name w:val="Department Address"/>
    <w:semiHidden/>
    <w:rsid w:val="00E64ADD"/>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DepartmentTitle">
    <w:name w:val="Department Title"/>
    <w:semiHidden/>
    <w:rsid w:val="00E64ADD"/>
    <w:pPr>
      <w:tabs>
        <w:tab w:val="left" w:pos="720"/>
      </w:tabs>
    </w:pPr>
    <w:rPr>
      <w:rFonts w:ascii="Gill Sans MT" w:hAnsi="Gill Sans MT"/>
      <w:sz w:val="28"/>
      <w:szCs w:val="24"/>
      <w:lang w:eastAsia="en-US"/>
    </w:rPr>
  </w:style>
  <w:style w:type="paragraph" w:customStyle="1" w:styleId="Sub-branch">
    <w:name w:val="Sub-branch"/>
    <w:basedOn w:val="Normal"/>
    <w:semiHidden/>
    <w:rsid w:val="00E64ADD"/>
    <w:pPr>
      <w:spacing w:before="80" w:after="240" w:line="24" w:lineRule="atLeast"/>
    </w:pPr>
    <w:rPr>
      <w:caps/>
      <w:w w:val="95"/>
      <w:sz w:val="18"/>
      <w:szCs w:val="20"/>
    </w:rPr>
  </w:style>
  <w:style w:type="paragraph" w:customStyle="1" w:styleId="Attention">
    <w:name w:val="Attention"/>
    <w:basedOn w:val="Normal"/>
    <w:semiHidden/>
    <w:rsid w:val="00E64ADD"/>
    <w:pPr>
      <w:keepNext/>
      <w:spacing w:after="240"/>
    </w:pPr>
  </w:style>
  <w:style w:type="paragraph" w:styleId="BodyText">
    <w:name w:val="Body Text"/>
    <w:basedOn w:val="Normal"/>
    <w:semiHidden/>
    <w:rsid w:val="00E64ADD"/>
  </w:style>
  <w:style w:type="paragraph" w:customStyle="1" w:styleId="BoldTitle">
    <w:name w:val="BoldTitle"/>
    <w:semiHidden/>
    <w:rsid w:val="00475C48"/>
    <w:rPr>
      <w:rFonts w:ascii="Gill Sans MT" w:hAnsi="Gill Sans MT"/>
      <w:b/>
      <w:caps/>
      <w:sz w:val="22"/>
      <w:szCs w:val="24"/>
      <w:lang w:eastAsia="en-US"/>
    </w:rPr>
  </w:style>
  <w:style w:type="paragraph" w:styleId="Subtitle">
    <w:name w:val="Subtitle"/>
    <w:basedOn w:val="Normal"/>
    <w:link w:val="SubtitleChar"/>
    <w:qFormat/>
    <w:rsid w:val="00E64ADD"/>
    <w:pPr>
      <w:spacing w:after="60"/>
      <w:jc w:val="center"/>
      <w:outlineLvl w:val="1"/>
    </w:pPr>
    <w:rPr>
      <w:sz w:val="24"/>
      <w:lang w:val="x-none"/>
    </w:rPr>
  </w:style>
  <w:style w:type="paragraph" w:customStyle="1" w:styleId="FirstPageFooter">
    <w:name w:val="FirstPageFooter"/>
    <w:basedOn w:val="Footer"/>
    <w:semiHidden/>
    <w:rsid w:val="00475C48"/>
    <w:pPr>
      <w:jc w:val="center"/>
    </w:pPr>
  </w:style>
  <w:style w:type="paragraph" w:customStyle="1" w:styleId="Indented">
    <w:name w:val="Indented"/>
    <w:semiHidden/>
    <w:rsid w:val="00747FBC"/>
    <w:pPr>
      <w:ind w:left="1418"/>
    </w:pPr>
    <w:rPr>
      <w:rFonts w:ascii="Gill Sans MT" w:hAnsi="Gill Sans MT"/>
      <w:sz w:val="22"/>
      <w:szCs w:val="22"/>
      <w:lang w:eastAsia="en-US"/>
    </w:rPr>
  </w:style>
  <w:style w:type="paragraph" w:customStyle="1" w:styleId="IndentedItalic">
    <w:name w:val="Indented Italic"/>
    <w:semiHidden/>
    <w:rsid w:val="00747FBC"/>
    <w:pPr>
      <w:spacing w:after="120"/>
      <w:ind w:left="567"/>
    </w:pPr>
    <w:rPr>
      <w:rFonts w:ascii="Gill Sans MT" w:hAnsi="Gill Sans MT"/>
      <w:i/>
      <w:sz w:val="22"/>
      <w:szCs w:val="24"/>
      <w:lang w:eastAsia="en-US"/>
    </w:rPr>
  </w:style>
  <w:style w:type="paragraph" w:customStyle="1" w:styleId="Lettered">
    <w:name w:val="Lettered"/>
    <w:semiHidden/>
    <w:rsid w:val="00747FBC"/>
    <w:pPr>
      <w:numPr>
        <w:numId w:val="2"/>
      </w:numPr>
      <w:spacing w:line="300" w:lineRule="atLeast"/>
    </w:pPr>
    <w:rPr>
      <w:rFonts w:ascii="Gill Sans MT" w:hAnsi="Gill Sans MT"/>
      <w:sz w:val="22"/>
      <w:szCs w:val="24"/>
      <w:lang w:eastAsia="en-US"/>
    </w:rPr>
  </w:style>
  <w:style w:type="paragraph" w:customStyle="1" w:styleId="ReferenceBlock">
    <w:name w:val="Reference Block"/>
    <w:semiHidden/>
    <w:rsid w:val="00747FBC"/>
    <w:pPr>
      <w:tabs>
        <w:tab w:val="left" w:pos="425"/>
      </w:tabs>
    </w:pPr>
    <w:rPr>
      <w:rFonts w:ascii="Gill Sans MT" w:hAnsi="Gill Sans MT" w:cs="Arial"/>
      <w:lang w:eastAsia="en-US"/>
    </w:rPr>
  </w:style>
  <w:style w:type="paragraph" w:customStyle="1" w:styleId="RomanNumerals">
    <w:name w:val="Roman Numerals"/>
    <w:semiHidden/>
    <w:rsid w:val="00747FBC"/>
    <w:pPr>
      <w:numPr>
        <w:numId w:val="3"/>
      </w:numPr>
      <w:spacing w:after="120"/>
    </w:pPr>
    <w:rPr>
      <w:rFonts w:ascii="Gill Sans MT" w:hAnsi="Gill Sans MT"/>
      <w:sz w:val="22"/>
      <w:szCs w:val="24"/>
      <w:lang w:eastAsia="en-US"/>
    </w:rPr>
  </w:style>
  <w:style w:type="paragraph" w:customStyle="1" w:styleId="Subject">
    <w:name w:val="Subject"/>
    <w:semiHidden/>
    <w:rsid w:val="00E64ADD"/>
    <w:pPr>
      <w:spacing w:before="60" w:after="60"/>
    </w:pPr>
    <w:rPr>
      <w:rFonts w:ascii="Gill Sans MT" w:hAnsi="Gill Sans MT"/>
      <w:b/>
      <w:sz w:val="24"/>
      <w:szCs w:val="28"/>
      <w:lang w:eastAsia="en-US"/>
    </w:rPr>
  </w:style>
  <w:style w:type="paragraph" w:customStyle="1" w:styleId="Heading1notinTOC">
    <w:name w:val="Heading 1 not in TOC"/>
    <w:basedOn w:val="Heading1"/>
    <w:semiHidden/>
    <w:rsid w:val="00475C48"/>
  </w:style>
  <w:style w:type="paragraph" w:customStyle="1" w:styleId="NumberedList">
    <w:name w:val="Numbered List"/>
    <w:semiHidden/>
    <w:rsid w:val="00E64ADD"/>
    <w:pPr>
      <w:numPr>
        <w:numId w:val="19"/>
      </w:numPr>
      <w:spacing w:after="140" w:line="300" w:lineRule="atLeast"/>
    </w:pPr>
    <w:rPr>
      <w:rFonts w:ascii="Gill Sans MT" w:hAnsi="Gill Sans MT"/>
      <w:sz w:val="22"/>
      <w:lang w:eastAsia="en-US"/>
    </w:rPr>
  </w:style>
  <w:style w:type="paragraph" w:styleId="BlockText">
    <w:name w:val="Block Text"/>
    <w:basedOn w:val="Normal"/>
    <w:semiHidden/>
    <w:rsid w:val="00001E5A"/>
    <w:pPr>
      <w:spacing w:line="300" w:lineRule="exact"/>
      <w:ind w:left="1440" w:right="1440"/>
    </w:pPr>
    <w:rPr>
      <w:rFonts w:ascii="Arial" w:hAnsi="Arial"/>
    </w:rPr>
  </w:style>
  <w:style w:type="paragraph" w:styleId="BodyText2">
    <w:name w:val="Body Text 2"/>
    <w:basedOn w:val="Normal"/>
    <w:semiHidden/>
    <w:rsid w:val="00001E5A"/>
    <w:pPr>
      <w:spacing w:line="480" w:lineRule="auto"/>
    </w:pPr>
    <w:rPr>
      <w:rFonts w:ascii="Arial" w:hAnsi="Arial"/>
    </w:rPr>
  </w:style>
  <w:style w:type="paragraph" w:styleId="BodyText3">
    <w:name w:val="Body Text 3"/>
    <w:basedOn w:val="Normal"/>
    <w:semiHidden/>
    <w:rsid w:val="00001E5A"/>
    <w:pPr>
      <w:spacing w:line="300" w:lineRule="exact"/>
    </w:pPr>
    <w:rPr>
      <w:rFonts w:ascii="Arial" w:hAnsi="Arial"/>
      <w:sz w:val="16"/>
      <w:szCs w:val="16"/>
    </w:rPr>
  </w:style>
  <w:style w:type="paragraph" w:styleId="BodyTextFirstIndent">
    <w:name w:val="Body Text First Indent"/>
    <w:basedOn w:val="BodyText"/>
    <w:semiHidden/>
    <w:rsid w:val="00001E5A"/>
    <w:pPr>
      <w:ind w:firstLine="210"/>
    </w:pPr>
  </w:style>
  <w:style w:type="paragraph" w:styleId="BodyTextIndent">
    <w:name w:val="Body Text Indent"/>
    <w:basedOn w:val="BodyText"/>
    <w:semiHidden/>
    <w:rsid w:val="00E64ADD"/>
    <w:pPr>
      <w:ind w:left="567"/>
    </w:pPr>
  </w:style>
  <w:style w:type="paragraph" w:styleId="BodyTextFirstIndent2">
    <w:name w:val="Body Text First Indent 2"/>
    <w:basedOn w:val="BodyTextIndent"/>
    <w:semiHidden/>
    <w:rsid w:val="00001E5A"/>
    <w:pPr>
      <w:spacing w:line="300" w:lineRule="exact"/>
      <w:ind w:firstLine="210"/>
    </w:pPr>
    <w:rPr>
      <w:rFonts w:ascii="Arial" w:hAnsi="Arial"/>
    </w:rPr>
  </w:style>
  <w:style w:type="paragraph" w:styleId="BodyTextIndent2">
    <w:name w:val="Body Text Indent 2"/>
    <w:basedOn w:val="Normal"/>
    <w:semiHidden/>
    <w:rsid w:val="00001E5A"/>
    <w:pPr>
      <w:spacing w:line="480" w:lineRule="auto"/>
      <w:ind w:left="283"/>
    </w:pPr>
    <w:rPr>
      <w:rFonts w:ascii="Arial" w:hAnsi="Arial"/>
    </w:rPr>
  </w:style>
  <w:style w:type="paragraph" w:styleId="BodyTextIndent3">
    <w:name w:val="Body Text Indent 3"/>
    <w:basedOn w:val="Normal"/>
    <w:semiHidden/>
    <w:rsid w:val="00001E5A"/>
    <w:pPr>
      <w:spacing w:line="300" w:lineRule="exact"/>
      <w:ind w:left="283"/>
    </w:pPr>
    <w:rPr>
      <w:rFonts w:ascii="Arial" w:hAnsi="Arial"/>
      <w:sz w:val="16"/>
      <w:szCs w:val="16"/>
    </w:rPr>
  </w:style>
  <w:style w:type="paragraph" w:styleId="Closing">
    <w:name w:val="Closing"/>
    <w:basedOn w:val="Normal"/>
    <w:semiHidden/>
    <w:rsid w:val="00001E5A"/>
    <w:pPr>
      <w:spacing w:after="240" w:line="300" w:lineRule="exact"/>
      <w:ind w:left="4252"/>
    </w:pPr>
    <w:rPr>
      <w:rFonts w:ascii="Arial" w:hAnsi="Arial"/>
    </w:rPr>
  </w:style>
  <w:style w:type="paragraph" w:styleId="E-mailSignature">
    <w:name w:val="E-mail Signature"/>
    <w:basedOn w:val="Normal"/>
    <w:semiHidden/>
    <w:rsid w:val="00001E5A"/>
    <w:pPr>
      <w:spacing w:after="240" w:line="300" w:lineRule="exact"/>
    </w:pPr>
    <w:rPr>
      <w:rFonts w:ascii="Arial" w:hAnsi="Arial"/>
    </w:rPr>
  </w:style>
  <w:style w:type="character" w:styleId="Emphasis">
    <w:name w:val="Emphasis"/>
    <w:uiPriority w:val="20"/>
    <w:qFormat/>
    <w:rsid w:val="00001E5A"/>
    <w:rPr>
      <w:i/>
      <w:iCs/>
    </w:rPr>
  </w:style>
  <w:style w:type="paragraph" w:customStyle="1" w:styleId="Heading1numbered">
    <w:name w:val="Heading 1 (numbered)"/>
    <w:basedOn w:val="Heading1"/>
    <w:next w:val="Normal"/>
    <w:semiHidden/>
    <w:rsid w:val="00E64ADD"/>
    <w:pPr>
      <w:numPr>
        <w:numId w:val="18"/>
      </w:numPr>
      <w:spacing w:after="120"/>
    </w:pPr>
  </w:style>
  <w:style w:type="character" w:styleId="LineNumber">
    <w:name w:val="line number"/>
    <w:basedOn w:val="DefaultParagraphFont"/>
    <w:semiHidden/>
    <w:rsid w:val="00001E5A"/>
  </w:style>
  <w:style w:type="paragraph" w:styleId="MessageHeader">
    <w:name w:val="Message Header"/>
    <w:basedOn w:val="Normal"/>
    <w:semiHidden/>
    <w:rsid w:val="00001E5A"/>
    <w:pPr>
      <w:pBdr>
        <w:top w:val="single" w:sz="6" w:space="1" w:color="auto"/>
        <w:left w:val="single" w:sz="6" w:space="1" w:color="auto"/>
        <w:bottom w:val="single" w:sz="6" w:space="1" w:color="auto"/>
        <w:right w:val="single" w:sz="6" w:space="1" w:color="auto"/>
      </w:pBdr>
      <w:shd w:val="pct20" w:color="auto" w:fill="auto"/>
      <w:spacing w:after="240" w:line="300" w:lineRule="exact"/>
      <w:ind w:left="1134" w:hanging="1134"/>
    </w:pPr>
    <w:rPr>
      <w:rFonts w:ascii="Arial" w:hAnsi="Arial" w:cs="Arial"/>
      <w:sz w:val="24"/>
    </w:rPr>
  </w:style>
  <w:style w:type="paragraph" w:styleId="NormalWeb">
    <w:name w:val="Normal (Web)"/>
    <w:basedOn w:val="Normal"/>
    <w:uiPriority w:val="99"/>
    <w:semiHidden/>
    <w:rsid w:val="00001E5A"/>
    <w:rPr>
      <w:rFonts w:ascii="Times New Roman" w:hAnsi="Times New Roman"/>
      <w:sz w:val="24"/>
    </w:rPr>
  </w:style>
  <w:style w:type="paragraph" w:styleId="NoteHeading">
    <w:name w:val="Note Heading"/>
    <w:basedOn w:val="Normal"/>
    <w:next w:val="Normal"/>
    <w:semiHidden/>
    <w:rsid w:val="00001E5A"/>
  </w:style>
  <w:style w:type="paragraph" w:styleId="PlainText">
    <w:name w:val="Plain Text"/>
    <w:basedOn w:val="Normal"/>
    <w:semiHidden/>
    <w:rsid w:val="00001E5A"/>
    <w:rPr>
      <w:rFonts w:ascii="Courier New" w:hAnsi="Courier New" w:cs="Courier New"/>
      <w:sz w:val="20"/>
      <w:szCs w:val="20"/>
    </w:rPr>
  </w:style>
  <w:style w:type="paragraph" w:styleId="Salutation">
    <w:name w:val="Salutation"/>
    <w:basedOn w:val="Normal"/>
    <w:next w:val="Normal"/>
    <w:semiHidden/>
    <w:rsid w:val="00E64ADD"/>
  </w:style>
  <w:style w:type="paragraph" w:styleId="Signature">
    <w:name w:val="Signature"/>
    <w:basedOn w:val="Normal"/>
    <w:semiHidden/>
    <w:rsid w:val="00E64ADD"/>
  </w:style>
  <w:style w:type="paragraph" w:customStyle="1" w:styleId="Heading2numbered">
    <w:name w:val="Heading 2 (numbered)"/>
    <w:basedOn w:val="Heading2"/>
    <w:next w:val="Normal"/>
    <w:semiHidden/>
    <w:rsid w:val="00E64ADD"/>
    <w:pPr>
      <w:numPr>
        <w:ilvl w:val="1"/>
        <w:numId w:val="18"/>
      </w:numPr>
      <w:spacing w:after="120"/>
    </w:pPr>
  </w:style>
  <w:style w:type="paragraph" w:styleId="Title">
    <w:name w:val="Title"/>
    <w:basedOn w:val="Normal"/>
    <w:link w:val="TitleChar"/>
    <w:qFormat/>
    <w:rsid w:val="00E64ADD"/>
    <w:pPr>
      <w:spacing w:before="240" w:after="60"/>
      <w:jc w:val="center"/>
      <w:outlineLvl w:val="0"/>
    </w:pPr>
    <w:rPr>
      <w:b/>
      <w:bCs/>
      <w:kern w:val="28"/>
      <w:sz w:val="32"/>
      <w:szCs w:val="32"/>
      <w:lang w:val="x-none"/>
    </w:rPr>
  </w:style>
  <w:style w:type="paragraph" w:customStyle="1" w:styleId="BulletedIndentedafterNumber">
    <w:name w:val="Bulleted Indented after Number"/>
    <w:semiHidden/>
    <w:rsid w:val="00E64ADD"/>
    <w:pPr>
      <w:numPr>
        <w:numId w:val="14"/>
      </w:numPr>
      <w:spacing w:after="140" w:line="300" w:lineRule="atLeast"/>
    </w:pPr>
    <w:rPr>
      <w:rFonts w:ascii="Gill Sans MT" w:hAnsi="Gill Sans MT"/>
      <w:sz w:val="22"/>
      <w:lang w:eastAsia="en-US"/>
    </w:rPr>
  </w:style>
  <w:style w:type="paragraph" w:customStyle="1" w:styleId="BulletedListLevel1">
    <w:name w:val="Bulleted List Level 1"/>
    <w:link w:val="BulletedListLevel1Char"/>
    <w:rsid w:val="00E64ADD"/>
    <w:pPr>
      <w:numPr>
        <w:numId w:val="15"/>
      </w:numPr>
      <w:tabs>
        <w:tab w:val="left" w:pos="1134"/>
      </w:tabs>
      <w:spacing w:after="140" w:line="300" w:lineRule="atLeast"/>
    </w:pPr>
    <w:rPr>
      <w:rFonts w:ascii="Gill Sans MT" w:hAnsi="Gill Sans MT"/>
      <w:sz w:val="22"/>
      <w:szCs w:val="24"/>
      <w:lang w:eastAsia="en-US"/>
    </w:rPr>
  </w:style>
  <w:style w:type="paragraph" w:customStyle="1" w:styleId="BulletedListLevel2">
    <w:name w:val="Bulleted List Level 2"/>
    <w:semiHidden/>
    <w:rsid w:val="00E64ADD"/>
    <w:pPr>
      <w:numPr>
        <w:numId w:val="16"/>
      </w:numPr>
      <w:spacing w:after="140" w:line="300" w:lineRule="atLeast"/>
    </w:pPr>
    <w:rPr>
      <w:rFonts w:ascii="Gill Sans MT" w:hAnsi="Gill Sans MT" w:cs="Arial"/>
      <w:snapToGrid w:val="0"/>
      <w:kern w:val="28"/>
      <w:sz w:val="22"/>
      <w:lang w:eastAsia="en-US"/>
    </w:rPr>
  </w:style>
  <w:style w:type="paragraph" w:customStyle="1" w:styleId="BulletedListLevel3">
    <w:name w:val="Bulleted List Level 3"/>
    <w:semiHidden/>
    <w:rsid w:val="00E64ADD"/>
    <w:pPr>
      <w:numPr>
        <w:numId w:val="17"/>
      </w:numPr>
      <w:spacing w:after="140" w:line="300" w:lineRule="atLeast"/>
    </w:pPr>
    <w:rPr>
      <w:rFonts w:ascii="Gill Sans MT" w:hAnsi="Gill Sans MT" w:cs="Arial"/>
      <w:snapToGrid w:val="0"/>
      <w:kern w:val="28"/>
      <w:sz w:val="22"/>
      <w:lang w:eastAsia="en-US"/>
    </w:rPr>
  </w:style>
  <w:style w:type="paragraph" w:customStyle="1" w:styleId="Clearance">
    <w:name w:val="Clearance"/>
    <w:semiHidden/>
    <w:rsid w:val="00E64ADD"/>
    <w:pPr>
      <w:keepNext/>
      <w:spacing w:before="40" w:after="40"/>
    </w:pPr>
    <w:rPr>
      <w:rFonts w:ascii="Gill Sans MT" w:hAnsi="Gill Sans MT"/>
      <w:szCs w:val="22"/>
      <w:lang w:eastAsia="en-US"/>
    </w:rPr>
  </w:style>
  <w:style w:type="paragraph" w:customStyle="1" w:styleId="Contact">
    <w:name w:val="Contact"/>
    <w:semiHidden/>
    <w:rsid w:val="00E64ADD"/>
    <w:pPr>
      <w:spacing w:before="40" w:after="40"/>
    </w:pPr>
    <w:rPr>
      <w:rFonts w:ascii="Gill Sans MT" w:hAnsi="Gill Sans MT"/>
      <w:szCs w:val="24"/>
      <w:lang w:eastAsia="en-US"/>
    </w:rPr>
  </w:style>
  <w:style w:type="paragraph" w:customStyle="1" w:styleId="Heading3numbered">
    <w:name w:val="Heading 3 (numbered)"/>
    <w:basedOn w:val="Heading3"/>
    <w:next w:val="Normal"/>
    <w:semiHidden/>
    <w:rsid w:val="00E64ADD"/>
    <w:pPr>
      <w:numPr>
        <w:ilvl w:val="2"/>
        <w:numId w:val="18"/>
      </w:numPr>
      <w:spacing w:after="120"/>
    </w:pPr>
  </w:style>
  <w:style w:type="table" w:customStyle="1" w:styleId="DHHSTableStyle">
    <w:name w:val="DHHS Table Style"/>
    <w:basedOn w:val="TableNormal"/>
    <w:semiHidden/>
    <w:rsid w:val="00E64ADD"/>
    <w:pPr>
      <w:spacing w:before="20" w:after="20"/>
    </w:pPr>
    <w:rPr>
      <w:rFonts w:ascii="Gill Sans MT" w:hAnsi="Gill Sans MT"/>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closure">
    <w:name w:val="Enclosure"/>
    <w:semiHidden/>
    <w:rsid w:val="00E64ADD"/>
    <w:rPr>
      <w:rFonts w:ascii="Gill Sans MT" w:hAnsi="Gill Sans MT"/>
      <w:sz w:val="18"/>
      <w:szCs w:val="22"/>
      <w:lang w:eastAsia="en-US"/>
    </w:rPr>
  </w:style>
  <w:style w:type="paragraph" w:customStyle="1" w:styleId="FileorMTSNo">
    <w:name w:val="File or MTS No."/>
    <w:semiHidden/>
    <w:rsid w:val="00E64ADD"/>
    <w:pPr>
      <w:spacing w:after="120"/>
    </w:pPr>
    <w:rPr>
      <w:rFonts w:ascii="Gill Sans MT" w:hAnsi="Gill Sans MT"/>
      <w:color w:val="000000"/>
      <w:sz w:val="18"/>
      <w:lang w:eastAsia="en-US"/>
    </w:rPr>
  </w:style>
  <w:style w:type="paragraph" w:customStyle="1" w:styleId="Heading-Main">
    <w:name w:val="Heading - Main"/>
    <w:next w:val="Normal"/>
    <w:semiHidden/>
    <w:rsid w:val="00E64ADD"/>
    <w:pPr>
      <w:spacing w:before="240" w:after="240" w:line="300" w:lineRule="atLeast"/>
      <w:outlineLvl w:val="0"/>
    </w:pPr>
    <w:rPr>
      <w:rFonts w:ascii="Gill Sans MT" w:hAnsi="Gill Sans MT" w:cs="Arial"/>
      <w:b/>
      <w:iCs/>
      <w:kern w:val="36"/>
      <w:sz w:val="28"/>
      <w:szCs w:val="28"/>
    </w:rPr>
  </w:style>
  <w:style w:type="paragraph" w:customStyle="1" w:styleId="InformationBlock">
    <w:name w:val="Information Block"/>
    <w:semiHidden/>
    <w:rsid w:val="00E64ADD"/>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semiHidden/>
    <w:rsid w:val="00E64ADD"/>
    <w:rPr>
      <w:b w:val="0"/>
    </w:rPr>
  </w:style>
  <w:style w:type="paragraph" w:customStyle="1" w:styleId="space">
    <w:name w:val="space"/>
    <w:semiHidden/>
    <w:rsid w:val="00E64ADD"/>
    <w:rPr>
      <w:rFonts w:ascii="Arial" w:hAnsi="Arial" w:cs="Arial"/>
      <w:caps/>
      <w:sz w:val="4"/>
      <w:szCs w:val="30"/>
      <w:lang w:eastAsia="en-US"/>
    </w:rPr>
  </w:style>
  <w:style w:type="paragraph" w:customStyle="1" w:styleId="TableStyle">
    <w:name w:val="Table Style"/>
    <w:basedOn w:val="Normal"/>
    <w:semiHidden/>
    <w:rsid w:val="00E64ADD"/>
    <w:pPr>
      <w:spacing w:before="20" w:after="20"/>
    </w:pPr>
    <w:rPr>
      <w:szCs w:val="20"/>
    </w:rPr>
  </w:style>
  <w:style w:type="paragraph" w:customStyle="1" w:styleId="Heading4numbered">
    <w:name w:val="Heading 4 (numbered)"/>
    <w:basedOn w:val="Heading4"/>
    <w:next w:val="Normal"/>
    <w:semiHidden/>
    <w:rsid w:val="00E64ADD"/>
    <w:pPr>
      <w:numPr>
        <w:ilvl w:val="3"/>
        <w:numId w:val="18"/>
      </w:numPr>
      <w:spacing w:after="120"/>
    </w:pPr>
  </w:style>
  <w:style w:type="paragraph" w:customStyle="1" w:styleId="Address">
    <w:name w:val="Address"/>
    <w:basedOn w:val="Normal"/>
    <w:semiHidden/>
    <w:rsid w:val="00E64ADD"/>
  </w:style>
  <w:style w:type="paragraph" w:customStyle="1" w:styleId="AddressIndent">
    <w:name w:val="Address Indent"/>
    <w:semiHidden/>
    <w:rsid w:val="00E64ADD"/>
    <w:pPr>
      <w:ind w:left="1080"/>
    </w:pPr>
    <w:rPr>
      <w:rFonts w:ascii="Gill Sans MT" w:hAnsi="Gill Sans MT"/>
      <w:sz w:val="22"/>
      <w:szCs w:val="24"/>
      <w:lang w:eastAsia="en-US"/>
    </w:rPr>
  </w:style>
  <w:style w:type="paragraph" w:styleId="EnvelopeAddress">
    <w:name w:val="envelope address"/>
    <w:basedOn w:val="Normal"/>
    <w:semiHidden/>
    <w:rsid w:val="00E64ADD"/>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E64ADD"/>
    <w:rPr>
      <w:rFonts w:cs="Arial"/>
      <w:sz w:val="20"/>
      <w:szCs w:val="20"/>
    </w:rPr>
  </w:style>
  <w:style w:type="paragraph" w:customStyle="1" w:styleId="Instructions">
    <w:name w:val="Instructions"/>
    <w:next w:val="Normal"/>
    <w:semiHidden/>
    <w:rsid w:val="00E64ADD"/>
    <w:pPr>
      <w:shd w:val="clear" w:color="auto" w:fill="FFFFCC"/>
      <w:spacing w:line="240" w:lineRule="atLeast"/>
    </w:pPr>
    <w:rPr>
      <w:rFonts w:ascii="Verdana" w:hAnsi="Verdana" w:cs="Arial"/>
      <w:iCs/>
      <w:kern w:val="36"/>
      <w:sz w:val="17"/>
      <w:szCs w:val="17"/>
    </w:rPr>
  </w:style>
  <w:style w:type="paragraph" w:customStyle="1" w:styleId="RecommendationNumberedList">
    <w:name w:val="Recommendation Numbered List"/>
    <w:basedOn w:val="NumberedList"/>
    <w:semiHidden/>
    <w:rsid w:val="00E64ADD"/>
    <w:pPr>
      <w:numPr>
        <w:numId w:val="20"/>
      </w:numPr>
      <w:spacing w:after="240"/>
    </w:pPr>
    <w:rPr>
      <w:b/>
    </w:rPr>
  </w:style>
  <w:style w:type="paragraph" w:customStyle="1" w:styleId="Tabledecimal">
    <w:name w:val="Table decimal"/>
    <w:basedOn w:val="Normal"/>
    <w:semiHidden/>
    <w:rsid w:val="00E64ADD"/>
    <w:pPr>
      <w:tabs>
        <w:tab w:val="decimal" w:pos="884"/>
      </w:tabs>
      <w:spacing w:before="40" w:after="40" w:line="260" w:lineRule="atLeast"/>
    </w:pPr>
    <w:rPr>
      <w:rFonts w:ascii="Arial" w:hAnsi="Arial" w:cs="Arial"/>
      <w:snapToGrid w:val="0"/>
      <w:sz w:val="20"/>
      <w:szCs w:val="20"/>
    </w:rPr>
  </w:style>
  <w:style w:type="paragraph" w:styleId="BalloonText">
    <w:name w:val="Balloon Text"/>
    <w:basedOn w:val="Normal"/>
    <w:semiHidden/>
    <w:rsid w:val="00E64ADD"/>
    <w:rPr>
      <w:rFonts w:ascii="Tahoma" w:hAnsi="Tahoma" w:cs="Tahoma"/>
      <w:sz w:val="16"/>
      <w:szCs w:val="16"/>
    </w:rPr>
  </w:style>
  <w:style w:type="character" w:styleId="CommentReference">
    <w:name w:val="annotation reference"/>
    <w:uiPriority w:val="99"/>
    <w:rsid w:val="00E64ADD"/>
    <w:rPr>
      <w:sz w:val="16"/>
      <w:szCs w:val="16"/>
    </w:rPr>
  </w:style>
  <w:style w:type="paragraph" w:styleId="CommentText">
    <w:name w:val="annotation text"/>
    <w:basedOn w:val="Normal"/>
    <w:link w:val="CommentTextChar"/>
    <w:uiPriority w:val="99"/>
    <w:rsid w:val="00E64ADD"/>
    <w:rPr>
      <w:sz w:val="20"/>
      <w:szCs w:val="20"/>
      <w:lang w:val="x-none"/>
    </w:rPr>
  </w:style>
  <w:style w:type="paragraph" w:styleId="CommentSubject">
    <w:name w:val="annotation subject"/>
    <w:basedOn w:val="CommentText"/>
    <w:next w:val="CommentText"/>
    <w:semiHidden/>
    <w:rsid w:val="00E64ADD"/>
    <w:rPr>
      <w:b/>
      <w:bCs/>
    </w:rPr>
  </w:style>
  <w:style w:type="character" w:styleId="EndnoteReference">
    <w:name w:val="endnote reference"/>
    <w:rsid w:val="00E64ADD"/>
    <w:rPr>
      <w:vertAlign w:val="superscript"/>
    </w:rPr>
  </w:style>
  <w:style w:type="paragraph" w:styleId="EndnoteText">
    <w:name w:val="endnote text"/>
    <w:basedOn w:val="Normal"/>
    <w:link w:val="EndnoteTextChar"/>
    <w:uiPriority w:val="99"/>
    <w:semiHidden/>
    <w:rsid w:val="00E64ADD"/>
    <w:rPr>
      <w:sz w:val="20"/>
      <w:szCs w:val="20"/>
      <w:lang w:val="x-none"/>
    </w:rPr>
  </w:style>
  <w:style w:type="paragraph" w:styleId="Index1">
    <w:name w:val="index 1"/>
    <w:basedOn w:val="Normal"/>
    <w:next w:val="Normal"/>
    <w:autoRedefine/>
    <w:semiHidden/>
    <w:rsid w:val="00E64ADD"/>
    <w:pPr>
      <w:ind w:left="220" w:hanging="220"/>
    </w:pPr>
  </w:style>
  <w:style w:type="paragraph" w:styleId="Index2">
    <w:name w:val="index 2"/>
    <w:basedOn w:val="Normal"/>
    <w:next w:val="Normal"/>
    <w:autoRedefine/>
    <w:semiHidden/>
    <w:rsid w:val="00E64ADD"/>
    <w:pPr>
      <w:ind w:left="440" w:hanging="220"/>
    </w:pPr>
  </w:style>
  <w:style w:type="paragraph" w:styleId="Index3">
    <w:name w:val="index 3"/>
    <w:basedOn w:val="Normal"/>
    <w:next w:val="Normal"/>
    <w:autoRedefine/>
    <w:semiHidden/>
    <w:rsid w:val="00E64ADD"/>
    <w:pPr>
      <w:ind w:left="660" w:hanging="220"/>
    </w:pPr>
  </w:style>
  <w:style w:type="paragraph" w:styleId="Index4">
    <w:name w:val="index 4"/>
    <w:basedOn w:val="Normal"/>
    <w:next w:val="Normal"/>
    <w:autoRedefine/>
    <w:semiHidden/>
    <w:rsid w:val="00E64ADD"/>
    <w:pPr>
      <w:ind w:left="880" w:hanging="220"/>
    </w:pPr>
  </w:style>
  <w:style w:type="paragraph" w:styleId="Index5">
    <w:name w:val="index 5"/>
    <w:basedOn w:val="Normal"/>
    <w:next w:val="Normal"/>
    <w:autoRedefine/>
    <w:semiHidden/>
    <w:rsid w:val="00E64ADD"/>
    <w:pPr>
      <w:ind w:left="1100" w:hanging="220"/>
    </w:pPr>
  </w:style>
  <w:style w:type="paragraph" w:styleId="Index6">
    <w:name w:val="index 6"/>
    <w:basedOn w:val="Normal"/>
    <w:next w:val="Normal"/>
    <w:autoRedefine/>
    <w:semiHidden/>
    <w:rsid w:val="00E64ADD"/>
    <w:pPr>
      <w:ind w:left="1320" w:hanging="220"/>
    </w:pPr>
  </w:style>
  <w:style w:type="paragraph" w:styleId="Index7">
    <w:name w:val="index 7"/>
    <w:basedOn w:val="Normal"/>
    <w:next w:val="Normal"/>
    <w:autoRedefine/>
    <w:semiHidden/>
    <w:rsid w:val="00E64ADD"/>
    <w:pPr>
      <w:ind w:left="1540" w:hanging="220"/>
    </w:pPr>
  </w:style>
  <w:style w:type="paragraph" w:styleId="Index8">
    <w:name w:val="index 8"/>
    <w:basedOn w:val="Normal"/>
    <w:next w:val="Normal"/>
    <w:autoRedefine/>
    <w:semiHidden/>
    <w:rsid w:val="00E64ADD"/>
    <w:pPr>
      <w:ind w:left="1760" w:hanging="220"/>
    </w:pPr>
  </w:style>
  <w:style w:type="paragraph" w:styleId="Index9">
    <w:name w:val="index 9"/>
    <w:basedOn w:val="Normal"/>
    <w:next w:val="Normal"/>
    <w:autoRedefine/>
    <w:semiHidden/>
    <w:rsid w:val="00E64ADD"/>
    <w:pPr>
      <w:ind w:left="1980" w:hanging="220"/>
    </w:pPr>
  </w:style>
  <w:style w:type="paragraph" w:styleId="IndexHeading">
    <w:name w:val="index heading"/>
    <w:basedOn w:val="Normal"/>
    <w:next w:val="Index1"/>
    <w:semiHidden/>
    <w:rsid w:val="00E64ADD"/>
    <w:rPr>
      <w:rFonts w:ascii="Arial" w:hAnsi="Arial" w:cs="Arial"/>
      <w:b/>
      <w:bCs/>
    </w:rPr>
  </w:style>
  <w:style w:type="paragraph" w:styleId="MacroText">
    <w:name w:val="macro"/>
    <w:semiHidden/>
    <w:rsid w:val="00E64ADD"/>
    <w:pPr>
      <w:tabs>
        <w:tab w:val="left" w:pos="480"/>
        <w:tab w:val="left" w:pos="960"/>
        <w:tab w:val="left" w:pos="1440"/>
        <w:tab w:val="left" w:pos="1920"/>
        <w:tab w:val="left" w:pos="2400"/>
        <w:tab w:val="left" w:pos="2880"/>
        <w:tab w:val="left" w:pos="3360"/>
        <w:tab w:val="left" w:pos="3840"/>
        <w:tab w:val="left" w:pos="4320"/>
      </w:tabs>
      <w:spacing w:after="140" w:line="300" w:lineRule="atLeast"/>
    </w:pPr>
    <w:rPr>
      <w:rFonts w:ascii="Courier New" w:hAnsi="Courier New" w:cs="Courier New"/>
      <w:lang w:eastAsia="en-US"/>
    </w:rPr>
  </w:style>
  <w:style w:type="paragraph" w:styleId="TableofAuthorities">
    <w:name w:val="table of authorities"/>
    <w:basedOn w:val="Normal"/>
    <w:next w:val="Normal"/>
    <w:semiHidden/>
    <w:rsid w:val="00E64ADD"/>
    <w:pPr>
      <w:ind w:left="220" w:hanging="220"/>
    </w:pPr>
  </w:style>
  <w:style w:type="paragraph" w:styleId="TableofFigures">
    <w:name w:val="table of figures"/>
    <w:basedOn w:val="Normal"/>
    <w:next w:val="Normal"/>
    <w:semiHidden/>
    <w:rsid w:val="00E64ADD"/>
  </w:style>
  <w:style w:type="paragraph" w:styleId="TOAHeading">
    <w:name w:val="toa heading"/>
    <w:basedOn w:val="Normal"/>
    <w:next w:val="Normal"/>
    <w:semiHidden/>
    <w:rsid w:val="00E64ADD"/>
    <w:pPr>
      <w:spacing w:before="120"/>
    </w:pPr>
    <w:rPr>
      <w:rFonts w:ascii="Arial" w:hAnsi="Arial" w:cs="Arial"/>
      <w:b/>
      <w:bCs/>
      <w:sz w:val="24"/>
      <w:szCs w:val="24"/>
    </w:rPr>
  </w:style>
  <w:style w:type="paragraph" w:styleId="TOC3">
    <w:name w:val="toc 3"/>
    <w:basedOn w:val="Normal"/>
    <w:next w:val="Normal"/>
    <w:autoRedefine/>
    <w:uiPriority w:val="39"/>
    <w:qFormat/>
    <w:rsid w:val="007912F0"/>
    <w:pPr>
      <w:tabs>
        <w:tab w:val="right" w:pos="9639"/>
      </w:tabs>
      <w:spacing w:after="140" w:line="300" w:lineRule="atLeast"/>
      <w:ind w:left="442" w:firstLine="266"/>
    </w:pPr>
  </w:style>
  <w:style w:type="paragraph" w:styleId="TOC4">
    <w:name w:val="toc 4"/>
    <w:basedOn w:val="Normal"/>
    <w:next w:val="Normal"/>
    <w:autoRedefine/>
    <w:uiPriority w:val="39"/>
    <w:rsid w:val="00E64ADD"/>
    <w:pPr>
      <w:ind w:left="660"/>
    </w:pPr>
  </w:style>
  <w:style w:type="paragraph" w:styleId="TOC5">
    <w:name w:val="toc 5"/>
    <w:basedOn w:val="Normal"/>
    <w:next w:val="Normal"/>
    <w:autoRedefine/>
    <w:semiHidden/>
    <w:rsid w:val="00E64ADD"/>
    <w:pPr>
      <w:ind w:left="880"/>
    </w:pPr>
  </w:style>
  <w:style w:type="paragraph" w:styleId="TOC6">
    <w:name w:val="toc 6"/>
    <w:basedOn w:val="Normal"/>
    <w:next w:val="Normal"/>
    <w:autoRedefine/>
    <w:semiHidden/>
    <w:rsid w:val="00E64ADD"/>
    <w:pPr>
      <w:ind w:left="1100"/>
    </w:pPr>
  </w:style>
  <w:style w:type="paragraph" w:styleId="TOC7">
    <w:name w:val="toc 7"/>
    <w:basedOn w:val="Normal"/>
    <w:next w:val="Normal"/>
    <w:autoRedefine/>
    <w:semiHidden/>
    <w:rsid w:val="00E64ADD"/>
    <w:pPr>
      <w:ind w:left="1320"/>
    </w:pPr>
  </w:style>
  <w:style w:type="paragraph" w:styleId="TOC8">
    <w:name w:val="toc 8"/>
    <w:basedOn w:val="Normal"/>
    <w:next w:val="Normal"/>
    <w:autoRedefine/>
    <w:semiHidden/>
    <w:rsid w:val="00E64ADD"/>
    <w:pPr>
      <w:ind w:left="1540"/>
    </w:pPr>
  </w:style>
  <w:style w:type="paragraph" w:styleId="TOC9">
    <w:name w:val="toc 9"/>
    <w:basedOn w:val="Normal"/>
    <w:next w:val="Normal"/>
    <w:autoRedefine/>
    <w:semiHidden/>
    <w:rsid w:val="00E64ADD"/>
    <w:pPr>
      <w:ind w:left="1760"/>
    </w:pPr>
  </w:style>
  <w:style w:type="numbering" w:styleId="111111">
    <w:name w:val="Outline List 2"/>
    <w:basedOn w:val="NoList"/>
    <w:semiHidden/>
    <w:rsid w:val="00E64ADD"/>
    <w:pPr>
      <w:numPr>
        <w:numId w:val="21"/>
      </w:numPr>
    </w:pPr>
  </w:style>
  <w:style w:type="numbering" w:styleId="1ai">
    <w:name w:val="Outline List 1"/>
    <w:basedOn w:val="NoList"/>
    <w:semiHidden/>
    <w:rsid w:val="00E64ADD"/>
    <w:pPr>
      <w:numPr>
        <w:numId w:val="22"/>
      </w:numPr>
    </w:pPr>
  </w:style>
  <w:style w:type="numbering" w:styleId="ArticleSection">
    <w:name w:val="Outline List 3"/>
    <w:basedOn w:val="NoList"/>
    <w:semiHidden/>
    <w:rsid w:val="00E64ADD"/>
    <w:pPr>
      <w:numPr>
        <w:numId w:val="23"/>
      </w:numPr>
    </w:pPr>
  </w:style>
  <w:style w:type="character" w:styleId="HTMLAcronym">
    <w:name w:val="HTML Acronym"/>
    <w:basedOn w:val="DefaultParagraphFont"/>
    <w:semiHidden/>
    <w:rsid w:val="00E64ADD"/>
  </w:style>
  <w:style w:type="paragraph" w:styleId="HTMLAddress">
    <w:name w:val="HTML Address"/>
    <w:basedOn w:val="Normal"/>
    <w:semiHidden/>
    <w:rsid w:val="00E64ADD"/>
    <w:rPr>
      <w:i/>
      <w:iCs/>
    </w:rPr>
  </w:style>
  <w:style w:type="character" w:styleId="HTMLCite">
    <w:name w:val="HTML Cite"/>
    <w:semiHidden/>
    <w:rsid w:val="00E64ADD"/>
    <w:rPr>
      <w:i/>
      <w:iCs/>
    </w:rPr>
  </w:style>
  <w:style w:type="character" w:styleId="HTMLCode">
    <w:name w:val="HTML Code"/>
    <w:semiHidden/>
    <w:rsid w:val="00E64ADD"/>
    <w:rPr>
      <w:rFonts w:ascii="Courier New" w:hAnsi="Courier New" w:cs="Courier New"/>
      <w:sz w:val="20"/>
      <w:szCs w:val="20"/>
    </w:rPr>
  </w:style>
  <w:style w:type="character" w:styleId="HTMLDefinition">
    <w:name w:val="HTML Definition"/>
    <w:semiHidden/>
    <w:rsid w:val="00E64ADD"/>
    <w:rPr>
      <w:i/>
      <w:iCs/>
    </w:rPr>
  </w:style>
  <w:style w:type="character" w:styleId="HTMLKeyboard">
    <w:name w:val="HTML Keyboard"/>
    <w:semiHidden/>
    <w:rsid w:val="00E64ADD"/>
    <w:rPr>
      <w:rFonts w:ascii="Courier New" w:hAnsi="Courier New" w:cs="Courier New"/>
      <w:sz w:val="20"/>
      <w:szCs w:val="20"/>
    </w:rPr>
  </w:style>
  <w:style w:type="paragraph" w:styleId="HTMLPreformatted">
    <w:name w:val="HTML Preformatted"/>
    <w:basedOn w:val="Normal"/>
    <w:semiHidden/>
    <w:rsid w:val="00E64ADD"/>
    <w:rPr>
      <w:rFonts w:ascii="Courier New" w:hAnsi="Courier New" w:cs="Courier New"/>
      <w:sz w:val="20"/>
      <w:szCs w:val="20"/>
    </w:rPr>
  </w:style>
  <w:style w:type="character" w:styleId="HTMLSample">
    <w:name w:val="HTML Sample"/>
    <w:semiHidden/>
    <w:rsid w:val="00E64ADD"/>
    <w:rPr>
      <w:rFonts w:ascii="Courier New" w:hAnsi="Courier New" w:cs="Courier New"/>
    </w:rPr>
  </w:style>
  <w:style w:type="character" w:styleId="HTMLTypewriter">
    <w:name w:val="HTML Typewriter"/>
    <w:semiHidden/>
    <w:rsid w:val="00E64ADD"/>
    <w:rPr>
      <w:rFonts w:ascii="Courier New" w:hAnsi="Courier New" w:cs="Courier New"/>
      <w:sz w:val="20"/>
      <w:szCs w:val="20"/>
    </w:rPr>
  </w:style>
  <w:style w:type="character" w:styleId="HTMLVariable">
    <w:name w:val="HTML Variable"/>
    <w:semiHidden/>
    <w:rsid w:val="00E64ADD"/>
    <w:rPr>
      <w:i/>
      <w:iCs/>
    </w:rPr>
  </w:style>
  <w:style w:type="paragraph" w:styleId="List">
    <w:name w:val="List"/>
    <w:basedOn w:val="Normal"/>
    <w:semiHidden/>
    <w:rsid w:val="00E64ADD"/>
    <w:pPr>
      <w:ind w:left="283" w:hanging="283"/>
    </w:pPr>
  </w:style>
  <w:style w:type="paragraph" w:styleId="List2">
    <w:name w:val="List 2"/>
    <w:basedOn w:val="Normal"/>
    <w:semiHidden/>
    <w:rsid w:val="00E64ADD"/>
    <w:pPr>
      <w:ind w:left="566" w:hanging="283"/>
    </w:pPr>
  </w:style>
  <w:style w:type="paragraph" w:styleId="List3">
    <w:name w:val="List 3"/>
    <w:basedOn w:val="Normal"/>
    <w:semiHidden/>
    <w:rsid w:val="00E64ADD"/>
    <w:pPr>
      <w:ind w:left="849" w:hanging="283"/>
    </w:pPr>
  </w:style>
  <w:style w:type="paragraph" w:styleId="List4">
    <w:name w:val="List 4"/>
    <w:basedOn w:val="Normal"/>
    <w:semiHidden/>
    <w:rsid w:val="00E64ADD"/>
    <w:pPr>
      <w:ind w:left="1132" w:hanging="283"/>
    </w:pPr>
  </w:style>
  <w:style w:type="paragraph" w:styleId="List5">
    <w:name w:val="List 5"/>
    <w:basedOn w:val="Normal"/>
    <w:semiHidden/>
    <w:rsid w:val="00E64ADD"/>
    <w:pPr>
      <w:ind w:left="1415" w:hanging="283"/>
    </w:pPr>
  </w:style>
  <w:style w:type="paragraph" w:styleId="ListBullet">
    <w:name w:val="List Bullet"/>
    <w:basedOn w:val="Normal"/>
    <w:semiHidden/>
    <w:rsid w:val="00E64ADD"/>
    <w:pPr>
      <w:numPr>
        <w:numId w:val="13"/>
      </w:numPr>
    </w:pPr>
  </w:style>
  <w:style w:type="paragraph" w:styleId="ListBullet2">
    <w:name w:val="List Bullet 2"/>
    <w:basedOn w:val="Normal"/>
    <w:semiHidden/>
    <w:rsid w:val="00E64ADD"/>
    <w:pPr>
      <w:numPr>
        <w:numId w:val="4"/>
      </w:numPr>
    </w:pPr>
  </w:style>
  <w:style w:type="paragraph" w:styleId="ListBullet3">
    <w:name w:val="List Bullet 3"/>
    <w:basedOn w:val="Normal"/>
    <w:semiHidden/>
    <w:rsid w:val="00E64ADD"/>
    <w:pPr>
      <w:numPr>
        <w:numId w:val="5"/>
      </w:numPr>
    </w:pPr>
  </w:style>
  <w:style w:type="paragraph" w:styleId="ListBullet4">
    <w:name w:val="List Bullet 4"/>
    <w:basedOn w:val="Normal"/>
    <w:semiHidden/>
    <w:rsid w:val="00E64ADD"/>
    <w:pPr>
      <w:numPr>
        <w:numId w:val="6"/>
      </w:numPr>
    </w:pPr>
  </w:style>
  <w:style w:type="paragraph" w:styleId="ListBullet5">
    <w:name w:val="List Bullet 5"/>
    <w:basedOn w:val="Normal"/>
    <w:semiHidden/>
    <w:rsid w:val="00E64ADD"/>
    <w:pPr>
      <w:numPr>
        <w:numId w:val="7"/>
      </w:numPr>
    </w:pPr>
  </w:style>
  <w:style w:type="paragraph" w:styleId="ListContinue">
    <w:name w:val="List Continue"/>
    <w:basedOn w:val="Normal"/>
    <w:semiHidden/>
    <w:rsid w:val="00E64ADD"/>
    <w:pPr>
      <w:spacing w:after="120"/>
      <w:ind w:left="283"/>
    </w:pPr>
  </w:style>
  <w:style w:type="paragraph" w:styleId="ListContinue2">
    <w:name w:val="List Continue 2"/>
    <w:basedOn w:val="Normal"/>
    <w:semiHidden/>
    <w:rsid w:val="00E64ADD"/>
    <w:pPr>
      <w:spacing w:after="120"/>
      <w:ind w:left="566"/>
    </w:pPr>
  </w:style>
  <w:style w:type="paragraph" w:styleId="ListContinue3">
    <w:name w:val="List Continue 3"/>
    <w:basedOn w:val="Normal"/>
    <w:semiHidden/>
    <w:rsid w:val="00E64ADD"/>
    <w:pPr>
      <w:spacing w:after="120"/>
      <w:ind w:left="849"/>
    </w:pPr>
  </w:style>
  <w:style w:type="paragraph" w:styleId="ListContinue4">
    <w:name w:val="List Continue 4"/>
    <w:basedOn w:val="Normal"/>
    <w:semiHidden/>
    <w:rsid w:val="00E64ADD"/>
    <w:pPr>
      <w:spacing w:after="120"/>
      <w:ind w:left="1132"/>
    </w:pPr>
  </w:style>
  <w:style w:type="paragraph" w:styleId="ListContinue5">
    <w:name w:val="List Continue 5"/>
    <w:basedOn w:val="Normal"/>
    <w:semiHidden/>
    <w:rsid w:val="00E64ADD"/>
    <w:pPr>
      <w:spacing w:after="120"/>
      <w:ind w:left="1415"/>
    </w:pPr>
  </w:style>
  <w:style w:type="paragraph" w:styleId="ListNumber">
    <w:name w:val="List Number"/>
    <w:basedOn w:val="Normal"/>
    <w:semiHidden/>
    <w:rsid w:val="00E64ADD"/>
    <w:pPr>
      <w:numPr>
        <w:numId w:val="8"/>
      </w:numPr>
    </w:pPr>
  </w:style>
  <w:style w:type="paragraph" w:styleId="ListNumber2">
    <w:name w:val="List Number 2"/>
    <w:basedOn w:val="Normal"/>
    <w:semiHidden/>
    <w:rsid w:val="00E64ADD"/>
    <w:pPr>
      <w:numPr>
        <w:numId w:val="9"/>
      </w:numPr>
    </w:pPr>
  </w:style>
  <w:style w:type="paragraph" w:styleId="ListNumber3">
    <w:name w:val="List Number 3"/>
    <w:basedOn w:val="Normal"/>
    <w:semiHidden/>
    <w:rsid w:val="00E64ADD"/>
    <w:pPr>
      <w:numPr>
        <w:numId w:val="10"/>
      </w:numPr>
    </w:pPr>
  </w:style>
  <w:style w:type="paragraph" w:styleId="ListNumber4">
    <w:name w:val="List Number 4"/>
    <w:basedOn w:val="Normal"/>
    <w:semiHidden/>
    <w:rsid w:val="00E64ADD"/>
    <w:pPr>
      <w:numPr>
        <w:numId w:val="11"/>
      </w:numPr>
    </w:pPr>
  </w:style>
  <w:style w:type="paragraph" w:styleId="ListNumber5">
    <w:name w:val="List Number 5"/>
    <w:basedOn w:val="Normal"/>
    <w:semiHidden/>
    <w:rsid w:val="00E64ADD"/>
    <w:pPr>
      <w:numPr>
        <w:numId w:val="12"/>
      </w:numPr>
    </w:pPr>
  </w:style>
  <w:style w:type="character" w:styleId="Strong">
    <w:name w:val="Strong"/>
    <w:uiPriority w:val="22"/>
    <w:qFormat/>
    <w:rsid w:val="00E64ADD"/>
    <w:rPr>
      <w:b/>
      <w:bCs/>
    </w:rPr>
  </w:style>
  <w:style w:type="table" w:styleId="Table3Deffects1">
    <w:name w:val="Table 3D effects 1"/>
    <w:basedOn w:val="TableNormal"/>
    <w:semiHidden/>
    <w:rsid w:val="00E64ADD"/>
    <w:pPr>
      <w:tabs>
        <w:tab w:val="left" w:pos="567"/>
      </w:tabs>
      <w:spacing w:after="14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64ADD"/>
    <w:pPr>
      <w:tabs>
        <w:tab w:val="left" w:pos="567"/>
      </w:tabs>
      <w:spacing w:after="14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64ADD"/>
    <w:pPr>
      <w:tabs>
        <w:tab w:val="left" w:pos="567"/>
      </w:tabs>
      <w:spacing w:after="14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E64ADD"/>
    <w:pPr>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64ADD"/>
    <w:pPr>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64ADD"/>
    <w:pPr>
      <w:tabs>
        <w:tab w:val="left" w:pos="567"/>
      </w:tabs>
      <w:spacing w:after="14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64ADD"/>
    <w:pPr>
      <w:tabs>
        <w:tab w:val="left" w:pos="567"/>
      </w:tabs>
      <w:spacing w:after="14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E64ADD"/>
    <w:pPr>
      <w:tabs>
        <w:tab w:val="left" w:pos="567"/>
      </w:tabs>
      <w:spacing w:after="14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64ADD"/>
    <w:pPr>
      <w:tabs>
        <w:tab w:val="left" w:pos="567"/>
      </w:tabs>
      <w:spacing w:after="14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64ADD"/>
    <w:pPr>
      <w:tabs>
        <w:tab w:val="left" w:pos="567"/>
      </w:tabs>
      <w:spacing w:after="14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E64ADD"/>
    <w:pPr>
      <w:tabs>
        <w:tab w:val="left" w:pos="567"/>
      </w:tabs>
      <w:spacing w:after="14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64ADD"/>
    <w:pPr>
      <w:tabs>
        <w:tab w:val="left" w:pos="567"/>
      </w:tabs>
      <w:spacing w:after="14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64ADD"/>
    <w:pPr>
      <w:tabs>
        <w:tab w:val="left" w:pos="567"/>
      </w:tabs>
      <w:spacing w:after="14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64ADD"/>
    <w:pPr>
      <w:tabs>
        <w:tab w:val="left" w:pos="567"/>
      </w:tabs>
      <w:spacing w:after="14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64ADD"/>
    <w:pPr>
      <w:tabs>
        <w:tab w:val="left" w:pos="567"/>
      </w:tabs>
      <w:spacing w:after="14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E64ADD"/>
    <w:pPr>
      <w:tabs>
        <w:tab w:val="left" w:pos="567"/>
      </w:tabs>
      <w:spacing w:after="14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E64ADD"/>
    <w:pPr>
      <w:tabs>
        <w:tab w:val="left" w:pos="567"/>
      </w:tabs>
      <w:spacing w:after="14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E64ADD"/>
    <w:pPr>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64ADD"/>
    <w:pPr>
      <w:tabs>
        <w:tab w:val="left" w:pos="567"/>
      </w:tabs>
      <w:spacing w:after="14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64ADD"/>
    <w:pPr>
      <w:tabs>
        <w:tab w:val="left" w:pos="567"/>
      </w:tabs>
      <w:spacing w:after="14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64ADD"/>
    <w:pPr>
      <w:tabs>
        <w:tab w:val="left" w:pos="567"/>
      </w:tabs>
      <w:spacing w:after="14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64ADD"/>
    <w:pPr>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64ADD"/>
    <w:pPr>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64ADD"/>
    <w:pPr>
      <w:tabs>
        <w:tab w:val="left" w:pos="567"/>
      </w:tabs>
      <w:spacing w:after="14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64ADD"/>
    <w:pPr>
      <w:tabs>
        <w:tab w:val="left" w:pos="567"/>
      </w:tabs>
      <w:spacing w:after="14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E64ADD"/>
    <w:pPr>
      <w:tabs>
        <w:tab w:val="left" w:pos="567"/>
      </w:tabs>
      <w:spacing w:after="14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64ADD"/>
    <w:pPr>
      <w:tabs>
        <w:tab w:val="left" w:pos="567"/>
      </w:tabs>
      <w:spacing w:after="14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64ADD"/>
    <w:pPr>
      <w:tabs>
        <w:tab w:val="left" w:pos="567"/>
      </w:tabs>
      <w:spacing w:after="14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64ADD"/>
    <w:pPr>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64ADD"/>
    <w:pPr>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64ADD"/>
    <w:pPr>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64ADD"/>
    <w:pPr>
      <w:tabs>
        <w:tab w:val="left" w:pos="567"/>
      </w:tabs>
      <w:spacing w:after="14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64ADD"/>
    <w:pPr>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E64ADD"/>
    <w:pPr>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E64ADD"/>
    <w:pPr>
      <w:tabs>
        <w:tab w:val="left" w:pos="567"/>
      </w:tabs>
      <w:spacing w:after="14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64ADD"/>
    <w:pPr>
      <w:tabs>
        <w:tab w:val="left" w:pos="567"/>
      </w:tabs>
      <w:spacing w:after="14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64ADD"/>
    <w:pPr>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64ADD"/>
    <w:pPr>
      <w:tabs>
        <w:tab w:val="left" w:pos="567"/>
      </w:tabs>
      <w:spacing w:after="14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64ADD"/>
    <w:pPr>
      <w:tabs>
        <w:tab w:val="left" w:pos="567"/>
      </w:tabs>
      <w:spacing w:after="14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E64ADD"/>
    <w:pPr>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E64ADD"/>
    <w:pPr>
      <w:tabs>
        <w:tab w:val="left" w:pos="567"/>
      </w:tabs>
      <w:spacing w:after="14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64ADD"/>
    <w:pPr>
      <w:tabs>
        <w:tab w:val="left" w:pos="567"/>
      </w:tabs>
      <w:spacing w:after="14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64ADD"/>
    <w:pPr>
      <w:tabs>
        <w:tab w:val="left" w:pos="567"/>
      </w:tabs>
      <w:spacing w:after="14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Default">
    <w:name w:val="Default"/>
    <w:rsid w:val="00E84EA5"/>
    <w:pPr>
      <w:widowControl w:val="0"/>
      <w:autoSpaceDE w:val="0"/>
      <w:autoSpaceDN w:val="0"/>
      <w:adjustRightInd w:val="0"/>
    </w:pPr>
    <w:rPr>
      <w:rFonts w:ascii="Arial" w:hAnsi="Arial" w:cs="Arial"/>
      <w:color w:val="000000"/>
      <w:sz w:val="24"/>
      <w:szCs w:val="24"/>
    </w:rPr>
  </w:style>
  <w:style w:type="paragraph" w:customStyle="1" w:styleId="CM26">
    <w:name w:val="CM26"/>
    <w:basedOn w:val="Default"/>
    <w:next w:val="Default"/>
    <w:uiPriority w:val="99"/>
    <w:rsid w:val="00E84EA5"/>
    <w:pPr>
      <w:spacing w:after="120"/>
      <w:ind w:right="236"/>
      <w:jc w:val="both"/>
    </w:pPr>
    <w:rPr>
      <w:rFonts w:ascii="Calibri" w:hAnsi="Calibri"/>
      <w:b/>
      <w:color w:val="auto"/>
      <w:sz w:val="32"/>
      <w:szCs w:val="32"/>
      <w:lang w:eastAsia="en-US"/>
    </w:rPr>
  </w:style>
  <w:style w:type="paragraph" w:customStyle="1" w:styleId="Tablebodytext">
    <w:name w:val="Table body text"/>
    <w:basedOn w:val="Normal"/>
    <w:rsid w:val="00E84EA5"/>
    <w:pPr>
      <w:spacing w:before="60" w:after="60"/>
      <w:ind w:right="236"/>
      <w:jc w:val="both"/>
    </w:pPr>
    <w:rPr>
      <w:color w:val="000000"/>
      <w:lang w:val="en-US" w:bidi="en-US"/>
    </w:rPr>
  </w:style>
  <w:style w:type="paragraph" w:styleId="ListParagraph">
    <w:name w:val="List Paragraph"/>
    <w:basedOn w:val="Normal"/>
    <w:uiPriority w:val="34"/>
    <w:qFormat/>
    <w:rsid w:val="00E84EA5"/>
    <w:pPr>
      <w:spacing w:after="200" w:line="276" w:lineRule="auto"/>
      <w:ind w:left="720" w:right="236"/>
      <w:contextualSpacing/>
      <w:jc w:val="both"/>
    </w:pPr>
    <w:rPr>
      <w:rFonts w:ascii="Calibri" w:eastAsia="Calibri" w:hAnsi="Calibri"/>
      <w:color w:val="000000"/>
      <w:lang w:val="en-US" w:bidi="en-US"/>
    </w:rPr>
  </w:style>
  <w:style w:type="character" w:customStyle="1" w:styleId="FootnoteTextChar">
    <w:name w:val="Footnote Text Char"/>
    <w:aliases w:val="(NECG) Footnote Text Char"/>
    <w:link w:val="FootnoteText"/>
    <w:rsid w:val="00E84EA5"/>
    <w:rPr>
      <w:rFonts w:ascii="Gill Sans MT" w:hAnsi="Gill Sans MT"/>
      <w:color w:val="000000"/>
      <w:lang w:eastAsia="en-US"/>
    </w:rPr>
  </w:style>
  <w:style w:type="paragraph" w:customStyle="1" w:styleId="Title2">
    <w:name w:val="Title 2"/>
    <w:basedOn w:val="Normal"/>
    <w:rsid w:val="00E84EA5"/>
    <w:pPr>
      <w:tabs>
        <w:tab w:val="left" w:pos="1701"/>
      </w:tabs>
      <w:spacing w:before="240" w:after="240"/>
    </w:pPr>
    <w:rPr>
      <w:color w:val="FFFFFF"/>
      <w:sz w:val="52"/>
      <w:szCs w:val="52"/>
      <w:lang w:eastAsia="en-AU"/>
    </w:rPr>
  </w:style>
  <w:style w:type="paragraph" w:customStyle="1" w:styleId="Details">
    <w:name w:val="Details"/>
    <w:basedOn w:val="Normal"/>
    <w:next w:val="Normal"/>
    <w:autoRedefine/>
    <w:rsid w:val="00E84EA5"/>
    <w:pPr>
      <w:tabs>
        <w:tab w:val="right" w:pos="8789"/>
      </w:tabs>
      <w:overflowPunct w:val="0"/>
      <w:autoSpaceDE w:val="0"/>
      <w:autoSpaceDN w:val="0"/>
      <w:adjustRightInd w:val="0"/>
      <w:spacing w:before="120" w:after="120"/>
      <w:textAlignment w:val="baseline"/>
    </w:pPr>
    <w:rPr>
      <w:rFonts w:ascii="Calibri" w:hAnsi="Calibri"/>
      <w:noProof/>
      <w:sz w:val="28"/>
      <w:szCs w:val="28"/>
    </w:rPr>
  </w:style>
  <w:style w:type="paragraph" w:customStyle="1" w:styleId="Details10">
    <w:name w:val="Details 10"/>
    <w:basedOn w:val="Details"/>
    <w:rsid w:val="00E84EA5"/>
    <w:rPr>
      <w:rFonts w:ascii="Arial" w:hAnsi="Arial"/>
      <w:b/>
      <w:sz w:val="20"/>
    </w:rPr>
  </w:style>
  <w:style w:type="paragraph" w:customStyle="1" w:styleId="DetailsBold">
    <w:name w:val="Details Bold"/>
    <w:basedOn w:val="Details"/>
    <w:autoRedefine/>
    <w:rsid w:val="00E84EA5"/>
    <w:rPr>
      <w:b/>
      <w:bCs/>
    </w:rPr>
  </w:style>
  <w:style w:type="paragraph" w:customStyle="1" w:styleId="TableRight">
    <w:name w:val="Table Right"/>
    <w:link w:val="TableRightChar"/>
    <w:rsid w:val="00E84EA5"/>
    <w:pPr>
      <w:spacing w:line="300" w:lineRule="atLeast"/>
      <w:jc w:val="right"/>
    </w:pPr>
    <w:rPr>
      <w:rFonts w:ascii="Arial" w:hAnsi="Arial"/>
      <w:sz w:val="18"/>
      <w:szCs w:val="24"/>
      <w:lang w:eastAsia="en-US"/>
    </w:rPr>
  </w:style>
  <w:style w:type="character" w:customStyle="1" w:styleId="TableRightChar">
    <w:name w:val="Table Right Char"/>
    <w:link w:val="TableRight"/>
    <w:locked/>
    <w:rsid w:val="00E84EA5"/>
    <w:rPr>
      <w:rFonts w:ascii="Arial" w:hAnsi="Arial"/>
      <w:sz w:val="18"/>
      <w:szCs w:val="24"/>
      <w:lang w:val="en-AU" w:eastAsia="en-US" w:bidi="ar-SA"/>
    </w:rPr>
  </w:style>
  <w:style w:type="paragraph" w:customStyle="1" w:styleId="UnitName">
    <w:name w:val="Unit Name"/>
    <w:basedOn w:val="Normal"/>
    <w:rsid w:val="00373E2C"/>
    <w:rPr>
      <w:b/>
      <w:color w:val="FFFFFF"/>
      <w:sz w:val="28"/>
      <w:szCs w:val="24"/>
      <w:lang w:eastAsia="en-AU"/>
    </w:rPr>
  </w:style>
  <w:style w:type="character" w:customStyle="1" w:styleId="SubtitleChar">
    <w:name w:val="Subtitle Char"/>
    <w:link w:val="Subtitle"/>
    <w:rsid w:val="00373E2C"/>
    <w:rPr>
      <w:rFonts w:ascii="Gill Sans MT" w:hAnsi="Gill Sans MT" w:cs="Arial"/>
      <w:sz w:val="24"/>
      <w:szCs w:val="22"/>
      <w:lang w:eastAsia="en-US"/>
    </w:rPr>
  </w:style>
  <w:style w:type="character" w:customStyle="1" w:styleId="TitleChar">
    <w:name w:val="Title Char"/>
    <w:link w:val="Title"/>
    <w:rsid w:val="00373E2C"/>
    <w:rPr>
      <w:rFonts w:ascii="Gill Sans MT" w:hAnsi="Gill Sans MT" w:cs="Arial"/>
      <w:b/>
      <w:bCs/>
      <w:kern w:val="28"/>
      <w:sz w:val="32"/>
      <w:szCs w:val="32"/>
      <w:lang w:eastAsia="en-US"/>
    </w:rPr>
  </w:style>
  <w:style w:type="character" w:customStyle="1" w:styleId="FooterChar">
    <w:name w:val="Footer Char"/>
    <w:link w:val="Footer"/>
    <w:uiPriority w:val="99"/>
    <w:rsid w:val="00A44DAE"/>
    <w:rPr>
      <w:rFonts w:ascii="Gill Sans MT" w:hAnsi="Gill Sans MT"/>
      <w:sz w:val="16"/>
      <w:szCs w:val="16"/>
      <w:lang w:eastAsia="en-US"/>
    </w:rPr>
  </w:style>
  <w:style w:type="character" w:customStyle="1" w:styleId="EndnoteTextChar">
    <w:name w:val="Endnote Text Char"/>
    <w:link w:val="EndnoteText"/>
    <w:uiPriority w:val="99"/>
    <w:semiHidden/>
    <w:rsid w:val="00B103A8"/>
    <w:rPr>
      <w:rFonts w:ascii="Gill Sans MT" w:hAnsi="Gill Sans MT"/>
      <w:lang w:eastAsia="en-US"/>
    </w:rPr>
  </w:style>
  <w:style w:type="character" w:customStyle="1" w:styleId="Heading1Char">
    <w:name w:val="Heading 1 Char"/>
    <w:link w:val="Heading1"/>
    <w:rsid w:val="004E047C"/>
    <w:rPr>
      <w:rFonts w:ascii="Gill Sans MT" w:hAnsi="Gill Sans MT" w:cs="Arial"/>
      <w:b/>
      <w:snapToGrid w:val="0"/>
      <w:kern w:val="28"/>
      <w:sz w:val="40"/>
      <w:lang w:eastAsia="en-US"/>
    </w:rPr>
  </w:style>
  <w:style w:type="character" w:customStyle="1" w:styleId="Heading4Char">
    <w:name w:val="Heading 4 Char"/>
    <w:link w:val="Heading4"/>
    <w:rsid w:val="004E047C"/>
    <w:rPr>
      <w:rFonts w:ascii="Gill Sans MT" w:hAnsi="Gill Sans MT"/>
      <w:b/>
      <w:bCs/>
      <w:sz w:val="24"/>
      <w:szCs w:val="22"/>
    </w:rPr>
  </w:style>
  <w:style w:type="character" w:customStyle="1" w:styleId="Heading2Char">
    <w:name w:val="Heading 2 Char"/>
    <w:link w:val="Heading2"/>
    <w:rsid w:val="0083782B"/>
    <w:rPr>
      <w:rFonts w:ascii="Gill Sans MT" w:hAnsi="Gill Sans MT" w:cs="Arial"/>
      <w:b/>
      <w:bCs/>
      <w:sz w:val="32"/>
      <w:szCs w:val="28"/>
      <w:lang w:eastAsia="en-US"/>
    </w:rPr>
  </w:style>
  <w:style w:type="character" w:customStyle="1" w:styleId="BulletedListLevel1Char">
    <w:name w:val="Bulleted List Level 1 Char"/>
    <w:link w:val="BulletedListLevel1"/>
    <w:rsid w:val="00D94523"/>
    <w:rPr>
      <w:rFonts w:ascii="Gill Sans MT" w:hAnsi="Gill Sans MT"/>
      <w:sz w:val="22"/>
      <w:szCs w:val="24"/>
      <w:lang w:eastAsia="en-US"/>
    </w:rPr>
  </w:style>
  <w:style w:type="paragraph" w:customStyle="1" w:styleId="bullet">
    <w:name w:val="bullet"/>
    <w:basedOn w:val="Normal"/>
    <w:rsid w:val="006C2EC1"/>
    <w:pPr>
      <w:numPr>
        <w:numId w:val="25"/>
      </w:numPr>
      <w:spacing w:before="60" w:after="60"/>
      <w:ind w:left="567" w:hanging="567"/>
      <w:jc w:val="both"/>
    </w:pPr>
    <w:rPr>
      <w:rFonts w:ascii="Century Gothic" w:eastAsia="Calibri" w:hAnsi="Century Gothic"/>
      <w:color w:val="333333"/>
      <w:sz w:val="20"/>
      <w:szCs w:val="20"/>
      <w:lang w:val="en-US" w:bidi="en-US"/>
    </w:rPr>
  </w:style>
  <w:style w:type="paragraph" w:customStyle="1" w:styleId="NormalText">
    <w:name w:val="Normal Text"/>
    <w:basedOn w:val="Normal"/>
    <w:link w:val="NormalTextChar"/>
    <w:rsid w:val="00A4079F"/>
    <w:pPr>
      <w:spacing w:before="120" w:after="120"/>
    </w:pPr>
    <w:rPr>
      <w:szCs w:val="24"/>
      <w:lang w:val="x-none" w:eastAsia="x-none"/>
    </w:rPr>
  </w:style>
  <w:style w:type="character" w:customStyle="1" w:styleId="NormalTextChar">
    <w:name w:val="Normal Text Char"/>
    <w:link w:val="NormalText"/>
    <w:rsid w:val="00A4079F"/>
    <w:rPr>
      <w:rFonts w:ascii="Gill Sans MT" w:hAnsi="Gill Sans MT"/>
      <w:sz w:val="22"/>
      <w:szCs w:val="24"/>
    </w:rPr>
  </w:style>
  <w:style w:type="paragraph" w:customStyle="1" w:styleId="Heading40">
    <w:name w:val="Heading4"/>
    <w:basedOn w:val="Heading3"/>
    <w:rsid w:val="0085186E"/>
    <w:pPr>
      <w:spacing w:after="240"/>
    </w:pPr>
    <w:rPr>
      <w:rFonts w:cs="Times New Roman"/>
      <w:b w:val="0"/>
      <w:bCs w:val="0"/>
      <w:i/>
      <w:color w:val="002B54"/>
      <w:kern w:val="32"/>
      <w:sz w:val="24"/>
      <w:szCs w:val="20"/>
      <w:lang w:eastAsia="en-AU"/>
    </w:rPr>
  </w:style>
  <w:style w:type="character" w:customStyle="1" w:styleId="CommentTextChar">
    <w:name w:val="Comment Text Char"/>
    <w:link w:val="CommentText"/>
    <w:uiPriority w:val="99"/>
    <w:rsid w:val="000C20AE"/>
    <w:rPr>
      <w:rFonts w:ascii="Gill Sans MT" w:hAnsi="Gill Sans MT"/>
      <w:lang w:eastAsia="en-US"/>
    </w:rPr>
  </w:style>
  <w:style w:type="character" w:customStyle="1" w:styleId="apple-converted-space">
    <w:name w:val="apple-converted-space"/>
    <w:rsid w:val="00485E03"/>
  </w:style>
  <w:style w:type="paragraph" w:styleId="TOCHeading">
    <w:name w:val="TOC Heading"/>
    <w:basedOn w:val="Heading1"/>
    <w:next w:val="Normal"/>
    <w:uiPriority w:val="39"/>
    <w:semiHidden/>
    <w:unhideWhenUsed/>
    <w:qFormat/>
    <w:rsid w:val="00F1550D"/>
    <w:pPr>
      <w:keepLines/>
      <w:pageBreakBefore w:val="0"/>
      <w:spacing w:before="480" w:line="276" w:lineRule="auto"/>
      <w:outlineLvl w:val="9"/>
    </w:pPr>
    <w:rPr>
      <w:rFonts w:ascii="Cambria" w:eastAsia="MS Gothic" w:hAnsi="Cambria"/>
      <w:bCs/>
      <w:snapToGrid/>
      <w:color w:val="365F91"/>
      <w:kern w:val="0"/>
      <w:sz w:val="28"/>
      <w:szCs w:val="28"/>
      <w:lang w:val="en-US" w:eastAsia="ja-JP"/>
    </w:rPr>
  </w:style>
  <w:style w:type="paragraph" w:styleId="Revision">
    <w:name w:val="Revision"/>
    <w:hidden/>
    <w:uiPriority w:val="99"/>
    <w:semiHidden/>
    <w:rsid w:val="00CC5914"/>
    <w:rPr>
      <w:rFonts w:ascii="Gill Sans MT" w:hAnsi="Gill Sans MT"/>
      <w:sz w:val="22"/>
      <w:szCs w:val="22"/>
      <w:lang w:eastAsia="en-US"/>
    </w:rPr>
  </w:style>
  <w:style w:type="numbering" w:customStyle="1" w:styleId="Style1">
    <w:name w:val="Style1"/>
    <w:uiPriority w:val="99"/>
    <w:rsid w:val="00CD48CA"/>
    <w:pPr>
      <w:numPr>
        <w:numId w:val="29"/>
      </w:numPr>
    </w:pPr>
  </w:style>
  <w:style w:type="table" w:customStyle="1" w:styleId="TableGrid10">
    <w:name w:val="Table Grid1"/>
    <w:basedOn w:val="TableNormal"/>
    <w:next w:val="TableGrid"/>
    <w:uiPriority w:val="59"/>
    <w:rsid w:val="00011FDC"/>
    <w:pPr>
      <w:tabs>
        <w:tab w:val="left" w:pos="425"/>
      </w:tabs>
      <w:spacing w:after="240" w:line="30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1967">
      <w:bodyDiv w:val="1"/>
      <w:marLeft w:val="0"/>
      <w:marRight w:val="0"/>
      <w:marTop w:val="0"/>
      <w:marBottom w:val="0"/>
      <w:divBdr>
        <w:top w:val="none" w:sz="0" w:space="0" w:color="auto"/>
        <w:left w:val="none" w:sz="0" w:space="0" w:color="auto"/>
        <w:bottom w:val="none" w:sz="0" w:space="0" w:color="auto"/>
        <w:right w:val="none" w:sz="0" w:space="0" w:color="auto"/>
      </w:divBdr>
    </w:div>
    <w:div w:id="18436440">
      <w:bodyDiv w:val="1"/>
      <w:marLeft w:val="0"/>
      <w:marRight w:val="0"/>
      <w:marTop w:val="0"/>
      <w:marBottom w:val="0"/>
      <w:divBdr>
        <w:top w:val="none" w:sz="0" w:space="0" w:color="auto"/>
        <w:left w:val="none" w:sz="0" w:space="0" w:color="auto"/>
        <w:bottom w:val="none" w:sz="0" w:space="0" w:color="auto"/>
        <w:right w:val="none" w:sz="0" w:space="0" w:color="auto"/>
      </w:divBdr>
    </w:div>
    <w:div w:id="54015160">
      <w:bodyDiv w:val="1"/>
      <w:marLeft w:val="0"/>
      <w:marRight w:val="0"/>
      <w:marTop w:val="0"/>
      <w:marBottom w:val="0"/>
      <w:divBdr>
        <w:top w:val="none" w:sz="0" w:space="0" w:color="auto"/>
        <w:left w:val="none" w:sz="0" w:space="0" w:color="auto"/>
        <w:bottom w:val="none" w:sz="0" w:space="0" w:color="auto"/>
        <w:right w:val="none" w:sz="0" w:space="0" w:color="auto"/>
      </w:divBdr>
    </w:div>
    <w:div w:id="69425206">
      <w:bodyDiv w:val="1"/>
      <w:marLeft w:val="0"/>
      <w:marRight w:val="0"/>
      <w:marTop w:val="0"/>
      <w:marBottom w:val="0"/>
      <w:divBdr>
        <w:top w:val="none" w:sz="0" w:space="0" w:color="auto"/>
        <w:left w:val="none" w:sz="0" w:space="0" w:color="auto"/>
        <w:bottom w:val="none" w:sz="0" w:space="0" w:color="auto"/>
        <w:right w:val="none" w:sz="0" w:space="0" w:color="auto"/>
      </w:divBdr>
    </w:div>
    <w:div w:id="108471937">
      <w:bodyDiv w:val="1"/>
      <w:marLeft w:val="0"/>
      <w:marRight w:val="0"/>
      <w:marTop w:val="0"/>
      <w:marBottom w:val="0"/>
      <w:divBdr>
        <w:top w:val="none" w:sz="0" w:space="0" w:color="auto"/>
        <w:left w:val="none" w:sz="0" w:space="0" w:color="auto"/>
        <w:bottom w:val="none" w:sz="0" w:space="0" w:color="auto"/>
        <w:right w:val="none" w:sz="0" w:space="0" w:color="auto"/>
      </w:divBdr>
    </w:div>
    <w:div w:id="110980597">
      <w:bodyDiv w:val="1"/>
      <w:marLeft w:val="0"/>
      <w:marRight w:val="0"/>
      <w:marTop w:val="0"/>
      <w:marBottom w:val="0"/>
      <w:divBdr>
        <w:top w:val="none" w:sz="0" w:space="0" w:color="auto"/>
        <w:left w:val="none" w:sz="0" w:space="0" w:color="auto"/>
        <w:bottom w:val="none" w:sz="0" w:space="0" w:color="auto"/>
        <w:right w:val="none" w:sz="0" w:space="0" w:color="auto"/>
      </w:divBdr>
    </w:div>
    <w:div w:id="137188979">
      <w:bodyDiv w:val="1"/>
      <w:marLeft w:val="0"/>
      <w:marRight w:val="0"/>
      <w:marTop w:val="0"/>
      <w:marBottom w:val="0"/>
      <w:divBdr>
        <w:top w:val="none" w:sz="0" w:space="0" w:color="auto"/>
        <w:left w:val="none" w:sz="0" w:space="0" w:color="auto"/>
        <w:bottom w:val="none" w:sz="0" w:space="0" w:color="auto"/>
        <w:right w:val="none" w:sz="0" w:space="0" w:color="auto"/>
      </w:divBdr>
    </w:div>
    <w:div w:id="142889869">
      <w:bodyDiv w:val="1"/>
      <w:marLeft w:val="0"/>
      <w:marRight w:val="0"/>
      <w:marTop w:val="0"/>
      <w:marBottom w:val="0"/>
      <w:divBdr>
        <w:top w:val="none" w:sz="0" w:space="0" w:color="auto"/>
        <w:left w:val="none" w:sz="0" w:space="0" w:color="auto"/>
        <w:bottom w:val="none" w:sz="0" w:space="0" w:color="auto"/>
        <w:right w:val="none" w:sz="0" w:space="0" w:color="auto"/>
      </w:divBdr>
    </w:div>
    <w:div w:id="143473393">
      <w:bodyDiv w:val="1"/>
      <w:marLeft w:val="0"/>
      <w:marRight w:val="0"/>
      <w:marTop w:val="0"/>
      <w:marBottom w:val="0"/>
      <w:divBdr>
        <w:top w:val="none" w:sz="0" w:space="0" w:color="auto"/>
        <w:left w:val="none" w:sz="0" w:space="0" w:color="auto"/>
        <w:bottom w:val="none" w:sz="0" w:space="0" w:color="auto"/>
        <w:right w:val="none" w:sz="0" w:space="0" w:color="auto"/>
      </w:divBdr>
    </w:div>
    <w:div w:id="165945655">
      <w:bodyDiv w:val="1"/>
      <w:marLeft w:val="0"/>
      <w:marRight w:val="0"/>
      <w:marTop w:val="0"/>
      <w:marBottom w:val="0"/>
      <w:divBdr>
        <w:top w:val="none" w:sz="0" w:space="0" w:color="auto"/>
        <w:left w:val="none" w:sz="0" w:space="0" w:color="auto"/>
        <w:bottom w:val="none" w:sz="0" w:space="0" w:color="auto"/>
        <w:right w:val="none" w:sz="0" w:space="0" w:color="auto"/>
      </w:divBdr>
    </w:div>
    <w:div w:id="209535551">
      <w:bodyDiv w:val="1"/>
      <w:marLeft w:val="0"/>
      <w:marRight w:val="0"/>
      <w:marTop w:val="0"/>
      <w:marBottom w:val="0"/>
      <w:divBdr>
        <w:top w:val="none" w:sz="0" w:space="0" w:color="auto"/>
        <w:left w:val="none" w:sz="0" w:space="0" w:color="auto"/>
        <w:bottom w:val="none" w:sz="0" w:space="0" w:color="auto"/>
        <w:right w:val="none" w:sz="0" w:space="0" w:color="auto"/>
      </w:divBdr>
    </w:div>
    <w:div w:id="228926037">
      <w:bodyDiv w:val="1"/>
      <w:marLeft w:val="0"/>
      <w:marRight w:val="0"/>
      <w:marTop w:val="0"/>
      <w:marBottom w:val="0"/>
      <w:divBdr>
        <w:top w:val="none" w:sz="0" w:space="0" w:color="auto"/>
        <w:left w:val="none" w:sz="0" w:space="0" w:color="auto"/>
        <w:bottom w:val="none" w:sz="0" w:space="0" w:color="auto"/>
        <w:right w:val="none" w:sz="0" w:space="0" w:color="auto"/>
      </w:divBdr>
    </w:div>
    <w:div w:id="272909378">
      <w:bodyDiv w:val="1"/>
      <w:marLeft w:val="0"/>
      <w:marRight w:val="0"/>
      <w:marTop w:val="0"/>
      <w:marBottom w:val="0"/>
      <w:divBdr>
        <w:top w:val="none" w:sz="0" w:space="0" w:color="auto"/>
        <w:left w:val="none" w:sz="0" w:space="0" w:color="auto"/>
        <w:bottom w:val="none" w:sz="0" w:space="0" w:color="auto"/>
        <w:right w:val="none" w:sz="0" w:space="0" w:color="auto"/>
      </w:divBdr>
    </w:div>
    <w:div w:id="318769575">
      <w:bodyDiv w:val="1"/>
      <w:marLeft w:val="0"/>
      <w:marRight w:val="0"/>
      <w:marTop w:val="0"/>
      <w:marBottom w:val="0"/>
      <w:divBdr>
        <w:top w:val="none" w:sz="0" w:space="0" w:color="auto"/>
        <w:left w:val="none" w:sz="0" w:space="0" w:color="auto"/>
        <w:bottom w:val="none" w:sz="0" w:space="0" w:color="auto"/>
        <w:right w:val="none" w:sz="0" w:space="0" w:color="auto"/>
      </w:divBdr>
      <w:divsChild>
        <w:div w:id="2046055143">
          <w:marLeft w:val="0"/>
          <w:marRight w:val="0"/>
          <w:marTop w:val="0"/>
          <w:marBottom w:val="0"/>
          <w:divBdr>
            <w:top w:val="none" w:sz="0" w:space="0" w:color="auto"/>
            <w:left w:val="none" w:sz="0" w:space="0" w:color="auto"/>
            <w:bottom w:val="none" w:sz="0" w:space="0" w:color="auto"/>
            <w:right w:val="none" w:sz="0" w:space="0" w:color="auto"/>
          </w:divBdr>
          <w:divsChild>
            <w:div w:id="2076930706">
              <w:marLeft w:val="0"/>
              <w:marRight w:val="0"/>
              <w:marTop w:val="0"/>
              <w:marBottom w:val="0"/>
              <w:divBdr>
                <w:top w:val="none" w:sz="0" w:space="0" w:color="auto"/>
                <w:left w:val="none" w:sz="0" w:space="0" w:color="auto"/>
                <w:bottom w:val="none" w:sz="0" w:space="0" w:color="auto"/>
                <w:right w:val="none" w:sz="0" w:space="0" w:color="auto"/>
              </w:divBdr>
            </w:div>
          </w:divsChild>
        </w:div>
        <w:div w:id="2120560616">
          <w:marLeft w:val="0"/>
          <w:marRight w:val="0"/>
          <w:marTop w:val="0"/>
          <w:marBottom w:val="0"/>
          <w:divBdr>
            <w:top w:val="none" w:sz="0" w:space="0" w:color="auto"/>
            <w:left w:val="none" w:sz="0" w:space="0" w:color="auto"/>
            <w:bottom w:val="none" w:sz="0" w:space="0" w:color="auto"/>
            <w:right w:val="none" w:sz="0" w:space="0" w:color="auto"/>
          </w:divBdr>
          <w:divsChild>
            <w:div w:id="1781491526">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378282764">
      <w:bodyDiv w:val="1"/>
      <w:marLeft w:val="0"/>
      <w:marRight w:val="0"/>
      <w:marTop w:val="0"/>
      <w:marBottom w:val="0"/>
      <w:divBdr>
        <w:top w:val="none" w:sz="0" w:space="0" w:color="auto"/>
        <w:left w:val="none" w:sz="0" w:space="0" w:color="auto"/>
        <w:bottom w:val="none" w:sz="0" w:space="0" w:color="auto"/>
        <w:right w:val="none" w:sz="0" w:space="0" w:color="auto"/>
      </w:divBdr>
    </w:div>
    <w:div w:id="380908007">
      <w:bodyDiv w:val="1"/>
      <w:marLeft w:val="0"/>
      <w:marRight w:val="0"/>
      <w:marTop w:val="0"/>
      <w:marBottom w:val="0"/>
      <w:divBdr>
        <w:top w:val="none" w:sz="0" w:space="0" w:color="auto"/>
        <w:left w:val="none" w:sz="0" w:space="0" w:color="auto"/>
        <w:bottom w:val="none" w:sz="0" w:space="0" w:color="auto"/>
        <w:right w:val="none" w:sz="0" w:space="0" w:color="auto"/>
      </w:divBdr>
    </w:div>
    <w:div w:id="402141262">
      <w:bodyDiv w:val="1"/>
      <w:marLeft w:val="0"/>
      <w:marRight w:val="0"/>
      <w:marTop w:val="0"/>
      <w:marBottom w:val="0"/>
      <w:divBdr>
        <w:top w:val="none" w:sz="0" w:space="0" w:color="auto"/>
        <w:left w:val="none" w:sz="0" w:space="0" w:color="auto"/>
        <w:bottom w:val="none" w:sz="0" w:space="0" w:color="auto"/>
        <w:right w:val="none" w:sz="0" w:space="0" w:color="auto"/>
      </w:divBdr>
    </w:div>
    <w:div w:id="422261759">
      <w:bodyDiv w:val="1"/>
      <w:marLeft w:val="0"/>
      <w:marRight w:val="0"/>
      <w:marTop w:val="0"/>
      <w:marBottom w:val="0"/>
      <w:divBdr>
        <w:top w:val="none" w:sz="0" w:space="0" w:color="auto"/>
        <w:left w:val="none" w:sz="0" w:space="0" w:color="auto"/>
        <w:bottom w:val="none" w:sz="0" w:space="0" w:color="auto"/>
        <w:right w:val="none" w:sz="0" w:space="0" w:color="auto"/>
      </w:divBdr>
    </w:div>
    <w:div w:id="431319589">
      <w:bodyDiv w:val="1"/>
      <w:marLeft w:val="0"/>
      <w:marRight w:val="0"/>
      <w:marTop w:val="0"/>
      <w:marBottom w:val="0"/>
      <w:divBdr>
        <w:top w:val="none" w:sz="0" w:space="0" w:color="auto"/>
        <w:left w:val="none" w:sz="0" w:space="0" w:color="auto"/>
        <w:bottom w:val="none" w:sz="0" w:space="0" w:color="auto"/>
        <w:right w:val="none" w:sz="0" w:space="0" w:color="auto"/>
      </w:divBdr>
    </w:div>
    <w:div w:id="472453989">
      <w:bodyDiv w:val="1"/>
      <w:marLeft w:val="0"/>
      <w:marRight w:val="0"/>
      <w:marTop w:val="0"/>
      <w:marBottom w:val="0"/>
      <w:divBdr>
        <w:top w:val="none" w:sz="0" w:space="0" w:color="auto"/>
        <w:left w:val="none" w:sz="0" w:space="0" w:color="auto"/>
        <w:bottom w:val="none" w:sz="0" w:space="0" w:color="auto"/>
        <w:right w:val="none" w:sz="0" w:space="0" w:color="auto"/>
      </w:divBdr>
    </w:div>
    <w:div w:id="491920360">
      <w:bodyDiv w:val="1"/>
      <w:marLeft w:val="0"/>
      <w:marRight w:val="0"/>
      <w:marTop w:val="0"/>
      <w:marBottom w:val="0"/>
      <w:divBdr>
        <w:top w:val="none" w:sz="0" w:space="0" w:color="auto"/>
        <w:left w:val="none" w:sz="0" w:space="0" w:color="auto"/>
        <w:bottom w:val="none" w:sz="0" w:space="0" w:color="auto"/>
        <w:right w:val="none" w:sz="0" w:space="0" w:color="auto"/>
      </w:divBdr>
    </w:div>
    <w:div w:id="496387369">
      <w:bodyDiv w:val="1"/>
      <w:marLeft w:val="0"/>
      <w:marRight w:val="0"/>
      <w:marTop w:val="0"/>
      <w:marBottom w:val="0"/>
      <w:divBdr>
        <w:top w:val="none" w:sz="0" w:space="0" w:color="auto"/>
        <w:left w:val="none" w:sz="0" w:space="0" w:color="auto"/>
        <w:bottom w:val="none" w:sz="0" w:space="0" w:color="auto"/>
        <w:right w:val="none" w:sz="0" w:space="0" w:color="auto"/>
      </w:divBdr>
    </w:div>
    <w:div w:id="552934688">
      <w:bodyDiv w:val="1"/>
      <w:marLeft w:val="0"/>
      <w:marRight w:val="0"/>
      <w:marTop w:val="0"/>
      <w:marBottom w:val="0"/>
      <w:divBdr>
        <w:top w:val="none" w:sz="0" w:space="0" w:color="auto"/>
        <w:left w:val="none" w:sz="0" w:space="0" w:color="auto"/>
        <w:bottom w:val="none" w:sz="0" w:space="0" w:color="auto"/>
        <w:right w:val="none" w:sz="0" w:space="0" w:color="auto"/>
      </w:divBdr>
    </w:div>
    <w:div w:id="572855673">
      <w:bodyDiv w:val="1"/>
      <w:marLeft w:val="0"/>
      <w:marRight w:val="0"/>
      <w:marTop w:val="0"/>
      <w:marBottom w:val="0"/>
      <w:divBdr>
        <w:top w:val="none" w:sz="0" w:space="0" w:color="auto"/>
        <w:left w:val="none" w:sz="0" w:space="0" w:color="auto"/>
        <w:bottom w:val="none" w:sz="0" w:space="0" w:color="auto"/>
        <w:right w:val="none" w:sz="0" w:space="0" w:color="auto"/>
      </w:divBdr>
    </w:div>
    <w:div w:id="573321312">
      <w:bodyDiv w:val="1"/>
      <w:marLeft w:val="0"/>
      <w:marRight w:val="0"/>
      <w:marTop w:val="0"/>
      <w:marBottom w:val="0"/>
      <w:divBdr>
        <w:top w:val="none" w:sz="0" w:space="0" w:color="auto"/>
        <w:left w:val="none" w:sz="0" w:space="0" w:color="auto"/>
        <w:bottom w:val="none" w:sz="0" w:space="0" w:color="auto"/>
        <w:right w:val="none" w:sz="0" w:space="0" w:color="auto"/>
      </w:divBdr>
    </w:div>
    <w:div w:id="586304373">
      <w:bodyDiv w:val="1"/>
      <w:marLeft w:val="0"/>
      <w:marRight w:val="0"/>
      <w:marTop w:val="0"/>
      <w:marBottom w:val="0"/>
      <w:divBdr>
        <w:top w:val="none" w:sz="0" w:space="0" w:color="auto"/>
        <w:left w:val="none" w:sz="0" w:space="0" w:color="auto"/>
        <w:bottom w:val="none" w:sz="0" w:space="0" w:color="auto"/>
        <w:right w:val="none" w:sz="0" w:space="0" w:color="auto"/>
      </w:divBdr>
    </w:div>
    <w:div w:id="611978589">
      <w:bodyDiv w:val="1"/>
      <w:marLeft w:val="0"/>
      <w:marRight w:val="0"/>
      <w:marTop w:val="0"/>
      <w:marBottom w:val="0"/>
      <w:divBdr>
        <w:top w:val="none" w:sz="0" w:space="0" w:color="auto"/>
        <w:left w:val="none" w:sz="0" w:space="0" w:color="auto"/>
        <w:bottom w:val="none" w:sz="0" w:space="0" w:color="auto"/>
        <w:right w:val="none" w:sz="0" w:space="0" w:color="auto"/>
      </w:divBdr>
    </w:div>
    <w:div w:id="617372585">
      <w:bodyDiv w:val="1"/>
      <w:marLeft w:val="0"/>
      <w:marRight w:val="0"/>
      <w:marTop w:val="0"/>
      <w:marBottom w:val="0"/>
      <w:divBdr>
        <w:top w:val="none" w:sz="0" w:space="0" w:color="auto"/>
        <w:left w:val="none" w:sz="0" w:space="0" w:color="auto"/>
        <w:bottom w:val="none" w:sz="0" w:space="0" w:color="auto"/>
        <w:right w:val="none" w:sz="0" w:space="0" w:color="auto"/>
      </w:divBdr>
    </w:div>
    <w:div w:id="623004303">
      <w:bodyDiv w:val="1"/>
      <w:marLeft w:val="0"/>
      <w:marRight w:val="0"/>
      <w:marTop w:val="0"/>
      <w:marBottom w:val="0"/>
      <w:divBdr>
        <w:top w:val="none" w:sz="0" w:space="0" w:color="auto"/>
        <w:left w:val="none" w:sz="0" w:space="0" w:color="auto"/>
        <w:bottom w:val="none" w:sz="0" w:space="0" w:color="auto"/>
        <w:right w:val="none" w:sz="0" w:space="0" w:color="auto"/>
      </w:divBdr>
    </w:div>
    <w:div w:id="623587019">
      <w:bodyDiv w:val="1"/>
      <w:marLeft w:val="0"/>
      <w:marRight w:val="0"/>
      <w:marTop w:val="0"/>
      <w:marBottom w:val="0"/>
      <w:divBdr>
        <w:top w:val="none" w:sz="0" w:space="0" w:color="auto"/>
        <w:left w:val="none" w:sz="0" w:space="0" w:color="auto"/>
        <w:bottom w:val="none" w:sz="0" w:space="0" w:color="auto"/>
        <w:right w:val="none" w:sz="0" w:space="0" w:color="auto"/>
      </w:divBdr>
    </w:div>
    <w:div w:id="641467837">
      <w:bodyDiv w:val="1"/>
      <w:marLeft w:val="0"/>
      <w:marRight w:val="0"/>
      <w:marTop w:val="0"/>
      <w:marBottom w:val="0"/>
      <w:divBdr>
        <w:top w:val="none" w:sz="0" w:space="0" w:color="auto"/>
        <w:left w:val="none" w:sz="0" w:space="0" w:color="auto"/>
        <w:bottom w:val="none" w:sz="0" w:space="0" w:color="auto"/>
        <w:right w:val="none" w:sz="0" w:space="0" w:color="auto"/>
      </w:divBdr>
    </w:div>
    <w:div w:id="652686961">
      <w:bodyDiv w:val="1"/>
      <w:marLeft w:val="0"/>
      <w:marRight w:val="0"/>
      <w:marTop w:val="0"/>
      <w:marBottom w:val="0"/>
      <w:divBdr>
        <w:top w:val="none" w:sz="0" w:space="0" w:color="auto"/>
        <w:left w:val="none" w:sz="0" w:space="0" w:color="auto"/>
        <w:bottom w:val="none" w:sz="0" w:space="0" w:color="auto"/>
        <w:right w:val="none" w:sz="0" w:space="0" w:color="auto"/>
      </w:divBdr>
    </w:div>
    <w:div w:id="662899158">
      <w:bodyDiv w:val="1"/>
      <w:marLeft w:val="0"/>
      <w:marRight w:val="0"/>
      <w:marTop w:val="0"/>
      <w:marBottom w:val="0"/>
      <w:divBdr>
        <w:top w:val="none" w:sz="0" w:space="0" w:color="auto"/>
        <w:left w:val="none" w:sz="0" w:space="0" w:color="auto"/>
        <w:bottom w:val="none" w:sz="0" w:space="0" w:color="auto"/>
        <w:right w:val="none" w:sz="0" w:space="0" w:color="auto"/>
      </w:divBdr>
    </w:div>
    <w:div w:id="679627310">
      <w:bodyDiv w:val="1"/>
      <w:marLeft w:val="0"/>
      <w:marRight w:val="0"/>
      <w:marTop w:val="0"/>
      <w:marBottom w:val="0"/>
      <w:divBdr>
        <w:top w:val="none" w:sz="0" w:space="0" w:color="auto"/>
        <w:left w:val="none" w:sz="0" w:space="0" w:color="auto"/>
        <w:bottom w:val="none" w:sz="0" w:space="0" w:color="auto"/>
        <w:right w:val="none" w:sz="0" w:space="0" w:color="auto"/>
      </w:divBdr>
    </w:div>
    <w:div w:id="699860764">
      <w:bodyDiv w:val="1"/>
      <w:marLeft w:val="0"/>
      <w:marRight w:val="0"/>
      <w:marTop w:val="0"/>
      <w:marBottom w:val="0"/>
      <w:divBdr>
        <w:top w:val="none" w:sz="0" w:space="0" w:color="auto"/>
        <w:left w:val="none" w:sz="0" w:space="0" w:color="auto"/>
        <w:bottom w:val="none" w:sz="0" w:space="0" w:color="auto"/>
        <w:right w:val="none" w:sz="0" w:space="0" w:color="auto"/>
      </w:divBdr>
    </w:div>
    <w:div w:id="710305211">
      <w:bodyDiv w:val="1"/>
      <w:marLeft w:val="0"/>
      <w:marRight w:val="0"/>
      <w:marTop w:val="0"/>
      <w:marBottom w:val="0"/>
      <w:divBdr>
        <w:top w:val="none" w:sz="0" w:space="0" w:color="auto"/>
        <w:left w:val="none" w:sz="0" w:space="0" w:color="auto"/>
        <w:bottom w:val="none" w:sz="0" w:space="0" w:color="auto"/>
        <w:right w:val="none" w:sz="0" w:space="0" w:color="auto"/>
      </w:divBdr>
    </w:div>
    <w:div w:id="756169728">
      <w:bodyDiv w:val="1"/>
      <w:marLeft w:val="0"/>
      <w:marRight w:val="0"/>
      <w:marTop w:val="0"/>
      <w:marBottom w:val="0"/>
      <w:divBdr>
        <w:top w:val="none" w:sz="0" w:space="0" w:color="auto"/>
        <w:left w:val="none" w:sz="0" w:space="0" w:color="auto"/>
        <w:bottom w:val="none" w:sz="0" w:space="0" w:color="auto"/>
        <w:right w:val="none" w:sz="0" w:space="0" w:color="auto"/>
      </w:divBdr>
    </w:div>
    <w:div w:id="776407366">
      <w:bodyDiv w:val="1"/>
      <w:marLeft w:val="0"/>
      <w:marRight w:val="0"/>
      <w:marTop w:val="0"/>
      <w:marBottom w:val="0"/>
      <w:divBdr>
        <w:top w:val="none" w:sz="0" w:space="0" w:color="auto"/>
        <w:left w:val="none" w:sz="0" w:space="0" w:color="auto"/>
        <w:bottom w:val="none" w:sz="0" w:space="0" w:color="auto"/>
        <w:right w:val="none" w:sz="0" w:space="0" w:color="auto"/>
      </w:divBdr>
    </w:div>
    <w:div w:id="793331336">
      <w:bodyDiv w:val="1"/>
      <w:marLeft w:val="0"/>
      <w:marRight w:val="0"/>
      <w:marTop w:val="0"/>
      <w:marBottom w:val="0"/>
      <w:divBdr>
        <w:top w:val="none" w:sz="0" w:space="0" w:color="auto"/>
        <w:left w:val="none" w:sz="0" w:space="0" w:color="auto"/>
        <w:bottom w:val="none" w:sz="0" w:space="0" w:color="auto"/>
        <w:right w:val="none" w:sz="0" w:space="0" w:color="auto"/>
      </w:divBdr>
    </w:div>
    <w:div w:id="805663821">
      <w:bodyDiv w:val="1"/>
      <w:marLeft w:val="0"/>
      <w:marRight w:val="0"/>
      <w:marTop w:val="0"/>
      <w:marBottom w:val="0"/>
      <w:divBdr>
        <w:top w:val="none" w:sz="0" w:space="0" w:color="auto"/>
        <w:left w:val="none" w:sz="0" w:space="0" w:color="auto"/>
        <w:bottom w:val="none" w:sz="0" w:space="0" w:color="auto"/>
        <w:right w:val="none" w:sz="0" w:space="0" w:color="auto"/>
      </w:divBdr>
    </w:div>
    <w:div w:id="816150349">
      <w:bodyDiv w:val="1"/>
      <w:marLeft w:val="0"/>
      <w:marRight w:val="0"/>
      <w:marTop w:val="0"/>
      <w:marBottom w:val="0"/>
      <w:divBdr>
        <w:top w:val="none" w:sz="0" w:space="0" w:color="auto"/>
        <w:left w:val="none" w:sz="0" w:space="0" w:color="auto"/>
        <w:bottom w:val="none" w:sz="0" w:space="0" w:color="auto"/>
        <w:right w:val="none" w:sz="0" w:space="0" w:color="auto"/>
      </w:divBdr>
    </w:div>
    <w:div w:id="848835426">
      <w:bodyDiv w:val="1"/>
      <w:marLeft w:val="0"/>
      <w:marRight w:val="0"/>
      <w:marTop w:val="0"/>
      <w:marBottom w:val="0"/>
      <w:divBdr>
        <w:top w:val="none" w:sz="0" w:space="0" w:color="auto"/>
        <w:left w:val="none" w:sz="0" w:space="0" w:color="auto"/>
        <w:bottom w:val="none" w:sz="0" w:space="0" w:color="auto"/>
        <w:right w:val="none" w:sz="0" w:space="0" w:color="auto"/>
      </w:divBdr>
    </w:div>
    <w:div w:id="858809504">
      <w:bodyDiv w:val="1"/>
      <w:marLeft w:val="0"/>
      <w:marRight w:val="0"/>
      <w:marTop w:val="0"/>
      <w:marBottom w:val="0"/>
      <w:divBdr>
        <w:top w:val="none" w:sz="0" w:space="0" w:color="auto"/>
        <w:left w:val="none" w:sz="0" w:space="0" w:color="auto"/>
        <w:bottom w:val="none" w:sz="0" w:space="0" w:color="auto"/>
        <w:right w:val="none" w:sz="0" w:space="0" w:color="auto"/>
      </w:divBdr>
    </w:div>
    <w:div w:id="911356352">
      <w:bodyDiv w:val="1"/>
      <w:marLeft w:val="0"/>
      <w:marRight w:val="0"/>
      <w:marTop w:val="0"/>
      <w:marBottom w:val="0"/>
      <w:divBdr>
        <w:top w:val="none" w:sz="0" w:space="0" w:color="auto"/>
        <w:left w:val="none" w:sz="0" w:space="0" w:color="auto"/>
        <w:bottom w:val="none" w:sz="0" w:space="0" w:color="auto"/>
        <w:right w:val="none" w:sz="0" w:space="0" w:color="auto"/>
      </w:divBdr>
    </w:div>
    <w:div w:id="919096728">
      <w:bodyDiv w:val="1"/>
      <w:marLeft w:val="0"/>
      <w:marRight w:val="0"/>
      <w:marTop w:val="0"/>
      <w:marBottom w:val="0"/>
      <w:divBdr>
        <w:top w:val="none" w:sz="0" w:space="0" w:color="auto"/>
        <w:left w:val="none" w:sz="0" w:space="0" w:color="auto"/>
        <w:bottom w:val="none" w:sz="0" w:space="0" w:color="auto"/>
        <w:right w:val="none" w:sz="0" w:space="0" w:color="auto"/>
      </w:divBdr>
    </w:div>
    <w:div w:id="939987999">
      <w:bodyDiv w:val="1"/>
      <w:marLeft w:val="0"/>
      <w:marRight w:val="0"/>
      <w:marTop w:val="0"/>
      <w:marBottom w:val="0"/>
      <w:divBdr>
        <w:top w:val="none" w:sz="0" w:space="0" w:color="auto"/>
        <w:left w:val="none" w:sz="0" w:space="0" w:color="auto"/>
        <w:bottom w:val="none" w:sz="0" w:space="0" w:color="auto"/>
        <w:right w:val="none" w:sz="0" w:space="0" w:color="auto"/>
      </w:divBdr>
    </w:div>
    <w:div w:id="942955944">
      <w:bodyDiv w:val="1"/>
      <w:marLeft w:val="0"/>
      <w:marRight w:val="0"/>
      <w:marTop w:val="0"/>
      <w:marBottom w:val="0"/>
      <w:divBdr>
        <w:top w:val="none" w:sz="0" w:space="0" w:color="auto"/>
        <w:left w:val="none" w:sz="0" w:space="0" w:color="auto"/>
        <w:bottom w:val="none" w:sz="0" w:space="0" w:color="auto"/>
        <w:right w:val="none" w:sz="0" w:space="0" w:color="auto"/>
      </w:divBdr>
    </w:div>
    <w:div w:id="964238961">
      <w:bodyDiv w:val="1"/>
      <w:marLeft w:val="0"/>
      <w:marRight w:val="0"/>
      <w:marTop w:val="0"/>
      <w:marBottom w:val="0"/>
      <w:divBdr>
        <w:top w:val="none" w:sz="0" w:space="0" w:color="auto"/>
        <w:left w:val="none" w:sz="0" w:space="0" w:color="auto"/>
        <w:bottom w:val="none" w:sz="0" w:space="0" w:color="auto"/>
        <w:right w:val="none" w:sz="0" w:space="0" w:color="auto"/>
      </w:divBdr>
    </w:div>
    <w:div w:id="1034622050">
      <w:bodyDiv w:val="1"/>
      <w:marLeft w:val="0"/>
      <w:marRight w:val="0"/>
      <w:marTop w:val="0"/>
      <w:marBottom w:val="0"/>
      <w:divBdr>
        <w:top w:val="none" w:sz="0" w:space="0" w:color="auto"/>
        <w:left w:val="none" w:sz="0" w:space="0" w:color="auto"/>
        <w:bottom w:val="none" w:sz="0" w:space="0" w:color="auto"/>
        <w:right w:val="none" w:sz="0" w:space="0" w:color="auto"/>
      </w:divBdr>
    </w:div>
    <w:div w:id="1039822835">
      <w:bodyDiv w:val="1"/>
      <w:marLeft w:val="0"/>
      <w:marRight w:val="0"/>
      <w:marTop w:val="0"/>
      <w:marBottom w:val="0"/>
      <w:divBdr>
        <w:top w:val="none" w:sz="0" w:space="0" w:color="auto"/>
        <w:left w:val="none" w:sz="0" w:space="0" w:color="auto"/>
        <w:bottom w:val="none" w:sz="0" w:space="0" w:color="auto"/>
        <w:right w:val="none" w:sz="0" w:space="0" w:color="auto"/>
      </w:divBdr>
    </w:div>
    <w:div w:id="1091240930">
      <w:bodyDiv w:val="1"/>
      <w:marLeft w:val="0"/>
      <w:marRight w:val="0"/>
      <w:marTop w:val="0"/>
      <w:marBottom w:val="0"/>
      <w:divBdr>
        <w:top w:val="none" w:sz="0" w:space="0" w:color="auto"/>
        <w:left w:val="none" w:sz="0" w:space="0" w:color="auto"/>
        <w:bottom w:val="none" w:sz="0" w:space="0" w:color="auto"/>
        <w:right w:val="none" w:sz="0" w:space="0" w:color="auto"/>
      </w:divBdr>
    </w:div>
    <w:div w:id="1093933308">
      <w:bodyDiv w:val="1"/>
      <w:marLeft w:val="0"/>
      <w:marRight w:val="0"/>
      <w:marTop w:val="0"/>
      <w:marBottom w:val="0"/>
      <w:divBdr>
        <w:top w:val="none" w:sz="0" w:space="0" w:color="auto"/>
        <w:left w:val="none" w:sz="0" w:space="0" w:color="auto"/>
        <w:bottom w:val="none" w:sz="0" w:space="0" w:color="auto"/>
        <w:right w:val="none" w:sz="0" w:space="0" w:color="auto"/>
      </w:divBdr>
    </w:div>
    <w:div w:id="1104155935">
      <w:bodyDiv w:val="1"/>
      <w:marLeft w:val="0"/>
      <w:marRight w:val="0"/>
      <w:marTop w:val="0"/>
      <w:marBottom w:val="0"/>
      <w:divBdr>
        <w:top w:val="none" w:sz="0" w:space="0" w:color="auto"/>
        <w:left w:val="none" w:sz="0" w:space="0" w:color="auto"/>
        <w:bottom w:val="none" w:sz="0" w:space="0" w:color="auto"/>
        <w:right w:val="none" w:sz="0" w:space="0" w:color="auto"/>
      </w:divBdr>
    </w:div>
    <w:div w:id="1285650530">
      <w:bodyDiv w:val="1"/>
      <w:marLeft w:val="0"/>
      <w:marRight w:val="0"/>
      <w:marTop w:val="0"/>
      <w:marBottom w:val="0"/>
      <w:divBdr>
        <w:top w:val="none" w:sz="0" w:space="0" w:color="auto"/>
        <w:left w:val="none" w:sz="0" w:space="0" w:color="auto"/>
        <w:bottom w:val="none" w:sz="0" w:space="0" w:color="auto"/>
        <w:right w:val="none" w:sz="0" w:space="0" w:color="auto"/>
      </w:divBdr>
    </w:div>
    <w:div w:id="1289698600">
      <w:bodyDiv w:val="1"/>
      <w:marLeft w:val="0"/>
      <w:marRight w:val="0"/>
      <w:marTop w:val="0"/>
      <w:marBottom w:val="0"/>
      <w:divBdr>
        <w:top w:val="none" w:sz="0" w:space="0" w:color="auto"/>
        <w:left w:val="none" w:sz="0" w:space="0" w:color="auto"/>
        <w:bottom w:val="none" w:sz="0" w:space="0" w:color="auto"/>
        <w:right w:val="none" w:sz="0" w:space="0" w:color="auto"/>
      </w:divBdr>
    </w:div>
    <w:div w:id="1292200946">
      <w:bodyDiv w:val="1"/>
      <w:marLeft w:val="0"/>
      <w:marRight w:val="0"/>
      <w:marTop w:val="0"/>
      <w:marBottom w:val="0"/>
      <w:divBdr>
        <w:top w:val="none" w:sz="0" w:space="0" w:color="auto"/>
        <w:left w:val="none" w:sz="0" w:space="0" w:color="auto"/>
        <w:bottom w:val="none" w:sz="0" w:space="0" w:color="auto"/>
        <w:right w:val="none" w:sz="0" w:space="0" w:color="auto"/>
      </w:divBdr>
    </w:div>
    <w:div w:id="1314993528">
      <w:bodyDiv w:val="1"/>
      <w:marLeft w:val="0"/>
      <w:marRight w:val="0"/>
      <w:marTop w:val="0"/>
      <w:marBottom w:val="0"/>
      <w:divBdr>
        <w:top w:val="none" w:sz="0" w:space="0" w:color="auto"/>
        <w:left w:val="none" w:sz="0" w:space="0" w:color="auto"/>
        <w:bottom w:val="none" w:sz="0" w:space="0" w:color="auto"/>
        <w:right w:val="none" w:sz="0" w:space="0" w:color="auto"/>
      </w:divBdr>
    </w:div>
    <w:div w:id="1343631708">
      <w:bodyDiv w:val="1"/>
      <w:marLeft w:val="0"/>
      <w:marRight w:val="0"/>
      <w:marTop w:val="0"/>
      <w:marBottom w:val="0"/>
      <w:divBdr>
        <w:top w:val="none" w:sz="0" w:space="0" w:color="auto"/>
        <w:left w:val="none" w:sz="0" w:space="0" w:color="auto"/>
        <w:bottom w:val="none" w:sz="0" w:space="0" w:color="auto"/>
        <w:right w:val="none" w:sz="0" w:space="0" w:color="auto"/>
      </w:divBdr>
    </w:div>
    <w:div w:id="1385716743">
      <w:bodyDiv w:val="1"/>
      <w:marLeft w:val="0"/>
      <w:marRight w:val="0"/>
      <w:marTop w:val="0"/>
      <w:marBottom w:val="0"/>
      <w:divBdr>
        <w:top w:val="none" w:sz="0" w:space="0" w:color="auto"/>
        <w:left w:val="none" w:sz="0" w:space="0" w:color="auto"/>
        <w:bottom w:val="none" w:sz="0" w:space="0" w:color="auto"/>
        <w:right w:val="none" w:sz="0" w:space="0" w:color="auto"/>
      </w:divBdr>
    </w:div>
    <w:div w:id="1390424586">
      <w:bodyDiv w:val="1"/>
      <w:marLeft w:val="0"/>
      <w:marRight w:val="0"/>
      <w:marTop w:val="0"/>
      <w:marBottom w:val="0"/>
      <w:divBdr>
        <w:top w:val="none" w:sz="0" w:space="0" w:color="auto"/>
        <w:left w:val="none" w:sz="0" w:space="0" w:color="auto"/>
        <w:bottom w:val="none" w:sz="0" w:space="0" w:color="auto"/>
        <w:right w:val="none" w:sz="0" w:space="0" w:color="auto"/>
      </w:divBdr>
    </w:div>
    <w:div w:id="1422917737">
      <w:bodyDiv w:val="1"/>
      <w:marLeft w:val="0"/>
      <w:marRight w:val="0"/>
      <w:marTop w:val="0"/>
      <w:marBottom w:val="0"/>
      <w:divBdr>
        <w:top w:val="none" w:sz="0" w:space="0" w:color="auto"/>
        <w:left w:val="none" w:sz="0" w:space="0" w:color="auto"/>
        <w:bottom w:val="none" w:sz="0" w:space="0" w:color="auto"/>
        <w:right w:val="none" w:sz="0" w:space="0" w:color="auto"/>
      </w:divBdr>
    </w:div>
    <w:div w:id="1444113016">
      <w:bodyDiv w:val="1"/>
      <w:marLeft w:val="0"/>
      <w:marRight w:val="0"/>
      <w:marTop w:val="0"/>
      <w:marBottom w:val="0"/>
      <w:divBdr>
        <w:top w:val="none" w:sz="0" w:space="0" w:color="auto"/>
        <w:left w:val="none" w:sz="0" w:space="0" w:color="auto"/>
        <w:bottom w:val="none" w:sz="0" w:space="0" w:color="auto"/>
        <w:right w:val="none" w:sz="0" w:space="0" w:color="auto"/>
      </w:divBdr>
    </w:div>
    <w:div w:id="1450197860">
      <w:bodyDiv w:val="1"/>
      <w:marLeft w:val="0"/>
      <w:marRight w:val="0"/>
      <w:marTop w:val="0"/>
      <w:marBottom w:val="0"/>
      <w:divBdr>
        <w:top w:val="none" w:sz="0" w:space="0" w:color="auto"/>
        <w:left w:val="none" w:sz="0" w:space="0" w:color="auto"/>
        <w:bottom w:val="none" w:sz="0" w:space="0" w:color="auto"/>
        <w:right w:val="none" w:sz="0" w:space="0" w:color="auto"/>
      </w:divBdr>
    </w:div>
    <w:div w:id="1479494354">
      <w:bodyDiv w:val="1"/>
      <w:marLeft w:val="0"/>
      <w:marRight w:val="0"/>
      <w:marTop w:val="0"/>
      <w:marBottom w:val="0"/>
      <w:divBdr>
        <w:top w:val="none" w:sz="0" w:space="0" w:color="auto"/>
        <w:left w:val="none" w:sz="0" w:space="0" w:color="auto"/>
        <w:bottom w:val="none" w:sz="0" w:space="0" w:color="auto"/>
        <w:right w:val="none" w:sz="0" w:space="0" w:color="auto"/>
      </w:divBdr>
    </w:div>
    <w:div w:id="1564021552">
      <w:bodyDiv w:val="1"/>
      <w:marLeft w:val="0"/>
      <w:marRight w:val="0"/>
      <w:marTop w:val="0"/>
      <w:marBottom w:val="0"/>
      <w:divBdr>
        <w:top w:val="none" w:sz="0" w:space="0" w:color="auto"/>
        <w:left w:val="none" w:sz="0" w:space="0" w:color="auto"/>
        <w:bottom w:val="none" w:sz="0" w:space="0" w:color="auto"/>
        <w:right w:val="none" w:sz="0" w:space="0" w:color="auto"/>
      </w:divBdr>
    </w:div>
    <w:div w:id="1588077698">
      <w:bodyDiv w:val="1"/>
      <w:marLeft w:val="0"/>
      <w:marRight w:val="0"/>
      <w:marTop w:val="0"/>
      <w:marBottom w:val="0"/>
      <w:divBdr>
        <w:top w:val="none" w:sz="0" w:space="0" w:color="auto"/>
        <w:left w:val="none" w:sz="0" w:space="0" w:color="auto"/>
        <w:bottom w:val="none" w:sz="0" w:space="0" w:color="auto"/>
        <w:right w:val="none" w:sz="0" w:space="0" w:color="auto"/>
      </w:divBdr>
    </w:div>
    <w:div w:id="1591086554">
      <w:bodyDiv w:val="1"/>
      <w:marLeft w:val="0"/>
      <w:marRight w:val="0"/>
      <w:marTop w:val="0"/>
      <w:marBottom w:val="0"/>
      <w:divBdr>
        <w:top w:val="none" w:sz="0" w:space="0" w:color="auto"/>
        <w:left w:val="none" w:sz="0" w:space="0" w:color="auto"/>
        <w:bottom w:val="none" w:sz="0" w:space="0" w:color="auto"/>
        <w:right w:val="none" w:sz="0" w:space="0" w:color="auto"/>
      </w:divBdr>
    </w:div>
    <w:div w:id="1623069854">
      <w:bodyDiv w:val="1"/>
      <w:marLeft w:val="0"/>
      <w:marRight w:val="0"/>
      <w:marTop w:val="0"/>
      <w:marBottom w:val="0"/>
      <w:divBdr>
        <w:top w:val="none" w:sz="0" w:space="0" w:color="auto"/>
        <w:left w:val="none" w:sz="0" w:space="0" w:color="auto"/>
        <w:bottom w:val="none" w:sz="0" w:space="0" w:color="auto"/>
        <w:right w:val="none" w:sz="0" w:space="0" w:color="auto"/>
      </w:divBdr>
    </w:div>
    <w:div w:id="1654287613">
      <w:bodyDiv w:val="1"/>
      <w:marLeft w:val="0"/>
      <w:marRight w:val="0"/>
      <w:marTop w:val="0"/>
      <w:marBottom w:val="0"/>
      <w:divBdr>
        <w:top w:val="none" w:sz="0" w:space="0" w:color="auto"/>
        <w:left w:val="none" w:sz="0" w:space="0" w:color="auto"/>
        <w:bottom w:val="none" w:sz="0" w:space="0" w:color="auto"/>
        <w:right w:val="none" w:sz="0" w:space="0" w:color="auto"/>
      </w:divBdr>
      <w:divsChild>
        <w:div w:id="922105372">
          <w:marLeft w:val="0"/>
          <w:marRight w:val="0"/>
          <w:marTop w:val="0"/>
          <w:marBottom w:val="0"/>
          <w:divBdr>
            <w:top w:val="none" w:sz="0" w:space="0" w:color="auto"/>
            <w:left w:val="none" w:sz="0" w:space="0" w:color="auto"/>
            <w:bottom w:val="none" w:sz="0" w:space="0" w:color="auto"/>
            <w:right w:val="none" w:sz="0" w:space="0" w:color="auto"/>
          </w:divBdr>
          <w:divsChild>
            <w:div w:id="208808150">
              <w:marLeft w:val="0"/>
              <w:marRight w:val="0"/>
              <w:marTop w:val="0"/>
              <w:marBottom w:val="0"/>
              <w:divBdr>
                <w:top w:val="none" w:sz="0" w:space="0" w:color="auto"/>
                <w:left w:val="none" w:sz="0" w:space="0" w:color="auto"/>
                <w:bottom w:val="none" w:sz="0" w:space="0" w:color="auto"/>
                <w:right w:val="none" w:sz="0" w:space="0" w:color="auto"/>
              </w:divBdr>
            </w:div>
          </w:divsChild>
        </w:div>
        <w:div w:id="2137210965">
          <w:marLeft w:val="0"/>
          <w:marRight w:val="0"/>
          <w:marTop w:val="0"/>
          <w:marBottom w:val="0"/>
          <w:divBdr>
            <w:top w:val="none" w:sz="0" w:space="0" w:color="auto"/>
            <w:left w:val="none" w:sz="0" w:space="0" w:color="auto"/>
            <w:bottom w:val="none" w:sz="0" w:space="0" w:color="auto"/>
            <w:right w:val="none" w:sz="0" w:space="0" w:color="auto"/>
          </w:divBdr>
          <w:divsChild>
            <w:div w:id="387462751">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1659118148">
      <w:bodyDiv w:val="1"/>
      <w:marLeft w:val="0"/>
      <w:marRight w:val="0"/>
      <w:marTop w:val="0"/>
      <w:marBottom w:val="0"/>
      <w:divBdr>
        <w:top w:val="none" w:sz="0" w:space="0" w:color="auto"/>
        <w:left w:val="none" w:sz="0" w:space="0" w:color="auto"/>
        <w:bottom w:val="none" w:sz="0" w:space="0" w:color="auto"/>
        <w:right w:val="none" w:sz="0" w:space="0" w:color="auto"/>
      </w:divBdr>
    </w:div>
    <w:div w:id="1668092300">
      <w:bodyDiv w:val="1"/>
      <w:marLeft w:val="0"/>
      <w:marRight w:val="0"/>
      <w:marTop w:val="0"/>
      <w:marBottom w:val="0"/>
      <w:divBdr>
        <w:top w:val="none" w:sz="0" w:space="0" w:color="auto"/>
        <w:left w:val="none" w:sz="0" w:space="0" w:color="auto"/>
        <w:bottom w:val="none" w:sz="0" w:space="0" w:color="auto"/>
        <w:right w:val="none" w:sz="0" w:space="0" w:color="auto"/>
      </w:divBdr>
    </w:div>
    <w:div w:id="1703939442">
      <w:bodyDiv w:val="1"/>
      <w:marLeft w:val="0"/>
      <w:marRight w:val="0"/>
      <w:marTop w:val="0"/>
      <w:marBottom w:val="0"/>
      <w:divBdr>
        <w:top w:val="none" w:sz="0" w:space="0" w:color="auto"/>
        <w:left w:val="none" w:sz="0" w:space="0" w:color="auto"/>
        <w:bottom w:val="none" w:sz="0" w:space="0" w:color="auto"/>
        <w:right w:val="none" w:sz="0" w:space="0" w:color="auto"/>
      </w:divBdr>
    </w:div>
    <w:div w:id="1708220043">
      <w:bodyDiv w:val="1"/>
      <w:marLeft w:val="0"/>
      <w:marRight w:val="0"/>
      <w:marTop w:val="0"/>
      <w:marBottom w:val="0"/>
      <w:divBdr>
        <w:top w:val="none" w:sz="0" w:space="0" w:color="auto"/>
        <w:left w:val="none" w:sz="0" w:space="0" w:color="auto"/>
        <w:bottom w:val="none" w:sz="0" w:space="0" w:color="auto"/>
        <w:right w:val="none" w:sz="0" w:space="0" w:color="auto"/>
      </w:divBdr>
    </w:div>
    <w:div w:id="1731729910">
      <w:bodyDiv w:val="1"/>
      <w:marLeft w:val="0"/>
      <w:marRight w:val="0"/>
      <w:marTop w:val="0"/>
      <w:marBottom w:val="0"/>
      <w:divBdr>
        <w:top w:val="none" w:sz="0" w:space="0" w:color="auto"/>
        <w:left w:val="none" w:sz="0" w:space="0" w:color="auto"/>
        <w:bottom w:val="none" w:sz="0" w:space="0" w:color="auto"/>
        <w:right w:val="none" w:sz="0" w:space="0" w:color="auto"/>
      </w:divBdr>
    </w:div>
    <w:div w:id="1751005110">
      <w:bodyDiv w:val="1"/>
      <w:marLeft w:val="0"/>
      <w:marRight w:val="0"/>
      <w:marTop w:val="0"/>
      <w:marBottom w:val="0"/>
      <w:divBdr>
        <w:top w:val="none" w:sz="0" w:space="0" w:color="auto"/>
        <w:left w:val="none" w:sz="0" w:space="0" w:color="auto"/>
        <w:bottom w:val="none" w:sz="0" w:space="0" w:color="auto"/>
        <w:right w:val="none" w:sz="0" w:space="0" w:color="auto"/>
      </w:divBdr>
    </w:div>
    <w:div w:id="1767768391">
      <w:bodyDiv w:val="1"/>
      <w:marLeft w:val="0"/>
      <w:marRight w:val="0"/>
      <w:marTop w:val="0"/>
      <w:marBottom w:val="0"/>
      <w:divBdr>
        <w:top w:val="none" w:sz="0" w:space="0" w:color="auto"/>
        <w:left w:val="none" w:sz="0" w:space="0" w:color="auto"/>
        <w:bottom w:val="none" w:sz="0" w:space="0" w:color="auto"/>
        <w:right w:val="none" w:sz="0" w:space="0" w:color="auto"/>
      </w:divBdr>
    </w:div>
    <w:div w:id="1785297430">
      <w:bodyDiv w:val="1"/>
      <w:marLeft w:val="0"/>
      <w:marRight w:val="0"/>
      <w:marTop w:val="0"/>
      <w:marBottom w:val="0"/>
      <w:divBdr>
        <w:top w:val="none" w:sz="0" w:space="0" w:color="auto"/>
        <w:left w:val="none" w:sz="0" w:space="0" w:color="auto"/>
        <w:bottom w:val="none" w:sz="0" w:space="0" w:color="auto"/>
        <w:right w:val="none" w:sz="0" w:space="0" w:color="auto"/>
      </w:divBdr>
    </w:div>
    <w:div w:id="1786802497">
      <w:bodyDiv w:val="1"/>
      <w:marLeft w:val="0"/>
      <w:marRight w:val="0"/>
      <w:marTop w:val="0"/>
      <w:marBottom w:val="0"/>
      <w:divBdr>
        <w:top w:val="none" w:sz="0" w:space="0" w:color="auto"/>
        <w:left w:val="none" w:sz="0" w:space="0" w:color="auto"/>
        <w:bottom w:val="none" w:sz="0" w:space="0" w:color="auto"/>
        <w:right w:val="none" w:sz="0" w:space="0" w:color="auto"/>
      </w:divBdr>
    </w:div>
    <w:div w:id="1829202711">
      <w:bodyDiv w:val="1"/>
      <w:marLeft w:val="0"/>
      <w:marRight w:val="0"/>
      <w:marTop w:val="0"/>
      <w:marBottom w:val="0"/>
      <w:divBdr>
        <w:top w:val="none" w:sz="0" w:space="0" w:color="auto"/>
        <w:left w:val="none" w:sz="0" w:space="0" w:color="auto"/>
        <w:bottom w:val="none" w:sz="0" w:space="0" w:color="auto"/>
        <w:right w:val="none" w:sz="0" w:space="0" w:color="auto"/>
      </w:divBdr>
    </w:div>
    <w:div w:id="1851213489">
      <w:bodyDiv w:val="1"/>
      <w:marLeft w:val="0"/>
      <w:marRight w:val="0"/>
      <w:marTop w:val="0"/>
      <w:marBottom w:val="0"/>
      <w:divBdr>
        <w:top w:val="none" w:sz="0" w:space="0" w:color="auto"/>
        <w:left w:val="none" w:sz="0" w:space="0" w:color="auto"/>
        <w:bottom w:val="none" w:sz="0" w:space="0" w:color="auto"/>
        <w:right w:val="none" w:sz="0" w:space="0" w:color="auto"/>
      </w:divBdr>
    </w:div>
    <w:div w:id="1887642000">
      <w:bodyDiv w:val="1"/>
      <w:marLeft w:val="0"/>
      <w:marRight w:val="0"/>
      <w:marTop w:val="0"/>
      <w:marBottom w:val="0"/>
      <w:divBdr>
        <w:top w:val="none" w:sz="0" w:space="0" w:color="auto"/>
        <w:left w:val="none" w:sz="0" w:space="0" w:color="auto"/>
        <w:bottom w:val="none" w:sz="0" w:space="0" w:color="auto"/>
        <w:right w:val="none" w:sz="0" w:space="0" w:color="auto"/>
      </w:divBdr>
      <w:divsChild>
        <w:div w:id="1780490165">
          <w:marLeft w:val="0"/>
          <w:marRight w:val="0"/>
          <w:marTop w:val="0"/>
          <w:marBottom w:val="0"/>
          <w:divBdr>
            <w:top w:val="none" w:sz="0" w:space="0" w:color="auto"/>
            <w:left w:val="none" w:sz="0" w:space="0" w:color="auto"/>
            <w:bottom w:val="none" w:sz="0" w:space="0" w:color="auto"/>
            <w:right w:val="none" w:sz="0" w:space="0" w:color="auto"/>
          </w:divBdr>
          <w:divsChild>
            <w:div w:id="984237377">
              <w:marLeft w:val="0"/>
              <w:marRight w:val="0"/>
              <w:marTop w:val="15"/>
              <w:marBottom w:val="0"/>
              <w:divBdr>
                <w:top w:val="none" w:sz="0" w:space="0" w:color="auto"/>
                <w:left w:val="none" w:sz="0" w:space="0" w:color="auto"/>
                <w:bottom w:val="none" w:sz="0" w:space="0" w:color="auto"/>
                <w:right w:val="none" w:sz="0" w:space="0" w:color="auto"/>
              </w:divBdr>
            </w:div>
          </w:divsChild>
        </w:div>
        <w:div w:id="1954746282">
          <w:marLeft w:val="0"/>
          <w:marRight w:val="0"/>
          <w:marTop w:val="0"/>
          <w:marBottom w:val="0"/>
          <w:divBdr>
            <w:top w:val="none" w:sz="0" w:space="0" w:color="auto"/>
            <w:left w:val="none" w:sz="0" w:space="0" w:color="auto"/>
            <w:bottom w:val="none" w:sz="0" w:space="0" w:color="auto"/>
            <w:right w:val="none" w:sz="0" w:space="0" w:color="auto"/>
          </w:divBdr>
          <w:divsChild>
            <w:div w:id="213905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953706">
      <w:bodyDiv w:val="1"/>
      <w:marLeft w:val="0"/>
      <w:marRight w:val="0"/>
      <w:marTop w:val="0"/>
      <w:marBottom w:val="0"/>
      <w:divBdr>
        <w:top w:val="none" w:sz="0" w:space="0" w:color="auto"/>
        <w:left w:val="none" w:sz="0" w:space="0" w:color="auto"/>
        <w:bottom w:val="none" w:sz="0" w:space="0" w:color="auto"/>
        <w:right w:val="none" w:sz="0" w:space="0" w:color="auto"/>
      </w:divBdr>
    </w:div>
    <w:div w:id="1964069970">
      <w:bodyDiv w:val="1"/>
      <w:marLeft w:val="0"/>
      <w:marRight w:val="0"/>
      <w:marTop w:val="0"/>
      <w:marBottom w:val="0"/>
      <w:divBdr>
        <w:top w:val="none" w:sz="0" w:space="0" w:color="auto"/>
        <w:left w:val="none" w:sz="0" w:space="0" w:color="auto"/>
        <w:bottom w:val="none" w:sz="0" w:space="0" w:color="auto"/>
        <w:right w:val="none" w:sz="0" w:space="0" w:color="auto"/>
      </w:divBdr>
    </w:div>
    <w:div w:id="1980071749">
      <w:bodyDiv w:val="1"/>
      <w:marLeft w:val="0"/>
      <w:marRight w:val="0"/>
      <w:marTop w:val="0"/>
      <w:marBottom w:val="0"/>
      <w:divBdr>
        <w:top w:val="none" w:sz="0" w:space="0" w:color="auto"/>
        <w:left w:val="none" w:sz="0" w:space="0" w:color="auto"/>
        <w:bottom w:val="none" w:sz="0" w:space="0" w:color="auto"/>
        <w:right w:val="none" w:sz="0" w:space="0" w:color="auto"/>
      </w:divBdr>
    </w:div>
    <w:div w:id="1981307648">
      <w:bodyDiv w:val="1"/>
      <w:marLeft w:val="0"/>
      <w:marRight w:val="0"/>
      <w:marTop w:val="0"/>
      <w:marBottom w:val="0"/>
      <w:divBdr>
        <w:top w:val="none" w:sz="0" w:space="0" w:color="auto"/>
        <w:left w:val="none" w:sz="0" w:space="0" w:color="auto"/>
        <w:bottom w:val="none" w:sz="0" w:space="0" w:color="auto"/>
        <w:right w:val="none" w:sz="0" w:space="0" w:color="auto"/>
      </w:divBdr>
    </w:div>
    <w:div w:id="2040931585">
      <w:bodyDiv w:val="1"/>
      <w:marLeft w:val="0"/>
      <w:marRight w:val="0"/>
      <w:marTop w:val="0"/>
      <w:marBottom w:val="0"/>
      <w:divBdr>
        <w:top w:val="none" w:sz="0" w:space="0" w:color="auto"/>
        <w:left w:val="none" w:sz="0" w:space="0" w:color="auto"/>
        <w:bottom w:val="none" w:sz="0" w:space="0" w:color="auto"/>
        <w:right w:val="none" w:sz="0" w:space="0" w:color="auto"/>
      </w:divBdr>
    </w:div>
    <w:div w:id="2049988739">
      <w:bodyDiv w:val="1"/>
      <w:marLeft w:val="0"/>
      <w:marRight w:val="0"/>
      <w:marTop w:val="0"/>
      <w:marBottom w:val="0"/>
      <w:divBdr>
        <w:top w:val="none" w:sz="0" w:space="0" w:color="auto"/>
        <w:left w:val="none" w:sz="0" w:space="0" w:color="auto"/>
        <w:bottom w:val="none" w:sz="0" w:space="0" w:color="auto"/>
        <w:right w:val="none" w:sz="0" w:space="0" w:color="auto"/>
      </w:divBdr>
    </w:div>
    <w:div w:id="2088260134">
      <w:bodyDiv w:val="1"/>
      <w:marLeft w:val="0"/>
      <w:marRight w:val="0"/>
      <w:marTop w:val="0"/>
      <w:marBottom w:val="0"/>
      <w:divBdr>
        <w:top w:val="none" w:sz="0" w:space="0" w:color="auto"/>
        <w:left w:val="none" w:sz="0" w:space="0" w:color="auto"/>
        <w:bottom w:val="none" w:sz="0" w:space="0" w:color="auto"/>
        <w:right w:val="none" w:sz="0" w:space="0" w:color="auto"/>
      </w:divBdr>
    </w:div>
    <w:div w:id="2094546145">
      <w:bodyDiv w:val="1"/>
      <w:marLeft w:val="0"/>
      <w:marRight w:val="0"/>
      <w:marTop w:val="0"/>
      <w:marBottom w:val="0"/>
      <w:divBdr>
        <w:top w:val="none" w:sz="0" w:space="0" w:color="auto"/>
        <w:left w:val="none" w:sz="0" w:space="0" w:color="auto"/>
        <w:bottom w:val="none" w:sz="0" w:space="0" w:color="auto"/>
        <w:right w:val="none" w:sz="0" w:space="0" w:color="auto"/>
      </w:divBdr>
    </w:div>
    <w:div w:id="2098208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yperlink" Target="https://www.ihpa.gov.au/sites/g/files/net636/f/nep.pdf"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dhhs.tas.gov.au/ths/service_agreements" TargetMode="External"/><Relationship Id="rId17" Type="http://schemas.openxmlformats.org/officeDocument/2006/relationships/hyperlink" Target="https://www.ihpa.gov.au/sites/g/files/net636/f/nep.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dhhs.tas.gov.au/cancerscreening/5_main_cancers/bowel_cancer" TargetMode="External"/><Relationship Id="rId20" Type="http://schemas.openxmlformats.org/officeDocument/2006/relationships/hyperlink" Target="https://www.ihpa.gov.au/sites/g/files/net636/f/nep.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dhhs.tas.gov.au/cancerscreening/community_education" TargetMode="External"/><Relationship Id="rId23" Type="http://schemas.openxmlformats.org/officeDocument/2006/relationships/header" Target="header4.xml"/><Relationship Id="rId10" Type="http://schemas.openxmlformats.org/officeDocument/2006/relationships/header" Target="header1.xml"/><Relationship Id="rId19" Type="http://schemas.openxmlformats.org/officeDocument/2006/relationships/hyperlink" Target="https://www.ihpa.gov.au/sites/g/files/net636/f/nep.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dhhs.tas.gov.au/cancerscreening/pap_smear_register"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1CCD0C-A5FE-494E-B2FB-2F22F78A0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B1AF99D2.dotm</Template>
  <TotalTime>0</TotalTime>
  <Pages>41</Pages>
  <Words>12092</Words>
  <Characters>73087</Characters>
  <Application>Microsoft Office Word</Application>
  <DocSecurity>4</DocSecurity>
  <Lines>609</Lines>
  <Paragraphs>170</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85009</CharactersWithSpaces>
  <SharedDoc>false</SharedDoc>
  <HLinks>
    <vt:vector size="234" baseType="variant">
      <vt:variant>
        <vt:i4>6553616</vt:i4>
      </vt:variant>
      <vt:variant>
        <vt:i4>225</vt:i4>
      </vt:variant>
      <vt:variant>
        <vt:i4>0</vt:i4>
      </vt:variant>
      <vt:variant>
        <vt:i4>5</vt:i4>
      </vt:variant>
      <vt:variant>
        <vt:lpwstr>http://www.dhhs.tas.gov.au/cancerscreening/5_main_cancers/bowel_cancer</vt:lpwstr>
      </vt:variant>
      <vt:variant>
        <vt:lpwstr/>
      </vt:variant>
      <vt:variant>
        <vt:i4>7143441</vt:i4>
      </vt:variant>
      <vt:variant>
        <vt:i4>222</vt:i4>
      </vt:variant>
      <vt:variant>
        <vt:i4>0</vt:i4>
      </vt:variant>
      <vt:variant>
        <vt:i4>5</vt:i4>
      </vt:variant>
      <vt:variant>
        <vt:lpwstr>http://www.dhhs.tas.gov.au/cancerscreening/community_education</vt:lpwstr>
      </vt:variant>
      <vt:variant>
        <vt:lpwstr/>
      </vt:variant>
      <vt:variant>
        <vt:i4>1507423</vt:i4>
      </vt:variant>
      <vt:variant>
        <vt:i4>219</vt:i4>
      </vt:variant>
      <vt:variant>
        <vt:i4>0</vt:i4>
      </vt:variant>
      <vt:variant>
        <vt:i4>5</vt:i4>
      </vt:variant>
      <vt:variant>
        <vt:lpwstr>http://www.dhhs.tas.gov.au/cancerscreening/pap_smear_register</vt:lpwstr>
      </vt:variant>
      <vt:variant>
        <vt:lpwstr/>
      </vt:variant>
      <vt:variant>
        <vt:i4>1310776</vt:i4>
      </vt:variant>
      <vt:variant>
        <vt:i4>212</vt:i4>
      </vt:variant>
      <vt:variant>
        <vt:i4>0</vt:i4>
      </vt:variant>
      <vt:variant>
        <vt:i4>5</vt:i4>
      </vt:variant>
      <vt:variant>
        <vt:lpwstr/>
      </vt:variant>
      <vt:variant>
        <vt:lpwstr>_Toc442175934</vt:lpwstr>
      </vt:variant>
      <vt:variant>
        <vt:i4>1310776</vt:i4>
      </vt:variant>
      <vt:variant>
        <vt:i4>206</vt:i4>
      </vt:variant>
      <vt:variant>
        <vt:i4>0</vt:i4>
      </vt:variant>
      <vt:variant>
        <vt:i4>5</vt:i4>
      </vt:variant>
      <vt:variant>
        <vt:lpwstr/>
      </vt:variant>
      <vt:variant>
        <vt:lpwstr>_Toc442175933</vt:lpwstr>
      </vt:variant>
      <vt:variant>
        <vt:i4>1310776</vt:i4>
      </vt:variant>
      <vt:variant>
        <vt:i4>200</vt:i4>
      </vt:variant>
      <vt:variant>
        <vt:i4>0</vt:i4>
      </vt:variant>
      <vt:variant>
        <vt:i4>5</vt:i4>
      </vt:variant>
      <vt:variant>
        <vt:lpwstr/>
      </vt:variant>
      <vt:variant>
        <vt:lpwstr>_Toc442175932</vt:lpwstr>
      </vt:variant>
      <vt:variant>
        <vt:i4>1310776</vt:i4>
      </vt:variant>
      <vt:variant>
        <vt:i4>194</vt:i4>
      </vt:variant>
      <vt:variant>
        <vt:i4>0</vt:i4>
      </vt:variant>
      <vt:variant>
        <vt:i4>5</vt:i4>
      </vt:variant>
      <vt:variant>
        <vt:lpwstr/>
      </vt:variant>
      <vt:variant>
        <vt:lpwstr>_Toc442175931</vt:lpwstr>
      </vt:variant>
      <vt:variant>
        <vt:i4>1310776</vt:i4>
      </vt:variant>
      <vt:variant>
        <vt:i4>188</vt:i4>
      </vt:variant>
      <vt:variant>
        <vt:i4>0</vt:i4>
      </vt:variant>
      <vt:variant>
        <vt:i4>5</vt:i4>
      </vt:variant>
      <vt:variant>
        <vt:lpwstr/>
      </vt:variant>
      <vt:variant>
        <vt:lpwstr>_Toc442175930</vt:lpwstr>
      </vt:variant>
      <vt:variant>
        <vt:i4>1376312</vt:i4>
      </vt:variant>
      <vt:variant>
        <vt:i4>182</vt:i4>
      </vt:variant>
      <vt:variant>
        <vt:i4>0</vt:i4>
      </vt:variant>
      <vt:variant>
        <vt:i4>5</vt:i4>
      </vt:variant>
      <vt:variant>
        <vt:lpwstr/>
      </vt:variant>
      <vt:variant>
        <vt:lpwstr>_Toc442175929</vt:lpwstr>
      </vt:variant>
      <vt:variant>
        <vt:i4>1376312</vt:i4>
      </vt:variant>
      <vt:variant>
        <vt:i4>176</vt:i4>
      </vt:variant>
      <vt:variant>
        <vt:i4>0</vt:i4>
      </vt:variant>
      <vt:variant>
        <vt:i4>5</vt:i4>
      </vt:variant>
      <vt:variant>
        <vt:lpwstr/>
      </vt:variant>
      <vt:variant>
        <vt:lpwstr>_Toc442175928</vt:lpwstr>
      </vt:variant>
      <vt:variant>
        <vt:i4>1376312</vt:i4>
      </vt:variant>
      <vt:variant>
        <vt:i4>170</vt:i4>
      </vt:variant>
      <vt:variant>
        <vt:i4>0</vt:i4>
      </vt:variant>
      <vt:variant>
        <vt:i4>5</vt:i4>
      </vt:variant>
      <vt:variant>
        <vt:lpwstr/>
      </vt:variant>
      <vt:variant>
        <vt:lpwstr>_Toc442175927</vt:lpwstr>
      </vt:variant>
      <vt:variant>
        <vt:i4>1376312</vt:i4>
      </vt:variant>
      <vt:variant>
        <vt:i4>164</vt:i4>
      </vt:variant>
      <vt:variant>
        <vt:i4>0</vt:i4>
      </vt:variant>
      <vt:variant>
        <vt:i4>5</vt:i4>
      </vt:variant>
      <vt:variant>
        <vt:lpwstr/>
      </vt:variant>
      <vt:variant>
        <vt:lpwstr>_Toc442175926</vt:lpwstr>
      </vt:variant>
      <vt:variant>
        <vt:i4>1376312</vt:i4>
      </vt:variant>
      <vt:variant>
        <vt:i4>158</vt:i4>
      </vt:variant>
      <vt:variant>
        <vt:i4>0</vt:i4>
      </vt:variant>
      <vt:variant>
        <vt:i4>5</vt:i4>
      </vt:variant>
      <vt:variant>
        <vt:lpwstr/>
      </vt:variant>
      <vt:variant>
        <vt:lpwstr>_Toc442175925</vt:lpwstr>
      </vt:variant>
      <vt:variant>
        <vt:i4>1376312</vt:i4>
      </vt:variant>
      <vt:variant>
        <vt:i4>152</vt:i4>
      </vt:variant>
      <vt:variant>
        <vt:i4>0</vt:i4>
      </vt:variant>
      <vt:variant>
        <vt:i4>5</vt:i4>
      </vt:variant>
      <vt:variant>
        <vt:lpwstr/>
      </vt:variant>
      <vt:variant>
        <vt:lpwstr>_Toc442175924</vt:lpwstr>
      </vt:variant>
      <vt:variant>
        <vt:i4>1376312</vt:i4>
      </vt:variant>
      <vt:variant>
        <vt:i4>146</vt:i4>
      </vt:variant>
      <vt:variant>
        <vt:i4>0</vt:i4>
      </vt:variant>
      <vt:variant>
        <vt:i4>5</vt:i4>
      </vt:variant>
      <vt:variant>
        <vt:lpwstr/>
      </vt:variant>
      <vt:variant>
        <vt:lpwstr>_Toc442175923</vt:lpwstr>
      </vt:variant>
      <vt:variant>
        <vt:i4>1376312</vt:i4>
      </vt:variant>
      <vt:variant>
        <vt:i4>140</vt:i4>
      </vt:variant>
      <vt:variant>
        <vt:i4>0</vt:i4>
      </vt:variant>
      <vt:variant>
        <vt:i4>5</vt:i4>
      </vt:variant>
      <vt:variant>
        <vt:lpwstr/>
      </vt:variant>
      <vt:variant>
        <vt:lpwstr>_Toc442175922</vt:lpwstr>
      </vt:variant>
      <vt:variant>
        <vt:i4>1376312</vt:i4>
      </vt:variant>
      <vt:variant>
        <vt:i4>134</vt:i4>
      </vt:variant>
      <vt:variant>
        <vt:i4>0</vt:i4>
      </vt:variant>
      <vt:variant>
        <vt:i4>5</vt:i4>
      </vt:variant>
      <vt:variant>
        <vt:lpwstr/>
      </vt:variant>
      <vt:variant>
        <vt:lpwstr>_Toc442175921</vt:lpwstr>
      </vt:variant>
      <vt:variant>
        <vt:i4>1376312</vt:i4>
      </vt:variant>
      <vt:variant>
        <vt:i4>128</vt:i4>
      </vt:variant>
      <vt:variant>
        <vt:i4>0</vt:i4>
      </vt:variant>
      <vt:variant>
        <vt:i4>5</vt:i4>
      </vt:variant>
      <vt:variant>
        <vt:lpwstr/>
      </vt:variant>
      <vt:variant>
        <vt:lpwstr>_Toc442175920</vt:lpwstr>
      </vt:variant>
      <vt:variant>
        <vt:i4>1441848</vt:i4>
      </vt:variant>
      <vt:variant>
        <vt:i4>122</vt:i4>
      </vt:variant>
      <vt:variant>
        <vt:i4>0</vt:i4>
      </vt:variant>
      <vt:variant>
        <vt:i4>5</vt:i4>
      </vt:variant>
      <vt:variant>
        <vt:lpwstr/>
      </vt:variant>
      <vt:variant>
        <vt:lpwstr>_Toc442175919</vt:lpwstr>
      </vt:variant>
      <vt:variant>
        <vt:i4>1441848</vt:i4>
      </vt:variant>
      <vt:variant>
        <vt:i4>116</vt:i4>
      </vt:variant>
      <vt:variant>
        <vt:i4>0</vt:i4>
      </vt:variant>
      <vt:variant>
        <vt:i4>5</vt:i4>
      </vt:variant>
      <vt:variant>
        <vt:lpwstr/>
      </vt:variant>
      <vt:variant>
        <vt:lpwstr>_Toc442175918</vt:lpwstr>
      </vt:variant>
      <vt:variant>
        <vt:i4>1441848</vt:i4>
      </vt:variant>
      <vt:variant>
        <vt:i4>110</vt:i4>
      </vt:variant>
      <vt:variant>
        <vt:i4>0</vt:i4>
      </vt:variant>
      <vt:variant>
        <vt:i4>5</vt:i4>
      </vt:variant>
      <vt:variant>
        <vt:lpwstr/>
      </vt:variant>
      <vt:variant>
        <vt:lpwstr>_Toc442175917</vt:lpwstr>
      </vt:variant>
      <vt:variant>
        <vt:i4>1441848</vt:i4>
      </vt:variant>
      <vt:variant>
        <vt:i4>104</vt:i4>
      </vt:variant>
      <vt:variant>
        <vt:i4>0</vt:i4>
      </vt:variant>
      <vt:variant>
        <vt:i4>5</vt:i4>
      </vt:variant>
      <vt:variant>
        <vt:lpwstr/>
      </vt:variant>
      <vt:variant>
        <vt:lpwstr>_Toc442175916</vt:lpwstr>
      </vt:variant>
      <vt:variant>
        <vt:i4>1441848</vt:i4>
      </vt:variant>
      <vt:variant>
        <vt:i4>98</vt:i4>
      </vt:variant>
      <vt:variant>
        <vt:i4>0</vt:i4>
      </vt:variant>
      <vt:variant>
        <vt:i4>5</vt:i4>
      </vt:variant>
      <vt:variant>
        <vt:lpwstr/>
      </vt:variant>
      <vt:variant>
        <vt:lpwstr>_Toc442175915</vt:lpwstr>
      </vt:variant>
      <vt:variant>
        <vt:i4>1441848</vt:i4>
      </vt:variant>
      <vt:variant>
        <vt:i4>92</vt:i4>
      </vt:variant>
      <vt:variant>
        <vt:i4>0</vt:i4>
      </vt:variant>
      <vt:variant>
        <vt:i4>5</vt:i4>
      </vt:variant>
      <vt:variant>
        <vt:lpwstr/>
      </vt:variant>
      <vt:variant>
        <vt:lpwstr>_Toc442175914</vt:lpwstr>
      </vt:variant>
      <vt:variant>
        <vt:i4>1441848</vt:i4>
      </vt:variant>
      <vt:variant>
        <vt:i4>86</vt:i4>
      </vt:variant>
      <vt:variant>
        <vt:i4>0</vt:i4>
      </vt:variant>
      <vt:variant>
        <vt:i4>5</vt:i4>
      </vt:variant>
      <vt:variant>
        <vt:lpwstr/>
      </vt:variant>
      <vt:variant>
        <vt:lpwstr>_Toc442175913</vt:lpwstr>
      </vt:variant>
      <vt:variant>
        <vt:i4>1441848</vt:i4>
      </vt:variant>
      <vt:variant>
        <vt:i4>80</vt:i4>
      </vt:variant>
      <vt:variant>
        <vt:i4>0</vt:i4>
      </vt:variant>
      <vt:variant>
        <vt:i4>5</vt:i4>
      </vt:variant>
      <vt:variant>
        <vt:lpwstr/>
      </vt:variant>
      <vt:variant>
        <vt:lpwstr>_Toc442175912</vt:lpwstr>
      </vt:variant>
      <vt:variant>
        <vt:i4>1441848</vt:i4>
      </vt:variant>
      <vt:variant>
        <vt:i4>74</vt:i4>
      </vt:variant>
      <vt:variant>
        <vt:i4>0</vt:i4>
      </vt:variant>
      <vt:variant>
        <vt:i4>5</vt:i4>
      </vt:variant>
      <vt:variant>
        <vt:lpwstr/>
      </vt:variant>
      <vt:variant>
        <vt:lpwstr>_Toc442175911</vt:lpwstr>
      </vt:variant>
      <vt:variant>
        <vt:i4>1441848</vt:i4>
      </vt:variant>
      <vt:variant>
        <vt:i4>68</vt:i4>
      </vt:variant>
      <vt:variant>
        <vt:i4>0</vt:i4>
      </vt:variant>
      <vt:variant>
        <vt:i4>5</vt:i4>
      </vt:variant>
      <vt:variant>
        <vt:lpwstr/>
      </vt:variant>
      <vt:variant>
        <vt:lpwstr>_Toc442175910</vt:lpwstr>
      </vt:variant>
      <vt:variant>
        <vt:i4>1507384</vt:i4>
      </vt:variant>
      <vt:variant>
        <vt:i4>62</vt:i4>
      </vt:variant>
      <vt:variant>
        <vt:i4>0</vt:i4>
      </vt:variant>
      <vt:variant>
        <vt:i4>5</vt:i4>
      </vt:variant>
      <vt:variant>
        <vt:lpwstr/>
      </vt:variant>
      <vt:variant>
        <vt:lpwstr>_Toc442175909</vt:lpwstr>
      </vt:variant>
      <vt:variant>
        <vt:i4>1507384</vt:i4>
      </vt:variant>
      <vt:variant>
        <vt:i4>56</vt:i4>
      </vt:variant>
      <vt:variant>
        <vt:i4>0</vt:i4>
      </vt:variant>
      <vt:variant>
        <vt:i4>5</vt:i4>
      </vt:variant>
      <vt:variant>
        <vt:lpwstr/>
      </vt:variant>
      <vt:variant>
        <vt:lpwstr>_Toc442175908</vt:lpwstr>
      </vt:variant>
      <vt:variant>
        <vt:i4>1507384</vt:i4>
      </vt:variant>
      <vt:variant>
        <vt:i4>50</vt:i4>
      </vt:variant>
      <vt:variant>
        <vt:i4>0</vt:i4>
      </vt:variant>
      <vt:variant>
        <vt:i4>5</vt:i4>
      </vt:variant>
      <vt:variant>
        <vt:lpwstr/>
      </vt:variant>
      <vt:variant>
        <vt:lpwstr>_Toc442175907</vt:lpwstr>
      </vt:variant>
      <vt:variant>
        <vt:i4>1507384</vt:i4>
      </vt:variant>
      <vt:variant>
        <vt:i4>44</vt:i4>
      </vt:variant>
      <vt:variant>
        <vt:i4>0</vt:i4>
      </vt:variant>
      <vt:variant>
        <vt:i4>5</vt:i4>
      </vt:variant>
      <vt:variant>
        <vt:lpwstr/>
      </vt:variant>
      <vt:variant>
        <vt:lpwstr>_Toc442175906</vt:lpwstr>
      </vt:variant>
      <vt:variant>
        <vt:i4>1507384</vt:i4>
      </vt:variant>
      <vt:variant>
        <vt:i4>38</vt:i4>
      </vt:variant>
      <vt:variant>
        <vt:i4>0</vt:i4>
      </vt:variant>
      <vt:variant>
        <vt:i4>5</vt:i4>
      </vt:variant>
      <vt:variant>
        <vt:lpwstr/>
      </vt:variant>
      <vt:variant>
        <vt:lpwstr>_Toc442175905</vt:lpwstr>
      </vt:variant>
      <vt:variant>
        <vt:i4>1507384</vt:i4>
      </vt:variant>
      <vt:variant>
        <vt:i4>32</vt:i4>
      </vt:variant>
      <vt:variant>
        <vt:i4>0</vt:i4>
      </vt:variant>
      <vt:variant>
        <vt:i4>5</vt:i4>
      </vt:variant>
      <vt:variant>
        <vt:lpwstr/>
      </vt:variant>
      <vt:variant>
        <vt:lpwstr>_Toc442175904</vt:lpwstr>
      </vt:variant>
      <vt:variant>
        <vt:i4>1507384</vt:i4>
      </vt:variant>
      <vt:variant>
        <vt:i4>26</vt:i4>
      </vt:variant>
      <vt:variant>
        <vt:i4>0</vt:i4>
      </vt:variant>
      <vt:variant>
        <vt:i4>5</vt:i4>
      </vt:variant>
      <vt:variant>
        <vt:lpwstr/>
      </vt:variant>
      <vt:variant>
        <vt:lpwstr>_Toc442175903</vt:lpwstr>
      </vt:variant>
      <vt:variant>
        <vt:i4>1507384</vt:i4>
      </vt:variant>
      <vt:variant>
        <vt:i4>20</vt:i4>
      </vt:variant>
      <vt:variant>
        <vt:i4>0</vt:i4>
      </vt:variant>
      <vt:variant>
        <vt:i4>5</vt:i4>
      </vt:variant>
      <vt:variant>
        <vt:lpwstr/>
      </vt:variant>
      <vt:variant>
        <vt:lpwstr>_Toc442175902</vt:lpwstr>
      </vt:variant>
      <vt:variant>
        <vt:i4>1507384</vt:i4>
      </vt:variant>
      <vt:variant>
        <vt:i4>14</vt:i4>
      </vt:variant>
      <vt:variant>
        <vt:i4>0</vt:i4>
      </vt:variant>
      <vt:variant>
        <vt:i4>5</vt:i4>
      </vt:variant>
      <vt:variant>
        <vt:lpwstr/>
      </vt:variant>
      <vt:variant>
        <vt:lpwstr>_Toc442175901</vt:lpwstr>
      </vt:variant>
      <vt:variant>
        <vt:i4>1507384</vt:i4>
      </vt:variant>
      <vt:variant>
        <vt:i4>8</vt:i4>
      </vt:variant>
      <vt:variant>
        <vt:i4>0</vt:i4>
      </vt:variant>
      <vt:variant>
        <vt:i4>5</vt:i4>
      </vt:variant>
      <vt:variant>
        <vt:lpwstr/>
      </vt:variant>
      <vt:variant>
        <vt:lpwstr>_Toc442175900</vt:lpwstr>
      </vt:variant>
      <vt:variant>
        <vt:i4>1966137</vt:i4>
      </vt:variant>
      <vt:variant>
        <vt:i4>2</vt:i4>
      </vt:variant>
      <vt:variant>
        <vt:i4>0</vt:i4>
      </vt:variant>
      <vt:variant>
        <vt:i4>5</vt:i4>
      </vt:variant>
      <vt:variant>
        <vt:lpwstr/>
      </vt:variant>
      <vt:variant>
        <vt:lpwstr>_Toc442175899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2017-18 Service Agreement between the Minister for Health and the Tasmanian Health Service - June 2017</dc:title>
  <dc:creator>hmulcahy</dc:creator>
  <cp:lastModifiedBy>Radivojevic, Tracey L</cp:lastModifiedBy>
  <cp:revision>2</cp:revision>
  <cp:lastPrinted>2017-06-14T02:15:00Z</cp:lastPrinted>
  <dcterms:created xsi:type="dcterms:W3CDTF">2017-07-18T02:53:00Z</dcterms:created>
  <dcterms:modified xsi:type="dcterms:W3CDTF">2017-07-18T02:53:00Z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Draft - </vt:lpwstr>
  </property>
  <property fmtid="{D5CDD505-2E9C-101B-9397-08002B2CF9AE}" pid="3" name="Division">
    <vt:lpwstr>Division</vt:lpwstr>
  </property>
  <property fmtid="{D5CDD505-2E9C-101B-9397-08002B2CF9AE}" pid="4" name="Version">
    <vt:lpwstr>1.0a</vt:lpwstr>
  </property>
  <property fmtid="{D5CDD505-2E9C-101B-9397-08002B2CF9AE}" pid="5" name="Date">
    <vt:lpwstr/>
  </property>
  <property fmtid="{D5CDD505-2E9C-101B-9397-08002B2CF9AE}" pid="6" name="File">
    <vt:lpwstr/>
  </property>
  <property fmtid="{D5CDD505-2E9C-101B-9397-08002B2CF9AE}" pid="7" name="ReportTitle1">
    <vt:lpwstr/>
  </property>
  <property fmtid="{D5CDD505-2E9C-101B-9397-08002B2CF9AE}" pid="8" name="ReportTitle2">
    <vt:lpwstr/>
  </property>
  <property fmtid="{D5CDD505-2E9C-101B-9397-08002B2CF9AE}" pid="9" name="ReportTitle3">
    <vt:lpwstr/>
  </property>
  <property fmtid="{D5CDD505-2E9C-101B-9397-08002B2CF9AE}" pid="10" name="DraftCheck">
    <vt:lpwstr>True</vt:lpwstr>
  </property>
  <property fmtid="{D5CDD505-2E9C-101B-9397-08002B2CF9AE}" pid="11" name="DeptOpUnit">
    <vt:lpwstr/>
  </property>
  <property fmtid="{D5CDD505-2E9C-101B-9397-08002B2CF9AE}" pid="12" name="DeptOpUnit1">
    <vt:lpwstr/>
  </property>
  <property fmtid="{D5CDD505-2E9C-101B-9397-08002B2CF9AE}" pid="13" name="WITSNo1">
    <vt:lpwstr/>
  </property>
  <property fmtid="{D5CDD505-2E9C-101B-9397-08002B2CF9AE}" pid="14" name="Acronym1">
    <vt:lpwstr/>
  </property>
  <property fmtid="{D5CDD505-2E9C-101B-9397-08002B2CF9AE}" pid="15" name="SelectPostal1">
    <vt:lpwstr/>
  </property>
  <property fmtid="{D5CDD505-2E9C-101B-9397-08002B2CF9AE}" pid="16" name="SelectEmail1">
    <vt:lpwstr/>
  </property>
  <property fmtid="{D5CDD505-2E9C-101B-9397-08002B2CF9AE}" pid="17" name="TitleAddressee1">
    <vt:lpwstr/>
  </property>
  <property fmtid="{D5CDD505-2E9C-101B-9397-08002B2CF9AE}" pid="18" name="FirstName1">
    <vt:lpwstr/>
  </property>
  <property fmtid="{D5CDD505-2E9C-101B-9397-08002B2CF9AE}" pid="19" name="FamilyName1">
    <vt:lpwstr/>
  </property>
  <property fmtid="{D5CDD505-2E9C-101B-9397-08002B2CF9AE}" pid="20" name="Organisation1">
    <vt:lpwstr/>
  </property>
  <property fmtid="{D5CDD505-2E9C-101B-9397-08002B2CF9AE}" pid="21" name="Street1">
    <vt:lpwstr/>
  </property>
  <property fmtid="{D5CDD505-2E9C-101B-9397-08002B2CF9AE}" pid="22" name="Suburb1">
    <vt:lpwstr/>
  </property>
  <property fmtid="{D5CDD505-2E9C-101B-9397-08002B2CF9AE}" pid="23" name="State1">
    <vt:lpwstr/>
  </property>
  <property fmtid="{D5CDD505-2E9C-101B-9397-08002B2CF9AE}" pid="24" name="Postcode1">
    <vt:lpwstr/>
  </property>
  <property fmtid="{D5CDD505-2E9C-101B-9397-08002B2CF9AE}" pid="25" name="EmailText1">
    <vt:lpwstr/>
  </property>
  <property fmtid="{D5CDD505-2E9C-101B-9397-08002B2CF9AE}" pid="26" name="DateLetter1">
    <vt:lpwstr/>
  </property>
  <property fmtid="{D5CDD505-2E9C-101B-9397-08002B2CF9AE}" pid="27" name="LetterSubject1">
    <vt:lpwstr/>
  </property>
  <property fmtid="{D5CDD505-2E9C-101B-9397-08002B2CF9AE}" pid="28" name="NameSign1">
    <vt:lpwstr/>
  </property>
  <property fmtid="{D5CDD505-2E9C-101B-9397-08002B2CF9AE}" pid="29" name="DateSign1">
    <vt:lpwstr/>
  </property>
  <property fmtid="{D5CDD505-2E9C-101B-9397-08002B2CF9AE}" pid="30" name="PositionTitleSign1">
    <vt:lpwstr/>
  </property>
  <property fmtid="{D5CDD505-2E9C-101B-9397-08002B2CF9AE}" pid="31" name="ChkEnclosure1">
    <vt:lpwstr/>
  </property>
  <property fmtid="{D5CDD505-2E9C-101B-9397-08002B2CF9AE}" pid="32" name="Enclosure1">
    <vt:lpwstr/>
  </property>
  <property fmtid="{D5CDD505-2E9C-101B-9397-08002B2CF9AE}" pid="33" name="ChkCopyTo1">
    <vt:lpwstr/>
  </property>
  <property fmtid="{D5CDD505-2E9C-101B-9397-08002B2CF9AE}" pid="34" name="CopyTo1">
    <vt:lpwstr/>
  </property>
  <property fmtid="{D5CDD505-2E9C-101B-9397-08002B2CF9AE}" pid="35" name="ChkOrganisation1">
    <vt:lpwstr/>
  </property>
  <property fmtid="{D5CDD505-2E9C-101B-9397-08002B2CF9AE}" pid="36" name="ChkPositionTitle1">
    <vt:lpwstr/>
  </property>
  <property fmtid="{D5CDD505-2E9C-101B-9397-08002B2CF9AE}" pid="37" name="PositionTitle1">
    <vt:lpwstr/>
  </property>
  <property fmtid="{D5CDD505-2E9C-101B-9397-08002B2CF9AE}" pid="38" name="PreparedBy1">
    <vt:lpwstr/>
  </property>
  <property fmtid="{D5CDD505-2E9C-101B-9397-08002B2CF9AE}" pid="39" name="PreparedPositionTitle1">
    <vt:lpwstr/>
  </property>
  <property fmtid="{D5CDD505-2E9C-101B-9397-08002B2CF9AE}" pid="40" name="PreparedPhone1">
    <vt:lpwstr/>
  </property>
  <property fmtid="{D5CDD505-2E9C-101B-9397-08002B2CF9AE}" pid="41" name="PreparedDate1">
    <vt:lpwstr/>
  </property>
  <property fmtid="{D5CDD505-2E9C-101B-9397-08002B2CF9AE}" pid="42" name="Through1">
    <vt:lpwstr/>
  </property>
  <property fmtid="{D5CDD505-2E9C-101B-9397-08002B2CF9AE}" pid="43" name="ThroughPositionTitle1">
    <vt:lpwstr/>
  </property>
  <property fmtid="{D5CDD505-2E9C-101B-9397-08002B2CF9AE}" pid="44" name="ThroughDate1">
    <vt:lpwstr/>
  </property>
  <property fmtid="{D5CDD505-2E9C-101B-9397-08002B2CF9AE}" pid="45" name="ThroughPhone1">
    <vt:lpwstr/>
  </property>
  <property fmtid="{D5CDD505-2E9C-101B-9397-08002B2CF9AE}" pid="46" name="Through21">
    <vt:lpwstr/>
  </property>
  <property fmtid="{D5CDD505-2E9C-101B-9397-08002B2CF9AE}" pid="47" name="Through2PositionTitle1">
    <vt:lpwstr/>
  </property>
  <property fmtid="{D5CDD505-2E9C-101B-9397-08002B2CF9AE}" pid="48" name="Through2Date1">
    <vt:lpwstr/>
  </property>
  <property fmtid="{D5CDD505-2E9C-101B-9397-08002B2CF9AE}" pid="49" name="Through2Phone1">
    <vt:lpwstr/>
  </property>
  <property fmtid="{D5CDD505-2E9C-101B-9397-08002B2CF9AE}" pid="50" name="ClearedBy1">
    <vt:lpwstr/>
  </property>
  <property fmtid="{D5CDD505-2E9C-101B-9397-08002B2CF9AE}" pid="51" name="ClearedPositionTitle1">
    <vt:lpwstr/>
  </property>
  <property fmtid="{D5CDD505-2E9C-101B-9397-08002B2CF9AE}" pid="52" name="ClearedPhone1">
    <vt:lpwstr/>
  </property>
  <property fmtid="{D5CDD505-2E9C-101B-9397-08002B2CF9AE}" pid="53" name="ClearedDate1">
    <vt:lpwstr/>
  </property>
  <property fmtid="{D5CDD505-2E9C-101B-9397-08002B2CF9AE}" pid="54" name="SelectDepartment1">
    <vt:lpwstr/>
  </property>
  <property fmtid="{D5CDD505-2E9C-101B-9397-08002B2CF9AE}" pid="55" name="SelectTHONorth1">
    <vt:lpwstr/>
  </property>
  <property fmtid="{D5CDD505-2E9C-101B-9397-08002B2CF9AE}" pid="56" name="SelectTHONorthWest1">
    <vt:lpwstr/>
  </property>
  <property fmtid="{D5CDD505-2E9C-101B-9397-08002B2CF9AE}" pid="57" name="SelectTHOSouth1">
    <vt:lpwstr/>
  </property>
  <property fmtid="{D5CDD505-2E9C-101B-9397-08002B2CF9AE}" pid="58" name="SelectTHOSouthOHST1">
    <vt:lpwstr/>
  </property>
  <property fmtid="{D5CDD505-2E9C-101B-9397-08002B2CF9AE}" pid="59" name="SelectMinHealth1">
    <vt:lpwstr/>
  </property>
  <property fmtid="{D5CDD505-2E9C-101B-9397-08002B2CF9AE}" pid="60" name="SelectMinHuman1">
    <vt:lpwstr/>
  </property>
  <property fmtid="{D5CDD505-2E9C-101B-9397-08002B2CF9AE}" pid="61" name="SelectMinChildren1">
    <vt:lpwstr/>
  </property>
  <property fmtid="{D5CDD505-2E9C-101B-9397-08002B2CF9AE}" pid="62" name="MinHealthName1">
    <vt:lpwstr/>
  </property>
  <property fmtid="{D5CDD505-2E9C-101B-9397-08002B2CF9AE}" pid="63" name="MinHealthPosition1">
    <vt:lpwstr/>
  </property>
  <property fmtid="{D5CDD505-2E9C-101B-9397-08002B2CF9AE}" pid="64" name="MinHumanName1">
    <vt:lpwstr/>
  </property>
  <property fmtid="{D5CDD505-2E9C-101B-9397-08002B2CF9AE}" pid="65" name="MinHumanPosition1">
    <vt:lpwstr/>
  </property>
  <property fmtid="{D5CDD505-2E9C-101B-9397-08002B2CF9AE}" pid="66" name="MinChildrenName1">
    <vt:lpwstr/>
  </property>
  <property fmtid="{D5CDD505-2E9C-101B-9397-08002B2CF9AE}" pid="67" name="MinChildrenPosition1">
    <vt:lpwstr/>
  </property>
  <property fmtid="{D5CDD505-2E9C-101B-9397-08002B2CF9AE}" pid="68" name="WITS1">
    <vt:lpwstr/>
  </property>
  <property fmtid="{D5CDD505-2E9C-101B-9397-08002B2CF9AE}" pid="69" name="SubjectMinute1">
    <vt:lpwstr/>
  </property>
  <property fmtid="{D5CDD505-2E9C-101B-9397-08002B2CF9AE}" pid="70" name="SelectTHS1">
    <vt:lpwstr/>
  </property>
  <property fmtid="{D5CDD505-2E9C-101B-9397-08002B2CF9AE}" pid="71" name="DocumentType1">
    <vt:lpwstr/>
  </property>
  <property fmtid="{D5CDD505-2E9C-101B-9397-08002B2CF9AE}" pid="72" name="QTB1">
    <vt:lpwstr/>
  </property>
  <property fmtid="{D5CDD505-2E9C-101B-9397-08002B2CF9AE}" pid="73" name="BB1">
    <vt:lpwstr/>
  </property>
  <property fmtid="{D5CDD505-2E9C-101B-9397-08002B2CF9AE}" pid="74" name="Header1">
    <vt:lpwstr/>
  </property>
  <property fmtid="{D5CDD505-2E9C-101B-9397-08002B2CF9AE}" pid="75" name="SittingDate1">
    <vt:lpwstr/>
  </property>
  <property fmtid="{D5CDD505-2E9C-101B-9397-08002B2CF9AE}" pid="76" name="SubjectBriefing1">
    <vt:lpwstr/>
  </property>
  <property fmtid="{D5CDD505-2E9C-101B-9397-08002B2CF9AE}" pid="77" name="DeptGroup1">
    <vt:lpwstr/>
  </property>
  <property fmtid="{D5CDD505-2E9C-101B-9397-08002B2CF9AE}" pid="78" name="Output1">
    <vt:lpwstr/>
  </property>
  <property fmtid="{D5CDD505-2E9C-101B-9397-08002B2CF9AE}" pid="79" name="chkHealthPortfolio1">
    <vt:lpwstr/>
  </property>
  <property fmtid="{D5CDD505-2E9C-101B-9397-08002B2CF9AE}" pid="80" name="chkHumanServicesPortfolio1">
    <vt:lpwstr/>
  </property>
  <property fmtid="{D5CDD505-2E9C-101B-9397-08002B2CF9AE}" pid="81" name="chkChildrenPortfolio1">
    <vt:lpwstr/>
  </property>
</Properties>
</file>