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2B9F" w14:textId="77777777" w:rsidR="00524330" w:rsidRPr="00A46B4D" w:rsidRDefault="00392870" w:rsidP="00CC040C">
      <w:pPr>
        <w:pStyle w:val="Title"/>
        <w:ind w:right="1394"/>
      </w:pPr>
      <w:bookmarkStart w:id="0" w:name="_GoBack"/>
      <w:bookmarkEnd w:id="0"/>
      <w:r>
        <w:t>The Australian Curriculum</w:t>
      </w:r>
    </w:p>
    <w:p w14:paraId="57026B65" w14:textId="77777777" w:rsidR="00524330" w:rsidRPr="00493282" w:rsidRDefault="00392870" w:rsidP="00CC040C">
      <w:pPr>
        <w:pStyle w:val="Subtitle"/>
        <w:ind w:right="1394"/>
        <w:rPr>
          <w:color w:val="auto"/>
          <w:sz w:val="48"/>
        </w:rPr>
      </w:pPr>
      <w:r>
        <w:rPr>
          <w:rStyle w:val="SubtitleChar"/>
          <w:b/>
          <w:color w:val="55437F"/>
          <w:sz w:val="52"/>
        </w:rPr>
        <w:t>Health and Physical Education</w:t>
      </w:r>
      <w:r w:rsidR="00A2514D">
        <w:rPr>
          <w:rStyle w:val="SubtitleChar"/>
          <w:b/>
          <w:color w:val="55437F"/>
          <w:sz w:val="52"/>
        </w:rPr>
        <w:t xml:space="preserve"> (HPE) – Years </w:t>
      </w:r>
      <w:r w:rsidR="0048585E">
        <w:rPr>
          <w:rStyle w:val="SubtitleChar"/>
          <w:b/>
          <w:color w:val="55437F"/>
          <w:sz w:val="52"/>
        </w:rPr>
        <w:t>9</w:t>
      </w:r>
      <w:r w:rsidR="00A2514D">
        <w:rPr>
          <w:rStyle w:val="SubtitleChar"/>
          <w:b/>
          <w:color w:val="55437F"/>
          <w:sz w:val="52"/>
        </w:rPr>
        <w:t>/</w:t>
      </w:r>
      <w:r w:rsidR="0048585E">
        <w:rPr>
          <w:rStyle w:val="SubtitleChar"/>
          <w:b/>
          <w:color w:val="55437F"/>
          <w:sz w:val="52"/>
        </w:rPr>
        <w:t>10</w:t>
      </w:r>
    </w:p>
    <w:p w14:paraId="12DEEC78" w14:textId="77777777" w:rsidR="00524330" w:rsidRPr="00397A93" w:rsidRDefault="00A2514D" w:rsidP="00CC040C">
      <w:pPr>
        <w:pStyle w:val="Heading1"/>
        <w:ind w:right="1394"/>
      </w:pPr>
      <w:r>
        <w:t>Year level descriptions</w:t>
      </w:r>
    </w:p>
    <w:p w14:paraId="0D2264DB" w14:textId="77777777" w:rsidR="0048585E" w:rsidRDefault="0048585E" w:rsidP="0048585E">
      <w:pPr>
        <w:rPr>
          <w:sz w:val="20"/>
          <w:szCs w:val="20"/>
        </w:rPr>
      </w:pPr>
      <w:r w:rsidRPr="00295326">
        <w:rPr>
          <w:sz w:val="20"/>
          <w:szCs w:val="20"/>
        </w:rPr>
        <w:t xml:space="preserve">The Year 9 and 10 curriculum supports students to refine and apply strategies for maintaining a positive outlook and evaluating behavioural expectations in different leisure, social, movement and online situations. Students learn to critically analyse and apply health and physical activity information to devise and implement personalised plans for maintaining healthy and active habits. They also experience different roles that contribute to successful participation in physical </w:t>
      </w:r>
      <w:proofErr w:type="gramStart"/>
      <w:r w:rsidRPr="00295326">
        <w:rPr>
          <w:sz w:val="20"/>
          <w:szCs w:val="20"/>
        </w:rPr>
        <w:t>activity, and</w:t>
      </w:r>
      <w:proofErr w:type="gramEnd"/>
      <w:r w:rsidRPr="00295326">
        <w:rPr>
          <w:sz w:val="20"/>
          <w:szCs w:val="20"/>
        </w:rPr>
        <w:t xml:space="preserve"> propose strategies to support the development of preventive health practices that build and optimise community health and wellbeing.</w:t>
      </w:r>
    </w:p>
    <w:p w14:paraId="7B83CDF1" w14:textId="77777777" w:rsidR="0048585E" w:rsidRDefault="0048585E" w:rsidP="0048585E">
      <w:pPr>
        <w:rPr>
          <w:sz w:val="20"/>
          <w:szCs w:val="20"/>
        </w:rPr>
      </w:pPr>
      <w:r w:rsidRPr="00295326">
        <w:rPr>
          <w:sz w:val="20"/>
          <w:szCs w:val="20"/>
        </w:rPr>
        <w:t>In Years 9 and 10, students learn to apply more specialised movement skills and complex movement strategies and concepts in different movement environments. They also explore movement concepts and strategies to evaluate and refine their own and others’ movement performances. Students analyse how participation in physical activity and sport influence an individual’s </w:t>
      </w:r>
      <w:proofErr w:type="gramStart"/>
      <w:r w:rsidRPr="00295326">
        <w:rPr>
          <w:sz w:val="20"/>
          <w:szCs w:val="20"/>
        </w:rPr>
        <w:t>identities, and</w:t>
      </w:r>
      <w:proofErr w:type="gramEnd"/>
      <w:r w:rsidRPr="00295326">
        <w:rPr>
          <w:sz w:val="20"/>
          <w:szCs w:val="20"/>
        </w:rPr>
        <w:t xml:space="preserve"> explore the role participation plays in shaping cultures. The curriculum also provides opportunities for students to refine and consolidate personal and social skills in demonstrating leadership, teamwork and collaboration in a range of physical activities. </w:t>
      </w:r>
    </w:p>
    <w:p w14:paraId="0A809316" w14:textId="77777777" w:rsidR="0048585E" w:rsidRPr="00295326" w:rsidRDefault="0048585E" w:rsidP="0048585E">
      <w:pPr>
        <w:rPr>
          <w:sz w:val="20"/>
          <w:szCs w:val="20"/>
        </w:rPr>
      </w:pPr>
      <w:r w:rsidRPr="00295326">
        <w:rPr>
          <w:sz w:val="20"/>
          <w:szCs w:val="20"/>
        </w:rPr>
        <w:t xml:space="preserve">Focus areas to be addressed in Years 9 and 10 include: </w:t>
      </w:r>
    </w:p>
    <w:p w14:paraId="01976247"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 xml:space="preserve">alcohol and other drugs (AD) </w:t>
      </w:r>
    </w:p>
    <w:p w14:paraId="27A1E282"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food and nutrition (FN)</w:t>
      </w:r>
    </w:p>
    <w:p w14:paraId="087B6F38"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 xml:space="preserve">health benefits of physical activity (HBPA) </w:t>
      </w:r>
    </w:p>
    <w:p w14:paraId="02667C18"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lastRenderedPageBreak/>
        <w:t xml:space="preserve">mental health and wellbeing (MH) </w:t>
      </w:r>
    </w:p>
    <w:p w14:paraId="30B35E27"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 xml:space="preserve">relationships and sexuality (RS) </w:t>
      </w:r>
    </w:p>
    <w:p w14:paraId="6C2FCD8E"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safety (S)</w:t>
      </w:r>
    </w:p>
    <w:p w14:paraId="00EDAF72"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 xml:space="preserve">challenge and adventure activities (CA) </w:t>
      </w:r>
    </w:p>
    <w:p w14:paraId="39706508"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 xml:space="preserve">games and sports (GS) </w:t>
      </w:r>
    </w:p>
    <w:p w14:paraId="27E0BBBA" w14:textId="77777777" w:rsidR="0048585E" w:rsidRPr="00295326"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lifelong physical activities (LLPA)</w:t>
      </w:r>
    </w:p>
    <w:p w14:paraId="738E8903" w14:textId="77777777" w:rsidR="0048585E" w:rsidRDefault="0048585E" w:rsidP="0048585E">
      <w:pPr>
        <w:pStyle w:val="ListParagraph"/>
        <w:numPr>
          <w:ilvl w:val="0"/>
          <w:numId w:val="1"/>
        </w:numPr>
        <w:rPr>
          <w:rFonts w:ascii="Gill Sans MT" w:hAnsi="Gill Sans MT"/>
          <w:sz w:val="20"/>
          <w:szCs w:val="20"/>
        </w:rPr>
      </w:pPr>
      <w:r w:rsidRPr="00295326">
        <w:rPr>
          <w:rFonts w:ascii="Gill Sans MT" w:hAnsi="Gill Sans MT"/>
          <w:sz w:val="20"/>
          <w:szCs w:val="20"/>
        </w:rPr>
        <w:t>rhythmic and expressive movement activities (RE).</w:t>
      </w:r>
    </w:p>
    <w:p w14:paraId="3E2B2C01" w14:textId="77777777" w:rsidR="00524330" w:rsidRPr="00524330" w:rsidRDefault="00A2514D" w:rsidP="00A2514D">
      <w:pPr>
        <w:spacing w:before="240"/>
        <w:ind w:right="1394"/>
        <w:rPr>
          <w:rFonts w:cs="Arial"/>
          <w:b/>
          <w:sz w:val="40"/>
          <w:lang w:val="en"/>
        </w:rPr>
      </w:pPr>
      <w:r>
        <w:rPr>
          <w:rFonts w:cs="Arial"/>
          <w:b/>
          <w:sz w:val="40"/>
          <w:lang w:val="en"/>
        </w:rPr>
        <w:t>Achievement Standard</w:t>
      </w:r>
    </w:p>
    <w:p w14:paraId="1943FC34" w14:textId="77777777" w:rsidR="0048585E" w:rsidRDefault="0048585E" w:rsidP="0048585E">
      <w:pPr>
        <w:rPr>
          <w:sz w:val="20"/>
          <w:szCs w:val="20"/>
        </w:rPr>
      </w:pPr>
      <w:r w:rsidRPr="00295326">
        <w:rPr>
          <w:sz w:val="20"/>
          <w:szCs w:val="20"/>
        </w:rPr>
        <w:t>By the end of Year 10, students critically analyse contextual factors that influence identities, relationships, decisions and behaviours.  They analyse the impact attitudes and beliefs about diversity have on community connection and wellbeing.  They evaluate the outcomes of emotional responses to different situations.  Students access, synthesise and apply health information from credible sources to propose and justify responses to health situations.  Students propose and evaluate interventions to improve fitness and physical activity levels in their communities.  They examine the role physical activity has played historically in defining cultures and cultural identities.</w:t>
      </w:r>
    </w:p>
    <w:p w14:paraId="602F2890" w14:textId="77777777" w:rsidR="0048585E" w:rsidRPr="00295326" w:rsidRDefault="0048585E" w:rsidP="0048585E">
      <w:pPr>
        <w:rPr>
          <w:sz w:val="20"/>
          <w:szCs w:val="20"/>
        </w:rPr>
      </w:pPr>
      <w:r w:rsidRPr="00295326">
        <w:rPr>
          <w:sz w:val="20"/>
          <w:szCs w:val="20"/>
        </w:rPr>
        <w:t>Students demonstrate leadership, fair play and cooperation across a range of movement and health contexts.  They apply decision-making and problem-solving skills when taking action to enhance their own and others’ health, safety and wellbeing.  They apply and transfer movement concepts and strategies to new and challenging movement situations.  They apply criteria to make judgements about and refine their own and others’ specialised movement skills and movement performances.  They work collaboratively to design and apply solutions to movement challenges.</w:t>
      </w:r>
    </w:p>
    <w:p w14:paraId="0C33F5B5" w14:textId="77777777" w:rsidR="005C43D6" w:rsidRDefault="005C43D6">
      <w:pPr>
        <w:spacing w:after="0" w:line="240" w:lineRule="auto"/>
        <w:ind w:right="0"/>
        <w:rPr>
          <w:b/>
          <w:color w:val="365F91"/>
          <w:sz w:val="32"/>
          <w:szCs w:val="26"/>
        </w:rPr>
      </w:pPr>
      <w:r>
        <w:rPr>
          <w:b/>
          <w:color w:val="365F91"/>
          <w:sz w:val="32"/>
          <w:szCs w:val="26"/>
        </w:rPr>
        <w:br w:type="page"/>
      </w:r>
    </w:p>
    <w:p w14:paraId="4065C89E" w14:textId="77777777" w:rsidR="00CC040C" w:rsidRPr="00825BAD" w:rsidRDefault="00EC6281" w:rsidP="00825BAD">
      <w:pPr>
        <w:keepNext/>
        <w:keepLines/>
        <w:spacing w:before="40"/>
        <w:ind w:right="1394"/>
        <w:outlineLvl w:val="1"/>
        <w:rPr>
          <w:b/>
          <w:color w:val="365F91"/>
          <w:sz w:val="32"/>
          <w:szCs w:val="26"/>
        </w:rPr>
      </w:pPr>
      <w:r w:rsidRPr="00825BAD">
        <w:rPr>
          <w:b/>
          <w:color w:val="365F91"/>
          <w:sz w:val="32"/>
          <w:szCs w:val="26"/>
        </w:rPr>
        <w:lastRenderedPageBreak/>
        <w:t>Healthy Young People Mission Steps</w:t>
      </w:r>
    </w:p>
    <w:tbl>
      <w:tblPr>
        <w:tblStyle w:val="PlainTable1"/>
        <w:tblW w:w="0" w:type="auto"/>
        <w:tblLook w:val="04A0" w:firstRow="1" w:lastRow="0" w:firstColumn="1" w:lastColumn="0" w:noHBand="0" w:noVBand="1"/>
      </w:tblPr>
      <w:tblGrid>
        <w:gridCol w:w="2789"/>
        <w:gridCol w:w="2789"/>
        <w:gridCol w:w="2790"/>
        <w:gridCol w:w="2790"/>
        <w:gridCol w:w="2790"/>
      </w:tblGrid>
      <w:tr w:rsidR="00EC6281" w14:paraId="734B5A10" w14:textId="77777777" w:rsidTr="00EC6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1BCE2127" w14:textId="77777777" w:rsidR="00EC6281" w:rsidRPr="00896485" w:rsidRDefault="00EC6281" w:rsidP="00EC6281">
            <w:pPr>
              <w:ind w:right="-3"/>
              <w:jc w:val="center"/>
            </w:pPr>
            <w:r w:rsidRPr="00896485">
              <w:t xml:space="preserve">Choose </w:t>
            </w:r>
            <w:r>
              <w:t>Your HYP</w:t>
            </w:r>
            <w:r w:rsidRPr="00896485">
              <w:t xml:space="preserve"> Mission</w:t>
            </w:r>
          </w:p>
        </w:tc>
        <w:tc>
          <w:tcPr>
            <w:tcW w:w="2789" w:type="dxa"/>
          </w:tcPr>
          <w:p w14:paraId="4DDAA125" w14:textId="77777777" w:rsidR="00EC6281" w:rsidRPr="00896485" w:rsidRDefault="00EC6281" w:rsidP="00EC6281">
            <w:pPr>
              <w:ind w:right="-61"/>
              <w:jc w:val="center"/>
              <w:cnfStyle w:val="100000000000" w:firstRow="1" w:lastRow="0" w:firstColumn="0" w:lastColumn="0" w:oddVBand="0" w:evenVBand="0" w:oddHBand="0" w:evenHBand="0" w:firstRowFirstColumn="0" w:firstRowLastColumn="0" w:lastRowFirstColumn="0" w:lastRowLastColumn="0"/>
            </w:pPr>
            <w:r w:rsidRPr="00896485">
              <w:t>What are the facts?</w:t>
            </w:r>
          </w:p>
        </w:tc>
        <w:tc>
          <w:tcPr>
            <w:tcW w:w="2790" w:type="dxa"/>
          </w:tcPr>
          <w:p w14:paraId="5764E953" w14:textId="77777777" w:rsidR="00EC6281" w:rsidRPr="00896485" w:rsidRDefault="00EC6281" w:rsidP="00EC6281">
            <w:pPr>
              <w:ind w:right="0"/>
              <w:jc w:val="center"/>
              <w:cnfStyle w:val="100000000000" w:firstRow="1" w:lastRow="0" w:firstColumn="0" w:lastColumn="0" w:oddVBand="0" w:evenVBand="0" w:oddHBand="0" w:evenHBand="0" w:firstRowFirstColumn="0" w:firstRowLastColumn="0" w:lastRowFirstColumn="0" w:lastRowLastColumn="0"/>
            </w:pPr>
            <w:r w:rsidRPr="00896485">
              <w:t>What needs to change?</w:t>
            </w:r>
          </w:p>
        </w:tc>
        <w:tc>
          <w:tcPr>
            <w:tcW w:w="2790" w:type="dxa"/>
          </w:tcPr>
          <w:p w14:paraId="5557E9AC" w14:textId="77777777" w:rsidR="00EC6281" w:rsidRPr="00896485" w:rsidRDefault="00EC6281" w:rsidP="00EC6281">
            <w:pPr>
              <w:ind w:right="-142"/>
              <w:jc w:val="center"/>
              <w:cnfStyle w:val="100000000000" w:firstRow="1" w:lastRow="0" w:firstColumn="0" w:lastColumn="0" w:oddVBand="0" w:evenVBand="0" w:oddHBand="0" w:evenHBand="0" w:firstRowFirstColumn="0" w:firstRowLastColumn="0" w:lastRowFirstColumn="0" w:lastRowLastColumn="0"/>
            </w:pPr>
            <w:r>
              <w:t>Your</w:t>
            </w:r>
            <w:r w:rsidRPr="00896485">
              <w:t xml:space="preserve"> Mission Action Plan</w:t>
            </w:r>
          </w:p>
        </w:tc>
        <w:tc>
          <w:tcPr>
            <w:tcW w:w="2790" w:type="dxa"/>
          </w:tcPr>
          <w:p w14:paraId="28AC4121" w14:textId="77777777" w:rsidR="00EC6281" w:rsidRDefault="00EC6281" w:rsidP="00EC6281">
            <w:pPr>
              <w:ind w:right="-40"/>
              <w:jc w:val="center"/>
              <w:cnfStyle w:val="100000000000" w:firstRow="1" w:lastRow="0" w:firstColumn="0" w:lastColumn="0" w:oddVBand="0" w:evenVBand="0" w:oddHBand="0" w:evenHBand="0" w:firstRowFirstColumn="0" w:firstRowLastColumn="0" w:lastRowFirstColumn="0" w:lastRowLastColumn="0"/>
            </w:pPr>
            <w:r w:rsidRPr="00896485">
              <w:t>Reflect and Celebrate</w:t>
            </w:r>
          </w:p>
        </w:tc>
      </w:tr>
      <w:tr w:rsidR="00EC6281" w14:paraId="6A367BBB" w14:textId="77777777" w:rsidTr="00EC6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9" w:type="dxa"/>
          </w:tcPr>
          <w:p w14:paraId="2CCB182B" w14:textId="77777777" w:rsidR="00EC6281" w:rsidRPr="00EC6281" w:rsidRDefault="00EC6281" w:rsidP="0048585E">
            <w:pPr>
              <w:ind w:right="-3"/>
              <w:rPr>
                <w:b w:val="0"/>
                <w:szCs w:val="22"/>
              </w:rPr>
            </w:pPr>
            <w:r w:rsidRPr="00EC6281">
              <w:rPr>
                <w:b w:val="0"/>
                <w:szCs w:val="22"/>
              </w:rPr>
              <w:t>Students examine health and wellbeing in their own lives and the lives of others.  They start to investigate how the environment we live in affects our health and wellbeing. Students identify priorities for creating a health promoting environment at school.  They evaluate their personal health and wellbeing and health literacy and select goals for the future.</w:t>
            </w:r>
          </w:p>
        </w:tc>
        <w:tc>
          <w:tcPr>
            <w:tcW w:w="2789" w:type="dxa"/>
          </w:tcPr>
          <w:p w14:paraId="066AE2F2" w14:textId="77777777" w:rsidR="00EC6281" w:rsidRPr="00EC6281" w:rsidRDefault="00EC6281" w:rsidP="00EC6281">
            <w:pPr>
              <w:ind w:right="-61"/>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investigate health topics including guidelines and recommendations from government and health bodies. Students apply health knowledge to analyse health information and evaluate the reliability of a variety of sources.  Students analyse the influence of the school environment on health behaviours.</w:t>
            </w:r>
          </w:p>
        </w:tc>
        <w:tc>
          <w:tcPr>
            <w:tcW w:w="2790" w:type="dxa"/>
          </w:tcPr>
          <w:p w14:paraId="4D910FAA" w14:textId="77777777" w:rsidR="00EC6281" w:rsidRPr="00EC6281" w:rsidRDefault="00EC6281" w:rsidP="00EC6281">
            <w:pPr>
              <w:ind w:right="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 school environment.  Students examine possible strategies to increase healthy behaviours and select strategies with the most potential to make healthy choices easier.</w:t>
            </w:r>
          </w:p>
        </w:tc>
        <w:tc>
          <w:tcPr>
            <w:tcW w:w="2790" w:type="dxa"/>
          </w:tcPr>
          <w:p w14:paraId="5112DDF9" w14:textId="77777777" w:rsidR="00EC6281" w:rsidRPr="00EC6281" w:rsidRDefault="00EC6281" w:rsidP="00EC6281">
            <w:pPr>
              <w:ind w:right="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analyse the needs of different target groups and develop strategies to influence them.  Students apply health information and knowledge of the school environment to develop a plan to make healthy choices easier.  Students evaluate their progress against the plan and refine strategies as the implement them.</w:t>
            </w:r>
          </w:p>
        </w:tc>
        <w:tc>
          <w:tcPr>
            <w:tcW w:w="2790" w:type="dxa"/>
          </w:tcPr>
          <w:p w14:paraId="5BDA84E7"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their personal health and wellbeing and health literacy and analyse any changes.</w:t>
            </w:r>
          </w:p>
          <w:p w14:paraId="69297DE3"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evaluate the outcomes of their plan and analyse factors that may have contributed to or prevented achievement of the plan.</w:t>
            </w:r>
          </w:p>
          <w:p w14:paraId="77CF63D9" w14:textId="77777777" w:rsidR="00EC6281" w:rsidRPr="00EC6281" w:rsidRDefault="00EC6281" w:rsidP="00EC6281">
            <w:pPr>
              <w:ind w:right="-40"/>
              <w:cnfStyle w:val="000000100000" w:firstRow="0" w:lastRow="0" w:firstColumn="0" w:lastColumn="0" w:oddVBand="0" w:evenVBand="0" w:oddHBand="1" w:evenHBand="0" w:firstRowFirstColumn="0" w:firstRowLastColumn="0" w:lastRowFirstColumn="0" w:lastRowLastColumn="0"/>
              <w:rPr>
                <w:szCs w:val="22"/>
              </w:rPr>
            </w:pPr>
            <w:r w:rsidRPr="00EC6281">
              <w:rPr>
                <w:szCs w:val="22"/>
              </w:rPr>
              <w:t>Students apply their learning to critically analyse changes that could be made at local, State and National levels to increase health behaviours.</w:t>
            </w:r>
          </w:p>
        </w:tc>
      </w:tr>
    </w:tbl>
    <w:p w14:paraId="4735B789" w14:textId="77777777" w:rsidR="00AF610A" w:rsidRDefault="00AF610A" w:rsidP="00A00A89">
      <w:r>
        <w:br w:type="page"/>
      </w:r>
    </w:p>
    <w:p w14:paraId="72CECD3F" w14:textId="77777777" w:rsidR="00A00A89" w:rsidRDefault="00A00A89" w:rsidP="00A00A89">
      <w:pPr>
        <w:spacing w:before="240" w:after="60"/>
        <w:ind w:right="1394"/>
        <w:outlineLvl w:val="0"/>
        <w:rPr>
          <w:rFonts w:cs="Arial"/>
          <w:b/>
          <w:sz w:val="40"/>
          <w:lang w:val="en"/>
        </w:rPr>
        <w:sectPr w:rsidR="00A00A89" w:rsidSect="00BB527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40" w:right="1440" w:bottom="244" w:left="1440" w:header="0" w:footer="0" w:gutter="0"/>
          <w:cols w:space="708"/>
          <w:titlePg/>
          <w:docGrid w:linePitch="360"/>
        </w:sectPr>
      </w:pPr>
    </w:p>
    <w:p w14:paraId="02A4D8DC" w14:textId="77777777" w:rsidR="00A00A89" w:rsidRPr="00A00A89" w:rsidRDefault="00A00A89" w:rsidP="00A00A89">
      <w:pPr>
        <w:spacing w:before="240" w:after="60"/>
        <w:ind w:right="1394"/>
        <w:outlineLvl w:val="0"/>
        <w:rPr>
          <w:rFonts w:cs="Arial"/>
          <w:b/>
          <w:sz w:val="40"/>
          <w:lang w:val="en"/>
        </w:rPr>
      </w:pPr>
      <w:r w:rsidRPr="00A00A89">
        <w:rPr>
          <w:rFonts w:cs="Arial"/>
          <w:b/>
          <w:sz w:val="40"/>
          <w:lang w:val="en"/>
        </w:rPr>
        <w:lastRenderedPageBreak/>
        <w:t>Content Descriptions</w:t>
      </w:r>
      <w:r w:rsidR="00CF5C2D">
        <w:rPr>
          <w:rFonts w:cs="Arial"/>
          <w:b/>
          <w:sz w:val="40"/>
          <w:lang w:val="en"/>
        </w:rPr>
        <w:t xml:space="preserve"> – Year 9/10</w:t>
      </w:r>
    </w:p>
    <w:p w14:paraId="092023DA" w14:textId="77777777" w:rsidR="00123E91" w:rsidRPr="00123E91" w:rsidRDefault="00A00A89" w:rsidP="00123E91">
      <w:pPr>
        <w:keepNext/>
        <w:keepLines/>
        <w:spacing w:before="40" w:after="0"/>
        <w:ind w:right="1394"/>
        <w:outlineLvl w:val="1"/>
        <w:rPr>
          <w:b/>
          <w:color w:val="365F91"/>
          <w:sz w:val="32"/>
          <w:szCs w:val="26"/>
        </w:rPr>
      </w:pPr>
      <w:r w:rsidRPr="00123E91">
        <w:rPr>
          <w:b/>
          <w:color w:val="365F91"/>
          <w:sz w:val="32"/>
          <w:szCs w:val="26"/>
        </w:rPr>
        <w:t>Strand</w:t>
      </w:r>
    </w:p>
    <w:p w14:paraId="310C10F4" w14:textId="77777777" w:rsidR="00123E91" w:rsidRDefault="00A00A89" w:rsidP="00123E91">
      <w:pPr>
        <w:ind w:right="1394"/>
        <w:rPr>
          <w:lang w:val="en"/>
        </w:rPr>
      </w:pPr>
      <w:r>
        <w:rPr>
          <w:lang w:val="en"/>
        </w:rPr>
        <w:t>Personal, social and community health</w:t>
      </w:r>
    </w:p>
    <w:tbl>
      <w:tblPr>
        <w:tblStyle w:val="PlainTable1"/>
        <w:tblW w:w="0" w:type="auto"/>
        <w:tblLook w:val="04A0" w:firstRow="1" w:lastRow="0" w:firstColumn="1" w:lastColumn="0" w:noHBand="0" w:noVBand="1"/>
      </w:tblPr>
      <w:tblGrid>
        <w:gridCol w:w="6466"/>
        <w:gridCol w:w="510"/>
        <w:gridCol w:w="510"/>
        <w:gridCol w:w="510"/>
        <w:gridCol w:w="510"/>
        <w:gridCol w:w="510"/>
      </w:tblGrid>
      <w:tr w:rsidR="008E28A6" w14:paraId="73FEAE6F" w14:textId="77777777" w:rsidTr="00496037">
        <w:trPr>
          <w:cnfStyle w:val="100000000000" w:firstRow="1" w:lastRow="0" w:firstColumn="0" w:lastColumn="0" w:oddVBand="0" w:evenVBand="0" w:oddHBand="0" w:evenHBand="0" w:firstRowFirstColumn="0" w:firstRowLastColumn="0" w:lastRowFirstColumn="0" w:lastRowLastColumn="0"/>
          <w:cantSplit/>
          <w:trHeight w:val="2765"/>
        </w:trPr>
        <w:tc>
          <w:tcPr>
            <w:cnfStyle w:val="001000000000" w:firstRow="0" w:lastRow="0" w:firstColumn="1" w:lastColumn="0" w:oddVBand="0" w:evenVBand="0" w:oddHBand="0" w:evenHBand="0" w:firstRowFirstColumn="0" w:firstRowLastColumn="0" w:lastRowFirstColumn="0" w:lastRowLastColumn="0"/>
            <w:tcW w:w="6466" w:type="dxa"/>
            <w:vAlign w:val="bottom"/>
          </w:tcPr>
          <w:p w14:paraId="36F3384C" w14:textId="77777777" w:rsidR="00A00A89" w:rsidRDefault="00123E91" w:rsidP="00123E91">
            <w:pPr>
              <w:spacing w:before="240" w:after="60"/>
              <w:ind w:right="1394"/>
              <w:outlineLvl w:val="0"/>
              <w:rPr>
                <w:rFonts w:cs="Arial"/>
                <w:sz w:val="40"/>
                <w:lang w:val="en"/>
              </w:rPr>
            </w:pPr>
            <w:r w:rsidRPr="00123E91">
              <w:rPr>
                <w:bCs w:val="0"/>
                <w:color w:val="365F91"/>
                <w:sz w:val="32"/>
                <w:szCs w:val="26"/>
              </w:rPr>
              <w:t>Being healthy, safe and active</w:t>
            </w:r>
          </w:p>
        </w:tc>
        <w:tc>
          <w:tcPr>
            <w:tcW w:w="510" w:type="dxa"/>
            <w:textDirection w:val="btLr"/>
          </w:tcPr>
          <w:p w14:paraId="2BC39A22" w14:textId="77777777" w:rsidR="00A00A89" w:rsidRPr="00123E91" w:rsidRDefault="00123E91" w:rsidP="008E28A6">
            <w:pPr>
              <w:pStyle w:val="NoSpacing"/>
              <w:ind w:right="-592"/>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09FCD655"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43B73566"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10" w:type="dxa"/>
            <w:textDirection w:val="btLr"/>
          </w:tcPr>
          <w:p w14:paraId="66885E92"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18A1030C" w14:textId="77777777" w:rsidR="00A00A89" w:rsidRPr="00123E91" w:rsidRDefault="00123E91" w:rsidP="00123E91">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496037" w14:paraId="440EA0A5" w14:textId="77777777" w:rsidTr="0049603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66" w:type="dxa"/>
          </w:tcPr>
          <w:p w14:paraId="0C76D8AE" w14:textId="77777777" w:rsidR="00496037" w:rsidRPr="00002F94" w:rsidRDefault="00496037" w:rsidP="00496037">
            <w:pPr>
              <w:pStyle w:val="TableText"/>
              <w:rPr>
                <w:rFonts w:ascii="Gill Sans MT" w:hAnsi="Gill Sans MT"/>
                <w:b w:val="0"/>
                <w:sz w:val="20"/>
                <w:szCs w:val="20"/>
                <w:lang w:eastAsia="en-US"/>
              </w:rPr>
            </w:pPr>
            <w:r w:rsidRPr="00002F94">
              <w:rPr>
                <w:rFonts w:ascii="Gill Sans MT" w:hAnsi="Gill Sans MT"/>
                <w:b w:val="0"/>
                <w:sz w:val="20"/>
                <w:szCs w:val="20"/>
                <w:lang w:eastAsia="en-US"/>
              </w:rPr>
              <w:t>Evaluate factors that shape identities, and critically analyse how individuals impact the identities of others (ACPPS089)</w:t>
            </w:r>
          </w:p>
        </w:tc>
        <w:tc>
          <w:tcPr>
            <w:tcW w:w="510" w:type="dxa"/>
          </w:tcPr>
          <w:p w14:paraId="46634488"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c>
          <w:tcPr>
            <w:tcW w:w="510" w:type="dxa"/>
          </w:tcPr>
          <w:p w14:paraId="6948ED85"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c>
          <w:tcPr>
            <w:tcW w:w="510" w:type="dxa"/>
          </w:tcPr>
          <w:p w14:paraId="2DCCF889"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No</w:t>
            </w:r>
          </w:p>
        </w:tc>
        <w:tc>
          <w:tcPr>
            <w:tcW w:w="510" w:type="dxa"/>
          </w:tcPr>
          <w:p w14:paraId="2B6764DB"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No</w:t>
            </w:r>
          </w:p>
        </w:tc>
        <w:tc>
          <w:tcPr>
            <w:tcW w:w="510" w:type="dxa"/>
          </w:tcPr>
          <w:p w14:paraId="3894EB2B"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No</w:t>
            </w:r>
          </w:p>
        </w:tc>
      </w:tr>
      <w:tr w:rsidR="00496037" w14:paraId="26F53D3E" w14:textId="77777777" w:rsidTr="00496037">
        <w:tc>
          <w:tcPr>
            <w:cnfStyle w:val="001000000000" w:firstRow="0" w:lastRow="0" w:firstColumn="1" w:lastColumn="0" w:oddVBand="0" w:evenVBand="0" w:oddHBand="0" w:evenHBand="0" w:firstRowFirstColumn="0" w:firstRowLastColumn="0" w:lastRowFirstColumn="0" w:lastRowLastColumn="0"/>
            <w:tcW w:w="6466" w:type="dxa"/>
          </w:tcPr>
          <w:p w14:paraId="0035B37C" w14:textId="77777777" w:rsidR="00496037" w:rsidRPr="00002F94" w:rsidRDefault="00496037" w:rsidP="00496037">
            <w:pPr>
              <w:pStyle w:val="TableText"/>
              <w:rPr>
                <w:rFonts w:ascii="Gill Sans MT" w:hAnsi="Gill Sans MT"/>
                <w:b w:val="0"/>
                <w:sz w:val="20"/>
                <w:szCs w:val="20"/>
                <w:lang w:eastAsia="en-US"/>
              </w:rPr>
            </w:pPr>
            <w:r w:rsidRPr="00002F94">
              <w:rPr>
                <w:rFonts w:ascii="Gill Sans MT" w:hAnsi="Gill Sans MT"/>
                <w:b w:val="0"/>
                <w:sz w:val="20"/>
                <w:szCs w:val="20"/>
                <w:lang w:eastAsia="en-US"/>
              </w:rPr>
              <w:t>Examine the impact of changes and transitions on relationships (ACPPS090)</w:t>
            </w:r>
          </w:p>
        </w:tc>
        <w:tc>
          <w:tcPr>
            <w:tcW w:w="510" w:type="dxa"/>
          </w:tcPr>
          <w:p w14:paraId="273351D9"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No</w:t>
            </w:r>
          </w:p>
        </w:tc>
        <w:tc>
          <w:tcPr>
            <w:tcW w:w="510" w:type="dxa"/>
          </w:tcPr>
          <w:p w14:paraId="76D7B557"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No</w:t>
            </w:r>
          </w:p>
        </w:tc>
        <w:tc>
          <w:tcPr>
            <w:tcW w:w="510" w:type="dxa"/>
          </w:tcPr>
          <w:p w14:paraId="4C54CC15"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c>
          <w:tcPr>
            <w:tcW w:w="510" w:type="dxa"/>
          </w:tcPr>
          <w:p w14:paraId="6C2616AC"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No</w:t>
            </w:r>
          </w:p>
        </w:tc>
        <w:tc>
          <w:tcPr>
            <w:tcW w:w="510" w:type="dxa"/>
          </w:tcPr>
          <w:p w14:paraId="0C40A48C"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No</w:t>
            </w:r>
          </w:p>
        </w:tc>
      </w:tr>
      <w:tr w:rsidR="00496037" w14:paraId="3C5D39B1" w14:textId="77777777" w:rsidTr="004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6" w:type="dxa"/>
          </w:tcPr>
          <w:p w14:paraId="293B37B6" w14:textId="77777777" w:rsidR="00496037" w:rsidRPr="00002F94" w:rsidRDefault="00496037" w:rsidP="00496037">
            <w:pPr>
              <w:pStyle w:val="TableText"/>
              <w:rPr>
                <w:rFonts w:ascii="Gill Sans MT" w:hAnsi="Gill Sans MT"/>
                <w:b w:val="0"/>
                <w:sz w:val="20"/>
                <w:szCs w:val="20"/>
                <w:lang w:eastAsia="en-US"/>
              </w:rPr>
            </w:pPr>
            <w:r w:rsidRPr="00002F94">
              <w:rPr>
                <w:rFonts w:ascii="Gill Sans MT" w:hAnsi="Gill Sans MT"/>
                <w:b w:val="0"/>
                <w:sz w:val="20"/>
                <w:szCs w:val="20"/>
                <w:lang w:eastAsia="en-US"/>
              </w:rPr>
              <w:t>Plan, rehearse and evaluate options (including CPR and first aid) for managing situations where their own or others’ health, safety and wellbeing may be at short- or long-term risk (ACPPS091)</w:t>
            </w:r>
          </w:p>
        </w:tc>
        <w:tc>
          <w:tcPr>
            <w:tcW w:w="510" w:type="dxa"/>
          </w:tcPr>
          <w:p w14:paraId="5FD4FFD5"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No</w:t>
            </w:r>
          </w:p>
        </w:tc>
        <w:tc>
          <w:tcPr>
            <w:tcW w:w="510" w:type="dxa"/>
          </w:tcPr>
          <w:p w14:paraId="0967697F"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c>
          <w:tcPr>
            <w:tcW w:w="510" w:type="dxa"/>
          </w:tcPr>
          <w:p w14:paraId="5F46DBD1"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c>
          <w:tcPr>
            <w:tcW w:w="510" w:type="dxa"/>
          </w:tcPr>
          <w:p w14:paraId="3C6BC0FC"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c>
          <w:tcPr>
            <w:tcW w:w="510" w:type="dxa"/>
          </w:tcPr>
          <w:p w14:paraId="0CD75825"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Yes</w:t>
            </w:r>
          </w:p>
        </w:tc>
      </w:tr>
      <w:tr w:rsidR="00496037" w14:paraId="034C31D8" w14:textId="77777777" w:rsidTr="00496037">
        <w:tc>
          <w:tcPr>
            <w:cnfStyle w:val="001000000000" w:firstRow="0" w:lastRow="0" w:firstColumn="1" w:lastColumn="0" w:oddVBand="0" w:evenVBand="0" w:oddHBand="0" w:evenHBand="0" w:firstRowFirstColumn="0" w:firstRowLastColumn="0" w:lastRowFirstColumn="0" w:lastRowLastColumn="0"/>
            <w:tcW w:w="6466" w:type="dxa"/>
          </w:tcPr>
          <w:p w14:paraId="5F7B0242" w14:textId="77777777" w:rsidR="00496037" w:rsidRPr="00002F94" w:rsidRDefault="00496037" w:rsidP="00496037">
            <w:pPr>
              <w:pStyle w:val="TableText"/>
              <w:rPr>
                <w:rFonts w:ascii="Gill Sans MT" w:hAnsi="Gill Sans MT"/>
                <w:b w:val="0"/>
                <w:sz w:val="20"/>
                <w:szCs w:val="20"/>
                <w:lang w:eastAsia="en-US"/>
              </w:rPr>
            </w:pPr>
            <w:r w:rsidRPr="00002F94">
              <w:rPr>
                <w:rFonts w:ascii="Gill Sans MT" w:hAnsi="Gill Sans MT"/>
                <w:b w:val="0"/>
                <w:sz w:val="20"/>
                <w:szCs w:val="20"/>
                <w:lang w:eastAsia="en-US"/>
              </w:rPr>
              <w:t>Propose, practise and evaluate responses in situations where external influences may impact on their ability to make healthy and safe choices (ACPPS092)</w:t>
            </w:r>
          </w:p>
        </w:tc>
        <w:tc>
          <w:tcPr>
            <w:tcW w:w="510" w:type="dxa"/>
          </w:tcPr>
          <w:p w14:paraId="0D127858"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c>
          <w:tcPr>
            <w:tcW w:w="510" w:type="dxa"/>
          </w:tcPr>
          <w:p w14:paraId="189F7DB2"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c>
          <w:tcPr>
            <w:tcW w:w="510" w:type="dxa"/>
          </w:tcPr>
          <w:p w14:paraId="39A5D235"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c>
          <w:tcPr>
            <w:tcW w:w="510" w:type="dxa"/>
          </w:tcPr>
          <w:p w14:paraId="297E0C1A"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c>
          <w:tcPr>
            <w:tcW w:w="510" w:type="dxa"/>
          </w:tcPr>
          <w:p w14:paraId="63A31AE8"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rPr>
            </w:pPr>
            <w:r w:rsidRPr="00496037">
              <w:rPr>
                <w:rFonts w:eastAsia="SimSun"/>
                <w:sz w:val="20"/>
              </w:rPr>
              <w:t>Yes</w:t>
            </w:r>
          </w:p>
        </w:tc>
      </w:tr>
    </w:tbl>
    <w:p w14:paraId="1D20CCBD" w14:textId="77777777" w:rsidR="009D62B4" w:rsidRDefault="009D62B4"/>
    <w:tbl>
      <w:tblPr>
        <w:tblStyle w:val="PlainTable1"/>
        <w:tblW w:w="0" w:type="auto"/>
        <w:tblLook w:val="04A0" w:firstRow="1" w:lastRow="0" w:firstColumn="1" w:lastColumn="0" w:noHBand="0" w:noVBand="1"/>
      </w:tblPr>
      <w:tblGrid>
        <w:gridCol w:w="6466"/>
        <w:gridCol w:w="510"/>
        <w:gridCol w:w="510"/>
        <w:gridCol w:w="510"/>
        <w:gridCol w:w="510"/>
        <w:gridCol w:w="510"/>
      </w:tblGrid>
      <w:tr w:rsidR="00C82399" w14:paraId="30303D39" w14:textId="77777777" w:rsidTr="00496037">
        <w:trPr>
          <w:cnfStyle w:val="100000000000" w:firstRow="1" w:lastRow="0" w:firstColumn="0" w:lastColumn="0" w:oddVBand="0" w:evenVBand="0" w:oddHBand="0" w:evenHBand="0" w:firstRowFirstColumn="0" w:firstRowLastColumn="0" w:lastRowFirstColumn="0" w:lastRowLastColumn="0"/>
          <w:cantSplit/>
          <w:trHeight w:val="2765"/>
        </w:trPr>
        <w:tc>
          <w:tcPr>
            <w:cnfStyle w:val="001000000000" w:firstRow="0" w:lastRow="0" w:firstColumn="1" w:lastColumn="0" w:oddVBand="0" w:evenVBand="0" w:oddHBand="0" w:evenHBand="0" w:firstRowFirstColumn="0" w:firstRowLastColumn="0" w:lastRowFirstColumn="0" w:lastRowLastColumn="0"/>
            <w:tcW w:w="6466" w:type="dxa"/>
            <w:vAlign w:val="bottom"/>
          </w:tcPr>
          <w:p w14:paraId="0E5B3B05" w14:textId="77777777" w:rsidR="00C82399" w:rsidRDefault="00C82399" w:rsidP="00C82399">
            <w:pPr>
              <w:spacing w:before="240" w:after="60"/>
              <w:ind w:right="1394"/>
              <w:outlineLvl w:val="0"/>
              <w:rPr>
                <w:rFonts w:cs="Arial"/>
                <w:sz w:val="40"/>
                <w:lang w:val="en"/>
              </w:rPr>
            </w:pPr>
            <w:r>
              <w:rPr>
                <w:bCs w:val="0"/>
                <w:color w:val="365F91"/>
                <w:sz w:val="32"/>
                <w:szCs w:val="26"/>
              </w:rPr>
              <w:t>Communicating and interacting for health and wellbeing</w:t>
            </w:r>
          </w:p>
        </w:tc>
        <w:tc>
          <w:tcPr>
            <w:tcW w:w="510" w:type="dxa"/>
            <w:textDirection w:val="btLr"/>
          </w:tcPr>
          <w:p w14:paraId="5CF3D674" w14:textId="77777777" w:rsidR="00C82399" w:rsidRPr="00123E91" w:rsidRDefault="00C82399" w:rsidP="00C82399">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1176FD5B" w14:textId="77777777" w:rsidR="00C82399" w:rsidRPr="00123E91" w:rsidRDefault="00C82399" w:rsidP="00C82399">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1CE23E0A" w14:textId="77777777" w:rsidR="00C82399" w:rsidRPr="00123E91" w:rsidRDefault="00C82399" w:rsidP="00C82399">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10" w:type="dxa"/>
            <w:textDirection w:val="btLr"/>
          </w:tcPr>
          <w:p w14:paraId="2E72BF07" w14:textId="77777777" w:rsidR="00C82399" w:rsidRPr="00123E91" w:rsidRDefault="00C82399" w:rsidP="00C82399">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03174EA2" w14:textId="77777777" w:rsidR="00C82399" w:rsidRPr="00123E91" w:rsidRDefault="00C82399" w:rsidP="00C82399">
            <w:pPr>
              <w:pStyle w:val="NoSpacing"/>
              <w:cnfStyle w:val="100000000000" w:firstRow="1"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496037" w14:paraId="62B5AD2E" w14:textId="77777777" w:rsidTr="0049603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66" w:type="dxa"/>
          </w:tcPr>
          <w:p w14:paraId="45A9792B" w14:textId="77777777" w:rsidR="00496037" w:rsidRPr="00CA3D07" w:rsidRDefault="00496037" w:rsidP="00496037">
            <w:pPr>
              <w:pStyle w:val="TableText"/>
              <w:rPr>
                <w:rFonts w:ascii="Gill Sans MT" w:hAnsi="Gill Sans MT"/>
                <w:b w:val="0"/>
                <w:sz w:val="20"/>
                <w:szCs w:val="20"/>
              </w:rPr>
            </w:pPr>
            <w:r w:rsidRPr="00CA3D07">
              <w:rPr>
                <w:rFonts w:ascii="Gill Sans MT" w:hAnsi="Gill Sans MT"/>
                <w:b w:val="0"/>
                <w:sz w:val="20"/>
                <w:szCs w:val="20"/>
              </w:rPr>
              <w:t>Investigate how empathy and ethical decision making contribute to respectful relationships (ACPPS093)</w:t>
            </w:r>
          </w:p>
        </w:tc>
        <w:tc>
          <w:tcPr>
            <w:tcW w:w="510" w:type="dxa"/>
          </w:tcPr>
          <w:p w14:paraId="119A3FB7"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658B01D5"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20D2249E"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38D38BE1"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26A9FF58"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rPr>
              <w:t>No</w:t>
            </w:r>
          </w:p>
        </w:tc>
      </w:tr>
      <w:tr w:rsidR="00496037" w14:paraId="163B4ABE" w14:textId="77777777" w:rsidTr="00496037">
        <w:tc>
          <w:tcPr>
            <w:cnfStyle w:val="001000000000" w:firstRow="0" w:lastRow="0" w:firstColumn="1" w:lastColumn="0" w:oddVBand="0" w:evenVBand="0" w:oddHBand="0" w:evenHBand="0" w:firstRowFirstColumn="0" w:firstRowLastColumn="0" w:lastRowFirstColumn="0" w:lastRowLastColumn="0"/>
            <w:tcW w:w="6466" w:type="dxa"/>
          </w:tcPr>
          <w:p w14:paraId="6EC1B239" w14:textId="77777777" w:rsidR="00496037" w:rsidRPr="00CA3D07" w:rsidRDefault="00496037" w:rsidP="00496037">
            <w:pPr>
              <w:pStyle w:val="TableText"/>
              <w:rPr>
                <w:rFonts w:ascii="Gill Sans MT" w:hAnsi="Gill Sans MT"/>
                <w:b w:val="0"/>
                <w:sz w:val="20"/>
                <w:szCs w:val="20"/>
              </w:rPr>
            </w:pPr>
            <w:r w:rsidRPr="00CA3D07">
              <w:rPr>
                <w:rFonts w:ascii="Gill Sans MT" w:hAnsi="Gill Sans MT"/>
                <w:b w:val="0"/>
                <w:sz w:val="20"/>
                <w:szCs w:val="20"/>
              </w:rPr>
              <w:t>Evaluate situations and propose appropriate emotional responses and then reflect on possible outcomes of different responses (ACPPS094)</w:t>
            </w:r>
          </w:p>
        </w:tc>
        <w:tc>
          <w:tcPr>
            <w:tcW w:w="510" w:type="dxa"/>
          </w:tcPr>
          <w:p w14:paraId="17DF1FDB"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65D5E4CE"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59B7A147"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74B316F4"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158479A4"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rPr>
              <w:t>No</w:t>
            </w:r>
          </w:p>
        </w:tc>
      </w:tr>
      <w:tr w:rsidR="00496037" w14:paraId="37F5A8DA" w14:textId="77777777" w:rsidTr="004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6" w:type="dxa"/>
          </w:tcPr>
          <w:p w14:paraId="7BAF1D68" w14:textId="77777777" w:rsidR="00496037" w:rsidRPr="00CA3D07" w:rsidRDefault="00496037" w:rsidP="00496037">
            <w:pPr>
              <w:pStyle w:val="TableText"/>
              <w:rPr>
                <w:rFonts w:ascii="Gill Sans MT" w:hAnsi="Gill Sans MT"/>
                <w:b w:val="0"/>
                <w:sz w:val="20"/>
                <w:szCs w:val="20"/>
              </w:rPr>
            </w:pPr>
            <w:r w:rsidRPr="00CA3D07">
              <w:rPr>
                <w:rFonts w:ascii="Gill Sans MT" w:hAnsi="Gill Sans MT"/>
                <w:b w:val="0"/>
                <w:sz w:val="20"/>
                <w:szCs w:val="20"/>
              </w:rPr>
              <w:t>Critically analyse and apply health information from a range of sources to health decisions and situations (ACPPS095)</w:t>
            </w:r>
          </w:p>
        </w:tc>
        <w:tc>
          <w:tcPr>
            <w:tcW w:w="510" w:type="dxa"/>
          </w:tcPr>
          <w:p w14:paraId="08081C71"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3A37BFB1"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07C1BC53"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2E627985"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12DCB418"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r>
      <w:tr w:rsidR="00C82399" w14:paraId="2176DD0C" w14:textId="77777777" w:rsidTr="00496037">
        <w:trPr>
          <w:trHeight w:val="2765"/>
        </w:trPr>
        <w:tc>
          <w:tcPr>
            <w:cnfStyle w:val="001000000000" w:firstRow="0" w:lastRow="0" w:firstColumn="1" w:lastColumn="0" w:oddVBand="0" w:evenVBand="0" w:oddHBand="0" w:evenHBand="0" w:firstRowFirstColumn="0" w:firstRowLastColumn="0" w:lastRowFirstColumn="0" w:lastRowLastColumn="0"/>
            <w:tcW w:w="6466" w:type="dxa"/>
            <w:vAlign w:val="bottom"/>
          </w:tcPr>
          <w:p w14:paraId="665B8C82" w14:textId="77777777" w:rsidR="00C82399" w:rsidRDefault="00C82399" w:rsidP="00C82399">
            <w:pPr>
              <w:spacing w:before="240" w:after="60"/>
              <w:ind w:right="1394"/>
              <w:outlineLvl w:val="0"/>
              <w:rPr>
                <w:rFonts w:cs="Arial"/>
                <w:sz w:val="40"/>
                <w:lang w:val="en"/>
              </w:rPr>
            </w:pPr>
            <w:r w:rsidRPr="00123E91">
              <w:rPr>
                <w:bCs w:val="0"/>
                <w:color w:val="365F91"/>
                <w:sz w:val="32"/>
                <w:szCs w:val="26"/>
              </w:rPr>
              <w:lastRenderedPageBreak/>
              <w:t>Being healthy, safe and active</w:t>
            </w:r>
          </w:p>
        </w:tc>
        <w:tc>
          <w:tcPr>
            <w:tcW w:w="510" w:type="dxa"/>
            <w:textDirection w:val="btLr"/>
          </w:tcPr>
          <w:p w14:paraId="612A44D8" w14:textId="77777777" w:rsidR="00C82399" w:rsidRPr="00123E91" w:rsidRDefault="00C82399" w:rsidP="00C82399">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Choose your HYP Mission</w:t>
            </w:r>
          </w:p>
        </w:tc>
        <w:tc>
          <w:tcPr>
            <w:tcW w:w="510" w:type="dxa"/>
            <w:textDirection w:val="btLr"/>
          </w:tcPr>
          <w:p w14:paraId="2DA008B5" w14:textId="77777777" w:rsidR="00C82399" w:rsidRPr="00123E91" w:rsidRDefault="00C82399" w:rsidP="00C82399">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are the facts?</w:t>
            </w:r>
          </w:p>
        </w:tc>
        <w:tc>
          <w:tcPr>
            <w:tcW w:w="510" w:type="dxa"/>
            <w:textDirection w:val="btLr"/>
          </w:tcPr>
          <w:p w14:paraId="6F7AD35B" w14:textId="77777777" w:rsidR="00C82399" w:rsidRPr="00123E91" w:rsidRDefault="00C82399" w:rsidP="00C82399">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What needs to change?</w:t>
            </w:r>
          </w:p>
        </w:tc>
        <w:tc>
          <w:tcPr>
            <w:tcW w:w="510" w:type="dxa"/>
            <w:textDirection w:val="btLr"/>
          </w:tcPr>
          <w:p w14:paraId="560B2E76" w14:textId="77777777" w:rsidR="00C82399" w:rsidRPr="00123E91" w:rsidRDefault="00C82399" w:rsidP="00C82399">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Your mission action plan</w:t>
            </w:r>
          </w:p>
        </w:tc>
        <w:tc>
          <w:tcPr>
            <w:tcW w:w="510" w:type="dxa"/>
            <w:textDirection w:val="btLr"/>
          </w:tcPr>
          <w:p w14:paraId="06024DFF" w14:textId="77777777" w:rsidR="00C82399" w:rsidRPr="00123E91" w:rsidRDefault="00C82399" w:rsidP="00C82399">
            <w:pPr>
              <w:pStyle w:val="NoSpacing"/>
              <w:cnfStyle w:val="000000000000" w:firstRow="0" w:lastRow="0" w:firstColumn="0" w:lastColumn="0" w:oddVBand="0" w:evenVBand="0" w:oddHBand="0" w:evenHBand="0" w:firstRowFirstColumn="0" w:firstRowLastColumn="0" w:lastRowFirstColumn="0" w:lastRowLastColumn="0"/>
              <w:rPr>
                <w:color w:val="365F91"/>
                <w:sz w:val="20"/>
                <w:lang w:val="en"/>
              </w:rPr>
            </w:pPr>
            <w:r w:rsidRPr="00123E91">
              <w:rPr>
                <w:color w:val="365F91"/>
                <w:sz w:val="20"/>
                <w:lang w:val="en"/>
              </w:rPr>
              <w:t>Reflect and Celebrate</w:t>
            </w:r>
          </w:p>
        </w:tc>
      </w:tr>
      <w:tr w:rsidR="00496037" w14:paraId="2466545D" w14:textId="77777777" w:rsidTr="00496037">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6466" w:type="dxa"/>
          </w:tcPr>
          <w:p w14:paraId="680ACBAE" w14:textId="77777777" w:rsidR="00496037" w:rsidRPr="00C82399" w:rsidRDefault="00496037" w:rsidP="00496037">
            <w:pPr>
              <w:pStyle w:val="TableText"/>
              <w:rPr>
                <w:rFonts w:ascii="Gill Sans MT" w:hAnsi="Gill Sans MT"/>
                <w:b w:val="0"/>
                <w:sz w:val="20"/>
                <w:szCs w:val="20"/>
              </w:rPr>
            </w:pPr>
            <w:r w:rsidRPr="00C82399">
              <w:rPr>
                <w:rFonts w:ascii="Gill Sans MT" w:hAnsi="Gill Sans MT"/>
                <w:b w:val="0"/>
                <w:sz w:val="20"/>
                <w:szCs w:val="20"/>
              </w:rPr>
              <w:t>Plan, implement and critique strategies to enhance the health, safety and wellbeing of their communities (ACPPS096)</w:t>
            </w:r>
          </w:p>
        </w:tc>
        <w:tc>
          <w:tcPr>
            <w:tcW w:w="510" w:type="dxa"/>
          </w:tcPr>
          <w:p w14:paraId="0134C681"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rPr>
            </w:pPr>
            <w:r w:rsidRPr="00496037">
              <w:rPr>
                <w:rFonts w:eastAsia="SimSun"/>
                <w:sz w:val="20"/>
              </w:rPr>
              <w:t>No</w:t>
            </w:r>
          </w:p>
        </w:tc>
        <w:tc>
          <w:tcPr>
            <w:tcW w:w="510" w:type="dxa"/>
          </w:tcPr>
          <w:p w14:paraId="60AFF2BE"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59003F7C"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799062E4"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332EC5C8"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r>
      <w:tr w:rsidR="00496037" w14:paraId="4B2C156E" w14:textId="77777777" w:rsidTr="00496037">
        <w:tc>
          <w:tcPr>
            <w:cnfStyle w:val="001000000000" w:firstRow="0" w:lastRow="0" w:firstColumn="1" w:lastColumn="0" w:oddVBand="0" w:evenVBand="0" w:oddHBand="0" w:evenHBand="0" w:firstRowFirstColumn="0" w:firstRowLastColumn="0" w:lastRowFirstColumn="0" w:lastRowLastColumn="0"/>
            <w:tcW w:w="6466" w:type="dxa"/>
          </w:tcPr>
          <w:p w14:paraId="04BF2AF0" w14:textId="77777777" w:rsidR="00496037" w:rsidRPr="00C82399" w:rsidRDefault="00496037" w:rsidP="00496037">
            <w:pPr>
              <w:pStyle w:val="TableText"/>
              <w:rPr>
                <w:rFonts w:ascii="Gill Sans MT" w:hAnsi="Gill Sans MT"/>
                <w:b w:val="0"/>
                <w:sz w:val="20"/>
                <w:szCs w:val="20"/>
              </w:rPr>
            </w:pPr>
            <w:r w:rsidRPr="00C82399">
              <w:rPr>
                <w:rFonts w:ascii="Gill Sans MT" w:hAnsi="Gill Sans MT"/>
                <w:b w:val="0"/>
                <w:sz w:val="20"/>
                <w:szCs w:val="20"/>
              </w:rPr>
              <w:t>Plan and evaluate new and creative interventions that promote their own and others’ connection to community and natural and built environments (ACPPS097)</w:t>
            </w:r>
          </w:p>
        </w:tc>
        <w:tc>
          <w:tcPr>
            <w:tcW w:w="510" w:type="dxa"/>
          </w:tcPr>
          <w:p w14:paraId="34DEE0AD"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655E1C1F"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rPr>
              <w:t>No</w:t>
            </w:r>
          </w:p>
        </w:tc>
        <w:tc>
          <w:tcPr>
            <w:tcW w:w="510" w:type="dxa"/>
          </w:tcPr>
          <w:p w14:paraId="6669B1D8"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7FD88A79"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31455073" w14:textId="77777777" w:rsidR="00496037" w:rsidRPr="00496037" w:rsidRDefault="00496037" w:rsidP="00496037">
            <w:pPr>
              <w:cnfStyle w:val="000000000000" w:firstRow="0" w:lastRow="0" w:firstColumn="0" w:lastColumn="0" w:oddVBand="0" w:evenVBand="0" w:oddHBand="0" w:evenHBand="0" w:firstRowFirstColumn="0" w:firstRowLastColumn="0" w:lastRowFirstColumn="0" w:lastRowLastColumn="0"/>
              <w:rPr>
                <w:rFonts w:eastAsia="SimSun"/>
                <w:sz w:val="20"/>
                <w:szCs w:val="20"/>
              </w:rPr>
            </w:pPr>
            <w:r w:rsidRPr="00496037">
              <w:rPr>
                <w:rFonts w:eastAsia="SimSun"/>
                <w:sz w:val="20"/>
                <w:szCs w:val="20"/>
              </w:rPr>
              <w:t>Yes</w:t>
            </w:r>
          </w:p>
        </w:tc>
      </w:tr>
      <w:tr w:rsidR="00496037" w14:paraId="7294D537" w14:textId="77777777" w:rsidTr="004960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6" w:type="dxa"/>
          </w:tcPr>
          <w:p w14:paraId="753F0C00" w14:textId="77777777" w:rsidR="00496037" w:rsidRPr="00C82399" w:rsidRDefault="00496037" w:rsidP="00496037">
            <w:pPr>
              <w:pStyle w:val="TableText"/>
              <w:rPr>
                <w:rFonts w:ascii="Gill Sans MT" w:hAnsi="Gill Sans MT"/>
                <w:b w:val="0"/>
                <w:sz w:val="20"/>
                <w:szCs w:val="20"/>
              </w:rPr>
            </w:pPr>
            <w:r w:rsidRPr="00C82399">
              <w:rPr>
                <w:rFonts w:ascii="Gill Sans MT" w:hAnsi="Gill Sans MT"/>
                <w:b w:val="0"/>
                <w:sz w:val="20"/>
                <w:szCs w:val="20"/>
              </w:rPr>
              <w:t>Critique behaviours and contextual factors that influence the health and wellbeing of diverse communities (ACPPS098)</w:t>
            </w:r>
          </w:p>
        </w:tc>
        <w:tc>
          <w:tcPr>
            <w:tcW w:w="510" w:type="dxa"/>
          </w:tcPr>
          <w:p w14:paraId="0EBC638C"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6C43BBF6"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7D8EBEDB"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683CC660"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c>
          <w:tcPr>
            <w:tcW w:w="510" w:type="dxa"/>
          </w:tcPr>
          <w:p w14:paraId="7E934396" w14:textId="77777777" w:rsidR="00496037" w:rsidRPr="00496037" w:rsidRDefault="00496037" w:rsidP="00496037">
            <w:pPr>
              <w:cnfStyle w:val="000000100000" w:firstRow="0" w:lastRow="0" w:firstColumn="0" w:lastColumn="0" w:oddVBand="0" w:evenVBand="0" w:oddHBand="1" w:evenHBand="0" w:firstRowFirstColumn="0" w:firstRowLastColumn="0" w:lastRowFirstColumn="0" w:lastRowLastColumn="0"/>
              <w:rPr>
                <w:rFonts w:eastAsia="SimSun"/>
                <w:sz w:val="20"/>
                <w:szCs w:val="20"/>
              </w:rPr>
            </w:pPr>
            <w:r w:rsidRPr="00496037">
              <w:rPr>
                <w:rFonts w:eastAsia="SimSun"/>
                <w:sz w:val="20"/>
                <w:szCs w:val="20"/>
              </w:rPr>
              <w:t>Yes</w:t>
            </w:r>
          </w:p>
        </w:tc>
      </w:tr>
    </w:tbl>
    <w:p w14:paraId="52C48568" w14:textId="77777777" w:rsidR="00A00A89" w:rsidRDefault="00A00A89" w:rsidP="00AF610A">
      <w:pPr>
        <w:spacing w:before="240" w:after="60"/>
        <w:ind w:right="1394"/>
        <w:outlineLvl w:val="0"/>
        <w:rPr>
          <w:rFonts w:cs="Arial"/>
          <w:b/>
          <w:sz w:val="40"/>
          <w:lang w:val="en"/>
        </w:rPr>
      </w:pPr>
    </w:p>
    <w:p w14:paraId="583ECC4F" w14:textId="77777777" w:rsidR="00524330" w:rsidRDefault="00524330" w:rsidP="00CC040C">
      <w:pPr>
        <w:ind w:right="1394"/>
      </w:pPr>
    </w:p>
    <w:sectPr w:rsidR="00524330" w:rsidSect="005C43D6">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9A572" w14:textId="77777777" w:rsidR="004117E4" w:rsidRDefault="004117E4" w:rsidP="00524330">
      <w:pPr>
        <w:spacing w:after="0" w:line="240" w:lineRule="auto"/>
      </w:pPr>
      <w:r>
        <w:separator/>
      </w:r>
    </w:p>
  </w:endnote>
  <w:endnote w:type="continuationSeparator" w:id="0">
    <w:p w14:paraId="6AAC2312" w14:textId="77777777" w:rsidR="004117E4" w:rsidRDefault="004117E4"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66437618"/>
      <w:docPartObj>
        <w:docPartGallery w:val="Page Numbers (Bottom of Page)"/>
        <w:docPartUnique/>
      </w:docPartObj>
    </w:sdtPr>
    <w:sdtEndPr/>
    <w:sdtContent>
      <w:sdt>
        <w:sdtPr>
          <w:rPr>
            <w:sz w:val="18"/>
            <w:szCs w:val="18"/>
          </w:rPr>
          <w:id w:val="965478349"/>
          <w:docPartObj>
            <w:docPartGallery w:val="Page Numbers (Top of Page)"/>
            <w:docPartUnique/>
          </w:docPartObj>
        </w:sdtPr>
        <w:sdtEndPr/>
        <w:sdtContent>
          <w:p w14:paraId="384D48CA"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07EE341E" w14:textId="77777777" w:rsidR="001B6406" w:rsidRDefault="001B6406" w:rsidP="001B6406">
            <w:pPr>
              <w:pStyle w:val="Footer"/>
              <w:ind w:right="-217"/>
              <w:jc w:val="right"/>
              <w:rPr>
                <w:b/>
                <w:bCs/>
                <w:sz w:val="18"/>
                <w:szCs w:val="18"/>
              </w:rPr>
            </w:pPr>
          </w:p>
          <w:p w14:paraId="5852285B" w14:textId="77777777" w:rsidR="001B6406" w:rsidRPr="007D403E" w:rsidRDefault="004117E4" w:rsidP="001B6406">
            <w:pPr>
              <w:pStyle w:val="Footer"/>
              <w:ind w:right="-217"/>
              <w:jc w:val="right"/>
              <w:rPr>
                <w:sz w:val="18"/>
                <w:szCs w:val="18"/>
              </w:rPr>
            </w:pPr>
          </w:p>
        </w:sdtContent>
      </w:sdt>
    </w:sdtContent>
  </w:sdt>
  <w:p w14:paraId="62E31382" w14:textId="77777777" w:rsidR="001B6406" w:rsidRDefault="001B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95093741"/>
      <w:docPartObj>
        <w:docPartGallery w:val="Page Numbers (Bottom of Page)"/>
        <w:docPartUnique/>
      </w:docPartObj>
    </w:sdtPr>
    <w:sdtEndPr/>
    <w:sdtContent>
      <w:sdt>
        <w:sdtPr>
          <w:rPr>
            <w:sz w:val="18"/>
            <w:szCs w:val="18"/>
          </w:rPr>
          <w:id w:val="-1440833868"/>
          <w:docPartObj>
            <w:docPartGallery w:val="Page Numbers (Top of Page)"/>
            <w:docPartUnique/>
          </w:docPartObj>
        </w:sdtPr>
        <w:sdtEndPr/>
        <w:sdtContent>
          <w:p w14:paraId="39EDDC24"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75231BA1" w14:textId="77777777" w:rsidR="001B6406" w:rsidRDefault="001B6406" w:rsidP="001B6406">
            <w:pPr>
              <w:pStyle w:val="Footer"/>
              <w:ind w:right="-217"/>
              <w:jc w:val="right"/>
              <w:rPr>
                <w:b/>
                <w:bCs/>
                <w:sz w:val="18"/>
                <w:szCs w:val="18"/>
              </w:rPr>
            </w:pPr>
          </w:p>
          <w:p w14:paraId="5EE7E56D" w14:textId="77777777" w:rsidR="001B6406" w:rsidRPr="007D403E" w:rsidRDefault="004117E4" w:rsidP="001B6406">
            <w:pPr>
              <w:pStyle w:val="Footer"/>
              <w:ind w:right="-217"/>
              <w:jc w:val="right"/>
              <w:rPr>
                <w:sz w:val="18"/>
                <w:szCs w:val="18"/>
              </w:rPr>
            </w:pPr>
          </w:p>
        </w:sdtContent>
      </w:sdt>
    </w:sdtContent>
  </w:sdt>
  <w:p w14:paraId="01595CD8" w14:textId="77777777" w:rsidR="001B6406" w:rsidRDefault="001B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84A3" w14:textId="77777777" w:rsidR="001B6406" w:rsidRDefault="00875917" w:rsidP="001B6406">
    <w:pPr>
      <w:pStyle w:val="Footer"/>
      <w:ind w:left="-1418"/>
    </w:pPr>
    <w:r>
      <w:rPr>
        <w:noProof/>
      </w:rPr>
      <w:drawing>
        <wp:inline distT="0" distB="0" distL="0" distR="0" wp14:anchorId="7C5BDA0C" wp14:editId="6AC8EE13">
          <wp:extent cx="10654527" cy="1445172"/>
          <wp:effectExtent l="0" t="0" r="0" b="3175"/>
          <wp:docPr id="9" name="Picture 9"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for Footer DoH.png"/>
                  <pic:cNvPicPr/>
                </pic:nvPicPr>
                <pic:blipFill rotWithShape="1">
                  <a:blip r:embed="rId1">
                    <a:extLst>
                      <a:ext uri="{28A0092B-C50C-407E-A947-70E740481C1C}">
                        <a14:useLocalDpi xmlns:a14="http://schemas.microsoft.com/office/drawing/2010/main" val="0"/>
                      </a:ext>
                    </a:extLst>
                  </a:blip>
                  <a:srcRect t="17541"/>
                  <a:stretch/>
                </pic:blipFill>
                <pic:spPr bwMode="auto">
                  <a:xfrm>
                    <a:off x="0" y="0"/>
                    <a:ext cx="10739351" cy="14566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53EA2" w14:textId="77777777" w:rsidR="004117E4" w:rsidRDefault="004117E4" w:rsidP="00524330">
      <w:pPr>
        <w:spacing w:after="0" w:line="240" w:lineRule="auto"/>
      </w:pPr>
      <w:r>
        <w:separator/>
      </w:r>
    </w:p>
  </w:footnote>
  <w:footnote w:type="continuationSeparator" w:id="0">
    <w:p w14:paraId="42EA4FEE" w14:textId="77777777" w:rsidR="004117E4" w:rsidRDefault="004117E4"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B14D" w14:textId="77777777" w:rsidR="001B6406" w:rsidRDefault="0007498F" w:rsidP="001B6406">
    <w:pPr>
      <w:pStyle w:val="Header"/>
      <w:ind w:left="-1474"/>
    </w:pPr>
    <w:r>
      <w:rPr>
        <w:noProof/>
      </w:rPr>
      <w:drawing>
        <wp:inline distT="0" distB="0" distL="0" distR="0" wp14:anchorId="1637F1BE" wp14:editId="7B41D140">
          <wp:extent cx="1078994" cy="1078994"/>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D476A" w14:textId="77777777" w:rsidR="00490AC5" w:rsidRDefault="0007498F" w:rsidP="001B6406">
    <w:pPr>
      <w:pStyle w:val="Header"/>
      <w:ind w:right="-1474"/>
      <w:jc w:val="right"/>
    </w:pPr>
    <w:r>
      <w:rPr>
        <w:noProof/>
      </w:rPr>
      <w:drawing>
        <wp:inline distT="0" distB="0" distL="0" distR="0" wp14:anchorId="27056C2D" wp14:editId="1613D1CB">
          <wp:extent cx="1078994" cy="1078994"/>
          <wp:effectExtent l="0" t="0" r="698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1A0F" w14:textId="77777777" w:rsidR="00490AC5" w:rsidRDefault="001B6406" w:rsidP="00524330">
    <w:pPr>
      <w:pStyle w:val="Header"/>
      <w:ind w:left="-1474"/>
    </w:pPr>
    <w:r>
      <w:rPr>
        <w:noProof/>
      </w:rPr>
      <w:drawing>
        <wp:inline distT="0" distB="0" distL="0" distR="0" wp14:anchorId="11640B40" wp14:editId="46105A0F">
          <wp:extent cx="10753587" cy="1708427"/>
          <wp:effectExtent l="0" t="0" r="0" b="0"/>
          <wp:docPr id="8" name="Picture 8" descr="Healthy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3587" cy="1708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A4506"/>
    <w:multiLevelType w:val="hybridMultilevel"/>
    <w:tmpl w:val="91F04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0"/>
    <w:rsid w:val="00002F94"/>
    <w:rsid w:val="000354C9"/>
    <w:rsid w:val="0007498F"/>
    <w:rsid w:val="000D41D1"/>
    <w:rsid w:val="00123E91"/>
    <w:rsid w:val="001B6406"/>
    <w:rsid w:val="00392870"/>
    <w:rsid w:val="004117E4"/>
    <w:rsid w:val="0048585E"/>
    <w:rsid w:val="00490AC5"/>
    <w:rsid w:val="00493282"/>
    <w:rsid w:val="00496037"/>
    <w:rsid w:val="00524330"/>
    <w:rsid w:val="005C43D6"/>
    <w:rsid w:val="005E11EB"/>
    <w:rsid w:val="006370EC"/>
    <w:rsid w:val="00664D12"/>
    <w:rsid w:val="007D403E"/>
    <w:rsid w:val="00825BAD"/>
    <w:rsid w:val="00875917"/>
    <w:rsid w:val="008E28A6"/>
    <w:rsid w:val="009D62B4"/>
    <w:rsid w:val="00A00A89"/>
    <w:rsid w:val="00A2514D"/>
    <w:rsid w:val="00A2736C"/>
    <w:rsid w:val="00A7639F"/>
    <w:rsid w:val="00A869CD"/>
    <w:rsid w:val="00A901C9"/>
    <w:rsid w:val="00AE17F6"/>
    <w:rsid w:val="00AF610A"/>
    <w:rsid w:val="00B579CB"/>
    <w:rsid w:val="00BB527D"/>
    <w:rsid w:val="00C7207C"/>
    <w:rsid w:val="00C82399"/>
    <w:rsid w:val="00C908E5"/>
    <w:rsid w:val="00CA3D07"/>
    <w:rsid w:val="00CC040C"/>
    <w:rsid w:val="00CF5C2D"/>
    <w:rsid w:val="00D255E5"/>
    <w:rsid w:val="00D34A39"/>
    <w:rsid w:val="00D42550"/>
    <w:rsid w:val="00D95FFC"/>
    <w:rsid w:val="00EA2265"/>
    <w:rsid w:val="00EB3164"/>
    <w:rsid w:val="00EC6281"/>
    <w:rsid w:val="00FC2AFE"/>
    <w:rsid w:val="00FD316D"/>
    <w:rsid w:val="00FE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49BF1"/>
  <w15:chartTrackingRefBased/>
  <w15:docId w15:val="{70C20B61-5A40-4890-AC5E-1A1A36D9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table" w:styleId="TableGrid">
    <w:name w:val="Table Grid"/>
    <w:basedOn w:val="TableNormal"/>
    <w:uiPriority w:val="59"/>
    <w:rsid w:val="00EC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C6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23E91"/>
    <w:pPr>
      <w:ind w:right="-1055"/>
    </w:pPr>
    <w:rPr>
      <w:rFonts w:ascii="Gill Sans MT" w:eastAsia="Times New Roman" w:hAnsi="Gill Sans MT"/>
      <w:sz w:val="22"/>
      <w:szCs w:val="24"/>
    </w:rPr>
  </w:style>
  <w:style w:type="paragraph" w:customStyle="1" w:styleId="TableText">
    <w:name w:val="Table Text"/>
    <w:basedOn w:val="Normal"/>
    <w:link w:val="TableTextChar"/>
    <w:uiPriority w:val="3"/>
    <w:qFormat/>
    <w:rsid w:val="00123E91"/>
    <w:pPr>
      <w:spacing w:before="40" w:after="40" w:line="264" w:lineRule="auto"/>
      <w:ind w:right="0"/>
    </w:pPr>
    <w:rPr>
      <w:rFonts w:ascii="Arial" w:hAnsi="Arial"/>
      <w:sz w:val="19"/>
      <w:szCs w:val="21"/>
    </w:rPr>
  </w:style>
  <w:style w:type="character" w:customStyle="1" w:styleId="TableTextChar">
    <w:name w:val="Table Text Char"/>
    <w:link w:val="TableText"/>
    <w:uiPriority w:val="3"/>
    <w:rsid w:val="00123E91"/>
    <w:rPr>
      <w:rFonts w:ascii="Arial" w:eastAsia="Times New Roman" w:hAnsi="Arial"/>
      <w:sz w:val="19"/>
      <w:szCs w:val="21"/>
    </w:rPr>
  </w:style>
  <w:style w:type="paragraph" w:styleId="ListParagraph">
    <w:name w:val="List Paragraph"/>
    <w:basedOn w:val="Normal"/>
    <w:uiPriority w:val="34"/>
    <w:qFormat/>
    <w:rsid w:val="0048585E"/>
    <w:pPr>
      <w:spacing w:after="160" w:line="259" w:lineRule="auto"/>
      <w:ind w:left="720" w:right="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58C3-FD26-4831-A17A-0E978164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1006</Words>
  <Characters>5735</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Healthy Young People HPE Curriculum 9/10</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HPE Curriculum 9/10</dc:title>
  <dc:subject>HYP</dc:subject>
  <dc:creator>Measham, Christy R</dc:creator>
  <cp:keywords/>
  <dc:description/>
  <cp:lastModifiedBy>Radivojevic, Tracey L</cp:lastModifiedBy>
  <cp:revision>5</cp:revision>
  <cp:lastPrinted>2019-09-06T06:02:00Z</cp:lastPrinted>
  <dcterms:created xsi:type="dcterms:W3CDTF">2019-08-30T01:51:00Z</dcterms:created>
  <dcterms:modified xsi:type="dcterms:W3CDTF">2019-09-06T06:02:00Z</dcterms:modified>
</cp:coreProperties>
</file>