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40" w:rsidRDefault="00566740" w:rsidP="004938DA">
      <w:pPr>
        <w:pStyle w:val="Heading1"/>
        <w:rPr>
          <w:lang w:val="en-AU"/>
        </w:rPr>
      </w:pPr>
      <w:r>
        <w:rPr>
          <w:lang w:val="en-AU"/>
        </w:rPr>
        <w:t xml:space="preserve">Amendment to the 2016-17 Service Agreement between the Minister for Health and the Tasmanian Health Service </w:t>
      </w:r>
    </w:p>
    <w:p w:rsidR="00566740" w:rsidRDefault="00566740" w:rsidP="00566740">
      <w:pPr>
        <w:rPr>
          <w:b/>
        </w:rPr>
      </w:pPr>
      <w:r>
        <w:rPr>
          <w:b/>
        </w:rPr>
        <w:t xml:space="preserve">Recitals </w:t>
      </w:r>
    </w:p>
    <w:p w:rsidR="00566740" w:rsidRDefault="00566740" w:rsidP="00566740">
      <w:pPr>
        <w:numPr>
          <w:ilvl w:val="0"/>
          <w:numId w:val="1"/>
        </w:numPr>
        <w:ind w:left="567" w:hanging="567"/>
      </w:pPr>
      <w:r>
        <w:t xml:space="preserve">Pursuant to section 44(3) of the </w:t>
      </w:r>
      <w:r>
        <w:rPr>
          <w:i/>
        </w:rPr>
        <w:t xml:space="preserve">Tasmanian Health Organisation Act </w:t>
      </w:r>
      <w:r w:rsidRPr="00C927E6">
        <w:rPr>
          <w:i/>
        </w:rPr>
        <w:t>2011</w:t>
      </w:r>
      <w:r>
        <w:t>, on 29 June 2016 t</w:t>
      </w:r>
      <w:r w:rsidRPr="00C927E6">
        <w:t>he</w:t>
      </w:r>
      <w:r>
        <w:t xml:space="preserve"> Minister for Health determined the terms and conditions of the 2016-17 Service Agreement between the Minister for Health and the Tasmanian Health Service (the Service Agreement).  </w:t>
      </w:r>
    </w:p>
    <w:p w:rsidR="00566740" w:rsidRPr="00AF63D0" w:rsidRDefault="00566740" w:rsidP="00566740">
      <w:pPr>
        <w:numPr>
          <w:ilvl w:val="0"/>
          <w:numId w:val="1"/>
        </w:numPr>
        <w:ind w:left="567" w:hanging="567"/>
      </w:pPr>
      <w:r>
        <w:t xml:space="preserve">Pursuant to section 44(4), </w:t>
      </w:r>
      <w:r w:rsidR="00581C95">
        <w:t xml:space="preserve">of the </w:t>
      </w:r>
      <w:r w:rsidR="00581C95" w:rsidRPr="00581C95">
        <w:rPr>
          <w:i/>
        </w:rPr>
        <w:t>Tasmanian Health Organisation Act 2011</w:t>
      </w:r>
      <w:r w:rsidR="00581C95">
        <w:t>, the Minister for Health and the Tasmanian Health Service (the parties)</w:t>
      </w:r>
      <w:r>
        <w:t xml:space="preserve"> agree to amend the Service Agreement on the terms set out in this instrument. </w:t>
      </w:r>
    </w:p>
    <w:p w:rsidR="00566740" w:rsidRDefault="00566740" w:rsidP="00566740">
      <w:pPr>
        <w:numPr>
          <w:ilvl w:val="0"/>
          <w:numId w:val="2"/>
        </w:numPr>
        <w:rPr>
          <w:b/>
        </w:rPr>
      </w:pPr>
      <w:r>
        <w:rPr>
          <w:b/>
        </w:rPr>
        <w:t>Force and effect</w:t>
      </w:r>
    </w:p>
    <w:p w:rsidR="00566740" w:rsidRDefault="00566740" w:rsidP="00EE2984">
      <w:pPr>
        <w:tabs>
          <w:tab w:val="left" w:pos="0"/>
        </w:tabs>
      </w:pPr>
      <w:r w:rsidRPr="00A25399">
        <w:t>Exce</w:t>
      </w:r>
      <w:r w:rsidRPr="001525FC">
        <w:t>p</w:t>
      </w:r>
      <w:r>
        <w:t>t</w:t>
      </w:r>
      <w:r w:rsidRPr="001525FC">
        <w:t xml:space="preserve"> as otherwise agreed in this </w:t>
      </w:r>
      <w:r>
        <w:t xml:space="preserve">instrument: </w:t>
      </w:r>
    </w:p>
    <w:p w:rsidR="00566740" w:rsidRDefault="00566740" w:rsidP="00EE2984">
      <w:pPr>
        <w:numPr>
          <w:ilvl w:val="0"/>
          <w:numId w:val="3"/>
        </w:numPr>
        <w:tabs>
          <w:tab w:val="left" w:pos="0"/>
        </w:tabs>
        <w:ind w:left="0" w:firstLine="0"/>
      </w:pPr>
      <w:r>
        <w:t xml:space="preserve">Nothing in this instrument is deemed to vary the Service Agreement, and </w:t>
      </w:r>
    </w:p>
    <w:p w:rsidR="00566740" w:rsidRDefault="00566740" w:rsidP="00EE2984">
      <w:pPr>
        <w:numPr>
          <w:ilvl w:val="0"/>
          <w:numId w:val="3"/>
        </w:numPr>
        <w:tabs>
          <w:tab w:val="left" w:pos="0"/>
        </w:tabs>
        <w:ind w:left="0" w:firstLine="0"/>
      </w:pPr>
      <w:r>
        <w:t xml:space="preserve">The Service Agreement remains in full force and effect. </w:t>
      </w:r>
    </w:p>
    <w:p w:rsidR="00566740" w:rsidRDefault="00566740" w:rsidP="003968A4">
      <w:pPr>
        <w:tabs>
          <w:tab w:val="clear" w:pos="567"/>
          <w:tab w:val="left" w:pos="426"/>
        </w:tabs>
        <w:rPr>
          <w:b/>
        </w:rPr>
      </w:pPr>
      <w:r w:rsidRPr="001525FC">
        <w:rPr>
          <w:b/>
        </w:rPr>
        <w:t>2.</w:t>
      </w:r>
      <w:r>
        <w:rPr>
          <w:b/>
        </w:rPr>
        <w:tab/>
        <w:t>Amendment date</w:t>
      </w:r>
    </w:p>
    <w:p w:rsidR="00566740" w:rsidRPr="00A25399" w:rsidRDefault="00566740" w:rsidP="00EE2984">
      <w:pPr>
        <w:tabs>
          <w:tab w:val="clear" w:pos="567"/>
          <w:tab w:val="left" w:pos="0"/>
        </w:tabs>
        <w:rPr>
          <w:b/>
        </w:rPr>
      </w:pPr>
      <w:r>
        <w:t xml:space="preserve">All amendments to the Service Agreement set out in Clause 3 below will be effective from </w:t>
      </w:r>
      <w:r w:rsidR="00C9454D">
        <w:t>the date of signature of this agreement.</w:t>
      </w:r>
    </w:p>
    <w:p w:rsidR="00566740" w:rsidRPr="001525FC" w:rsidRDefault="00566740" w:rsidP="003968A4">
      <w:pPr>
        <w:tabs>
          <w:tab w:val="clear" w:pos="567"/>
          <w:tab w:val="left" w:pos="426"/>
        </w:tabs>
        <w:rPr>
          <w:b/>
        </w:rPr>
      </w:pPr>
      <w:r w:rsidRPr="001525FC">
        <w:rPr>
          <w:b/>
        </w:rPr>
        <w:t xml:space="preserve">3. </w:t>
      </w:r>
      <w:r w:rsidRPr="001525FC">
        <w:rPr>
          <w:b/>
        </w:rPr>
        <w:tab/>
      </w:r>
      <w:r>
        <w:rPr>
          <w:b/>
        </w:rPr>
        <w:t>Amendments</w:t>
      </w:r>
    </w:p>
    <w:p w:rsidR="00566740" w:rsidRPr="001525FC" w:rsidRDefault="00566740" w:rsidP="00EE2984">
      <w:pPr>
        <w:tabs>
          <w:tab w:val="clear" w:pos="567"/>
          <w:tab w:val="left" w:pos="0"/>
        </w:tabs>
      </w:pPr>
      <w:r w:rsidRPr="001525FC">
        <w:t>The parties agree to</w:t>
      </w:r>
      <w:r>
        <w:t xml:space="preserve"> amend the Service Agreement as follows: </w:t>
      </w:r>
      <w:r w:rsidRPr="001525FC">
        <w:t xml:space="preserve"> </w:t>
      </w:r>
    </w:p>
    <w:p w:rsidR="00F87503" w:rsidRPr="00EE2984" w:rsidRDefault="007E5853" w:rsidP="00EE2984">
      <w:pPr>
        <w:numPr>
          <w:ilvl w:val="0"/>
          <w:numId w:val="4"/>
        </w:numPr>
        <w:tabs>
          <w:tab w:val="clear" w:pos="567"/>
          <w:tab w:val="left" w:pos="0"/>
        </w:tabs>
        <w:ind w:left="567" w:hanging="567"/>
        <w:rPr>
          <w:b/>
        </w:rPr>
      </w:pPr>
      <w:r w:rsidRPr="00EE2984">
        <w:rPr>
          <w:b/>
        </w:rPr>
        <w:t>Include the following narrative on page 8, immediately after the existing narrative headed Elective Surgery:</w:t>
      </w:r>
    </w:p>
    <w:p w:rsidR="007E5853" w:rsidRPr="00EE2984" w:rsidRDefault="007E5853" w:rsidP="00EE2984">
      <w:pPr>
        <w:tabs>
          <w:tab w:val="left" w:pos="0"/>
        </w:tabs>
        <w:ind w:left="567" w:hanging="567"/>
        <w:rPr>
          <w:b/>
          <w:u w:val="single"/>
        </w:rPr>
      </w:pPr>
      <w:r w:rsidRPr="00EE2984">
        <w:rPr>
          <w:b/>
          <w:u w:val="single"/>
        </w:rPr>
        <w:t>Patients First Initiative – Stages 1 and 2</w:t>
      </w:r>
    </w:p>
    <w:p w:rsidR="009577FC" w:rsidRDefault="007E5853" w:rsidP="00EE2984">
      <w:pPr>
        <w:tabs>
          <w:tab w:val="clear" w:pos="567"/>
          <w:tab w:val="left" w:pos="0"/>
        </w:tabs>
      </w:pPr>
      <w:r w:rsidRPr="0014475F">
        <w:t>As part of the</w:t>
      </w:r>
      <w:r w:rsidRPr="007E5853">
        <w:rPr>
          <w:i/>
        </w:rPr>
        <w:t xml:space="preserve"> One State, One Health System, Better Outcomes</w:t>
      </w:r>
      <w:r>
        <w:t xml:space="preserve"> plan, the Tasmanian Government is taking action to </w:t>
      </w:r>
      <w:r w:rsidR="008072B8">
        <w:t>address</w:t>
      </w:r>
      <w:r>
        <w:t xml:space="preserve"> demand in Emergency Departments and to improve whole-of-hospital patient f</w:t>
      </w:r>
      <w:r w:rsidR="009577FC">
        <w:t>low.</w:t>
      </w:r>
    </w:p>
    <w:p w:rsidR="0014475F" w:rsidRPr="00EE2984" w:rsidRDefault="00D7335B" w:rsidP="00EE2984">
      <w:pPr>
        <w:tabs>
          <w:tab w:val="clear" w:pos="567"/>
          <w:tab w:val="left" w:pos="0"/>
        </w:tabs>
      </w:pPr>
      <w:r w:rsidRPr="00EE2984">
        <w:t xml:space="preserve">Stage 1 of the </w:t>
      </w:r>
      <w:r w:rsidRPr="00EE2984">
        <w:rPr>
          <w:i/>
        </w:rPr>
        <w:t>Patients First initiative</w:t>
      </w:r>
      <w:r w:rsidRPr="00EE2984">
        <w:t>, announced in April 2016, included 18 specific actions aimed at improving patient flow issues across the Launceston General Hospital (LGH) and the Royal Hobart Hospital (RHH).  Th</w:t>
      </w:r>
      <w:r w:rsidR="006162E6" w:rsidRPr="00EE2984">
        <w:t xml:space="preserve">e areas of focus include timely movement of patients to the right place at the right time, staff training and recruitment, developing a state-wide clinical handover framework, better supporting long stay patients, use of rural facilities, and more efficient discharge.  Funding of $1 million was provided </w:t>
      </w:r>
      <w:r w:rsidR="00C9650B">
        <w:t xml:space="preserve">to the THS </w:t>
      </w:r>
      <w:r w:rsidR="006162E6" w:rsidRPr="00EE2984">
        <w:t xml:space="preserve">under </w:t>
      </w:r>
      <w:r w:rsidR="00E30CE7" w:rsidRPr="00EE2984">
        <w:t>Stage 1</w:t>
      </w:r>
      <w:r w:rsidR="00C9650B">
        <w:t xml:space="preserve"> to implement the specified actions</w:t>
      </w:r>
      <w:r w:rsidR="00E30CE7" w:rsidRPr="00EE2984">
        <w:t>.</w:t>
      </w:r>
    </w:p>
    <w:p w:rsidR="00E30CE7" w:rsidRPr="00EE2984" w:rsidRDefault="00E30CE7" w:rsidP="00EE2984">
      <w:pPr>
        <w:tabs>
          <w:tab w:val="clear" w:pos="567"/>
          <w:tab w:val="left" w:pos="0"/>
        </w:tabs>
      </w:pPr>
      <w:r w:rsidRPr="00EE2984">
        <w:t xml:space="preserve">In recognition of continuing demand pressures in Emergency Departments state-wide, Stage 2 of the </w:t>
      </w:r>
      <w:r w:rsidRPr="00EE2984">
        <w:rPr>
          <w:i/>
        </w:rPr>
        <w:t>Patients First initiative</w:t>
      </w:r>
      <w:r w:rsidRPr="00EE2984">
        <w:t xml:space="preserve">, announced in February 2017, includes a number of </w:t>
      </w:r>
      <w:r w:rsidR="0041390D" w:rsidRPr="00EE2984">
        <w:t xml:space="preserve">recurrent </w:t>
      </w:r>
      <w:r w:rsidRPr="00EE2984">
        <w:t>bed openings across the State to further improve whole-of-hospital patient flow.  St</w:t>
      </w:r>
      <w:r w:rsidR="00441072" w:rsidRPr="00EE2984">
        <w:t>a</w:t>
      </w:r>
      <w:r w:rsidRPr="00EE2984">
        <w:t>ge 2 includes:</w:t>
      </w:r>
    </w:p>
    <w:p w:rsidR="00E30CE7" w:rsidRPr="00EE2984" w:rsidRDefault="00E30CE7" w:rsidP="00EE2984">
      <w:pPr>
        <w:pStyle w:val="ListParagraph"/>
        <w:numPr>
          <w:ilvl w:val="0"/>
          <w:numId w:val="14"/>
        </w:numPr>
        <w:tabs>
          <w:tab w:val="left" w:pos="426"/>
        </w:tabs>
        <w:spacing w:after="140" w:line="300" w:lineRule="atLeast"/>
        <w:ind w:left="0" w:right="238" w:firstLine="0"/>
        <w:rPr>
          <w:rFonts w:ascii="Gill Sans MT" w:hAnsi="Gill Sans MT"/>
          <w:u w:val="single"/>
        </w:rPr>
      </w:pPr>
      <w:r w:rsidRPr="00EE2984">
        <w:rPr>
          <w:rFonts w:ascii="Gill Sans MT" w:hAnsi="Gill Sans MT"/>
          <w:u w:val="single"/>
        </w:rPr>
        <w:t>Royal Hobart Hospital</w:t>
      </w:r>
    </w:p>
    <w:p w:rsidR="00E30CE7" w:rsidRPr="00441072" w:rsidRDefault="00E30CE7" w:rsidP="00EE2984">
      <w:pPr>
        <w:pStyle w:val="ListParagraph"/>
        <w:numPr>
          <w:ilvl w:val="0"/>
          <w:numId w:val="15"/>
        </w:numPr>
        <w:tabs>
          <w:tab w:val="left" w:pos="426"/>
        </w:tabs>
        <w:spacing w:after="140" w:line="300" w:lineRule="atLeast"/>
        <w:ind w:left="1134" w:right="238" w:hanging="708"/>
        <w:rPr>
          <w:rFonts w:ascii="Gill Sans MT" w:hAnsi="Gill Sans MT"/>
        </w:rPr>
      </w:pPr>
      <w:r w:rsidRPr="00441072">
        <w:rPr>
          <w:rFonts w:ascii="Gill Sans MT" w:hAnsi="Gill Sans MT"/>
        </w:rPr>
        <w:t>2 new ICU beds</w:t>
      </w:r>
      <w:r w:rsidR="00BB4BA9">
        <w:rPr>
          <w:rFonts w:ascii="Gill Sans MT" w:hAnsi="Gill Sans MT"/>
        </w:rPr>
        <w:t>.</w:t>
      </w:r>
    </w:p>
    <w:p w:rsidR="00E30CE7" w:rsidRDefault="00E30CE7" w:rsidP="00EE2984">
      <w:pPr>
        <w:pStyle w:val="ListParagraph"/>
        <w:numPr>
          <w:ilvl w:val="0"/>
          <w:numId w:val="15"/>
        </w:numPr>
        <w:tabs>
          <w:tab w:val="left" w:pos="426"/>
        </w:tabs>
        <w:spacing w:after="140" w:line="300" w:lineRule="atLeast"/>
        <w:ind w:left="1134" w:right="238" w:hanging="708"/>
        <w:rPr>
          <w:rFonts w:ascii="Gill Sans MT" w:hAnsi="Gill Sans MT"/>
        </w:rPr>
      </w:pPr>
      <w:r w:rsidRPr="00441072">
        <w:rPr>
          <w:rFonts w:ascii="Gill Sans MT" w:hAnsi="Gill Sans MT"/>
        </w:rPr>
        <w:t>Hobart Private – 8 beds (12 months)</w:t>
      </w:r>
      <w:r w:rsidR="00BB4BA9">
        <w:rPr>
          <w:rFonts w:ascii="Gill Sans MT" w:hAnsi="Gill Sans MT"/>
        </w:rPr>
        <w:t>.</w:t>
      </w:r>
    </w:p>
    <w:p w:rsidR="00441072" w:rsidRPr="00441072" w:rsidRDefault="00441072" w:rsidP="00EE2984">
      <w:pPr>
        <w:pStyle w:val="ListParagraph"/>
        <w:numPr>
          <w:ilvl w:val="0"/>
          <w:numId w:val="15"/>
        </w:numPr>
        <w:tabs>
          <w:tab w:val="left" w:pos="426"/>
        </w:tabs>
        <w:spacing w:after="140" w:line="300" w:lineRule="atLeast"/>
        <w:ind w:left="1134" w:right="238" w:hanging="708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Roy Fagan Centre Jasmine Unit</w:t>
      </w:r>
      <w:r w:rsidR="000E41DA">
        <w:rPr>
          <w:rFonts w:ascii="Gill Sans MT" w:hAnsi="Gill Sans MT"/>
        </w:rPr>
        <w:t xml:space="preserve"> - </w:t>
      </w:r>
      <w:r>
        <w:rPr>
          <w:rFonts w:ascii="Gill Sans MT" w:hAnsi="Gill Sans MT"/>
        </w:rPr>
        <w:t>10 beds</w:t>
      </w:r>
      <w:r w:rsidR="00BB4BA9">
        <w:rPr>
          <w:rFonts w:ascii="Gill Sans MT" w:hAnsi="Gill Sans MT"/>
        </w:rPr>
        <w:t>.</w:t>
      </w:r>
    </w:p>
    <w:p w:rsidR="00E30CE7" w:rsidRPr="00441072" w:rsidRDefault="00E30CE7" w:rsidP="00EE2984">
      <w:pPr>
        <w:pStyle w:val="ListParagraph"/>
        <w:numPr>
          <w:ilvl w:val="0"/>
          <w:numId w:val="15"/>
        </w:numPr>
        <w:tabs>
          <w:tab w:val="left" w:pos="426"/>
        </w:tabs>
        <w:spacing w:after="140" w:line="300" w:lineRule="atLeast"/>
        <w:ind w:left="1134" w:right="238" w:hanging="708"/>
        <w:rPr>
          <w:rFonts w:ascii="Gill Sans MT" w:hAnsi="Gill Sans MT"/>
        </w:rPr>
      </w:pPr>
      <w:r w:rsidRPr="00441072">
        <w:rPr>
          <w:rFonts w:ascii="Gill Sans MT" w:hAnsi="Gill Sans MT"/>
        </w:rPr>
        <w:t>New Norfolk District Hospital</w:t>
      </w:r>
      <w:r w:rsidR="000E41DA">
        <w:rPr>
          <w:rFonts w:ascii="Gill Sans MT" w:hAnsi="Gill Sans MT"/>
        </w:rPr>
        <w:t xml:space="preserve"> - </w:t>
      </w:r>
      <w:r w:rsidRPr="00441072">
        <w:rPr>
          <w:rFonts w:ascii="Gill Sans MT" w:hAnsi="Gill Sans MT"/>
        </w:rPr>
        <w:t>7 beds</w:t>
      </w:r>
      <w:r w:rsidR="00BB4BA9">
        <w:rPr>
          <w:rFonts w:ascii="Gill Sans MT" w:hAnsi="Gill Sans MT"/>
        </w:rPr>
        <w:t>.</w:t>
      </w:r>
    </w:p>
    <w:p w:rsidR="00E30CE7" w:rsidRPr="00EE2984" w:rsidRDefault="00E30CE7" w:rsidP="00EE2984">
      <w:pPr>
        <w:pStyle w:val="ListParagraph"/>
        <w:numPr>
          <w:ilvl w:val="0"/>
          <w:numId w:val="16"/>
        </w:numPr>
        <w:tabs>
          <w:tab w:val="left" w:pos="426"/>
        </w:tabs>
        <w:spacing w:after="140" w:line="300" w:lineRule="atLeast"/>
        <w:ind w:left="1134" w:right="238" w:hanging="1134"/>
        <w:rPr>
          <w:rFonts w:ascii="Gill Sans MT" w:hAnsi="Gill Sans MT"/>
          <w:u w:val="single"/>
        </w:rPr>
      </w:pPr>
      <w:r w:rsidRPr="00EE2984">
        <w:rPr>
          <w:rFonts w:ascii="Gill Sans MT" w:hAnsi="Gill Sans MT"/>
          <w:u w:val="single"/>
        </w:rPr>
        <w:t>Launceston General Hospital</w:t>
      </w:r>
    </w:p>
    <w:p w:rsidR="00441072" w:rsidRPr="00441072" w:rsidRDefault="00E30CE7" w:rsidP="00EE2984">
      <w:pPr>
        <w:pStyle w:val="ListParagraph"/>
        <w:numPr>
          <w:ilvl w:val="0"/>
          <w:numId w:val="17"/>
        </w:numPr>
        <w:tabs>
          <w:tab w:val="left" w:pos="426"/>
        </w:tabs>
        <w:spacing w:after="140" w:line="300" w:lineRule="atLeast"/>
        <w:ind w:left="1134" w:right="238" w:hanging="708"/>
        <w:rPr>
          <w:rFonts w:ascii="Gill Sans MT" w:hAnsi="Gill Sans MT"/>
        </w:rPr>
      </w:pPr>
      <w:r w:rsidRPr="00441072">
        <w:rPr>
          <w:rFonts w:ascii="Gill Sans MT" w:hAnsi="Gill Sans MT"/>
        </w:rPr>
        <w:t>Ward 4D – 12 beds</w:t>
      </w:r>
      <w:r w:rsidR="00BB4BA9">
        <w:rPr>
          <w:rFonts w:ascii="Gill Sans MT" w:hAnsi="Gill Sans MT"/>
        </w:rPr>
        <w:t>.</w:t>
      </w:r>
    </w:p>
    <w:p w:rsidR="00441072" w:rsidRPr="00441072" w:rsidRDefault="00441072" w:rsidP="00EE2984">
      <w:pPr>
        <w:pStyle w:val="ListParagraph"/>
        <w:numPr>
          <w:ilvl w:val="0"/>
          <w:numId w:val="17"/>
        </w:numPr>
        <w:tabs>
          <w:tab w:val="left" w:pos="426"/>
        </w:tabs>
        <w:spacing w:after="140" w:line="300" w:lineRule="atLeast"/>
        <w:ind w:left="1134" w:right="238" w:hanging="708"/>
        <w:rPr>
          <w:rFonts w:ascii="Gill Sans MT" w:hAnsi="Gill Sans MT"/>
        </w:rPr>
      </w:pPr>
      <w:r w:rsidRPr="00441072">
        <w:rPr>
          <w:rFonts w:ascii="Gill Sans MT" w:hAnsi="Gill Sans MT"/>
        </w:rPr>
        <w:t xml:space="preserve">Ward 4D – 3 </w:t>
      </w:r>
      <w:r w:rsidR="000E41DA">
        <w:rPr>
          <w:rFonts w:ascii="Gill Sans MT" w:hAnsi="Gill Sans MT"/>
        </w:rPr>
        <w:t xml:space="preserve">additional </w:t>
      </w:r>
      <w:r w:rsidRPr="00441072">
        <w:rPr>
          <w:rFonts w:ascii="Gill Sans MT" w:hAnsi="Gill Sans MT"/>
        </w:rPr>
        <w:t>isolation beds</w:t>
      </w:r>
      <w:r w:rsidR="00BB4BA9">
        <w:rPr>
          <w:rFonts w:ascii="Gill Sans MT" w:hAnsi="Gill Sans MT"/>
        </w:rPr>
        <w:t>.</w:t>
      </w:r>
    </w:p>
    <w:p w:rsidR="00E30CE7" w:rsidRPr="00441072" w:rsidRDefault="00441072" w:rsidP="00EE2984">
      <w:pPr>
        <w:pStyle w:val="ListParagraph"/>
        <w:numPr>
          <w:ilvl w:val="0"/>
          <w:numId w:val="17"/>
        </w:numPr>
        <w:tabs>
          <w:tab w:val="left" w:pos="426"/>
        </w:tabs>
        <w:spacing w:after="140" w:line="300" w:lineRule="atLeast"/>
        <w:ind w:left="1134" w:right="238" w:hanging="708"/>
        <w:rPr>
          <w:rFonts w:ascii="Gill Sans MT" w:hAnsi="Gill Sans MT"/>
        </w:rPr>
      </w:pPr>
      <w:r w:rsidRPr="00441072">
        <w:rPr>
          <w:rFonts w:ascii="Gill Sans MT" w:hAnsi="Gill Sans MT"/>
        </w:rPr>
        <w:t>Ward 4D – creation of 3 isolation rooms (capital)</w:t>
      </w:r>
      <w:r w:rsidR="00BB4BA9">
        <w:rPr>
          <w:rFonts w:ascii="Gill Sans MT" w:hAnsi="Gill Sans MT"/>
        </w:rPr>
        <w:t>.</w:t>
      </w:r>
      <w:r w:rsidRPr="00441072">
        <w:rPr>
          <w:rFonts w:ascii="Gill Sans MT" w:hAnsi="Gill Sans MT"/>
        </w:rPr>
        <w:t xml:space="preserve"> </w:t>
      </w:r>
    </w:p>
    <w:p w:rsidR="00441072" w:rsidRPr="00EE2984" w:rsidRDefault="00441072" w:rsidP="00EE2984">
      <w:pPr>
        <w:pStyle w:val="ListParagraph"/>
        <w:numPr>
          <w:ilvl w:val="0"/>
          <w:numId w:val="18"/>
        </w:numPr>
        <w:tabs>
          <w:tab w:val="left" w:pos="426"/>
        </w:tabs>
        <w:spacing w:after="140" w:line="300" w:lineRule="atLeast"/>
        <w:ind w:left="1134" w:hanging="1134"/>
        <w:rPr>
          <w:rFonts w:ascii="Gill Sans MT" w:hAnsi="Gill Sans MT"/>
          <w:u w:val="single"/>
        </w:rPr>
      </w:pPr>
      <w:r w:rsidRPr="00EE2984">
        <w:rPr>
          <w:rFonts w:ascii="Gill Sans MT" w:hAnsi="Gill Sans MT"/>
          <w:u w:val="single"/>
        </w:rPr>
        <w:t>North West Regional Hospital</w:t>
      </w:r>
    </w:p>
    <w:p w:rsidR="00441072" w:rsidRPr="00441072" w:rsidRDefault="00441072" w:rsidP="00EE2984">
      <w:pPr>
        <w:pStyle w:val="ListParagraph"/>
        <w:numPr>
          <w:ilvl w:val="0"/>
          <w:numId w:val="19"/>
        </w:numPr>
        <w:tabs>
          <w:tab w:val="left" w:pos="426"/>
        </w:tabs>
        <w:spacing w:after="140" w:line="300" w:lineRule="atLeast"/>
        <w:ind w:left="1134" w:hanging="708"/>
        <w:rPr>
          <w:rFonts w:ascii="Gill Sans MT" w:hAnsi="Gill Sans MT"/>
        </w:rPr>
      </w:pPr>
      <w:r w:rsidRPr="00441072">
        <w:rPr>
          <w:rFonts w:ascii="Gill Sans MT" w:hAnsi="Gill Sans MT"/>
        </w:rPr>
        <w:t>4 Short Stay ED beds</w:t>
      </w:r>
      <w:r w:rsidR="00BB4BA9">
        <w:rPr>
          <w:rFonts w:ascii="Gill Sans MT" w:hAnsi="Gill Sans MT"/>
        </w:rPr>
        <w:t>.</w:t>
      </w:r>
    </w:p>
    <w:p w:rsidR="00441072" w:rsidRPr="00441072" w:rsidRDefault="00441072" w:rsidP="00EE2984">
      <w:pPr>
        <w:pStyle w:val="ListParagraph"/>
        <w:numPr>
          <w:ilvl w:val="0"/>
          <w:numId w:val="19"/>
        </w:numPr>
        <w:tabs>
          <w:tab w:val="left" w:pos="426"/>
        </w:tabs>
        <w:spacing w:after="140" w:line="300" w:lineRule="atLeast"/>
        <w:ind w:left="1134" w:hanging="708"/>
        <w:rPr>
          <w:rFonts w:ascii="Gill Sans MT" w:hAnsi="Gill Sans MT"/>
        </w:rPr>
      </w:pPr>
      <w:r w:rsidRPr="00441072">
        <w:rPr>
          <w:rFonts w:ascii="Gill Sans MT" w:hAnsi="Gill Sans MT"/>
        </w:rPr>
        <w:t>4 surgical beds</w:t>
      </w:r>
      <w:r w:rsidR="00BB4BA9">
        <w:rPr>
          <w:rFonts w:ascii="Gill Sans MT" w:hAnsi="Gill Sans MT"/>
        </w:rPr>
        <w:t>.</w:t>
      </w:r>
    </w:p>
    <w:p w:rsidR="00441072" w:rsidRPr="00441072" w:rsidRDefault="00441072" w:rsidP="00EE2984">
      <w:pPr>
        <w:pStyle w:val="ListParagraph"/>
        <w:numPr>
          <w:ilvl w:val="0"/>
          <w:numId w:val="19"/>
        </w:numPr>
        <w:tabs>
          <w:tab w:val="left" w:pos="426"/>
        </w:tabs>
        <w:spacing w:after="140" w:line="300" w:lineRule="atLeast"/>
        <w:ind w:left="1134" w:hanging="708"/>
        <w:rPr>
          <w:rFonts w:ascii="Gill Sans MT" w:hAnsi="Gill Sans MT"/>
        </w:rPr>
      </w:pPr>
      <w:r w:rsidRPr="00441072">
        <w:rPr>
          <w:rFonts w:ascii="Gill Sans MT" w:hAnsi="Gill Sans MT"/>
        </w:rPr>
        <w:t>Surgical ward (capital)</w:t>
      </w:r>
      <w:r w:rsidR="008072B8">
        <w:rPr>
          <w:rFonts w:ascii="Gill Sans MT" w:hAnsi="Gill Sans MT"/>
        </w:rPr>
        <w:t>.</w:t>
      </w:r>
    </w:p>
    <w:p w:rsidR="00E30CE7" w:rsidRDefault="0041390D" w:rsidP="00EE2984">
      <w:pPr>
        <w:tabs>
          <w:tab w:val="left" w:pos="426"/>
        </w:tabs>
      </w:pPr>
      <w:r>
        <w:t>In 2016-17, Stage 2 provides additional, part year funding of $5.</w:t>
      </w:r>
      <w:r w:rsidR="000E41DA">
        <w:t>770</w:t>
      </w:r>
      <w:r>
        <w:t xml:space="preserve"> million</w:t>
      </w:r>
      <w:r w:rsidR="00C9650B">
        <w:t xml:space="preserve"> to the THS to implement the specified bed openings.</w:t>
      </w:r>
    </w:p>
    <w:p w:rsidR="00BB4BA9" w:rsidRDefault="0041390D" w:rsidP="00EE2984">
      <w:pPr>
        <w:tabs>
          <w:tab w:val="left" w:pos="426"/>
        </w:tabs>
      </w:pPr>
      <w:r>
        <w:t>The Department of Health and Human Services will provide routine reporting to the Minister for Health, outlining</w:t>
      </w:r>
      <w:r w:rsidR="00BB4BA9">
        <w:t>:</w:t>
      </w:r>
    </w:p>
    <w:p w:rsidR="00BB4BA9" w:rsidRPr="00BB4BA9" w:rsidRDefault="0041390D" w:rsidP="00EE2984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Gill Sans MT" w:hAnsi="Gill Sans MT"/>
        </w:rPr>
      </w:pPr>
      <w:r w:rsidRPr="00BB4BA9">
        <w:rPr>
          <w:rFonts w:ascii="Gill Sans MT" w:hAnsi="Gill Sans MT"/>
        </w:rPr>
        <w:t xml:space="preserve">the impact of Stage 1 and 2 initiatives </w:t>
      </w:r>
      <w:r w:rsidR="00DD1DEF">
        <w:rPr>
          <w:rFonts w:ascii="Gill Sans MT" w:hAnsi="Gill Sans MT"/>
        </w:rPr>
        <w:t>on performance against existing</w:t>
      </w:r>
      <w:r w:rsidRPr="00BB4BA9">
        <w:rPr>
          <w:rFonts w:ascii="Gill Sans MT" w:hAnsi="Gill Sans MT"/>
        </w:rPr>
        <w:t xml:space="preserve"> Key Performance Indicators as established in the 2016-17 Service Agreement</w:t>
      </w:r>
      <w:r w:rsidR="00BB4BA9">
        <w:rPr>
          <w:rFonts w:ascii="Gill Sans MT" w:hAnsi="Gill Sans MT"/>
        </w:rPr>
        <w:t>;</w:t>
      </w:r>
    </w:p>
    <w:p w:rsidR="00BB4BA9" w:rsidRPr="00BB4BA9" w:rsidRDefault="00BB4BA9" w:rsidP="00EE2984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Gill Sans MT" w:hAnsi="Gill Sans MT"/>
        </w:rPr>
      </w:pPr>
      <w:r w:rsidRPr="00BB4BA9">
        <w:rPr>
          <w:rFonts w:ascii="Gill Sans MT" w:hAnsi="Gill Sans MT"/>
        </w:rPr>
        <w:t>a</w:t>
      </w:r>
      <w:r w:rsidR="0041390D" w:rsidRPr="00BB4BA9">
        <w:rPr>
          <w:rFonts w:ascii="Gill Sans MT" w:hAnsi="Gill Sans MT"/>
        </w:rPr>
        <w:t>dditional performance indicators</w:t>
      </w:r>
      <w:r>
        <w:rPr>
          <w:rFonts w:ascii="Gill Sans MT" w:hAnsi="Gill Sans MT"/>
        </w:rPr>
        <w:t xml:space="preserve">, </w:t>
      </w:r>
      <w:r w:rsidR="0041390D" w:rsidRPr="00BB4BA9">
        <w:rPr>
          <w:rFonts w:ascii="Gill Sans MT" w:hAnsi="Gill Sans MT"/>
        </w:rPr>
        <w:t xml:space="preserve">targeted at </w:t>
      </w:r>
      <w:r>
        <w:rPr>
          <w:rFonts w:ascii="Gill Sans MT" w:hAnsi="Gill Sans MT"/>
        </w:rPr>
        <w:t xml:space="preserve">the measurement of </w:t>
      </w:r>
      <w:r w:rsidR="004938DA" w:rsidRPr="00BB4BA9">
        <w:rPr>
          <w:rFonts w:ascii="Gill Sans MT" w:hAnsi="Gill Sans MT"/>
        </w:rPr>
        <w:t>specific outcomes</w:t>
      </w:r>
      <w:r w:rsidR="000E41DA" w:rsidRPr="00BB4BA9">
        <w:rPr>
          <w:rFonts w:ascii="Gill Sans MT" w:hAnsi="Gill Sans MT"/>
        </w:rPr>
        <w:t xml:space="preserve"> under Stage 2</w:t>
      </w:r>
      <w:r>
        <w:rPr>
          <w:rFonts w:ascii="Gill Sans MT" w:hAnsi="Gill Sans MT"/>
        </w:rPr>
        <w:t xml:space="preserve"> initiatives</w:t>
      </w:r>
      <w:r w:rsidR="004938DA" w:rsidRPr="00BB4BA9">
        <w:rPr>
          <w:rFonts w:ascii="Gill Sans MT" w:hAnsi="Gill Sans MT"/>
        </w:rPr>
        <w:t xml:space="preserve"> (e.g. bed utilisation at the New Norfolk District Hospital and decreased rates of cardiothoracic surgery cancellation)</w:t>
      </w:r>
      <w:r>
        <w:rPr>
          <w:rFonts w:ascii="Gill Sans MT" w:hAnsi="Gill Sans MT"/>
        </w:rPr>
        <w:t>, and</w:t>
      </w:r>
    </w:p>
    <w:p w:rsidR="00E30CE7" w:rsidRDefault="000E41DA" w:rsidP="00EE2984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Gill Sans MT" w:hAnsi="Gill Sans MT"/>
        </w:rPr>
      </w:pPr>
      <w:r w:rsidRPr="00BB4BA9">
        <w:rPr>
          <w:rFonts w:ascii="Gill Sans MT" w:hAnsi="Gill Sans MT"/>
        </w:rPr>
        <w:t xml:space="preserve">status updates </w:t>
      </w:r>
      <w:r w:rsidR="00BB4BA9" w:rsidRPr="00BB4BA9">
        <w:rPr>
          <w:rFonts w:ascii="Gill Sans MT" w:hAnsi="Gill Sans MT"/>
        </w:rPr>
        <w:t>o</w:t>
      </w:r>
      <w:r w:rsidRPr="00BB4BA9">
        <w:rPr>
          <w:rFonts w:ascii="Gill Sans MT" w:hAnsi="Gill Sans MT"/>
        </w:rPr>
        <w:t xml:space="preserve">n </w:t>
      </w:r>
      <w:r w:rsidR="00BB4BA9">
        <w:rPr>
          <w:rFonts w:ascii="Gill Sans MT" w:hAnsi="Gill Sans MT"/>
        </w:rPr>
        <w:t xml:space="preserve">THS </w:t>
      </w:r>
      <w:r w:rsidR="00BB4BA9" w:rsidRPr="00BB4BA9">
        <w:rPr>
          <w:rFonts w:ascii="Gill Sans MT" w:hAnsi="Gill Sans MT"/>
        </w:rPr>
        <w:t>implementation of all actions announced under Stages 1 and 2</w:t>
      </w:r>
      <w:r w:rsidR="00BC6153">
        <w:rPr>
          <w:rFonts w:ascii="Gill Sans MT" w:hAnsi="Gill Sans MT"/>
        </w:rPr>
        <w:t>.</w:t>
      </w:r>
    </w:p>
    <w:p w:rsidR="003968A4" w:rsidRPr="00EE2984" w:rsidRDefault="003968A4" w:rsidP="00AC37A6">
      <w:pPr>
        <w:tabs>
          <w:tab w:val="left" w:pos="426"/>
        </w:tabs>
        <w:rPr>
          <w:b/>
        </w:rPr>
      </w:pPr>
      <w:r w:rsidRPr="00EE2984">
        <w:rPr>
          <w:b/>
        </w:rPr>
        <w:t>b)</w:t>
      </w:r>
      <w:r w:rsidRPr="00EE2984">
        <w:rPr>
          <w:b/>
        </w:rPr>
        <w:tab/>
        <w:t xml:space="preserve">Replace the 2016-17 Activity and Funding Schedule in Part D: THS Funding Allocation and Activity Schedules on pages 16-18 with the following, noting the inclusion of $5.770 million for Patients First </w:t>
      </w:r>
      <w:r w:rsidR="000E41DA" w:rsidRPr="00EE2984">
        <w:rPr>
          <w:b/>
        </w:rPr>
        <w:t>(</w:t>
      </w:r>
      <w:r w:rsidRPr="00EE2984">
        <w:rPr>
          <w:b/>
        </w:rPr>
        <w:t>Stage 2</w:t>
      </w:r>
      <w:r w:rsidR="000E41DA" w:rsidRPr="00EE2984">
        <w:rPr>
          <w:b/>
        </w:rPr>
        <w:t>)</w:t>
      </w:r>
      <w:r w:rsidRPr="00EE2984">
        <w:rPr>
          <w:b/>
        </w:rPr>
        <w:t xml:space="preserve"> under the </w:t>
      </w:r>
      <w:r w:rsidR="00AC37A6">
        <w:rPr>
          <w:b/>
        </w:rPr>
        <w:t>“</w:t>
      </w:r>
      <w:r w:rsidRPr="00EE2984">
        <w:rPr>
          <w:b/>
        </w:rPr>
        <w:t>Block grants for Activity Based Funded Hospitals</w:t>
      </w:r>
      <w:r w:rsidR="00AC37A6">
        <w:rPr>
          <w:b/>
        </w:rPr>
        <w:t>”</w:t>
      </w:r>
      <w:r w:rsidRPr="00EE2984">
        <w:rPr>
          <w:b/>
        </w:rPr>
        <w:t xml:space="preserve"> section.</w:t>
      </w:r>
    </w:p>
    <w:p w:rsidR="004938DA" w:rsidRPr="004938DA" w:rsidRDefault="004938DA" w:rsidP="004938DA">
      <w:pPr>
        <w:tabs>
          <w:tab w:val="clear" w:pos="567"/>
        </w:tabs>
        <w:ind w:right="-2"/>
      </w:pPr>
      <w:r w:rsidRPr="004938DA">
        <w:rPr>
          <w:b/>
          <w:sz w:val="32"/>
          <w:szCs w:val="32"/>
        </w:rPr>
        <w:t>2016-17 Activity and Funding Schedule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9"/>
        <w:gridCol w:w="2375"/>
        <w:gridCol w:w="1276"/>
        <w:gridCol w:w="1276"/>
      </w:tblGrid>
      <w:tr w:rsidR="004938DA" w:rsidRPr="004938DA" w:rsidTr="00AC37A6">
        <w:trPr>
          <w:trHeight w:val="300"/>
          <w:tblHeader/>
        </w:trPr>
        <w:tc>
          <w:tcPr>
            <w:tcW w:w="4429" w:type="dxa"/>
            <w:shd w:val="clear" w:color="auto" w:fill="D9D9D9" w:themeFill="background1" w:themeFillShade="D9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b/>
                <w:bCs/>
                <w:sz w:val="18"/>
                <w:szCs w:val="18"/>
              </w:rPr>
            </w:pPr>
            <w:bookmarkStart w:id="0" w:name="RANGE!A1:D54"/>
            <w:r w:rsidRPr="004938DA">
              <w:rPr>
                <w:b/>
                <w:bCs/>
                <w:sz w:val="18"/>
                <w:szCs w:val="18"/>
              </w:rPr>
              <w:t xml:space="preserve">Tasmanian Health Service </w:t>
            </w:r>
            <w:bookmarkEnd w:id="0"/>
          </w:p>
        </w:tc>
        <w:tc>
          <w:tcPr>
            <w:tcW w:w="2375" w:type="dxa"/>
            <w:shd w:val="clear" w:color="auto" w:fill="D9D9D9" w:themeFill="background1" w:themeFillShade="D9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 Measure 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 Activity 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 Funding allocation </w:t>
            </w:r>
          </w:p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($’000) 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Acute Admitted Patients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Acute Admitted Patients- Multi Day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Inlier Weighted Unit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90 782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415 697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Acute Admitted Patients- Same Day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Inlier Weighted Unit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2 735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12 522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Acute Admitted Patients- Short Stay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Inlier Weighted Unit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1 834 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8 397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Acute Admitted Patients - Short Stay Per Diem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Inlier Weighted Unit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538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2 462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Length of Stay Outlier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Days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11 525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8 650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Intensive Care Payment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Hours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379 812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35 775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Mechanical Ventilation Payment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Hours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77 733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29 949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Short Stay Unit Payment (EMU RHH &amp; AMU LGH)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Inlier Weighted Unit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773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3 540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Total Acute Admitted Patients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>516 992</w:t>
            </w:r>
          </w:p>
        </w:tc>
      </w:tr>
      <w:tr w:rsidR="004938DA" w:rsidRPr="004938DA" w:rsidTr="00AC37A6">
        <w:trPr>
          <w:trHeight w:val="345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Non and Subacute Care Admitted Patients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Sub-Acute (Rehabilitation and Palliative Care)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Block Funded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20 209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26 995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Geriatric evaluation and management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 Days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2 550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2 361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lastRenderedPageBreak/>
              <w:t xml:space="preserve">Non-acute (Maintenance care)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Days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12 669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12 612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Organ donor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Days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129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Boarder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Days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3 874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291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Total Non and Subacute Care Admitted Patients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>42 388</w:t>
            </w:r>
          </w:p>
        </w:tc>
      </w:tr>
      <w:tr w:rsidR="004938DA" w:rsidRPr="004938DA" w:rsidTr="00AC37A6">
        <w:trPr>
          <w:trHeight w:val="297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Emergency Department Services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Non-admitted ED Services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Weighted Service Event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55 637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35 127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Admitted ED Services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Weighted Service Event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59 373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37 486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Total Emergency Department Services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>72 613</w:t>
            </w:r>
          </w:p>
        </w:tc>
      </w:tr>
      <w:tr w:rsidR="004938DA" w:rsidRPr="004938DA" w:rsidTr="00AC37A6">
        <w:trPr>
          <w:trHeight w:val="237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Non-admitted Care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Non-admitted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Weighted Service Event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456 615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117 807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Outside Referred Patients (ORP)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Weighted Service Event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38 417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9 911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Total Non-admitted Care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>127 718</w:t>
            </w:r>
          </w:p>
        </w:tc>
      </w:tr>
      <w:tr w:rsidR="004938DA" w:rsidRPr="004938DA" w:rsidTr="00AC37A6">
        <w:trPr>
          <w:trHeight w:val="446"/>
        </w:trPr>
        <w:tc>
          <w:tcPr>
            <w:tcW w:w="4429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>Elective Surgery</w:t>
            </w:r>
          </w:p>
        </w:tc>
        <w:tc>
          <w:tcPr>
            <w:tcW w:w="2375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938DA" w:rsidRPr="004938DA" w:rsidTr="00AC37A6">
        <w:trPr>
          <w:trHeight w:val="446"/>
        </w:trPr>
        <w:tc>
          <w:tcPr>
            <w:tcW w:w="4429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Rebuilding Health Services- Elective Surgery </w:t>
            </w:r>
          </w:p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Programme </w:t>
            </w:r>
            <w:r w:rsidRPr="004938D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75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Block Funded </w:t>
            </w:r>
          </w:p>
        </w:tc>
        <w:tc>
          <w:tcPr>
            <w:tcW w:w="1276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20 000</w:t>
            </w:r>
          </w:p>
        </w:tc>
      </w:tr>
      <w:tr w:rsidR="004938DA" w:rsidRPr="004938DA" w:rsidTr="00AC37A6">
        <w:trPr>
          <w:trHeight w:val="446"/>
        </w:trPr>
        <w:tc>
          <w:tcPr>
            <w:tcW w:w="4429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NPA IHST – Schedule A - Elective Surgery</w:t>
            </w:r>
            <w:r w:rsidRPr="004938DA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2375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Block Funded </w:t>
            </w:r>
          </w:p>
        </w:tc>
        <w:tc>
          <w:tcPr>
            <w:tcW w:w="1276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13 400</w:t>
            </w:r>
          </w:p>
        </w:tc>
      </w:tr>
      <w:tr w:rsidR="004938DA" w:rsidRPr="004938DA" w:rsidTr="00AC37A6">
        <w:trPr>
          <w:trHeight w:val="446"/>
        </w:trPr>
        <w:tc>
          <w:tcPr>
            <w:tcW w:w="4429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>Total Elective Surgery</w:t>
            </w:r>
          </w:p>
        </w:tc>
        <w:tc>
          <w:tcPr>
            <w:tcW w:w="2375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>33 400</w:t>
            </w:r>
          </w:p>
        </w:tc>
      </w:tr>
      <w:tr w:rsidR="004938DA" w:rsidRPr="004938DA" w:rsidTr="00AC37A6">
        <w:trPr>
          <w:trHeight w:val="446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Block grants for Activity Based Funded Hospitals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b/>
                <w:bCs/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Non-Activity Based Funded Activity </w:t>
            </w:r>
            <w:r w:rsidRPr="004938DA">
              <w:rPr>
                <w:b/>
                <w:sz w:val="18"/>
                <w:szCs w:val="18"/>
                <w:vertAlign w:val="superscript"/>
              </w:rPr>
              <w:t>3</w:t>
            </w:r>
            <w:r w:rsidRPr="004938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Block Funded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104 631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Teaching, Training and Research Grant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Block Funded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36 400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Blood Products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Block Funded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7 705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NPA IHST – Schedule A - Reform  </w:t>
            </w:r>
            <w:r w:rsidRPr="004938DA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Block Funded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2 700</w:t>
            </w:r>
          </w:p>
        </w:tc>
      </w:tr>
      <w:tr w:rsidR="004938DA" w:rsidRPr="004938DA" w:rsidTr="00AC37A6">
        <w:trPr>
          <w:trHeight w:val="33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Transfer to Practice Nurses </w:t>
            </w:r>
            <w:r w:rsidRPr="004938DA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Block Funded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1 260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Enhancing Retrieval and Referral Services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Block Funded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269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Interstate Charging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Block Funded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19 300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NPA IHST – Schedule F - John L Grove Unit </w:t>
            </w:r>
            <w:r w:rsidRPr="004938DA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Block Funded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5 000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North West Cancer Centre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Block Funded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5 543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Patients First</w:t>
            </w:r>
            <w:r w:rsidR="003968A4">
              <w:rPr>
                <w:sz w:val="18"/>
                <w:szCs w:val="18"/>
              </w:rPr>
              <w:t xml:space="preserve"> (Stage 1)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Block Funded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1 000</w:t>
            </w:r>
          </w:p>
        </w:tc>
      </w:tr>
      <w:tr w:rsidR="003968A4" w:rsidRPr="004938DA" w:rsidTr="00AC37A6">
        <w:trPr>
          <w:trHeight w:val="300"/>
        </w:trPr>
        <w:tc>
          <w:tcPr>
            <w:tcW w:w="4429" w:type="dxa"/>
          </w:tcPr>
          <w:p w:rsidR="003968A4" w:rsidRPr="004938DA" w:rsidRDefault="003968A4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Patients First (Stage 2)</w:t>
            </w:r>
          </w:p>
        </w:tc>
        <w:tc>
          <w:tcPr>
            <w:tcW w:w="2375" w:type="dxa"/>
          </w:tcPr>
          <w:p w:rsidR="003968A4" w:rsidRPr="004938DA" w:rsidRDefault="003968A4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3968A4">
              <w:rPr>
                <w:sz w:val="18"/>
                <w:szCs w:val="18"/>
              </w:rPr>
              <w:t>Block Funded</w:t>
            </w:r>
          </w:p>
        </w:tc>
        <w:tc>
          <w:tcPr>
            <w:tcW w:w="1276" w:type="dxa"/>
          </w:tcPr>
          <w:p w:rsidR="003968A4" w:rsidRPr="004938DA" w:rsidRDefault="003968A4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68A4" w:rsidRPr="004938DA" w:rsidRDefault="003968A4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5 770 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Total Block grants for Activity Based Funded Hospitals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3968A4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189 578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THS Operational Grants </w:t>
            </w:r>
          </w:p>
        </w:tc>
        <w:tc>
          <w:tcPr>
            <w:tcW w:w="2375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</w:tr>
      <w:tr w:rsidR="004938DA" w:rsidRPr="004938DA" w:rsidTr="00AC37A6">
        <w:trPr>
          <w:trHeight w:val="33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b/>
                <w:bCs/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Mersey Community Hospital (Incl own source revenue)</w:t>
            </w:r>
            <w:r w:rsidRPr="004938DA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Grant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b/>
                <w:bCs/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81 852</w:t>
            </w:r>
          </w:p>
        </w:tc>
      </w:tr>
      <w:tr w:rsidR="004938DA" w:rsidRPr="004938DA" w:rsidTr="00AC37A6">
        <w:trPr>
          <w:trHeight w:val="319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b/>
                <w:bCs/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Primary Health (Incl Rural Hospitals)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Grant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240" w:after="60" w:line="240" w:lineRule="auto"/>
              <w:ind w:right="187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137 236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Mental Health (Excl Mental Health Inpatient Services)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Grant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77 589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Alcohol and Drug Services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Grant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14 107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Oral Health </w:t>
            </w:r>
            <w:r w:rsidRPr="004938DA">
              <w:rPr>
                <w:sz w:val="18"/>
                <w:szCs w:val="18"/>
                <w:vertAlign w:val="superscript"/>
              </w:rPr>
              <w:t>7</w:t>
            </w:r>
            <w:r w:rsidRPr="004938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Grant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32 417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Forensic Medical Service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Grant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1 443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Cancer Screening and Control </w:t>
            </w:r>
            <w:r w:rsidRPr="004938DA">
              <w:rPr>
                <w:sz w:val="18"/>
                <w:szCs w:val="18"/>
                <w:vertAlign w:val="superscript"/>
              </w:rPr>
              <w:t>8</w:t>
            </w:r>
            <w:r w:rsidRPr="004938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Grant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6 413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Patient Transport Assistance Scheme (PTAS) </w:t>
            </w:r>
            <w:r w:rsidRPr="004938DA">
              <w:rPr>
                <w:b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Grant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8 472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One Health System </w:t>
            </w:r>
            <w:r w:rsidRPr="004938DA">
              <w:rPr>
                <w:b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Grant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8 000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Equipment Replacement </w:t>
            </w:r>
            <w:r w:rsidRPr="004938DA">
              <w:rPr>
                <w:b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375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 xml:space="preserve">Grant 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sz w:val="18"/>
                <w:szCs w:val="18"/>
              </w:rPr>
              <w:t>5 000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</w:tcPr>
          <w:p w:rsidR="004938DA" w:rsidRPr="002537E1" w:rsidRDefault="004938DA" w:rsidP="009928CC">
            <w:pPr>
              <w:pStyle w:val="BodyText"/>
              <w:spacing w:before="60" w:after="60"/>
              <w:ind w:right="185"/>
              <w:rPr>
                <w:bCs/>
                <w:sz w:val="18"/>
                <w:szCs w:val="18"/>
              </w:rPr>
            </w:pPr>
            <w:r w:rsidRPr="002537E1">
              <w:rPr>
                <w:bCs/>
                <w:sz w:val="18"/>
                <w:szCs w:val="18"/>
              </w:rPr>
              <w:t>Child Health and Parenting Service</w:t>
            </w:r>
          </w:p>
        </w:tc>
        <w:tc>
          <w:tcPr>
            <w:tcW w:w="2375" w:type="dxa"/>
          </w:tcPr>
          <w:p w:rsidR="004938DA" w:rsidRPr="0039011E" w:rsidRDefault="004938DA" w:rsidP="009928CC">
            <w:pPr>
              <w:pStyle w:val="BodyText"/>
              <w:spacing w:before="60" w:after="60"/>
              <w:ind w:right="18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8DA" w:rsidRPr="0039011E" w:rsidRDefault="004938DA" w:rsidP="009928CC">
            <w:pPr>
              <w:pStyle w:val="BodyText"/>
              <w:spacing w:before="60" w:after="60"/>
              <w:ind w:right="185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8DA" w:rsidRPr="002537E1" w:rsidRDefault="004938DA" w:rsidP="009928CC">
            <w:pPr>
              <w:pStyle w:val="BodyText"/>
              <w:spacing w:before="60" w:after="60"/>
              <w:ind w:right="185"/>
              <w:jc w:val="right"/>
              <w:rPr>
                <w:bCs/>
                <w:sz w:val="18"/>
                <w:szCs w:val="18"/>
              </w:rPr>
            </w:pPr>
            <w:r w:rsidRPr="002537E1">
              <w:rPr>
                <w:bCs/>
                <w:sz w:val="18"/>
                <w:szCs w:val="18"/>
              </w:rPr>
              <w:t>5 926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  <w:hideMark/>
          </w:tcPr>
          <w:p w:rsidR="004938DA" w:rsidRPr="0039011E" w:rsidRDefault="004938DA" w:rsidP="009928CC">
            <w:pPr>
              <w:pStyle w:val="BodyText"/>
              <w:spacing w:before="60" w:after="60"/>
              <w:ind w:right="185"/>
              <w:rPr>
                <w:sz w:val="18"/>
                <w:szCs w:val="18"/>
              </w:rPr>
            </w:pPr>
            <w:r w:rsidRPr="0039011E">
              <w:rPr>
                <w:b/>
                <w:bCs/>
                <w:sz w:val="18"/>
                <w:szCs w:val="18"/>
              </w:rPr>
              <w:t xml:space="preserve">Total Operational Grants </w:t>
            </w:r>
          </w:p>
        </w:tc>
        <w:tc>
          <w:tcPr>
            <w:tcW w:w="2375" w:type="dxa"/>
            <w:hideMark/>
          </w:tcPr>
          <w:p w:rsidR="004938DA" w:rsidRPr="0039011E" w:rsidRDefault="004938DA" w:rsidP="009928CC">
            <w:pPr>
              <w:pStyle w:val="BodyText"/>
              <w:spacing w:before="60" w:after="60"/>
              <w:ind w:right="185"/>
              <w:rPr>
                <w:sz w:val="18"/>
                <w:szCs w:val="18"/>
              </w:rPr>
            </w:pPr>
            <w:r w:rsidRPr="0039011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39011E" w:rsidRDefault="004938DA" w:rsidP="009928CC">
            <w:pPr>
              <w:pStyle w:val="BodyText"/>
              <w:spacing w:before="60" w:after="60"/>
              <w:ind w:right="185"/>
              <w:jc w:val="right"/>
              <w:rPr>
                <w:sz w:val="18"/>
                <w:szCs w:val="18"/>
              </w:rPr>
            </w:pPr>
            <w:r w:rsidRPr="003901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938DA" w:rsidRPr="0039011E" w:rsidRDefault="004938DA" w:rsidP="009928CC">
            <w:pPr>
              <w:pStyle w:val="BodyText"/>
              <w:spacing w:before="60" w:after="60"/>
              <w:ind w:right="18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378 455</w:t>
            </w:r>
          </w:p>
        </w:tc>
      </w:tr>
      <w:tr w:rsidR="004938DA" w:rsidRPr="004938DA" w:rsidTr="00AC37A6">
        <w:trPr>
          <w:trHeight w:val="300"/>
        </w:trPr>
        <w:tc>
          <w:tcPr>
            <w:tcW w:w="4429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TOTAL Tasmanian Health Service </w:t>
            </w:r>
          </w:p>
        </w:tc>
        <w:tc>
          <w:tcPr>
            <w:tcW w:w="2375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rPr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938DA" w:rsidRPr="004938DA" w:rsidRDefault="004938DA" w:rsidP="004938DA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938DA" w:rsidRPr="004938DA" w:rsidRDefault="004938DA" w:rsidP="003968A4">
            <w:pPr>
              <w:tabs>
                <w:tab w:val="clear" w:pos="567"/>
              </w:tabs>
              <w:spacing w:before="60" w:after="60" w:line="240" w:lineRule="auto"/>
              <w:ind w:right="185"/>
              <w:jc w:val="right"/>
              <w:rPr>
                <w:sz w:val="18"/>
                <w:szCs w:val="18"/>
              </w:rPr>
            </w:pPr>
            <w:r w:rsidRPr="004938DA">
              <w:rPr>
                <w:b/>
                <w:bCs/>
                <w:sz w:val="18"/>
                <w:szCs w:val="18"/>
              </w:rPr>
              <w:t xml:space="preserve">1 </w:t>
            </w:r>
            <w:r w:rsidR="003968A4">
              <w:rPr>
                <w:b/>
                <w:bCs/>
                <w:sz w:val="18"/>
                <w:szCs w:val="18"/>
              </w:rPr>
              <w:t>361 144</w:t>
            </w:r>
          </w:p>
        </w:tc>
      </w:tr>
    </w:tbl>
    <w:tbl>
      <w:tblPr>
        <w:tblW w:w="10681" w:type="pct"/>
        <w:tblLook w:val="0000" w:firstRow="0" w:lastRow="0" w:firstColumn="0" w:lastColumn="0" w:noHBand="0" w:noVBand="0"/>
      </w:tblPr>
      <w:tblGrid>
        <w:gridCol w:w="289"/>
        <w:gridCol w:w="1543"/>
        <w:gridCol w:w="8197"/>
        <w:gridCol w:w="222"/>
        <w:gridCol w:w="222"/>
        <w:gridCol w:w="5961"/>
        <w:gridCol w:w="1591"/>
        <w:gridCol w:w="2115"/>
      </w:tblGrid>
      <w:tr w:rsidR="00566740" w:rsidRPr="00642692" w:rsidTr="00D16CD5">
        <w:trPr>
          <w:gridAfter w:val="2"/>
          <w:wAfter w:w="920" w:type="pct"/>
          <w:cantSplit/>
        </w:trPr>
        <w:tc>
          <w:tcPr>
            <w:tcW w:w="2490" w:type="pct"/>
            <w:gridSpan w:val="3"/>
          </w:tcPr>
          <w:p w:rsidR="00566740" w:rsidRDefault="00566740" w:rsidP="00D16CD5">
            <w:pPr>
              <w:rPr>
                <w:b/>
                <w:sz w:val="24"/>
                <w:szCs w:val="24"/>
              </w:rPr>
            </w:pPr>
          </w:p>
          <w:p w:rsidR="00566740" w:rsidRPr="00BB422E" w:rsidRDefault="00566740" w:rsidP="00D16CD5">
            <w:pPr>
              <w:rPr>
                <w:b/>
                <w:sz w:val="24"/>
                <w:szCs w:val="24"/>
              </w:rPr>
            </w:pPr>
            <w:r w:rsidRPr="00BB422E">
              <w:rPr>
                <w:b/>
                <w:sz w:val="24"/>
                <w:szCs w:val="24"/>
              </w:rPr>
              <w:t>Signed by:</w:t>
            </w:r>
          </w:p>
          <w:p w:rsidR="00566740" w:rsidRDefault="00566740" w:rsidP="00D16CD5">
            <w:pPr>
              <w:rPr>
                <w:sz w:val="24"/>
                <w:szCs w:val="24"/>
              </w:rPr>
            </w:pPr>
          </w:p>
          <w:p w:rsidR="00566740" w:rsidRDefault="00566740" w:rsidP="00D16CD5">
            <w:pPr>
              <w:rPr>
                <w:sz w:val="24"/>
                <w:szCs w:val="24"/>
              </w:rPr>
            </w:pPr>
          </w:p>
          <w:p w:rsidR="00566740" w:rsidRPr="00BB422E" w:rsidRDefault="00566740" w:rsidP="00D16CD5">
            <w:pPr>
              <w:rPr>
                <w:sz w:val="24"/>
                <w:szCs w:val="24"/>
              </w:rPr>
            </w:pPr>
          </w:p>
          <w:p w:rsidR="00566740" w:rsidRPr="00BB422E" w:rsidRDefault="00CD32FD" w:rsidP="00D1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1 June 2017                                                            Signed 31 March 2017</w:t>
            </w:r>
            <w:bookmarkStart w:id="1" w:name="_GoBack"/>
            <w:bookmarkEnd w:id="1"/>
          </w:p>
          <w:p w:rsidR="00566740" w:rsidRPr="00BB422E" w:rsidRDefault="00566740" w:rsidP="00D16CD5">
            <w:pPr>
              <w:rPr>
                <w:sz w:val="24"/>
                <w:szCs w:val="24"/>
              </w:rPr>
            </w:pPr>
            <w:r w:rsidRPr="00BB422E">
              <w:rPr>
                <w:sz w:val="24"/>
                <w:szCs w:val="24"/>
              </w:rPr>
              <w:t>--------------------</w:t>
            </w:r>
            <w:r>
              <w:rPr>
                <w:sz w:val="24"/>
                <w:szCs w:val="24"/>
              </w:rPr>
              <w:t>-------------------------------                         -</w:t>
            </w:r>
            <w:r w:rsidRPr="00BB422E">
              <w:rPr>
                <w:sz w:val="24"/>
                <w:szCs w:val="24"/>
              </w:rPr>
              <w:t>--------------------------------------------------</w:t>
            </w:r>
          </w:p>
          <w:p w:rsidR="00566740" w:rsidRPr="00BB422E" w:rsidRDefault="00566740" w:rsidP="00D16CD5">
            <w:pPr>
              <w:rPr>
                <w:sz w:val="24"/>
                <w:szCs w:val="24"/>
              </w:rPr>
            </w:pPr>
            <w:r w:rsidRPr="00BB422E">
              <w:rPr>
                <w:sz w:val="24"/>
                <w:szCs w:val="24"/>
              </w:rPr>
              <w:t>The Honourable Michael Ferguson MHA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B422E">
              <w:rPr>
                <w:sz w:val="24"/>
                <w:szCs w:val="24"/>
              </w:rPr>
              <w:t>John Rams</w:t>
            </w:r>
            <w:r>
              <w:rPr>
                <w:sz w:val="24"/>
                <w:szCs w:val="24"/>
              </w:rPr>
              <w:t>a</w:t>
            </w:r>
            <w:r w:rsidRPr="00BB422E">
              <w:rPr>
                <w:sz w:val="24"/>
                <w:szCs w:val="24"/>
              </w:rPr>
              <w:t>y</w:t>
            </w:r>
            <w:r w:rsidRPr="00BB422E">
              <w:rPr>
                <w:sz w:val="24"/>
                <w:szCs w:val="24"/>
              </w:rPr>
              <w:tab/>
            </w:r>
          </w:p>
          <w:p w:rsidR="00566740" w:rsidRPr="00BB422E" w:rsidRDefault="00566740" w:rsidP="00D16CD5">
            <w:pPr>
              <w:ind w:left="5760" w:hanging="5760"/>
              <w:rPr>
                <w:sz w:val="24"/>
                <w:szCs w:val="24"/>
              </w:rPr>
            </w:pPr>
            <w:r w:rsidRPr="00BB422E">
              <w:rPr>
                <w:sz w:val="24"/>
                <w:szCs w:val="24"/>
              </w:rPr>
              <w:t>Tasmanian Minister for Health</w:t>
            </w:r>
            <w:r w:rsidRPr="00BB422E">
              <w:rPr>
                <w:sz w:val="24"/>
                <w:szCs w:val="24"/>
              </w:rPr>
              <w:tab/>
              <w:t>Chair of the Governing Council of the T</w:t>
            </w:r>
            <w:r>
              <w:rPr>
                <w:sz w:val="24"/>
                <w:szCs w:val="24"/>
              </w:rPr>
              <w:t xml:space="preserve">asmanian Health Service </w:t>
            </w:r>
          </w:p>
          <w:p w:rsidR="00566740" w:rsidRPr="00BB422E" w:rsidRDefault="00566740" w:rsidP="00D16CD5">
            <w:pPr>
              <w:rPr>
                <w:sz w:val="24"/>
                <w:szCs w:val="24"/>
              </w:rPr>
            </w:pPr>
            <w:r w:rsidRPr="00BB422E">
              <w:rPr>
                <w:sz w:val="24"/>
                <w:szCs w:val="24"/>
              </w:rPr>
              <w:t>Date signed:</w:t>
            </w:r>
            <w:r w:rsidRPr="00BB422E">
              <w:rPr>
                <w:sz w:val="24"/>
                <w:szCs w:val="24"/>
              </w:rPr>
              <w:tab/>
            </w:r>
            <w:r w:rsidRPr="00BB422E">
              <w:rPr>
                <w:sz w:val="24"/>
                <w:szCs w:val="24"/>
              </w:rPr>
              <w:tab/>
            </w:r>
            <w:r w:rsidRPr="00BB422E">
              <w:rPr>
                <w:sz w:val="24"/>
                <w:szCs w:val="24"/>
              </w:rPr>
              <w:tab/>
            </w:r>
            <w:r w:rsidRPr="00BB422E">
              <w:rPr>
                <w:sz w:val="24"/>
                <w:szCs w:val="24"/>
              </w:rPr>
              <w:tab/>
            </w:r>
            <w:r w:rsidRPr="00BB422E">
              <w:rPr>
                <w:sz w:val="24"/>
                <w:szCs w:val="24"/>
              </w:rPr>
              <w:tab/>
            </w:r>
            <w:r w:rsidRPr="00BB422E">
              <w:rPr>
                <w:sz w:val="24"/>
                <w:szCs w:val="24"/>
              </w:rPr>
              <w:tab/>
            </w:r>
            <w:r w:rsidRPr="00BB422E">
              <w:rPr>
                <w:sz w:val="24"/>
                <w:szCs w:val="24"/>
              </w:rPr>
              <w:tab/>
              <w:t>Date signed:</w:t>
            </w:r>
          </w:p>
          <w:p w:rsidR="00566740" w:rsidRDefault="00566740" w:rsidP="00D16CD5">
            <w:pPr>
              <w:rPr>
                <w:b/>
                <w:sz w:val="24"/>
                <w:szCs w:val="24"/>
              </w:rPr>
            </w:pPr>
          </w:p>
          <w:tbl>
            <w:tblPr>
              <w:tblW w:w="4892" w:type="pct"/>
              <w:tblLook w:val="0000" w:firstRow="0" w:lastRow="0" w:firstColumn="0" w:lastColumn="0" w:noHBand="0" w:noVBand="0"/>
            </w:tblPr>
            <w:tblGrid>
              <w:gridCol w:w="470"/>
              <w:gridCol w:w="1811"/>
              <w:gridCol w:w="3274"/>
              <w:gridCol w:w="478"/>
              <w:gridCol w:w="275"/>
              <w:gridCol w:w="3293"/>
            </w:tblGrid>
            <w:tr w:rsidR="00566740" w:rsidRPr="000D3253" w:rsidTr="00D16CD5">
              <w:trPr>
                <w:cantSplit/>
                <w:trHeight w:val="480"/>
              </w:trPr>
              <w:tc>
                <w:tcPr>
                  <w:tcW w:w="245" w:type="pct"/>
                  <w:vMerge w:val="restart"/>
                </w:tcPr>
                <w:p w:rsidR="00566740" w:rsidRPr="000D3253" w:rsidRDefault="00566740" w:rsidP="00D16CD5">
                  <w:pPr>
                    <w:tabs>
                      <w:tab w:val="clear" w:pos="567"/>
                    </w:tabs>
                    <w:spacing w:after="0" w:line="240" w:lineRule="auto"/>
                    <w:rPr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943" w:type="pct"/>
                  <w:vMerge w:val="restart"/>
                </w:tcPr>
                <w:p w:rsidR="00566740" w:rsidRDefault="00566740" w:rsidP="00D16CD5">
                  <w:pPr>
                    <w:rPr>
                      <w:sz w:val="24"/>
                      <w:szCs w:val="24"/>
                    </w:rPr>
                  </w:pPr>
                </w:p>
                <w:p w:rsidR="00566740" w:rsidRPr="000D3253" w:rsidRDefault="00566740" w:rsidP="00D16C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pct"/>
                  <w:vMerge w:val="restart"/>
                </w:tcPr>
                <w:p w:rsidR="00566740" w:rsidRPr="000D3253" w:rsidRDefault="00566740" w:rsidP="00D16C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" w:type="pct"/>
                  <w:vMerge w:val="restart"/>
                </w:tcPr>
                <w:p w:rsidR="00566740" w:rsidRPr="000D3253" w:rsidRDefault="00566740" w:rsidP="00D16C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vMerge w:val="restart"/>
                </w:tcPr>
                <w:p w:rsidR="00566740" w:rsidRPr="000D3253" w:rsidRDefault="00566740" w:rsidP="00D16C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5" w:type="pct"/>
                </w:tcPr>
                <w:p w:rsidR="00566740" w:rsidRPr="000D3253" w:rsidRDefault="00566740" w:rsidP="00D16C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6740" w:rsidRPr="000D3253" w:rsidTr="00D16CD5">
              <w:trPr>
                <w:cantSplit/>
                <w:trHeight w:val="270"/>
              </w:trPr>
              <w:tc>
                <w:tcPr>
                  <w:tcW w:w="245" w:type="pct"/>
                  <w:vMerge/>
                </w:tcPr>
                <w:p w:rsidR="00566740" w:rsidRPr="000D3253" w:rsidRDefault="00566740" w:rsidP="00D16CD5">
                  <w:pPr>
                    <w:rPr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943" w:type="pct"/>
                  <w:vMerge/>
                </w:tcPr>
                <w:p w:rsidR="00566740" w:rsidRPr="000D3253" w:rsidRDefault="00566740" w:rsidP="00D16C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pct"/>
                  <w:vMerge/>
                </w:tcPr>
                <w:p w:rsidR="00566740" w:rsidRPr="000D3253" w:rsidRDefault="00566740" w:rsidP="00D16C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" w:type="pct"/>
                  <w:vMerge/>
                </w:tcPr>
                <w:p w:rsidR="00566740" w:rsidRPr="000D3253" w:rsidRDefault="00566740" w:rsidP="00D16C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vMerge/>
                </w:tcPr>
                <w:p w:rsidR="00566740" w:rsidRPr="000D3253" w:rsidRDefault="00566740" w:rsidP="00D16C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5" w:type="pct"/>
                </w:tcPr>
                <w:p w:rsidR="00566740" w:rsidRPr="000D3253" w:rsidRDefault="00566740" w:rsidP="00D16C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55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55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</w:tr>
      <w:tr w:rsidR="00566740" w:rsidRPr="00642692" w:rsidTr="00D16CD5">
        <w:trPr>
          <w:gridAfter w:val="2"/>
          <w:wAfter w:w="920" w:type="pct"/>
          <w:cantSplit/>
        </w:trPr>
        <w:tc>
          <w:tcPr>
            <w:tcW w:w="72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2035" w:type="pct"/>
            <w:vAlign w:val="bottom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55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55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</w:tr>
      <w:tr w:rsidR="00566740" w:rsidRPr="00642692" w:rsidTr="00D16CD5">
        <w:trPr>
          <w:gridAfter w:val="2"/>
          <w:wAfter w:w="920" w:type="pct"/>
          <w:cantSplit/>
        </w:trPr>
        <w:tc>
          <w:tcPr>
            <w:tcW w:w="72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2035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55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55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</w:tr>
      <w:tr w:rsidR="00566740" w:rsidRPr="00642692" w:rsidTr="00D16CD5">
        <w:trPr>
          <w:cantSplit/>
        </w:trPr>
        <w:tc>
          <w:tcPr>
            <w:tcW w:w="2490" w:type="pct"/>
            <w:gridSpan w:val="3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55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55" w:type="pct"/>
          </w:tcPr>
          <w:p w:rsidR="00566740" w:rsidRPr="00642692" w:rsidRDefault="00566740" w:rsidP="00D16CD5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1480" w:type="pct"/>
          </w:tcPr>
          <w:p w:rsidR="00566740" w:rsidRPr="00642692" w:rsidRDefault="00566740" w:rsidP="00D16CD5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566740" w:rsidRPr="00642692" w:rsidRDefault="00566740" w:rsidP="00D16CD5">
            <w:pPr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left w:val="nil"/>
            </w:tcBorders>
          </w:tcPr>
          <w:p w:rsidR="00566740" w:rsidRPr="00642692" w:rsidRDefault="00566740" w:rsidP="00D16CD5">
            <w:pPr>
              <w:rPr>
                <w:sz w:val="28"/>
                <w:szCs w:val="28"/>
              </w:rPr>
            </w:pPr>
          </w:p>
        </w:tc>
      </w:tr>
    </w:tbl>
    <w:p w:rsidR="00566740" w:rsidRDefault="00566740" w:rsidP="00566740">
      <w:pPr>
        <w:tabs>
          <w:tab w:val="clear" w:pos="567"/>
        </w:tabs>
        <w:spacing w:after="120"/>
        <w:contextualSpacing/>
      </w:pPr>
    </w:p>
    <w:p w:rsidR="00D331C5" w:rsidRDefault="00CD32FD"/>
    <w:sectPr w:rsidR="00D331C5" w:rsidSect="00A90A71">
      <w:headerReference w:type="default" r:id="rId9"/>
      <w:footerReference w:type="default" r:id="rId10"/>
      <w:pgSz w:w="11900" w:h="16840" w:code="9"/>
      <w:pgMar w:top="1440" w:right="1270" w:bottom="144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E4" w:rsidRDefault="00971BE4">
      <w:pPr>
        <w:spacing w:after="0" w:line="240" w:lineRule="auto"/>
      </w:pPr>
      <w:r>
        <w:separator/>
      </w:r>
    </w:p>
  </w:endnote>
  <w:endnote w:type="continuationSeparator" w:id="0">
    <w:p w:rsidR="00971BE4" w:rsidRDefault="0097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BE" w:rsidRDefault="00566740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D32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D32F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B1B3D" w:rsidRDefault="00CD3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E4" w:rsidRDefault="00971BE4">
      <w:pPr>
        <w:spacing w:after="0" w:line="240" w:lineRule="auto"/>
      </w:pPr>
      <w:r>
        <w:separator/>
      </w:r>
    </w:p>
  </w:footnote>
  <w:footnote w:type="continuationSeparator" w:id="0">
    <w:p w:rsidR="00971BE4" w:rsidRDefault="0097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3D" w:rsidRDefault="00351026" w:rsidP="000F0857">
    <w:pPr>
      <w:pStyle w:val="Header"/>
      <w:tabs>
        <w:tab w:val="right" w:pos="9360"/>
      </w:tabs>
    </w:pPr>
    <w:fldSimple w:instr=" STYLEREF  &quot;Heading 1&quot;  \* MERGEFORMAT ">
      <w:r w:rsidR="00CD32FD">
        <w:rPr>
          <w:noProof/>
        </w:rPr>
        <w:t>Amendment</w:t>
      </w:r>
      <w:r w:rsidR="00CD32FD" w:rsidRPr="00CD32FD">
        <w:rPr>
          <w:noProof/>
          <w:lang w:val="en-AU"/>
        </w:rPr>
        <w:t xml:space="preserve"> </w:t>
      </w:r>
      <w:r w:rsidR="00CD32FD">
        <w:rPr>
          <w:noProof/>
        </w:rPr>
        <w:t>to the 2016-17 Service Agreement between the Minister for Health and the Tasmanian Health Service</w:t>
      </w:r>
    </w:fldSimple>
  </w:p>
  <w:p w:rsidR="007B1B3D" w:rsidRPr="0012611E" w:rsidRDefault="00CD32FD" w:rsidP="000F0857">
    <w:pPr>
      <w:pStyle w:val="Header"/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5C1"/>
    <w:multiLevelType w:val="hybridMultilevel"/>
    <w:tmpl w:val="3F68F63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27106"/>
    <w:multiLevelType w:val="hybridMultilevel"/>
    <w:tmpl w:val="7C66E2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95D88"/>
    <w:multiLevelType w:val="hybridMultilevel"/>
    <w:tmpl w:val="DEEC9E4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D80CCD"/>
    <w:multiLevelType w:val="hybridMultilevel"/>
    <w:tmpl w:val="8438F1E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D60734"/>
    <w:multiLevelType w:val="hybridMultilevel"/>
    <w:tmpl w:val="206AF73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DC2B41"/>
    <w:multiLevelType w:val="hybridMultilevel"/>
    <w:tmpl w:val="0554A6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C37E64B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81253"/>
    <w:multiLevelType w:val="hybridMultilevel"/>
    <w:tmpl w:val="7600831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B91406"/>
    <w:multiLevelType w:val="hybridMultilevel"/>
    <w:tmpl w:val="CEE244E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9A5750"/>
    <w:multiLevelType w:val="hybridMultilevel"/>
    <w:tmpl w:val="E48EE08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0501B2"/>
    <w:multiLevelType w:val="hybridMultilevel"/>
    <w:tmpl w:val="4FD0519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5E6250"/>
    <w:multiLevelType w:val="hybridMultilevel"/>
    <w:tmpl w:val="B4B29C7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6E08E6"/>
    <w:multiLevelType w:val="hybridMultilevel"/>
    <w:tmpl w:val="272ABC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5E0971"/>
    <w:multiLevelType w:val="hybridMultilevel"/>
    <w:tmpl w:val="E6AC167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F01D16"/>
    <w:multiLevelType w:val="hybridMultilevel"/>
    <w:tmpl w:val="1B9A68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9225B"/>
    <w:multiLevelType w:val="hybridMultilevel"/>
    <w:tmpl w:val="48D47B0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166275"/>
    <w:multiLevelType w:val="hybridMultilevel"/>
    <w:tmpl w:val="BF70CC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B26964"/>
    <w:multiLevelType w:val="hybridMultilevel"/>
    <w:tmpl w:val="FCEC6C3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251BB6"/>
    <w:multiLevelType w:val="hybridMultilevel"/>
    <w:tmpl w:val="B49A0A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357A83"/>
    <w:multiLevelType w:val="hybridMultilevel"/>
    <w:tmpl w:val="F1306560"/>
    <w:lvl w:ilvl="0" w:tplc="17D6B764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4C9350D"/>
    <w:multiLevelType w:val="hybridMultilevel"/>
    <w:tmpl w:val="DC5A16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56F00"/>
    <w:multiLevelType w:val="hybridMultilevel"/>
    <w:tmpl w:val="69DEF6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9"/>
  </w:num>
  <w:num w:numId="5">
    <w:abstractNumId w:val="4"/>
  </w:num>
  <w:num w:numId="6">
    <w:abstractNumId w:val="3"/>
  </w:num>
  <w:num w:numId="7">
    <w:abstractNumId w:val="12"/>
  </w:num>
  <w:num w:numId="8">
    <w:abstractNumId w:val="2"/>
  </w:num>
  <w:num w:numId="9">
    <w:abstractNumId w:val="18"/>
  </w:num>
  <w:num w:numId="10">
    <w:abstractNumId w:val="20"/>
  </w:num>
  <w:num w:numId="11">
    <w:abstractNumId w:val="1"/>
  </w:num>
  <w:num w:numId="12">
    <w:abstractNumId w:val="14"/>
  </w:num>
  <w:num w:numId="13">
    <w:abstractNumId w:val="16"/>
  </w:num>
  <w:num w:numId="14">
    <w:abstractNumId w:val="11"/>
  </w:num>
  <w:num w:numId="15">
    <w:abstractNumId w:val="8"/>
  </w:num>
  <w:num w:numId="16">
    <w:abstractNumId w:val="13"/>
  </w:num>
  <w:num w:numId="17">
    <w:abstractNumId w:val="6"/>
  </w:num>
  <w:num w:numId="18">
    <w:abstractNumId w:val="15"/>
  </w:num>
  <w:num w:numId="19">
    <w:abstractNumId w:val="9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40"/>
    <w:rsid w:val="0001418B"/>
    <w:rsid w:val="00056AE6"/>
    <w:rsid w:val="0008064E"/>
    <w:rsid w:val="00093006"/>
    <w:rsid w:val="000A601B"/>
    <w:rsid w:val="000E41DA"/>
    <w:rsid w:val="00112020"/>
    <w:rsid w:val="0014475F"/>
    <w:rsid w:val="001817BB"/>
    <w:rsid w:val="00266196"/>
    <w:rsid w:val="00327EEF"/>
    <w:rsid w:val="00351026"/>
    <w:rsid w:val="003968A4"/>
    <w:rsid w:val="003E5BDC"/>
    <w:rsid w:val="003F007D"/>
    <w:rsid w:val="003F3150"/>
    <w:rsid w:val="0041390D"/>
    <w:rsid w:val="00420148"/>
    <w:rsid w:val="00441072"/>
    <w:rsid w:val="004938DA"/>
    <w:rsid w:val="0049414F"/>
    <w:rsid w:val="004941B6"/>
    <w:rsid w:val="004B0CC2"/>
    <w:rsid w:val="004D1B38"/>
    <w:rsid w:val="004D3555"/>
    <w:rsid w:val="00500A49"/>
    <w:rsid w:val="00566740"/>
    <w:rsid w:val="00581C95"/>
    <w:rsid w:val="00595AE8"/>
    <w:rsid w:val="005D3F88"/>
    <w:rsid w:val="006162E6"/>
    <w:rsid w:val="00647FDF"/>
    <w:rsid w:val="006C2652"/>
    <w:rsid w:val="0070016F"/>
    <w:rsid w:val="00701CA4"/>
    <w:rsid w:val="007733C8"/>
    <w:rsid w:val="00786EA7"/>
    <w:rsid w:val="007E5853"/>
    <w:rsid w:val="008072B8"/>
    <w:rsid w:val="0084291F"/>
    <w:rsid w:val="00855443"/>
    <w:rsid w:val="008A2E4F"/>
    <w:rsid w:val="009577FC"/>
    <w:rsid w:val="00971BE4"/>
    <w:rsid w:val="00981427"/>
    <w:rsid w:val="00981AF7"/>
    <w:rsid w:val="00A17160"/>
    <w:rsid w:val="00A3613D"/>
    <w:rsid w:val="00A37EEE"/>
    <w:rsid w:val="00A54D11"/>
    <w:rsid w:val="00AC37A6"/>
    <w:rsid w:val="00B741C0"/>
    <w:rsid w:val="00BB4BA9"/>
    <w:rsid w:val="00BC6153"/>
    <w:rsid w:val="00C9454D"/>
    <w:rsid w:val="00C9650B"/>
    <w:rsid w:val="00CD24A7"/>
    <w:rsid w:val="00CD32FD"/>
    <w:rsid w:val="00D313C5"/>
    <w:rsid w:val="00D7335B"/>
    <w:rsid w:val="00DD1DEF"/>
    <w:rsid w:val="00DE755E"/>
    <w:rsid w:val="00E30CE7"/>
    <w:rsid w:val="00E70C4F"/>
    <w:rsid w:val="00E9558F"/>
    <w:rsid w:val="00EC6F40"/>
    <w:rsid w:val="00EE2984"/>
    <w:rsid w:val="00EE6D99"/>
    <w:rsid w:val="00F87503"/>
    <w:rsid w:val="00FC0B73"/>
    <w:rsid w:val="00FE5CDE"/>
    <w:rsid w:val="00FF2AD8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40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</w:rPr>
  </w:style>
  <w:style w:type="paragraph" w:styleId="Heading1">
    <w:name w:val="heading 1"/>
    <w:basedOn w:val="Normal"/>
    <w:next w:val="Normal"/>
    <w:link w:val="Heading1Char"/>
    <w:qFormat/>
    <w:rsid w:val="00566740"/>
    <w:pPr>
      <w:keepNext/>
      <w:pageBreakBefore/>
      <w:spacing w:before="240"/>
      <w:outlineLvl w:val="0"/>
    </w:pPr>
    <w:rPr>
      <w:b/>
      <w:snapToGrid w:val="0"/>
      <w:kern w:val="28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7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740"/>
    <w:rPr>
      <w:rFonts w:ascii="Gill Sans MT" w:eastAsia="Times New Roman" w:hAnsi="Gill Sans MT" w:cs="Times New Roman"/>
      <w:b/>
      <w:snapToGrid w:val="0"/>
      <w:kern w:val="28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7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566740"/>
    <w:pPr>
      <w:tabs>
        <w:tab w:val="clear" w:pos="567"/>
      </w:tabs>
      <w:spacing w:after="0" w:line="240" w:lineRule="auto"/>
      <w:jc w:val="right"/>
    </w:pPr>
    <w:rPr>
      <w:sz w:val="16"/>
      <w:szCs w:val="16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66740"/>
    <w:rPr>
      <w:rFonts w:ascii="Gill Sans MT" w:eastAsia="Times New Roman" w:hAnsi="Gill Sans MT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rsid w:val="00566740"/>
    <w:pPr>
      <w:tabs>
        <w:tab w:val="clear" w:pos="567"/>
      </w:tabs>
      <w:spacing w:after="0" w:line="240" w:lineRule="auto"/>
      <w:jc w:val="right"/>
    </w:pPr>
    <w:rPr>
      <w:sz w:val="16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6740"/>
    <w:rPr>
      <w:rFonts w:ascii="Gill Sans MT" w:eastAsia="Times New Roman" w:hAnsi="Gill Sans MT" w:cs="Times New Roman"/>
      <w:sz w:val="16"/>
      <w:szCs w:val="20"/>
      <w:lang w:val="x-none" w:eastAsia="x-none"/>
    </w:rPr>
  </w:style>
  <w:style w:type="paragraph" w:customStyle="1" w:styleId="Default">
    <w:name w:val="Default"/>
    <w:rsid w:val="00566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66740"/>
    <w:pPr>
      <w:tabs>
        <w:tab w:val="clear" w:pos="567"/>
      </w:tabs>
      <w:spacing w:after="200" w:line="276" w:lineRule="auto"/>
      <w:ind w:left="720" w:right="236"/>
      <w:contextualSpacing/>
      <w:jc w:val="both"/>
    </w:pPr>
    <w:rPr>
      <w:rFonts w:ascii="Calibri" w:eastAsia="Calibri" w:hAnsi="Calibri"/>
      <w:color w:val="000000"/>
      <w:lang w:val="en-US" w:bidi="en-US"/>
    </w:rPr>
  </w:style>
  <w:style w:type="character" w:styleId="CommentReference">
    <w:name w:val="annotation reference"/>
    <w:uiPriority w:val="99"/>
    <w:semiHidden/>
    <w:unhideWhenUsed/>
    <w:rsid w:val="00566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740"/>
    <w:rPr>
      <w:rFonts w:ascii="Gill Sans MT" w:eastAsia="Times New Roman" w:hAnsi="Gill Sans MT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66740"/>
    <w:pPr>
      <w:tabs>
        <w:tab w:val="clear" w:pos="567"/>
      </w:tabs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semiHidden/>
    <w:rsid w:val="00566740"/>
    <w:rPr>
      <w:rFonts w:ascii="Gill Sans MT" w:eastAsia="Times New Roman" w:hAnsi="Gill Sans M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4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A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A49"/>
    <w:rPr>
      <w:rFonts w:ascii="Gill Sans MT" w:eastAsia="Times New Roman" w:hAnsi="Gill Sans M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A49"/>
    <w:rPr>
      <w:vertAlign w:val="superscript"/>
    </w:rPr>
  </w:style>
  <w:style w:type="table" w:styleId="TableGrid">
    <w:name w:val="Table Grid"/>
    <w:basedOn w:val="TableNormal"/>
    <w:uiPriority w:val="59"/>
    <w:rsid w:val="004938DA"/>
    <w:pPr>
      <w:tabs>
        <w:tab w:val="left" w:pos="425"/>
      </w:tabs>
      <w:spacing w:after="240" w:line="30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40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</w:rPr>
  </w:style>
  <w:style w:type="paragraph" w:styleId="Heading1">
    <w:name w:val="heading 1"/>
    <w:basedOn w:val="Normal"/>
    <w:next w:val="Normal"/>
    <w:link w:val="Heading1Char"/>
    <w:qFormat/>
    <w:rsid w:val="00566740"/>
    <w:pPr>
      <w:keepNext/>
      <w:pageBreakBefore/>
      <w:spacing w:before="240"/>
      <w:outlineLvl w:val="0"/>
    </w:pPr>
    <w:rPr>
      <w:b/>
      <w:snapToGrid w:val="0"/>
      <w:kern w:val="28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7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740"/>
    <w:rPr>
      <w:rFonts w:ascii="Gill Sans MT" w:eastAsia="Times New Roman" w:hAnsi="Gill Sans MT" w:cs="Times New Roman"/>
      <w:b/>
      <w:snapToGrid w:val="0"/>
      <w:kern w:val="28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7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566740"/>
    <w:pPr>
      <w:tabs>
        <w:tab w:val="clear" w:pos="567"/>
      </w:tabs>
      <w:spacing w:after="0" w:line="240" w:lineRule="auto"/>
      <w:jc w:val="right"/>
    </w:pPr>
    <w:rPr>
      <w:sz w:val="16"/>
      <w:szCs w:val="16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66740"/>
    <w:rPr>
      <w:rFonts w:ascii="Gill Sans MT" w:eastAsia="Times New Roman" w:hAnsi="Gill Sans MT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rsid w:val="00566740"/>
    <w:pPr>
      <w:tabs>
        <w:tab w:val="clear" w:pos="567"/>
      </w:tabs>
      <w:spacing w:after="0" w:line="240" w:lineRule="auto"/>
      <w:jc w:val="right"/>
    </w:pPr>
    <w:rPr>
      <w:sz w:val="16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6740"/>
    <w:rPr>
      <w:rFonts w:ascii="Gill Sans MT" w:eastAsia="Times New Roman" w:hAnsi="Gill Sans MT" w:cs="Times New Roman"/>
      <w:sz w:val="16"/>
      <w:szCs w:val="20"/>
      <w:lang w:val="x-none" w:eastAsia="x-none"/>
    </w:rPr>
  </w:style>
  <w:style w:type="paragraph" w:customStyle="1" w:styleId="Default">
    <w:name w:val="Default"/>
    <w:rsid w:val="00566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66740"/>
    <w:pPr>
      <w:tabs>
        <w:tab w:val="clear" w:pos="567"/>
      </w:tabs>
      <w:spacing w:after="200" w:line="276" w:lineRule="auto"/>
      <w:ind w:left="720" w:right="236"/>
      <w:contextualSpacing/>
      <w:jc w:val="both"/>
    </w:pPr>
    <w:rPr>
      <w:rFonts w:ascii="Calibri" w:eastAsia="Calibri" w:hAnsi="Calibri"/>
      <w:color w:val="000000"/>
      <w:lang w:val="en-US" w:bidi="en-US"/>
    </w:rPr>
  </w:style>
  <w:style w:type="character" w:styleId="CommentReference">
    <w:name w:val="annotation reference"/>
    <w:uiPriority w:val="99"/>
    <w:semiHidden/>
    <w:unhideWhenUsed/>
    <w:rsid w:val="00566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740"/>
    <w:rPr>
      <w:rFonts w:ascii="Gill Sans MT" w:eastAsia="Times New Roman" w:hAnsi="Gill Sans MT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66740"/>
    <w:pPr>
      <w:tabs>
        <w:tab w:val="clear" w:pos="567"/>
      </w:tabs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semiHidden/>
    <w:rsid w:val="00566740"/>
    <w:rPr>
      <w:rFonts w:ascii="Gill Sans MT" w:eastAsia="Times New Roman" w:hAnsi="Gill Sans M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4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A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A49"/>
    <w:rPr>
      <w:rFonts w:ascii="Gill Sans MT" w:eastAsia="Times New Roman" w:hAnsi="Gill Sans M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A49"/>
    <w:rPr>
      <w:vertAlign w:val="superscript"/>
    </w:rPr>
  </w:style>
  <w:style w:type="table" w:styleId="TableGrid">
    <w:name w:val="Table Grid"/>
    <w:basedOn w:val="TableNormal"/>
    <w:uiPriority w:val="59"/>
    <w:rsid w:val="004938DA"/>
    <w:pPr>
      <w:tabs>
        <w:tab w:val="left" w:pos="425"/>
      </w:tabs>
      <w:spacing w:after="240" w:line="30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BC59-9486-416C-BF79-4438C2F1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D21D492C.dotm</Template>
  <TotalTime>2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Spence, David</dc:creator>
  <cp:lastModifiedBy>Spence, David</cp:lastModifiedBy>
  <cp:revision>2</cp:revision>
  <cp:lastPrinted>2017-03-16T04:21:00Z</cp:lastPrinted>
  <dcterms:created xsi:type="dcterms:W3CDTF">2017-07-20T01:01:00Z</dcterms:created>
  <dcterms:modified xsi:type="dcterms:W3CDTF">2017-07-20T01:01:00Z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1061442535</vt:i4>
  </property>
</Properties>
</file>